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charts/colors1.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540" w:type="dxa"/>
        <w:tblInd w:w="18" w:type="dxa"/>
        <w:tblLayout w:type="fixed"/>
        <w:tblLook w:val="0000" w:firstRow="0" w:lastRow="0" w:firstColumn="0" w:lastColumn="0" w:noHBand="0" w:noVBand="0"/>
      </w:tblPr>
      <w:tblGrid>
        <w:gridCol w:w="4059"/>
        <w:gridCol w:w="351"/>
        <w:gridCol w:w="3051"/>
        <w:gridCol w:w="2079"/>
      </w:tblGrid>
      <w:tr w:rsidR="00C16C2F" w:rsidRPr="00E97635" w14:paraId="673966D4" w14:textId="77777777" w:rsidTr="00E662EB">
        <w:trPr>
          <w:trHeight w:val="720"/>
        </w:trPr>
        <w:tc>
          <w:tcPr>
            <w:tcW w:w="4410" w:type="dxa"/>
            <w:gridSpan w:val="2"/>
            <w:tcBorders>
              <w:bottom w:val="single" w:sz="18" w:space="0" w:color="auto"/>
            </w:tcBorders>
          </w:tcPr>
          <w:p w14:paraId="45A63B1C" w14:textId="77777777" w:rsidR="00C16C2F" w:rsidRPr="00E97635" w:rsidRDefault="00C16C2F" w:rsidP="00E662EB">
            <w:pPr>
              <w:jc w:val="left"/>
              <w:rPr>
                <w:rFonts w:asciiTheme="minorBidi" w:hAnsiTheme="minorBidi" w:cstheme="minorBidi"/>
                <w:b/>
                <w:bCs/>
                <w:sz w:val="24"/>
                <w:szCs w:val="20"/>
                <w:lang w:val="en-US" w:bidi="ar-DZ"/>
              </w:rPr>
            </w:pPr>
            <w:r w:rsidRPr="00E97635">
              <w:rPr>
                <w:rFonts w:asciiTheme="minorBidi" w:hAnsiTheme="minorBidi" w:cstheme="minorBidi"/>
                <w:b/>
                <w:bCs/>
                <w:sz w:val="72"/>
                <w:szCs w:val="72"/>
                <w:lang w:val="en-US" w:bidi="ar-DZ"/>
              </w:rPr>
              <w:t>EP</w:t>
            </w:r>
            <w:r w:rsidRPr="00E97635">
              <w:rPr>
                <w:rFonts w:asciiTheme="minorBidi" w:hAnsiTheme="minorBidi" w:cstheme="minorBidi"/>
                <w:b/>
                <w:bCs/>
                <w:sz w:val="27"/>
                <w:szCs w:val="27"/>
                <w:lang w:val="en-US" w:bidi="ar-DZ"/>
              </w:rPr>
              <w:t xml:space="preserve"> </w:t>
            </w:r>
          </w:p>
        </w:tc>
        <w:tc>
          <w:tcPr>
            <w:tcW w:w="5130" w:type="dxa"/>
            <w:gridSpan w:val="2"/>
            <w:tcBorders>
              <w:bottom w:val="single" w:sz="18" w:space="0" w:color="auto"/>
            </w:tcBorders>
          </w:tcPr>
          <w:p w14:paraId="15368282" w14:textId="77777777" w:rsidR="00C16C2F" w:rsidRPr="00E97635" w:rsidRDefault="00C16C2F" w:rsidP="00E662EB">
            <w:pPr>
              <w:widowControl w:val="0"/>
              <w:bidi/>
              <w:spacing w:after="240"/>
              <w:ind w:left="270" w:right="1384"/>
              <w:outlineLvl w:val="2"/>
              <w:rPr>
                <w:b/>
                <w:bCs/>
                <w:sz w:val="48"/>
                <w:szCs w:val="48"/>
                <w:lang w:bidi="ar-DZ"/>
              </w:rPr>
            </w:pPr>
            <w:r w:rsidRPr="00E97635">
              <w:rPr>
                <w:b/>
                <w:bCs/>
                <w:sz w:val="48"/>
                <w:szCs w:val="48"/>
                <w:rtl/>
                <w:lang w:bidi="ar-DZ"/>
              </w:rPr>
              <w:t>الأمم المتحدة</w:t>
            </w:r>
          </w:p>
        </w:tc>
      </w:tr>
      <w:tr w:rsidR="00C16C2F" w:rsidRPr="00E97635" w14:paraId="59D862FB" w14:textId="77777777" w:rsidTr="00E662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02AB64C" w14:textId="77777777" w:rsidR="00C16C2F" w:rsidRPr="00E97635" w:rsidRDefault="00C16C2F" w:rsidP="00E662EB">
            <w:pPr>
              <w:spacing w:before="120"/>
              <w:jc w:val="left"/>
              <w:rPr>
                <w:sz w:val="24"/>
                <w:szCs w:val="20"/>
                <w:lang w:val="en-US" w:bidi="ar-DZ"/>
              </w:rPr>
            </w:pPr>
            <w:r w:rsidRPr="00E97635">
              <w:rPr>
                <w:noProof/>
                <w:sz w:val="24"/>
                <w:szCs w:val="20"/>
                <w:lang w:val="en-CA" w:eastAsia="en-CA"/>
              </w:rPr>
              <w:drawing>
                <wp:anchor distT="0" distB="0" distL="114300" distR="114300" simplePos="0" relativeHeight="251662336" behindDoc="0" locked="0" layoutInCell="0" allowOverlap="1" wp14:anchorId="55B5B39B" wp14:editId="36B835D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7635">
              <w:rPr>
                <w:noProof/>
                <w:sz w:val="24"/>
                <w:szCs w:val="20"/>
                <w:lang w:val="en-CA" w:eastAsia="en-CA"/>
              </w:rPr>
              <w:drawing>
                <wp:anchor distT="0" distB="0" distL="114300" distR="114300" simplePos="0" relativeHeight="251661312" behindDoc="1" locked="0" layoutInCell="0" allowOverlap="1" wp14:anchorId="53F5A470" wp14:editId="11B22CCA">
                  <wp:simplePos x="0" y="0"/>
                  <wp:positionH relativeFrom="column">
                    <wp:posOffset>5029200</wp:posOffset>
                  </wp:positionH>
                  <wp:positionV relativeFrom="paragraph">
                    <wp:posOffset>93345</wp:posOffset>
                  </wp:positionV>
                  <wp:extent cx="579755" cy="51562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7635">
              <w:rPr>
                <w:sz w:val="24"/>
                <w:szCs w:val="20"/>
                <w:lang w:val="en-US" w:bidi="ar-DZ"/>
              </w:rPr>
              <w:t>Distr.</w:t>
            </w:r>
          </w:p>
          <w:p w14:paraId="21A04EF0" w14:textId="77777777" w:rsidR="00C16C2F" w:rsidRPr="00E97635" w:rsidRDefault="00C16C2F" w:rsidP="00E662EB">
            <w:pPr>
              <w:spacing w:before="120"/>
              <w:jc w:val="left"/>
              <w:rPr>
                <w:sz w:val="24"/>
                <w:szCs w:val="20"/>
                <w:lang w:val="en-US" w:bidi="ar-DZ"/>
              </w:rPr>
            </w:pPr>
            <w:r w:rsidRPr="00E97635">
              <w:rPr>
                <w:sz w:val="24"/>
                <w:szCs w:val="20"/>
                <w:lang w:val="en-US" w:bidi="ar-DZ"/>
              </w:rPr>
              <w:t>GENERAL</w:t>
            </w:r>
          </w:p>
          <w:p w14:paraId="1E01120D" w14:textId="77777777" w:rsidR="00C16C2F" w:rsidRPr="00E97635" w:rsidRDefault="00C16C2F" w:rsidP="00E662EB">
            <w:pPr>
              <w:spacing w:before="120"/>
              <w:jc w:val="left"/>
              <w:rPr>
                <w:sz w:val="24"/>
                <w:szCs w:val="20"/>
                <w:lang w:val="en-US" w:bidi="ar-DZ"/>
              </w:rPr>
            </w:pPr>
          </w:p>
          <w:p w14:paraId="2A1E2D6D" w14:textId="6BD70689" w:rsidR="00C16C2F" w:rsidRPr="00B941B3" w:rsidRDefault="00C16C2F" w:rsidP="00C16C2F">
            <w:pPr>
              <w:rPr>
                <w:lang w:val="en-CA"/>
              </w:rPr>
            </w:pPr>
            <w:r w:rsidRPr="00B941B3">
              <w:rPr>
                <w:lang w:val="en-CA"/>
              </w:rPr>
              <w:fldChar w:fldCharType="begin"/>
            </w:r>
            <w:r w:rsidRPr="00B941B3">
              <w:rPr>
                <w:lang w:val="en-CA"/>
              </w:rPr>
              <w:instrText xml:space="preserve"> DOCPROPERTY "Document number"  \* MERGEFORMAT </w:instrText>
            </w:r>
            <w:r w:rsidRPr="00B941B3">
              <w:rPr>
                <w:lang w:val="en-CA"/>
              </w:rPr>
              <w:fldChar w:fldCharType="separate"/>
            </w:r>
            <w:r w:rsidR="00CB270B">
              <w:rPr>
                <w:lang w:val="en-CA"/>
              </w:rPr>
              <w:t>UNEP/</w:t>
            </w:r>
            <w:proofErr w:type="spellStart"/>
            <w:r w:rsidR="00CB270B">
              <w:rPr>
                <w:lang w:val="en-CA"/>
              </w:rPr>
              <w:t>OzL.Pro</w:t>
            </w:r>
            <w:proofErr w:type="spellEnd"/>
            <w:r w:rsidR="00CB270B">
              <w:rPr>
                <w:lang w:val="en-CA"/>
              </w:rPr>
              <w:t>/ExCom/85/64</w:t>
            </w:r>
            <w:r w:rsidRPr="00B941B3">
              <w:rPr>
                <w:lang w:val="en-CA"/>
              </w:rPr>
              <w:fldChar w:fldCharType="end"/>
            </w:r>
          </w:p>
          <w:p w14:paraId="62C18AFC" w14:textId="3057C07B" w:rsidR="00C16C2F" w:rsidRPr="00B941B3" w:rsidRDefault="00C16C2F" w:rsidP="00C16C2F">
            <w:pPr>
              <w:rPr>
                <w:lang w:val="en-CA"/>
              </w:rPr>
            </w:pPr>
            <w:r w:rsidRPr="00B941B3">
              <w:rPr>
                <w:lang w:val="en-CA"/>
              </w:rPr>
              <w:fldChar w:fldCharType="begin"/>
            </w:r>
            <w:r w:rsidRPr="00B941B3">
              <w:rPr>
                <w:lang w:val="en-CA"/>
              </w:rPr>
              <w:instrText xml:space="preserve"> DOCPROPERTY "Revision date" \@ "d MMMM YYYY"  \* MERGEFORMAT </w:instrText>
            </w:r>
            <w:r w:rsidRPr="00B941B3">
              <w:rPr>
                <w:lang w:val="en-CA"/>
              </w:rPr>
              <w:fldChar w:fldCharType="separate"/>
            </w:r>
            <w:r w:rsidR="00CB270B">
              <w:rPr>
                <w:lang w:val="en-CA"/>
              </w:rPr>
              <w:t>8 May 2020</w:t>
            </w:r>
            <w:r w:rsidRPr="00B941B3">
              <w:rPr>
                <w:lang w:val="en-CA"/>
              </w:rPr>
              <w:fldChar w:fldCharType="end"/>
            </w:r>
          </w:p>
          <w:p w14:paraId="35FDBDF7" w14:textId="77777777" w:rsidR="00C16C2F" w:rsidRPr="00AF0E3F" w:rsidRDefault="00C16C2F" w:rsidP="00E662EB">
            <w:pPr>
              <w:spacing w:before="120"/>
              <w:jc w:val="left"/>
              <w:rPr>
                <w:sz w:val="24"/>
                <w:szCs w:val="20"/>
                <w:rtl/>
                <w:lang w:val="en-CA" w:bidi="ar-AE"/>
              </w:rPr>
            </w:pPr>
          </w:p>
          <w:p w14:paraId="626D6D18" w14:textId="77777777" w:rsidR="00C16C2F" w:rsidRPr="00E97635" w:rsidRDefault="00C16C2F" w:rsidP="00E662EB">
            <w:pPr>
              <w:spacing w:before="120"/>
              <w:jc w:val="left"/>
              <w:rPr>
                <w:sz w:val="24"/>
                <w:szCs w:val="20"/>
                <w:lang w:val="en-US" w:bidi="ar-DZ"/>
              </w:rPr>
            </w:pPr>
            <w:r w:rsidRPr="00E97635">
              <w:rPr>
                <w:sz w:val="24"/>
                <w:szCs w:val="20"/>
                <w:lang w:val="en-US" w:bidi="ar-DZ"/>
              </w:rPr>
              <w:t>ARABIC</w:t>
            </w:r>
          </w:p>
          <w:p w14:paraId="1AFF0CAF" w14:textId="77777777" w:rsidR="00C16C2F" w:rsidRPr="00E97635" w:rsidRDefault="00C16C2F" w:rsidP="00E662EB">
            <w:pPr>
              <w:spacing w:before="120"/>
              <w:jc w:val="left"/>
              <w:rPr>
                <w:sz w:val="24"/>
                <w:szCs w:val="20"/>
                <w:lang w:val="en-US" w:bidi="ar-DZ"/>
              </w:rPr>
            </w:pPr>
            <w:r w:rsidRPr="00E97635">
              <w:rPr>
                <w:sz w:val="24"/>
                <w:szCs w:val="20"/>
                <w:lang w:val="en-US" w:bidi="ar-DZ"/>
              </w:rPr>
              <w:t>ORIGINAL: ENGLISH</w:t>
            </w:r>
          </w:p>
        </w:tc>
        <w:tc>
          <w:tcPr>
            <w:tcW w:w="3402" w:type="dxa"/>
            <w:gridSpan w:val="2"/>
            <w:tcBorders>
              <w:top w:val="nil"/>
              <w:left w:val="nil"/>
              <w:bottom w:val="single" w:sz="36" w:space="0" w:color="auto"/>
              <w:right w:val="nil"/>
            </w:tcBorders>
          </w:tcPr>
          <w:p w14:paraId="45965CAE" w14:textId="77777777" w:rsidR="00C16C2F" w:rsidRPr="00E97635" w:rsidRDefault="00C16C2F" w:rsidP="00E662EB">
            <w:pPr>
              <w:keepNext/>
              <w:ind w:right="459"/>
              <w:jc w:val="right"/>
              <w:outlineLvl w:val="3"/>
              <w:rPr>
                <w:rFonts w:cs="Arabic Transparent"/>
                <w:bCs/>
                <w:sz w:val="52"/>
                <w:szCs w:val="52"/>
                <w:rtl/>
                <w:lang w:bidi="ar-DZ"/>
              </w:rPr>
            </w:pPr>
            <w:r w:rsidRPr="00E97635">
              <w:rPr>
                <w:rFonts w:cs="Arabic Transparent"/>
                <w:bCs/>
                <w:sz w:val="52"/>
                <w:szCs w:val="52"/>
                <w:rtl/>
                <w:lang w:bidi="ar-DZ"/>
              </w:rPr>
              <w:t>برنامج</w:t>
            </w:r>
          </w:p>
          <w:p w14:paraId="346E6783" w14:textId="77777777" w:rsidR="00C16C2F" w:rsidRPr="00E97635" w:rsidRDefault="00C16C2F" w:rsidP="00E662EB">
            <w:pPr>
              <w:keepNext/>
              <w:ind w:right="459"/>
              <w:jc w:val="right"/>
              <w:outlineLvl w:val="3"/>
              <w:rPr>
                <w:rFonts w:cs="Arabic Transparent"/>
                <w:bCs/>
                <w:sz w:val="52"/>
                <w:szCs w:val="52"/>
                <w:rtl/>
                <w:lang w:bidi="ar-DZ"/>
              </w:rPr>
            </w:pPr>
            <w:r w:rsidRPr="00E97635">
              <w:rPr>
                <w:rFonts w:cs="Arabic Transparent"/>
                <w:bCs/>
                <w:sz w:val="52"/>
                <w:szCs w:val="52"/>
                <w:rtl/>
                <w:lang w:bidi="ar-DZ"/>
              </w:rPr>
              <w:t>الأمم المتحدة</w:t>
            </w:r>
          </w:p>
          <w:p w14:paraId="0A85E070" w14:textId="77777777" w:rsidR="00C16C2F" w:rsidRPr="00E97635" w:rsidRDefault="00C16C2F" w:rsidP="00E662EB">
            <w:pPr>
              <w:keepNext/>
              <w:ind w:right="459"/>
              <w:jc w:val="right"/>
              <w:outlineLvl w:val="3"/>
              <w:rPr>
                <w:rFonts w:cs="Arabic Transparent"/>
                <w:bCs/>
                <w:sz w:val="52"/>
                <w:szCs w:val="52"/>
                <w:rtl/>
                <w:lang w:bidi="ar-DZ"/>
              </w:rPr>
            </w:pPr>
            <w:r w:rsidRPr="00E97635">
              <w:rPr>
                <w:rFonts w:cs="Arabic Transparent"/>
                <w:bCs/>
                <w:sz w:val="52"/>
                <w:szCs w:val="52"/>
                <w:rtl/>
                <w:lang w:bidi="ar-DZ"/>
              </w:rPr>
              <w:t>للبيئة</w:t>
            </w:r>
          </w:p>
          <w:p w14:paraId="4CFFE5FA" w14:textId="77777777" w:rsidR="00C16C2F" w:rsidRPr="00E97635" w:rsidRDefault="00C16C2F" w:rsidP="00E662EB">
            <w:pPr>
              <w:numPr>
                <w:ilvl w:val="6"/>
                <w:numId w:val="1"/>
              </w:numPr>
              <w:ind w:right="4997"/>
              <w:outlineLvl w:val="6"/>
              <w:rPr>
                <w:rFonts w:ascii="Arial" w:hAnsi="Arial" w:cs="Akhbar MT"/>
                <w:b/>
                <w:bCs/>
                <w:sz w:val="52"/>
                <w:szCs w:val="52"/>
                <w:lang w:val="en-US" w:bidi="ar-DZ"/>
              </w:rPr>
            </w:pPr>
            <w:r w:rsidRPr="00E97635">
              <w:rPr>
                <w:rFonts w:ascii="Arial" w:hAnsi="Arial" w:cs="Arabic Transparent"/>
                <w:b/>
                <w:bCs/>
                <w:sz w:val="52"/>
                <w:szCs w:val="52"/>
                <w:rtl/>
                <w:lang w:bidi="ar-DZ"/>
              </w:rPr>
              <w:t>ل</w:t>
            </w:r>
          </w:p>
        </w:tc>
        <w:tc>
          <w:tcPr>
            <w:tcW w:w="2079" w:type="dxa"/>
            <w:tcBorders>
              <w:top w:val="nil"/>
              <w:left w:val="nil"/>
              <w:bottom w:val="single" w:sz="36" w:space="0" w:color="auto"/>
              <w:right w:val="nil"/>
            </w:tcBorders>
          </w:tcPr>
          <w:p w14:paraId="102697FE" w14:textId="77777777" w:rsidR="00C16C2F" w:rsidRPr="00E97635" w:rsidRDefault="00C16C2F" w:rsidP="00E662EB">
            <w:pPr>
              <w:rPr>
                <w:caps/>
                <w:sz w:val="24"/>
                <w:szCs w:val="20"/>
                <w:lang w:val="en-US" w:bidi="ar-DZ"/>
              </w:rPr>
            </w:pPr>
          </w:p>
          <w:p w14:paraId="33A19B87" w14:textId="77777777" w:rsidR="00C16C2F" w:rsidRPr="00E97635" w:rsidRDefault="00C16C2F" w:rsidP="00E662EB">
            <w:pPr>
              <w:rPr>
                <w:sz w:val="24"/>
                <w:szCs w:val="20"/>
                <w:lang w:val="en-US" w:bidi="ar-DZ"/>
              </w:rPr>
            </w:pPr>
          </w:p>
        </w:tc>
      </w:tr>
    </w:tbl>
    <w:p w14:paraId="5D5A2853" w14:textId="77777777" w:rsidR="00C16C2F" w:rsidRPr="00E97635" w:rsidRDefault="00C16C2F" w:rsidP="00C16C2F">
      <w:pPr>
        <w:bidi/>
        <w:spacing w:line="200" w:lineRule="exact"/>
        <w:ind w:left="187" w:right="187" w:hanging="187"/>
        <w:rPr>
          <w:rFonts w:cs="Akhbar MT"/>
          <w:b/>
          <w:bCs/>
          <w:sz w:val="28"/>
          <w:szCs w:val="28"/>
          <w:rtl/>
          <w:lang w:val="en-US" w:eastAsia="en-CA" w:bidi="ar-DZ"/>
        </w:rPr>
      </w:pPr>
    </w:p>
    <w:p w14:paraId="66C9DCA1" w14:textId="77777777" w:rsidR="00C16C2F" w:rsidRPr="00E97635" w:rsidRDefault="00C16C2F" w:rsidP="00C16C2F">
      <w:pPr>
        <w:bidi/>
        <w:ind w:right="180" w:hanging="180"/>
        <w:rPr>
          <w:rFonts w:cs="Arabic Transparent"/>
          <w:b/>
          <w:bCs/>
          <w:sz w:val="28"/>
          <w:szCs w:val="28"/>
          <w:rtl/>
          <w:lang w:val="en-US" w:eastAsia="en-CA" w:bidi="ar-DZ"/>
        </w:rPr>
      </w:pPr>
      <w:r w:rsidRPr="00E97635">
        <w:rPr>
          <w:rFonts w:cs="Arabic Transparent"/>
          <w:b/>
          <w:bCs/>
          <w:sz w:val="28"/>
          <w:szCs w:val="28"/>
          <w:rtl/>
          <w:lang w:val="en-US" w:eastAsia="en-CA" w:bidi="ar-DZ"/>
        </w:rPr>
        <w:t>اللجن</w:t>
      </w:r>
      <w:r w:rsidRPr="00E97635">
        <w:rPr>
          <w:rFonts w:cs="Arabic Transparent" w:hint="cs"/>
          <w:b/>
          <w:bCs/>
          <w:sz w:val="28"/>
          <w:szCs w:val="28"/>
          <w:rtl/>
          <w:lang w:val="en-US" w:eastAsia="en-CA" w:bidi="ar-DZ"/>
        </w:rPr>
        <w:t>ــ</w:t>
      </w:r>
      <w:r w:rsidRPr="00E97635">
        <w:rPr>
          <w:rFonts w:cs="Arabic Transparent"/>
          <w:b/>
          <w:bCs/>
          <w:sz w:val="28"/>
          <w:szCs w:val="28"/>
          <w:rtl/>
          <w:lang w:val="en-US" w:eastAsia="en-CA" w:bidi="ar-DZ"/>
        </w:rPr>
        <w:t>ة التنفي</w:t>
      </w:r>
      <w:r w:rsidRPr="00E97635">
        <w:rPr>
          <w:rFonts w:cs="Arabic Transparent" w:hint="cs"/>
          <w:b/>
          <w:bCs/>
          <w:sz w:val="28"/>
          <w:szCs w:val="28"/>
          <w:rtl/>
          <w:lang w:val="en-US" w:eastAsia="en-CA" w:bidi="ar-DZ"/>
        </w:rPr>
        <w:t>ـ</w:t>
      </w:r>
      <w:r w:rsidRPr="00E97635">
        <w:rPr>
          <w:rFonts w:cs="Arabic Transparent"/>
          <w:b/>
          <w:bCs/>
          <w:sz w:val="28"/>
          <w:szCs w:val="28"/>
          <w:rtl/>
          <w:lang w:val="en-US" w:eastAsia="en-CA" w:bidi="ar-DZ"/>
        </w:rPr>
        <w:t>ذي</w:t>
      </w:r>
      <w:r w:rsidRPr="00E97635">
        <w:rPr>
          <w:rFonts w:cs="Arabic Transparent" w:hint="cs"/>
          <w:b/>
          <w:bCs/>
          <w:sz w:val="28"/>
          <w:szCs w:val="28"/>
          <w:rtl/>
          <w:lang w:val="en-US" w:eastAsia="en-CA" w:bidi="ar-DZ"/>
        </w:rPr>
        <w:t>ــــ</w:t>
      </w:r>
      <w:r w:rsidRPr="00E97635">
        <w:rPr>
          <w:rFonts w:cs="Arabic Transparent"/>
          <w:b/>
          <w:bCs/>
          <w:sz w:val="28"/>
          <w:szCs w:val="28"/>
          <w:rtl/>
          <w:lang w:val="en-US" w:eastAsia="en-CA" w:bidi="ar-DZ"/>
        </w:rPr>
        <w:t>ة للصن</w:t>
      </w:r>
      <w:r w:rsidRPr="00E97635">
        <w:rPr>
          <w:rFonts w:cs="Arabic Transparent" w:hint="cs"/>
          <w:b/>
          <w:bCs/>
          <w:sz w:val="28"/>
          <w:szCs w:val="28"/>
          <w:rtl/>
          <w:lang w:val="en-US" w:eastAsia="en-CA" w:bidi="ar-DZ"/>
        </w:rPr>
        <w:t>ــ</w:t>
      </w:r>
      <w:r w:rsidRPr="00E97635">
        <w:rPr>
          <w:rFonts w:cs="Arabic Transparent"/>
          <w:b/>
          <w:bCs/>
          <w:sz w:val="28"/>
          <w:szCs w:val="28"/>
          <w:rtl/>
          <w:lang w:val="en-US" w:eastAsia="en-CA" w:bidi="ar-DZ"/>
        </w:rPr>
        <w:t>دوق الم</w:t>
      </w:r>
      <w:r w:rsidRPr="00E97635">
        <w:rPr>
          <w:rFonts w:cs="Arabic Transparent" w:hint="cs"/>
          <w:b/>
          <w:bCs/>
          <w:sz w:val="28"/>
          <w:szCs w:val="28"/>
          <w:rtl/>
          <w:lang w:val="en-US" w:eastAsia="en-CA" w:bidi="ar-DZ"/>
        </w:rPr>
        <w:t>ــ</w:t>
      </w:r>
      <w:r w:rsidRPr="00E97635">
        <w:rPr>
          <w:rFonts w:cs="Arabic Transparent"/>
          <w:b/>
          <w:bCs/>
          <w:sz w:val="28"/>
          <w:szCs w:val="28"/>
          <w:rtl/>
          <w:lang w:val="en-US" w:eastAsia="en-CA" w:bidi="ar-DZ"/>
        </w:rPr>
        <w:t>تع</w:t>
      </w:r>
      <w:r w:rsidRPr="00E97635">
        <w:rPr>
          <w:rFonts w:cs="Arabic Transparent" w:hint="cs"/>
          <w:b/>
          <w:bCs/>
          <w:sz w:val="28"/>
          <w:szCs w:val="28"/>
          <w:rtl/>
          <w:lang w:val="en-US" w:eastAsia="en-CA" w:bidi="ar-DZ"/>
        </w:rPr>
        <w:t>ــ</w:t>
      </w:r>
      <w:r w:rsidRPr="00E97635">
        <w:rPr>
          <w:rFonts w:cs="Arabic Transparent"/>
          <w:b/>
          <w:bCs/>
          <w:sz w:val="28"/>
          <w:szCs w:val="28"/>
          <w:rtl/>
          <w:lang w:val="en-US" w:eastAsia="en-CA" w:bidi="ar-DZ"/>
        </w:rPr>
        <w:t>دد الأطـ</w:t>
      </w:r>
      <w:r w:rsidRPr="00E97635">
        <w:rPr>
          <w:rFonts w:cs="Arabic Transparent" w:hint="cs"/>
          <w:b/>
          <w:bCs/>
          <w:sz w:val="28"/>
          <w:szCs w:val="28"/>
          <w:rtl/>
          <w:lang w:val="en-US" w:eastAsia="en-CA" w:bidi="ar-DZ"/>
        </w:rPr>
        <w:t>ــ</w:t>
      </w:r>
      <w:r w:rsidRPr="00E97635">
        <w:rPr>
          <w:rFonts w:cs="Arabic Transparent"/>
          <w:b/>
          <w:bCs/>
          <w:sz w:val="28"/>
          <w:szCs w:val="28"/>
          <w:rtl/>
          <w:lang w:val="en-US" w:eastAsia="en-CA" w:bidi="ar-DZ"/>
        </w:rPr>
        <w:t>راف</w:t>
      </w:r>
    </w:p>
    <w:p w14:paraId="6921FC94" w14:textId="77777777" w:rsidR="00C16C2F" w:rsidRPr="00E97635" w:rsidRDefault="00C16C2F" w:rsidP="00C16C2F">
      <w:pPr>
        <w:bidi/>
        <w:ind w:left="180" w:hanging="180"/>
        <w:jc w:val="lowKashida"/>
        <w:rPr>
          <w:rFonts w:cs="Arabic Transparent"/>
          <w:b/>
          <w:bCs/>
          <w:sz w:val="28"/>
          <w:szCs w:val="28"/>
          <w:rtl/>
          <w:lang w:val="en-US" w:eastAsia="en-CA" w:bidi="ar-DZ"/>
        </w:rPr>
      </w:pPr>
      <w:r w:rsidRPr="00E97635">
        <w:rPr>
          <w:rFonts w:cs="Arabic Transparent"/>
          <w:b/>
          <w:bCs/>
          <w:sz w:val="28"/>
          <w:szCs w:val="28"/>
          <w:rtl/>
          <w:lang w:val="en-US" w:eastAsia="en-CA" w:bidi="ar-DZ"/>
        </w:rPr>
        <w:t>لتنفي</w:t>
      </w:r>
      <w:r w:rsidRPr="00E97635">
        <w:rPr>
          <w:rFonts w:cs="Arabic Transparent" w:hint="cs"/>
          <w:b/>
          <w:bCs/>
          <w:sz w:val="28"/>
          <w:szCs w:val="28"/>
          <w:rtl/>
          <w:lang w:val="en-US" w:eastAsia="en-CA" w:bidi="ar-DZ"/>
        </w:rPr>
        <w:t>ـــ</w:t>
      </w:r>
      <w:r w:rsidRPr="00E97635">
        <w:rPr>
          <w:rFonts w:cs="Arabic Transparent"/>
          <w:b/>
          <w:bCs/>
          <w:sz w:val="28"/>
          <w:szCs w:val="28"/>
          <w:rtl/>
          <w:lang w:val="en-US" w:eastAsia="en-CA" w:bidi="ar-DZ"/>
        </w:rPr>
        <w:t>ذ بروتوك</w:t>
      </w:r>
      <w:r w:rsidRPr="00E97635">
        <w:rPr>
          <w:rFonts w:cs="Arabic Transparent" w:hint="cs"/>
          <w:b/>
          <w:bCs/>
          <w:sz w:val="28"/>
          <w:szCs w:val="28"/>
          <w:rtl/>
          <w:lang w:val="en-US" w:eastAsia="en-CA" w:bidi="ar-DZ"/>
        </w:rPr>
        <w:t>ـ</w:t>
      </w:r>
      <w:r w:rsidRPr="00E97635">
        <w:rPr>
          <w:rFonts w:cs="Arabic Transparent"/>
          <w:b/>
          <w:bCs/>
          <w:sz w:val="28"/>
          <w:szCs w:val="28"/>
          <w:rtl/>
          <w:lang w:val="en-US" w:eastAsia="en-CA" w:bidi="ar-DZ"/>
        </w:rPr>
        <w:t>ول مونتري</w:t>
      </w:r>
      <w:r w:rsidRPr="00E97635">
        <w:rPr>
          <w:rFonts w:cs="Arabic Transparent" w:hint="cs"/>
          <w:b/>
          <w:bCs/>
          <w:sz w:val="28"/>
          <w:szCs w:val="28"/>
          <w:rtl/>
          <w:lang w:val="en-US" w:eastAsia="en-CA" w:bidi="ar-DZ"/>
        </w:rPr>
        <w:t>ــ</w:t>
      </w:r>
      <w:r w:rsidRPr="00E97635">
        <w:rPr>
          <w:rFonts w:cs="Arabic Transparent"/>
          <w:b/>
          <w:bCs/>
          <w:sz w:val="28"/>
          <w:szCs w:val="28"/>
          <w:rtl/>
          <w:lang w:val="en-US" w:eastAsia="en-CA" w:bidi="ar-DZ"/>
        </w:rPr>
        <w:t xml:space="preserve">ال </w:t>
      </w:r>
    </w:p>
    <w:p w14:paraId="57E3AFC7" w14:textId="77777777" w:rsidR="00C16C2F" w:rsidRPr="00E97635" w:rsidRDefault="00C16C2F" w:rsidP="00C16C2F">
      <w:pPr>
        <w:bidi/>
        <w:ind w:left="4"/>
        <w:jc w:val="lowKashida"/>
        <w:rPr>
          <w:sz w:val="28"/>
          <w:szCs w:val="28"/>
          <w:rtl/>
          <w:lang w:val="en-US" w:eastAsia="en-CA" w:bidi="ar-DZ"/>
        </w:rPr>
      </w:pPr>
      <w:r w:rsidRPr="00E97635">
        <w:rPr>
          <w:sz w:val="28"/>
          <w:szCs w:val="28"/>
          <w:rtl/>
          <w:lang w:val="en-US" w:eastAsia="en-CA" w:bidi="ar-DZ"/>
        </w:rPr>
        <w:t xml:space="preserve">الاجتمــــــاع </w:t>
      </w:r>
      <w:r w:rsidRPr="00E97635">
        <w:rPr>
          <w:rFonts w:hint="cs"/>
          <w:sz w:val="28"/>
          <w:szCs w:val="28"/>
          <w:rtl/>
          <w:lang w:val="en-US" w:eastAsia="en-CA" w:bidi="ar-DZ"/>
        </w:rPr>
        <w:t>الخامس والثمانون</w:t>
      </w:r>
    </w:p>
    <w:p w14:paraId="54DB425A" w14:textId="77777777" w:rsidR="00C16C2F" w:rsidRPr="00E97635" w:rsidRDefault="00C16C2F" w:rsidP="00C16C2F">
      <w:pPr>
        <w:bidi/>
        <w:ind w:left="4"/>
        <w:jc w:val="left"/>
        <w:rPr>
          <w:sz w:val="28"/>
          <w:szCs w:val="28"/>
          <w:rtl/>
        </w:rPr>
      </w:pPr>
      <w:r w:rsidRPr="00E97635">
        <w:rPr>
          <w:rFonts w:hint="cs"/>
          <w:sz w:val="28"/>
          <w:szCs w:val="28"/>
          <w:rtl/>
        </w:rPr>
        <w:t>مونتريال، من 25 إلى 29 مايو/أيار 2020</w:t>
      </w:r>
    </w:p>
    <w:p w14:paraId="7A8D6776" w14:textId="77777777" w:rsidR="00C16C2F" w:rsidRPr="00E97635" w:rsidRDefault="00C16C2F" w:rsidP="00C16C2F">
      <w:pPr>
        <w:bidi/>
        <w:ind w:left="4"/>
        <w:jc w:val="left"/>
        <w:rPr>
          <w:sz w:val="28"/>
          <w:szCs w:val="28"/>
        </w:rPr>
      </w:pPr>
      <w:r w:rsidRPr="00E97635">
        <w:rPr>
          <w:rFonts w:hint="cs"/>
          <w:sz w:val="28"/>
          <w:szCs w:val="28"/>
          <w:rtl/>
        </w:rPr>
        <w:t>مؤجل: من 19 إلى 22</w:t>
      </w:r>
      <w:r w:rsidRPr="00E97635">
        <w:rPr>
          <w:sz w:val="28"/>
          <w:szCs w:val="28"/>
        </w:rPr>
        <w:t xml:space="preserve"> </w:t>
      </w:r>
      <w:r w:rsidRPr="00E97635">
        <w:rPr>
          <w:rFonts w:hint="cs"/>
          <w:sz w:val="28"/>
          <w:szCs w:val="28"/>
          <w:rtl/>
        </w:rPr>
        <w:t>يوليو/ تموز 2020</w:t>
      </w:r>
      <w:r w:rsidRPr="00514747">
        <w:rPr>
          <w:rStyle w:val="FootnoteReference"/>
          <w:sz w:val="28"/>
          <w:szCs w:val="28"/>
        </w:rPr>
        <w:footnoteReference w:customMarkFollows="1" w:id="1"/>
        <w:sym w:font="Symbol" w:char="F02A"/>
      </w:r>
    </w:p>
    <w:p w14:paraId="1DC701DF" w14:textId="77777777" w:rsidR="00C16C2F" w:rsidRPr="005F5BBA" w:rsidRDefault="00C16C2F" w:rsidP="00C16C2F">
      <w:pPr>
        <w:widowControl w:val="0"/>
        <w:tabs>
          <w:tab w:val="left" w:pos="2880"/>
          <w:tab w:val="left" w:pos="5760"/>
        </w:tabs>
        <w:bidi/>
        <w:spacing w:after="240"/>
        <w:rPr>
          <w:sz w:val="26"/>
          <w:szCs w:val="26"/>
          <w:rtl/>
          <w:lang w:bidi="ar-DZ"/>
        </w:rPr>
      </w:pPr>
    </w:p>
    <w:p w14:paraId="5FFDB452" w14:textId="77777777" w:rsidR="00C16C2F" w:rsidRDefault="00C16C2F" w:rsidP="00C16C2F">
      <w:pPr>
        <w:pStyle w:val="Title1"/>
        <w:bidi/>
        <w:rPr>
          <w:b w:val="0"/>
          <w:bCs/>
          <w:sz w:val="32"/>
          <w:szCs w:val="32"/>
          <w:rtl/>
        </w:rPr>
      </w:pPr>
      <w:r w:rsidRPr="00D0611D">
        <w:rPr>
          <w:rFonts w:hint="cs"/>
          <w:bCs/>
          <w:sz w:val="32"/>
          <w:szCs w:val="32"/>
          <w:rtl/>
        </w:rPr>
        <w:t xml:space="preserve">الجوانب الرئيسية ذات الصلة بتكنولوجيات الرقابة </w:t>
      </w:r>
      <w:r w:rsidRPr="00C16C2F">
        <w:rPr>
          <w:rFonts w:hint="cs"/>
          <w:b w:val="0"/>
          <w:bCs/>
          <w:sz w:val="32"/>
          <w:szCs w:val="32"/>
          <w:rtl/>
          <w:lang w:bidi="ar-EG"/>
        </w:rPr>
        <w:t>على</w:t>
      </w:r>
      <w:r w:rsidRPr="00D0611D">
        <w:rPr>
          <w:rFonts w:hint="cs"/>
          <w:bCs/>
          <w:sz w:val="32"/>
          <w:szCs w:val="32"/>
          <w:rtl/>
        </w:rPr>
        <w:t xml:space="preserve"> المنتج الثانوي</w:t>
      </w:r>
    </w:p>
    <w:p w14:paraId="22FB9C9C" w14:textId="77777777" w:rsidR="00C16C2F" w:rsidRPr="00E97635" w:rsidRDefault="00C16C2F" w:rsidP="00C16C2F">
      <w:pPr>
        <w:widowControl w:val="0"/>
        <w:tabs>
          <w:tab w:val="left" w:pos="2880"/>
          <w:tab w:val="left" w:pos="5760"/>
        </w:tabs>
        <w:bidi/>
        <w:spacing w:after="240"/>
        <w:jc w:val="center"/>
        <w:rPr>
          <w:sz w:val="26"/>
          <w:szCs w:val="26"/>
          <w:lang w:bidi="ar-DZ"/>
        </w:rPr>
      </w:pPr>
      <w:r w:rsidRPr="00D0611D">
        <w:rPr>
          <w:rFonts w:hint="cs"/>
          <w:b/>
          <w:bCs/>
          <w:sz w:val="32"/>
          <w:szCs w:val="32"/>
          <w:rtl/>
        </w:rPr>
        <w:t>الهيدروفلوروكربون-23</w:t>
      </w:r>
      <w:r>
        <w:rPr>
          <w:rFonts w:hint="cs"/>
          <w:b/>
          <w:bCs/>
          <w:sz w:val="32"/>
          <w:szCs w:val="32"/>
          <w:rtl/>
        </w:rPr>
        <w:t>: الأرجنتين (المقرر 8</w:t>
      </w:r>
      <w:r w:rsidR="00437B20">
        <w:rPr>
          <w:rFonts w:hint="cs"/>
          <w:b/>
          <w:bCs/>
          <w:sz w:val="32"/>
          <w:szCs w:val="32"/>
          <w:rtl/>
        </w:rPr>
        <w:t>4</w:t>
      </w:r>
      <w:r>
        <w:rPr>
          <w:rFonts w:hint="cs"/>
          <w:b/>
          <w:bCs/>
          <w:sz w:val="32"/>
          <w:szCs w:val="32"/>
          <w:rtl/>
        </w:rPr>
        <w:t>/</w:t>
      </w:r>
      <w:r w:rsidR="00437B20">
        <w:rPr>
          <w:rFonts w:hint="cs"/>
          <w:b/>
          <w:bCs/>
          <w:sz w:val="32"/>
          <w:szCs w:val="32"/>
          <w:rtl/>
        </w:rPr>
        <w:t>90</w:t>
      </w:r>
      <w:r>
        <w:rPr>
          <w:rFonts w:hint="cs"/>
          <w:b/>
          <w:bCs/>
          <w:sz w:val="32"/>
          <w:szCs w:val="32"/>
          <w:rtl/>
        </w:rPr>
        <w:t>)</w:t>
      </w:r>
    </w:p>
    <w:p w14:paraId="29B3D8F3" w14:textId="77777777" w:rsidR="00C16C2F" w:rsidRPr="00B941B3" w:rsidRDefault="00C16C2F" w:rsidP="0026154B">
      <w:pPr>
        <w:tabs>
          <w:tab w:val="left" w:pos="8280"/>
        </w:tabs>
        <w:jc w:val="center"/>
        <w:rPr>
          <w:b/>
          <w:lang w:val="en-CA"/>
        </w:rPr>
      </w:pPr>
    </w:p>
    <w:p w14:paraId="78376284" w14:textId="77777777" w:rsidR="001C36B9" w:rsidRPr="00C16C2F" w:rsidRDefault="001C36B9" w:rsidP="001C36B9">
      <w:pPr>
        <w:bidi/>
        <w:spacing w:after="240"/>
        <w:rPr>
          <w:b/>
          <w:bCs/>
          <w:sz w:val="26"/>
          <w:szCs w:val="26"/>
          <w:lang w:val="en-CA"/>
        </w:rPr>
      </w:pPr>
      <w:r w:rsidRPr="00C16C2F">
        <w:rPr>
          <w:rFonts w:hint="cs"/>
          <w:b/>
          <w:bCs/>
          <w:sz w:val="26"/>
          <w:szCs w:val="26"/>
          <w:rtl/>
          <w:lang w:val="en-CA"/>
        </w:rPr>
        <w:t>الخلفية</w:t>
      </w:r>
    </w:p>
    <w:p w14:paraId="3819EEEF" w14:textId="4A6A2574" w:rsidR="001C36B9" w:rsidRPr="001C36B9" w:rsidRDefault="004A7ED3" w:rsidP="00031651">
      <w:pPr>
        <w:pStyle w:val="Heading1"/>
        <w:numPr>
          <w:ilvl w:val="0"/>
          <w:numId w:val="7"/>
        </w:numPr>
        <w:bidi/>
        <w:rPr>
          <w:sz w:val="26"/>
          <w:szCs w:val="26"/>
          <w:rtl/>
          <w:lang w:val="en-CA"/>
        </w:rPr>
      </w:pPr>
      <w:r w:rsidRPr="004A7ED3">
        <w:rPr>
          <w:sz w:val="26"/>
          <w:szCs w:val="26"/>
          <w:rtl/>
          <w:lang w:val="en-CA"/>
        </w:rPr>
        <w:t>نظرت اللجنة التنفيذية، في اجتماعها الرابع والثمانين، في خيارات مقترح مشروع الرقابة على انبعاثات الهيدروفلوروكربون-23 وإزالته في شركة فريو إندوسترياس أرجنتيناس (فياسا)، بتكلفة إجمالية تتراوح بين 10,867,000 و59,667,000 دولار أمريكي، بالإضافة إلى تكاليف دعم الوكالة</w:t>
      </w:r>
      <w:r w:rsidR="004E6D9F">
        <w:rPr>
          <w:rStyle w:val="FootnoteReference"/>
          <w:sz w:val="26"/>
          <w:szCs w:val="26"/>
          <w:rtl/>
          <w:lang w:val="en-CA"/>
        </w:rPr>
        <w:footnoteReference w:id="2"/>
      </w:r>
      <w:r w:rsidRPr="004A7ED3">
        <w:rPr>
          <w:sz w:val="26"/>
          <w:szCs w:val="26"/>
          <w:rtl/>
          <w:lang w:val="en-CA"/>
        </w:rPr>
        <w:t>، و</w:t>
      </w:r>
      <w:r w:rsidR="003B5478">
        <w:rPr>
          <w:rFonts w:hint="cs"/>
          <w:sz w:val="26"/>
          <w:szCs w:val="26"/>
          <w:rtl/>
          <w:lang w:val="en-CA"/>
        </w:rPr>
        <w:t>ذلك على النحو الذي قُدمت فيها بصورتها الأصلية</w:t>
      </w:r>
      <w:r w:rsidRPr="004A7ED3">
        <w:rPr>
          <w:sz w:val="26"/>
          <w:szCs w:val="26"/>
          <w:rtl/>
          <w:lang w:val="en-CA"/>
        </w:rPr>
        <w:t xml:space="preserve"> بما يتماشى مع المقررين 82/85(هـ) و83/66(ب).</w:t>
      </w:r>
    </w:p>
    <w:p w14:paraId="785B68D7" w14:textId="3DAF440E" w:rsidR="001C36B9" w:rsidRPr="001C36B9" w:rsidRDefault="00400BB0" w:rsidP="00031651">
      <w:pPr>
        <w:pStyle w:val="Heading1"/>
        <w:numPr>
          <w:ilvl w:val="0"/>
          <w:numId w:val="7"/>
        </w:numPr>
        <w:bidi/>
        <w:rPr>
          <w:sz w:val="26"/>
          <w:szCs w:val="26"/>
          <w:lang w:val="en-CA"/>
        </w:rPr>
      </w:pPr>
      <w:r w:rsidRPr="00400BB0">
        <w:rPr>
          <w:sz w:val="26"/>
          <w:szCs w:val="26"/>
          <w:rtl/>
          <w:lang w:val="en-CA"/>
        </w:rPr>
        <w:t>خلال الاجتماع الرابع والثمانين، سلط أعضاء اللجنة التنفيذية الضوء على عدد من الاعتبارات،</w:t>
      </w:r>
      <w:r>
        <w:rPr>
          <w:rStyle w:val="FootnoteReference"/>
          <w:sz w:val="26"/>
          <w:szCs w:val="26"/>
          <w:rtl/>
          <w:lang w:val="en-CA"/>
        </w:rPr>
        <w:footnoteReference w:id="3"/>
      </w:r>
      <w:r w:rsidRPr="00400BB0">
        <w:rPr>
          <w:sz w:val="26"/>
          <w:szCs w:val="26"/>
          <w:rtl/>
          <w:lang w:val="en-CA"/>
        </w:rPr>
        <w:t xml:space="preserve"> </w:t>
      </w:r>
      <w:r w:rsidR="00255E79">
        <w:rPr>
          <w:rFonts w:hint="cs"/>
          <w:sz w:val="26"/>
          <w:szCs w:val="26"/>
          <w:rtl/>
          <w:lang w:val="en-CA"/>
        </w:rPr>
        <w:t>تشمل</w:t>
      </w:r>
      <w:r w:rsidRPr="00400BB0">
        <w:rPr>
          <w:sz w:val="26"/>
          <w:szCs w:val="26"/>
          <w:rtl/>
          <w:lang w:val="en-CA"/>
        </w:rPr>
        <w:t xml:space="preserve">، من بين جملة أمور أخرى، أهمية: إسناد مستوى الدعم المالي إلى الخيار الأكثر جدوى من حيث التكلفة في الحالات التي لا يتم فيها بالفعل فرض رقابة على انبعاثات المنتج الثانوي الهيدروفلوروكربون-23؛ وإسناد تكاليف التشغيل الإضافية إلى إنتاج الهيدروكلوروفلوروكربون-22 من السنوات السابقة بدلاً </w:t>
      </w:r>
      <w:r w:rsidR="001A2DBC">
        <w:rPr>
          <w:rFonts w:hint="cs"/>
          <w:sz w:val="26"/>
          <w:szCs w:val="26"/>
          <w:rtl/>
          <w:lang w:val="en-CA"/>
        </w:rPr>
        <w:t>عن</w:t>
      </w:r>
      <w:r w:rsidRPr="00400BB0">
        <w:rPr>
          <w:sz w:val="26"/>
          <w:szCs w:val="26"/>
          <w:rtl/>
          <w:lang w:val="en-CA"/>
        </w:rPr>
        <w:t xml:space="preserve"> السنوات المقبلة؛ وأ</w:t>
      </w:r>
      <w:r w:rsidR="003F24EB">
        <w:rPr>
          <w:rFonts w:hint="cs"/>
          <w:sz w:val="26"/>
          <w:szCs w:val="26"/>
          <w:rtl/>
          <w:lang w:val="en-CA"/>
        </w:rPr>
        <w:t xml:space="preserve">ن تؤخذ في الحسبان </w:t>
      </w:r>
      <w:r w:rsidRPr="00400BB0">
        <w:rPr>
          <w:sz w:val="26"/>
          <w:szCs w:val="26"/>
          <w:rtl/>
          <w:lang w:val="en-CA"/>
        </w:rPr>
        <w:t>تحسينات عملية الإنتاج التي من شأنها تقليل معدلات التوليد بمرور الوقت؛ وضمان استدامة التخلص التدريجي من انبعاثات الهيدروفلوروكربون-23؛ والنظر في الدور الذي تؤديه السياسات واللوائح المحلية في ضمان التدمير المستمر للهيدروفلوروكربون-23؛ والنظر أيضاً في أهلية النظم الاحتياطية، إذا اقتضت الحاجة على الإطلاق.</w:t>
      </w:r>
    </w:p>
    <w:p w14:paraId="4376F30D" w14:textId="00D1660B" w:rsidR="001C36B9" w:rsidRPr="00EA5F00" w:rsidRDefault="00473421" w:rsidP="00031651">
      <w:pPr>
        <w:pStyle w:val="Heading1"/>
        <w:numPr>
          <w:ilvl w:val="0"/>
          <w:numId w:val="7"/>
        </w:numPr>
        <w:bidi/>
        <w:rPr>
          <w:sz w:val="26"/>
          <w:szCs w:val="26"/>
          <w:lang w:val="en-CA"/>
        </w:rPr>
      </w:pPr>
      <w:r w:rsidRPr="00473421">
        <w:rPr>
          <w:sz w:val="26"/>
          <w:szCs w:val="26"/>
          <w:rtl/>
          <w:lang w:val="en-CA"/>
        </w:rPr>
        <w:lastRenderedPageBreak/>
        <w:t xml:space="preserve">وافقت اللجنة على </w:t>
      </w:r>
      <w:r w:rsidR="00062AB2">
        <w:rPr>
          <w:rFonts w:hint="cs"/>
          <w:sz w:val="26"/>
          <w:szCs w:val="26"/>
          <w:rtl/>
          <w:lang w:val="en-CA"/>
        </w:rPr>
        <w:t>تشكيل</w:t>
      </w:r>
      <w:r w:rsidRPr="00473421">
        <w:rPr>
          <w:sz w:val="26"/>
          <w:szCs w:val="26"/>
          <w:rtl/>
          <w:lang w:val="en-CA"/>
        </w:rPr>
        <w:t xml:space="preserve"> فريق اتصال تتضمن ولايته مشروع رقابة المنتج الثانوي الهيدروفلوروكربون-23 في الأرجنتين، ومشروع الرقابة على المنتج الثانوي الهيدروفلوروكربون-23 في المكسيك، في شركة كيموباسيكوز</w:t>
      </w:r>
      <w:r>
        <w:rPr>
          <w:rStyle w:val="FootnoteReference"/>
          <w:sz w:val="26"/>
          <w:szCs w:val="26"/>
          <w:rtl/>
          <w:lang w:val="en-CA"/>
        </w:rPr>
        <w:footnoteReference w:id="4"/>
      </w:r>
      <w:r w:rsidRPr="00473421">
        <w:rPr>
          <w:sz w:val="26"/>
          <w:szCs w:val="26"/>
          <w:rtl/>
          <w:lang w:val="en-CA"/>
        </w:rPr>
        <w:t>، والوثيقة التي عرضت قضايا السياسات</w:t>
      </w:r>
      <w:r>
        <w:rPr>
          <w:rStyle w:val="FootnoteReference"/>
          <w:sz w:val="26"/>
          <w:szCs w:val="26"/>
          <w:rtl/>
          <w:lang w:val="en-CA"/>
        </w:rPr>
        <w:footnoteReference w:id="5"/>
      </w:r>
      <w:r w:rsidRPr="00473421">
        <w:rPr>
          <w:sz w:val="26"/>
          <w:szCs w:val="26"/>
          <w:rtl/>
          <w:lang w:val="en-CA"/>
        </w:rPr>
        <w:t xml:space="preserve"> </w:t>
      </w:r>
      <w:r>
        <w:rPr>
          <w:rFonts w:hint="cs"/>
          <w:sz w:val="26"/>
          <w:szCs w:val="26"/>
          <w:rtl/>
          <w:lang w:val="en-CA"/>
        </w:rPr>
        <w:t>ذات الصلة</w:t>
      </w:r>
      <w:r w:rsidRPr="00473421">
        <w:rPr>
          <w:sz w:val="26"/>
          <w:szCs w:val="26"/>
          <w:rtl/>
          <w:lang w:val="en-CA"/>
        </w:rPr>
        <w:t xml:space="preserve"> بالرقابة على انبعاثات المنتج الثانوي الهيدروفلوروكربون-23 في البلدان المشمولة بالمادة 5 التي نشأت عن استعراض الأمانة لتلك المشاريع.</w:t>
      </w:r>
    </w:p>
    <w:p w14:paraId="3876AE68" w14:textId="508B3874" w:rsidR="001C36B9" w:rsidRPr="00EA5F00" w:rsidRDefault="00233710" w:rsidP="00031651">
      <w:pPr>
        <w:pStyle w:val="Heading1"/>
        <w:numPr>
          <w:ilvl w:val="0"/>
          <w:numId w:val="7"/>
        </w:numPr>
        <w:bidi/>
        <w:rPr>
          <w:sz w:val="26"/>
          <w:szCs w:val="26"/>
          <w:lang w:val="en-CA"/>
        </w:rPr>
      </w:pPr>
      <w:r w:rsidRPr="00233710">
        <w:rPr>
          <w:sz w:val="26"/>
          <w:szCs w:val="26"/>
          <w:rtl/>
          <w:lang w:val="en-CA"/>
        </w:rPr>
        <w:t>وبالتالي، أفاد المنظم لاجتماعات فريق الاتصال أن الفريق لم يتمكن من اختتام مداولاته بشأن اقتراح رقابة المنتج الثانوي الهيدروفلوروكربون-23 في الأرجنتين. وبناءً عليه، قررت اللجنة، من بين جملة أمور أخرى، أن ترجئ نظرها في مقترح مشروع الرقابة على انبعاثات المنتج الثانوي الهيدروفلوروكربون-23 في الأرجنتين</w:t>
      </w:r>
      <w:r w:rsidR="00062AB2" w:rsidRPr="00062AB2">
        <w:rPr>
          <w:rtl/>
        </w:rPr>
        <w:t xml:space="preserve"> </w:t>
      </w:r>
      <w:r w:rsidR="00062AB2" w:rsidRPr="00062AB2">
        <w:rPr>
          <w:sz w:val="26"/>
          <w:szCs w:val="26"/>
          <w:rtl/>
          <w:lang w:val="en-CA"/>
        </w:rPr>
        <w:t>إلى الاجتماع الخامس والثمانين</w:t>
      </w:r>
      <w:r w:rsidRPr="00233710">
        <w:rPr>
          <w:sz w:val="26"/>
          <w:szCs w:val="26"/>
          <w:rtl/>
          <w:lang w:val="en-CA"/>
        </w:rPr>
        <w:t xml:space="preserve">، وطلبت من الأمانة تقديم </w:t>
      </w:r>
      <w:r w:rsidR="00062AB2">
        <w:rPr>
          <w:rFonts w:hint="cs"/>
          <w:sz w:val="26"/>
          <w:szCs w:val="26"/>
          <w:rtl/>
          <w:lang w:val="en-CA"/>
        </w:rPr>
        <w:t>المزيد</w:t>
      </w:r>
      <w:r w:rsidRPr="00233710">
        <w:rPr>
          <w:sz w:val="26"/>
          <w:szCs w:val="26"/>
          <w:rtl/>
          <w:lang w:val="en-CA"/>
        </w:rPr>
        <w:t xml:space="preserve"> من </w:t>
      </w:r>
      <w:r w:rsidR="008B0291">
        <w:rPr>
          <w:rFonts w:hint="cs"/>
          <w:sz w:val="26"/>
          <w:szCs w:val="26"/>
          <w:rtl/>
          <w:lang w:val="en-CA"/>
        </w:rPr>
        <w:t>التحليلات</w:t>
      </w:r>
      <w:r w:rsidRPr="00233710">
        <w:rPr>
          <w:sz w:val="26"/>
          <w:szCs w:val="26"/>
          <w:rtl/>
          <w:lang w:val="en-CA"/>
        </w:rPr>
        <w:t xml:space="preserve"> للمشروع إلى الاجتماع الخامس والثمانين بالاستناد إلى أي معلومات إضافية مقدمة من حكومة الأرجنتين من خلال اليونيدو (المقرر 84/90).</w:t>
      </w:r>
    </w:p>
    <w:p w14:paraId="7391AB2E" w14:textId="77777777" w:rsidR="000826EC" w:rsidRPr="000826EC" w:rsidRDefault="006C589A" w:rsidP="000826EC">
      <w:pPr>
        <w:bidi/>
        <w:spacing w:after="240"/>
        <w:rPr>
          <w:bCs/>
          <w:sz w:val="26"/>
          <w:szCs w:val="26"/>
          <w:lang w:val="en-CA"/>
        </w:rPr>
      </w:pPr>
      <w:r w:rsidRPr="006C589A">
        <w:rPr>
          <w:bCs/>
          <w:sz w:val="26"/>
          <w:szCs w:val="26"/>
          <w:rtl/>
          <w:lang w:val="en-CA"/>
        </w:rPr>
        <w:t>معلومات إضافية مقدمة إلى الاجتماع الخامس والثمانين</w:t>
      </w:r>
    </w:p>
    <w:p w14:paraId="40D1F159" w14:textId="5AC3397E" w:rsidR="001C36B9" w:rsidRPr="00EA5F00" w:rsidRDefault="0063787E" w:rsidP="00031651">
      <w:pPr>
        <w:pStyle w:val="Heading1"/>
        <w:numPr>
          <w:ilvl w:val="0"/>
          <w:numId w:val="7"/>
        </w:numPr>
        <w:bidi/>
        <w:rPr>
          <w:sz w:val="26"/>
          <w:szCs w:val="26"/>
          <w:lang w:val="en-CA"/>
        </w:rPr>
      </w:pPr>
      <w:r w:rsidRPr="00EF6593">
        <w:rPr>
          <w:sz w:val="26"/>
          <w:szCs w:val="26"/>
          <w:rtl/>
          <w:lang w:val="en-CA"/>
        </w:rPr>
        <w:t xml:space="preserve">وإذ </w:t>
      </w:r>
      <w:r w:rsidR="00062AB2" w:rsidRPr="00EF6593">
        <w:rPr>
          <w:rFonts w:hint="cs"/>
          <w:sz w:val="26"/>
          <w:szCs w:val="26"/>
          <w:rtl/>
          <w:lang w:val="en-CA"/>
        </w:rPr>
        <w:t>ت</w:t>
      </w:r>
      <w:r w:rsidRPr="00EF6593">
        <w:rPr>
          <w:sz w:val="26"/>
          <w:szCs w:val="26"/>
          <w:rtl/>
          <w:lang w:val="en-CA"/>
        </w:rPr>
        <w:t>درك الأمانة الضرورة الملحة للموافقة</w:t>
      </w:r>
      <w:r w:rsidRPr="0063787E">
        <w:rPr>
          <w:sz w:val="26"/>
          <w:szCs w:val="26"/>
          <w:rtl/>
          <w:lang w:val="en-CA"/>
        </w:rPr>
        <w:t xml:space="preserve"> على مقترح مشروع الرقابة على انبعاثات المنتج الثانوي الهيدروفلوروكربون-23 في الأرجنتين بالنظر إلى التزام الرقابة في 1 يناير/كانون الثاني 2020 لذلك الطرف بتعديل كيغالي، فقد طلبت الأمانة معلومات من اليونيدو تتعلق بإنتاج الهيدروكلوروفلوروكربون-22 لعام 2019 في شركة فياسا، والتأثير المحتمل للأزمة الاقتصادية في أغسطس/آب 2019 فيما يتعلق بشركة فياسا، وإدار</w:t>
      </w:r>
      <w:r w:rsidR="00062AB2">
        <w:rPr>
          <w:rFonts w:hint="cs"/>
          <w:sz w:val="26"/>
          <w:szCs w:val="26"/>
          <w:rtl/>
          <w:lang w:val="en-CA"/>
        </w:rPr>
        <w:t>تها</w:t>
      </w:r>
      <w:r w:rsidRPr="0063787E">
        <w:rPr>
          <w:sz w:val="26"/>
          <w:szCs w:val="26"/>
          <w:rtl/>
          <w:lang w:val="en-CA"/>
        </w:rPr>
        <w:t xml:space="preserve"> </w:t>
      </w:r>
      <w:r w:rsidR="00062AB2">
        <w:rPr>
          <w:rFonts w:hint="cs"/>
          <w:sz w:val="26"/>
          <w:szCs w:val="26"/>
          <w:rtl/>
          <w:lang w:val="en-CA"/>
        </w:rPr>
        <w:t>ل</w:t>
      </w:r>
      <w:r w:rsidRPr="0063787E">
        <w:rPr>
          <w:sz w:val="26"/>
          <w:szCs w:val="26"/>
          <w:rtl/>
          <w:lang w:val="en-CA"/>
        </w:rPr>
        <w:t>لمنتج الثانوي الهيدروفلوروكربون-23.</w:t>
      </w:r>
    </w:p>
    <w:p w14:paraId="0771CA11" w14:textId="0E81903C" w:rsidR="001C36B9" w:rsidRPr="00EA5F00" w:rsidRDefault="00501D41" w:rsidP="00031651">
      <w:pPr>
        <w:pStyle w:val="Heading1"/>
        <w:numPr>
          <w:ilvl w:val="0"/>
          <w:numId w:val="7"/>
        </w:numPr>
        <w:bidi/>
        <w:rPr>
          <w:sz w:val="26"/>
          <w:szCs w:val="26"/>
          <w:lang w:val="en-CA"/>
        </w:rPr>
      </w:pPr>
      <w:r w:rsidRPr="00501D41">
        <w:rPr>
          <w:sz w:val="26"/>
          <w:szCs w:val="26"/>
          <w:rtl/>
          <w:lang w:val="en-CA"/>
        </w:rPr>
        <w:t xml:space="preserve">تعرض هذه الوثيقة المعلومات الإضافية التي قدمتها اليونيدو، وتحليلاً مُحدَّثاً من جانب الأمانة، والآراء التي أعربت عنها حكومة الأرجنتين، والاستنتاجات والتوصيات. </w:t>
      </w:r>
      <w:r w:rsidR="00062AB2">
        <w:rPr>
          <w:rFonts w:hint="cs"/>
          <w:sz w:val="26"/>
          <w:szCs w:val="26"/>
          <w:rtl/>
          <w:lang w:val="en-CA"/>
        </w:rPr>
        <w:t>بغرض</w:t>
      </w:r>
      <w:r w:rsidR="001A0298">
        <w:rPr>
          <w:rFonts w:hint="cs"/>
          <w:sz w:val="26"/>
          <w:szCs w:val="26"/>
          <w:rtl/>
          <w:lang w:val="en-CA"/>
        </w:rPr>
        <w:t xml:space="preserve"> </w:t>
      </w:r>
      <w:r w:rsidRPr="00501D41">
        <w:rPr>
          <w:sz w:val="26"/>
          <w:szCs w:val="26"/>
          <w:rtl/>
          <w:lang w:val="en-CA"/>
        </w:rPr>
        <w:t>مراجعة وتحديث التحليلات، طلبت الأمانة مشورة فنية واقتصادية من المستشار المستقل الذي سبق له أن ساعد في مراجعة المشروع. وبغية تسهيل نظر اللجنة التنفيذية في المعلومات الإضافية والتحليلات الإضافية، فقد أرفقت الأمانة وثيقة المشروع من الاجتماع الرابع والثمانين بهذه الوثيقة.</w:t>
      </w:r>
    </w:p>
    <w:p w14:paraId="45FE98C2" w14:textId="77777777" w:rsidR="001C2250" w:rsidRPr="001C2250" w:rsidRDefault="00CD1B40" w:rsidP="001C2250">
      <w:pPr>
        <w:bidi/>
        <w:spacing w:after="240"/>
        <w:rPr>
          <w:sz w:val="26"/>
          <w:szCs w:val="26"/>
          <w:u w:val="single"/>
          <w:lang w:val="en-CA"/>
        </w:rPr>
      </w:pPr>
      <w:r w:rsidRPr="00CD1B40">
        <w:rPr>
          <w:sz w:val="26"/>
          <w:szCs w:val="26"/>
          <w:u w:val="single"/>
          <w:rtl/>
          <w:lang w:val="en-CA"/>
        </w:rPr>
        <w:t>تحديث حول حالة إنتاج الهيدروكلوروفلوروكربون-22 والرقابة على المنتج الثانوي الهيدروفلوروكربون-23</w:t>
      </w:r>
      <w:r>
        <w:rPr>
          <w:rFonts w:hint="cs"/>
          <w:sz w:val="26"/>
          <w:szCs w:val="26"/>
          <w:u w:val="single"/>
          <w:rtl/>
          <w:lang w:val="en-CA"/>
        </w:rPr>
        <w:t xml:space="preserve"> لدى شركة فياسا</w:t>
      </w:r>
    </w:p>
    <w:p w14:paraId="06E618AD" w14:textId="77777777" w:rsidR="001C36B9" w:rsidRPr="00EA5F00" w:rsidRDefault="00B319C5" w:rsidP="00031651">
      <w:pPr>
        <w:pStyle w:val="Heading1"/>
        <w:numPr>
          <w:ilvl w:val="0"/>
          <w:numId w:val="7"/>
        </w:numPr>
        <w:bidi/>
        <w:rPr>
          <w:sz w:val="26"/>
          <w:szCs w:val="26"/>
          <w:lang w:val="en-CA"/>
        </w:rPr>
      </w:pPr>
      <w:r>
        <w:rPr>
          <w:rFonts w:hint="cs"/>
          <w:sz w:val="26"/>
          <w:szCs w:val="26"/>
          <w:rtl/>
          <w:lang w:val="en-CA"/>
        </w:rPr>
        <w:t>أ</w:t>
      </w:r>
      <w:r w:rsidR="007F1D90" w:rsidRPr="007F1D90">
        <w:rPr>
          <w:sz w:val="26"/>
          <w:szCs w:val="26"/>
          <w:rtl/>
          <w:lang w:val="en-CA"/>
        </w:rPr>
        <w:t>نتجت فياسا 1,606 طن متري من الهيدروكلوروفلوروكربون-22 في عام 2019، بزيادة بلغت نسبة 35 في المائة مقارنة بعام 2018؛ في حين زادت المبيعات في عام 2019 بنسبة 14 في المائة مقارنةً بعام 2018. وبالمقارنة مع عام 2018، ارتفع متوسط سعر الهيدروكلوروفلوروكربون-22 المباعِ من قِبل فياسا بنسبة 121 في المائة بعملة البيزو الأرجنتيني (أي أكثر من الضعف) في عام 2019، وبنسبة 200 في المائة تقريباً (أي ما يقرب ثلاثة أضعاف) في يناير/كانون الثاني 2020.</w:t>
      </w:r>
    </w:p>
    <w:p w14:paraId="683F02EE" w14:textId="27CF6F01" w:rsidR="001C36B9" w:rsidRPr="00EA5F00" w:rsidRDefault="000245B4" w:rsidP="00031651">
      <w:pPr>
        <w:pStyle w:val="Heading1"/>
        <w:numPr>
          <w:ilvl w:val="0"/>
          <w:numId w:val="7"/>
        </w:numPr>
        <w:bidi/>
        <w:rPr>
          <w:sz w:val="26"/>
          <w:szCs w:val="26"/>
          <w:lang w:val="en-CA"/>
        </w:rPr>
      </w:pPr>
      <w:r w:rsidRPr="000245B4">
        <w:rPr>
          <w:sz w:val="26"/>
          <w:szCs w:val="26"/>
          <w:rtl/>
          <w:lang w:val="en-CA"/>
        </w:rPr>
        <w:t>استناداً إلى بيانات الإنتاج والمبيعات</w:t>
      </w:r>
      <w:r w:rsidR="0098419C">
        <w:rPr>
          <w:rStyle w:val="FootnoteReference"/>
          <w:sz w:val="26"/>
          <w:szCs w:val="26"/>
          <w:rtl/>
          <w:lang w:val="en-CA"/>
        </w:rPr>
        <w:footnoteReference w:id="6"/>
      </w:r>
      <w:r w:rsidRPr="000245B4">
        <w:rPr>
          <w:sz w:val="26"/>
          <w:szCs w:val="26"/>
          <w:rtl/>
          <w:lang w:val="en-CA"/>
        </w:rPr>
        <w:t xml:space="preserve"> من عام 2014 حتى عام 2019، بلغ مخزون نهاية العام لدى شركة فياسا من الهيدروكلوروفلوروكربون-22 في عام 2019 حوالي 353 طن متري، أي ما يمثل حوالي 25 في المائة من إجمالي مبيعاتها لعام 2019. ورغم هذه المخزونات، فقد واصلت فياسا إنتاج الهيدروكلوروفلوروكربون-22 في عام 2020. وبناءً على ذلك، يستمر إطلاق انبعاثات المنتج الثانوي الهيدروفلوروكربون-23 في </w:t>
      </w:r>
      <w:r w:rsidR="0098419C">
        <w:rPr>
          <w:rFonts w:hint="cs"/>
          <w:sz w:val="26"/>
          <w:szCs w:val="26"/>
          <w:rtl/>
          <w:lang w:val="en-CA"/>
        </w:rPr>
        <w:t>الهواء</w:t>
      </w:r>
      <w:r w:rsidRPr="000245B4">
        <w:rPr>
          <w:sz w:val="26"/>
          <w:szCs w:val="26"/>
          <w:rtl/>
          <w:lang w:val="en-CA"/>
        </w:rPr>
        <w:t xml:space="preserve"> الجوي.</w:t>
      </w:r>
    </w:p>
    <w:p w14:paraId="772AA4F5" w14:textId="5CC2F5E6" w:rsidR="00882EF8" w:rsidRPr="00EF6593" w:rsidRDefault="00882EF8" w:rsidP="00882EF8">
      <w:pPr>
        <w:pStyle w:val="Heading1"/>
        <w:numPr>
          <w:ilvl w:val="0"/>
          <w:numId w:val="7"/>
        </w:numPr>
        <w:bidi/>
        <w:rPr>
          <w:sz w:val="26"/>
          <w:szCs w:val="26"/>
          <w:lang w:val="en-CA"/>
        </w:rPr>
      </w:pPr>
      <w:r w:rsidRPr="00EF6593">
        <w:rPr>
          <w:sz w:val="26"/>
          <w:szCs w:val="26"/>
          <w:rtl/>
          <w:lang w:val="en-CA"/>
        </w:rPr>
        <w:t xml:space="preserve">في عام 2014، تم تشغيل خط فياسا لإنتاج الهيدروكلوروفلوروكربون-22 معظم أيام السنة (حوالي 78 في المائة من الأيام)؛ وبحلول عام 2018، كان خط فياسا لإنتاج الهيدروكلوروفلوروكربون-22 يعمل </w:t>
      </w:r>
      <w:r w:rsidRPr="00EF6593">
        <w:rPr>
          <w:rFonts w:hint="cs"/>
          <w:sz w:val="26"/>
          <w:szCs w:val="26"/>
          <w:rtl/>
          <w:lang w:val="en-CA"/>
        </w:rPr>
        <w:t>بحدود</w:t>
      </w:r>
      <w:r w:rsidRPr="00EF6593">
        <w:rPr>
          <w:sz w:val="26"/>
          <w:szCs w:val="26"/>
          <w:rtl/>
          <w:lang w:val="en-CA"/>
        </w:rPr>
        <w:t xml:space="preserve"> 41 في المائة </w:t>
      </w:r>
      <w:r w:rsidRPr="00EF6593">
        <w:rPr>
          <w:sz w:val="26"/>
          <w:szCs w:val="26"/>
          <w:rtl/>
          <w:lang w:val="en-CA"/>
        </w:rPr>
        <w:lastRenderedPageBreak/>
        <w:t xml:space="preserve">من الأيام؛ وفي عام 2019، ارتفع عدد أيام التشغيل بنسبة 38 في المائة مقارنة بعام 2018. ورغم بعض التغيرات التي شهدتها دورة </w:t>
      </w:r>
      <w:r w:rsidRPr="00EF6593">
        <w:rPr>
          <w:rFonts w:hint="cs"/>
          <w:sz w:val="26"/>
          <w:szCs w:val="26"/>
          <w:rtl/>
          <w:lang w:val="en-CA"/>
        </w:rPr>
        <w:t>تناوب</w:t>
      </w:r>
      <w:r w:rsidRPr="00EF6593">
        <w:rPr>
          <w:sz w:val="26"/>
          <w:szCs w:val="26"/>
          <w:rtl/>
          <w:lang w:val="en-CA"/>
        </w:rPr>
        <w:t xml:space="preserve"> الموظفين، إلا</w:t>
      </w:r>
      <w:r w:rsidR="007E4772">
        <w:rPr>
          <w:rFonts w:hint="cs"/>
          <w:sz w:val="26"/>
          <w:szCs w:val="26"/>
          <w:rtl/>
          <w:lang w:val="en-CA"/>
        </w:rPr>
        <w:t xml:space="preserve"> أن</w:t>
      </w:r>
      <w:r w:rsidRPr="00EF6593">
        <w:rPr>
          <w:sz w:val="26"/>
          <w:szCs w:val="26"/>
          <w:rtl/>
          <w:lang w:val="en-CA"/>
        </w:rPr>
        <w:t xml:space="preserve"> عدد الموظفين الذين يعملون على خط فياسا لإنتاج الهيدروكلوروفلوروكربون-22 لم يتغير مقارنة بعام 2018.</w:t>
      </w:r>
    </w:p>
    <w:p w14:paraId="0FF1F04A" w14:textId="77777777" w:rsidR="003434B5" w:rsidRPr="00EF6593" w:rsidRDefault="00F86299" w:rsidP="000939D5">
      <w:pPr>
        <w:bidi/>
        <w:spacing w:after="240"/>
        <w:rPr>
          <w:sz w:val="26"/>
          <w:szCs w:val="26"/>
          <w:u w:val="single"/>
          <w:lang w:val="en-CA"/>
        </w:rPr>
      </w:pPr>
      <w:r w:rsidRPr="00EF6593">
        <w:rPr>
          <w:sz w:val="26"/>
          <w:szCs w:val="26"/>
          <w:u w:val="single"/>
          <w:rtl/>
          <w:lang w:val="en-CA"/>
        </w:rPr>
        <w:t>تحديث عن الوضع الاقتصادي في الأرجنتين</w:t>
      </w:r>
    </w:p>
    <w:p w14:paraId="2CE0989B" w14:textId="77777777" w:rsidR="001C36B9" w:rsidRPr="00EA5F00" w:rsidRDefault="00AA3097" w:rsidP="00031651">
      <w:pPr>
        <w:pStyle w:val="Heading1"/>
        <w:numPr>
          <w:ilvl w:val="0"/>
          <w:numId w:val="7"/>
        </w:numPr>
        <w:bidi/>
        <w:rPr>
          <w:sz w:val="26"/>
          <w:szCs w:val="26"/>
          <w:lang w:val="en-CA"/>
        </w:rPr>
      </w:pPr>
      <w:r w:rsidRPr="00AA3097">
        <w:rPr>
          <w:sz w:val="26"/>
          <w:szCs w:val="26"/>
          <w:rtl/>
          <w:lang w:val="en-CA"/>
        </w:rPr>
        <w:t xml:space="preserve">أفادت إحدى المنشورات الصادرة عام 2019 عن مجموعة البنك الدولي أن الأرجنتين في حالة </w:t>
      </w:r>
      <w:r w:rsidRPr="008B6D83">
        <w:rPr>
          <w:sz w:val="26"/>
          <w:szCs w:val="26"/>
          <w:rtl/>
          <w:lang w:val="en-CA"/>
        </w:rPr>
        <w:t>توازن اقتصادي غير مستقر</w:t>
      </w:r>
      <w:r w:rsidR="00AF5D5A" w:rsidRPr="008B6D83">
        <w:rPr>
          <w:rStyle w:val="FootnoteReference"/>
          <w:sz w:val="26"/>
          <w:szCs w:val="26"/>
          <w:rtl/>
          <w:lang w:val="en-CA"/>
        </w:rPr>
        <w:footnoteReference w:id="7"/>
      </w:r>
      <w:r w:rsidRPr="00AA3097">
        <w:rPr>
          <w:sz w:val="26"/>
          <w:szCs w:val="26"/>
          <w:rtl/>
          <w:lang w:val="en-CA"/>
        </w:rPr>
        <w:t xml:space="preserve">. وانخفضت قيمة البيزو الأرجنتيني بشكل ملحوظ في عام 2019 حيث بلغ التضخم السنوي نسبة 54 في المائة، وانكمش الناتج المحلي الإجمالي بنسبة 2.5 في المائة في عام 2018 ليعاود الانكماش مرة أخرى بنسبة 2.5 في المائة في النصف الأول من عام 2019. واعتباراً من 1 مايو/أيار 2020، فقد البيزو الأرجنتيني 60 في المائة من قيمته بالنسبة لمتوسط سعر الصرف لعام 2018 (الرسم </w:t>
      </w:r>
      <w:r w:rsidR="002A32B6">
        <w:rPr>
          <w:rFonts w:hint="cs"/>
          <w:sz w:val="26"/>
          <w:szCs w:val="26"/>
          <w:rtl/>
          <w:lang w:val="en-CA"/>
        </w:rPr>
        <w:t>البياني</w:t>
      </w:r>
      <w:r w:rsidRPr="00AA3097">
        <w:rPr>
          <w:sz w:val="26"/>
          <w:szCs w:val="26"/>
          <w:rtl/>
          <w:lang w:val="en-CA"/>
        </w:rPr>
        <w:t xml:space="preserve"> 1)، بينما انخفض معدل التضخم ليصل إلى 50 في المائة في فبراير/شباط 2020.</w:t>
      </w:r>
    </w:p>
    <w:p w14:paraId="441D1D5A" w14:textId="77777777" w:rsidR="000939D5" w:rsidRPr="000939D5" w:rsidRDefault="007229CB" w:rsidP="002A32B6">
      <w:pPr>
        <w:bidi/>
        <w:spacing w:after="240"/>
        <w:jc w:val="center"/>
        <w:rPr>
          <w:b/>
          <w:bCs/>
          <w:sz w:val="26"/>
          <w:szCs w:val="26"/>
          <w:lang w:val="en-CA"/>
        </w:rPr>
      </w:pPr>
      <w:r w:rsidRPr="007229CB">
        <w:rPr>
          <w:b/>
          <w:bCs/>
          <w:sz w:val="26"/>
          <w:szCs w:val="26"/>
          <w:rtl/>
          <w:lang w:val="en-CA"/>
        </w:rPr>
        <w:t xml:space="preserve">الرسم </w:t>
      </w:r>
      <w:r w:rsidR="002A32B6">
        <w:rPr>
          <w:rFonts w:hint="cs"/>
          <w:b/>
          <w:bCs/>
          <w:sz w:val="26"/>
          <w:szCs w:val="26"/>
          <w:rtl/>
          <w:lang w:val="en-CA"/>
        </w:rPr>
        <w:t>البياني</w:t>
      </w:r>
      <w:r w:rsidRPr="007229CB">
        <w:rPr>
          <w:b/>
          <w:bCs/>
          <w:sz w:val="26"/>
          <w:szCs w:val="26"/>
          <w:rtl/>
          <w:lang w:val="en-CA"/>
        </w:rPr>
        <w:t xml:space="preserve"> 1: سعر الصرف: البيزو مقابل الدولار الأمريكي</w:t>
      </w:r>
    </w:p>
    <w:p w14:paraId="2BFBD7F8" w14:textId="77777777" w:rsidR="00E235DE" w:rsidRPr="00B941B3" w:rsidRDefault="00E235DE" w:rsidP="00E235DE">
      <w:pPr>
        <w:jc w:val="center"/>
        <w:rPr>
          <w:lang w:val="en-CA"/>
        </w:rPr>
      </w:pPr>
      <w:r w:rsidRPr="00B941B3">
        <w:rPr>
          <w:noProof/>
          <w:lang w:val="en-US"/>
        </w:rPr>
        <w:drawing>
          <wp:inline distT="0" distB="0" distL="0" distR="0" wp14:anchorId="7B6CFB86" wp14:editId="1EFA4216">
            <wp:extent cx="4000086" cy="3236181"/>
            <wp:effectExtent l="0" t="0" r="635" b="254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7990980" w14:textId="77777777" w:rsidR="00BA0CE2" w:rsidRPr="00B941B3" w:rsidRDefault="00BA0CE2" w:rsidP="00E235DE">
      <w:pPr>
        <w:rPr>
          <w:lang w:val="en-CA"/>
        </w:rPr>
      </w:pPr>
    </w:p>
    <w:p w14:paraId="558AFCCC" w14:textId="35078561" w:rsidR="001C36B9" w:rsidRPr="00EA5F00" w:rsidRDefault="00EC0A59" w:rsidP="00031651">
      <w:pPr>
        <w:pStyle w:val="Heading1"/>
        <w:numPr>
          <w:ilvl w:val="0"/>
          <w:numId w:val="7"/>
        </w:numPr>
        <w:bidi/>
        <w:rPr>
          <w:sz w:val="26"/>
          <w:szCs w:val="26"/>
          <w:lang w:val="en-CA"/>
        </w:rPr>
      </w:pPr>
      <w:r w:rsidRPr="00EC0A59">
        <w:rPr>
          <w:sz w:val="26"/>
          <w:szCs w:val="26"/>
          <w:rtl/>
          <w:lang w:val="en-CA"/>
        </w:rPr>
        <w:t>في ظل الوضع الاقتصادي السائد في البلاد، أصدرت وزارة العدل وحقوق الإنسان بتاريخ 13 ديسمبر/كانون الأول 2019 مرسوماً يتعلق بحالة الطوارئ العامة في المسائل المهنية</w:t>
      </w:r>
      <w:r w:rsidR="006C7903">
        <w:rPr>
          <w:rStyle w:val="FootnoteReference"/>
          <w:sz w:val="26"/>
          <w:szCs w:val="26"/>
          <w:rtl/>
          <w:lang w:val="en-CA"/>
        </w:rPr>
        <w:footnoteReference w:id="8"/>
      </w:r>
      <w:r w:rsidRPr="00EC0A59">
        <w:rPr>
          <w:sz w:val="26"/>
          <w:szCs w:val="26"/>
          <w:rtl/>
          <w:lang w:val="en-CA"/>
        </w:rPr>
        <w:t>، والذي يمنح العمال المفصولين دون سبب عادل الحق في الحصول على ضعف التعويض المستحق وفقاً للتشريع الحالي؛ حيث صدر ال</w:t>
      </w:r>
      <w:r w:rsidR="001A748E">
        <w:rPr>
          <w:rFonts w:hint="cs"/>
          <w:sz w:val="26"/>
          <w:szCs w:val="26"/>
          <w:rtl/>
          <w:lang w:val="en-NZ" w:bidi="ar-SY"/>
        </w:rPr>
        <w:t>مرسوم</w:t>
      </w:r>
      <w:r w:rsidRPr="00EC0A59">
        <w:rPr>
          <w:sz w:val="26"/>
          <w:szCs w:val="26"/>
          <w:rtl/>
          <w:lang w:val="en-CA"/>
        </w:rPr>
        <w:t xml:space="preserve"> لمدة 180 يوماً.</w:t>
      </w:r>
    </w:p>
    <w:p w14:paraId="35781D4A" w14:textId="62B22736" w:rsidR="001C36B9" w:rsidRPr="00EA5F00" w:rsidRDefault="001D3255" w:rsidP="00031651">
      <w:pPr>
        <w:pStyle w:val="Heading1"/>
        <w:numPr>
          <w:ilvl w:val="0"/>
          <w:numId w:val="7"/>
        </w:numPr>
        <w:bidi/>
        <w:rPr>
          <w:sz w:val="26"/>
          <w:szCs w:val="26"/>
          <w:lang w:val="en-CA"/>
        </w:rPr>
      </w:pPr>
      <w:r w:rsidRPr="001D3255">
        <w:rPr>
          <w:sz w:val="26"/>
          <w:szCs w:val="26"/>
          <w:rtl/>
          <w:lang w:val="en-CA"/>
        </w:rPr>
        <w:t xml:space="preserve">بناءً على المعلومات الواردة من المصرف المركزي لجمهورية الأرجنتين، فقد تراوح سعر الفائدة الاسمي السنوي على قروض القطاع الخاص بالعملة الوطنية (أي سعر الفائدة الذي يمكن </w:t>
      </w:r>
      <w:r w:rsidR="009316AA">
        <w:rPr>
          <w:rFonts w:hint="cs"/>
          <w:sz w:val="26"/>
          <w:szCs w:val="26"/>
          <w:rtl/>
          <w:lang w:val="en-CA"/>
        </w:rPr>
        <w:t>للشركة</w:t>
      </w:r>
      <w:r w:rsidRPr="001D3255">
        <w:rPr>
          <w:sz w:val="26"/>
          <w:szCs w:val="26"/>
          <w:rtl/>
          <w:lang w:val="en-CA"/>
        </w:rPr>
        <w:t xml:space="preserve"> توقع دفعه للحصول على قرض) بين 60.7 و84.7 في المائة في عام 2019، بمتوسط</w:t>
      </w:r>
      <w:r w:rsidR="004516EE">
        <w:rPr>
          <w:rFonts w:hint="cs"/>
          <w:sz w:val="26"/>
          <w:szCs w:val="26"/>
          <w:rtl/>
          <w:lang w:val="en-CA"/>
        </w:rPr>
        <w:t xml:space="preserve"> قدره</w:t>
      </w:r>
      <w:r w:rsidRPr="001D3255">
        <w:rPr>
          <w:sz w:val="26"/>
          <w:szCs w:val="26"/>
          <w:rtl/>
          <w:lang w:val="en-CA"/>
        </w:rPr>
        <w:t xml:space="preserve"> 70.9 في المائة، حيث انخفض معدل الفائدة الاسمي إلى 53.1 في المائة في شهر فبراير/شباط 2020. في حين يتراوح معدل الفائدة على الودائع (أي معدل العائد الذي </w:t>
      </w:r>
      <w:r w:rsidRPr="001D3255">
        <w:rPr>
          <w:sz w:val="26"/>
          <w:szCs w:val="26"/>
          <w:rtl/>
          <w:lang w:val="en-CA"/>
        </w:rPr>
        <w:lastRenderedPageBreak/>
        <w:t xml:space="preserve">يمكن أن تتوقعه </w:t>
      </w:r>
      <w:r w:rsidR="009316AA">
        <w:rPr>
          <w:rFonts w:hint="cs"/>
          <w:sz w:val="26"/>
          <w:szCs w:val="26"/>
          <w:rtl/>
          <w:lang w:val="en-CA"/>
        </w:rPr>
        <w:t>الشركة</w:t>
      </w:r>
      <w:r w:rsidRPr="001D3255">
        <w:rPr>
          <w:sz w:val="26"/>
          <w:szCs w:val="26"/>
          <w:rtl/>
          <w:lang w:val="en-CA"/>
        </w:rPr>
        <w:t xml:space="preserve"> عند إيداع الأموال) في عام 2019 بين 34.6 و59.5 في المائة، بمتوسط</w:t>
      </w:r>
      <w:r w:rsidR="004516EE">
        <w:rPr>
          <w:rFonts w:hint="cs"/>
          <w:sz w:val="26"/>
          <w:szCs w:val="26"/>
          <w:rtl/>
          <w:lang w:val="en-CA"/>
        </w:rPr>
        <w:t xml:space="preserve"> قدره</w:t>
      </w:r>
      <w:r w:rsidRPr="001D3255">
        <w:rPr>
          <w:sz w:val="26"/>
          <w:szCs w:val="26"/>
          <w:rtl/>
          <w:lang w:val="en-CA"/>
        </w:rPr>
        <w:t xml:space="preserve"> 47.6 في المائة؛ وبلغ آخر سعر (بتاريخ 30 ديسمبر/كانون الأول 2019) نسبة 38.1 في المائة.</w:t>
      </w:r>
    </w:p>
    <w:p w14:paraId="47E59169" w14:textId="77777777" w:rsidR="000F2FE5" w:rsidRPr="00E36F17" w:rsidRDefault="006C7903" w:rsidP="00E36F17">
      <w:pPr>
        <w:bidi/>
        <w:spacing w:after="240"/>
        <w:rPr>
          <w:sz w:val="26"/>
          <w:szCs w:val="26"/>
          <w:u w:val="single"/>
          <w:lang w:val="en-CA"/>
        </w:rPr>
      </w:pPr>
      <w:r w:rsidRPr="006C7903">
        <w:rPr>
          <w:sz w:val="26"/>
          <w:szCs w:val="26"/>
          <w:u w:val="single"/>
          <w:rtl/>
          <w:lang w:val="en-CA"/>
        </w:rPr>
        <w:t>التغييرات التي اقترحتها حكومة الأرجنتين على مقترح المشروع المقدم في الاجتماع الرابع والثمانين</w:t>
      </w:r>
    </w:p>
    <w:p w14:paraId="51BF268E" w14:textId="77777777" w:rsidR="001C36B9" w:rsidRPr="00EA5F00" w:rsidRDefault="00A02A22" w:rsidP="00031651">
      <w:pPr>
        <w:pStyle w:val="Heading1"/>
        <w:numPr>
          <w:ilvl w:val="0"/>
          <w:numId w:val="7"/>
        </w:numPr>
        <w:bidi/>
        <w:rPr>
          <w:sz w:val="26"/>
          <w:szCs w:val="26"/>
          <w:lang w:val="en-CA"/>
        </w:rPr>
      </w:pPr>
      <w:r w:rsidRPr="00A02A22">
        <w:rPr>
          <w:sz w:val="26"/>
          <w:szCs w:val="26"/>
          <w:rtl/>
          <w:lang w:val="en-CA"/>
        </w:rPr>
        <w:t>طلبت حكومة الأرجنتين، من خلال اليونيدو، بالنسبة لخيار الإغلاق، أن تكون مكافئات نهاية خدمة الموظفين 3,805,567 دولار أمريكي (بدلاً من 1,189,000 دولار يتعين دفعها في الاجتماع الرابع والثمانين) استناداً إلى ما يلي:</w:t>
      </w:r>
    </w:p>
    <w:p w14:paraId="2E58681C" w14:textId="7C949ECB" w:rsidR="00E36F17" w:rsidRPr="00E36F17" w:rsidRDefault="008C6F53" w:rsidP="00031651">
      <w:pPr>
        <w:pStyle w:val="ListParagraph"/>
        <w:numPr>
          <w:ilvl w:val="0"/>
          <w:numId w:val="9"/>
        </w:numPr>
        <w:bidi/>
        <w:spacing w:after="240"/>
        <w:ind w:left="1440" w:hanging="720"/>
        <w:contextualSpacing w:val="0"/>
        <w:rPr>
          <w:sz w:val="26"/>
          <w:szCs w:val="26"/>
          <w:lang w:val="en-CA"/>
        </w:rPr>
      </w:pPr>
      <w:r w:rsidRPr="008C6F53">
        <w:rPr>
          <w:sz w:val="26"/>
          <w:szCs w:val="26"/>
          <w:rtl/>
          <w:lang w:val="en-CA"/>
        </w:rPr>
        <w:t>مضاعفة تعويضات العاملين بموجب المرسوم الصادر عن وزارة العدل وحقوق الإنسان ال</w:t>
      </w:r>
      <w:r w:rsidR="00D34464">
        <w:rPr>
          <w:rFonts w:hint="cs"/>
          <w:sz w:val="26"/>
          <w:szCs w:val="26"/>
          <w:rtl/>
          <w:lang w:val="en-CA"/>
        </w:rPr>
        <w:t>معمول به</w:t>
      </w:r>
      <w:r w:rsidR="001C5231">
        <w:rPr>
          <w:rFonts w:hint="cs"/>
          <w:sz w:val="26"/>
          <w:szCs w:val="26"/>
          <w:rtl/>
          <w:lang w:val="en-CA"/>
        </w:rPr>
        <w:t xml:space="preserve"> حالياً</w:t>
      </w:r>
      <w:r w:rsidRPr="008C6F53">
        <w:rPr>
          <w:sz w:val="26"/>
          <w:szCs w:val="26"/>
          <w:rtl/>
          <w:lang w:val="en-CA"/>
        </w:rPr>
        <w:t>؛</w:t>
      </w:r>
    </w:p>
    <w:p w14:paraId="353E8B09" w14:textId="77777777" w:rsidR="00E36F17" w:rsidRPr="00E36F17" w:rsidRDefault="003343C5" w:rsidP="00031651">
      <w:pPr>
        <w:pStyle w:val="ListParagraph"/>
        <w:numPr>
          <w:ilvl w:val="0"/>
          <w:numId w:val="9"/>
        </w:numPr>
        <w:bidi/>
        <w:spacing w:after="240"/>
        <w:ind w:left="1440" w:hanging="720"/>
        <w:contextualSpacing w:val="0"/>
        <w:rPr>
          <w:sz w:val="26"/>
          <w:szCs w:val="26"/>
          <w:lang w:val="en-CA"/>
        </w:rPr>
      </w:pPr>
      <w:r w:rsidRPr="003343C5">
        <w:rPr>
          <w:sz w:val="26"/>
          <w:szCs w:val="26"/>
          <w:rtl/>
          <w:lang w:val="en-CA"/>
        </w:rPr>
        <w:t xml:space="preserve">تحديث رواتب العمال لتعكس زيادة الأجور وعدد </w:t>
      </w:r>
      <w:r>
        <w:rPr>
          <w:rFonts w:hint="cs"/>
          <w:sz w:val="26"/>
          <w:szCs w:val="26"/>
          <w:rtl/>
          <w:lang w:val="en-CA"/>
        </w:rPr>
        <w:t>سنوات الخدمة</w:t>
      </w:r>
      <w:r w:rsidRPr="003343C5">
        <w:rPr>
          <w:sz w:val="26"/>
          <w:szCs w:val="26"/>
          <w:rtl/>
          <w:lang w:val="en-CA"/>
        </w:rPr>
        <w:t xml:space="preserve"> التي وظفت فيها شركة فياسا كلَ موظف، وهما عاملان يُستخدمان لتحديد إنهاء الخدمة المؤهل؛</w:t>
      </w:r>
    </w:p>
    <w:p w14:paraId="3763B1ED" w14:textId="77777777" w:rsidR="00E36F17" w:rsidRPr="00E36F17" w:rsidRDefault="00680CFA" w:rsidP="00031651">
      <w:pPr>
        <w:pStyle w:val="ListParagraph"/>
        <w:numPr>
          <w:ilvl w:val="0"/>
          <w:numId w:val="9"/>
        </w:numPr>
        <w:bidi/>
        <w:spacing w:after="240"/>
        <w:ind w:left="1440" w:hanging="720"/>
        <w:contextualSpacing w:val="0"/>
        <w:rPr>
          <w:sz w:val="26"/>
          <w:szCs w:val="26"/>
          <w:lang w:val="en-CA"/>
        </w:rPr>
      </w:pPr>
      <w:r w:rsidRPr="008B6D83">
        <w:rPr>
          <w:rFonts w:hint="eastAsia"/>
          <w:sz w:val="26"/>
          <w:szCs w:val="26"/>
          <w:rtl/>
          <w:lang w:val="en-CA"/>
        </w:rPr>
        <w:t>تحديد</w:t>
      </w:r>
      <w:r>
        <w:rPr>
          <w:rFonts w:hint="cs"/>
          <w:sz w:val="26"/>
          <w:szCs w:val="26"/>
          <w:rtl/>
          <w:lang w:val="en-CA"/>
        </w:rPr>
        <w:t xml:space="preserve"> </w:t>
      </w:r>
      <w:r w:rsidRPr="00680CFA">
        <w:rPr>
          <w:sz w:val="26"/>
          <w:szCs w:val="26"/>
          <w:rtl/>
          <w:lang w:val="en-CA"/>
        </w:rPr>
        <w:t>سعر صرف قدره 65 بيزو أرجنتيني مقابل الدولار الأمريكي؛ و</w:t>
      </w:r>
    </w:p>
    <w:p w14:paraId="4F472D93" w14:textId="77777777" w:rsidR="00E36F17" w:rsidRPr="00E36F17" w:rsidRDefault="00634809" w:rsidP="00031651">
      <w:pPr>
        <w:pStyle w:val="ListParagraph"/>
        <w:numPr>
          <w:ilvl w:val="0"/>
          <w:numId w:val="9"/>
        </w:numPr>
        <w:bidi/>
        <w:spacing w:after="240"/>
        <w:ind w:left="1440" w:hanging="720"/>
        <w:contextualSpacing w:val="0"/>
        <w:rPr>
          <w:sz w:val="26"/>
          <w:szCs w:val="26"/>
          <w:lang w:val="en-CA"/>
        </w:rPr>
      </w:pPr>
      <w:r w:rsidRPr="00634809">
        <w:rPr>
          <w:sz w:val="26"/>
          <w:szCs w:val="26"/>
          <w:rtl/>
          <w:lang w:val="en-CA"/>
        </w:rPr>
        <w:t xml:space="preserve">تعويض 65 موظفاً بدلاً من 48 موظف مدرجٍ في اقتراح المشروع المقدم إلى الاجتماع الرابع والثمانين، حيث لم يعد نقل 20 موظفاً </w:t>
      </w:r>
      <w:r>
        <w:rPr>
          <w:rFonts w:hint="cs"/>
          <w:sz w:val="26"/>
          <w:szCs w:val="26"/>
          <w:rtl/>
          <w:lang w:val="en-CA"/>
        </w:rPr>
        <w:t>ممكناً</w:t>
      </w:r>
      <w:r w:rsidRPr="00634809">
        <w:rPr>
          <w:sz w:val="26"/>
          <w:szCs w:val="26"/>
          <w:rtl/>
          <w:lang w:val="en-CA"/>
        </w:rPr>
        <w:t>، مع التنويه إلى أن ثلاث</w:t>
      </w:r>
      <w:r>
        <w:rPr>
          <w:rFonts w:hint="cs"/>
          <w:sz w:val="26"/>
          <w:szCs w:val="26"/>
          <w:rtl/>
          <w:lang w:val="en-CA"/>
        </w:rPr>
        <w:t>ة</w:t>
      </w:r>
      <w:r w:rsidRPr="00634809">
        <w:rPr>
          <w:sz w:val="26"/>
          <w:szCs w:val="26"/>
          <w:rtl/>
          <w:lang w:val="en-CA"/>
        </w:rPr>
        <w:t xml:space="preserve"> موظفي</w:t>
      </w:r>
      <w:r>
        <w:rPr>
          <w:rFonts w:hint="cs"/>
          <w:sz w:val="26"/>
          <w:szCs w:val="26"/>
          <w:rtl/>
          <w:lang w:val="en-CA"/>
        </w:rPr>
        <w:t>ن تركوا</w:t>
      </w:r>
      <w:r w:rsidRPr="00634809">
        <w:rPr>
          <w:sz w:val="26"/>
          <w:szCs w:val="26"/>
          <w:rtl/>
          <w:lang w:val="en-CA"/>
        </w:rPr>
        <w:t xml:space="preserve"> </w:t>
      </w:r>
      <w:r>
        <w:rPr>
          <w:rFonts w:hint="cs"/>
          <w:sz w:val="26"/>
          <w:szCs w:val="26"/>
          <w:rtl/>
          <w:lang w:val="en-CA"/>
        </w:rPr>
        <w:t xml:space="preserve">شركة </w:t>
      </w:r>
      <w:r w:rsidRPr="00634809">
        <w:rPr>
          <w:sz w:val="26"/>
          <w:szCs w:val="26"/>
          <w:rtl/>
          <w:lang w:val="en-CA"/>
        </w:rPr>
        <w:t>فياسا.</w:t>
      </w:r>
    </w:p>
    <w:p w14:paraId="03AA7E09" w14:textId="77777777" w:rsidR="001C36B9" w:rsidRPr="00EA5F00" w:rsidRDefault="00FC7973" w:rsidP="00031651">
      <w:pPr>
        <w:pStyle w:val="Heading1"/>
        <w:numPr>
          <w:ilvl w:val="0"/>
          <w:numId w:val="7"/>
        </w:numPr>
        <w:bidi/>
        <w:rPr>
          <w:sz w:val="26"/>
          <w:szCs w:val="26"/>
          <w:lang w:val="en-CA"/>
        </w:rPr>
      </w:pPr>
      <w:r w:rsidRPr="00FC7973">
        <w:rPr>
          <w:sz w:val="26"/>
          <w:szCs w:val="26"/>
          <w:rtl/>
          <w:lang w:val="en-CA"/>
        </w:rPr>
        <w:t>أوضحت اليونيدو كذلك أن الحكومة لا تستطيع إلزام فياسا بإغلاق خط إنتاج الهيدروكلوروفلوروكربون-22؛ إذ سيعتمد الإغلاق على عقد تعويض مع فياسا.</w:t>
      </w:r>
    </w:p>
    <w:p w14:paraId="446AD807" w14:textId="77777777" w:rsidR="00B7427D" w:rsidRPr="00E36F17" w:rsidRDefault="00BC333A" w:rsidP="00E36F17">
      <w:pPr>
        <w:bidi/>
        <w:spacing w:after="240"/>
        <w:rPr>
          <w:b/>
          <w:bCs/>
          <w:sz w:val="26"/>
          <w:szCs w:val="26"/>
          <w:lang w:val="en-CA"/>
        </w:rPr>
      </w:pPr>
      <w:r w:rsidRPr="00BC333A">
        <w:rPr>
          <w:b/>
          <w:bCs/>
          <w:sz w:val="26"/>
          <w:szCs w:val="26"/>
          <w:rtl/>
          <w:lang w:val="en-CA"/>
        </w:rPr>
        <w:t>مزيد من التحليل</w:t>
      </w:r>
      <w:r w:rsidR="002F4A4E">
        <w:rPr>
          <w:rFonts w:hint="cs"/>
          <w:b/>
          <w:bCs/>
          <w:sz w:val="26"/>
          <w:szCs w:val="26"/>
          <w:rtl/>
          <w:lang w:val="en-CA"/>
        </w:rPr>
        <w:t>ات</w:t>
      </w:r>
      <w:r w:rsidRPr="00BC333A">
        <w:rPr>
          <w:b/>
          <w:bCs/>
          <w:sz w:val="26"/>
          <w:szCs w:val="26"/>
          <w:rtl/>
          <w:lang w:val="en-CA"/>
        </w:rPr>
        <w:t xml:space="preserve"> بناءً على المعلومات الإضافية</w:t>
      </w:r>
    </w:p>
    <w:p w14:paraId="40F263E9" w14:textId="77777777" w:rsidR="001C36B9" w:rsidRPr="00EA5F00" w:rsidRDefault="002F4A4E" w:rsidP="00031651">
      <w:pPr>
        <w:pStyle w:val="Heading1"/>
        <w:numPr>
          <w:ilvl w:val="0"/>
          <w:numId w:val="7"/>
        </w:numPr>
        <w:bidi/>
        <w:rPr>
          <w:sz w:val="26"/>
          <w:szCs w:val="26"/>
          <w:lang w:val="en-CA"/>
        </w:rPr>
      </w:pPr>
      <w:r w:rsidRPr="002F4A4E">
        <w:rPr>
          <w:sz w:val="26"/>
          <w:szCs w:val="26"/>
          <w:rtl/>
          <w:lang w:val="en-CA"/>
        </w:rPr>
        <w:t>استناداً إلى المعلومات الإضافية المقدمة، أجرت الأمانة المزيد من التحليلات لخيار إغلاق مرف</w:t>
      </w:r>
      <w:r>
        <w:rPr>
          <w:rFonts w:hint="cs"/>
          <w:sz w:val="26"/>
          <w:szCs w:val="26"/>
          <w:rtl/>
          <w:lang w:val="en-CA"/>
        </w:rPr>
        <w:t>ِ</w:t>
      </w:r>
      <w:r w:rsidRPr="002F4A4E">
        <w:rPr>
          <w:sz w:val="26"/>
          <w:szCs w:val="26"/>
          <w:rtl/>
          <w:lang w:val="en-CA"/>
        </w:rPr>
        <w:t>ق إنتاج الهيدروكلوروفلوروكربون-22 (الخيار 1) وإعادة تشغيل موقد الحرق لمواصلة إنتاج الهيدروكلوروفلوروكربون-22 (الخيار 2). بيد أنه لم تُقدَم معلومات إضافية تشير إلى أن القيود التنظيمية التي تحول دون خيار التدمير خارج الموقع قد تغيرت؛ وبناءً على ذلك، لم تقم الأمانة بتحديث التحليلات لهذا الخيار.</w:t>
      </w:r>
    </w:p>
    <w:p w14:paraId="6217C8C9" w14:textId="77777777" w:rsidR="008A0AE1" w:rsidRPr="00E36F17" w:rsidRDefault="00BD0ABC" w:rsidP="00E36F17">
      <w:pPr>
        <w:bidi/>
        <w:spacing w:after="240"/>
        <w:rPr>
          <w:sz w:val="26"/>
          <w:szCs w:val="26"/>
          <w:u w:val="single"/>
          <w:lang w:val="en-CA"/>
        </w:rPr>
      </w:pPr>
      <w:r w:rsidRPr="00BD0ABC">
        <w:rPr>
          <w:sz w:val="26"/>
          <w:szCs w:val="26"/>
          <w:u w:val="single"/>
          <w:rtl/>
          <w:lang w:val="en-CA"/>
        </w:rPr>
        <w:t>مزيد من التحليلات للخيار 1: إغلاق إنتاج الهيدروكلوروفلوروكربون-22 لدى فياسا</w:t>
      </w:r>
    </w:p>
    <w:p w14:paraId="2758194D" w14:textId="77777777" w:rsidR="001C36B9" w:rsidRPr="00EA5F00" w:rsidRDefault="0067523D" w:rsidP="00031651">
      <w:pPr>
        <w:pStyle w:val="Heading1"/>
        <w:numPr>
          <w:ilvl w:val="0"/>
          <w:numId w:val="7"/>
        </w:numPr>
        <w:bidi/>
        <w:rPr>
          <w:sz w:val="26"/>
          <w:szCs w:val="26"/>
          <w:lang w:val="en-CA"/>
        </w:rPr>
      </w:pPr>
      <w:r w:rsidRPr="0067523D">
        <w:rPr>
          <w:sz w:val="26"/>
          <w:szCs w:val="26"/>
          <w:rtl/>
          <w:lang w:val="en-CA"/>
        </w:rPr>
        <w:t>نظرت مقترحات المشروع المقدمة إلى الاجتماعين الثالث والثمانين والرابع والثمانين في نموذجين لتقدير الكسب الفائت ذي الصلة بإغلاق فياسا: النموذج القائم على المراجعة الفنية التي يجريها استشاري مستقل، والنموذج الذي طورته اليونيدو</w:t>
      </w:r>
      <w:r w:rsidR="00C873FB">
        <w:rPr>
          <w:rStyle w:val="FootnoteReference"/>
          <w:sz w:val="26"/>
          <w:szCs w:val="26"/>
          <w:rtl/>
          <w:lang w:val="en-CA"/>
        </w:rPr>
        <w:footnoteReference w:id="9"/>
      </w:r>
      <w:r w:rsidRPr="0067523D">
        <w:rPr>
          <w:sz w:val="26"/>
          <w:szCs w:val="26"/>
          <w:rtl/>
          <w:lang w:val="en-CA"/>
        </w:rPr>
        <w:t xml:space="preserve"> وأقرته الحكومة.</w:t>
      </w:r>
    </w:p>
    <w:p w14:paraId="2435B973" w14:textId="77777777" w:rsidR="001C36B9" w:rsidRPr="00EA5F00" w:rsidRDefault="00BB674A" w:rsidP="00031651">
      <w:pPr>
        <w:pStyle w:val="Heading1"/>
        <w:numPr>
          <w:ilvl w:val="0"/>
          <w:numId w:val="7"/>
        </w:numPr>
        <w:bidi/>
        <w:rPr>
          <w:sz w:val="26"/>
          <w:szCs w:val="26"/>
          <w:lang w:val="en-CA"/>
        </w:rPr>
      </w:pPr>
      <w:r w:rsidRPr="00BB674A">
        <w:rPr>
          <w:sz w:val="26"/>
          <w:szCs w:val="26"/>
          <w:rtl/>
          <w:lang w:val="en-CA"/>
        </w:rPr>
        <w:t>ومع ذلك، لم يعد كلا النموذجين يعكسان بدقة اقتصاديات الإنتاج في فياسا في ظل الوضع الاقتصادي السائد حالياً في البلاد. وبناءً على ذلك، أجرت الأمانة استعراضاً مفصلاً للجدوى المالية لشركة فياسا باستخدام النموذج الذي طورته اليونيدو، مع التعديلات التالية:</w:t>
      </w:r>
    </w:p>
    <w:p w14:paraId="059B1EA2" w14:textId="77777777" w:rsidR="00E36F17" w:rsidRPr="00E36F17" w:rsidRDefault="000E3678" w:rsidP="00031651">
      <w:pPr>
        <w:pStyle w:val="ListParagraph"/>
        <w:numPr>
          <w:ilvl w:val="0"/>
          <w:numId w:val="10"/>
        </w:numPr>
        <w:bidi/>
        <w:spacing w:after="240"/>
        <w:ind w:left="1440" w:hanging="720"/>
        <w:contextualSpacing w:val="0"/>
        <w:rPr>
          <w:sz w:val="26"/>
          <w:szCs w:val="26"/>
          <w:lang w:val="en-CA"/>
        </w:rPr>
      </w:pPr>
      <w:r w:rsidRPr="000E3678">
        <w:rPr>
          <w:sz w:val="26"/>
          <w:szCs w:val="26"/>
          <w:rtl/>
          <w:lang w:val="en-CA"/>
        </w:rPr>
        <w:t>مبيعات عام 2019</w:t>
      </w:r>
      <w:r>
        <w:rPr>
          <w:rStyle w:val="FootnoteReference"/>
          <w:sz w:val="26"/>
          <w:szCs w:val="26"/>
          <w:rtl/>
          <w:lang w:val="en-CA"/>
        </w:rPr>
        <w:footnoteReference w:id="10"/>
      </w:r>
      <w:r w:rsidRPr="000E3678">
        <w:rPr>
          <w:sz w:val="26"/>
          <w:szCs w:val="26"/>
          <w:rtl/>
          <w:lang w:val="en-CA"/>
        </w:rPr>
        <w:t xml:space="preserve"> من الهيدروكلوروفلوروكربون-22 حتى عام 2024 و1,300 طن متري/سنوياً بين الأعوام 2025 و2029، بدلاً من زيادة المبيعات من 2,000 طن متري/سنوياً في عام 2020 </w:t>
      </w:r>
      <w:r w:rsidRPr="000E3678">
        <w:rPr>
          <w:sz w:val="26"/>
          <w:szCs w:val="26"/>
          <w:rtl/>
          <w:lang w:val="en-CA"/>
        </w:rPr>
        <w:lastRenderedPageBreak/>
        <w:t>إلى 2,600 طن متري/سنوياً في</w:t>
      </w:r>
      <w:r>
        <w:rPr>
          <w:rFonts w:hint="cs"/>
          <w:sz w:val="26"/>
          <w:szCs w:val="26"/>
          <w:rtl/>
          <w:lang w:val="en-CA"/>
        </w:rPr>
        <w:t xml:space="preserve"> عام</w:t>
      </w:r>
      <w:r w:rsidRPr="000E3678">
        <w:rPr>
          <w:sz w:val="26"/>
          <w:szCs w:val="26"/>
          <w:rtl/>
          <w:lang w:val="en-CA"/>
        </w:rPr>
        <w:t xml:space="preserve"> 2024، و1,300 طن متري/سنوياً بين الأعوام 2025 و2029 مستخدمة من قبل اليونيدو؛</w:t>
      </w:r>
    </w:p>
    <w:p w14:paraId="4347002B" w14:textId="6C9CD9AA" w:rsidR="00E36F17" w:rsidRPr="00E36F17" w:rsidRDefault="00D8302C" w:rsidP="00031651">
      <w:pPr>
        <w:pStyle w:val="ListParagraph"/>
        <w:numPr>
          <w:ilvl w:val="0"/>
          <w:numId w:val="10"/>
        </w:numPr>
        <w:bidi/>
        <w:spacing w:after="240"/>
        <w:ind w:left="1440" w:hanging="720"/>
        <w:contextualSpacing w:val="0"/>
        <w:rPr>
          <w:sz w:val="26"/>
          <w:szCs w:val="26"/>
          <w:lang w:val="en-CA"/>
        </w:rPr>
      </w:pPr>
      <w:r w:rsidRPr="00D8302C">
        <w:rPr>
          <w:sz w:val="26"/>
          <w:szCs w:val="26"/>
          <w:rtl/>
          <w:lang w:val="en-CA"/>
        </w:rPr>
        <w:t>سعر الكلوروفورم وفلوريد الهيدروجين اللامائي (ا</w:t>
      </w:r>
      <w:r w:rsidR="003815CF">
        <w:rPr>
          <w:rFonts w:hint="cs"/>
          <w:sz w:val="26"/>
          <w:szCs w:val="26"/>
          <w:rtl/>
          <w:lang w:val="en-CA"/>
        </w:rPr>
        <w:t>لذي تم شراؤه</w:t>
      </w:r>
      <w:r w:rsidRPr="00D8302C">
        <w:rPr>
          <w:sz w:val="26"/>
          <w:szCs w:val="26"/>
          <w:rtl/>
          <w:lang w:val="en-CA"/>
        </w:rPr>
        <w:t xml:space="preserve"> من السوق </w:t>
      </w:r>
      <w:r w:rsidR="00CA5CEB">
        <w:rPr>
          <w:rFonts w:hint="cs"/>
          <w:sz w:val="26"/>
          <w:szCs w:val="26"/>
          <w:rtl/>
          <w:lang w:val="en-CA"/>
        </w:rPr>
        <w:t>العالمية</w:t>
      </w:r>
      <w:r w:rsidRPr="00D8302C">
        <w:rPr>
          <w:sz w:val="26"/>
          <w:szCs w:val="26"/>
          <w:rtl/>
          <w:lang w:val="en-CA"/>
        </w:rPr>
        <w:t>) على النحو الذي قدمته اليونيدو، في حين انخفض سعر جميع المواد الخام الأخرى والتكاليف المتغيرة والثابتة (مثل العمالة والكهرباء والغاز الطبيعي)، التي تم شراؤها محلياً، بنسبة 18 في المائة، مقارنة بالسعر المقدم من اليونيدو، على أساس متوسط سعر الصرف لعام 2019 وسنة واحدة من التضخم؛ إذ من المفترض أن تظل جميع الأسعار بعد عام 2019 ثابتة طوال فترة المشروع؛</w:t>
      </w:r>
    </w:p>
    <w:p w14:paraId="0DE4A9D1" w14:textId="77777777" w:rsidR="00E36F17" w:rsidRPr="00E36F17" w:rsidRDefault="00314D03" w:rsidP="00031651">
      <w:pPr>
        <w:pStyle w:val="ListParagraph"/>
        <w:numPr>
          <w:ilvl w:val="0"/>
          <w:numId w:val="10"/>
        </w:numPr>
        <w:bidi/>
        <w:spacing w:after="240"/>
        <w:ind w:left="1440" w:hanging="720"/>
        <w:contextualSpacing w:val="0"/>
        <w:rPr>
          <w:sz w:val="26"/>
          <w:szCs w:val="26"/>
          <w:lang w:val="en-CA"/>
        </w:rPr>
      </w:pPr>
      <w:r w:rsidRPr="00314D03">
        <w:rPr>
          <w:sz w:val="26"/>
          <w:szCs w:val="26"/>
          <w:rtl/>
          <w:lang w:val="en-CA"/>
        </w:rPr>
        <w:t>متوسط سعر الهيدروكلوروفلوروكربون-22 لعام 2019</w:t>
      </w:r>
      <w:r w:rsidR="00474117">
        <w:rPr>
          <w:rStyle w:val="FootnoteReference"/>
          <w:sz w:val="26"/>
          <w:szCs w:val="26"/>
          <w:rtl/>
          <w:lang w:val="en-CA"/>
        </w:rPr>
        <w:footnoteReference w:id="11"/>
      </w:r>
      <w:r w:rsidRPr="00314D03">
        <w:rPr>
          <w:sz w:val="26"/>
          <w:szCs w:val="26"/>
          <w:rtl/>
          <w:lang w:val="en-CA"/>
        </w:rPr>
        <w:t xml:space="preserve"> طوال فترة المشروع (بما يتوافق مع الممارسة التي تتبعها المجموعة الفرعية لقطاع الإنتاج) بدلاً من سعر الهيدروكلوروفلوروكربون-22 المرتفع الذي قدمته اليونيدو؛</w:t>
      </w:r>
    </w:p>
    <w:p w14:paraId="52CF86F8" w14:textId="77777777" w:rsidR="00E36F17" w:rsidRPr="00E36F17" w:rsidRDefault="002C44FD" w:rsidP="00031651">
      <w:pPr>
        <w:pStyle w:val="ListParagraph"/>
        <w:numPr>
          <w:ilvl w:val="0"/>
          <w:numId w:val="10"/>
        </w:numPr>
        <w:bidi/>
        <w:spacing w:after="240"/>
        <w:ind w:left="1440" w:hanging="720"/>
        <w:contextualSpacing w:val="0"/>
        <w:rPr>
          <w:sz w:val="26"/>
          <w:szCs w:val="26"/>
          <w:lang w:val="en-CA"/>
        </w:rPr>
      </w:pPr>
      <w:r w:rsidRPr="002C44FD">
        <w:rPr>
          <w:sz w:val="26"/>
          <w:szCs w:val="26"/>
          <w:rtl/>
          <w:lang w:val="en-CA"/>
        </w:rPr>
        <w:t xml:space="preserve">حساب </w:t>
      </w:r>
      <w:r w:rsidR="003802AD">
        <w:rPr>
          <w:rFonts w:hint="cs"/>
          <w:sz w:val="26"/>
          <w:szCs w:val="26"/>
          <w:rtl/>
          <w:lang w:val="en-CA"/>
        </w:rPr>
        <w:t>القيمة الصافية</w:t>
      </w:r>
      <w:r w:rsidRPr="002C44FD">
        <w:rPr>
          <w:sz w:val="26"/>
          <w:szCs w:val="26"/>
          <w:rtl/>
          <w:lang w:val="en-CA"/>
        </w:rPr>
        <w:t xml:space="preserve"> الحالية للكسب الفائت، استناداً إلى أحدث سعر فائدة للودائع في الأرجنتين بنسبة 38.1 في المائة، بدلاً من معدل الخصم البالغ 10 في المائة المُستخدم من قبل اليونيدو</w:t>
      </w:r>
      <w:r w:rsidR="00F75B66">
        <w:rPr>
          <w:rStyle w:val="FootnoteReference"/>
          <w:sz w:val="26"/>
          <w:szCs w:val="26"/>
          <w:rtl/>
          <w:lang w:val="en-CA"/>
        </w:rPr>
        <w:footnoteReference w:id="12"/>
      </w:r>
      <w:r w:rsidRPr="002C44FD">
        <w:rPr>
          <w:sz w:val="26"/>
          <w:szCs w:val="26"/>
          <w:rtl/>
          <w:lang w:val="en-CA"/>
        </w:rPr>
        <w:t>؛ و</w:t>
      </w:r>
    </w:p>
    <w:p w14:paraId="1EE26188" w14:textId="77777777" w:rsidR="00E36F17" w:rsidRPr="00EF6593" w:rsidRDefault="00614A0A" w:rsidP="00031651">
      <w:pPr>
        <w:pStyle w:val="ListParagraph"/>
        <w:numPr>
          <w:ilvl w:val="0"/>
          <w:numId w:val="10"/>
        </w:numPr>
        <w:bidi/>
        <w:spacing w:after="240"/>
        <w:ind w:left="1440" w:hanging="720"/>
        <w:contextualSpacing w:val="0"/>
        <w:rPr>
          <w:sz w:val="26"/>
          <w:szCs w:val="26"/>
          <w:lang w:val="en-CA"/>
        </w:rPr>
      </w:pPr>
      <w:r w:rsidRPr="00614A0A">
        <w:rPr>
          <w:sz w:val="26"/>
          <w:szCs w:val="26"/>
          <w:rtl/>
          <w:lang w:val="en-CA"/>
        </w:rPr>
        <w:t xml:space="preserve">معدل الفائدة الاسمي لعام 2019 على قروض القطاع الخاص المقدمة للقطاع الخاص بنسبة 70.9 في المائة بدلاً من نسبة 7.5 </w:t>
      </w:r>
      <w:r w:rsidRPr="00EF6593">
        <w:rPr>
          <w:sz w:val="26"/>
          <w:szCs w:val="26"/>
          <w:rtl/>
          <w:lang w:val="en-CA"/>
        </w:rPr>
        <w:t>في المائة المستخدمة من قبل اليونيدو</w:t>
      </w:r>
      <w:r w:rsidRPr="00EF6593">
        <w:rPr>
          <w:rStyle w:val="FootnoteReference"/>
          <w:sz w:val="26"/>
          <w:szCs w:val="26"/>
          <w:rtl/>
          <w:lang w:val="en-CA"/>
        </w:rPr>
        <w:footnoteReference w:id="13"/>
      </w:r>
      <w:r w:rsidRPr="00EF6593">
        <w:rPr>
          <w:sz w:val="26"/>
          <w:szCs w:val="26"/>
          <w:rtl/>
          <w:lang w:val="en-CA"/>
        </w:rPr>
        <w:t>.</w:t>
      </w:r>
    </w:p>
    <w:p w14:paraId="21C502E9" w14:textId="64FE1A80" w:rsidR="001C36B9" w:rsidRPr="00EA5F00" w:rsidRDefault="00732846" w:rsidP="00031651">
      <w:pPr>
        <w:pStyle w:val="Heading1"/>
        <w:numPr>
          <w:ilvl w:val="0"/>
          <w:numId w:val="7"/>
        </w:numPr>
        <w:bidi/>
        <w:rPr>
          <w:sz w:val="26"/>
          <w:szCs w:val="26"/>
          <w:lang w:val="en-CA"/>
        </w:rPr>
      </w:pPr>
      <w:r w:rsidRPr="00EF6593">
        <w:rPr>
          <w:sz w:val="26"/>
          <w:szCs w:val="26"/>
          <w:rtl/>
          <w:lang w:val="en-CA"/>
        </w:rPr>
        <w:t xml:space="preserve">بناءً على ما سبق، لم يعد إنتاج الهيدروكلوروفلوروكربون-22 </w:t>
      </w:r>
      <w:r w:rsidRPr="00EF6593">
        <w:rPr>
          <w:rFonts w:hint="cs"/>
          <w:sz w:val="26"/>
          <w:szCs w:val="26"/>
          <w:rtl/>
          <w:lang w:val="en-CA"/>
        </w:rPr>
        <w:t>لدى شركة</w:t>
      </w:r>
      <w:r w:rsidRPr="00EF6593">
        <w:rPr>
          <w:sz w:val="26"/>
          <w:szCs w:val="26"/>
          <w:rtl/>
          <w:lang w:val="en-CA"/>
        </w:rPr>
        <w:t xml:space="preserve"> فياسا مجدياً من الناحية المالية، مع انعدام </w:t>
      </w:r>
      <w:r w:rsidR="008701B8" w:rsidRPr="00EF6593">
        <w:rPr>
          <w:rFonts w:hint="cs"/>
          <w:sz w:val="26"/>
          <w:szCs w:val="26"/>
          <w:rtl/>
          <w:lang w:val="en-CA"/>
        </w:rPr>
        <w:t>الكسب الفائت</w:t>
      </w:r>
      <w:r w:rsidRPr="00EF6593">
        <w:rPr>
          <w:sz w:val="26"/>
          <w:szCs w:val="26"/>
          <w:rtl/>
          <w:lang w:val="en-CA"/>
        </w:rPr>
        <w:t xml:space="preserve"> بسبب الإغلاق. وقد أكد المستشار المستقل هذه النتيجة. وفي حين </w:t>
      </w:r>
      <w:r w:rsidR="00A04C0B" w:rsidRPr="00EF6593">
        <w:rPr>
          <w:rFonts w:hint="cs"/>
          <w:sz w:val="26"/>
          <w:szCs w:val="26"/>
          <w:rtl/>
          <w:lang w:val="en-CA"/>
        </w:rPr>
        <w:t>أسهمت</w:t>
      </w:r>
      <w:r w:rsidRPr="00EF6593">
        <w:rPr>
          <w:sz w:val="26"/>
          <w:szCs w:val="26"/>
          <w:rtl/>
          <w:lang w:val="en-CA"/>
        </w:rPr>
        <w:t xml:space="preserve"> عدة عوامل في خسارة الشركة للجدوى المالية، كانت العوامل</w:t>
      </w:r>
      <w:r w:rsidRPr="00732846">
        <w:rPr>
          <w:sz w:val="26"/>
          <w:szCs w:val="26"/>
          <w:rtl/>
          <w:lang w:val="en-CA"/>
        </w:rPr>
        <w:t xml:space="preserve"> التالية ذات أهمية خاصة:</w:t>
      </w:r>
    </w:p>
    <w:p w14:paraId="03E5CD50" w14:textId="1C19F35A" w:rsidR="00E36F17" w:rsidRPr="00E36F17" w:rsidRDefault="00F868E7" w:rsidP="00031651">
      <w:pPr>
        <w:pStyle w:val="ListParagraph"/>
        <w:numPr>
          <w:ilvl w:val="0"/>
          <w:numId w:val="11"/>
        </w:numPr>
        <w:bidi/>
        <w:spacing w:after="240"/>
        <w:ind w:left="1440" w:hanging="720"/>
        <w:contextualSpacing w:val="0"/>
        <w:rPr>
          <w:sz w:val="26"/>
          <w:szCs w:val="26"/>
          <w:lang w:val="en-CA"/>
        </w:rPr>
      </w:pPr>
      <w:r w:rsidRPr="00F868E7">
        <w:rPr>
          <w:sz w:val="26"/>
          <w:szCs w:val="26"/>
          <w:rtl/>
          <w:lang w:val="en-CA"/>
        </w:rPr>
        <w:t xml:space="preserve">تعد الفائدة البالغة نسبة 70.9 في المائة على رأس المال العامل الذي يجب أن تدفعه فياسا باهظة. وفي عام 2019، بلغ مخزون نهاية العام </w:t>
      </w:r>
      <w:r w:rsidR="00272CF1">
        <w:rPr>
          <w:rFonts w:hint="cs"/>
          <w:sz w:val="26"/>
          <w:szCs w:val="26"/>
          <w:rtl/>
          <w:lang w:val="en-CA"/>
        </w:rPr>
        <w:t xml:space="preserve">لدى </w:t>
      </w:r>
      <w:r w:rsidRPr="00F868E7">
        <w:rPr>
          <w:sz w:val="26"/>
          <w:szCs w:val="26"/>
          <w:rtl/>
          <w:lang w:val="en-CA"/>
        </w:rPr>
        <w:t xml:space="preserve">فياسا حوالي ربع إجمالي المبيعات السنوية للشركة. يتم شراء المواد الخام والمدخلات الأخرى اللازمة لإنتاج الهيدروكلوروفلوروكربون-22 ودفعها مقدماً، في حين يتأخر الدخل المكتسب من المنتج ريثما يتم بيع المخزون، مما </w:t>
      </w:r>
      <w:r w:rsidR="00272CF1">
        <w:rPr>
          <w:rFonts w:hint="cs"/>
          <w:sz w:val="26"/>
          <w:szCs w:val="26"/>
          <w:rtl/>
          <w:lang w:val="en-CA"/>
        </w:rPr>
        <w:t>يسهم</w:t>
      </w:r>
      <w:r w:rsidRPr="00F868E7">
        <w:rPr>
          <w:sz w:val="26"/>
          <w:szCs w:val="26"/>
          <w:rtl/>
          <w:lang w:val="en-CA"/>
        </w:rPr>
        <w:t xml:space="preserve"> في التكلفة الكبيرة على رأس المال العامل لدى فياسا. علاوة على ذلك، يجب استيراد الكلوروفورم وفلوريد الهيدروجين اللامائي في حاويات كبيرة؛ وبالنظر لمستوى إنتاج الشركة المنخفض نسبياً، فإن هذا يساهم أيضاً في ارتفاع مستوى رأس المال العامل للشركة؛</w:t>
      </w:r>
    </w:p>
    <w:p w14:paraId="4856A0ED" w14:textId="17B27A69" w:rsidR="00E36F17" w:rsidRPr="00E36F17" w:rsidRDefault="00475C5B" w:rsidP="00031651">
      <w:pPr>
        <w:pStyle w:val="ListParagraph"/>
        <w:numPr>
          <w:ilvl w:val="0"/>
          <w:numId w:val="11"/>
        </w:numPr>
        <w:bidi/>
        <w:spacing w:after="240"/>
        <w:ind w:left="1440" w:hanging="720"/>
        <w:contextualSpacing w:val="0"/>
        <w:rPr>
          <w:sz w:val="26"/>
          <w:szCs w:val="26"/>
          <w:lang w:val="en-CA"/>
        </w:rPr>
      </w:pPr>
      <w:r w:rsidRPr="00475C5B">
        <w:rPr>
          <w:sz w:val="26"/>
          <w:szCs w:val="26"/>
          <w:rtl/>
          <w:lang w:val="en-CA"/>
        </w:rPr>
        <w:t>تشير المعلومات الإضافية المقدمة من قبل اليونيدو في الاجتماع الخامس والثمانين إلى أن معدل التضخم السنوي على أجور العمال في فياسا بلغ حوالي 66 في المائة في الفترة الممتدة ما بين يوليو/تموز 2018 وفبراير/شباط 2020. ويحافظ النموذج على</w:t>
      </w:r>
      <w:r w:rsidR="001A628A">
        <w:rPr>
          <w:rFonts w:hint="cs"/>
          <w:sz w:val="26"/>
          <w:szCs w:val="26"/>
          <w:rtl/>
          <w:lang w:val="en-NZ" w:bidi="ar-SY"/>
        </w:rPr>
        <w:t xml:space="preserve"> ثبات</w:t>
      </w:r>
      <w:r w:rsidRPr="00475C5B">
        <w:rPr>
          <w:sz w:val="26"/>
          <w:szCs w:val="26"/>
          <w:rtl/>
          <w:lang w:val="en-CA"/>
        </w:rPr>
        <w:t xml:space="preserve"> الأسعار بعد عام 2019، </w:t>
      </w:r>
      <w:r w:rsidRPr="00475C5B">
        <w:rPr>
          <w:sz w:val="26"/>
          <w:szCs w:val="26"/>
          <w:rtl/>
          <w:lang w:val="en-CA"/>
        </w:rPr>
        <w:lastRenderedPageBreak/>
        <w:t>وبالتالي لا يشمل تأثير التضخم على الأسعار المستقبلية، ما من شأنه أن يزيد من تدهور اقتصاديات إنتاج الهيدروكلوروفلوروكربون-22 لدى شركة فياسا</w:t>
      </w:r>
      <w:r>
        <w:rPr>
          <w:rStyle w:val="FootnoteReference"/>
          <w:sz w:val="26"/>
          <w:szCs w:val="26"/>
          <w:rtl/>
          <w:lang w:val="en-CA"/>
        </w:rPr>
        <w:footnoteReference w:id="14"/>
      </w:r>
      <w:r w:rsidRPr="00475C5B">
        <w:rPr>
          <w:sz w:val="26"/>
          <w:szCs w:val="26"/>
          <w:rtl/>
          <w:lang w:val="en-CA"/>
        </w:rPr>
        <w:t>؛ و</w:t>
      </w:r>
    </w:p>
    <w:p w14:paraId="485B4161" w14:textId="1B83A44A" w:rsidR="00E36F17" w:rsidRPr="00E36F17" w:rsidRDefault="00026645" w:rsidP="00031651">
      <w:pPr>
        <w:pStyle w:val="ListParagraph"/>
        <w:numPr>
          <w:ilvl w:val="0"/>
          <w:numId w:val="11"/>
        </w:numPr>
        <w:bidi/>
        <w:spacing w:after="240"/>
        <w:ind w:left="1440" w:hanging="720"/>
        <w:contextualSpacing w:val="0"/>
        <w:rPr>
          <w:sz w:val="26"/>
          <w:szCs w:val="26"/>
          <w:lang w:val="en-CA"/>
        </w:rPr>
      </w:pPr>
      <w:r w:rsidRPr="00026645">
        <w:rPr>
          <w:sz w:val="26"/>
          <w:szCs w:val="26"/>
          <w:rtl/>
          <w:lang w:val="en-CA"/>
        </w:rPr>
        <w:t>من المفترض أن تظل مبيعات الهيدروكلوروفلوروكربون-22 ثابتة بين عامي 2020 و2024، وأن تنخفض إلى 1,300 طن متري/سنوياً بين عامي 2025 و2029. ومع ذلك، فمن المرجح أن ينخفض الطلب على الهيدروكلوروفلوروكربون-22 بين عامي 2020 و2025 في ضوء ما تمت الإشارة إليه في المراجعة الفنية المقدمة إلى الاجتماع الثالث والثمانين</w:t>
      </w:r>
      <w:r w:rsidR="00E13871">
        <w:rPr>
          <w:rStyle w:val="FootnoteReference"/>
          <w:sz w:val="26"/>
          <w:szCs w:val="26"/>
          <w:rtl/>
          <w:lang w:val="en-CA"/>
        </w:rPr>
        <w:footnoteReference w:id="15"/>
      </w:r>
      <w:r w:rsidRPr="00026645">
        <w:rPr>
          <w:sz w:val="26"/>
          <w:szCs w:val="26"/>
          <w:rtl/>
          <w:lang w:val="en-CA"/>
        </w:rPr>
        <w:t xml:space="preserve">. ويتوافق هذا الانخفاض مع أنشطة التخلص التدريجي التي تم تنفيذها بموجب خطة إدارة إزالة المواد الهيدروكلوروفلوروكربونية للأرجنتين (التي تضمنت </w:t>
      </w:r>
      <w:r w:rsidR="00D63DB2">
        <w:rPr>
          <w:rFonts w:hint="cs"/>
          <w:sz w:val="26"/>
          <w:szCs w:val="26"/>
          <w:rtl/>
          <w:lang w:val="en-CA"/>
        </w:rPr>
        <w:t>تحول</w:t>
      </w:r>
      <w:r w:rsidRPr="00026645">
        <w:rPr>
          <w:sz w:val="26"/>
          <w:szCs w:val="26"/>
          <w:rtl/>
          <w:lang w:val="en-CA"/>
        </w:rPr>
        <w:t xml:space="preserve"> قطاع تصنيع مكيفات الهواء القائمة على الهيدروكلوروفلوروكربون-22 في عام 2014)؛ وإدخال تجهيزات جديدة </w:t>
      </w:r>
      <w:r w:rsidR="001A628A">
        <w:rPr>
          <w:rFonts w:hint="cs"/>
          <w:sz w:val="26"/>
          <w:szCs w:val="26"/>
          <w:rtl/>
          <w:lang w:val="en-CA"/>
        </w:rPr>
        <w:t>لا تعتمد</w:t>
      </w:r>
      <w:r w:rsidRPr="00026645">
        <w:rPr>
          <w:sz w:val="26"/>
          <w:szCs w:val="26"/>
          <w:rtl/>
          <w:lang w:val="en-CA"/>
        </w:rPr>
        <w:t xml:space="preserve"> على الهيدروكلوروفلوروكربون-22 في البلد؛ وزيادة سعر الهيدروكلوروفلوروكربون-22 ال</w:t>
      </w:r>
      <w:r w:rsidR="001A628A">
        <w:rPr>
          <w:rFonts w:hint="cs"/>
          <w:sz w:val="26"/>
          <w:szCs w:val="26"/>
          <w:rtl/>
          <w:lang w:val="en-CA"/>
        </w:rPr>
        <w:t>مُ</w:t>
      </w:r>
      <w:r w:rsidRPr="00026645">
        <w:rPr>
          <w:sz w:val="26"/>
          <w:szCs w:val="26"/>
          <w:rtl/>
          <w:lang w:val="en-CA"/>
        </w:rPr>
        <w:t>باع من قِبل فياسا.</w:t>
      </w:r>
    </w:p>
    <w:p w14:paraId="31A598F5" w14:textId="77777777" w:rsidR="00FD662B" w:rsidRPr="00E36F17" w:rsidRDefault="00D25CEB" w:rsidP="00E36F17">
      <w:pPr>
        <w:keepNext/>
        <w:keepLines/>
        <w:bidi/>
        <w:spacing w:after="240"/>
        <w:rPr>
          <w:i/>
          <w:iCs/>
          <w:sz w:val="26"/>
          <w:szCs w:val="26"/>
          <w:lang w:val="en-CA"/>
        </w:rPr>
      </w:pPr>
      <w:r w:rsidRPr="00D25CEB">
        <w:rPr>
          <w:i/>
          <w:iCs/>
          <w:sz w:val="26"/>
          <w:szCs w:val="26"/>
          <w:rtl/>
          <w:lang w:val="en-CA"/>
        </w:rPr>
        <w:t>سيناريو بديل يقوم على ظروف اقتصادية أكثر استقراراً</w:t>
      </w:r>
    </w:p>
    <w:p w14:paraId="79C56F6B" w14:textId="77777777" w:rsidR="001C36B9" w:rsidRPr="00EA5F00" w:rsidRDefault="00BE571F" w:rsidP="00031651">
      <w:pPr>
        <w:pStyle w:val="Heading1"/>
        <w:numPr>
          <w:ilvl w:val="0"/>
          <w:numId w:val="7"/>
        </w:numPr>
        <w:bidi/>
        <w:rPr>
          <w:sz w:val="26"/>
          <w:szCs w:val="26"/>
          <w:lang w:val="en-CA"/>
        </w:rPr>
      </w:pPr>
      <w:r w:rsidRPr="00BE571F">
        <w:rPr>
          <w:sz w:val="26"/>
          <w:szCs w:val="26"/>
          <w:rtl/>
          <w:lang w:val="en-CA"/>
        </w:rPr>
        <w:t>إذ تلحظ الأمانة أن الوضع الاقتصادي السائد في الأرجنتين في عام 2019 أثَّرَ على ربحية إنتاج الهيدروكلوروفلوروكربون-22 لدى فياسا، فقد اعتبرت الأمانة أنه من المفيد اعتماد سيناريو بديل لعام 2020 في ظل ظروف اقتصادية أكثر ملاءمة واستقراراً على النحو التالي:</w:t>
      </w:r>
    </w:p>
    <w:p w14:paraId="70068365" w14:textId="27220D84" w:rsidR="00E36F17" w:rsidRPr="00E36F17" w:rsidRDefault="00AD2C46" w:rsidP="00031651">
      <w:pPr>
        <w:pStyle w:val="ListParagraph"/>
        <w:numPr>
          <w:ilvl w:val="0"/>
          <w:numId w:val="12"/>
        </w:numPr>
        <w:bidi/>
        <w:spacing w:after="240"/>
        <w:ind w:left="1440" w:hanging="720"/>
        <w:contextualSpacing w:val="0"/>
        <w:rPr>
          <w:sz w:val="26"/>
          <w:szCs w:val="26"/>
          <w:lang w:val="en-CA"/>
        </w:rPr>
      </w:pPr>
      <w:r w:rsidRPr="00AD2C46">
        <w:rPr>
          <w:sz w:val="26"/>
          <w:szCs w:val="26"/>
          <w:rtl/>
          <w:lang w:val="en-CA"/>
        </w:rPr>
        <w:t>معدل تضخم قدره 37.8 في المائة ومعدل الإقراض الإسمي للقطاع الخاص بنسبة 50.7 في المائة، استناداً إلى متوسط قيم الفترة 2017-2019 ذ</w:t>
      </w:r>
      <w:r w:rsidR="00056061">
        <w:rPr>
          <w:rFonts w:hint="cs"/>
          <w:sz w:val="26"/>
          <w:szCs w:val="26"/>
          <w:rtl/>
          <w:lang w:val="en-CA"/>
        </w:rPr>
        <w:t>ات</w:t>
      </w:r>
      <w:r w:rsidRPr="00AD2C46">
        <w:rPr>
          <w:sz w:val="26"/>
          <w:szCs w:val="26"/>
          <w:rtl/>
          <w:lang w:val="en-CA"/>
        </w:rPr>
        <w:t xml:space="preserve"> الصلة</w:t>
      </w:r>
      <w:r>
        <w:rPr>
          <w:rFonts w:hint="cs"/>
          <w:sz w:val="26"/>
          <w:szCs w:val="26"/>
          <w:rtl/>
          <w:lang w:val="en-CA"/>
        </w:rPr>
        <w:t>؛</w:t>
      </w:r>
    </w:p>
    <w:p w14:paraId="1E78E3B5" w14:textId="77777777" w:rsidR="00E36F17" w:rsidRPr="00E36F17" w:rsidRDefault="003B2F80" w:rsidP="00031651">
      <w:pPr>
        <w:pStyle w:val="ListParagraph"/>
        <w:numPr>
          <w:ilvl w:val="0"/>
          <w:numId w:val="12"/>
        </w:numPr>
        <w:bidi/>
        <w:spacing w:after="240"/>
        <w:ind w:left="1440" w:hanging="720"/>
        <w:contextualSpacing w:val="0"/>
        <w:rPr>
          <w:sz w:val="26"/>
          <w:szCs w:val="26"/>
          <w:lang w:val="en-CA"/>
        </w:rPr>
      </w:pPr>
      <w:r w:rsidRPr="003B2F80">
        <w:rPr>
          <w:sz w:val="26"/>
          <w:szCs w:val="26"/>
          <w:rtl/>
          <w:lang w:val="en-CA"/>
        </w:rPr>
        <w:t>زيادة بنسبة 7 في المائة في سعر الهيدروكلوروفلوروكربون-22 (بما يتماشى مع سعر</w:t>
      </w:r>
      <w:r>
        <w:rPr>
          <w:rFonts w:hint="cs"/>
          <w:sz w:val="26"/>
          <w:szCs w:val="26"/>
          <w:rtl/>
          <w:lang w:val="en-CA"/>
        </w:rPr>
        <w:t xml:space="preserve"> صرف</w:t>
      </w:r>
      <w:r w:rsidRPr="003B2F80">
        <w:rPr>
          <w:sz w:val="26"/>
          <w:szCs w:val="26"/>
          <w:rtl/>
          <w:lang w:val="en-CA"/>
        </w:rPr>
        <w:t xml:space="preserve"> الدولار الأمريكي الذي أبلغت عنه الشركة في يناير/كانون الثاني 2020) وزيادة بنسبة 4 في المائة في المبيعات (بناءً على متوسط مبيعات الفترة 2017-2019)، بالمقارنة مع عام 2019؛</w:t>
      </w:r>
    </w:p>
    <w:p w14:paraId="6DB39055" w14:textId="53E86910" w:rsidR="00E36F17" w:rsidRPr="00E36F17" w:rsidRDefault="00BB7273" w:rsidP="00031651">
      <w:pPr>
        <w:pStyle w:val="ListParagraph"/>
        <w:numPr>
          <w:ilvl w:val="0"/>
          <w:numId w:val="12"/>
        </w:numPr>
        <w:bidi/>
        <w:spacing w:after="240"/>
        <w:ind w:left="1440" w:hanging="720"/>
        <w:contextualSpacing w:val="0"/>
        <w:rPr>
          <w:sz w:val="26"/>
          <w:szCs w:val="26"/>
          <w:lang w:val="en-CA"/>
        </w:rPr>
      </w:pPr>
      <w:r w:rsidRPr="00BB7273">
        <w:rPr>
          <w:sz w:val="26"/>
          <w:szCs w:val="26"/>
          <w:rtl/>
          <w:lang w:val="en-CA"/>
        </w:rPr>
        <w:t>تم الحفاظ على</w:t>
      </w:r>
      <w:r w:rsidR="00056061">
        <w:rPr>
          <w:rFonts w:hint="cs"/>
          <w:sz w:val="26"/>
          <w:szCs w:val="26"/>
          <w:rtl/>
          <w:lang w:val="en-CA"/>
        </w:rPr>
        <w:t xml:space="preserve"> ثبات</w:t>
      </w:r>
      <w:r w:rsidRPr="00BB7273">
        <w:rPr>
          <w:sz w:val="26"/>
          <w:szCs w:val="26"/>
          <w:rtl/>
          <w:lang w:val="en-CA"/>
        </w:rPr>
        <w:t xml:space="preserve"> سعر الكلوروفورم </w:t>
      </w:r>
      <w:r w:rsidRPr="00BB7273">
        <w:rPr>
          <w:rFonts w:hint="cs"/>
          <w:sz w:val="26"/>
          <w:szCs w:val="26"/>
          <w:rtl/>
          <w:lang w:val="en-CA"/>
        </w:rPr>
        <w:t>وفلوريد</w:t>
      </w:r>
      <w:r w:rsidRPr="00BB7273">
        <w:rPr>
          <w:sz w:val="26"/>
          <w:szCs w:val="26"/>
          <w:rtl/>
          <w:lang w:val="en-CA"/>
        </w:rPr>
        <w:t xml:space="preserve"> الهيدروجين اللامائي بينما ارتفع سعر جميع المواد الخام والمدخلات الأخرى بنسبة 5.8 في المائة مقارنة بعام 2019، على أساس معدل التضخم البالغِ 37.8 في المائة وسعر صرف قدره 65 بيزو أرجنتيني مقابل الدولار الأمريكي؛ و</w:t>
      </w:r>
    </w:p>
    <w:p w14:paraId="6756A0B9" w14:textId="05B185A8" w:rsidR="00E36F17" w:rsidRPr="00EF6593" w:rsidRDefault="00005C95" w:rsidP="00031651">
      <w:pPr>
        <w:pStyle w:val="ListParagraph"/>
        <w:numPr>
          <w:ilvl w:val="0"/>
          <w:numId w:val="12"/>
        </w:numPr>
        <w:bidi/>
        <w:spacing w:after="240"/>
        <w:ind w:left="1440" w:hanging="720"/>
        <w:contextualSpacing w:val="0"/>
        <w:rPr>
          <w:sz w:val="26"/>
          <w:szCs w:val="26"/>
          <w:lang w:val="en-CA"/>
        </w:rPr>
      </w:pPr>
      <w:r w:rsidRPr="00005C95">
        <w:rPr>
          <w:sz w:val="26"/>
          <w:szCs w:val="26"/>
          <w:rtl/>
          <w:lang w:val="en-CA"/>
        </w:rPr>
        <w:t xml:space="preserve">عدم حدوث انخفاض في مبيعات </w:t>
      </w:r>
      <w:r w:rsidRPr="00EF6593">
        <w:rPr>
          <w:sz w:val="26"/>
          <w:szCs w:val="26"/>
          <w:rtl/>
          <w:lang w:val="en-CA"/>
        </w:rPr>
        <w:t xml:space="preserve">الهيدروكلوروفلوروكربون-22 </w:t>
      </w:r>
      <w:r w:rsidR="00056061" w:rsidRPr="00EF6593">
        <w:rPr>
          <w:rFonts w:hint="cs"/>
          <w:sz w:val="26"/>
          <w:szCs w:val="26"/>
          <w:rtl/>
          <w:lang w:val="en-CA"/>
        </w:rPr>
        <w:t xml:space="preserve">مع </w:t>
      </w:r>
      <w:r w:rsidRPr="00EF6593">
        <w:rPr>
          <w:sz w:val="26"/>
          <w:szCs w:val="26"/>
          <w:rtl/>
          <w:lang w:val="en-CA"/>
        </w:rPr>
        <w:t>مرور الوقت، وعدم تأثر الطلب على الهيدروكلوروفلوروكربون-22 بسبب وباء كوفيد-19</w:t>
      </w:r>
      <w:r w:rsidRPr="00EF6593">
        <w:rPr>
          <w:rStyle w:val="FootnoteReference"/>
          <w:sz w:val="26"/>
          <w:szCs w:val="26"/>
          <w:rtl/>
          <w:lang w:val="en-CA"/>
        </w:rPr>
        <w:footnoteReference w:id="16"/>
      </w:r>
      <w:r w:rsidRPr="00EF6593">
        <w:rPr>
          <w:sz w:val="26"/>
          <w:szCs w:val="26"/>
          <w:rtl/>
          <w:lang w:val="en-CA"/>
        </w:rPr>
        <w:t>، أو اقتصاديات إنتاج شركة فياسا.</w:t>
      </w:r>
    </w:p>
    <w:p w14:paraId="79621B41" w14:textId="4BE19E78" w:rsidR="001C36B9" w:rsidRPr="00EA5F00" w:rsidRDefault="000E7ED3" w:rsidP="00031651">
      <w:pPr>
        <w:pStyle w:val="Heading1"/>
        <w:numPr>
          <w:ilvl w:val="0"/>
          <w:numId w:val="7"/>
        </w:numPr>
        <w:bidi/>
        <w:rPr>
          <w:sz w:val="26"/>
          <w:szCs w:val="26"/>
          <w:lang w:val="en-CA"/>
        </w:rPr>
      </w:pPr>
      <w:r w:rsidRPr="000E7ED3">
        <w:rPr>
          <w:sz w:val="26"/>
          <w:szCs w:val="26"/>
          <w:rtl/>
          <w:lang w:val="en-CA"/>
        </w:rPr>
        <w:t xml:space="preserve">بناءً على ما سبق ذكره، ستكون شركة فياسا </w:t>
      </w:r>
      <w:r w:rsidR="00056061">
        <w:rPr>
          <w:rFonts w:hint="cs"/>
          <w:sz w:val="26"/>
          <w:szCs w:val="26"/>
          <w:rtl/>
          <w:lang w:val="en-CA"/>
        </w:rPr>
        <w:t>مجدية من الناحية المالية</w:t>
      </w:r>
      <w:r w:rsidRPr="000E7ED3">
        <w:rPr>
          <w:sz w:val="26"/>
          <w:szCs w:val="26"/>
          <w:rtl/>
          <w:lang w:val="en-CA"/>
        </w:rPr>
        <w:t xml:space="preserve"> خلال عام 2029. وبفرض أن شركة فياسا ستغلق في أغسطس/آب 2020، فإن </w:t>
      </w:r>
      <w:r w:rsidR="003802AD">
        <w:rPr>
          <w:rFonts w:hint="cs"/>
          <w:sz w:val="26"/>
          <w:szCs w:val="26"/>
          <w:rtl/>
          <w:lang w:val="en-CA"/>
        </w:rPr>
        <w:t>القيمة الصافية</w:t>
      </w:r>
      <w:r w:rsidRPr="000E7ED3">
        <w:rPr>
          <w:sz w:val="26"/>
          <w:szCs w:val="26"/>
          <w:rtl/>
          <w:lang w:val="en-CA"/>
        </w:rPr>
        <w:t xml:space="preserve"> الحالية </w:t>
      </w:r>
      <w:r>
        <w:rPr>
          <w:rFonts w:hint="cs"/>
          <w:sz w:val="26"/>
          <w:szCs w:val="26"/>
          <w:rtl/>
          <w:lang w:val="en-CA"/>
        </w:rPr>
        <w:t>للكسب الفائت</w:t>
      </w:r>
      <w:r w:rsidRPr="000E7ED3">
        <w:rPr>
          <w:sz w:val="26"/>
          <w:szCs w:val="26"/>
          <w:rtl/>
          <w:lang w:val="en-CA"/>
        </w:rPr>
        <w:t xml:space="preserve"> بين 2020 و2029 </w:t>
      </w:r>
      <w:r w:rsidR="00056061">
        <w:rPr>
          <w:rFonts w:hint="cs"/>
          <w:sz w:val="26"/>
          <w:szCs w:val="26"/>
          <w:rtl/>
          <w:lang w:val="en-CA"/>
        </w:rPr>
        <w:t>ت</w:t>
      </w:r>
      <w:r w:rsidRPr="000E7ED3">
        <w:rPr>
          <w:sz w:val="26"/>
          <w:szCs w:val="26"/>
          <w:rtl/>
          <w:lang w:val="en-CA"/>
        </w:rPr>
        <w:t>بلغ 1,422,701 دولار أمريكي.</w:t>
      </w:r>
    </w:p>
    <w:p w14:paraId="351F57DE" w14:textId="77777777" w:rsidR="00C06DA4" w:rsidRPr="001F6D86" w:rsidRDefault="007F5492" w:rsidP="001F6D86">
      <w:pPr>
        <w:bidi/>
        <w:spacing w:after="240"/>
        <w:rPr>
          <w:i/>
          <w:iCs/>
          <w:sz w:val="26"/>
          <w:szCs w:val="26"/>
          <w:lang w:val="en-CA"/>
        </w:rPr>
      </w:pPr>
      <w:r w:rsidRPr="007F5492">
        <w:rPr>
          <w:i/>
          <w:iCs/>
          <w:sz w:val="26"/>
          <w:szCs w:val="26"/>
          <w:rtl/>
          <w:lang w:val="en-CA"/>
        </w:rPr>
        <w:t>استبدال الإنتاج بزيادة واردات الهيدروكلوروفلوروكربون-22</w:t>
      </w:r>
    </w:p>
    <w:p w14:paraId="14E8A50F" w14:textId="77777777" w:rsidR="001C36B9" w:rsidRPr="00A94FEB" w:rsidRDefault="00A94FEB" w:rsidP="00031651">
      <w:pPr>
        <w:pStyle w:val="Heading1"/>
        <w:numPr>
          <w:ilvl w:val="0"/>
          <w:numId w:val="7"/>
        </w:numPr>
        <w:bidi/>
        <w:rPr>
          <w:szCs w:val="26"/>
          <w:lang w:val="en-CA"/>
        </w:rPr>
      </w:pPr>
      <w:r w:rsidRPr="00A94FEB">
        <w:rPr>
          <w:szCs w:val="26"/>
          <w:rtl/>
          <w:lang w:val="en-CA"/>
        </w:rPr>
        <w:t xml:space="preserve">بالنظر إلى تكلفة إنتاج الهيدروكلوروفلوروكربون-22 العالية لشركة فياسا، فإنها ستحقق أرباحاً أكبر عبر استيراد الهيدروكلوروفلوروكربون-22 من السوق العالمية أكثر مما تحققه عبر إنتاجها محلياً. ومع ذلك، فإنه لا يمكن </w:t>
      </w:r>
      <w:r w:rsidRPr="00A94FEB">
        <w:rPr>
          <w:szCs w:val="26"/>
          <w:rtl/>
          <w:lang w:val="en-CA"/>
        </w:rPr>
        <w:lastRenderedPageBreak/>
        <w:t xml:space="preserve">لشركة ما، وفقاً لحكومة الأرجنتين، استبدال الإنتاج بحصص الاستيراد، وبالتالي، يعد هذا الخيار غير متاحاً لشركة فياسا. وفي ضوء ما تمت الإشارة إليه في الوثيقة </w:t>
      </w:r>
      <w:r w:rsidRPr="00A94FEB">
        <w:rPr>
          <w:szCs w:val="26"/>
          <w:lang w:val="en-CA"/>
        </w:rPr>
        <w:t>UNEP/</w:t>
      </w:r>
      <w:proofErr w:type="spellStart"/>
      <w:r w:rsidRPr="00A94FEB">
        <w:rPr>
          <w:szCs w:val="26"/>
          <w:lang w:val="en-CA"/>
        </w:rPr>
        <w:t>OzL.Pro</w:t>
      </w:r>
      <w:proofErr w:type="spellEnd"/>
      <w:r w:rsidRPr="00A94FEB">
        <w:rPr>
          <w:szCs w:val="26"/>
          <w:lang w:val="en-CA"/>
        </w:rPr>
        <w:t>/ExCom/85/63</w:t>
      </w:r>
      <w:r w:rsidRPr="00A94FEB">
        <w:rPr>
          <w:szCs w:val="26"/>
          <w:rtl/>
          <w:lang w:val="en-CA"/>
        </w:rPr>
        <w:t xml:space="preserve">، فقد ترغب اللجنة التنفيذية في النظر إلى المدى الذي يجب أن تعتمد عليه ربحية أحد خطوط إنتاج الهيدروكلوروفلوروكربون-22 </w:t>
      </w:r>
      <w:r w:rsidR="00CA5CEB">
        <w:rPr>
          <w:rFonts w:hint="cs"/>
          <w:szCs w:val="26"/>
          <w:rtl/>
          <w:lang w:val="en-CA"/>
        </w:rPr>
        <w:t>وفق</w:t>
      </w:r>
      <w:r w:rsidRPr="00A94FEB">
        <w:rPr>
          <w:szCs w:val="26"/>
          <w:rtl/>
          <w:lang w:val="en-CA"/>
        </w:rPr>
        <w:t xml:space="preserve"> سعر السوق المحلي مقابل سعر السوق العالمي.</w:t>
      </w:r>
    </w:p>
    <w:p w14:paraId="71A84E60" w14:textId="77777777" w:rsidR="00972A44" w:rsidRPr="001F6D86" w:rsidRDefault="002A6FEC" w:rsidP="001F6D86">
      <w:pPr>
        <w:bidi/>
        <w:spacing w:after="240"/>
        <w:rPr>
          <w:i/>
          <w:iCs/>
          <w:sz w:val="26"/>
          <w:szCs w:val="26"/>
          <w:lang w:val="en-CA"/>
        </w:rPr>
      </w:pPr>
      <w:r w:rsidRPr="002A6FEC">
        <w:rPr>
          <w:i/>
          <w:iCs/>
          <w:sz w:val="26"/>
          <w:szCs w:val="26"/>
          <w:rtl/>
          <w:lang w:val="en-CA"/>
        </w:rPr>
        <w:t>إنهاء خدمة العمال</w:t>
      </w:r>
    </w:p>
    <w:p w14:paraId="33F776E1" w14:textId="4B6111F0" w:rsidR="001C36B9" w:rsidRPr="00EA5F00" w:rsidRDefault="00303A9F" w:rsidP="00031651">
      <w:pPr>
        <w:pStyle w:val="Heading1"/>
        <w:numPr>
          <w:ilvl w:val="0"/>
          <w:numId w:val="7"/>
        </w:numPr>
        <w:bidi/>
        <w:rPr>
          <w:sz w:val="26"/>
          <w:szCs w:val="26"/>
          <w:lang w:val="en-CA"/>
        </w:rPr>
      </w:pPr>
      <w:r w:rsidRPr="00303A9F">
        <w:rPr>
          <w:sz w:val="26"/>
          <w:szCs w:val="26"/>
          <w:rtl/>
          <w:lang w:val="en-CA"/>
        </w:rPr>
        <w:t>يتضمن اقتراح المشروع المقدم إلى الاجتماع الخامس والثمانين طلباً لإنهاء خدمة 65 موظف</w:t>
      </w:r>
      <w:r>
        <w:rPr>
          <w:rFonts w:hint="cs"/>
          <w:sz w:val="26"/>
          <w:szCs w:val="26"/>
          <w:rtl/>
          <w:lang w:val="en-CA"/>
        </w:rPr>
        <w:t>اً</w:t>
      </w:r>
      <w:r w:rsidRPr="00303A9F">
        <w:rPr>
          <w:sz w:val="26"/>
          <w:szCs w:val="26"/>
          <w:rtl/>
          <w:lang w:val="en-CA"/>
        </w:rPr>
        <w:t>. ومع ذلك، فقد أشارت البيانات الأولية المقدمة من حكومة الأرجنتين في الاجتماع الثمانين</w:t>
      </w:r>
      <w:r w:rsidR="003B0FDC">
        <w:rPr>
          <w:rStyle w:val="FootnoteReference"/>
          <w:sz w:val="26"/>
          <w:szCs w:val="26"/>
          <w:rtl/>
          <w:lang w:val="en-CA"/>
        </w:rPr>
        <w:footnoteReference w:id="17"/>
      </w:r>
      <w:r w:rsidRPr="00303A9F">
        <w:rPr>
          <w:sz w:val="26"/>
          <w:szCs w:val="26"/>
          <w:rtl/>
          <w:lang w:val="en-CA"/>
        </w:rPr>
        <w:t xml:space="preserve"> إلى أن شركة فياسا تستخدم ما بين 33 و37 عاملاً في خط إنتاج الهيدروكلوروفلوروكربون-22؛ وأشارت البيانات التي قدمتها الشركة في الاجتماع الثاني والثمانين إلى 29 عاملاً؛ في حين أشارت البيانات التي قدمتها اليونيدو في الاجتماع الرابع والثمانين إلى 48 عاملاً.  ولم يأخذ نموذج اليونيدو، الذي استخدمته الأمانة في الاجتماع الخامس والثمانين لتقدير الكسب الفائت، في الاعتبار تكلفة العمالة على أساس 65 موظفاً؛</w:t>
      </w:r>
      <w:r w:rsidR="00F038E6">
        <w:rPr>
          <w:rFonts w:hint="cs"/>
          <w:sz w:val="26"/>
          <w:szCs w:val="26"/>
          <w:rtl/>
          <w:lang w:val="en-CA"/>
        </w:rPr>
        <w:t xml:space="preserve"> ولو قامت بذلك،</w:t>
      </w:r>
      <w:r w:rsidRPr="00303A9F">
        <w:rPr>
          <w:sz w:val="26"/>
          <w:szCs w:val="26"/>
          <w:rtl/>
          <w:lang w:val="en-CA"/>
        </w:rPr>
        <w:t xml:space="preserve"> </w:t>
      </w:r>
      <w:r w:rsidR="00F038E6">
        <w:rPr>
          <w:rFonts w:hint="cs"/>
          <w:sz w:val="26"/>
          <w:szCs w:val="26"/>
          <w:rtl/>
          <w:lang w:val="en-CA"/>
        </w:rPr>
        <w:t xml:space="preserve">سيكون </w:t>
      </w:r>
      <w:r w:rsidRPr="00303A9F">
        <w:rPr>
          <w:sz w:val="26"/>
          <w:szCs w:val="26"/>
          <w:rtl/>
          <w:lang w:val="en-CA"/>
        </w:rPr>
        <w:t xml:space="preserve">الكسب الفائت </w:t>
      </w:r>
      <w:r w:rsidR="00F038E6">
        <w:rPr>
          <w:rFonts w:hint="cs"/>
          <w:sz w:val="26"/>
          <w:szCs w:val="26"/>
          <w:rtl/>
          <w:lang w:val="en-CA"/>
        </w:rPr>
        <w:t>أكثر انخفاضاً.</w:t>
      </w:r>
    </w:p>
    <w:p w14:paraId="6E566E6D" w14:textId="2A454AA4" w:rsidR="001C36B9" w:rsidRPr="00663A56" w:rsidRDefault="00DE3D63" w:rsidP="00031651">
      <w:pPr>
        <w:pStyle w:val="Heading1"/>
        <w:numPr>
          <w:ilvl w:val="0"/>
          <w:numId w:val="7"/>
        </w:numPr>
        <w:bidi/>
        <w:rPr>
          <w:szCs w:val="26"/>
          <w:lang w:val="en-CA"/>
        </w:rPr>
      </w:pPr>
      <w:r>
        <w:rPr>
          <w:rFonts w:hint="cs"/>
          <w:szCs w:val="26"/>
          <w:rtl/>
          <w:lang w:val="en-CA"/>
        </w:rPr>
        <w:t>أشارت</w:t>
      </w:r>
      <w:r w:rsidR="00663A56" w:rsidRPr="00663A56">
        <w:rPr>
          <w:szCs w:val="26"/>
          <w:rtl/>
          <w:lang w:val="en-CA"/>
        </w:rPr>
        <w:t xml:space="preserve"> الأمانة كذلك</w:t>
      </w:r>
      <w:r w:rsidR="003C1FFE">
        <w:rPr>
          <w:rFonts w:hint="cs"/>
          <w:szCs w:val="26"/>
          <w:rtl/>
          <w:lang w:val="en-CA"/>
        </w:rPr>
        <w:t xml:space="preserve"> إلى</w:t>
      </w:r>
      <w:r w:rsidR="00663A56" w:rsidRPr="00663A56">
        <w:rPr>
          <w:szCs w:val="26"/>
          <w:rtl/>
          <w:lang w:val="en-CA"/>
        </w:rPr>
        <w:t xml:space="preserve"> أن الشركة قامت بتنويع أعمالها من خلال تسويق غازات التبريد الأخرى (أي استيراد الهيدروفلوروكربون-125 والهيدروفلوروكربون-32 لمزجِ غاز </w:t>
      </w:r>
      <w:r w:rsidR="00663A56" w:rsidRPr="00663A56">
        <w:rPr>
          <w:szCs w:val="26"/>
          <w:lang w:val="en-CA"/>
        </w:rPr>
        <w:t>R-410A</w:t>
      </w:r>
      <w:r w:rsidR="00663A56" w:rsidRPr="00663A56">
        <w:rPr>
          <w:szCs w:val="26"/>
          <w:rtl/>
          <w:lang w:val="en-CA"/>
        </w:rPr>
        <w:t xml:space="preserve"> في الموقع؛ واستيراد الهيدروفلوروكربون-134أ و</w:t>
      </w:r>
      <w:r w:rsidR="000468AA">
        <w:rPr>
          <w:rFonts w:hint="cs"/>
          <w:szCs w:val="26"/>
          <w:rtl/>
          <w:lang w:val="en-CA"/>
        </w:rPr>
        <w:t xml:space="preserve">غاز </w:t>
      </w:r>
      <w:r w:rsidR="00663A56" w:rsidRPr="00663A56">
        <w:rPr>
          <w:szCs w:val="26"/>
          <w:lang w:val="en-CA"/>
        </w:rPr>
        <w:t>R-404A</w:t>
      </w:r>
      <w:r w:rsidR="00663A56" w:rsidRPr="00663A56">
        <w:rPr>
          <w:szCs w:val="26"/>
          <w:rtl/>
          <w:lang w:val="en-CA"/>
        </w:rPr>
        <w:t xml:space="preserve"> للبيع)؛ وإنشاء مصنع حمض النتريك؛ وتوزيع هذه المنتجات بواسطة أسطول النقل الخاص بها. وفي حالة الإغلاق، يكون إنهاء خدمة عمال خط فياسا لإنتاج الهيدروكلوروفلوروكربون-22 مؤهلاً، في حين أن إنهاء خدمة العمال الذين تستخدمهم فياسا لعمليات أخرى غير إنتاج الهيدروكلوروفلوروكربون-22 غير مؤهل. وفي عام 2018، كان خط إنتاج فياسا لإنتاج الهيدروكلوروفلوروكربون-22 قيد التشغيل لمدة تقل عن نصف العام؛ حيث أفادت اليونيدو أنه يمكن للعمال المساعدة في تشغيل مصنع حمض النتريك أو القيام بالصيانة في الموقع عندما لا يكون خط إنتاج الهيدروكلوروفلوروكربون-22 قيد التشغيل.</w:t>
      </w:r>
    </w:p>
    <w:p w14:paraId="508CBFC7" w14:textId="77777777" w:rsidR="001C36B9" w:rsidRPr="00EA5F00" w:rsidRDefault="00D13558" w:rsidP="00031651">
      <w:pPr>
        <w:pStyle w:val="Heading1"/>
        <w:numPr>
          <w:ilvl w:val="0"/>
          <w:numId w:val="7"/>
        </w:numPr>
        <w:bidi/>
        <w:rPr>
          <w:sz w:val="26"/>
          <w:szCs w:val="26"/>
          <w:lang w:val="en-CA"/>
        </w:rPr>
      </w:pPr>
      <w:r w:rsidRPr="00D13558">
        <w:rPr>
          <w:sz w:val="26"/>
          <w:szCs w:val="26"/>
          <w:rtl/>
          <w:lang w:val="en-CA"/>
        </w:rPr>
        <w:t>بعد إمعان النظر في توسيع سير العمل في فياسا، وأهلية العمال ذوي الصلة بإنتاج الهيدروكلوروفلوروكربون-22 ونظرائهم من غير ذوي الصلة، فقد نظرت الأمانة في العمال الـ 48 الذين حددتهم اليونيدو في الاجتماع الرابع والثمانين باعتبارهم يعملون بشكل رئيسي في إنتاج الهيدروكلوروفلوروكربون-22. ولدى وضع اللمسات الأخيرة على هذه الوثيقة، كان مرسوم وزارة العدل وحقوق الإنسان الذي يضاعف تعويض العمال المفصولين دون سبب عادل لا يزال سارياً. وبناء على هذا الأساس، يبلغ تعويض إنهاء خدمة العمال الـ 48</w:t>
      </w:r>
      <w:r>
        <w:rPr>
          <w:rFonts w:hint="cs"/>
          <w:sz w:val="26"/>
          <w:szCs w:val="26"/>
          <w:rtl/>
          <w:lang w:val="en-CA"/>
        </w:rPr>
        <w:t xml:space="preserve"> مبلغاً قدره</w:t>
      </w:r>
      <w:r w:rsidRPr="00D13558">
        <w:rPr>
          <w:sz w:val="26"/>
          <w:szCs w:val="26"/>
          <w:rtl/>
          <w:lang w:val="en-CA"/>
        </w:rPr>
        <w:t xml:space="preserve"> 2,122,816 دولار أمريكي</w:t>
      </w:r>
      <w:r>
        <w:rPr>
          <w:rStyle w:val="FootnoteReference"/>
          <w:sz w:val="26"/>
          <w:szCs w:val="26"/>
          <w:rtl/>
          <w:lang w:val="en-CA"/>
        </w:rPr>
        <w:footnoteReference w:id="18"/>
      </w:r>
      <w:r w:rsidRPr="00D13558">
        <w:rPr>
          <w:sz w:val="26"/>
          <w:szCs w:val="26"/>
          <w:rtl/>
          <w:lang w:val="en-CA"/>
        </w:rPr>
        <w:t>. ومع ذلك، تلاحظ الأمانة أن المدة الحالية للمرسوم ستنتهي في 10 يونيو/حزيران 2020، قبل الاجتماع الخامس والثمانين؛ بحيثُ سيبلغ تعويض إنهاء خدمة العمال الـ (48) إذا لم يتم تجديد المرسوم 1,146,989 دولار أمريكي. وستقدم الأمانة معلومات مُحدَّثة عن هذه المسألة خلال الاجتماع الخامس والثمانين.</w:t>
      </w:r>
    </w:p>
    <w:p w14:paraId="76660B1E" w14:textId="77777777" w:rsidR="00345E34" w:rsidRPr="001F6D86" w:rsidRDefault="00D13558" w:rsidP="001F6D86">
      <w:pPr>
        <w:bidi/>
        <w:spacing w:after="240"/>
        <w:rPr>
          <w:i/>
          <w:iCs/>
          <w:sz w:val="26"/>
          <w:szCs w:val="26"/>
          <w:lang w:val="en-CA"/>
        </w:rPr>
      </w:pPr>
      <w:r w:rsidRPr="00D13558">
        <w:rPr>
          <w:i/>
          <w:iCs/>
          <w:sz w:val="26"/>
          <w:szCs w:val="26"/>
          <w:rtl/>
          <w:lang w:val="en-CA"/>
        </w:rPr>
        <w:t xml:space="preserve">عائد التمويل </w:t>
      </w:r>
      <w:r>
        <w:rPr>
          <w:rFonts w:hint="cs"/>
          <w:i/>
          <w:iCs/>
          <w:sz w:val="26"/>
          <w:szCs w:val="26"/>
          <w:rtl/>
          <w:lang w:val="en-CA"/>
        </w:rPr>
        <w:t>ذي الصلة</w:t>
      </w:r>
      <w:r w:rsidRPr="00D13558">
        <w:rPr>
          <w:i/>
          <w:iCs/>
          <w:sz w:val="26"/>
          <w:szCs w:val="26"/>
          <w:rtl/>
          <w:lang w:val="en-CA"/>
        </w:rPr>
        <w:t xml:space="preserve"> بالتحقق من إنتاج الهيدروكلوروفلوروكربون-22</w:t>
      </w:r>
    </w:p>
    <w:p w14:paraId="08C5F12B" w14:textId="2A69E36E" w:rsidR="001C36B9" w:rsidRPr="00EA5F00" w:rsidRDefault="00D13558" w:rsidP="00031651">
      <w:pPr>
        <w:pStyle w:val="Heading1"/>
        <w:numPr>
          <w:ilvl w:val="0"/>
          <w:numId w:val="7"/>
        </w:numPr>
        <w:bidi/>
        <w:rPr>
          <w:sz w:val="26"/>
          <w:szCs w:val="26"/>
          <w:lang w:val="en-CA"/>
        </w:rPr>
      </w:pPr>
      <w:r w:rsidRPr="00D13558">
        <w:rPr>
          <w:sz w:val="26"/>
          <w:szCs w:val="26"/>
          <w:rtl/>
          <w:lang w:val="en-CA"/>
        </w:rPr>
        <w:t>في اجتماعها الرابع والثمانين، وافقت اللجنة التنفيذية على الشريحة الثانية من المرحلة الثانية من خطة إدارة إزالة المواد الهيدروكلوروفلوروكربونية للأرجنتين (المقرر 84/64). وتضمنت المرحلة الثانية مبلغ 8,333 دولار أمريكي/سنوياً مقابل الرصد السنوي لإنتاج ومخزونات الهيدروكلوروفلوروكربون-22 والتحقق الميداني بواسطة خبراء (ما مجموعه 50,000 دولار أمريكي). وفي حال اختارت اللجنة التنفيذية الخيار 1، فقد ترغب اللجنة التنفيذية في النظر في مطالبة اليونيدو بالعودة إلى مبلغ 16,667 دولار أمريكي المعتمد في الاجتماع السادس والثمانين، بالإضافة إلى تكاليف دعم الوكالة البالغة 1,167 دولار أمريكي، والمرتبط</w:t>
      </w:r>
      <w:r w:rsidR="003C1FFE">
        <w:rPr>
          <w:rFonts w:hint="cs"/>
          <w:sz w:val="26"/>
          <w:szCs w:val="26"/>
          <w:rtl/>
          <w:lang w:val="en-CA"/>
        </w:rPr>
        <w:t>ة</w:t>
      </w:r>
      <w:r w:rsidRPr="00D13558">
        <w:rPr>
          <w:sz w:val="26"/>
          <w:szCs w:val="26"/>
          <w:rtl/>
          <w:lang w:val="en-CA"/>
        </w:rPr>
        <w:t xml:space="preserve"> بالرقابة على الإنتاج لعامي 2021 و2022.</w:t>
      </w:r>
    </w:p>
    <w:p w14:paraId="1BC672AF" w14:textId="77777777" w:rsidR="00AD5B48" w:rsidRPr="001F6D86" w:rsidRDefault="00DB554D" w:rsidP="001F6D86">
      <w:pPr>
        <w:bidi/>
        <w:spacing w:after="240"/>
        <w:rPr>
          <w:sz w:val="26"/>
          <w:szCs w:val="26"/>
          <w:u w:val="single"/>
          <w:lang w:val="en-CA"/>
        </w:rPr>
      </w:pPr>
      <w:r w:rsidRPr="00DB554D">
        <w:rPr>
          <w:sz w:val="26"/>
          <w:szCs w:val="26"/>
          <w:u w:val="single"/>
          <w:rtl/>
          <w:lang w:val="en-CA"/>
        </w:rPr>
        <w:lastRenderedPageBreak/>
        <w:t>الخيار 2: إعادة تشغيل</w:t>
      </w:r>
      <w:r>
        <w:rPr>
          <w:rFonts w:hint="cs"/>
          <w:sz w:val="26"/>
          <w:szCs w:val="26"/>
          <w:u w:val="single"/>
          <w:rtl/>
          <w:lang w:val="en-CA"/>
        </w:rPr>
        <w:t xml:space="preserve"> موقد الحرق </w:t>
      </w:r>
      <w:r w:rsidRPr="00DB554D">
        <w:rPr>
          <w:sz w:val="26"/>
          <w:szCs w:val="26"/>
          <w:u w:val="single"/>
          <w:rtl/>
          <w:lang w:val="en-CA"/>
        </w:rPr>
        <w:t>ومواصلة إنتاج الهيدروكلوروفلوروكربون-22</w:t>
      </w:r>
    </w:p>
    <w:p w14:paraId="1D8E4894" w14:textId="77777777" w:rsidR="001C36B9" w:rsidRPr="00EA5F00" w:rsidRDefault="00F51430" w:rsidP="00031651">
      <w:pPr>
        <w:pStyle w:val="Heading1"/>
        <w:numPr>
          <w:ilvl w:val="0"/>
          <w:numId w:val="7"/>
        </w:numPr>
        <w:bidi/>
        <w:rPr>
          <w:sz w:val="26"/>
          <w:szCs w:val="26"/>
          <w:lang w:val="en-CA"/>
        </w:rPr>
      </w:pPr>
      <w:r w:rsidRPr="00F51430">
        <w:rPr>
          <w:sz w:val="26"/>
          <w:szCs w:val="26"/>
          <w:rtl/>
          <w:lang w:val="en-CA"/>
        </w:rPr>
        <w:t>تبلغ التكاليف الرأسمالية الإضافية لتجديد موقد الحرق 1,168,801 دولار أمريكي (أي تلك التي اقترحتها الأمانة في الاجتماع الثالث والثمانين). ومع ذلك، تم تعديل مستوى تكاليف التشغيل الإضافية على النحو التالي:</w:t>
      </w:r>
    </w:p>
    <w:p w14:paraId="1F8FD876" w14:textId="1A760286" w:rsidR="001F6D86" w:rsidRPr="001F6D86" w:rsidRDefault="002776EC" w:rsidP="00031651">
      <w:pPr>
        <w:pStyle w:val="ListParagraph"/>
        <w:numPr>
          <w:ilvl w:val="0"/>
          <w:numId w:val="13"/>
        </w:numPr>
        <w:bidi/>
        <w:spacing w:after="240"/>
        <w:ind w:left="1440" w:hanging="720"/>
        <w:contextualSpacing w:val="0"/>
        <w:rPr>
          <w:sz w:val="26"/>
          <w:szCs w:val="26"/>
          <w:lang w:val="en-CA"/>
        </w:rPr>
      </w:pPr>
      <w:r w:rsidRPr="002776EC">
        <w:rPr>
          <w:sz w:val="26"/>
          <w:szCs w:val="26"/>
          <w:rtl/>
          <w:lang w:val="en-CA"/>
        </w:rPr>
        <w:t xml:space="preserve">إنتاج 1,540 طن متري/سنوياً (أي متوسط إنتاج الفترة 2017-2019) من الهيدروكلوروفلوروكربون-22 بين عامي 2020 </w:t>
      </w:r>
      <w:r w:rsidR="00EF6593" w:rsidRPr="002776EC">
        <w:rPr>
          <w:rFonts w:hint="cs"/>
          <w:sz w:val="26"/>
          <w:szCs w:val="26"/>
          <w:rtl/>
          <w:lang w:val="en-CA"/>
        </w:rPr>
        <w:t>و2024</w:t>
      </w:r>
      <w:r w:rsidRPr="002776EC">
        <w:rPr>
          <w:sz w:val="26"/>
          <w:szCs w:val="26"/>
          <w:rtl/>
          <w:lang w:val="en-CA"/>
        </w:rPr>
        <w:t xml:space="preserve">، </w:t>
      </w:r>
      <w:r w:rsidR="00EF6593">
        <w:rPr>
          <w:rFonts w:hint="cs"/>
          <w:sz w:val="26"/>
          <w:szCs w:val="26"/>
          <w:rtl/>
          <w:lang w:val="en-CA"/>
        </w:rPr>
        <w:t>وإنتاج</w:t>
      </w:r>
      <w:r w:rsidRPr="002776EC">
        <w:rPr>
          <w:sz w:val="26"/>
          <w:szCs w:val="26"/>
          <w:rtl/>
          <w:lang w:val="en-CA"/>
        </w:rPr>
        <w:t xml:space="preserve"> 1,300 طن متري/سنوياً بين عامي 2025 و2029؛</w:t>
      </w:r>
    </w:p>
    <w:p w14:paraId="1AF8698E" w14:textId="77777777" w:rsidR="00180FC6" w:rsidRPr="00180FC6" w:rsidRDefault="0011473A" w:rsidP="00031651">
      <w:pPr>
        <w:pStyle w:val="ListParagraph"/>
        <w:numPr>
          <w:ilvl w:val="0"/>
          <w:numId w:val="13"/>
        </w:numPr>
        <w:bidi/>
        <w:spacing w:after="240"/>
        <w:ind w:left="1440" w:hanging="720"/>
        <w:contextualSpacing w:val="0"/>
        <w:rPr>
          <w:sz w:val="26"/>
          <w:szCs w:val="26"/>
          <w:lang w:val="en-CA"/>
        </w:rPr>
      </w:pPr>
      <w:r w:rsidRPr="0011473A">
        <w:rPr>
          <w:sz w:val="26"/>
          <w:szCs w:val="26"/>
          <w:rtl/>
          <w:lang w:val="en-CA"/>
        </w:rPr>
        <w:t>معدل خصم قدره 38.1 في المائة؛ و</w:t>
      </w:r>
    </w:p>
    <w:p w14:paraId="6EB9AF22" w14:textId="77777777" w:rsidR="00180FC6" w:rsidRPr="00180FC6" w:rsidRDefault="0011473A" w:rsidP="00031651">
      <w:pPr>
        <w:pStyle w:val="ListParagraph"/>
        <w:numPr>
          <w:ilvl w:val="0"/>
          <w:numId w:val="13"/>
        </w:numPr>
        <w:bidi/>
        <w:spacing w:after="240"/>
        <w:ind w:left="1440" w:hanging="720"/>
        <w:contextualSpacing w:val="0"/>
        <w:rPr>
          <w:sz w:val="26"/>
          <w:szCs w:val="26"/>
          <w:lang w:val="en-CA"/>
        </w:rPr>
      </w:pPr>
      <w:r w:rsidRPr="0011473A">
        <w:rPr>
          <w:sz w:val="26"/>
          <w:szCs w:val="26"/>
          <w:rtl/>
          <w:lang w:val="en-CA"/>
        </w:rPr>
        <w:t>سيبدأ تدمير الهيدروفلوروكربون-23 في 1 يناير/ كانون الثاني 2021 (أي بافتراض أن تجديد موقد الحرق سيستغرق ستة أشهر).</w:t>
      </w:r>
    </w:p>
    <w:p w14:paraId="343A1B40" w14:textId="77777777" w:rsidR="001C36B9" w:rsidRPr="00EA5F00" w:rsidRDefault="003802AD" w:rsidP="00031651">
      <w:pPr>
        <w:pStyle w:val="Heading1"/>
        <w:numPr>
          <w:ilvl w:val="0"/>
          <w:numId w:val="7"/>
        </w:numPr>
        <w:bidi/>
        <w:rPr>
          <w:sz w:val="26"/>
          <w:szCs w:val="26"/>
          <w:lang w:val="en-CA"/>
        </w:rPr>
      </w:pPr>
      <w:r>
        <w:rPr>
          <w:rFonts w:hint="cs"/>
          <w:sz w:val="26"/>
          <w:szCs w:val="26"/>
          <w:rtl/>
          <w:lang w:val="en-CA"/>
        </w:rPr>
        <w:t>تت</w:t>
      </w:r>
      <w:r w:rsidRPr="003802AD">
        <w:rPr>
          <w:sz w:val="26"/>
          <w:szCs w:val="26"/>
          <w:rtl/>
          <w:lang w:val="en-CA"/>
        </w:rPr>
        <w:t xml:space="preserve">راوح </w:t>
      </w:r>
      <w:r>
        <w:rPr>
          <w:rFonts w:hint="cs"/>
          <w:sz w:val="26"/>
          <w:szCs w:val="26"/>
          <w:rtl/>
          <w:lang w:val="en-CA"/>
        </w:rPr>
        <w:t>القيمة الصافية</w:t>
      </w:r>
      <w:r w:rsidRPr="003802AD">
        <w:rPr>
          <w:sz w:val="26"/>
          <w:szCs w:val="26"/>
          <w:rtl/>
          <w:lang w:val="en-CA"/>
        </w:rPr>
        <w:t xml:space="preserve"> الحالية لإعادة تشغيل موقد الحرق ومواصلة إنتاج الهيدروكلوروفلوروكربون-22 بين 1,207,771 دولار أمريكي (سنة واحدة من تكاليف التشغيل الإضافية) و1,306,104 دولار أمريكي (تسع سنوات من تكاليف التشغيل الإضافية) على النحو الموضح في الجدول 1.</w:t>
      </w:r>
    </w:p>
    <w:p w14:paraId="548B5884" w14:textId="67794279" w:rsidR="005C2B50" w:rsidRPr="003C1FFE" w:rsidRDefault="005C2B50" w:rsidP="005C2B50">
      <w:pPr>
        <w:bidi/>
        <w:rPr>
          <w:bCs/>
          <w:rtl/>
          <w:lang w:val="en-CA" w:bidi="ar-AE"/>
        </w:rPr>
      </w:pPr>
      <w:r w:rsidRPr="003C1FFE">
        <w:rPr>
          <w:rFonts w:hint="cs"/>
          <w:bCs/>
          <w:rtl/>
          <w:lang w:val="en-CA"/>
        </w:rPr>
        <w:t xml:space="preserve">الجدول 1: </w:t>
      </w:r>
      <w:r w:rsidRPr="003C1FFE">
        <w:rPr>
          <w:bCs/>
          <w:rtl/>
          <w:lang w:val="en-CA"/>
        </w:rPr>
        <w:t>القيمة الصافية الحالية</w:t>
      </w:r>
      <w:r w:rsidR="003117A4" w:rsidRPr="003C1FFE">
        <w:rPr>
          <w:rFonts w:hint="cs"/>
          <w:bCs/>
          <w:rtl/>
          <w:lang w:val="en-CA"/>
        </w:rPr>
        <w:t xml:space="preserve"> (دولار أمريكي) من الخيار 2 </w:t>
      </w:r>
      <w:r w:rsidR="0054629A" w:rsidRPr="003C1FFE">
        <w:rPr>
          <w:rFonts w:hint="cs"/>
          <w:bCs/>
          <w:rtl/>
          <w:lang w:val="en-CA" w:bidi="ar-AE"/>
        </w:rPr>
        <w:t>كدلالة على عدد السنوات التي تم فيها تزويد تكاليف التشغيل الإضافية</w:t>
      </w:r>
    </w:p>
    <w:tbl>
      <w:tblPr>
        <w:bidiVisual/>
        <w:tblW w:w="9360" w:type="dxa"/>
        <w:tblLayout w:type="fixed"/>
        <w:tblLook w:val="04A0" w:firstRow="1" w:lastRow="0" w:firstColumn="1" w:lastColumn="0" w:noHBand="0" w:noVBand="1"/>
      </w:tblPr>
      <w:tblGrid>
        <w:gridCol w:w="1445"/>
        <w:gridCol w:w="879"/>
        <w:gridCol w:w="879"/>
        <w:gridCol w:w="880"/>
        <w:gridCol w:w="879"/>
        <w:gridCol w:w="880"/>
        <w:gridCol w:w="879"/>
        <w:gridCol w:w="880"/>
        <w:gridCol w:w="879"/>
        <w:gridCol w:w="880"/>
      </w:tblGrid>
      <w:tr w:rsidR="005C2B50" w:rsidRPr="00B941B3" w14:paraId="30450E1B" w14:textId="77777777" w:rsidTr="003A66D6">
        <w:tc>
          <w:tcPr>
            <w:tcW w:w="144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7412ADC" w14:textId="77777777" w:rsidR="005C2B50" w:rsidRPr="00B941B3" w:rsidRDefault="005C2B50" w:rsidP="005C2B50">
            <w:pPr>
              <w:bidi/>
              <w:jc w:val="left"/>
              <w:rPr>
                <w:sz w:val="20"/>
                <w:szCs w:val="20"/>
                <w:lang w:val="en-CA" w:eastAsia="en-CA"/>
              </w:rPr>
            </w:pPr>
            <w:r>
              <w:rPr>
                <w:rFonts w:hint="cs"/>
                <w:sz w:val="20"/>
                <w:szCs w:val="20"/>
                <w:rtl/>
                <w:lang w:val="en-CA" w:eastAsia="en-CA"/>
              </w:rPr>
              <w:t>السنوات</w:t>
            </w:r>
          </w:p>
        </w:tc>
        <w:tc>
          <w:tcPr>
            <w:tcW w:w="879" w:type="dxa"/>
            <w:tcBorders>
              <w:top w:val="single" w:sz="4" w:space="0" w:color="auto"/>
              <w:left w:val="nil"/>
              <w:bottom w:val="single" w:sz="4" w:space="0" w:color="auto"/>
              <w:right w:val="single" w:sz="4" w:space="0" w:color="auto"/>
            </w:tcBorders>
            <w:shd w:val="clear" w:color="auto" w:fill="auto"/>
            <w:noWrap/>
            <w:tcMar>
              <w:left w:w="29" w:type="dxa"/>
              <w:right w:w="29" w:type="dxa"/>
            </w:tcMar>
          </w:tcPr>
          <w:p w14:paraId="6A15F69D" w14:textId="77777777" w:rsidR="005C2B50" w:rsidRPr="00B941B3" w:rsidRDefault="00AD65D1" w:rsidP="005C2B50">
            <w:pPr>
              <w:bidi/>
              <w:jc w:val="center"/>
              <w:rPr>
                <w:sz w:val="20"/>
                <w:szCs w:val="20"/>
                <w:lang w:val="en-CA"/>
              </w:rPr>
            </w:pPr>
            <w:r>
              <w:rPr>
                <w:rFonts w:hint="cs"/>
                <w:sz w:val="20"/>
                <w:szCs w:val="20"/>
                <w:rtl/>
                <w:lang w:val="en-CA"/>
              </w:rPr>
              <w:t>1</w:t>
            </w:r>
          </w:p>
        </w:tc>
        <w:tc>
          <w:tcPr>
            <w:tcW w:w="879" w:type="dxa"/>
            <w:tcBorders>
              <w:top w:val="single" w:sz="4" w:space="0" w:color="auto"/>
              <w:left w:val="nil"/>
              <w:bottom w:val="single" w:sz="4" w:space="0" w:color="auto"/>
              <w:right w:val="single" w:sz="4" w:space="0" w:color="auto"/>
            </w:tcBorders>
            <w:shd w:val="clear" w:color="auto" w:fill="auto"/>
            <w:noWrap/>
            <w:tcMar>
              <w:left w:w="29" w:type="dxa"/>
              <w:right w:w="29" w:type="dxa"/>
            </w:tcMar>
          </w:tcPr>
          <w:p w14:paraId="67A2C3D1" w14:textId="77777777" w:rsidR="005C2B50" w:rsidRPr="00B941B3" w:rsidRDefault="00AD65D1" w:rsidP="005C2B50">
            <w:pPr>
              <w:bidi/>
              <w:jc w:val="center"/>
              <w:rPr>
                <w:sz w:val="20"/>
                <w:szCs w:val="20"/>
                <w:lang w:val="en-CA"/>
              </w:rPr>
            </w:pPr>
            <w:r>
              <w:rPr>
                <w:rFonts w:hint="cs"/>
                <w:sz w:val="20"/>
                <w:szCs w:val="20"/>
                <w:rtl/>
                <w:lang w:val="en-CA"/>
              </w:rPr>
              <w:t>2</w:t>
            </w:r>
          </w:p>
        </w:tc>
        <w:tc>
          <w:tcPr>
            <w:tcW w:w="880" w:type="dxa"/>
            <w:tcBorders>
              <w:top w:val="single" w:sz="4" w:space="0" w:color="auto"/>
              <w:left w:val="nil"/>
              <w:bottom w:val="single" w:sz="4" w:space="0" w:color="auto"/>
              <w:right w:val="single" w:sz="4" w:space="0" w:color="auto"/>
            </w:tcBorders>
            <w:shd w:val="clear" w:color="auto" w:fill="auto"/>
            <w:noWrap/>
            <w:tcMar>
              <w:left w:w="29" w:type="dxa"/>
              <w:right w:w="29" w:type="dxa"/>
            </w:tcMar>
          </w:tcPr>
          <w:p w14:paraId="6A3F2082" w14:textId="77777777" w:rsidR="005C2B50" w:rsidRPr="00B941B3" w:rsidRDefault="00AD65D1" w:rsidP="005C2B50">
            <w:pPr>
              <w:bidi/>
              <w:jc w:val="center"/>
              <w:rPr>
                <w:sz w:val="20"/>
                <w:szCs w:val="20"/>
                <w:lang w:val="en-CA"/>
              </w:rPr>
            </w:pPr>
            <w:r>
              <w:rPr>
                <w:rFonts w:hint="cs"/>
                <w:sz w:val="20"/>
                <w:szCs w:val="20"/>
                <w:rtl/>
                <w:lang w:val="en-CA"/>
              </w:rPr>
              <w:t>3</w:t>
            </w:r>
          </w:p>
        </w:tc>
        <w:tc>
          <w:tcPr>
            <w:tcW w:w="879" w:type="dxa"/>
            <w:tcBorders>
              <w:top w:val="single" w:sz="4" w:space="0" w:color="auto"/>
              <w:left w:val="nil"/>
              <w:bottom w:val="single" w:sz="4" w:space="0" w:color="auto"/>
              <w:right w:val="single" w:sz="4" w:space="0" w:color="auto"/>
            </w:tcBorders>
            <w:shd w:val="clear" w:color="auto" w:fill="auto"/>
            <w:noWrap/>
            <w:tcMar>
              <w:left w:w="29" w:type="dxa"/>
              <w:right w:w="29" w:type="dxa"/>
            </w:tcMar>
          </w:tcPr>
          <w:p w14:paraId="12CF1789" w14:textId="77777777" w:rsidR="005C2B50" w:rsidRPr="00B941B3" w:rsidRDefault="00AD65D1" w:rsidP="005C2B50">
            <w:pPr>
              <w:bidi/>
              <w:jc w:val="center"/>
              <w:rPr>
                <w:sz w:val="20"/>
                <w:szCs w:val="20"/>
                <w:lang w:val="en-CA"/>
              </w:rPr>
            </w:pPr>
            <w:r>
              <w:rPr>
                <w:rFonts w:hint="cs"/>
                <w:sz w:val="20"/>
                <w:szCs w:val="20"/>
                <w:rtl/>
                <w:lang w:val="en-CA"/>
              </w:rPr>
              <w:t>4</w:t>
            </w:r>
          </w:p>
        </w:tc>
        <w:tc>
          <w:tcPr>
            <w:tcW w:w="880" w:type="dxa"/>
            <w:tcBorders>
              <w:top w:val="single" w:sz="4" w:space="0" w:color="auto"/>
              <w:left w:val="nil"/>
              <w:bottom w:val="single" w:sz="4" w:space="0" w:color="auto"/>
              <w:right w:val="single" w:sz="4" w:space="0" w:color="auto"/>
            </w:tcBorders>
            <w:shd w:val="clear" w:color="auto" w:fill="auto"/>
            <w:noWrap/>
            <w:tcMar>
              <w:left w:w="29" w:type="dxa"/>
              <w:right w:w="29" w:type="dxa"/>
            </w:tcMar>
          </w:tcPr>
          <w:p w14:paraId="2DC6A35C" w14:textId="77777777" w:rsidR="005C2B50" w:rsidRPr="00B941B3" w:rsidRDefault="00AD65D1" w:rsidP="005C2B50">
            <w:pPr>
              <w:bidi/>
              <w:jc w:val="center"/>
              <w:rPr>
                <w:sz w:val="20"/>
                <w:szCs w:val="20"/>
                <w:lang w:val="en-CA"/>
              </w:rPr>
            </w:pPr>
            <w:r>
              <w:rPr>
                <w:rFonts w:hint="cs"/>
                <w:sz w:val="20"/>
                <w:szCs w:val="20"/>
                <w:rtl/>
                <w:lang w:val="en-CA"/>
              </w:rPr>
              <w:t>5</w:t>
            </w:r>
          </w:p>
        </w:tc>
        <w:tc>
          <w:tcPr>
            <w:tcW w:w="879" w:type="dxa"/>
            <w:tcBorders>
              <w:top w:val="single" w:sz="4" w:space="0" w:color="auto"/>
              <w:left w:val="nil"/>
              <w:bottom w:val="single" w:sz="4" w:space="0" w:color="auto"/>
              <w:right w:val="single" w:sz="4" w:space="0" w:color="auto"/>
            </w:tcBorders>
            <w:shd w:val="clear" w:color="auto" w:fill="auto"/>
            <w:noWrap/>
            <w:tcMar>
              <w:left w:w="29" w:type="dxa"/>
              <w:right w:w="29" w:type="dxa"/>
            </w:tcMar>
          </w:tcPr>
          <w:p w14:paraId="3875C9ED" w14:textId="77777777" w:rsidR="005C2B50" w:rsidRPr="00B941B3" w:rsidRDefault="00AD65D1" w:rsidP="005C2B50">
            <w:pPr>
              <w:bidi/>
              <w:jc w:val="center"/>
              <w:rPr>
                <w:sz w:val="20"/>
                <w:szCs w:val="20"/>
                <w:lang w:val="en-CA"/>
              </w:rPr>
            </w:pPr>
            <w:r>
              <w:rPr>
                <w:rFonts w:hint="cs"/>
                <w:sz w:val="20"/>
                <w:szCs w:val="20"/>
                <w:rtl/>
                <w:lang w:val="en-CA"/>
              </w:rPr>
              <w:t>6</w:t>
            </w:r>
          </w:p>
        </w:tc>
        <w:tc>
          <w:tcPr>
            <w:tcW w:w="880" w:type="dxa"/>
            <w:tcBorders>
              <w:top w:val="single" w:sz="4" w:space="0" w:color="auto"/>
              <w:left w:val="nil"/>
              <w:bottom w:val="single" w:sz="4" w:space="0" w:color="auto"/>
              <w:right w:val="single" w:sz="4" w:space="0" w:color="auto"/>
            </w:tcBorders>
            <w:shd w:val="clear" w:color="auto" w:fill="auto"/>
            <w:noWrap/>
            <w:tcMar>
              <w:left w:w="29" w:type="dxa"/>
              <w:right w:w="29" w:type="dxa"/>
            </w:tcMar>
          </w:tcPr>
          <w:p w14:paraId="19D06A35" w14:textId="77777777" w:rsidR="005C2B50" w:rsidRPr="00B941B3" w:rsidRDefault="00AD65D1" w:rsidP="005C2B50">
            <w:pPr>
              <w:bidi/>
              <w:jc w:val="center"/>
              <w:rPr>
                <w:sz w:val="20"/>
                <w:szCs w:val="20"/>
                <w:lang w:val="en-CA"/>
              </w:rPr>
            </w:pPr>
            <w:r>
              <w:rPr>
                <w:rFonts w:hint="cs"/>
                <w:sz w:val="20"/>
                <w:szCs w:val="20"/>
                <w:rtl/>
                <w:lang w:val="en-CA"/>
              </w:rPr>
              <w:t>7</w:t>
            </w:r>
          </w:p>
        </w:tc>
        <w:tc>
          <w:tcPr>
            <w:tcW w:w="879" w:type="dxa"/>
            <w:tcBorders>
              <w:top w:val="single" w:sz="4" w:space="0" w:color="auto"/>
              <w:left w:val="nil"/>
              <w:bottom w:val="single" w:sz="4" w:space="0" w:color="auto"/>
              <w:right w:val="single" w:sz="4" w:space="0" w:color="auto"/>
            </w:tcBorders>
            <w:shd w:val="clear" w:color="auto" w:fill="auto"/>
            <w:noWrap/>
            <w:tcMar>
              <w:left w:w="29" w:type="dxa"/>
              <w:right w:w="29" w:type="dxa"/>
            </w:tcMar>
          </w:tcPr>
          <w:p w14:paraId="6B873650" w14:textId="77777777" w:rsidR="005C2B50" w:rsidRPr="00B941B3" w:rsidRDefault="00AD65D1" w:rsidP="005C2B50">
            <w:pPr>
              <w:bidi/>
              <w:jc w:val="center"/>
              <w:rPr>
                <w:sz w:val="20"/>
                <w:szCs w:val="20"/>
                <w:lang w:val="en-CA"/>
              </w:rPr>
            </w:pPr>
            <w:r>
              <w:rPr>
                <w:rFonts w:hint="cs"/>
                <w:sz w:val="20"/>
                <w:szCs w:val="20"/>
                <w:rtl/>
                <w:lang w:val="en-CA"/>
              </w:rPr>
              <w:t>8</w:t>
            </w:r>
          </w:p>
        </w:tc>
        <w:tc>
          <w:tcPr>
            <w:tcW w:w="880" w:type="dxa"/>
            <w:tcBorders>
              <w:top w:val="single" w:sz="4" w:space="0" w:color="auto"/>
              <w:left w:val="nil"/>
              <w:bottom w:val="single" w:sz="4" w:space="0" w:color="auto"/>
              <w:right w:val="single" w:sz="4" w:space="0" w:color="auto"/>
            </w:tcBorders>
            <w:shd w:val="clear" w:color="auto" w:fill="auto"/>
            <w:noWrap/>
            <w:tcMar>
              <w:left w:w="29" w:type="dxa"/>
              <w:right w:w="29" w:type="dxa"/>
            </w:tcMar>
          </w:tcPr>
          <w:p w14:paraId="3D3B8AB5" w14:textId="77777777" w:rsidR="005C2B50" w:rsidRPr="00B941B3" w:rsidRDefault="00AD65D1" w:rsidP="005C2B50">
            <w:pPr>
              <w:bidi/>
              <w:jc w:val="center"/>
              <w:rPr>
                <w:sz w:val="20"/>
                <w:szCs w:val="20"/>
                <w:lang w:val="en-CA"/>
              </w:rPr>
            </w:pPr>
            <w:r>
              <w:rPr>
                <w:rFonts w:hint="cs"/>
                <w:sz w:val="20"/>
                <w:szCs w:val="20"/>
                <w:rtl/>
                <w:lang w:val="en-CA"/>
              </w:rPr>
              <w:t>9</w:t>
            </w:r>
          </w:p>
        </w:tc>
      </w:tr>
      <w:tr w:rsidR="005C2B50" w:rsidRPr="00B941B3" w14:paraId="3EC1536A" w14:textId="77777777" w:rsidTr="003A66D6">
        <w:tc>
          <w:tcPr>
            <w:tcW w:w="1445"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43AFF2B" w14:textId="77777777" w:rsidR="005C2B50" w:rsidRPr="00B941B3" w:rsidRDefault="005C2B50" w:rsidP="005C2B50">
            <w:pPr>
              <w:bidi/>
              <w:jc w:val="left"/>
              <w:rPr>
                <w:sz w:val="20"/>
                <w:szCs w:val="20"/>
                <w:lang w:val="en-CA" w:eastAsia="en-CA"/>
              </w:rPr>
            </w:pPr>
            <w:r>
              <w:rPr>
                <w:rFonts w:hint="cs"/>
                <w:sz w:val="20"/>
                <w:szCs w:val="20"/>
                <w:rtl/>
                <w:lang w:val="en-CA" w:eastAsia="en-CA"/>
              </w:rPr>
              <w:t>القيمة الصافية الحالية</w:t>
            </w:r>
            <w:r w:rsidRPr="00B941B3">
              <w:rPr>
                <w:sz w:val="20"/>
                <w:szCs w:val="20"/>
                <w:lang w:val="en-CA" w:eastAsia="en-CA"/>
              </w:rPr>
              <w:t xml:space="preserve"> </w:t>
            </w:r>
          </w:p>
        </w:tc>
        <w:tc>
          <w:tcPr>
            <w:tcW w:w="879" w:type="dxa"/>
            <w:tcBorders>
              <w:top w:val="nil"/>
              <w:left w:val="nil"/>
              <w:bottom w:val="single" w:sz="4" w:space="0" w:color="auto"/>
              <w:right w:val="single" w:sz="4" w:space="0" w:color="auto"/>
            </w:tcBorders>
            <w:shd w:val="clear" w:color="auto" w:fill="auto"/>
            <w:noWrap/>
            <w:tcMar>
              <w:left w:w="29" w:type="dxa"/>
              <w:right w:w="29" w:type="dxa"/>
            </w:tcMar>
            <w:hideMark/>
          </w:tcPr>
          <w:p w14:paraId="465BFAE6" w14:textId="77777777" w:rsidR="00AD65D1" w:rsidRPr="003A66D6" w:rsidRDefault="00AD65D1" w:rsidP="00AD65D1">
            <w:pPr>
              <w:bidi/>
              <w:jc w:val="right"/>
              <w:rPr>
                <w:sz w:val="18"/>
                <w:szCs w:val="18"/>
                <w:lang w:val="en-CA" w:eastAsia="en-CA"/>
              </w:rPr>
            </w:pPr>
            <w:r w:rsidRPr="003A66D6">
              <w:rPr>
                <w:rFonts w:hint="cs"/>
                <w:sz w:val="18"/>
                <w:szCs w:val="18"/>
                <w:rtl/>
                <w:lang w:val="en-CA" w:eastAsia="en-CA"/>
              </w:rPr>
              <w:t>1,207,771</w:t>
            </w:r>
          </w:p>
        </w:tc>
        <w:tc>
          <w:tcPr>
            <w:tcW w:w="879" w:type="dxa"/>
            <w:tcBorders>
              <w:top w:val="nil"/>
              <w:left w:val="nil"/>
              <w:bottom w:val="single" w:sz="4" w:space="0" w:color="auto"/>
              <w:right w:val="single" w:sz="4" w:space="0" w:color="auto"/>
            </w:tcBorders>
            <w:shd w:val="clear" w:color="auto" w:fill="auto"/>
            <w:noWrap/>
            <w:tcMar>
              <w:left w:w="29" w:type="dxa"/>
              <w:right w:w="29" w:type="dxa"/>
            </w:tcMar>
            <w:hideMark/>
          </w:tcPr>
          <w:p w14:paraId="51B52112" w14:textId="77777777" w:rsidR="00AD65D1" w:rsidRPr="003A66D6" w:rsidRDefault="00AD65D1" w:rsidP="00AD65D1">
            <w:pPr>
              <w:bidi/>
              <w:jc w:val="right"/>
              <w:rPr>
                <w:sz w:val="18"/>
                <w:szCs w:val="18"/>
                <w:lang w:val="en-CA" w:eastAsia="en-CA"/>
              </w:rPr>
            </w:pPr>
            <w:r w:rsidRPr="003A66D6">
              <w:rPr>
                <w:rFonts w:hint="cs"/>
                <w:sz w:val="18"/>
                <w:szCs w:val="18"/>
                <w:rtl/>
                <w:lang w:val="en-CA" w:eastAsia="en-CA"/>
              </w:rPr>
              <w:t>1,235,989</w:t>
            </w:r>
          </w:p>
        </w:tc>
        <w:tc>
          <w:tcPr>
            <w:tcW w:w="880" w:type="dxa"/>
            <w:tcBorders>
              <w:top w:val="nil"/>
              <w:left w:val="nil"/>
              <w:bottom w:val="single" w:sz="4" w:space="0" w:color="auto"/>
              <w:right w:val="single" w:sz="4" w:space="0" w:color="auto"/>
            </w:tcBorders>
            <w:shd w:val="clear" w:color="auto" w:fill="auto"/>
            <w:noWrap/>
            <w:tcMar>
              <w:left w:w="29" w:type="dxa"/>
              <w:right w:w="29" w:type="dxa"/>
            </w:tcMar>
            <w:hideMark/>
          </w:tcPr>
          <w:p w14:paraId="2CC28F60" w14:textId="77777777" w:rsidR="00AD65D1" w:rsidRPr="003A66D6" w:rsidRDefault="00AD65D1" w:rsidP="00AD65D1">
            <w:pPr>
              <w:bidi/>
              <w:jc w:val="right"/>
              <w:rPr>
                <w:sz w:val="18"/>
                <w:szCs w:val="18"/>
                <w:lang w:val="en-CA" w:eastAsia="en-CA"/>
              </w:rPr>
            </w:pPr>
            <w:r w:rsidRPr="003A66D6">
              <w:rPr>
                <w:rFonts w:hint="cs"/>
                <w:sz w:val="18"/>
                <w:szCs w:val="18"/>
                <w:rtl/>
                <w:lang w:val="en-CA" w:eastAsia="en-CA"/>
              </w:rPr>
              <w:t>1,258,027</w:t>
            </w:r>
          </w:p>
        </w:tc>
        <w:tc>
          <w:tcPr>
            <w:tcW w:w="879" w:type="dxa"/>
            <w:tcBorders>
              <w:top w:val="nil"/>
              <w:left w:val="nil"/>
              <w:bottom w:val="single" w:sz="4" w:space="0" w:color="auto"/>
              <w:right w:val="single" w:sz="4" w:space="0" w:color="auto"/>
            </w:tcBorders>
            <w:shd w:val="clear" w:color="auto" w:fill="auto"/>
            <w:noWrap/>
            <w:tcMar>
              <w:left w:w="29" w:type="dxa"/>
              <w:right w:w="29" w:type="dxa"/>
            </w:tcMar>
            <w:hideMark/>
          </w:tcPr>
          <w:p w14:paraId="3F031590" w14:textId="77777777" w:rsidR="00AD65D1" w:rsidRPr="003A66D6" w:rsidRDefault="00AD65D1" w:rsidP="00AD65D1">
            <w:pPr>
              <w:bidi/>
              <w:jc w:val="right"/>
              <w:rPr>
                <w:sz w:val="18"/>
                <w:szCs w:val="18"/>
                <w:lang w:val="en-CA" w:eastAsia="en-CA"/>
              </w:rPr>
            </w:pPr>
            <w:r w:rsidRPr="003A66D6">
              <w:rPr>
                <w:rFonts w:hint="cs"/>
                <w:sz w:val="18"/>
                <w:szCs w:val="18"/>
                <w:rtl/>
                <w:lang w:val="en-CA" w:eastAsia="en-CA"/>
              </w:rPr>
              <w:t>1,273,984</w:t>
            </w:r>
          </w:p>
        </w:tc>
        <w:tc>
          <w:tcPr>
            <w:tcW w:w="880" w:type="dxa"/>
            <w:tcBorders>
              <w:top w:val="nil"/>
              <w:left w:val="nil"/>
              <w:bottom w:val="single" w:sz="4" w:space="0" w:color="auto"/>
              <w:right w:val="single" w:sz="4" w:space="0" w:color="auto"/>
            </w:tcBorders>
            <w:shd w:val="clear" w:color="auto" w:fill="auto"/>
            <w:noWrap/>
            <w:tcMar>
              <w:left w:w="29" w:type="dxa"/>
              <w:right w:w="29" w:type="dxa"/>
            </w:tcMar>
            <w:hideMark/>
          </w:tcPr>
          <w:p w14:paraId="745F1E49" w14:textId="77777777" w:rsidR="00AD65D1" w:rsidRPr="003A66D6" w:rsidRDefault="00AD65D1" w:rsidP="00AD65D1">
            <w:pPr>
              <w:bidi/>
              <w:jc w:val="right"/>
              <w:rPr>
                <w:sz w:val="18"/>
                <w:szCs w:val="18"/>
                <w:lang w:val="en-CA" w:eastAsia="en-CA"/>
              </w:rPr>
            </w:pPr>
            <w:r w:rsidRPr="003A66D6">
              <w:rPr>
                <w:rFonts w:hint="cs"/>
                <w:sz w:val="18"/>
                <w:szCs w:val="18"/>
                <w:rtl/>
                <w:lang w:val="en-CA" w:eastAsia="en-CA"/>
              </w:rPr>
              <w:t>1.285,048</w:t>
            </w:r>
          </w:p>
        </w:tc>
        <w:tc>
          <w:tcPr>
            <w:tcW w:w="879" w:type="dxa"/>
            <w:tcBorders>
              <w:top w:val="nil"/>
              <w:left w:val="nil"/>
              <w:bottom w:val="single" w:sz="4" w:space="0" w:color="auto"/>
              <w:right w:val="single" w:sz="4" w:space="0" w:color="auto"/>
            </w:tcBorders>
            <w:shd w:val="clear" w:color="auto" w:fill="auto"/>
            <w:noWrap/>
            <w:tcMar>
              <w:left w:w="29" w:type="dxa"/>
              <w:right w:w="29" w:type="dxa"/>
            </w:tcMar>
            <w:hideMark/>
          </w:tcPr>
          <w:p w14:paraId="0019C2B8" w14:textId="77777777" w:rsidR="004864BF" w:rsidRPr="003A66D6" w:rsidRDefault="004864BF" w:rsidP="004864BF">
            <w:pPr>
              <w:bidi/>
              <w:jc w:val="right"/>
              <w:rPr>
                <w:sz w:val="18"/>
                <w:szCs w:val="18"/>
                <w:lang w:val="en-CA" w:eastAsia="en-CA"/>
              </w:rPr>
            </w:pPr>
            <w:r w:rsidRPr="003A66D6">
              <w:rPr>
                <w:rFonts w:hint="cs"/>
                <w:sz w:val="18"/>
                <w:szCs w:val="18"/>
                <w:rtl/>
                <w:lang w:val="en-CA" w:eastAsia="en-CA"/>
              </w:rPr>
              <w:t>1,293,060</w:t>
            </w:r>
          </w:p>
        </w:tc>
        <w:tc>
          <w:tcPr>
            <w:tcW w:w="880" w:type="dxa"/>
            <w:tcBorders>
              <w:top w:val="nil"/>
              <w:left w:val="nil"/>
              <w:bottom w:val="single" w:sz="4" w:space="0" w:color="auto"/>
              <w:right w:val="single" w:sz="4" w:space="0" w:color="auto"/>
            </w:tcBorders>
            <w:shd w:val="clear" w:color="auto" w:fill="auto"/>
            <w:noWrap/>
            <w:tcMar>
              <w:left w:w="29" w:type="dxa"/>
              <w:right w:w="29" w:type="dxa"/>
            </w:tcMar>
            <w:hideMark/>
          </w:tcPr>
          <w:p w14:paraId="774FCB68" w14:textId="77777777" w:rsidR="004864BF" w:rsidRPr="003A66D6" w:rsidRDefault="004864BF" w:rsidP="004864BF">
            <w:pPr>
              <w:bidi/>
              <w:jc w:val="right"/>
              <w:rPr>
                <w:sz w:val="18"/>
                <w:szCs w:val="18"/>
                <w:lang w:val="en-CA" w:eastAsia="en-CA"/>
              </w:rPr>
            </w:pPr>
            <w:r w:rsidRPr="003A66D6">
              <w:rPr>
                <w:rFonts w:hint="cs"/>
                <w:sz w:val="18"/>
                <w:szCs w:val="18"/>
                <w:rtl/>
                <w:lang w:val="en-CA" w:eastAsia="en-CA"/>
              </w:rPr>
              <w:t>1,298,862</w:t>
            </w:r>
          </w:p>
        </w:tc>
        <w:tc>
          <w:tcPr>
            <w:tcW w:w="879" w:type="dxa"/>
            <w:tcBorders>
              <w:top w:val="nil"/>
              <w:left w:val="nil"/>
              <w:bottom w:val="single" w:sz="4" w:space="0" w:color="auto"/>
              <w:right w:val="single" w:sz="4" w:space="0" w:color="auto"/>
            </w:tcBorders>
            <w:shd w:val="clear" w:color="auto" w:fill="auto"/>
            <w:noWrap/>
            <w:tcMar>
              <w:left w:w="29" w:type="dxa"/>
              <w:right w:w="29" w:type="dxa"/>
            </w:tcMar>
            <w:hideMark/>
          </w:tcPr>
          <w:p w14:paraId="4B3B4852" w14:textId="77777777" w:rsidR="004864BF" w:rsidRPr="003A66D6" w:rsidRDefault="004864BF" w:rsidP="004864BF">
            <w:pPr>
              <w:bidi/>
              <w:jc w:val="right"/>
              <w:rPr>
                <w:sz w:val="18"/>
                <w:szCs w:val="18"/>
                <w:lang w:val="en-CA" w:eastAsia="en-CA"/>
              </w:rPr>
            </w:pPr>
            <w:r w:rsidRPr="003A66D6">
              <w:rPr>
                <w:rFonts w:hint="cs"/>
                <w:sz w:val="18"/>
                <w:szCs w:val="18"/>
                <w:rtl/>
                <w:lang w:val="en-CA" w:eastAsia="en-CA"/>
              </w:rPr>
              <w:t>1,303,063</w:t>
            </w:r>
          </w:p>
        </w:tc>
        <w:tc>
          <w:tcPr>
            <w:tcW w:w="880" w:type="dxa"/>
            <w:tcBorders>
              <w:top w:val="nil"/>
              <w:left w:val="nil"/>
              <w:bottom w:val="single" w:sz="4" w:space="0" w:color="auto"/>
              <w:right w:val="single" w:sz="4" w:space="0" w:color="auto"/>
            </w:tcBorders>
            <w:shd w:val="clear" w:color="auto" w:fill="auto"/>
            <w:noWrap/>
            <w:tcMar>
              <w:left w:w="29" w:type="dxa"/>
              <w:right w:w="29" w:type="dxa"/>
            </w:tcMar>
            <w:hideMark/>
          </w:tcPr>
          <w:p w14:paraId="3C525CDD" w14:textId="77777777" w:rsidR="004864BF" w:rsidRPr="003A66D6" w:rsidRDefault="004864BF" w:rsidP="004864BF">
            <w:pPr>
              <w:bidi/>
              <w:jc w:val="right"/>
              <w:rPr>
                <w:sz w:val="18"/>
                <w:szCs w:val="18"/>
                <w:lang w:val="en-CA" w:eastAsia="en-CA"/>
              </w:rPr>
            </w:pPr>
            <w:r w:rsidRPr="003A66D6">
              <w:rPr>
                <w:rFonts w:hint="cs"/>
                <w:sz w:val="18"/>
                <w:szCs w:val="18"/>
                <w:rtl/>
                <w:lang w:val="en-CA" w:eastAsia="en-CA"/>
              </w:rPr>
              <w:t>1,306,104</w:t>
            </w:r>
          </w:p>
        </w:tc>
      </w:tr>
    </w:tbl>
    <w:p w14:paraId="19A9EE24" w14:textId="77777777" w:rsidR="005C2B50" w:rsidRPr="00B941B3" w:rsidRDefault="005C2B50" w:rsidP="002B04EE">
      <w:pPr>
        <w:rPr>
          <w:lang w:val="en-CA"/>
        </w:rPr>
      </w:pPr>
    </w:p>
    <w:p w14:paraId="4D135302" w14:textId="48EFAB68" w:rsidR="001C36B9" w:rsidRPr="00EA5F00" w:rsidRDefault="00A0010E" w:rsidP="00031651">
      <w:pPr>
        <w:pStyle w:val="Heading1"/>
        <w:numPr>
          <w:ilvl w:val="0"/>
          <w:numId w:val="7"/>
        </w:numPr>
        <w:bidi/>
        <w:rPr>
          <w:sz w:val="26"/>
          <w:szCs w:val="26"/>
          <w:lang w:val="en-CA"/>
        </w:rPr>
      </w:pPr>
      <w:r w:rsidRPr="00A0010E">
        <w:rPr>
          <w:sz w:val="26"/>
          <w:szCs w:val="26"/>
          <w:rtl/>
          <w:lang w:val="en-CA"/>
        </w:rPr>
        <w:t>في حال تم استخدام إنتاج عام 2019 البالغ 1,606 طن متري/سنوياً، بدلاً من متوسط الإنتاج بين عامي 2017-2019، للفترة 2021-2024، فسوف تتراوح القيمة الصافية الحالية بين 1,208,257 دولار أمريكي (سنة واحدة من تكاليف التشغيل الإضافية) و1,307,382 دولار أمريكي (تسع سنوات من تكاليف التشغيل الإضافية).</w:t>
      </w:r>
    </w:p>
    <w:p w14:paraId="1898DE7F" w14:textId="3F617AFA" w:rsidR="001C36B9" w:rsidRPr="00EA5F00" w:rsidRDefault="00021155" w:rsidP="00031651">
      <w:pPr>
        <w:pStyle w:val="Heading1"/>
        <w:numPr>
          <w:ilvl w:val="0"/>
          <w:numId w:val="7"/>
        </w:numPr>
        <w:bidi/>
        <w:rPr>
          <w:sz w:val="26"/>
          <w:szCs w:val="26"/>
          <w:lang w:val="en-CA"/>
        </w:rPr>
      </w:pPr>
      <w:r>
        <w:rPr>
          <w:rFonts w:hint="cs"/>
          <w:sz w:val="26"/>
          <w:szCs w:val="26"/>
          <w:rtl/>
          <w:lang w:val="en-CA"/>
        </w:rPr>
        <w:t xml:space="preserve">أشارت </w:t>
      </w:r>
      <w:r w:rsidRPr="00735196">
        <w:rPr>
          <w:rFonts w:hint="cs"/>
          <w:sz w:val="26"/>
          <w:szCs w:val="26"/>
          <w:rtl/>
          <w:lang w:val="en-CA"/>
        </w:rPr>
        <w:t>الأمانة</w:t>
      </w:r>
      <w:r w:rsidR="00735196" w:rsidRPr="00735196">
        <w:rPr>
          <w:sz w:val="26"/>
          <w:szCs w:val="26"/>
          <w:rtl/>
          <w:lang w:val="en-CA"/>
        </w:rPr>
        <w:t xml:space="preserve"> </w:t>
      </w:r>
      <w:r>
        <w:rPr>
          <w:rFonts w:hint="cs"/>
          <w:sz w:val="26"/>
          <w:szCs w:val="26"/>
          <w:rtl/>
          <w:lang w:val="en-CA" w:bidi="ar-AE"/>
        </w:rPr>
        <w:t xml:space="preserve">إلى </w:t>
      </w:r>
      <w:r w:rsidR="00735196" w:rsidRPr="00735196">
        <w:rPr>
          <w:sz w:val="26"/>
          <w:szCs w:val="26"/>
          <w:rtl/>
          <w:lang w:val="en-CA"/>
        </w:rPr>
        <w:t>أن تشغيل موقد الحرق لن يبدأ إلا في 1 يناير/كانون الثاني 2021 نظراً للوقت اللازم لتجديده، مما يؤدي إلى زيادة الانبعاثات لمدة أربعة أشهر من المنتج الثانوي الهيدروفلوروكربون-23 (أي 16.64 طن متري من الهيدروفلوروكربون-23 أو246,208 طن متري من مكافئ ثاني أكسيد الكربون) بالنسبة للخيار 1.</w:t>
      </w:r>
    </w:p>
    <w:p w14:paraId="7B0E820C" w14:textId="4A4E041C" w:rsidR="001C36B9" w:rsidRPr="00EA5F00" w:rsidRDefault="00DF10CF" w:rsidP="00031651">
      <w:pPr>
        <w:pStyle w:val="Heading1"/>
        <w:numPr>
          <w:ilvl w:val="0"/>
          <w:numId w:val="7"/>
        </w:numPr>
        <w:bidi/>
        <w:rPr>
          <w:sz w:val="26"/>
          <w:szCs w:val="26"/>
          <w:lang w:val="en-CA"/>
        </w:rPr>
      </w:pPr>
      <w:r w:rsidRPr="00DF10CF">
        <w:rPr>
          <w:sz w:val="26"/>
          <w:szCs w:val="26"/>
          <w:rtl/>
          <w:lang w:val="en-CA"/>
        </w:rPr>
        <w:t xml:space="preserve">أشارت اليونيدو في الاجتماع الرابع والثمانين، إلى أن خيار تجديد موقد الحرق شمل استبدال موقد حرق الفلزات الغريبة بواحد أصغر حجماً من أجل السماح بحرق معدلِ كتلةٍ أقل من الهيدروفلوروكربون-23 بكفاءة أعلى وبقدرة تصميمية أقل من موقد الحرق الأصلي، مما سمح بتشغيل موقد الحرق بشكل مستمر عندما كان خط إنتاج الهيدروكلوروفلوروكربون-22 قيد التشغيل. وفي حال لم يتم تشغيل موقد الحرق بشكل مستمر، فستحتاج فياسا إلى تخزين الهيدروفلوروكربون-23 مؤقتاً في خزان التبريد الخاص بها، مما يترتب عليه مطالبة الشركة بتسجيل نفسها كمنشأةٍ تولد وتعالج النفايات الخطرة، وهو أمر لم تتمكن الحكومة من إجبارها على فعله. ومع ذلك، فقد أشارت الأمانة إلى أن فياسا كانت تعمل وفقاً لنفس المتطلبات التنظيمية عندما كانت الشركة تحصل على أرصدة بموجب آلية التنمية النظيفة؛ وخلال تلك الفترة، قامت </w:t>
      </w:r>
      <w:r w:rsidRPr="00157D29">
        <w:rPr>
          <w:sz w:val="26"/>
          <w:szCs w:val="26"/>
          <w:rtl/>
          <w:lang w:val="en-CA"/>
        </w:rPr>
        <w:t xml:space="preserve">فياسا بتخزين المنتج الثانوي الهيدروفلوروكربون-23 في خزان التبريد، </w:t>
      </w:r>
      <w:r w:rsidR="00D85F2F" w:rsidRPr="00157D29">
        <w:rPr>
          <w:rFonts w:hint="cs"/>
          <w:sz w:val="26"/>
          <w:szCs w:val="26"/>
          <w:rtl/>
          <w:lang w:val="en-CA"/>
        </w:rPr>
        <w:t>و</w:t>
      </w:r>
      <w:r w:rsidRPr="00157D29">
        <w:rPr>
          <w:sz w:val="26"/>
          <w:szCs w:val="26"/>
          <w:rtl/>
          <w:lang w:val="en-CA"/>
        </w:rPr>
        <w:t>بتشغيل موقد الحرق في الحملات. علاوة على ذلك، يقلل تشغيل موقد الحرق في الحملات من</w:t>
      </w:r>
      <w:r w:rsidRPr="00DF10CF">
        <w:rPr>
          <w:sz w:val="26"/>
          <w:szCs w:val="26"/>
          <w:rtl/>
          <w:lang w:val="en-CA"/>
        </w:rPr>
        <w:t xml:space="preserve"> العمالة والتكاليف الثابتة الأخرى. لذلك، لم توصي الأمانة بتخفيض سعة موقد الحرق وإنما استبداله </w:t>
      </w:r>
      <w:r w:rsidR="00157D29" w:rsidRPr="00DF10CF">
        <w:rPr>
          <w:rFonts w:hint="cs"/>
          <w:sz w:val="26"/>
          <w:szCs w:val="26"/>
          <w:rtl/>
          <w:lang w:val="en-CA"/>
        </w:rPr>
        <w:t>ب</w:t>
      </w:r>
      <w:r w:rsidR="00157D29">
        <w:rPr>
          <w:rFonts w:hint="cs"/>
          <w:sz w:val="26"/>
          <w:szCs w:val="26"/>
          <w:rtl/>
          <w:lang w:val="en-CA"/>
        </w:rPr>
        <w:t>آخر</w:t>
      </w:r>
      <w:r w:rsidR="00157D29" w:rsidRPr="00DF10CF">
        <w:rPr>
          <w:rFonts w:hint="cs"/>
          <w:sz w:val="26"/>
          <w:szCs w:val="26"/>
          <w:rtl/>
          <w:lang w:val="en-CA"/>
        </w:rPr>
        <w:t xml:space="preserve"> بذات</w:t>
      </w:r>
      <w:r w:rsidRPr="00DF10CF">
        <w:rPr>
          <w:sz w:val="26"/>
          <w:szCs w:val="26"/>
          <w:rtl/>
          <w:lang w:val="en-CA"/>
        </w:rPr>
        <w:t xml:space="preserve"> السعة التي </w:t>
      </w:r>
      <w:r>
        <w:rPr>
          <w:rFonts w:hint="cs"/>
          <w:sz w:val="26"/>
          <w:szCs w:val="26"/>
          <w:rtl/>
          <w:lang w:val="en-CA"/>
        </w:rPr>
        <w:t>يتصف</w:t>
      </w:r>
      <w:r w:rsidRPr="00DF10CF">
        <w:rPr>
          <w:sz w:val="26"/>
          <w:szCs w:val="26"/>
          <w:rtl/>
          <w:lang w:val="en-CA"/>
        </w:rPr>
        <w:t xml:space="preserve"> بها التصميم الأصلي.</w:t>
      </w:r>
    </w:p>
    <w:p w14:paraId="72346A8F" w14:textId="485A9F03" w:rsidR="00917409" w:rsidRPr="0063041B" w:rsidRDefault="00954087" w:rsidP="0063041B">
      <w:pPr>
        <w:bidi/>
        <w:spacing w:after="240"/>
        <w:rPr>
          <w:b/>
          <w:bCs/>
          <w:sz w:val="26"/>
          <w:szCs w:val="26"/>
          <w:lang w:val="en-CA"/>
        </w:rPr>
      </w:pPr>
      <w:r w:rsidRPr="00954087">
        <w:rPr>
          <w:b/>
          <w:bCs/>
          <w:sz w:val="26"/>
          <w:szCs w:val="26"/>
          <w:rtl/>
          <w:lang w:val="en-CA"/>
        </w:rPr>
        <w:t>وحدة إدارة المشروع للخيار 1 أو الخيار 2</w:t>
      </w:r>
    </w:p>
    <w:p w14:paraId="0588A2F9" w14:textId="2282A351" w:rsidR="001C36B9" w:rsidRPr="00EA5F00" w:rsidRDefault="009752EE" w:rsidP="00031651">
      <w:pPr>
        <w:pStyle w:val="Heading1"/>
        <w:numPr>
          <w:ilvl w:val="0"/>
          <w:numId w:val="7"/>
        </w:numPr>
        <w:bidi/>
        <w:rPr>
          <w:sz w:val="26"/>
          <w:szCs w:val="26"/>
          <w:lang w:val="en-CA"/>
        </w:rPr>
      </w:pPr>
      <w:r w:rsidRPr="009752EE">
        <w:rPr>
          <w:sz w:val="26"/>
          <w:szCs w:val="26"/>
          <w:rtl/>
          <w:lang w:val="en-CA"/>
        </w:rPr>
        <w:t>طلبت حكومة الأرجنتين تمويلاً لوحدة إدارة المشروع بنسبة 8 في المائة من إجمالي تمويل المشروع في حالة الخيار 2 (أي استمرار تشغيل فياسا)، أو 6.2 في المائة في حالة إغلاق مرف</w:t>
      </w:r>
      <w:r w:rsidR="00644C1C">
        <w:rPr>
          <w:rFonts w:hint="cs"/>
          <w:sz w:val="26"/>
          <w:szCs w:val="26"/>
          <w:rtl/>
          <w:lang w:val="en-CA"/>
        </w:rPr>
        <w:t>ِ</w:t>
      </w:r>
      <w:r w:rsidRPr="009752EE">
        <w:rPr>
          <w:sz w:val="26"/>
          <w:szCs w:val="26"/>
          <w:rtl/>
          <w:lang w:val="en-CA"/>
        </w:rPr>
        <w:t>ق الإنتاج. وأدرجت الأمانة، في تقييمها لتجديد موقد الحرق، التكاليف المتعلقة بالرقابة الحكومية؛ بالتماشي مع الممارسة السابقة، حيث لم يتضمن تقييم الأمانة وحدة إدارة المشروع لخيار الإغلاق.</w:t>
      </w:r>
    </w:p>
    <w:p w14:paraId="7CE5E00E" w14:textId="2B96CB20" w:rsidR="000F2EEC" w:rsidRPr="0063041B" w:rsidRDefault="00644C1C" w:rsidP="0063041B">
      <w:pPr>
        <w:bidi/>
        <w:spacing w:after="240"/>
        <w:rPr>
          <w:b/>
          <w:bCs/>
          <w:sz w:val="26"/>
          <w:szCs w:val="26"/>
          <w:lang w:val="en-CA"/>
        </w:rPr>
      </w:pPr>
      <w:r w:rsidRPr="00644C1C">
        <w:rPr>
          <w:b/>
          <w:bCs/>
          <w:sz w:val="26"/>
          <w:szCs w:val="26"/>
          <w:rtl/>
          <w:lang w:val="en-CA"/>
        </w:rPr>
        <w:lastRenderedPageBreak/>
        <w:t>الآراء التي أعربت عنها حكومة الأرجنتين</w:t>
      </w:r>
    </w:p>
    <w:p w14:paraId="148B792E" w14:textId="1A937711" w:rsidR="001C36B9" w:rsidRPr="00EA5F00" w:rsidRDefault="00644C1C" w:rsidP="00031651">
      <w:pPr>
        <w:pStyle w:val="Heading1"/>
        <w:numPr>
          <w:ilvl w:val="0"/>
          <w:numId w:val="7"/>
        </w:numPr>
        <w:bidi/>
        <w:rPr>
          <w:sz w:val="26"/>
          <w:szCs w:val="26"/>
          <w:lang w:val="en-CA"/>
        </w:rPr>
      </w:pPr>
      <w:r w:rsidRPr="00644C1C">
        <w:rPr>
          <w:sz w:val="26"/>
          <w:szCs w:val="26"/>
          <w:rtl/>
          <w:lang w:val="en-CA"/>
        </w:rPr>
        <w:t>فيما يتعلق بإغلاق فياسا، أشارت حكومة الأرجنتين، من خلال اليونيدو، ما يلي:</w:t>
      </w:r>
    </w:p>
    <w:p w14:paraId="39EF1BDB" w14:textId="3CD916D9" w:rsidR="00644C1C" w:rsidRPr="00435750" w:rsidRDefault="00435750" w:rsidP="00644C1C">
      <w:pPr>
        <w:pStyle w:val="ListParagraph"/>
        <w:numPr>
          <w:ilvl w:val="0"/>
          <w:numId w:val="15"/>
        </w:numPr>
        <w:bidi/>
        <w:spacing w:after="240"/>
        <w:ind w:left="1440" w:hanging="720"/>
        <w:contextualSpacing w:val="0"/>
        <w:rPr>
          <w:sz w:val="26"/>
          <w:szCs w:val="26"/>
          <w:lang w:val="en-CA"/>
        </w:rPr>
      </w:pPr>
      <w:r w:rsidRPr="00435750">
        <w:rPr>
          <w:sz w:val="26"/>
          <w:szCs w:val="26"/>
          <w:rtl/>
          <w:lang w:val="en-CA"/>
        </w:rPr>
        <w:t>بالنظر إلى الأزمة الاقتصادية</w:t>
      </w:r>
      <w:r w:rsidR="005F15D4">
        <w:rPr>
          <w:rFonts w:hint="cs"/>
          <w:sz w:val="26"/>
          <w:szCs w:val="26"/>
          <w:rtl/>
          <w:lang w:val="en-CA"/>
        </w:rPr>
        <w:t xml:space="preserve"> </w:t>
      </w:r>
      <w:r w:rsidR="005F15D4" w:rsidRPr="00157D29">
        <w:rPr>
          <w:rFonts w:hint="cs"/>
          <w:sz w:val="26"/>
          <w:szCs w:val="26"/>
          <w:rtl/>
          <w:lang w:val="en-CA"/>
        </w:rPr>
        <w:t>عام</w:t>
      </w:r>
      <w:r w:rsidRPr="00157D29">
        <w:rPr>
          <w:sz w:val="26"/>
          <w:szCs w:val="26"/>
          <w:rtl/>
          <w:lang w:val="en-CA"/>
        </w:rPr>
        <w:t xml:space="preserve"> 2019، لم تتمكن فياسا من الوصول إلى هدفها الإنتاجي ال</w:t>
      </w:r>
      <w:r w:rsidR="001C6A09" w:rsidRPr="00157D29">
        <w:rPr>
          <w:rFonts w:hint="cs"/>
          <w:sz w:val="26"/>
          <w:szCs w:val="26"/>
          <w:rtl/>
          <w:lang w:val="en-CA"/>
        </w:rPr>
        <w:t xml:space="preserve">ذي كان يتراوح </w:t>
      </w:r>
      <w:r w:rsidRPr="00157D29">
        <w:rPr>
          <w:sz w:val="26"/>
          <w:szCs w:val="26"/>
          <w:rtl/>
          <w:lang w:val="en-CA"/>
        </w:rPr>
        <w:t>بين 2,000 و2,600 طن متري في عام 2019 على النحو الذي كان متوقعاً</w:t>
      </w:r>
      <w:r w:rsidR="001C6A09" w:rsidRPr="00157D29">
        <w:rPr>
          <w:rFonts w:hint="cs"/>
          <w:sz w:val="26"/>
          <w:szCs w:val="26"/>
          <w:rtl/>
          <w:lang w:val="en-CA"/>
        </w:rPr>
        <w:t xml:space="preserve"> بصورة أصلية</w:t>
      </w:r>
      <w:r w:rsidRPr="00157D29">
        <w:rPr>
          <w:sz w:val="26"/>
          <w:szCs w:val="26"/>
          <w:rtl/>
          <w:lang w:val="en-CA"/>
        </w:rPr>
        <w:t xml:space="preserve">؛ ورغم ذلك، فقد ارتفعت مبيعات الهيدروكلوروفلوروكربون-22 بنسبة 14 في المائة مقارنة بعام 2018، وكان سعر الهيدروكلوروفلوروكربون-22 متوقعاً على نحو جيد في إطار نموذج اليونيدو. لذلك، يمكن للحكومة أن تقبل </w:t>
      </w:r>
      <w:r w:rsidR="001C6A09" w:rsidRPr="00157D29">
        <w:rPr>
          <w:rFonts w:hint="cs"/>
          <w:sz w:val="26"/>
          <w:szCs w:val="26"/>
          <w:rtl/>
          <w:lang w:val="en-CA"/>
        </w:rPr>
        <w:t>الحد المتوسط</w:t>
      </w:r>
      <w:r w:rsidRPr="00157D29">
        <w:rPr>
          <w:sz w:val="26"/>
          <w:szCs w:val="26"/>
          <w:rtl/>
          <w:lang w:val="en-CA"/>
        </w:rPr>
        <w:t xml:space="preserve"> </w:t>
      </w:r>
      <w:r w:rsidR="001C6A09" w:rsidRPr="00157D29">
        <w:rPr>
          <w:rFonts w:hint="cs"/>
          <w:sz w:val="26"/>
          <w:szCs w:val="26"/>
          <w:rtl/>
          <w:lang w:val="en-CA"/>
        </w:rPr>
        <w:t>ل</w:t>
      </w:r>
      <w:r w:rsidRPr="00157D29">
        <w:rPr>
          <w:sz w:val="26"/>
          <w:szCs w:val="26"/>
          <w:rtl/>
          <w:lang w:val="en-CA"/>
        </w:rPr>
        <w:t>مبيعات</w:t>
      </w:r>
      <w:r w:rsidR="001C6A09" w:rsidRPr="00157D29">
        <w:rPr>
          <w:rFonts w:hint="cs"/>
          <w:sz w:val="26"/>
          <w:szCs w:val="26"/>
          <w:rtl/>
          <w:lang w:val="en-CA"/>
        </w:rPr>
        <w:t xml:space="preserve"> الفترة</w:t>
      </w:r>
      <w:r w:rsidRPr="00157D29">
        <w:rPr>
          <w:sz w:val="26"/>
          <w:szCs w:val="26"/>
          <w:rtl/>
          <w:lang w:val="en-CA"/>
        </w:rPr>
        <w:t xml:space="preserve"> 2017-2019</w:t>
      </w:r>
      <w:r w:rsidR="001C6A09" w:rsidRPr="00157D29">
        <w:rPr>
          <w:rtl/>
        </w:rPr>
        <w:t xml:space="preserve"> </w:t>
      </w:r>
      <w:r w:rsidR="001C6A09" w:rsidRPr="00157D29">
        <w:rPr>
          <w:sz w:val="26"/>
          <w:szCs w:val="26"/>
          <w:rtl/>
          <w:lang w:val="en-CA"/>
        </w:rPr>
        <w:t>كأساس لتحديد التعويض</w:t>
      </w:r>
      <w:r w:rsidRPr="00157D29">
        <w:rPr>
          <w:sz w:val="26"/>
          <w:szCs w:val="26"/>
          <w:rtl/>
          <w:lang w:val="en-CA"/>
        </w:rPr>
        <w:t xml:space="preserve"> بين عامي 2020 و2024، و1,300 طن متري/</w:t>
      </w:r>
      <w:r w:rsidR="00082A0C" w:rsidRPr="00157D29">
        <w:rPr>
          <w:rFonts w:hint="cs"/>
          <w:sz w:val="26"/>
          <w:szCs w:val="26"/>
          <w:rtl/>
          <w:lang w:val="en-CA"/>
        </w:rPr>
        <w:t>سنوياً بين</w:t>
      </w:r>
      <w:r w:rsidR="001C6A09" w:rsidRPr="00157D29">
        <w:rPr>
          <w:rFonts w:hint="cs"/>
          <w:sz w:val="26"/>
          <w:szCs w:val="26"/>
          <w:rtl/>
          <w:lang w:val="en-CA"/>
        </w:rPr>
        <w:t xml:space="preserve"> </w:t>
      </w:r>
      <w:r w:rsidRPr="00157D29">
        <w:rPr>
          <w:sz w:val="26"/>
          <w:szCs w:val="26"/>
          <w:rtl/>
          <w:lang w:val="en-CA"/>
        </w:rPr>
        <w:t>2025 و2029</w:t>
      </w:r>
      <w:r w:rsidRPr="00435750">
        <w:rPr>
          <w:sz w:val="26"/>
          <w:szCs w:val="26"/>
          <w:rtl/>
          <w:lang w:val="en-CA"/>
        </w:rPr>
        <w:t>؛</w:t>
      </w:r>
    </w:p>
    <w:p w14:paraId="27760443" w14:textId="6DF8F4EB" w:rsidR="00435750" w:rsidRPr="00D97470" w:rsidRDefault="00D97470" w:rsidP="00435750">
      <w:pPr>
        <w:pStyle w:val="ListParagraph"/>
        <w:numPr>
          <w:ilvl w:val="0"/>
          <w:numId w:val="15"/>
        </w:numPr>
        <w:bidi/>
        <w:spacing w:after="240"/>
        <w:ind w:left="1440" w:hanging="720"/>
        <w:contextualSpacing w:val="0"/>
        <w:rPr>
          <w:sz w:val="26"/>
          <w:szCs w:val="26"/>
          <w:lang w:val="en-CA"/>
        </w:rPr>
      </w:pPr>
      <w:r w:rsidRPr="00D97470">
        <w:rPr>
          <w:sz w:val="26"/>
          <w:szCs w:val="26"/>
          <w:rtl/>
          <w:lang w:val="en-CA"/>
        </w:rPr>
        <w:t xml:space="preserve">استند النموذج المالي الذي طورته اليونيدو في الاجتماع الثالث والثمانين </w:t>
      </w:r>
      <w:r w:rsidR="002041A0">
        <w:rPr>
          <w:rFonts w:hint="cs"/>
          <w:sz w:val="26"/>
          <w:szCs w:val="26"/>
          <w:rtl/>
          <w:lang w:val="en-CA"/>
        </w:rPr>
        <w:t>على</w:t>
      </w:r>
      <w:r w:rsidRPr="00D97470">
        <w:rPr>
          <w:sz w:val="26"/>
          <w:szCs w:val="26"/>
          <w:rtl/>
          <w:lang w:val="en-CA"/>
        </w:rPr>
        <w:t xml:space="preserve"> أفضل البيانات المتاحة في ذلك الوقت، وكانت المنهجية متسقة مع الممارسة السابقة في إطار الصندوق؛ وكان تمويل الصندوق المتعدد الأطراف </w:t>
      </w:r>
      <w:r w:rsidR="00157D29">
        <w:rPr>
          <w:rFonts w:hint="cs"/>
          <w:sz w:val="26"/>
          <w:szCs w:val="26"/>
          <w:rtl/>
          <w:lang w:val="en-CA"/>
        </w:rPr>
        <w:t xml:space="preserve">يقدم </w:t>
      </w:r>
      <w:r w:rsidR="00157D29" w:rsidRPr="00D97470">
        <w:rPr>
          <w:rFonts w:hint="cs"/>
          <w:sz w:val="26"/>
          <w:szCs w:val="26"/>
          <w:rtl/>
          <w:lang w:val="en-CA"/>
        </w:rPr>
        <w:t>بالدولار</w:t>
      </w:r>
      <w:r w:rsidRPr="00D97470">
        <w:rPr>
          <w:sz w:val="26"/>
          <w:szCs w:val="26"/>
          <w:rtl/>
          <w:lang w:val="en-CA"/>
        </w:rPr>
        <w:t xml:space="preserve"> الأمريكي. وبناءً عليه، ينبغي أن يستند النموذج المالي إلى عملة واحدة (الدولار الأمريكي) وليس إلى مزيج من العملات. </w:t>
      </w:r>
      <w:r w:rsidR="002041A0">
        <w:rPr>
          <w:rFonts w:hint="cs"/>
          <w:sz w:val="26"/>
          <w:szCs w:val="26"/>
          <w:rtl/>
          <w:lang w:val="en-CA"/>
        </w:rPr>
        <w:t>وبيد أنه كان يتعذر على ا</w:t>
      </w:r>
      <w:r w:rsidRPr="00D97470">
        <w:rPr>
          <w:sz w:val="26"/>
          <w:szCs w:val="26"/>
          <w:rtl/>
          <w:lang w:val="en-CA"/>
        </w:rPr>
        <w:t xml:space="preserve">ليونيدو في تلك الفترة تطوير نموذج مالي جديد، كان من الأهمية </w:t>
      </w:r>
      <w:r w:rsidR="002041A0">
        <w:rPr>
          <w:rFonts w:hint="cs"/>
          <w:sz w:val="26"/>
          <w:szCs w:val="26"/>
          <w:rtl/>
          <w:lang w:val="en-CA"/>
        </w:rPr>
        <w:t xml:space="preserve">القصوى أن يتم </w:t>
      </w:r>
      <w:r w:rsidRPr="00D97470">
        <w:rPr>
          <w:sz w:val="26"/>
          <w:szCs w:val="26"/>
          <w:rtl/>
          <w:lang w:val="en-CA"/>
        </w:rPr>
        <w:t>النظر في قدرة الشركة في الحفاظ على سعر المنتج بالدولار الأمريكي. ارتفع سعر الهيدروكلوروفلوروكربون-22 لدى فياسا بنسبة 7 في المائة بالدولار الأمريكي بين 2019 و2020، مما يدل على أن الشركة قادرة على زيادة السعر بالعملة المحلية والدولار الأمريكي، وهو أمرٌ يمكنها القيام به عندما تعمل بصورة احتكار ثنائي. علاوة على ذلك، تنخفض التكاليف المحلية للإنتاج، المحتسبة بالبيزو الأرجنتيني، عند تقديرها بالدولار الأمريكي؛</w:t>
      </w:r>
    </w:p>
    <w:p w14:paraId="6FFEB3C4" w14:textId="25DE48A2" w:rsidR="00D97470" w:rsidRPr="00D97470" w:rsidRDefault="00020B3C" w:rsidP="00D97470">
      <w:pPr>
        <w:pStyle w:val="ListParagraph"/>
        <w:numPr>
          <w:ilvl w:val="0"/>
          <w:numId w:val="15"/>
        </w:numPr>
        <w:bidi/>
        <w:spacing w:after="240"/>
        <w:ind w:left="1440" w:hanging="720"/>
        <w:contextualSpacing w:val="0"/>
        <w:rPr>
          <w:sz w:val="26"/>
          <w:szCs w:val="26"/>
          <w:lang w:val="en-CA"/>
        </w:rPr>
      </w:pPr>
      <w:r w:rsidRPr="00020B3C">
        <w:rPr>
          <w:sz w:val="26"/>
          <w:szCs w:val="26"/>
          <w:rtl/>
          <w:lang w:val="en-CA"/>
        </w:rPr>
        <w:t>تم تعزيز دور شركة فياسا في الاحتكار الثنائي بسبب تخفيض حصة الاستيراد بالنظر إلى هدف الرقابة لعام 2020. وسيكون هذا التأثير أعلى في عام 2025، عندما سيتم تخفيض حصة الاستيراد بشكل أكبر؛</w:t>
      </w:r>
    </w:p>
    <w:p w14:paraId="150A8690" w14:textId="51644B11" w:rsidR="001E5D67" w:rsidRPr="001E5D67" w:rsidRDefault="00EA6C18" w:rsidP="001E5D67">
      <w:pPr>
        <w:pStyle w:val="ListParagraph"/>
        <w:numPr>
          <w:ilvl w:val="0"/>
          <w:numId w:val="15"/>
        </w:numPr>
        <w:bidi/>
        <w:spacing w:after="240"/>
        <w:ind w:left="1440" w:hanging="720"/>
        <w:contextualSpacing w:val="0"/>
        <w:rPr>
          <w:sz w:val="26"/>
          <w:szCs w:val="26"/>
          <w:lang w:val="en-CA"/>
        </w:rPr>
      </w:pPr>
      <w:r w:rsidRPr="00EA6C18">
        <w:rPr>
          <w:sz w:val="26"/>
          <w:szCs w:val="26"/>
          <w:rtl/>
          <w:lang w:val="en-CA"/>
        </w:rPr>
        <w:t xml:space="preserve">رفضت الحكومة بشدة معدل الخصم الذي </w:t>
      </w:r>
      <w:r w:rsidR="002041A0">
        <w:rPr>
          <w:rFonts w:hint="cs"/>
          <w:sz w:val="26"/>
          <w:szCs w:val="26"/>
          <w:rtl/>
          <w:lang w:val="en-CA"/>
        </w:rPr>
        <w:t>ا</w:t>
      </w:r>
      <w:r w:rsidRPr="00EA6C18">
        <w:rPr>
          <w:sz w:val="26"/>
          <w:szCs w:val="26"/>
          <w:rtl/>
          <w:lang w:val="en-CA"/>
        </w:rPr>
        <w:t>ستخدم</w:t>
      </w:r>
      <w:r w:rsidR="00157D29">
        <w:rPr>
          <w:rFonts w:hint="cs"/>
          <w:sz w:val="26"/>
          <w:szCs w:val="26"/>
          <w:rtl/>
          <w:lang w:val="en-CA"/>
        </w:rPr>
        <w:t>ت</w:t>
      </w:r>
      <w:r w:rsidRPr="00EA6C18">
        <w:rPr>
          <w:sz w:val="26"/>
          <w:szCs w:val="26"/>
          <w:rtl/>
          <w:lang w:val="en-CA"/>
        </w:rPr>
        <w:t>ه الأمانة لحساب القيمة الصافية الحالية للتعويض. ورغم انخفاض أسعار الفائدة السائدة في الأرجنتين على القروض المحتسبة بالدولار الأمريكي بين 1.9 في المائة (90 يوماُ) و2.9 في المائة (عام واحد)، فقد استخدمت اليونيدو معدل خصم أعلى بكثير (10 في المائة)؛</w:t>
      </w:r>
    </w:p>
    <w:p w14:paraId="65C0212D" w14:textId="6A9DFF81" w:rsidR="00EA6C18" w:rsidRPr="00EA6C18" w:rsidRDefault="00A216D8" w:rsidP="00EA6C18">
      <w:pPr>
        <w:pStyle w:val="ListParagraph"/>
        <w:numPr>
          <w:ilvl w:val="0"/>
          <w:numId w:val="15"/>
        </w:numPr>
        <w:bidi/>
        <w:spacing w:after="240"/>
        <w:ind w:left="1440" w:hanging="720"/>
        <w:contextualSpacing w:val="0"/>
        <w:rPr>
          <w:sz w:val="26"/>
          <w:szCs w:val="26"/>
          <w:lang w:val="en-CA"/>
        </w:rPr>
      </w:pPr>
      <w:r w:rsidRPr="00A216D8">
        <w:rPr>
          <w:sz w:val="26"/>
          <w:szCs w:val="26"/>
          <w:rtl/>
          <w:lang w:val="en-CA"/>
        </w:rPr>
        <w:t>في ضوء الوضع الاقتصادي الصعب وارتفاع معدلات الفائدة السائدة في البلاد، يختار المُلاك إصلاح الأجهزة بدلاً من استبدالها. وبالتالي، يستمر استخدام الأجهزة القائمة على الهيدروكلوروفلوروكربون-22 على الرغم من زيادة معدل التسرب مع تقدم العمر؛ لذلك، من غير المحتمل أن ينخفض الطلب الحالي على الهيدروكلوروفلوروكربون-22؛</w:t>
      </w:r>
    </w:p>
    <w:p w14:paraId="5EC51575" w14:textId="21E7479F" w:rsidR="00A216D8" w:rsidRPr="00A216D8" w:rsidRDefault="008A1467" w:rsidP="00A216D8">
      <w:pPr>
        <w:pStyle w:val="ListParagraph"/>
        <w:numPr>
          <w:ilvl w:val="0"/>
          <w:numId w:val="15"/>
        </w:numPr>
        <w:bidi/>
        <w:spacing w:after="240"/>
        <w:ind w:left="1440" w:hanging="720"/>
        <w:contextualSpacing w:val="0"/>
        <w:rPr>
          <w:sz w:val="26"/>
          <w:szCs w:val="26"/>
          <w:lang w:val="en-CA"/>
        </w:rPr>
      </w:pPr>
      <w:r w:rsidRPr="008A1467">
        <w:rPr>
          <w:sz w:val="26"/>
          <w:szCs w:val="26"/>
          <w:rtl/>
          <w:lang w:val="en-CA"/>
        </w:rPr>
        <w:t>سيكون من الأكثر دقةً وصف سعر شركة فياسا لعام 2019 للهيدروكلوروفلوروكربون-22 بأنه يزيد بثلاثة أضعاف عن السعر العالمي للمورد الآسيوي للمنتجِ بالجملة والذي يتم توفيره لكبار المستهلكين في السوق بكميات كبيرة. توفر فياسا كميات صغيرة معبئة في أسطوانات لتجار التجزئة المحليين أو المستهلكين. ويعد هذان منت</w:t>
      </w:r>
      <w:r w:rsidR="00442309">
        <w:rPr>
          <w:rFonts w:hint="cs"/>
          <w:sz w:val="26"/>
          <w:szCs w:val="26"/>
          <w:rtl/>
          <w:lang w:val="en-CA"/>
        </w:rPr>
        <w:t xml:space="preserve">جين مختلفين </w:t>
      </w:r>
      <w:r w:rsidRPr="008A1467">
        <w:rPr>
          <w:sz w:val="26"/>
          <w:szCs w:val="26"/>
          <w:rtl/>
          <w:lang w:val="en-CA"/>
        </w:rPr>
        <w:t>وبأسعار مختلفة؛ و</w:t>
      </w:r>
    </w:p>
    <w:p w14:paraId="62C1CA0E" w14:textId="45C8916D" w:rsidR="008A1467" w:rsidRPr="008A1467" w:rsidRDefault="00A4373B" w:rsidP="008A1467">
      <w:pPr>
        <w:pStyle w:val="ListParagraph"/>
        <w:numPr>
          <w:ilvl w:val="0"/>
          <w:numId w:val="15"/>
        </w:numPr>
        <w:bidi/>
        <w:spacing w:after="240"/>
        <w:ind w:left="1440" w:hanging="720"/>
        <w:contextualSpacing w:val="0"/>
        <w:rPr>
          <w:sz w:val="26"/>
          <w:szCs w:val="26"/>
          <w:lang w:val="en-CA"/>
        </w:rPr>
      </w:pPr>
      <w:r w:rsidRPr="00A4373B">
        <w:rPr>
          <w:sz w:val="26"/>
          <w:szCs w:val="26"/>
          <w:rtl/>
          <w:lang w:val="en-CA"/>
        </w:rPr>
        <w:t>من الشائع في الأرجنتين لمرسوم ما أن يدخل حيز النفاذ مبدئياً لمدة 180 يوم</w:t>
      </w:r>
      <w:r w:rsidR="00442309">
        <w:rPr>
          <w:rFonts w:hint="cs"/>
          <w:sz w:val="26"/>
          <w:szCs w:val="26"/>
          <w:rtl/>
          <w:lang w:val="en-CA"/>
        </w:rPr>
        <w:t>اً</w:t>
      </w:r>
      <w:r w:rsidRPr="00A4373B">
        <w:rPr>
          <w:sz w:val="26"/>
          <w:szCs w:val="26"/>
          <w:rtl/>
          <w:lang w:val="en-CA"/>
        </w:rPr>
        <w:t>، ومن ثم يتم تجديده لعدة سنوات كل 180 يوم. تم تطبيق المرسوم المعمول به حالياً والذي يضاعف التعويض بعد إعلان حالة الطوارئ ذات الصلة بوباء كوفيد-19، حيث يتعين في هذا الوقت الاتفاق مع وزارة العمل على أي إجراءات تسريح من العمل.</w:t>
      </w:r>
    </w:p>
    <w:p w14:paraId="575C0C6D" w14:textId="59F1E267" w:rsidR="001C36B9" w:rsidRPr="00EA5F00" w:rsidRDefault="008705AE" w:rsidP="00031651">
      <w:pPr>
        <w:pStyle w:val="Heading1"/>
        <w:numPr>
          <w:ilvl w:val="0"/>
          <w:numId w:val="7"/>
        </w:numPr>
        <w:bidi/>
        <w:rPr>
          <w:sz w:val="26"/>
          <w:szCs w:val="26"/>
          <w:lang w:val="en-CA"/>
        </w:rPr>
      </w:pPr>
      <w:r w:rsidRPr="008705AE">
        <w:rPr>
          <w:sz w:val="26"/>
          <w:szCs w:val="26"/>
          <w:rtl/>
          <w:lang w:val="en-CA"/>
        </w:rPr>
        <w:lastRenderedPageBreak/>
        <w:t>فيما يتعلق بتجديد موقد الحرق، أشارت حكومة الأرجنتين إلى أنه لا يمكن تجنب استبدال موقد الفلزات الغريبة انطلاقاً من كونه خارج نطاق التشغيل. واقترحت الشركة المصنعة للمعدات الأصلية استبدال الموقد بآخر مناسب للمعدل الم</w:t>
      </w:r>
      <w:r w:rsidR="0088429B">
        <w:rPr>
          <w:rFonts w:hint="cs"/>
          <w:sz w:val="26"/>
          <w:szCs w:val="26"/>
          <w:rtl/>
          <w:lang w:val="en-CA"/>
        </w:rPr>
        <w:t>ن</w:t>
      </w:r>
      <w:r w:rsidRPr="008705AE">
        <w:rPr>
          <w:sz w:val="26"/>
          <w:szCs w:val="26"/>
          <w:rtl/>
          <w:lang w:val="en-CA"/>
        </w:rPr>
        <w:t>خفض الحالي للمنتج الثانوي الهيدروفلوروكربون-23 الذي يتم توليده. لذلك اعتبرت الحكومة استبدال الموقد مؤهلاً.</w:t>
      </w:r>
    </w:p>
    <w:p w14:paraId="4E428646" w14:textId="7C8FBA3D" w:rsidR="001C36B9" w:rsidRPr="00EA5F00" w:rsidRDefault="008705AE" w:rsidP="00031651">
      <w:pPr>
        <w:pStyle w:val="Heading1"/>
        <w:numPr>
          <w:ilvl w:val="0"/>
          <w:numId w:val="7"/>
        </w:numPr>
        <w:bidi/>
        <w:rPr>
          <w:sz w:val="26"/>
          <w:szCs w:val="26"/>
          <w:lang w:val="en-CA"/>
        </w:rPr>
      </w:pPr>
      <w:r w:rsidRPr="008705AE">
        <w:rPr>
          <w:sz w:val="26"/>
          <w:szCs w:val="26"/>
          <w:rtl/>
          <w:lang w:val="en-CA"/>
        </w:rPr>
        <w:t>قدمت الحكومة أيضاً بيانات تم تدقيقها تعكس أرباح فياسا في عامي 2017 و2018، والتي تراوحت بين 1.9 مليون دولار أمريكي و2.4 مليون دولار أمريكي. وتنوه الأمانة إلى أن هذه البيانات تشمل جميع عمليات فياسا ولا تحدد الأرباح المكتسبة من إنتاج الهيدروكلوروفلوروكربون-22، إن وجدت.</w:t>
      </w:r>
    </w:p>
    <w:p w14:paraId="75D84057" w14:textId="1FE2EB4D" w:rsidR="001C36B9" w:rsidRPr="00EA5F00" w:rsidRDefault="008705AE" w:rsidP="00031651">
      <w:pPr>
        <w:pStyle w:val="Heading1"/>
        <w:numPr>
          <w:ilvl w:val="0"/>
          <w:numId w:val="7"/>
        </w:numPr>
        <w:bidi/>
        <w:rPr>
          <w:sz w:val="26"/>
          <w:szCs w:val="26"/>
          <w:lang w:val="en-CA"/>
        </w:rPr>
      </w:pPr>
      <w:r w:rsidRPr="008705AE">
        <w:rPr>
          <w:sz w:val="26"/>
          <w:szCs w:val="26"/>
          <w:rtl/>
          <w:lang w:val="en-CA"/>
        </w:rPr>
        <w:t>تعتبر الحكومة أن فياسا لا تزال مجدية مالياً، وإلا فإنها لن تكون قادرة على تلقي القروض من أحد المصارف. وبناء على ذلك، لم توافق الحكومة على حسابات الكسب الفائت المقدمة من قبل الأمانة.</w:t>
      </w:r>
    </w:p>
    <w:p w14:paraId="3FF2D115" w14:textId="23CA2F57" w:rsidR="001C36B9" w:rsidRPr="00EA5F00" w:rsidRDefault="008705AE" w:rsidP="00031651">
      <w:pPr>
        <w:pStyle w:val="Heading1"/>
        <w:numPr>
          <w:ilvl w:val="0"/>
          <w:numId w:val="7"/>
        </w:numPr>
        <w:bidi/>
        <w:rPr>
          <w:sz w:val="26"/>
          <w:szCs w:val="26"/>
          <w:lang w:val="en-CA"/>
        </w:rPr>
      </w:pPr>
      <w:r w:rsidRPr="008705AE">
        <w:rPr>
          <w:sz w:val="26"/>
          <w:szCs w:val="26"/>
          <w:rtl/>
          <w:lang w:val="en-CA"/>
        </w:rPr>
        <w:t>يمكن لحكومة الأرجنتين أن توافق على حد أدنى قدره 6 ملايين دولار أمريكي (بما في ذلك تعويض إنهاء خدمة العمال والتعويض عن الكسب الفائت) لإغلاق فياسا. وفي حال لم يتم التوصل إلى اتفاق بشأن إغلاق فياسا، فستواصل الأخيرة إنتاج الهيدروكلوروفلوروكربون-22 وتبدأ في تدمير المنتج الثانوي الهيدروفلوروكربون-23 بمجرد الموافقة على التمويل وإتمام التجديد المطلوب للتجهيزات.</w:t>
      </w:r>
    </w:p>
    <w:p w14:paraId="39931F91" w14:textId="12A3D00C" w:rsidR="00172A1B" w:rsidRPr="0063041B" w:rsidRDefault="00FE783B" w:rsidP="0063041B">
      <w:pPr>
        <w:bidi/>
        <w:spacing w:after="240"/>
        <w:rPr>
          <w:b/>
          <w:bCs/>
          <w:sz w:val="26"/>
          <w:szCs w:val="26"/>
          <w:lang w:val="en-CA"/>
        </w:rPr>
      </w:pPr>
      <w:r w:rsidRPr="00FE783B">
        <w:rPr>
          <w:b/>
          <w:bCs/>
          <w:sz w:val="26"/>
          <w:szCs w:val="26"/>
          <w:rtl/>
          <w:lang w:val="en-CA"/>
        </w:rPr>
        <w:t>الخلاصة</w:t>
      </w:r>
    </w:p>
    <w:p w14:paraId="0BAA1928" w14:textId="5BE0D5C4" w:rsidR="001C36B9" w:rsidRPr="00EA5F00" w:rsidRDefault="00FE783B" w:rsidP="00031651">
      <w:pPr>
        <w:pStyle w:val="Heading1"/>
        <w:numPr>
          <w:ilvl w:val="0"/>
          <w:numId w:val="7"/>
        </w:numPr>
        <w:bidi/>
        <w:rPr>
          <w:sz w:val="26"/>
          <w:szCs w:val="26"/>
          <w:lang w:val="en-CA"/>
        </w:rPr>
      </w:pPr>
      <w:r w:rsidRPr="00FE783B">
        <w:rPr>
          <w:sz w:val="26"/>
          <w:szCs w:val="26"/>
          <w:rtl/>
          <w:lang w:val="en-CA"/>
        </w:rPr>
        <w:t xml:space="preserve">منذ الاجتماع الثالث والثمانين، عانت الأرجنتين من أزمة اقتصادية حادة أدت، في تقدير الأمانة العامة، إلى جعل شركة فياسا غير مجدية مالياً. ولا يعني هذا أن الشركة ستغلق </w:t>
      </w:r>
      <w:r w:rsidR="009B6BE0" w:rsidRPr="00FE783B">
        <w:rPr>
          <w:sz w:val="26"/>
          <w:szCs w:val="26"/>
          <w:rtl/>
          <w:lang w:val="en-CA"/>
        </w:rPr>
        <w:t>إنتاجها من الهيدروكلوروفلوروكربون-22</w:t>
      </w:r>
      <w:r w:rsidRPr="00FE783B">
        <w:rPr>
          <w:sz w:val="26"/>
          <w:szCs w:val="26"/>
          <w:rtl/>
          <w:lang w:val="en-CA"/>
        </w:rPr>
        <w:t>على الفور. فقد تمكنت من الاستمرار في إنتاج الهيدروكلوروفلوروكربون-22 من خلال زيادة سعره، وهو أمر يمكنها أن تقوم به</w:t>
      </w:r>
      <w:r w:rsidR="00442309">
        <w:rPr>
          <w:rFonts w:hint="cs"/>
          <w:sz w:val="26"/>
          <w:szCs w:val="26"/>
          <w:rtl/>
          <w:lang w:val="en-CA"/>
        </w:rPr>
        <w:t xml:space="preserve"> نظراً</w:t>
      </w:r>
      <w:r w:rsidR="00157D29">
        <w:rPr>
          <w:rFonts w:hint="cs"/>
          <w:sz w:val="26"/>
          <w:szCs w:val="26"/>
          <w:rtl/>
          <w:lang w:val="en-CA"/>
        </w:rPr>
        <w:t xml:space="preserve"> </w:t>
      </w:r>
      <w:r w:rsidR="00442309">
        <w:rPr>
          <w:rFonts w:hint="cs"/>
          <w:sz w:val="26"/>
          <w:szCs w:val="26"/>
          <w:rtl/>
          <w:lang w:val="en-CA"/>
        </w:rPr>
        <w:t>ل</w:t>
      </w:r>
      <w:r w:rsidRPr="00FE783B">
        <w:rPr>
          <w:sz w:val="26"/>
          <w:szCs w:val="26"/>
          <w:rtl/>
          <w:lang w:val="en-CA"/>
        </w:rPr>
        <w:t xml:space="preserve">أنها تعمل وفق ما يعتبر احتكاراً ثنائياً من الناحية العملية، إذ يستخدم المستوردون حصص الاستيراد الخاصة بهم بالكامل في حين تعكف فياسا على تلبية طلب السوق المتبقي. </w:t>
      </w:r>
      <w:r w:rsidR="009B6BE0" w:rsidRPr="00FE783B">
        <w:rPr>
          <w:sz w:val="26"/>
          <w:szCs w:val="26"/>
          <w:rtl/>
          <w:lang w:val="en-CA"/>
        </w:rPr>
        <w:t xml:space="preserve">تؤدي الزيادة في سعر السلعة </w:t>
      </w:r>
      <w:r w:rsidRPr="00FE783B">
        <w:rPr>
          <w:sz w:val="26"/>
          <w:szCs w:val="26"/>
          <w:rtl/>
          <w:lang w:val="en-CA"/>
        </w:rPr>
        <w:t>في السوق المفتوحة إلى انخفاض الطلب عليها، حيث يعتمد هذا الانخفاض على مرونة الطلب. وفي حالة الاحتكار</w:t>
      </w:r>
      <w:r w:rsidR="00442309">
        <w:rPr>
          <w:rFonts w:hint="cs"/>
          <w:sz w:val="26"/>
          <w:szCs w:val="26"/>
          <w:rtl/>
          <w:lang w:val="en-CA"/>
        </w:rPr>
        <w:t xml:space="preserve"> الثنائي</w:t>
      </w:r>
      <w:r w:rsidRPr="00FE783B">
        <w:rPr>
          <w:sz w:val="26"/>
          <w:szCs w:val="26"/>
          <w:rtl/>
          <w:lang w:val="en-CA"/>
        </w:rPr>
        <w:t xml:space="preserve">، تكون مرونة الطلب هذه محدودة. لكن في حين أن سوق الهيدروكلوروفلوروكربون-22 قد يكون احتكاراً </w:t>
      </w:r>
      <w:r w:rsidR="00045C86">
        <w:rPr>
          <w:rFonts w:hint="cs"/>
          <w:sz w:val="26"/>
          <w:szCs w:val="26"/>
          <w:rtl/>
          <w:lang w:val="en-CA"/>
        </w:rPr>
        <w:t xml:space="preserve">ثنائياً </w:t>
      </w:r>
      <w:r w:rsidRPr="00FE783B">
        <w:rPr>
          <w:sz w:val="26"/>
          <w:szCs w:val="26"/>
          <w:rtl/>
          <w:lang w:val="en-CA"/>
        </w:rPr>
        <w:t>فعالاً في الأرجنتين، إلا أن سوق غازات التبريد ليس كذلك: بالتوازي مع زيادة سعر الهيدروكلوروفلوروكربون-22، فمن المرجح أن تحل غازات تبريد أخرى محل الطلب على الهيدروكلوروفلوروكربون-22. ومن المحتمل أن تستمر فياسا في إنتاج الهيدروكلوروفلوروكربون-22 عن طريق زيادة سعره لفترة زمنية غير محددة، مع دورةٍ من زيادات أسعار الهيدروكلوروفلوروكربون-22 التي تؤدي إلى مزيد من الانخفاضات في الطلب والإنتاج مما يؤدي بالتالي إلى زيادة أسعار الهيدروكلوروفلوروكربون-22. كما سيساهم انخفاض قيمة البيزو الأرجنتيني أيضاً في هذه الدورة بحيث يقوم المستهلكون بشراء الهيدروكلوروفلوروكربون-22 من فياسا بالعملة المحلية.</w:t>
      </w:r>
    </w:p>
    <w:p w14:paraId="19D39A16" w14:textId="2A5A2B21" w:rsidR="001C36B9" w:rsidRPr="00EA5F00" w:rsidRDefault="00110287" w:rsidP="00031651">
      <w:pPr>
        <w:pStyle w:val="Heading1"/>
        <w:numPr>
          <w:ilvl w:val="0"/>
          <w:numId w:val="7"/>
        </w:numPr>
        <w:bidi/>
        <w:rPr>
          <w:sz w:val="26"/>
          <w:szCs w:val="26"/>
          <w:lang w:val="en-CA"/>
        </w:rPr>
      </w:pPr>
      <w:r w:rsidRPr="00110287">
        <w:rPr>
          <w:sz w:val="26"/>
          <w:szCs w:val="26"/>
          <w:rtl/>
          <w:lang w:val="en-CA"/>
        </w:rPr>
        <w:t>منذ الاجتماع الثمانين، عندما قدمت حكومة الأرجنتين بيانات أولية لإغلاق مصنعها المزدوج لإنتاج الهيدروكلوروفلوروكربون-22</w:t>
      </w:r>
      <w:r w:rsidR="00B81D20">
        <w:rPr>
          <w:rStyle w:val="FootnoteReference"/>
          <w:sz w:val="26"/>
          <w:szCs w:val="26"/>
          <w:rtl/>
          <w:lang w:val="en-CA"/>
        </w:rPr>
        <w:footnoteReference w:id="19"/>
      </w:r>
      <w:r w:rsidRPr="00110287">
        <w:rPr>
          <w:sz w:val="26"/>
          <w:szCs w:val="26"/>
          <w:rtl/>
          <w:lang w:val="en-CA"/>
        </w:rPr>
        <w:t>، طلبت الحكومة المساعدة من الصندوق المتعدد الأطراف لمعالجة انبعاثاتها من المنتج الثانوي الهيدروفلوروكربون-23. نظرت اللجنة التنفيذية في اجتماعها الثاني والثمانين في المعلومات المتعلقة بجملة أمور من بينها الخيارات، وجميع التكاليف، والوفورات المتعلقة بالرقابة على المنتج الثانوي الهيدروفلوروكربون-23 في الأرجنتين</w:t>
      </w:r>
      <w:r w:rsidR="00281009">
        <w:rPr>
          <w:rStyle w:val="FootnoteReference"/>
          <w:sz w:val="26"/>
          <w:szCs w:val="26"/>
          <w:rtl/>
          <w:lang w:val="en-CA"/>
        </w:rPr>
        <w:footnoteReference w:id="20"/>
      </w:r>
      <w:r w:rsidRPr="00110287">
        <w:rPr>
          <w:sz w:val="26"/>
          <w:szCs w:val="26"/>
          <w:rtl/>
          <w:lang w:val="en-CA"/>
        </w:rPr>
        <w:t>، وفي الاقتراحات المقدمة من الحكومة في الاجتماعين الثالث والثمانين والرابع والثمانين لمعالجة تلك الانبعاثات</w:t>
      </w:r>
      <w:r w:rsidR="00281009">
        <w:rPr>
          <w:rStyle w:val="FootnoteReference"/>
          <w:sz w:val="26"/>
          <w:szCs w:val="26"/>
          <w:rtl/>
          <w:lang w:val="en-CA"/>
        </w:rPr>
        <w:footnoteReference w:id="21"/>
      </w:r>
      <w:r w:rsidRPr="00110287">
        <w:rPr>
          <w:sz w:val="26"/>
          <w:szCs w:val="26"/>
          <w:rtl/>
          <w:lang w:val="en-CA"/>
        </w:rPr>
        <w:t>. وتنوه الأمانة إلى أن الموافقة على مشروع الأرجنتين في الاجتماع الحالي سيُمكِّن من الرقابة على انبعاثات المنتج الثانوي الهيدروفلوروكربون-23 في أقرب وقت ممكن، وبالتالي يساعد على زيادة الفوائد المناخية لتعديل كيغالي للحد الأقصى.</w:t>
      </w:r>
    </w:p>
    <w:p w14:paraId="34BB447C" w14:textId="0E1FFF76" w:rsidR="001C36B9" w:rsidRPr="00EA5F00" w:rsidRDefault="007D43B3" w:rsidP="00031651">
      <w:pPr>
        <w:pStyle w:val="Heading1"/>
        <w:numPr>
          <w:ilvl w:val="0"/>
          <w:numId w:val="7"/>
        </w:numPr>
        <w:bidi/>
        <w:rPr>
          <w:sz w:val="26"/>
          <w:szCs w:val="26"/>
          <w:lang w:val="en-CA"/>
        </w:rPr>
      </w:pPr>
      <w:r w:rsidRPr="007D43B3">
        <w:rPr>
          <w:sz w:val="26"/>
          <w:szCs w:val="26"/>
          <w:rtl/>
          <w:lang w:val="en-CA"/>
        </w:rPr>
        <w:lastRenderedPageBreak/>
        <w:t xml:space="preserve">قررت اللجنة التنفيذية في اجتماعها السادس عشر أنه ينبغي احتسابُ استهلاك المواد المستنفدة لقدرات الأوزون على أساس السنة أو متوسط السنوات الثلاث التي تسبق إعداد المشروع مباشرة. ويكفل هذا النهج أنه في حال واجهت البلدان المشمولة بالمادة 5 وضعاً استثنائياً في السنة السابقة لإعداد المشروع، فيمكن النظر على أساس فترة زمنية أطول (أي متوسط السنوات الثلاث). ورغم أن تقييم الأمانة يشير إلى أن فياسا لن تكون مجدية مالياً في ظل اقتصاديات الإنتاج لعام 2019، إلا أن الأمانة تعتبر أن الأزمة الاقتصادية لعام 2019 في الأرجنتين </w:t>
      </w:r>
      <w:r w:rsidR="00134BB3">
        <w:rPr>
          <w:rFonts w:hint="cs"/>
          <w:sz w:val="26"/>
          <w:szCs w:val="26"/>
          <w:rtl/>
          <w:lang w:val="en-CA"/>
        </w:rPr>
        <w:t>غير مألوفة</w:t>
      </w:r>
      <w:r w:rsidRPr="007D43B3">
        <w:rPr>
          <w:sz w:val="26"/>
          <w:szCs w:val="26"/>
          <w:rtl/>
          <w:lang w:val="en-CA"/>
        </w:rPr>
        <w:t xml:space="preserve">. وينبغي للبلدان المشمولة بالمادة 5 أن تطلب المساعدة من الصندوق المتعدد الأطراف عندما تحتاج إلى المساعدة للامتثال بالتزاماتها بموجب البروتوكول وبغض النظر عما إذا كانت الظروف في البلد في تلك الفترة قد تؤثر على مستوى التعويض. وقررت اللجنة التنفيذية، من منطلق تقديرها، في اجتماعها السادس عشر توفير المرونة للبلدان المشمولة بالمادة 5 لمعالجة السنوات </w:t>
      </w:r>
      <w:r w:rsidRPr="00157D29">
        <w:rPr>
          <w:sz w:val="26"/>
          <w:szCs w:val="26"/>
          <w:rtl/>
          <w:lang w:val="en-CA"/>
        </w:rPr>
        <w:t xml:space="preserve">التي تتصف </w:t>
      </w:r>
      <w:r w:rsidR="00651172" w:rsidRPr="00157D29">
        <w:rPr>
          <w:rFonts w:hint="cs"/>
          <w:sz w:val="26"/>
          <w:szCs w:val="26"/>
          <w:rtl/>
          <w:lang w:val="en-CA"/>
        </w:rPr>
        <w:t xml:space="preserve">بأنها غير </w:t>
      </w:r>
      <w:r w:rsidR="00134BB3" w:rsidRPr="00157D29">
        <w:rPr>
          <w:rFonts w:hint="cs"/>
          <w:sz w:val="26"/>
          <w:szCs w:val="26"/>
          <w:rtl/>
          <w:lang w:val="en-CA"/>
        </w:rPr>
        <w:t>عادية</w:t>
      </w:r>
      <w:r w:rsidRPr="00157D29">
        <w:rPr>
          <w:sz w:val="26"/>
          <w:szCs w:val="26"/>
          <w:rtl/>
          <w:lang w:val="en-CA"/>
        </w:rPr>
        <w:t>. وق</w:t>
      </w:r>
      <w:r w:rsidRPr="007D43B3">
        <w:rPr>
          <w:sz w:val="26"/>
          <w:szCs w:val="26"/>
          <w:rtl/>
          <w:lang w:val="en-CA"/>
        </w:rPr>
        <w:t>د ترغب اللجنة التنفيذية في النظر في تطبيق مرونة مماثلة فيما يتعلق بشركة فياسا.</w:t>
      </w:r>
    </w:p>
    <w:p w14:paraId="0124F2EE" w14:textId="7067E340" w:rsidR="001C36B9" w:rsidRPr="00EA5F00" w:rsidRDefault="0093174F" w:rsidP="00031651">
      <w:pPr>
        <w:pStyle w:val="Heading1"/>
        <w:numPr>
          <w:ilvl w:val="0"/>
          <w:numId w:val="7"/>
        </w:numPr>
        <w:bidi/>
        <w:rPr>
          <w:sz w:val="26"/>
          <w:szCs w:val="26"/>
          <w:lang w:val="en-CA"/>
        </w:rPr>
      </w:pPr>
      <w:r w:rsidRPr="0093174F">
        <w:rPr>
          <w:sz w:val="26"/>
          <w:szCs w:val="26"/>
          <w:rtl/>
          <w:lang w:val="en-CA"/>
        </w:rPr>
        <w:t xml:space="preserve">قدرت الأمانة تكلفة الإغلاق بين 1,146,989 دولار أمريكي (الحد الأدنى للتمويل)، بفرض أن المرسوم الذي يضاعف تعويض العمال المفصولين دون سبب عادل لم يتم تجديده واستناداً إلى اقتصاديات الإنتاج في عام 2019 (أي أن الكسب الفائت سيكون صفراً)، و3,545,517 دولار أمريكي (الحد الأقصى للتمويل)، بفرض تم تجديد المرسوم، وذلك في ظل وضع اقتصادي أكثر ملاءمة في الأرجنتين مقارنة بالوضع السائد في عام 2019. وقد تراوح مستوى التمويل لمواصلة إنتاج الهيدروكلوروفلوروكربون-22 وتدمير الهيدروفلوروكربون-23 بين 1,207,771 دولار أمريكي و1,307,382 دولار أمريكي، </w:t>
      </w:r>
      <w:r w:rsidR="00E418B9">
        <w:rPr>
          <w:rFonts w:hint="cs"/>
          <w:sz w:val="26"/>
          <w:szCs w:val="26"/>
          <w:rtl/>
          <w:lang w:val="en-CA"/>
        </w:rPr>
        <w:t>وفقاً</w:t>
      </w:r>
      <w:r w:rsidR="00157D29">
        <w:rPr>
          <w:rFonts w:hint="cs"/>
          <w:sz w:val="26"/>
          <w:szCs w:val="26"/>
          <w:rtl/>
          <w:lang w:val="en-CA"/>
        </w:rPr>
        <w:t xml:space="preserve"> </w:t>
      </w:r>
      <w:r w:rsidR="00E418B9">
        <w:rPr>
          <w:rFonts w:hint="cs"/>
          <w:sz w:val="26"/>
          <w:szCs w:val="26"/>
          <w:rtl/>
          <w:lang w:val="en-CA"/>
        </w:rPr>
        <w:t>ل</w:t>
      </w:r>
      <w:r w:rsidRPr="0093174F">
        <w:rPr>
          <w:sz w:val="26"/>
          <w:szCs w:val="26"/>
          <w:rtl/>
          <w:lang w:val="en-CA"/>
        </w:rPr>
        <w:t>عدد السنوات التي يتم توفير الدعم التمويلي لها وبالنظر إلى ما إذا كان يتم استخدام متوسط إنتاج الفترة 2017-2019 أو إنتاج عام 2019 لتحديد تكاليف التشغيل الإضافية.</w:t>
      </w:r>
    </w:p>
    <w:p w14:paraId="6392FB7D" w14:textId="212E6397" w:rsidR="001C36B9" w:rsidRPr="00EA5F00" w:rsidRDefault="00357C08" w:rsidP="00031651">
      <w:pPr>
        <w:pStyle w:val="Heading1"/>
        <w:numPr>
          <w:ilvl w:val="0"/>
          <w:numId w:val="7"/>
        </w:numPr>
        <w:bidi/>
        <w:rPr>
          <w:sz w:val="26"/>
          <w:szCs w:val="26"/>
          <w:lang w:val="en-CA"/>
        </w:rPr>
      </w:pPr>
      <w:r w:rsidRPr="00357C08">
        <w:rPr>
          <w:sz w:val="26"/>
          <w:szCs w:val="26"/>
          <w:rtl/>
          <w:lang w:val="en-CA"/>
        </w:rPr>
        <w:t>على الرغم من المناقشات البناءة مع اليونيدو وحكومة الأرجنتين، لم يتسنَ التوصل إلى اتفاق بشأن تكاليف المشروع. وبغية تسهيل نظر اللجنة التنفيذية في المشروع، أدرجت الأمانة في هذه الوثيقة توصيةً، تشير بموجبها إلى أن التكاليف النهائية للمشروع ستعتمد على مداولات اللجنة التنفيذية.</w:t>
      </w:r>
    </w:p>
    <w:p w14:paraId="1FFCCC82" w14:textId="26327320" w:rsidR="001C36B9" w:rsidRPr="00EA5F00" w:rsidRDefault="00EC2827" w:rsidP="00031651">
      <w:pPr>
        <w:pStyle w:val="Heading1"/>
        <w:numPr>
          <w:ilvl w:val="0"/>
          <w:numId w:val="7"/>
        </w:numPr>
        <w:bidi/>
        <w:rPr>
          <w:sz w:val="26"/>
          <w:szCs w:val="26"/>
          <w:lang w:val="en-CA"/>
        </w:rPr>
      </w:pPr>
      <w:r w:rsidRPr="00EC2827">
        <w:rPr>
          <w:sz w:val="26"/>
          <w:szCs w:val="26"/>
          <w:rtl/>
          <w:lang w:val="en-CA"/>
        </w:rPr>
        <w:t>نظراً لعدم وجود تكاليف متفق عليها، يمكن للأمانة أن تقدم مشروع اتفاق بين حكومة الأرجنتين واللجنة التنفيذية إلى الاجتماع السادس والثمانين يعكس أي توجيه منصوص عليه في الاجتماع الخامس والثمانين. ويتعين أن يحدد مشروع الاتفاق مستويات التمويل والأهداف والالتزامات، وسيتناول، من بين جملة أمور أخرى، ما يلي:</w:t>
      </w:r>
    </w:p>
    <w:p w14:paraId="04845990" w14:textId="553A660D" w:rsidR="00122854" w:rsidRPr="00122854" w:rsidRDefault="0049065B" w:rsidP="00122854">
      <w:pPr>
        <w:pStyle w:val="ListParagraph"/>
        <w:numPr>
          <w:ilvl w:val="0"/>
          <w:numId w:val="16"/>
        </w:numPr>
        <w:bidi/>
        <w:spacing w:after="240"/>
        <w:ind w:left="1440" w:hanging="720"/>
        <w:contextualSpacing w:val="0"/>
        <w:rPr>
          <w:sz w:val="26"/>
          <w:szCs w:val="26"/>
          <w:lang w:val="en-CA"/>
        </w:rPr>
      </w:pPr>
      <w:r w:rsidRPr="0049065B">
        <w:rPr>
          <w:sz w:val="26"/>
          <w:szCs w:val="26"/>
          <w:rtl/>
          <w:lang w:val="en-CA"/>
        </w:rPr>
        <w:t>في حالة استمرار تشغيل خط إنتاج الهيدروكلوروفلوروكربون-22 وتجديد موقد الحرق:</w:t>
      </w:r>
    </w:p>
    <w:p w14:paraId="6F252FAE" w14:textId="7373661D" w:rsidR="0049065B" w:rsidRPr="0049065B" w:rsidRDefault="00551091" w:rsidP="0049065B">
      <w:pPr>
        <w:pStyle w:val="ListParagraph"/>
        <w:numPr>
          <w:ilvl w:val="0"/>
          <w:numId w:val="17"/>
        </w:numPr>
        <w:bidi/>
        <w:spacing w:after="240"/>
        <w:ind w:left="2160" w:hanging="720"/>
        <w:contextualSpacing w:val="0"/>
        <w:rPr>
          <w:sz w:val="26"/>
          <w:szCs w:val="26"/>
          <w:lang w:val="en-CA"/>
        </w:rPr>
      </w:pPr>
      <w:r w:rsidRPr="00551091">
        <w:rPr>
          <w:sz w:val="26"/>
          <w:szCs w:val="26"/>
          <w:rtl/>
          <w:lang w:val="en-CA"/>
        </w:rPr>
        <w:t>تقديم تقارير مرحلية سنوية عن حالة المشروع، بما في ذلك مستوى الصرف، وكمية الهيدروكلوروفلوروكربون-22 المنتج، وكمية المنتج الثانوي الهيدروفلوروكربون-23 الذي تم توليده، وتدميره، وبيعه، وتخزينه، وانبعاثه، مشفوعاً بتقرير تحقق سنوي مستقل يوثق امتثال حكومة الأرجنتين، من خلال استكمال المشروع؛ و</w:t>
      </w:r>
    </w:p>
    <w:p w14:paraId="75EACCEB" w14:textId="3475AE3F" w:rsidR="00551091" w:rsidRPr="00551091" w:rsidRDefault="00C53483" w:rsidP="00551091">
      <w:pPr>
        <w:pStyle w:val="ListParagraph"/>
        <w:numPr>
          <w:ilvl w:val="0"/>
          <w:numId w:val="17"/>
        </w:numPr>
        <w:bidi/>
        <w:spacing w:after="240"/>
        <w:ind w:left="2160" w:hanging="720"/>
        <w:contextualSpacing w:val="0"/>
        <w:rPr>
          <w:sz w:val="26"/>
          <w:szCs w:val="26"/>
          <w:lang w:val="en-CA"/>
        </w:rPr>
      </w:pPr>
      <w:r w:rsidRPr="00C53483">
        <w:rPr>
          <w:sz w:val="26"/>
          <w:szCs w:val="26"/>
          <w:rtl/>
          <w:lang w:val="en-CA"/>
        </w:rPr>
        <w:t xml:space="preserve">مستوى الغرامة التي سيتم تطبيقها على انبعاثات المنتج الثانوي الهيدروفلوروكربون-23 </w:t>
      </w:r>
      <w:r w:rsidR="00036E2C">
        <w:rPr>
          <w:rFonts w:hint="cs"/>
          <w:sz w:val="26"/>
          <w:szCs w:val="26"/>
          <w:rtl/>
          <w:lang w:val="en-CA"/>
        </w:rPr>
        <w:t>الذي</w:t>
      </w:r>
      <w:r w:rsidR="001D44B7">
        <w:rPr>
          <w:rFonts w:hint="cs"/>
          <w:sz w:val="26"/>
          <w:szCs w:val="26"/>
          <w:rtl/>
          <w:lang w:val="en-CA"/>
        </w:rPr>
        <w:t xml:space="preserve"> تقرر</w:t>
      </w:r>
      <w:r w:rsidRPr="00C53483">
        <w:rPr>
          <w:sz w:val="26"/>
          <w:szCs w:val="26"/>
          <w:rtl/>
          <w:lang w:val="en-CA"/>
        </w:rPr>
        <w:t xml:space="preserve"> </w:t>
      </w:r>
      <w:r w:rsidR="001D44B7">
        <w:rPr>
          <w:rFonts w:hint="cs"/>
          <w:sz w:val="26"/>
          <w:szCs w:val="26"/>
          <w:rtl/>
          <w:lang w:val="en-CA"/>
        </w:rPr>
        <w:t>ب</w:t>
      </w:r>
      <w:r w:rsidRPr="00C53483">
        <w:rPr>
          <w:sz w:val="26"/>
          <w:szCs w:val="26"/>
          <w:rtl/>
          <w:lang w:val="en-CA"/>
        </w:rPr>
        <w:t>أنه لم يتم تدميره بالقدر الممكن عملياً؛</w:t>
      </w:r>
    </w:p>
    <w:p w14:paraId="46681BA9" w14:textId="54F0244C" w:rsidR="0049065B" w:rsidRPr="0049065B" w:rsidRDefault="00241F73" w:rsidP="0049065B">
      <w:pPr>
        <w:pStyle w:val="ListParagraph"/>
        <w:numPr>
          <w:ilvl w:val="0"/>
          <w:numId w:val="16"/>
        </w:numPr>
        <w:bidi/>
        <w:spacing w:after="240"/>
        <w:ind w:left="1440" w:hanging="720"/>
        <w:contextualSpacing w:val="0"/>
        <w:rPr>
          <w:sz w:val="26"/>
          <w:szCs w:val="26"/>
          <w:lang w:val="en-CA"/>
        </w:rPr>
      </w:pPr>
      <w:r w:rsidRPr="00241F73">
        <w:rPr>
          <w:sz w:val="26"/>
          <w:szCs w:val="26"/>
          <w:rtl/>
          <w:lang w:val="en-CA"/>
        </w:rPr>
        <w:t>في حالة إغلاق خط إنتاج الهيدروكلوروفلوروكربون-22:</w:t>
      </w:r>
    </w:p>
    <w:p w14:paraId="6400701A" w14:textId="214D9CF5" w:rsidR="00241F73" w:rsidRPr="00241F73" w:rsidRDefault="00547867" w:rsidP="00241F73">
      <w:pPr>
        <w:pStyle w:val="ListParagraph"/>
        <w:numPr>
          <w:ilvl w:val="0"/>
          <w:numId w:val="18"/>
        </w:numPr>
        <w:bidi/>
        <w:spacing w:after="240"/>
        <w:ind w:left="2160" w:hanging="720"/>
        <w:contextualSpacing w:val="0"/>
        <w:rPr>
          <w:sz w:val="26"/>
          <w:szCs w:val="26"/>
          <w:lang w:val="en-CA"/>
        </w:rPr>
      </w:pPr>
      <w:r w:rsidRPr="00547867">
        <w:rPr>
          <w:sz w:val="26"/>
          <w:szCs w:val="26"/>
          <w:rtl/>
          <w:lang w:val="en-CA"/>
        </w:rPr>
        <w:t>تقديم تقارير مرحلية سنوية، عن حالة المشروع حتى ان</w:t>
      </w:r>
      <w:r w:rsidR="004077CA">
        <w:rPr>
          <w:rFonts w:hint="cs"/>
          <w:sz w:val="26"/>
          <w:szCs w:val="26"/>
          <w:rtl/>
          <w:lang w:val="en-CA"/>
        </w:rPr>
        <w:t>جازه</w:t>
      </w:r>
      <w:r w:rsidRPr="00547867">
        <w:rPr>
          <w:sz w:val="26"/>
          <w:szCs w:val="26"/>
          <w:rtl/>
          <w:lang w:val="en-CA"/>
        </w:rPr>
        <w:t>، بما في ذلك مستوى الصرف، وتقديم تقرير تحقق مستقل، تماشياً مع المبادئ التوجيهية والإجراءات التي أقرتها اللجنة التنفيذية، بما في ذلك تقديم أدلة على تفكيك التجهيزات الرئيسية؛ و</w:t>
      </w:r>
    </w:p>
    <w:p w14:paraId="0894A1A8" w14:textId="5A35E1D4" w:rsidR="00281ADF" w:rsidRPr="00281ADF" w:rsidRDefault="008871DB" w:rsidP="00281ADF">
      <w:pPr>
        <w:pStyle w:val="ListParagraph"/>
        <w:numPr>
          <w:ilvl w:val="0"/>
          <w:numId w:val="18"/>
        </w:numPr>
        <w:bidi/>
        <w:spacing w:after="240"/>
        <w:ind w:left="2160" w:hanging="720"/>
        <w:contextualSpacing w:val="0"/>
        <w:rPr>
          <w:sz w:val="26"/>
          <w:szCs w:val="26"/>
          <w:lang w:val="en-CA"/>
        </w:rPr>
      </w:pPr>
      <w:r w:rsidRPr="008871DB">
        <w:rPr>
          <w:sz w:val="26"/>
          <w:szCs w:val="26"/>
          <w:rtl/>
          <w:lang w:val="en-CA"/>
        </w:rPr>
        <w:t>مستوى الغرامة التي سيتم تطبيقها على انبعاثات المنتج الثانوي الهيدروفلوروكربون-23 ال</w:t>
      </w:r>
      <w:r w:rsidR="004077CA">
        <w:rPr>
          <w:rFonts w:hint="cs"/>
          <w:sz w:val="26"/>
          <w:szCs w:val="26"/>
          <w:rtl/>
          <w:lang w:val="en-CA"/>
        </w:rPr>
        <w:t xml:space="preserve">تي تقرر بأنها كانت مستمرة </w:t>
      </w:r>
      <w:r w:rsidRPr="008871DB">
        <w:rPr>
          <w:sz w:val="26"/>
          <w:szCs w:val="26"/>
          <w:rtl/>
          <w:lang w:val="en-CA"/>
        </w:rPr>
        <w:t>بعد التاريخ الذي تحدده اللجنة؛</w:t>
      </w:r>
    </w:p>
    <w:p w14:paraId="153848FB" w14:textId="2290646A" w:rsidR="0049065B" w:rsidRPr="0049065B" w:rsidRDefault="00A53755" w:rsidP="0049065B">
      <w:pPr>
        <w:pStyle w:val="ListParagraph"/>
        <w:numPr>
          <w:ilvl w:val="0"/>
          <w:numId w:val="16"/>
        </w:numPr>
        <w:bidi/>
        <w:spacing w:after="240"/>
        <w:ind w:left="1440" w:hanging="720"/>
        <w:contextualSpacing w:val="0"/>
        <w:rPr>
          <w:sz w:val="26"/>
          <w:szCs w:val="26"/>
          <w:lang w:val="en-CA"/>
        </w:rPr>
      </w:pPr>
      <w:r w:rsidRPr="00A53755">
        <w:rPr>
          <w:sz w:val="26"/>
          <w:szCs w:val="26"/>
          <w:rtl/>
          <w:lang w:val="en-CA"/>
        </w:rPr>
        <w:t>مستوى تكاليف دعم الوكالة ودور الوكالة في المشروع؛ و</w:t>
      </w:r>
    </w:p>
    <w:p w14:paraId="220D27D8" w14:textId="70759021" w:rsidR="0049065B" w:rsidRPr="0049065B" w:rsidRDefault="00A53755" w:rsidP="0049065B">
      <w:pPr>
        <w:pStyle w:val="ListParagraph"/>
        <w:numPr>
          <w:ilvl w:val="0"/>
          <w:numId w:val="16"/>
        </w:numPr>
        <w:bidi/>
        <w:spacing w:after="240"/>
        <w:ind w:left="1440" w:hanging="720"/>
        <w:contextualSpacing w:val="0"/>
        <w:rPr>
          <w:sz w:val="26"/>
          <w:szCs w:val="26"/>
          <w:lang w:val="en-CA"/>
        </w:rPr>
      </w:pPr>
      <w:r w:rsidRPr="00A53755">
        <w:rPr>
          <w:sz w:val="26"/>
          <w:szCs w:val="26"/>
          <w:rtl/>
          <w:lang w:val="en-CA"/>
        </w:rPr>
        <w:lastRenderedPageBreak/>
        <w:t>أن تقدم اليونيدو تقرير إنجاز المشروع بعد ستة أشهر من تاريخ اكتمال المشروع، ليتم الاتفاق عليه في الاجتماع الخامس والثمانين، وأنه ستتم إعادة أي أرصدة متبقية بعد الانتهاء من المشروع إلى الصندوق المتعدد الأطراف في غضون 12 شهراً من اكتمال المشروع.</w:t>
      </w:r>
    </w:p>
    <w:p w14:paraId="5FB2B84B" w14:textId="2FD5CB58" w:rsidR="0063041B" w:rsidRPr="00A53755" w:rsidRDefault="00A53755" w:rsidP="0063041B">
      <w:pPr>
        <w:bidi/>
        <w:spacing w:after="240"/>
        <w:rPr>
          <w:bCs/>
          <w:sz w:val="26"/>
          <w:szCs w:val="26"/>
          <w:lang w:val="en-CA"/>
        </w:rPr>
      </w:pPr>
      <w:r w:rsidRPr="00A53755">
        <w:rPr>
          <w:bCs/>
          <w:sz w:val="26"/>
          <w:szCs w:val="26"/>
          <w:rtl/>
          <w:lang w:val="en-CA"/>
        </w:rPr>
        <w:t>التوصيات</w:t>
      </w:r>
    </w:p>
    <w:p w14:paraId="641448C6" w14:textId="6F7EBC9C" w:rsidR="001C36B9" w:rsidRPr="00EA5F00" w:rsidRDefault="000E4733" w:rsidP="00031651">
      <w:pPr>
        <w:pStyle w:val="Heading1"/>
        <w:numPr>
          <w:ilvl w:val="0"/>
          <w:numId w:val="7"/>
        </w:numPr>
        <w:bidi/>
        <w:rPr>
          <w:sz w:val="26"/>
          <w:szCs w:val="26"/>
          <w:lang w:val="en-CA"/>
        </w:rPr>
      </w:pPr>
      <w:r w:rsidRPr="000E4733">
        <w:rPr>
          <w:sz w:val="26"/>
          <w:szCs w:val="26"/>
          <w:rtl/>
          <w:lang w:val="en-CA"/>
        </w:rPr>
        <w:t>قد ترغب اللجنة التنفيذية في:</w:t>
      </w:r>
    </w:p>
    <w:p w14:paraId="0B79A9C6" w14:textId="736A1934" w:rsidR="00F535A2" w:rsidRPr="00BC723B" w:rsidRDefault="00BC723B" w:rsidP="00F535A2">
      <w:pPr>
        <w:pStyle w:val="ListParagraph"/>
        <w:numPr>
          <w:ilvl w:val="0"/>
          <w:numId w:val="19"/>
        </w:numPr>
        <w:bidi/>
        <w:spacing w:after="240"/>
        <w:ind w:left="1440" w:hanging="720"/>
        <w:contextualSpacing w:val="0"/>
        <w:rPr>
          <w:szCs w:val="26"/>
          <w:lang w:val="en-CA"/>
        </w:rPr>
      </w:pPr>
      <w:r w:rsidRPr="00BC723B">
        <w:rPr>
          <w:szCs w:val="26"/>
          <w:rtl/>
          <w:lang w:val="en-CA"/>
        </w:rPr>
        <w:t xml:space="preserve">الإشارة إلى الجوانب الرئيسية ذات الصلة بتكنولوجيات </w:t>
      </w:r>
      <w:r w:rsidR="00F6563E">
        <w:rPr>
          <w:rFonts w:hint="cs"/>
          <w:szCs w:val="26"/>
          <w:rtl/>
          <w:lang w:val="en-CA"/>
        </w:rPr>
        <w:t>ال</w:t>
      </w:r>
      <w:r w:rsidRPr="00BC723B">
        <w:rPr>
          <w:szCs w:val="26"/>
          <w:rtl/>
          <w:lang w:val="en-CA"/>
        </w:rPr>
        <w:t>رقابة</w:t>
      </w:r>
      <w:r w:rsidR="00F6563E">
        <w:rPr>
          <w:rFonts w:hint="cs"/>
          <w:szCs w:val="26"/>
          <w:rtl/>
          <w:lang w:val="en-CA"/>
        </w:rPr>
        <w:t xml:space="preserve"> على</w:t>
      </w:r>
      <w:r w:rsidRPr="00BC723B">
        <w:rPr>
          <w:szCs w:val="26"/>
          <w:rtl/>
          <w:lang w:val="en-CA"/>
        </w:rPr>
        <w:t xml:space="preserve"> المنتج الثانوي الهيدروفلوروكربون-23: الأرجنتين (المقرر 84/90) الواردة في الوثيقة</w:t>
      </w:r>
      <w:r w:rsidRPr="00BC723B">
        <w:rPr>
          <w:rFonts w:hint="cs"/>
          <w:szCs w:val="26"/>
          <w:rtl/>
          <w:lang w:val="en-CA"/>
        </w:rPr>
        <w:t xml:space="preserve"> </w:t>
      </w:r>
      <w:r w:rsidRPr="00BC723B">
        <w:rPr>
          <w:szCs w:val="26"/>
          <w:lang w:val="en-CA"/>
        </w:rPr>
        <w:t>UNEP/</w:t>
      </w:r>
      <w:proofErr w:type="spellStart"/>
      <w:r w:rsidRPr="00BC723B">
        <w:rPr>
          <w:szCs w:val="26"/>
          <w:lang w:val="en-CA"/>
        </w:rPr>
        <w:t>OzL.Pro</w:t>
      </w:r>
      <w:proofErr w:type="spellEnd"/>
      <w:r w:rsidRPr="00BC723B">
        <w:rPr>
          <w:szCs w:val="26"/>
          <w:lang w:val="en-CA"/>
        </w:rPr>
        <w:t>/ExCom/85/64</w:t>
      </w:r>
      <w:r w:rsidRPr="00BC723B">
        <w:rPr>
          <w:rFonts w:hint="cs"/>
          <w:szCs w:val="26"/>
          <w:rtl/>
          <w:lang w:val="en-CA"/>
        </w:rPr>
        <w:t>؛</w:t>
      </w:r>
    </w:p>
    <w:p w14:paraId="4C4A69D3" w14:textId="48D98FEC" w:rsidR="00F535A2" w:rsidRPr="00BC723B" w:rsidRDefault="00F6563E" w:rsidP="00F535A2">
      <w:pPr>
        <w:pStyle w:val="ListParagraph"/>
        <w:numPr>
          <w:ilvl w:val="0"/>
          <w:numId w:val="19"/>
        </w:numPr>
        <w:bidi/>
        <w:spacing w:after="240"/>
        <w:ind w:left="1440" w:hanging="720"/>
        <w:contextualSpacing w:val="0"/>
        <w:rPr>
          <w:szCs w:val="26"/>
          <w:lang w:val="en-CA"/>
        </w:rPr>
      </w:pPr>
      <w:r w:rsidRPr="00F6563E">
        <w:rPr>
          <w:szCs w:val="26"/>
          <w:rtl/>
          <w:lang w:val="en-CA"/>
        </w:rPr>
        <w:t>الموافقة، من حيث المبدأ، على مبلغ [×××] دولار أمريكي، بالإضافة إلى تكاليف دعم الوكالة البالغة [×××] دولار أمريكي لليونيدو، بغية تمكين حكومة الأرجنتين من الامتثال للالتزام بالرقابة على انبعاثات المنتج الثانوي الهيدروفلوروكربون-23 بموجب تعديل كيغالي لبروتوكول مونتريال، على أساس تفهم أن:</w:t>
      </w:r>
    </w:p>
    <w:p w14:paraId="068B207C" w14:textId="69CDA746" w:rsidR="00D66570" w:rsidRPr="00D66570" w:rsidRDefault="00D25F7C" w:rsidP="00D66570">
      <w:pPr>
        <w:pStyle w:val="ListParagraph"/>
        <w:numPr>
          <w:ilvl w:val="0"/>
          <w:numId w:val="20"/>
        </w:numPr>
        <w:bidi/>
        <w:spacing w:after="240"/>
        <w:ind w:left="2160" w:hanging="720"/>
        <w:contextualSpacing w:val="0"/>
        <w:rPr>
          <w:sz w:val="26"/>
          <w:szCs w:val="26"/>
          <w:lang w:val="en-CA"/>
        </w:rPr>
      </w:pPr>
      <w:r w:rsidRPr="00F21405">
        <w:rPr>
          <w:sz w:val="26"/>
          <w:szCs w:val="26"/>
          <w:rtl/>
          <w:lang w:val="en-CA"/>
        </w:rPr>
        <w:t xml:space="preserve"> </w:t>
      </w:r>
      <w:r w:rsidR="00F21405" w:rsidRPr="00F21405">
        <w:rPr>
          <w:sz w:val="26"/>
          <w:szCs w:val="26"/>
          <w:rtl/>
          <w:lang w:val="en-CA"/>
        </w:rPr>
        <w:t>[</w:t>
      </w:r>
      <w:r w:rsidR="00F21405" w:rsidRPr="00F21405">
        <w:rPr>
          <w:i/>
          <w:iCs/>
          <w:sz w:val="26"/>
          <w:szCs w:val="26"/>
          <w:rtl/>
          <w:lang w:val="en-CA"/>
        </w:rPr>
        <w:t>في حالة الإغلاق</w:t>
      </w:r>
      <w:r w:rsidR="00F21405" w:rsidRPr="00F21405">
        <w:rPr>
          <w:sz w:val="26"/>
          <w:szCs w:val="26"/>
          <w:rtl/>
          <w:lang w:val="en-CA"/>
        </w:rPr>
        <w:t>: ستكفل حكومة الأرجنتين أن يكون إنتاج الهيدروكلوروفلوروكربون-22 وتوليد المنتج الثانوي الهيدروفلوروكربون-23 في الأرجنتين معدوماً بحلول [تاريخ]؛</w:t>
      </w:r>
    </w:p>
    <w:p w14:paraId="64033804" w14:textId="1D92866B" w:rsidR="00F21405" w:rsidRPr="00F21405" w:rsidRDefault="00F21405" w:rsidP="00F21405">
      <w:pPr>
        <w:bidi/>
        <w:spacing w:after="240"/>
        <w:ind w:left="1440" w:firstLine="720"/>
        <w:rPr>
          <w:sz w:val="26"/>
          <w:szCs w:val="26"/>
          <w:lang w:val="en-CA"/>
        </w:rPr>
      </w:pPr>
      <w:r>
        <w:rPr>
          <w:rFonts w:hint="cs"/>
          <w:sz w:val="26"/>
          <w:szCs w:val="26"/>
          <w:rtl/>
          <w:lang w:val="en-CA"/>
        </w:rPr>
        <w:t>أو</w:t>
      </w:r>
    </w:p>
    <w:p w14:paraId="3ADA0D0A" w14:textId="5CCBE2B7" w:rsidR="00F21405" w:rsidRPr="00F21405" w:rsidRDefault="00F21405" w:rsidP="00F21405">
      <w:pPr>
        <w:pStyle w:val="ListParagraph"/>
        <w:bidi/>
        <w:spacing w:after="240"/>
        <w:ind w:left="2160"/>
        <w:contextualSpacing w:val="0"/>
        <w:rPr>
          <w:sz w:val="26"/>
          <w:szCs w:val="26"/>
          <w:lang w:val="en-CA"/>
        </w:rPr>
      </w:pPr>
      <w:r w:rsidRPr="00F21405">
        <w:rPr>
          <w:i/>
          <w:iCs/>
          <w:sz w:val="26"/>
          <w:szCs w:val="26"/>
          <w:rtl/>
          <w:lang w:val="en-CA"/>
        </w:rPr>
        <w:t>في حال استمرار التشغيل</w:t>
      </w:r>
      <w:r w:rsidRPr="00F21405">
        <w:rPr>
          <w:sz w:val="26"/>
          <w:szCs w:val="26"/>
          <w:rtl/>
          <w:lang w:val="en-CA"/>
        </w:rPr>
        <w:t>: ستكفل حكومة الأرجنتين أنه بحلول [تاريخ]، سيتم تدمير انبعاثات المنتج الثانوي الهيدروفلوروكربون-23 الناجم عن إنتاج الهيدروكلوروفلوروكربون-22 في الأرجنتين امتثالاً لبروتوكول مونتريال؛]</w:t>
      </w:r>
    </w:p>
    <w:p w14:paraId="7F332612" w14:textId="22F53A35" w:rsidR="00F21405" w:rsidRPr="00F21405" w:rsidRDefault="00B94156" w:rsidP="00F21405">
      <w:pPr>
        <w:pStyle w:val="ListParagraph"/>
        <w:numPr>
          <w:ilvl w:val="0"/>
          <w:numId w:val="20"/>
        </w:numPr>
        <w:bidi/>
        <w:spacing w:after="240"/>
        <w:ind w:left="2160" w:hanging="720"/>
        <w:contextualSpacing w:val="0"/>
        <w:rPr>
          <w:sz w:val="26"/>
          <w:szCs w:val="26"/>
          <w:lang w:val="en-CA"/>
        </w:rPr>
      </w:pPr>
      <w:r w:rsidRPr="00B94156">
        <w:rPr>
          <w:sz w:val="26"/>
          <w:szCs w:val="26"/>
          <w:rtl/>
          <w:lang w:val="en-CA"/>
        </w:rPr>
        <w:t>سيكتمل المشروع بحلول [تاريخ]؛</w:t>
      </w:r>
    </w:p>
    <w:p w14:paraId="3FFA889A" w14:textId="11971C92" w:rsidR="00F535A2" w:rsidRPr="00F535A2" w:rsidRDefault="00D25F7C" w:rsidP="00F535A2">
      <w:pPr>
        <w:pStyle w:val="ListParagraph"/>
        <w:numPr>
          <w:ilvl w:val="0"/>
          <w:numId w:val="19"/>
        </w:numPr>
        <w:bidi/>
        <w:spacing w:after="240"/>
        <w:ind w:left="1440" w:hanging="720"/>
        <w:contextualSpacing w:val="0"/>
        <w:rPr>
          <w:sz w:val="26"/>
          <w:szCs w:val="26"/>
          <w:lang w:val="en-CA"/>
        </w:rPr>
      </w:pPr>
      <w:r w:rsidRPr="00B94156">
        <w:rPr>
          <w:sz w:val="26"/>
          <w:szCs w:val="26"/>
          <w:rtl/>
          <w:lang w:val="en-CA"/>
        </w:rPr>
        <w:t xml:space="preserve"> </w:t>
      </w:r>
      <w:r w:rsidR="00B94156" w:rsidRPr="00B94156">
        <w:rPr>
          <w:sz w:val="26"/>
          <w:szCs w:val="26"/>
          <w:rtl/>
          <w:lang w:val="en-CA"/>
        </w:rPr>
        <w:t>[</w:t>
      </w:r>
      <w:r w:rsidR="00B94156" w:rsidRPr="00B94156">
        <w:rPr>
          <w:i/>
          <w:iCs/>
          <w:sz w:val="26"/>
          <w:szCs w:val="26"/>
          <w:rtl/>
          <w:lang w:val="en-CA"/>
        </w:rPr>
        <w:t>في حالة الإغلاق</w:t>
      </w:r>
      <w:r w:rsidR="00B94156" w:rsidRPr="00B94156">
        <w:rPr>
          <w:sz w:val="26"/>
          <w:szCs w:val="26"/>
          <w:rtl/>
          <w:lang w:val="en-CA"/>
        </w:rPr>
        <w:t>: مطالبة اليونيدو بالعودة إلى مبلغ 16,667 دولار أمريكي المتفق عليها في الاجتماع السادس والثمانين، بالإضافة إلى تكاليف دعم الوكالة البالغة 1,167 دولار أمريكي، ذات الصلة بالرقابة على الإنتاج لعامي 2021 و2022]؛</w:t>
      </w:r>
    </w:p>
    <w:p w14:paraId="77014BFF" w14:textId="763C2FFF" w:rsidR="00F535A2" w:rsidRPr="00F535A2" w:rsidRDefault="00535539" w:rsidP="00F535A2">
      <w:pPr>
        <w:pStyle w:val="ListParagraph"/>
        <w:numPr>
          <w:ilvl w:val="0"/>
          <w:numId w:val="19"/>
        </w:numPr>
        <w:bidi/>
        <w:spacing w:after="240"/>
        <w:ind w:left="1440" w:hanging="720"/>
        <w:contextualSpacing w:val="0"/>
        <w:rPr>
          <w:sz w:val="26"/>
          <w:szCs w:val="26"/>
          <w:lang w:val="en-CA"/>
        </w:rPr>
      </w:pPr>
      <w:r>
        <w:rPr>
          <w:rFonts w:hint="cs"/>
          <w:sz w:val="26"/>
          <w:szCs w:val="26"/>
          <w:rtl/>
          <w:lang w:val="en-CA"/>
        </w:rPr>
        <w:t>تجدر الملاحظة إلى</w:t>
      </w:r>
      <w:r w:rsidRPr="00535539">
        <w:rPr>
          <w:sz w:val="26"/>
          <w:szCs w:val="26"/>
          <w:rtl/>
          <w:lang w:val="en-CA"/>
        </w:rPr>
        <w:t xml:space="preserve"> أن التمويل المعتمد، من حيث المبدأ، المحدد في الفقرة الفرعية (ب) أعلاه هو إجمالي التمويل الذي سيتوفر للأرجنتين من الصندوق المتعدد الأطراف لفرض الرقابة على انبعاثات المنتج الثانوي الهيدروفلوروكربون-23؛ [و]</w:t>
      </w:r>
    </w:p>
    <w:p w14:paraId="71AFB985" w14:textId="036A73E0" w:rsidR="00F535A2" w:rsidRPr="00F535A2" w:rsidRDefault="00535539" w:rsidP="00F535A2">
      <w:pPr>
        <w:pStyle w:val="ListParagraph"/>
        <w:numPr>
          <w:ilvl w:val="0"/>
          <w:numId w:val="19"/>
        </w:numPr>
        <w:bidi/>
        <w:spacing w:after="240"/>
        <w:ind w:left="1440" w:hanging="720"/>
        <w:contextualSpacing w:val="0"/>
        <w:rPr>
          <w:sz w:val="26"/>
          <w:szCs w:val="26"/>
          <w:lang w:val="en-CA"/>
        </w:rPr>
      </w:pPr>
      <w:r w:rsidRPr="00535539">
        <w:rPr>
          <w:sz w:val="26"/>
          <w:szCs w:val="26"/>
          <w:rtl/>
          <w:lang w:val="en-CA"/>
        </w:rPr>
        <w:t>مطالبة الأمانة، بالتعاون مع اليونيدو، بإعداد مشروع اتفاق بين حكومة الأرجنتين واللجنة التنفيذية للرقابة على انبعاثات المنتج الثانوي الهيدروفلوروكربون-23 للنظر فيه في الاجتماع السادس والثمانين، في ضوء التوجيه المقدم من اللجنة التنفيذية في الاجتماع الحالي؛ [و]</w:t>
      </w:r>
    </w:p>
    <w:p w14:paraId="5DADE5DC" w14:textId="6D2FD558" w:rsidR="00F535A2" w:rsidRPr="00F535A2" w:rsidRDefault="00D25F7C" w:rsidP="00535539">
      <w:pPr>
        <w:pStyle w:val="ListParagraph"/>
        <w:numPr>
          <w:ilvl w:val="0"/>
          <w:numId w:val="19"/>
        </w:numPr>
        <w:bidi/>
        <w:spacing w:after="240"/>
        <w:ind w:left="1440" w:hanging="720"/>
        <w:contextualSpacing w:val="0"/>
        <w:rPr>
          <w:sz w:val="26"/>
          <w:szCs w:val="26"/>
          <w:lang w:val="en-CA"/>
        </w:rPr>
      </w:pPr>
      <w:r w:rsidRPr="00535539">
        <w:rPr>
          <w:sz w:val="26"/>
          <w:szCs w:val="26"/>
          <w:rtl/>
          <w:lang w:val="en-CA"/>
        </w:rPr>
        <w:t xml:space="preserve"> </w:t>
      </w:r>
      <w:r w:rsidR="00535539" w:rsidRPr="00535539">
        <w:rPr>
          <w:sz w:val="26"/>
          <w:szCs w:val="26"/>
          <w:rtl/>
          <w:lang w:val="en-CA"/>
        </w:rPr>
        <w:t>[الموافقة على الشريحة الأولى من الرقابة على انبعاثات المنتج الثانوي الهيدروفلوروكربون-23 في الأرجنتين، وخطة التنفيذ المقابلة للفترة 2020-2021، بمبلغ [×××] دولار أمريكي، بالإضافة إلى تكاليف دعم الوكالة [×××] دولار أمريكي لليونيدو].</w:t>
      </w:r>
    </w:p>
    <w:p w14:paraId="23304E16" w14:textId="77777777" w:rsidR="00731760" w:rsidRDefault="00731760" w:rsidP="00535539">
      <w:pPr>
        <w:bidi/>
        <w:rPr>
          <w:lang w:val="en-CA"/>
        </w:rPr>
      </w:pPr>
    </w:p>
    <w:p w14:paraId="06705885" w14:textId="77777777" w:rsidR="00731760" w:rsidRPr="00731760" w:rsidRDefault="00731760" w:rsidP="00535539">
      <w:pPr>
        <w:bidi/>
        <w:rPr>
          <w:lang w:val="en-CA"/>
        </w:rPr>
      </w:pPr>
    </w:p>
    <w:sectPr w:rsidR="00731760" w:rsidRPr="00731760" w:rsidSect="003F0CBC">
      <w:headerReference w:type="even" r:id="rId11"/>
      <w:headerReference w:type="default" r:id="rId12"/>
      <w:footerReference w:type="even" r:id="rId13"/>
      <w:footerReference w:type="default" r:id="rId14"/>
      <w:footerReference w:type="first" r:id="rId15"/>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CF84C9" w14:textId="77777777" w:rsidR="00EB0C40" w:rsidRDefault="00EB0C40" w:rsidP="004A504B">
      <w:r>
        <w:separator/>
      </w:r>
    </w:p>
  </w:endnote>
  <w:endnote w:type="continuationSeparator" w:id="0">
    <w:p w14:paraId="5AFB809B" w14:textId="77777777" w:rsidR="00EB0C40" w:rsidRDefault="00EB0C4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F4E80D" w14:textId="77777777" w:rsidR="003F0CBC" w:rsidRPr="0033525D" w:rsidRDefault="003F0CBC">
    <w:pPr>
      <w:jc w:val="center"/>
    </w:pPr>
    <w:r>
      <w:fldChar w:fldCharType="begin"/>
    </w:r>
    <w:r>
      <w:instrText xml:space="preserve"> PAGE </w:instrText>
    </w:r>
    <w:r>
      <w:fldChar w:fldCharType="separate"/>
    </w:r>
    <w:r w:rsidR="00ED0A7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FB19E3" w14:textId="77777777" w:rsidR="003F0CBC" w:rsidRPr="0033525D" w:rsidRDefault="003F0CBC">
    <w:pPr>
      <w:jc w:val="center"/>
    </w:pPr>
    <w:r>
      <w:fldChar w:fldCharType="begin"/>
    </w:r>
    <w:r>
      <w:instrText xml:space="preserve"> PAGE </w:instrText>
    </w:r>
    <w:r>
      <w:fldChar w:fldCharType="separate"/>
    </w:r>
    <w:r w:rsidR="00ED0A78">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9699A0" w14:textId="77777777" w:rsidR="003F0CBC" w:rsidRDefault="003F0CB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F904D9F" w14:textId="77777777" w:rsidR="003F0CBC" w:rsidRDefault="003F0CB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E078BB" w14:textId="77777777" w:rsidR="00EB0C40" w:rsidRDefault="00EB0C40" w:rsidP="00C16C2F">
      <w:pPr>
        <w:bidi/>
      </w:pPr>
      <w:r>
        <w:separator/>
      </w:r>
    </w:p>
  </w:footnote>
  <w:footnote w:type="continuationSeparator" w:id="0">
    <w:p w14:paraId="14C3B45A" w14:textId="77777777" w:rsidR="00EB0C40" w:rsidRDefault="00EB0C40" w:rsidP="004A504B">
      <w:r>
        <w:continuationSeparator/>
      </w:r>
    </w:p>
  </w:footnote>
  <w:footnote w:id="1">
    <w:p w14:paraId="6837E2EC" w14:textId="77777777" w:rsidR="00C16C2F" w:rsidRDefault="00C16C2F" w:rsidP="003645E4">
      <w:pPr>
        <w:pStyle w:val="FootnoteText"/>
        <w:bidi/>
        <w:spacing w:after="120"/>
        <w:rPr>
          <w:rtl/>
          <w:lang w:bidi="ar-AE"/>
        </w:rPr>
      </w:pPr>
      <w:r w:rsidRPr="00514747">
        <w:rPr>
          <w:rStyle w:val="FootnoteReference"/>
        </w:rPr>
        <w:sym w:font="Symbol" w:char="F02A"/>
      </w:r>
      <w:r w:rsidRPr="00514747">
        <w:rPr>
          <w:rFonts w:hint="cs"/>
          <w:rtl/>
          <w:lang w:bidi="ar-AE"/>
        </w:rPr>
        <w:t xml:space="preserve"> </w:t>
      </w:r>
      <w:r w:rsidRPr="00514747">
        <w:rPr>
          <w:rtl/>
          <w:lang w:bidi="ar-AE"/>
        </w:rPr>
        <w:t>بسبب فيروس كورونا (كوفيد-19)</w:t>
      </w:r>
    </w:p>
  </w:footnote>
  <w:footnote w:id="2">
    <w:p w14:paraId="4BE18C78" w14:textId="77777777" w:rsidR="004E6D9F" w:rsidRPr="004E6D9F" w:rsidRDefault="004E6D9F" w:rsidP="003645E4">
      <w:pPr>
        <w:pStyle w:val="FootnoteText"/>
        <w:bidi/>
        <w:spacing w:after="120"/>
        <w:rPr>
          <w:rtl/>
          <w:lang w:bidi="ar-AE"/>
        </w:rPr>
      </w:pPr>
      <w:r>
        <w:rPr>
          <w:rStyle w:val="FootnoteReference"/>
        </w:rPr>
        <w:footnoteRef/>
      </w:r>
      <w:r>
        <w:t xml:space="preserve"> </w:t>
      </w:r>
      <w:r>
        <w:rPr>
          <w:rFonts w:hint="cs"/>
          <w:rtl/>
          <w:lang w:bidi="ar-AE"/>
        </w:rPr>
        <w:t xml:space="preserve"> </w:t>
      </w:r>
      <w:r w:rsidRPr="004E6D9F">
        <w:rPr>
          <w:lang w:bidi="ar-AE"/>
        </w:rPr>
        <w:t>UNEP/</w:t>
      </w:r>
      <w:proofErr w:type="spellStart"/>
      <w:r w:rsidRPr="004E6D9F">
        <w:rPr>
          <w:lang w:bidi="ar-AE"/>
        </w:rPr>
        <w:t>OzL.Pro</w:t>
      </w:r>
      <w:proofErr w:type="spellEnd"/>
      <w:r w:rsidRPr="004E6D9F">
        <w:rPr>
          <w:lang w:bidi="ar-AE"/>
        </w:rPr>
        <w:t>/ExCom/84/</w:t>
      </w:r>
      <w:proofErr w:type="gramStart"/>
      <w:r w:rsidRPr="004E6D9F">
        <w:rPr>
          <w:lang w:bidi="ar-AE"/>
        </w:rPr>
        <w:t>71</w:t>
      </w:r>
      <w:r w:rsidRPr="004E6D9F">
        <w:rPr>
          <w:rtl/>
          <w:lang w:bidi="ar-AE"/>
        </w:rPr>
        <w:t>.</w:t>
      </w:r>
      <w:r>
        <w:rPr>
          <w:rFonts w:hint="cs"/>
          <w:rtl/>
          <w:lang w:bidi="ar-AE"/>
        </w:rPr>
        <w:t>.</w:t>
      </w:r>
      <w:proofErr w:type="gramEnd"/>
    </w:p>
  </w:footnote>
  <w:footnote w:id="3">
    <w:p w14:paraId="170B2DDC" w14:textId="77777777" w:rsidR="00400BB0" w:rsidRDefault="00400BB0" w:rsidP="003645E4">
      <w:pPr>
        <w:pStyle w:val="FootnoteText"/>
        <w:bidi/>
        <w:spacing w:after="120"/>
        <w:rPr>
          <w:rtl/>
          <w:lang w:bidi="ar-AE"/>
        </w:rPr>
      </w:pPr>
      <w:r>
        <w:rPr>
          <w:rStyle w:val="FootnoteReference"/>
        </w:rPr>
        <w:footnoteRef/>
      </w:r>
      <w:r>
        <w:t xml:space="preserve"> </w:t>
      </w:r>
      <w:r w:rsidRPr="00400BB0">
        <w:rPr>
          <w:rtl/>
        </w:rPr>
        <w:t xml:space="preserve">الفقرتين 354-355 من الوثيقة </w:t>
      </w:r>
      <w:r w:rsidRPr="00400BB0">
        <w:t>UNEP/</w:t>
      </w:r>
      <w:proofErr w:type="spellStart"/>
      <w:r w:rsidRPr="00400BB0">
        <w:t>OzL.Pro</w:t>
      </w:r>
      <w:proofErr w:type="spellEnd"/>
      <w:r w:rsidRPr="00400BB0">
        <w:t>/ExCom/84/75</w:t>
      </w:r>
      <w:r w:rsidRPr="00400BB0">
        <w:rPr>
          <w:rtl/>
        </w:rPr>
        <w:t>.</w:t>
      </w:r>
    </w:p>
  </w:footnote>
  <w:footnote w:id="4">
    <w:p w14:paraId="595B55EE" w14:textId="77777777" w:rsidR="00473421" w:rsidRDefault="00473421" w:rsidP="007E4772">
      <w:pPr>
        <w:pStyle w:val="FootnoteText"/>
        <w:bidi/>
        <w:spacing w:after="120"/>
        <w:rPr>
          <w:rtl/>
          <w:lang w:bidi="ar-AE"/>
        </w:rPr>
      </w:pPr>
      <w:r>
        <w:rPr>
          <w:rStyle w:val="FootnoteReference"/>
        </w:rPr>
        <w:footnoteRef/>
      </w:r>
      <w:r>
        <w:rPr>
          <w:rFonts w:hint="cs"/>
          <w:rtl/>
        </w:rPr>
        <w:t xml:space="preserve"> </w:t>
      </w:r>
      <w:r w:rsidRPr="00473421">
        <w:t>UNEP/</w:t>
      </w:r>
      <w:proofErr w:type="spellStart"/>
      <w:r w:rsidRPr="00473421">
        <w:t>OzL.Pro</w:t>
      </w:r>
      <w:proofErr w:type="spellEnd"/>
      <w:r w:rsidRPr="00473421">
        <w:t>/ExCom/84/72</w:t>
      </w:r>
      <w:r>
        <w:rPr>
          <w:rFonts w:hint="cs"/>
          <w:rtl/>
          <w:lang w:bidi="ar-AE"/>
        </w:rPr>
        <w:t>.</w:t>
      </w:r>
    </w:p>
  </w:footnote>
  <w:footnote w:id="5">
    <w:p w14:paraId="1FFC6AEC" w14:textId="77777777" w:rsidR="00473421" w:rsidRDefault="00473421" w:rsidP="007E4772">
      <w:pPr>
        <w:pStyle w:val="FootnoteText"/>
        <w:bidi/>
        <w:spacing w:after="120"/>
        <w:rPr>
          <w:rtl/>
          <w:lang w:bidi="ar-AE"/>
        </w:rPr>
      </w:pPr>
      <w:r>
        <w:rPr>
          <w:rStyle w:val="FootnoteReference"/>
        </w:rPr>
        <w:footnoteRef/>
      </w:r>
      <w:r>
        <w:rPr>
          <w:rFonts w:hint="cs"/>
          <w:rtl/>
        </w:rPr>
        <w:t xml:space="preserve"> </w:t>
      </w:r>
      <w:r w:rsidRPr="00473421">
        <w:rPr>
          <w:lang w:bidi="ar-AE"/>
        </w:rPr>
        <w:t>UNEP/</w:t>
      </w:r>
      <w:proofErr w:type="spellStart"/>
      <w:r w:rsidRPr="00473421">
        <w:rPr>
          <w:lang w:bidi="ar-AE"/>
        </w:rPr>
        <w:t>OzL.Pro</w:t>
      </w:r>
      <w:proofErr w:type="spellEnd"/>
      <w:r w:rsidRPr="00473421">
        <w:rPr>
          <w:lang w:bidi="ar-AE"/>
        </w:rPr>
        <w:t>/ExCom/84/70</w:t>
      </w:r>
      <w:r>
        <w:rPr>
          <w:rFonts w:hint="cs"/>
          <w:rtl/>
          <w:lang w:bidi="ar-AE"/>
        </w:rPr>
        <w:t>.</w:t>
      </w:r>
    </w:p>
  </w:footnote>
  <w:footnote w:id="6">
    <w:p w14:paraId="2DDDF522" w14:textId="2BA5EAD6" w:rsidR="0098419C" w:rsidRPr="0098419C" w:rsidRDefault="0098419C" w:rsidP="007E4772">
      <w:pPr>
        <w:pStyle w:val="FootnoteText"/>
        <w:bidi/>
        <w:spacing w:after="120"/>
        <w:rPr>
          <w:rtl/>
          <w:lang w:bidi="ar-AE"/>
        </w:rPr>
      </w:pPr>
      <w:r>
        <w:rPr>
          <w:rStyle w:val="FootnoteReference"/>
        </w:rPr>
        <w:footnoteRef/>
      </w:r>
      <w:r>
        <w:t xml:space="preserve"> </w:t>
      </w:r>
      <w:r w:rsidR="007D354B" w:rsidRPr="007D354B">
        <w:rPr>
          <w:rtl/>
        </w:rPr>
        <w:t>تعتبر المعلومات سرية. و</w:t>
      </w:r>
      <w:r w:rsidR="00635334">
        <w:rPr>
          <w:rFonts w:hint="cs"/>
          <w:rtl/>
          <w:lang w:val="en-NZ" w:bidi="ar-SY"/>
        </w:rPr>
        <w:t>يمكن</w:t>
      </w:r>
      <w:r w:rsidR="007D354B" w:rsidRPr="007D354B">
        <w:rPr>
          <w:rtl/>
        </w:rPr>
        <w:t xml:space="preserve"> </w:t>
      </w:r>
      <w:r w:rsidR="00635334">
        <w:rPr>
          <w:rFonts w:hint="cs"/>
          <w:rtl/>
        </w:rPr>
        <w:t>ل</w:t>
      </w:r>
      <w:r w:rsidR="007D354B" w:rsidRPr="007D354B">
        <w:rPr>
          <w:rtl/>
        </w:rPr>
        <w:t xml:space="preserve">أعضاء اللجنة التنفيذية </w:t>
      </w:r>
      <w:r w:rsidR="00635334">
        <w:rPr>
          <w:rFonts w:hint="cs"/>
          <w:rtl/>
        </w:rPr>
        <w:t>الراغبين</w:t>
      </w:r>
      <w:r w:rsidR="007D354B" w:rsidRPr="007D354B">
        <w:rPr>
          <w:rtl/>
        </w:rPr>
        <w:t xml:space="preserve"> </w:t>
      </w:r>
      <w:r w:rsidR="00635334">
        <w:rPr>
          <w:rFonts w:hint="cs"/>
          <w:rtl/>
        </w:rPr>
        <w:t>ب</w:t>
      </w:r>
      <w:r w:rsidR="007D354B" w:rsidRPr="007D354B">
        <w:rPr>
          <w:rtl/>
        </w:rPr>
        <w:t>مراجعة تلك المعلومات طلبها من الأمانة على أساس تفهم أن المعلومات هي فقط لتقييم المشروع ول</w:t>
      </w:r>
      <w:r w:rsidR="00635334">
        <w:rPr>
          <w:rFonts w:hint="cs"/>
          <w:rtl/>
        </w:rPr>
        <w:t>ا يجوز</w:t>
      </w:r>
      <w:r w:rsidR="009C1FE7">
        <w:t xml:space="preserve"> </w:t>
      </w:r>
      <w:r w:rsidR="00635334">
        <w:rPr>
          <w:rFonts w:hint="cs"/>
          <w:rtl/>
        </w:rPr>
        <w:t>الإفصاح</w:t>
      </w:r>
      <w:r w:rsidR="007D354B" w:rsidRPr="007D354B">
        <w:rPr>
          <w:rtl/>
        </w:rPr>
        <w:t xml:space="preserve"> عنها لطرف ثالث.</w:t>
      </w:r>
      <w:r>
        <w:rPr>
          <w:rFonts w:hint="cs"/>
          <w:rtl/>
          <w:lang w:bidi="ar-AE"/>
        </w:rPr>
        <w:t xml:space="preserve"> </w:t>
      </w:r>
    </w:p>
  </w:footnote>
  <w:footnote w:id="7">
    <w:p w14:paraId="4364163C" w14:textId="77777777" w:rsidR="00AF5D5A" w:rsidRPr="00AF5D5A" w:rsidRDefault="00AF5D5A" w:rsidP="009316AA">
      <w:pPr>
        <w:pStyle w:val="FootnoteText"/>
        <w:bidi/>
        <w:spacing w:after="120"/>
        <w:rPr>
          <w:rtl/>
        </w:rPr>
      </w:pPr>
      <w:r w:rsidRPr="00EF6593">
        <w:rPr>
          <w:rStyle w:val="FootnoteReference"/>
        </w:rPr>
        <w:footnoteRef/>
      </w:r>
      <w:r w:rsidRPr="00EF6593">
        <w:rPr>
          <w:rFonts w:hint="cs"/>
          <w:rtl/>
        </w:rPr>
        <w:t xml:space="preserve"> </w:t>
      </w:r>
      <w:hyperlink r:id="rId1" w:history="1">
        <w:r w:rsidR="009671F0" w:rsidRPr="00EF6593">
          <w:rPr>
            <w:rStyle w:val="Hyperlink"/>
          </w:rPr>
          <w:t>https://www.worldbank.org/en/country/argentina/overview</w:t>
        </w:r>
      </w:hyperlink>
      <w:r w:rsidRPr="00EF6593">
        <w:rPr>
          <w:rFonts w:hint="cs"/>
          <w:rtl/>
        </w:rPr>
        <w:t>.</w:t>
      </w:r>
      <w:r w:rsidRPr="00EF6593">
        <w:rPr>
          <w:rFonts w:hint="cs"/>
          <w:rtl/>
          <w:lang w:bidi="ar-AE"/>
        </w:rPr>
        <w:t xml:space="preserve"> </w:t>
      </w:r>
      <w:r w:rsidRPr="00EF6593">
        <w:rPr>
          <w:rFonts w:hint="cs"/>
          <w:rtl/>
          <w:lang w:bidi="ar-AE"/>
        </w:rPr>
        <w:t>تمت زيارة الموقع بتا</w:t>
      </w:r>
      <w:r>
        <w:rPr>
          <w:rFonts w:hint="cs"/>
          <w:rtl/>
          <w:lang w:bidi="ar-AE"/>
        </w:rPr>
        <w:t>ريخ 24 مارس/آذار 2020.</w:t>
      </w:r>
    </w:p>
  </w:footnote>
  <w:footnote w:id="8">
    <w:p w14:paraId="69DCC859" w14:textId="77777777" w:rsidR="0014563D" w:rsidRPr="006C7903" w:rsidRDefault="006C7903" w:rsidP="009316AA">
      <w:pPr>
        <w:pStyle w:val="FootnoteText"/>
        <w:bidi/>
        <w:spacing w:after="120"/>
        <w:rPr>
          <w:rtl/>
          <w:lang w:bidi="ar-AE"/>
        </w:rPr>
      </w:pPr>
      <w:r>
        <w:rPr>
          <w:rStyle w:val="FootnoteReference"/>
        </w:rPr>
        <w:footnoteRef/>
      </w:r>
      <w:r>
        <w:rPr>
          <w:rFonts w:hint="cs"/>
          <w:rtl/>
          <w:lang w:bidi="ar-AE"/>
        </w:rPr>
        <w:t xml:space="preserve"> </w:t>
      </w:r>
      <w:hyperlink r:id="rId2" w:history="1">
        <w:r w:rsidR="0014563D" w:rsidRPr="0085523D">
          <w:rPr>
            <w:rStyle w:val="Hyperlink"/>
            <w:lang w:bidi="ar-AE"/>
          </w:rPr>
          <w:t>http://servicios.infoleg.gob.ar/infolegInternet/anexos/330000-334999/333435/norma.htm</w:t>
        </w:r>
      </w:hyperlink>
      <w:r>
        <w:rPr>
          <w:rFonts w:hint="cs"/>
          <w:rtl/>
          <w:lang w:bidi="ar-AE"/>
        </w:rPr>
        <w:t>.</w:t>
      </w:r>
    </w:p>
  </w:footnote>
  <w:footnote w:id="9">
    <w:p w14:paraId="2F3BC4B0" w14:textId="7A589315" w:rsidR="00C873FB" w:rsidRDefault="00C873FB" w:rsidP="00BC6D37">
      <w:pPr>
        <w:pStyle w:val="FootnoteText"/>
        <w:bidi/>
        <w:spacing w:after="120"/>
        <w:rPr>
          <w:rtl/>
          <w:lang w:bidi="ar-AE"/>
        </w:rPr>
      </w:pPr>
      <w:r w:rsidRPr="00EF6593">
        <w:rPr>
          <w:rStyle w:val="FootnoteReference"/>
        </w:rPr>
        <w:footnoteRef/>
      </w:r>
      <w:r w:rsidRPr="00EF6593">
        <w:t xml:space="preserve"> </w:t>
      </w:r>
      <w:r w:rsidR="00F037CE" w:rsidRPr="00EF6593">
        <w:rPr>
          <w:rtl/>
        </w:rPr>
        <w:t>لتطوير هذا النموذج، جمعت اليونيدو البيانات المالية من خلال استبيان،</w:t>
      </w:r>
      <w:r w:rsidR="00F037CE" w:rsidRPr="00F037CE">
        <w:rPr>
          <w:rtl/>
        </w:rPr>
        <w:t xml:space="preserve"> وأكملت البيانات الناقصة، وطلبت توضيحات، وقامت بإجراء مراجعة المعلومات وجمع </w:t>
      </w:r>
      <w:r w:rsidR="00F037CE" w:rsidRPr="007E47B3">
        <w:rPr>
          <w:rtl/>
        </w:rPr>
        <w:t xml:space="preserve">أدلة </w:t>
      </w:r>
      <w:r w:rsidR="00207EDF" w:rsidRPr="007E47B3">
        <w:rPr>
          <w:rFonts w:hint="eastAsia"/>
          <w:rtl/>
        </w:rPr>
        <w:t>بنسخ</w:t>
      </w:r>
      <w:r w:rsidR="00207EDF" w:rsidRPr="007E47B3">
        <w:rPr>
          <w:rtl/>
        </w:rPr>
        <w:t xml:space="preserve"> </w:t>
      </w:r>
      <w:r w:rsidR="00F037CE" w:rsidRPr="007E47B3">
        <w:rPr>
          <w:rtl/>
        </w:rPr>
        <w:t>ورقية</w:t>
      </w:r>
      <w:r w:rsidR="00F037CE" w:rsidRPr="00F037CE">
        <w:rPr>
          <w:rtl/>
        </w:rPr>
        <w:t xml:space="preserve"> فيما يتعلق بجميع البيانات المالية المستخدمة من قبل شركة فياسا.</w:t>
      </w:r>
    </w:p>
  </w:footnote>
  <w:footnote w:id="10">
    <w:p w14:paraId="3C1401E1" w14:textId="77777777" w:rsidR="000E3678" w:rsidRDefault="000E3678" w:rsidP="00BC6D37">
      <w:pPr>
        <w:pStyle w:val="FootnoteText"/>
        <w:bidi/>
        <w:spacing w:after="120"/>
        <w:rPr>
          <w:rtl/>
          <w:lang w:bidi="ar-AE"/>
        </w:rPr>
      </w:pPr>
      <w:r>
        <w:rPr>
          <w:rStyle w:val="FootnoteReference"/>
        </w:rPr>
        <w:footnoteRef/>
      </w:r>
      <w:r>
        <w:t xml:space="preserve"> </w:t>
      </w:r>
      <w:r>
        <w:rPr>
          <w:rFonts w:hint="cs"/>
          <w:rtl/>
        </w:rPr>
        <w:t>تُعتبر المعلومات سرية.</w:t>
      </w:r>
    </w:p>
  </w:footnote>
  <w:footnote w:id="11">
    <w:p w14:paraId="146CF0C9" w14:textId="77777777" w:rsidR="00474117" w:rsidRPr="00474117" w:rsidRDefault="00474117" w:rsidP="00D424A4">
      <w:pPr>
        <w:pStyle w:val="FootnoteText"/>
        <w:bidi/>
        <w:spacing w:after="120"/>
        <w:rPr>
          <w:rtl/>
          <w:lang w:bidi="ar-AE"/>
        </w:rPr>
      </w:pPr>
      <w:r>
        <w:rPr>
          <w:rStyle w:val="FootnoteReference"/>
        </w:rPr>
        <w:footnoteRef/>
      </w:r>
      <w:r>
        <w:t xml:space="preserve"> </w:t>
      </w:r>
      <w:r>
        <w:rPr>
          <w:rFonts w:hint="cs"/>
          <w:rtl/>
          <w:lang w:bidi="ar-AE"/>
        </w:rPr>
        <w:t>المرجع السابق.</w:t>
      </w:r>
    </w:p>
  </w:footnote>
  <w:footnote w:id="12">
    <w:p w14:paraId="5C44CBCA" w14:textId="77777777" w:rsidR="00F75B66" w:rsidRPr="00EF6593" w:rsidRDefault="00F75B66" w:rsidP="00D424A4">
      <w:pPr>
        <w:pStyle w:val="FootnoteText"/>
        <w:bidi/>
        <w:spacing w:after="120"/>
        <w:rPr>
          <w:rtl/>
          <w:lang w:bidi="ar-AE"/>
        </w:rPr>
      </w:pPr>
      <w:r>
        <w:rPr>
          <w:rStyle w:val="FootnoteReference"/>
        </w:rPr>
        <w:footnoteRef/>
      </w:r>
      <w:r>
        <w:t xml:space="preserve"> </w:t>
      </w:r>
      <w:r w:rsidRPr="00F75B66">
        <w:rPr>
          <w:rtl/>
        </w:rPr>
        <w:t xml:space="preserve">بلغ متوسط معدل التضخم في عام 2019 في </w:t>
      </w:r>
      <w:r w:rsidRPr="00EF6593">
        <w:rPr>
          <w:rtl/>
        </w:rPr>
        <w:t>البلدان غير المشمولة بالمادة (5) نسبة 1.5 في المائة، وفي البلدان المشمولة بالمادة (5) نسبة 2.6 في المائة، بينما بلغ في الأرجنتين نسبة 54 في المائة. ترتبط أسعار الفائدة في بلد ما بمعدل التضخم في ذلك البلد، حيث تقرض البنوك الأموال بمعدلات فائدة أعلى من معدل التضخم في حين أنها تدفع الفائدة على حسابات الودائع بمعدلات عادة ما تكون أقل من معدل التضخم.</w:t>
      </w:r>
    </w:p>
  </w:footnote>
  <w:footnote w:id="13">
    <w:p w14:paraId="131EECA8" w14:textId="47F4F9A4" w:rsidR="00614A0A" w:rsidRPr="00614A0A" w:rsidRDefault="00614A0A" w:rsidP="00D424A4">
      <w:pPr>
        <w:pStyle w:val="FootnoteText"/>
        <w:bidi/>
        <w:spacing w:after="120"/>
        <w:rPr>
          <w:rtl/>
          <w:lang w:bidi="ar-AE"/>
        </w:rPr>
      </w:pPr>
      <w:r w:rsidRPr="00EF6593">
        <w:rPr>
          <w:rStyle w:val="FootnoteReference"/>
        </w:rPr>
        <w:footnoteRef/>
      </w:r>
      <w:r w:rsidRPr="00EF6593">
        <w:t xml:space="preserve"> </w:t>
      </w:r>
      <w:r w:rsidR="006334E4" w:rsidRPr="00EF6593">
        <w:rPr>
          <w:rFonts w:hint="cs"/>
          <w:rtl/>
        </w:rPr>
        <w:t>أخذت</w:t>
      </w:r>
      <w:r w:rsidR="006334E4" w:rsidRPr="00EF6593">
        <w:rPr>
          <w:rtl/>
        </w:rPr>
        <w:t xml:space="preserve"> اليونيدو </w:t>
      </w:r>
      <w:r w:rsidR="006334E4" w:rsidRPr="00EF6593">
        <w:rPr>
          <w:rFonts w:hint="cs"/>
          <w:rtl/>
        </w:rPr>
        <w:t xml:space="preserve">بالاعتبار </w:t>
      </w:r>
      <w:r w:rsidR="006334E4" w:rsidRPr="00EF6593">
        <w:rPr>
          <w:rtl/>
        </w:rPr>
        <w:t xml:space="preserve">سعر فائدة بنسبة 7.5 في المائة لأن شركة فياسا كانت </w:t>
      </w:r>
      <w:r w:rsidR="00653A40" w:rsidRPr="00EF6593">
        <w:rPr>
          <w:rFonts w:hint="cs"/>
          <w:rtl/>
        </w:rPr>
        <w:t>راسخة</w:t>
      </w:r>
      <w:r w:rsidR="006334E4" w:rsidRPr="00EF6593">
        <w:rPr>
          <w:rtl/>
        </w:rPr>
        <w:t xml:space="preserve"> في السوق وتعمل منذ فترة طويلة، ولديها القدرة على مواصلة إنتاج الهيدروكلوروفلوروكربون-22 لأكثر من 1</w:t>
      </w:r>
      <w:r w:rsidR="006334E4" w:rsidRPr="006334E4">
        <w:rPr>
          <w:rtl/>
        </w:rPr>
        <w:t>5 عاماً، وهي المُنتج الوحيد لـلهيدروكلوروفلوروكربون-22 في البلد، ونوعت أعمالها من خلال تسويق غازات التبريد الأخرى. ورغم ذلك، لاحظت الأمانة، أنه وبغض النظر عن مدى ترسخ الشركة في بلد ما، ومدى انخفاض المخاطر التي قد تمثلها، فإنه لا يمكن للبنك أن يقرض المال إلا بمعدل أعلى من معدل التضخم في البلد ذي الصلة.</w:t>
      </w:r>
    </w:p>
  </w:footnote>
  <w:footnote w:id="14">
    <w:p w14:paraId="024FBCC8" w14:textId="77777777" w:rsidR="00475C5B" w:rsidRDefault="00475C5B" w:rsidP="003844D0">
      <w:pPr>
        <w:pStyle w:val="FootnoteText"/>
        <w:bidi/>
        <w:spacing w:after="120"/>
        <w:rPr>
          <w:rtl/>
          <w:lang w:bidi="ar-AE"/>
        </w:rPr>
      </w:pPr>
      <w:r>
        <w:rPr>
          <w:rStyle w:val="FootnoteReference"/>
        </w:rPr>
        <w:footnoteRef/>
      </w:r>
      <w:r>
        <w:t xml:space="preserve"> </w:t>
      </w:r>
      <w:r w:rsidR="007B5373" w:rsidRPr="007B5373">
        <w:rPr>
          <w:rtl/>
        </w:rPr>
        <w:t>قد يؤدي الانخفاض الإضافي في قيمة البيزو الأرجنتيني إلى التخفيف من أثر هذا التضخم؛ ومع ذلك، فإن سعر المواد الخام اللازمة لإنتاج الهيدروكلوروفلوروكربون-22، في مثل هذه الحالة، (أي الكلوروفورم وفلوريد الهيدروجين اللامائي) ستزيد قيمته بالبيزو الأرجنتيني؛ وهي زيادة يجب أن تنتقل إلى المستهلكين الأرجنتينيين.</w:t>
      </w:r>
    </w:p>
  </w:footnote>
  <w:footnote w:id="15">
    <w:p w14:paraId="42B7740F" w14:textId="77777777" w:rsidR="00E13871" w:rsidRPr="00E13871" w:rsidRDefault="00E13871" w:rsidP="003844D0">
      <w:pPr>
        <w:pStyle w:val="FootnoteText"/>
        <w:bidi/>
        <w:spacing w:after="120"/>
        <w:rPr>
          <w:rtl/>
          <w:lang w:bidi="ar-AE"/>
        </w:rPr>
      </w:pPr>
      <w:r>
        <w:rPr>
          <w:rStyle w:val="FootnoteReference"/>
        </w:rPr>
        <w:footnoteRef/>
      </w:r>
      <w:r>
        <w:rPr>
          <w:rFonts w:hint="cs"/>
          <w:rtl/>
          <w:lang w:bidi="ar-AE"/>
        </w:rPr>
        <w:t xml:space="preserve"> </w:t>
      </w:r>
      <w:r w:rsidRPr="00E13871">
        <w:rPr>
          <w:lang w:bidi="ar-AE"/>
        </w:rPr>
        <w:t>UNEP/</w:t>
      </w:r>
      <w:proofErr w:type="spellStart"/>
      <w:r w:rsidRPr="00E13871">
        <w:rPr>
          <w:lang w:bidi="ar-AE"/>
        </w:rPr>
        <w:t>OzL.Pro</w:t>
      </w:r>
      <w:proofErr w:type="spellEnd"/>
      <w:r w:rsidRPr="00E13871">
        <w:rPr>
          <w:lang w:bidi="ar-AE"/>
        </w:rPr>
        <w:t>/ExCom/83/44</w:t>
      </w:r>
      <w:r>
        <w:rPr>
          <w:rFonts w:hint="cs"/>
          <w:rtl/>
          <w:lang w:bidi="ar-AE"/>
        </w:rPr>
        <w:t>.</w:t>
      </w:r>
    </w:p>
  </w:footnote>
  <w:footnote w:id="16">
    <w:p w14:paraId="0BE3F277" w14:textId="77777777" w:rsidR="00005C95" w:rsidRDefault="00005C95" w:rsidP="003844D0">
      <w:pPr>
        <w:pStyle w:val="FootnoteText"/>
        <w:bidi/>
        <w:spacing w:after="120"/>
        <w:rPr>
          <w:rtl/>
          <w:lang w:bidi="ar-AE"/>
        </w:rPr>
      </w:pPr>
      <w:r>
        <w:rPr>
          <w:rStyle w:val="FootnoteReference"/>
        </w:rPr>
        <w:footnoteRef/>
      </w:r>
      <w:r>
        <w:t xml:space="preserve"> </w:t>
      </w:r>
      <w:r w:rsidRPr="00005C95">
        <w:rPr>
          <w:rtl/>
        </w:rPr>
        <w:t xml:space="preserve">يتوقع صندوق النقد الدولي أن ينكمش الناتج المحلي الإجمالي للأرجنتين بنسبة 5.7 في المائة في 2020، </w:t>
      </w:r>
      <w:hyperlink r:id="rId3" w:history="1">
        <w:r w:rsidRPr="0085523D">
          <w:rPr>
            <w:rStyle w:val="Hyperlink"/>
          </w:rPr>
          <w:t>https://www.imf.org/~/media/Files/Publications/WEO/2020/April/English/StatsAppendixA.ashx?la=en</w:t>
        </w:r>
      </w:hyperlink>
      <w:r>
        <w:rPr>
          <w:rFonts w:hint="cs"/>
          <w:rtl/>
          <w:lang w:bidi="ar-AE"/>
        </w:rPr>
        <w:t xml:space="preserve"> </w:t>
      </w:r>
    </w:p>
  </w:footnote>
  <w:footnote w:id="17">
    <w:p w14:paraId="29940CA1" w14:textId="77777777" w:rsidR="003B0FDC" w:rsidRPr="003B0FDC" w:rsidRDefault="003B0FDC" w:rsidP="003C1FFE">
      <w:pPr>
        <w:pStyle w:val="FootnoteText"/>
        <w:bidi/>
        <w:spacing w:after="120"/>
        <w:rPr>
          <w:rtl/>
          <w:lang w:bidi="ar-AE"/>
        </w:rPr>
      </w:pPr>
      <w:r>
        <w:rPr>
          <w:rStyle w:val="FootnoteReference"/>
        </w:rPr>
        <w:footnoteRef/>
      </w:r>
      <w:r>
        <w:rPr>
          <w:rFonts w:hint="cs"/>
          <w:rtl/>
          <w:lang w:bidi="ar-AE"/>
        </w:rPr>
        <w:t xml:space="preserve"> </w:t>
      </w:r>
      <w:r w:rsidRPr="003B0FDC">
        <w:rPr>
          <w:lang w:bidi="ar-AE"/>
        </w:rPr>
        <w:t>UNEP/</w:t>
      </w:r>
      <w:proofErr w:type="spellStart"/>
      <w:r w:rsidRPr="003B0FDC">
        <w:rPr>
          <w:lang w:bidi="ar-AE"/>
        </w:rPr>
        <w:t>OzL.Pro</w:t>
      </w:r>
      <w:proofErr w:type="spellEnd"/>
      <w:r w:rsidRPr="003B0FDC">
        <w:rPr>
          <w:lang w:bidi="ar-AE"/>
        </w:rPr>
        <w:t>/ExCom/80/56</w:t>
      </w:r>
      <w:r>
        <w:rPr>
          <w:rFonts w:hint="cs"/>
          <w:rtl/>
          <w:lang w:bidi="ar-AE"/>
        </w:rPr>
        <w:t>.</w:t>
      </w:r>
    </w:p>
  </w:footnote>
  <w:footnote w:id="18">
    <w:p w14:paraId="5693362B" w14:textId="65FA1028" w:rsidR="00D13558" w:rsidRDefault="00D13558" w:rsidP="003C1FFE">
      <w:pPr>
        <w:pStyle w:val="FootnoteText"/>
        <w:bidi/>
        <w:spacing w:after="120"/>
        <w:rPr>
          <w:rtl/>
          <w:lang w:bidi="ar-AE"/>
        </w:rPr>
      </w:pPr>
      <w:r>
        <w:rPr>
          <w:rStyle w:val="FootnoteReference"/>
        </w:rPr>
        <w:footnoteRef/>
      </w:r>
      <w:r>
        <w:t xml:space="preserve"> </w:t>
      </w:r>
      <w:r w:rsidR="00271EAC" w:rsidRPr="00271EAC">
        <w:rPr>
          <w:rtl/>
          <w:lang w:bidi="ar-AE"/>
        </w:rPr>
        <w:t xml:space="preserve">استناداً إلى أحدث سعر صرف </w:t>
      </w:r>
      <w:r w:rsidR="0053759A">
        <w:rPr>
          <w:rFonts w:hint="cs"/>
          <w:rtl/>
          <w:lang w:bidi="ar-AE"/>
        </w:rPr>
        <w:t>في فترة</w:t>
      </w:r>
      <w:r w:rsidR="00271EAC" w:rsidRPr="00271EAC">
        <w:rPr>
          <w:rtl/>
          <w:lang w:bidi="ar-AE"/>
        </w:rPr>
        <w:t xml:space="preserve"> إعداد الصيغة النهائية للوثيقة الحالية بواقعِ مبلغٍ قدره 66,685 بيزو أرجنتيني مقابل الدولار الأمريكي، اعتباراً من 1مايو/أيار 2020.</w:t>
      </w:r>
    </w:p>
  </w:footnote>
  <w:footnote w:id="19">
    <w:p w14:paraId="00EC1B13" w14:textId="4CDB7045" w:rsidR="00B81D20" w:rsidRDefault="00B81D20" w:rsidP="00440754">
      <w:pPr>
        <w:pStyle w:val="FootnoteText"/>
        <w:bidi/>
        <w:spacing w:after="120"/>
        <w:rPr>
          <w:rtl/>
          <w:lang w:bidi="ar-AE"/>
        </w:rPr>
      </w:pPr>
      <w:r>
        <w:rPr>
          <w:rStyle w:val="FootnoteReference"/>
        </w:rPr>
        <w:footnoteRef/>
      </w:r>
      <w:r>
        <w:t xml:space="preserve"> </w:t>
      </w:r>
      <w:r>
        <w:rPr>
          <w:rFonts w:hint="cs"/>
          <w:rtl/>
          <w:lang w:bidi="ar-AE"/>
        </w:rPr>
        <w:t xml:space="preserve"> </w:t>
      </w:r>
      <w:r w:rsidRPr="00B81D20">
        <w:rPr>
          <w:lang w:bidi="ar-AE"/>
        </w:rPr>
        <w:t>UNEP/</w:t>
      </w:r>
      <w:proofErr w:type="spellStart"/>
      <w:r w:rsidRPr="00B81D20">
        <w:rPr>
          <w:lang w:bidi="ar-AE"/>
        </w:rPr>
        <w:t>OzL.Pro</w:t>
      </w:r>
      <w:proofErr w:type="spellEnd"/>
      <w:r w:rsidRPr="00B81D20">
        <w:rPr>
          <w:lang w:bidi="ar-AE"/>
        </w:rPr>
        <w:t>/ExCom/80/56</w:t>
      </w:r>
      <w:r>
        <w:rPr>
          <w:rFonts w:hint="cs"/>
          <w:rtl/>
          <w:lang w:bidi="ar-AE"/>
        </w:rPr>
        <w:t>.</w:t>
      </w:r>
    </w:p>
  </w:footnote>
  <w:footnote w:id="20">
    <w:p w14:paraId="19B508F2" w14:textId="3151CE0A" w:rsidR="00281009" w:rsidRDefault="00281009" w:rsidP="00440754">
      <w:pPr>
        <w:pStyle w:val="FootnoteText"/>
        <w:bidi/>
        <w:spacing w:after="120"/>
        <w:rPr>
          <w:rtl/>
          <w:lang w:bidi="ar-AE"/>
        </w:rPr>
      </w:pPr>
      <w:r>
        <w:rPr>
          <w:rStyle w:val="FootnoteReference"/>
        </w:rPr>
        <w:footnoteRef/>
      </w:r>
      <w:r>
        <w:t xml:space="preserve"> </w:t>
      </w:r>
      <w:r>
        <w:rPr>
          <w:rFonts w:hint="cs"/>
          <w:rtl/>
          <w:lang w:bidi="ar-AE"/>
        </w:rPr>
        <w:t xml:space="preserve"> </w:t>
      </w:r>
      <w:r w:rsidRPr="00281009">
        <w:rPr>
          <w:lang w:bidi="ar-AE"/>
        </w:rPr>
        <w:t>UNEP/</w:t>
      </w:r>
      <w:proofErr w:type="spellStart"/>
      <w:r w:rsidRPr="00281009">
        <w:rPr>
          <w:lang w:bidi="ar-AE"/>
        </w:rPr>
        <w:t>OzL.Pro</w:t>
      </w:r>
      <w:proofErr w:type="spellEnd"/>
      <w:r w:rsidRPr="00281009">
        <w:rPr>
          <w:lang w:bidi="ar-AE"/>
        </w:rPr>
        <w:t>/ExCom/82/69</w:t>
      </w:r>
      <w:r>
        <w:rPr>
          <w:rFonts w:hint="cs"/>
          <w:rtl/>
          <w:lang w:bidi="ar-AE"/>
        </w:rPr>
        <w:t>.</w:t>
      </w:r>
    </w:p>
  </w:footnote>
  <w:footnote w:id="21">
    <w:p w14:paraId="60356522" w14:textId="073E2EDC" w:rsidR="00281009" w:rsidRDefault="00281009" w:rsidP="00440754">
      <w:pPr>
        <w:pStyle w:val="FootnoteText"/>
        <w:bidi/>
        <w:spacing w:after="120"/>
        <w:rPr>
          <w:rtl/>
          <w:lang w:bidi="ar-AE"/>
        </w:rPr>
      </w:pPr>
      <w:r>
        <w:rPr>
          <w:rStyle w:val="FootnoteReference"/>
        </w:rPr>
        <w:footnoteRef/>
      </w:r>
      <w:r>
        <w:t xml:space="preserve"> </w:t>
      </w:r>
      <w:r>
        <w:rPr>
          <w:rFonts w:hint="cs"/>
          <w:rtl/>
          <w:lang w:bidi="ar-AE"/>
        </w:rPr>
        <w:t xml:space="preserve">الوثيقتين </w:t>
      </w:r>
      <w:r w:rsidRPr="00281009">
        <w:rPr>
          <w:lang w:bidi="ar-AE"/>
        </w:rPr>
        <w:t>UNEP/</w:t>
      </w:r>
      <w:proofErr w:type="spellStart"/>
      <w:r w:rsidRPr="00281009">
        <w:rPr>
          <w:lang w:bidi="ar-AE"/>
        </w:rPr>
        <w:t>OzL.Pro</w:t>
      </w:r>
      <w:proofErr w:type="spellEnd"/>
      <w:r w:rsidRPr="00281009">
        <w:rPr>
          <w:lang w:bidi="ar-AE"/>
        </w:rPr>
        <w:t>/ExCom/83/44</w:t>
      </w:r>
      <w:r w:rsidRPr="00281009">
        <w:rPr>
          <w:rtl/>
          <w:lang w:bidi="ar-AE"/>
        </w:rPr>
        <w:t xml:space="preserve"> </w:t>
      </w:r>
      <w:r>
        <w:rPr>
          <w:rFonts w:hint="cs"/>
          <w:rtl/>
          <w:lang w:bidi="ar-AE"/>
        </w:rPr>
        <w:t>و</w:t>
      </w:r>
      <w:r w:rsidRPr="00281009">
        <w:rPr>
          <w:lang w:bidi="ar-AE"/>
        </w:rPr>
        <w:t>UNEP/</w:t>
      </w:r>
      <w:proofErr w:type="spellStart"/>
      <w:r w:rsidRPr="00281009">
        <w:rPr>
          <w:lang w:bidi="ar-AE"/>
        </w:rPr>
        <w:t>OzL.Pro</w:t>
      </w:r>
      <w:proofErr w:type="spellEnd"/>
      <w:r w:rsidRPr="00281009">
        <w:rPr>
          <w:lang w:bidi="ar-AE"/>
        </w:rPr>
        <w:t>/ExCom/84/71</w:t>
      </w:r>
      <w:r>
        <w:rPr>
          <w:rFonts w:hint="cs"/>
          <w:rtl/>
          <w:lang w:bidi="ar-A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093D8F" w14:textId="77777777" w:rsidR="003F0CBC" w:rsidRPr="0033525D" w:rsidRDefault="001C7D4F" w:rsidP="00CB270B">
    <w:pPr>
      <w:jc w:val="right"/>
    </w:pPr>
    <w:r>
      <w:fldChar w:fldCharType="begin"/>
    </w:r>
    <w:r>
      <w:instrText xml:space="preserve"> DOCPROPERTY  "Document number"  \* MERGEFORMAT </w:instrText>
    </w:r>
    <w:r>
      <w:fldChar w:fldCharType="separate"/>
    </w:r>
    <w:r w:rsidR="00ED0A78">
      <w:t>UNEP/</w:t>
    </w:r>
    <w:proofErr w:type="spellStart"/>
    <w:r w:rsidR="00ED0A78">
      <w:t>OzL.Pro</w:t>
    </w:r>
    <w:proofErr w:type="spellEnd"/>
    <w:r w:rsidR="00ED0A78">
      <w:t>/ExCom/85/64</w:t>
    </w:r>
    <w:r>
      <w:fldChar w:fldCharType="end"/>
    </w:r>
  </w:p>
  <w:p w14:paraId="1E8B609B" w14:textId="77777777" w:rsidR="003F0CBC" w:rsidRPr="0033525D" w:rsidRDefault="003F0CBC"/>
  <w:p w14:paraId="6405E2FD" w14:textId="77777777" w:rsidR="003F0CBC" w:rsidRPr="0033525D" w:rsidRDefault="003F0C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1E93C0" w14:textId="77777777" w:rsidR="003F0CBC" w:rsidRPr="0033525D" w:rsidRDefault="001C7D4F" w:rsidP="00CB270B">
    <w:pPr>
      <w:jc w:val="left"/>
    </w:pPr>
    <w:r>
      <w:fldChar w:fldCharType="begin"/>
    </w:r>
    <w:r>
      <w:instrText xml:space="preserve"> DOCPROPERTY  "Document number"  \* MERGEFORMAT </w:instrText>
    </w:r>
    <w:r>
      <w:fldChar w:fldCharType="separate"/>
    </w:r>
    <w:r w:rsidR="00ED0A78">
      <w:t>UNEP/</w:t>
    </w:r>
    <w:proofErr w:type="spellStart"/>
    <w:r w:rsidR="00ED0A78">
      <w:t>OzL.Pro</w:t>
    </w:r>
    <w:proofErr w:type="spellEnd"/>
    <w:r w:rsidR="00ED0A78">
      <w:t>/ExCom/85/64</w:t>
    </w:r>
    <w:r>
      <w:fldChar w:fldCharType="end"/>
    </w:r>
  </w:p>
  <w:p w14:paraId="0116F1EA" w14:textId="77777777" w:rsidR="003F0CBC" w:rsidRPr="0033525D" w:rsidRDefault="003F0CBC"/>
  <w:p w14:paraId="684B4438" w14:textId="77777777" w:rsidR="003F0CBC" w:rsidRPr="0033525D" w:rsidRDefault="003F0C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5F7A4C5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75318FF"/>
    <w:multiLevelType w:val="hybridMultilevel"/>
    <w:tmpl w:val="196CB35E"/>
    <w:lvl w:ilvl="0" w:tplc="FD74D9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305812"/>
    <w:multiLevelType w:val="hybridMultilevel"/>
    <w:tmpl w:val="0D363028"/>
    <w:lvl w:ilvl="0" w:tplc="B3543FF2">
      <w:start w:val="1"/>
      <w:numFmt w:val="arabicAbjad"/>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3F1DDD"/>
    <w:multiLevelType w:val="hybridMultilevel"/>
    <w:tmpl w:val="B8FC0D6E"/>
    <w:lvl w:ilvl="0" w:tplc="B3543FF2">
      <w:start w:val="1"/>
      <w:numFmt w:val="arabicAbjad"/>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677F4F"/>
    <w:multiLevelType w:val="hybridMultilevel"/>
    <w:tmpl w:val="B7945BF6"/>
    <w:lvl w:ilvl="0" w:tplc="76B8E6A8">
      <w:start w:val="1"/>
      <w:numFmt w:val="arabicAbjad"/>
      <w:lvlText w:val="(%1)"/>
      <w:lvlJc w:val="righ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9F77B53"/>
    <w:multiLevelType w:val="hybridMultilevel"/>
    <w:tmpl w:val="24901BDA"/>
    <w:lvl w:ilvl="0" w:tplc="B3543FF2">
      <w:start w:val="1"/>
      <w:numFmt w:val="arabicAbjad"/>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FC625D"/>
    <w:multiLevelType w:val="hybridMultilevel"/>
    <w:tmpl w:val="AA5E681E"/>
    <w:lvl w:ilvl="0" w:tplc="D8D62368">
      <w:start w:val="1"/>
      <w:numFmt w:val="arabicAbjad"/>
      <w:lvlText w:val="(%1)"/>
      <w:lvlJc w:val="righ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1C6A57"/>
    <w:multiLevelType w:val="hybridMultilevel"/>
    <w:tmpl w:val="6D76E77C"/>
    <w:lvl w:ilvl="0" w:tplc="FD74D9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0761CE"/>
    <w:multiLevelType w:val="hybridMultilevel"/>
    <w:tmpl w:val="A13C0CFC"/>
    <w:lvl w:ilvl="0" w:tplc="B3543FF2">
      <w:start w:val="1"/>
      <w:numFmt w:val="arabicAbjad"/>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623C5EA7"/>
    <w:multiLevelType w:val="hybridMultilevel"/>
    <w:tmpl w:val="196CB35E"/>
    <w:lvl w:ilvl="0" w:tplc="FD74D9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742BF3"/>
    <w:multiLevelType w:val="hybridMultilevel"/>
    <w:tmpl w:val="3794801E"/>
    <w:lvl w:ilvl="0" w:tplc="5C382E4C">
      <w:start w:val="1"/>
      <w:numFmt w:val="arabicAbjad"/>
      <w:lvlText w:val="(%1)"/>
      <w:lvlJc w:val="righ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6C69C1"/>
    <w:multiLevelType w:val="hybridMultilevel"/>
    <w:tmpl w:val="A13C0CFC"/>
    <w:lvl w:ilvl="0" w:tplc="B3543FF2">
      <w:start w:val="1"/>
      <w:numFmt w:val="arabicAbjad"/>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5"/>
  </w:num>
  <w:num w:numId="3">
    <w:abstractNumId w:val="11"/>
  </w:num>
  <w:num w:numId="4">
    <w:abstractNumId w:val="12"/>
  </w:num>
  <w:num w:numId="5">
    <w:abstractNumId w:val="16"/>
  </w:num>
  <w:num w:numId="6">
    <w:abstractNumId w:val="6"/>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7"/>
  </w:num>
  <w:num w:numId="11">
    <w:abstractNumId w:val="3"/>
  </w:num>
  <w:num w:numId="12">
    <w:abstractNumId w:val="8"/>
  </w:num>
  <w:num w:numId="13">
    <w:abstractNumId w:val="2"/>
  </w:num>
  <w:num w:numId="14">
    <w:abstractNumId w:val="0"/>
  </w:num>
  <w:num w:numId="15">
    <w:abstractNumId w:val="4"/>
  </w:num>
  <w:num w:numId="16">
    <w:abstractNumId w:val="10"/>
  </w:num>
  <w:num w:numId="17">
    <w:abstractNumId w:val="9"/>
  </w:num>
  <w:num w:numId="18">
    <w:abstractNumId w:val="1"/>
  </w:num>
  <w:num w:numId="19">
    <w:abstractNumId w:val="15"/>
  </w:num>
  <w:num w:numId="20">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3003F"/>
    <w:rsid w:val="00000FED"/>
    <w:rsid w:val="00003605"/>
    <w:rsid w:val="0000434E"/>
    <w:rsid w:val="00005C95"/>
    <w:rsid w:val="000140CE"/>
    <w:rsid w:val="00014B54"/>
    <w:rsid w:val="00017437"/>
    <w:rsid w:val="00017C3F"/>
    <w:rsid w:val="00020B3C"/>
    <w:rsid w:val="00021155"/>
    <w:rsid w:val="000211A9"/>
    <w:rsid w:val="0002283C"/>
    <w:rsid w:val="000245B4"/>
    <w:rsid w:val="00024CA3"/>
    <w:rsid w:val="00026645"/>
    <w:rsid w:val="00031260"/>
    <w:rsid w:val="00031651"/>
    <w:rsid w:val="0003681A"/>
    <w:rsid w:val="00036E2C"/>
    <w:rsid w:val="00044D8D"/>
    <w:rsid w:val="00045B3D"/>
    <w:rsid w:val="00045C86"/>
    <w:rsid w:val="00045E48"/>
    <w:rsid w:val="000468AA"/>
    <w:rsid w:val="000521AC"/>
    <w:rsid w:val="000526B4"/>
    <w:rsid w:val="00052C5C"/>
    <w:rsid w:val="00056061"/>
    <w:rsid w:val="00061EC2"/>
    <w:rsid w:val="00062AB2"/>
    <w:rsid w:val="00064B8E"/>
    <w:rsid w:val="00064FB1"/>
    <w:rsid w:val="00065F67"/>
    <w:rsid w:val="00070C46"/>
    <w:rsid w:val="00080ED0"/>
    <w:rsid w:val="000826EC"/>
    <w:rsid w:val="00082A0C"/>
    <w:rsid w:val="00085B8F"/>
    <w:rsid w:val="00090481"/>
    <w:rsid w:val="00092009"/>
    <w:rsid w:val="000939D5"/>
    <w:rsid w:val="00094647"/>
    <w:rsid w:val="000A15FC"/>
    <w:rsid w:val="000A3797"/>
    <w:rsid w:val="000A6B50"/>
    <w:rsid w:val="000A6C23"/>
    <w:rsid w:val="000A6C26"/>
    <w:rsid w:val="000B2FEB"/>
    <w:rsid w:val="000B6B54"/>
    <w:rsid w:val="000C11AD"/>
    <w:rsid w:val="000C22F7"/>
    <w:rsid w:val="000C4726"/>
    <w:rsid w:val="000C5EC3"/>
    <w:rsid w:val="000D3536"/>
    <w:rsid w:val="000D52A4"/>
    <w:rsid w:val="000E07BC"/>
    <w:rsid w:val="000E3678"/>
    <w:rsid w:val="000E4733"/>
    <w:rsid w:val="000E494E"/>
    <w:rsid w:val="000E59CB"/>
    <w:rsid w:val="000E7ED3"/>
    <w:rsid w:val="000F1CD4"/>
    <w:rsid w:val="000F2EEC"/>
    <w:rsid w:val="000F2FE5"/>
    <w:rsid w:val="000F3891"/>
    <w:rsid w:val="000F4103"/>
    <w:rsid w:val="000F707A"/>
    <w:rsid w:val="000F70A7"/>
    <w:rsid w:val="00106A56"/>
    <w:rsid w:val="00110287"/>
    <w:rsid w:val="00111296"/>
    <w:rsid w:val="00113CCA"/>
    <w:rsid w:val="0011473A"/>
    <w:rsid w:val="00122854"/>
    <w:rsid w:val="00122F25"/>
    <w:rsid w:val="0013003F"/>
    <w:rsid w:val="00134945"/>
    <w:rsid w:val="00134BB3"/>
    <w:rsid w:val="001351D1"/>
    <w:rsid w:val="00135980"/>
    <w:rsid w:val="00136FA5"/>
    <w:rsid w:val="00142E3C"/>
    <w:rsid w:val="0014418B"/>
    <w:rsid w:val="001450B2"/>
    <w:rsid w:val="0014563D"/>
    <w:rsid w:val="001509A9"/>
    <w:rsid w:val="00151B7F"/>
    <w:rsid w:val="00157D29"/>
    <w:rsid w:val="00164719"/>
    <w:rsid w:val="0016680B"/>
    <w:rsid w:val="00166FC4"/>
    <w:rsid w:val="001677AC"/>
    <w:rsid w:val="001720FA"/>
    <w:rsid w:val="00172A1B"/>
    <w:rsid w:val="00174416"/>
    <w:rsid w:val="001804EA"/>
    <w:rsid w:val="00180FC6"/>
    <w:rsid w:val="001831AB"/>
    <w:rsid w:val="00190A61"/>
    <w:rsid w:val="0019266F"/>
    <w:rsid w:val="00192C3E"/>
    <w:rsid w:val="001A0298"/>
    <w:rsid w:val="001A2DBC"/>
    <w:rsid w:val="001A2FAC"/>
    <w:rsid w:val="001A3342"/>
    <w:rsid w:val="001A3E3D"/>
    <w:rsid w:val="001A628A"/>
    <w:rsid w:val="001A7049"/>
    <w:rsid w:val="001A748E"/>
    <w:rsid w:val="001B1D6A"/>
    <w:rsid w:val="001B1D88"/>
    <w:rsid w:val="001B1E40"/>
    <w:rsid w:val="001B3505"/>
    <w:rsid w:val="001B6487"/>
    <w:rsid w:val="001B7D55"/>
    <w:rsid w:val="001C2250"/>
    <w:rsid w:val="001C36B9"/>
    <w:rsid w:val="001C3C80"/>
    <w:rsid w:val="001C5231"/>
    <w:rsid w:val="001C638D"/>
    <w:rsid w:val="001C6A09"/>
    <w:rsid w:val="001C764E"/>
    <w:rsid w:val="001C7D4F"/>
    <w:rsid w:val="001D3198"/>
    <w:rsid w:val="001D3255"/>
    <w:rsid w:val="001D44B7"/>
    <w:rsid w:val="001D461E"/>
    <w:rsid w:val="001E02B3"/>
    <w:rsid w:val="001E0D12"/>
    <w:rsid w:val="001E1052"/>
    <w:rsid w:val="001E21B1"/>
    <w:rsid w:val="001E2F93"/>
    <w:rsid w:val="001E39C5"/>
    <w:rsid w:val="001E5D67"/>
    <w:rsid w:val="001E61E5"/>
    <w:rsid w:val="001E7880"/>
    <w:rsid w:val="001F149A"/>
    <w:rsid w:val="001F2159"/>
    <w:rsid w:val="001F283E"/>
    <w:rsid w:val="001F514E"/>
    <w:rsid w:val="001F6BB7"/>
    <w:rsid w:val="001F6D86"/>
    <w:rsid w:val="002001C1"/>
    <w:rsid w:val="002026E8"/>
    <w:rsid w:val="002041A0"/>
    <w:rsid w:val="00205950"/>
    <w:rsid w:val="002070F0"/>
    <w:rsid w:val="002073BF"/>
    <w:rsid w:val="00207EDF"/>
    <w:rsid w:val="002111CA"/>
    <w:rsid w:val="00213B82"/>
    <w:rsid w:val="00214863"/>
    <w:rsid w:val="002156B4"/>
    <w:rsid w:val="00222505"/>
    <w:rsid w:val="002243A2"/>
    <w:rsid w:val="002274E0"/>
    <w:rsid w:val="00231FE9"/>
    <w:rsid w:val="00233710"/>
    <w:rsid w:val="00241F73"/>
    <w:rsid w:val="00243EB5"/>
    <w:rsid w:val="0024526A"/>
    <w:rsid w:val="002529A5"/>
    <w:rsid w:val="00253222"/>
    <w:rsid w:val="00255E79"/>
    <w:rsid w:val="00260898"/>
    <w:rsid w:val="0026154B"/>
    <w:rsid w:val="00262847"/>
    <w:rsid w:val="00264ACF"/>
    <w:rsid w:val="00267C70"/>
    <w:rsid w:val="00267D17"/>
    <w:rsid w:val="00271EAC"/>
    <w:rsid w:val="00272CF1"/>
    <w:rsid w:val="00273E92"/>
    <w:rsid w:val="002776EC"/>
    <w:rsid w:val="00281009"/>
    <w:rsid w:val="00281ADF"/>
    <w:rsid w:val="00281BB2"/>
    <w:rsid w:val="0028545E"/>
    <w:rsid w:val="0028638C"/>
    <w:rsid w:val="00292F60"/>
    <w:rsid w:val="002A2FEB"/>
    <w:rsid w:val="002A32B6"/>
    <w:rsid w:val="002A6B83"/>
    <w:rsid w:val="002A6FEC"/>
    <w:rsid w:val="002A7994"/>
    <w:rsid w:val="002B04EE"/>
    <w:rsid w:val="002B08D9"/>
    <w:rsid w:val="002B72E9"/>
    <w:rsid w:val="002C06E0"/>
    <w:rsid w:val="002C1D2D"/>
    <w:rsid w:val="002C44FD"/>
    <w:rsid w:val="002C4DDE"/>
    <w:rsid w:val="002C7998"/>
    <w:rsid w:val="002D5E86"/>
    <w:rsid w:val="002E2071"/>
    <w:rsid w:val="002E2867"/>
    <w:rsid w:val="002E466F"/>
    <w:rsid w:val="002E5C61"/>
    <w:rsid w:val="002F1E53"/>
    <w:rsid w:val="002F263D"/>
    <w:rsid w:val="002F2CAA"/>
    <w:rsid w:val="002F4A4E"/>
    <w:rsid w:val="0030052C"/>
    <w:rsid w:val="00303A9F"/>
    <w:rsid w:val="00306B45"/>
    <w:rsid w:val="00310C5F"/>
    <w:rsid w:val="003117A4"/>
    <w:rsid w:val="00312AB6"/>
    <w:rsid w:val="00314D03"/>
    <w:rsid w:val="00315680"/>
    <w:rsid w:val="00316163"/>
    <w:rsid w:val="003216A7"/>
    <w:rsid w:val="00323517"/>
    <w:rsid w:val="003306E1"/>
    <w:rsid w:val="003320E4"/>
    <w:rsid w:val="003343C5"/>
    <w:rsid w:val="00334F23"/>
    <w:rsid w:val="0033525D"/>
    <w:rsid w:val="003414F3"/>
    <w:rsid w:val="003418C0"/>
    <w:rsid w:val="003434B5"/>
    <w:rsid w:val="00345BCA"/>
    <w:rsid w:val="00345E34"/>
    <w:rsid w:val="00346674"/>
    <w:rsid w:val="003512CB"/>
    <w:rsid w:val="003524C2"/>
    <w:rsid w:val="0035613E"/>
    <w:rsid w:val="003576BA"/>
    <w:rsid w:val="003577E1"/>
    <w:rsid w:val="00357C08"/>
    <w:rsid w:val="00363EE9"/>
    <w:rsid w:val="0036427C"/>
    <w:rsid w:val="003645E4"/>
    <w:rsid w:val="00366505"/>
    <w:rsid w:val="003746B7"/>
    <w:rsid w:val="00376128"/>
    <w:rsid w:val="0037742E"/>
    <w:rsid w:val="00377D56"/>
    <w:rsid w:val="003802AD"/>
    <w:rsid w:val="003815CF"/>
    <w:rsid w:val="0038245A"/>
    <w:rsid w:val="003840E6"/>
    <w:rsid w:val="003844D0"/>
    <w:rsid w:val="00385613"/>
    <w:rsid w:val="00385CFC"/>
    <w:rsid w:val="00387F48"/>
    <w:rsid w:val="003919B9"/>
    <w:rsid w:val="0039337A"/>
    <w:rsid w:val="00395A66"/>
    <w:rsid w:val="003A0129"/>
    <w:rsid w:val="003A115D"/>
    <w:rsid w:val="003A19E1"/>
    <w:rsid w:val="003A3189"/>
    <w:rsid w:val="003A356E"/>
    <w:rsid w:val="003A3CA7"/>
    <w:rsid w:val="003A5885"/>
    <w:rsid w:val="003A66D6"/>
    <w:rsid w:val="003B0FDC"/>
    <w:rsid w:val="003B2F80"/>
    <w:rsid w:val="003B33BD"/>
    <w:rsid w:val="003B5478"/>
    <w:rsid w:val="003B569D"/>
    <w:rsid w:val="003B5BC6"/>
    <w:rsid w:val="003C0C29"/>
    <w:rsid w:val="003C1FFE"/>
    <w:rsid w:val="003C3C0E"/>
    <w:rsid w:val="003C4F69"/>
    <w:rsid w:val="003D0A4C"/>
    <w:rsid w:val="003D316C"/>
    <w:rsid w:val="003D39E6"/>
    <w:rsid w:val="003D4FAC"/>
    <w:rsid w:val="003D5545"/>
    <w:rsid w:val="003E10E0"/>
    <w:rsid w:val="003E6E3F"/>
    <w:rsid w:val="003E7906"/>
    <w:rsid w:val="003F0CBC"/>
    <w:rsid w:val="003F24EB"/>
    <w:rsid w:val="003F334D"/>
    <w:rsid w:val="003F3C50"/>
    <w:rsid w:val="003F5F78"/>
    <w:rsid w:val="003F5FBE"/>
    <w:rsid w:val="00400BB0"/>
    <w:rsid w:val="00405E11"/>
    <w:rsid w:val="00406A6A"/>
    <w:rsid w:val="00406B22"/>
    <w:rsid w:val="004077CA"/>
    <w:rsid w:val="00412A7B"/>
    <w:rsid w:val="00414B9A"/>
    <w:rsid w:val="004174B4"/>
    <w:rsid w:val="00417707"/>
    <w:rsid w:val="00417C56"/>
    <w:rsid w:val="004328A7"/>
    <w:rsid w:val="00434C74"/>
    <w:rsid w:val="004354B5"/>
    <w:rsid w:val="00435750"/>
    <w:rsid w:val="004370FD"/>
    <w:rsid w:val="00437249"/>
    <w:rsid w:val="00437B20"/>
    <w:rsid w:val="00440754"/>
    <w:rsid w:val="00442309"/>
    <w:rsid w:val="0044564A"/>
    <w:rsid w:val="00446264"/>
    <w:rsid w:val="004516EE"/>
    <w:rsid w:val="00456DD0"/>
    <w:rsid w:val="00456EB4"/>
    <w:rsid w:val="00456F2C"/>
    <w:rsid w:val="00460EC4"/>
    <w:rsid w:val="004718F3"/>
    <w:rsid w:val="004731B8"/>
    <w:rsid w:val="00473421"/>
    <w:rsid w:val="00474117"/>
    <w:rsid w:val="00475040"/>
    <w:rsid w:val="00475C5B"/>
    <w:rsid w:val="00477845"/>
    <w:rsid w:val="00481146"/>
    <w:rsid w:val="004831F2"/>
    <w:rsid w:val="0048352D"/>
    <w:rsid w:val="00484B87"/>
    <w:rsid w:val="004864BF"/>
    <w:rsid w:val="0049065B"/>
    <w:rsid w:val="00490A3A"/>
    <w:rsid w:val="00490E79"/>
    <w:rsid w:val="00491D44"/>
    <w:rsid w:val="00493D40"/>
    <w:rsid w:val="00496311"/>
    <w:rsid w:val="004967B6"/>
    <w:rsid w:val="00496CC6"/>
    <w:rsid w:val="004975DF"/>
    <w:rsid w:val="004A1E0C"/>
    <w:rsid w:val="004A3F77"/>
    <w:rsid w:val="004A504B"/>
    <w:rsid w:val="004A6807"/>
    <w:rsid w:val="004A6911"/>
    <w:rsid w:val="004A7ED3"/>
    <w:rsid w:val="004B54E0"/>
    <w:rsid w:val="004B5870"/>
    <w:rsid w:val="004B7384"/>
    <w:rsid w:val="004B7CAB"/>
    <w:rsid w:val="004C37C4"/>
    <w:rsid w:val="004C3D19"/>
    <w:rsid w:val="004C4269"/>
    <w:rsid w:val="004D03E6"/>
    <w:rsid w:val="004D1C9B"/>
    <w:rsid w:val="004D6236"/>
    <w:rsid w:val="004D7F90"/>
    <w:rsid w:val="004E0874"/>
    <w:rsid w:val="004E16B5"/>
    <w:rsid w:val="004E4DBB"/>
    <w:rsid w:val="004E4E41"/>
    <w:rsid w:val="004E6D9F"/>
    <w:rsid w:val="004E7CB7"/>
    <w:rsid w:val="004E7F9C"/>
    <w:rsid w:val="004F18A7"/>
    <w:rsid w:val="004F1C7E"/>
    <w:rsid w:val="004F3493"/>
    <w:rsid w:val="004F5143"/>
    <w:rsid w:val="00500906"/>
    <w:rsid w:val="00501D41"/>
    <w:rsid w:val="00501DDE"/>
    <w:rsid w:val="005026C9"/>
    <w:rsid w:val="005078EB"/>
    <w:rsid w:val="00511918"/>
    <w:rsid w:val="00512B09"/>
    <w:rsid w:val="005136D3"/>
    <w:rsid w:val="00515B2F"/>
    <w:rsid w:val="005253E4"/>
    <w:rsid w:val="00526E69"/>
    <w:rsid w:val="0052747A"/>
    <w:rsid w:val="00527917"/>
    <w:rsid w:val="005328C1"/>
    <w:rsid w:val="00532AA6"/>
    <w:rsid w:val="00533796"/>
    <w:rsid w:val="00535296"/>
    <w:rsid w:val="00535539"/>
    <w:rsid w:val="00536562"/>
    <w:rsid w:val="00536734"/>
    <w:rsid w:val="0053759A"/>
    <w:rsid w:val="0054629A"/>
    <w:rsid w:val="0054640B"/>
    <w:rsid w:val="00547867"/>
    <w:rsid w:val="00550831"/>
    <w:rsid w:val="00551091"/>
    <w:rsid w:val="00551864"/>
    <w:rsid w:val="00555D75"/>
    <w:rsid w:val="0055615A"/>
    <w:rsid w:val="00560DF0"/>
    <w:rsid w:val="0056444D"/>
    <w:rsid w:val="00564A0B"/>
    <w:rsid w:val="0056639A"/>
    <w:rsid w:val="0056759C"/>
    <w:rsid w:val="00567E2F"/>
    <w:rsid w:val="0057238A"/>
    <w:rsid w:val="00575895"/>
    <w:rsid w:val="00580564"/>
    <w:rsid w:val="00581756"/>
    <w:rsid w:val="00581AC7"/>
    <w:rsid w:val="0058595C"/>
    <w:rsid w:val="00590D6E"/>
    <w:rsid w:val="00593D87"/>
    <w:rsid w:val="0059513E"/>
    <w:rsid w:val="005A4390"/>
    <w:rsid w:val="005A6342"/>
    <w:rsid w:val="005A7F6E"/>
    <w:rsid w:val="005B48FF"/>
    <w:rsid w:val="005B7EEF"/>
    <w:rsid w:val="005C2B50"/>
    <w:rsid w:val="005C7CA7"/>
    <w:rsid w:val="005D66B0"/>
    <w:rsid w:val="005D74A2"/>
    <w:rsid w:val="005E405D"/>
    <w:rsid w:val="005E5E47"/>
    <w:rsid w:val="005F1179"/>
    <w:rsid w:val="005F15D4"/>
    <w:rsid w:val="00601063"/>
    <w:rsid w:val="006049F2"/>
    <w:rsid w:val="00604C15"/>
    <w:rsid w:val="00614A0A"/>
    <w:rsid w:val="00614BE0"/>
    <w:rsid w:val="006158D5"/>
    <w:rsid w:val="00616FEA"/>
    <w:rsid w:val="00621935"/>
    <w:rsid w:val="0062220F"/>
    <w:rsid w:val="00623651"/>
    <w:rsid w:val="00624934"/>
    <w:rsid w:val="00625D83"/>
    <w:rsid w:val="006274C9"/>
    <w:rsid w:val="0063041B"/>
    <w:rsid w:val="0063335C"/>
    <w:rsid w:val="006334E4"/>
    <w:rsid w:val="00634809"/>
    <w:rsid w:val="00635334"/>
    <w:rsid w:val="0063787E"/>
    <w:rsid w:val="00641712"/>
    <w:rsid w:val="00644C1C"/>
    <w:rsid w:val="00646313"/>
    <w:rsid w:val="00651172"/>
    <w:rsid w:val="00653A40"/>
    <w:rsid w:val="006623E7"/>
    <w:rsid w:val="00662B80"/>
    <w:rsid w:val="00662E14"/>
    <w:rsid w:val="00663607"/>
    <w:rsid w:val="00663A56"/>
    <w:rsid w:val="00666CA1"/>
    <w:rsid w:val="00670F6C"/>
    <w:rsid w:val="006719BD"/>
    <w:rsid w:val="0067523D"/>
    <w:rsid w:val="00675795"/>
    <w:rsid w:val="006772DE"/>
    <w:rsid w:val="00680938"/>
    <w:rsid w:val="00680CFA"/>
    <w:rsid w:val="00684C24"/>
    <w:rsid w:val="006852C7"/>
    <w:rsid w:val="006852CE"/>
    <w:rsid w:val="00687A3C"/>
    <w:rsid w:val="00693A06"/>
    <w:rsid w:val="00693AE5"/>
    <w:rsid w:val="00693F4E"/>
    <w:rsid w:val="006A58C3"/>
    <w:rsid w:val="006A5A34"/>
    <w:rsid w:val="006B03EC"/>
    <w:rsid w:val="006B4B8B"/>
    <w:rsid w:val="006C1727"/>
    <w:rsid w:val="006C1E9E"/>
    <w:rsid w:val="006C216D"/>
    <w:rsid w:val="006C32FD"/>
    <w:rsid w:val="006C39CE"/>
    <w:rsid w:val="006C589A"/>
    <w:rsid w:val="006C6C89"/>
    <w:rsid w:val="006C7903"/>
    <w:rsid w:val="006D0FCC"/>
    <w:rsid w:val="006D1D2D"/>
    <w:rsid w:val="006D47D6"/>
    <w:rsid w:val="006D54FC"/>
    <w:rsid w:val="006D5639"/>
    <w:rsid w:val="006E13FA"/>
    <w:rsid w:val="006E1FC3"/>
    <w:rsid w:val="006E4BB0"/>
    <w:rsid w:val="006E5729"/>
    <w:rsid w:val="006E5843"/>
    <w:rsid w:val="006E6C2B"/>
    <w:rsid w:val="006F503D"/>
    <w:rsid w:val="007005AD"/>
    <w:rsid w:val="007008BE"/>
    <w:rsid w:val="00700D33"/>
    <w:rsid w:val="0070616B"/>
    <w:rsid w:val="00706FDA"/>
    <w:rsid w:val="00711F9A"/>
    <w:rsid w:val="00713810"/>
    <w:rsid w:val="007141B4"/>
    <w:rsid w:val="00717E81"/>
    <w:rsid w:val="007229CB"/>
    <w:rsid w:val="00722C81"/>
    <w:rsid w:val="00725D5A"/>
    <w:rsid w:val="007268E9"/>
    <w:rsid w:val="007303A5"/>
    <w:rsid w:val="00730B3E"/>
    <w:rsid w:val="00731760"/>
    <w:rsid w:val="00732846"/>
    <w:rsid w:val="0073350D"/>
    <w:rsid w:val="0073420B"/>
    <w:rsid w:val="00735196"/>
    <w:rsid w:val="00736082"/>
    <w:rsid w:val="00736DB3"/>
    <w:rsid w:val="00742442"/>
    <w:rsid w:val="0074543F"/>
    <w:rsid w:val="007461AB"/>
    <w:rsid w:val="007461DB"/>
    <w:rsid w:val="0074760E"/>
    <w:rsid w:val="0075213C"/>
    <w:rsid w:val="007539B1"/>
    <w:rsid w:val="007539F1"/>
    <w:rsid w:val="00754ABA"/>
    <w:rsid w:val="00760027"/>
    <w:rsid w:val="00763618"/>
    <w:rsid w:val="0077257A"/>
    <w:rsid w:val="007914E9"/>
    <w:rsid w:val="007A013A"/>
    <w:rsid w:val="007A0417"/>
    <w:rsid w:val="007A1546"/>
    <w:rsid w:val="007A228C"/>
    <w:rsid w:val="007A368E"/>
    <w:rsid w:val="007A5868"/>
    <w:rsid w:val="007B04CE"/>
    <w:rsid w:val="007B1E77"/>
    <w:rsid w:val="007B2661"/>
    <w:rsid w:val="007B5373"/>
    <w:rsid w:val="007B6871"/>
    <w:rsid w:val="007B7A2F"/>
    <w:rsid w:val="007C0B14"/>
    <w:rsid w:val="007C227C"/>
    <w:rsid w:val="007C3023"/>
    <w:rsid w:val="007C3086"/>
    <w:rsid w:val="007C3D33"/>
    <w:rsid w:val="007D0753"/>
    <w:rsid w:val="007D19D5"/>
    <w:rsid w:val="007D2585"/>
    <w:rsid w:val="007D294A"/>
    <w:rsid w:val="007D354B"/>
    <w:rsid w:val="007D43B3"/>
    <w:rsid w:val="007D47D2"/>
    <w:rsid w:val="007D6501"/>
    <w:rsid w:val="007D6EC0"/>
    <w:rsid w:val="007D7E1D"/>
    <w:rsid w:val="007E2162"/>
    <w:rsid w:val="007E4772"/>
    <w:rsid w:val="007E47B3"/>
    <w:rsid w:val="007F1D90"/>
    <w:rsid w:val="007F5492"/>
    <w:rsid w:val="007F781B"/>
    <w:rsid w:val="00803574"/>
    <w:rsid w:val="00805331"/>
    <w:rsid w:val="00813158"/>
    <w:rsid w:val="0081625C"/>
    <w:rsid w:val="00817CEF"/>
    <w:rsid w:val="00830F92"/>
    <w:rsid w:val="00831979"/>
    <w:rsid w:val="0084361F"/>
    <w:rsid w:val="00851352"/>
    <w:rsid w:val="00854CEF"/>
    <w:rsid w:val="00862D5B"/>
    <w:rsid w:val="00863230"/>
    <w:rsid w:val="008701B8"/>
    <w:rsid w:val="0087039E"/>
    <w:rsid w:val="008705AE"/>
    <w:rsid w:val="008714EF"/>
    <w:rsid w:val="008717D8"/>
    <w:rsid w:val="00871B36"/>
    <w:rsid w:val="0087215C"/>
    <w:rsid w:val="0087259F"/>
    <w:rsid w:val="00880E35"/>
    <w:rsid w:val="00882EF8"/>
    <w:rsid w:val="0088429B"/>
    <w:rsid w:val="008871DB"/>
    <w:rsid w:val="008875FE"/>
    <w:rsid w:val="00887F8E"/>
    <w:rsid w:val="00896234"/>
    <w:rsid w:val="00897E43"/>
    <w:rsid w:val="008A0AE1"/>
    <w:rsid w:val="008A0AF3"/>
    <w:rsid w:val="008A1467"/>
    <w:rsid w:val="008B0291"/>
    <w:rsid w:val="008B11A6"/>
    <w:rsid w:val="008B2C27"/>
    <w:rsid w:val="008B6D83"/>
    <w:rsid w:val="008C46DB"/>
    <w:rsid w:val="008C5738"/>
    <w:rsid w:val="008C6F53"/>
    <w:rsid w:val="008C7EAD"/>
    <w:rsid w:val="008D0436"/>
    <w:rsid w:val="008D0CFE"/>
    <w:rsid w:val="008D3375"/>
    <w:rsid w:val="008D54C2"/>
    <w:rsid w:val="008D6120"/>
    <w:rsid w:val="008D6152"/>
    <w:rsid w:val="008E3DF9"/>
    <w:rsid w:val="008E45F2"/>
    <w:rsid w:val="008E4971"/>
    <w:rsid w:val="008F0F81"/>
    <w:rsid w:val="008F1B08"/>
    <w:rsid w:val="008F1BF0"/>
    <w:rsid w:val="008F27BF"/>
    <w:rsid w:val="00902298"/>
    <w:rsid w:val="0090551E"/>
    <w:rsid w:val="00905682"/>
    <w:rsid w:val="009142EC"/>
    <w:rsid w:val="009154C3"/>
    <w:rsid w:val="009155E0"/>
    <w:rsid w:val="00915DE3"/>
    <w:rsid w:val="00917409"/>
    <w:rsid w:val="00923540"/>
    <w:rsid w:val="00923A7E"/>
    <w:rsid w:val="00924751"/>
    <w:rsid w:val="00926767"/>
    <w:rsid w:val="009271D0"/>
    <w:rsid w:val="00930A1F"/>
    <w:rsid w:val="009316AA"/>
    <w:rsid w:val="0093174F"/>
    <w:rsid w:val="009344B7"/>
    <w:rsid w:val="00935B48"/>
    <w:rsid w:val="009361D5"/>
    <w:rsid w:val="00941C07"/>
    <w:rsid w:val="009428A4"/>
    <w:rsid w:val="00942E74"/>
    <w:rsid w:val="00944F39"/>
    <w:rsid w:val="00950522"/>
    <w:rsid w:val="009520BF"/>
    <w:rsid w:val="00952124"/>
    <w:rsid w:val="00954087"/>
    <w:rsid w:val="00963C07"/>
    <w:rsid w:val="009659F4"/>
    <w:rsid w:val="00965DCB"/>
    <w:rsid w:val="00966826"/>
    <w:rsid w:val="009671F0"/>
    <w:rsid w:val="009709B0"/>
    <w:rsid w:val="00970D60"/>
    <w:rsid w:val="00972A44"/>
    <w:rsid w:val="00973D2F"/>
    <w:rsid w:val="009752EE"/>
    <w:rsid w:val="0098106E"/>
    <w:rsid w:val="00982CB7"/>
    <w:rsid w:val="0098419C"/>
    <w:rsid w:val="00987AFA"/>
    <w:rsid w:val="009927BA"/>
    <w:rsid w:val="009929EA"/>
    <w:rsid w:val="00993766"/>
    <w:rsid w:val="00994C5B"/>
    <w:rsid w:val="009960E5"/>
    <w:rsid w:val="00997EF6"/>
    <w:rsid w:val="009A7ADC"/>
    <w:rsid w:val="009B31C1"/>
    <w:rsid w:val="009B6BE0"/>
    <w:rsid w:val="009C19B7"/>
    <w:rsid w:val="009C1FE7"/>
    <w:rsid w:val="009C2D94"/>
    <w:rsid w:val="009C7CDB"/>
    <w:rsid w:val="009D2E77"/>
    <w:rsid w:val="009D7C51"/>
    <w:rsid w:val="009E196C"/>
    <w:rsid w:val="009E4FBA"/>
    <w:rsid w:val="009E5DE9"/>
    <w:rsid w:val="009F36BF"/>
    <w:rsid w:val="009F5624"/>
    <w:rsid w:val="00A0010E"/>
    <w:rsid w:val="00A02A22"/>
    <w:rsid w:val="00A02E22"/>
    <w:rsid w:val="00A04C0B"/>
    <w:rsid w:val="00A05F87"/>
    <w:rsid w:val="00A111B6"/>
    <w:rsid w:val="00A134BB"/>
    <w:rsid w:val="00A1689F"/>
    <w:rsid w:val="00A216D8"/>
    <w:rsid w:val="00A21E2E"/>
    <w:rsid w:val="00A2547B"/>
    <w:rsid w:val="00A26D27"/>
    <w:rsid w:val="00A312B9"/>
    <w:rsid w:val="00A376EE"/>
    <w:rsid w:val="00A42A99"/>
    <w:rsid w:val="00A4373B"/>
    <w:rsid w:val="00A43CEB"/>
    <w:rsid w:val="00A45E1A"/>
    <w:rsid w:val="00A46922"/>
    <w:rsid w:val="00A50CE9"/>
    <w:rsid w:val="00A5151A"/>
    <w:rsid w:val="00A53755"/>
    <w:rsid w:val="00A53795"/>
    <w:rsid w:val="00A55199"/>
    <w:rsid w:val="00A56465"/>
    <w:rsid w:val="00A57E0A"/>
    <w:rsid w:val="00A611C4"/>
    <w:rsid w:val="00A66A26"/>
    <w:rsid w:val="00A67AA1"/>
    <w:rsid w:val="00A70FB8"/>
    <w:rsid w:val="00A71896"/>
    <w:rsid w:val="00A77722"/>
    <w:rsid w:val="00A813A8"/>
    <w:rsid w:val="00A823F6"/>
    <w:rsid w:val="00A90399"/>
    <w:rsid w:val="00A93BBA"/>
    <w:rsid w:val="00A94FEB"/>
    <w:rsid w:val="00AA08F6"/>
    <w:rsid w:val="00AA0A89"/>
    <w:rsid w:val="00AA0DEC"/>
    <w:rsid w:val="00AA3097"/>
    <w:rsid w:val="00AA6429"/>
    <w:rsid w:val="00AB15F5"/>
    <w:rsid w:val="00AB36AB"/>
    <w:rsid w:val="00AC01AA"/>
    <w:rsid w:val="00AC2EBB"/>
    <w:rsid w:val="00AC4AD7"/>
    <w:rsid w:val="00AC4F72"/>
    <w:rsid w:val="00AC6756"/>
    <w:rsid w:val="00AD2C46"/>
    <w:rsid w:val="00AD4F95"/>
    <w:rsid w:val="00AD5B48"/>
    <w:rsid w:val="00AD65D1"/>
    <w:rsid w:val="00AE035D"/>
    <w:rsid w:val="00AE048D"/>
    <w:rsid w:val="00AE2468"/>
    <w:rsid w:val="00AE503F"/>
    <w:rsid w:val="00AE620E"/>
    <w:rsid w:val="00AE62F6"/>
    <w:rsid w:val="00AE77AA"/>
    <w:rsid w:val="00AE7875"/>
    <w:rsid w:val="00AE7CF4"/>
    <w:rsid w:val="00AF5D5A"/>
    <w:rsid w:val="00AF741A"/>
    <w:rsid w:val="00AF7734"/>
    <w:rsid w:val="00B01ADB"/>
    <w:rsid w:val="00B04161"/>
    <w:rsid w:val="00B04E0D"/>
    <w:rsid w:val="00B056F9"/>
    <w:rsid w:val="00B11CE7"/>
    <w:rsid w:val="00B11E3D"/>
    <w:rsid w:val="00B139C0"/>
    <w:rsid w:val="00B14003"/>
    <w:rsid w:val="00B17E82"/>
    <w:rsid w:val="00B22102"/>
    <w:rsid w:val="00B24775"/>
    <w:rsid w:val="00B25641"/>
    <w:rsid w:val="00B26256"/>
    <w:rsid w:val="00B319C5"/>
    <w:rsid w:val="00B330C5"/>
    <w:rsid w:val="00B34EC7"/>
    <w:rsid w:val="00B3532B"/>
    <w:rsid w:val="00B35823"/>
    <w:rsid w:val="00B35D6D"/>
    <w:rsid w:val="00B37375"/>
    <w:rsid w:val="00B45032"/>
    <w:rsid w:val="00B4575A"/>
    <w:rsid w:val="00B47423"/>
    <w:rsid w:val="00B50DE6"/>
    <w:rsid w:val="00B51441"/>
    <w:rsid w:val="00B575BA"/>
    <w:rsid w:val="00B67F03"/>
    <w:rsid w:val="00B7427D"/>
    <w:rsid w:val="00B76429"/>
    <w:rsid w:val="00B81D20"/>
    <w:rsid w:val="00B94156"/>
    <w:rsid w:val="00B941B3"/>
    <w:rsid w:val="00B956D4"/>
    <w:rsid w:val="00B97446"/>
    <w:rsid w:val="00BA0A1F"/>
    <w:rsid w:val="00BA0CE2"/>
    <w:rsid w:val="00BA0DA8"/>
    <w:rsid w:val="00BA7432"/>
    <w:rsid w:val="00BB674A"/>
    <w:rsid w:val="00BB7273"/>
    <w:rsid w:val="00BC1AA0"/>
    <w:rsid w:val="00BC23EA"/>
    <w:rsid w:val="00BC2495"/>
    <w:rsid w:val="00BC333A"/>
    <w:rsid w:val="00BC672B"/>
    <w:rsid w:val="00BC6759"/>
    <w:rsid w:val="00BC6D37"/>
    <w:rsid w:val="00BC723B"/>
    <w:rsid w:val="00BC7EB9"/>
    <w:rsid w:val="00BD0ABC"/>
    <w:rsid w:val="00BD2643"/>
    <w:rsid w:val="00BD2D3D"/>
    <w:rsid w:val="00BD56B1"/>
    <w:rsid w:val="00BD6558"/>
    <w:rsid w:val="00BD693B"/>
    <w:rsid w:val="00BE571F"/>
    <w:rsid w:val="00BF2FDA"/>
    <w:rsid w:val="00BF3022"/>
    <w:rsid w:val="00BF3214"/>
    <w:rsid w:val="00BF44E5"/>
    <w:rsid w:val="00BF5573"/>
    <w:rsid w:val="00BF573A"/>
    <w:rsid w:val="00BF6CED"/>
    <w:rsid w:val="00C006FC"/>
    <w:rsid w:val="00C06DA4"/>
    <w:rsid w:val="00C07D2D"/>
    <w:rsid w:val="00C1006E"/>
    <w:rsid w:val="00C104A8"/>
    <w:rsid w:val="00C1156B"/>
    <w:rsid w:val="00C12C36"/>
    <w:rsid w:val="00C15006"/>
    <w:rsid w:val="00C15867"/>
    <w:rsid w:val="00C16C2F"/>
    <w:rsid w:val="00C17C61"/>
    <w:rsid w:val="00C2296D"/>
    <w:rsid w:val="00C23155"/>
    <w:rsid w:val="00C3388E"/>
    <w:rsid w:val="00C37F42"/>
    <w:rsid w:val="00C40C41"/>
    <w:rsid w:val="00C414AE"/>
    <w:rsid w:val="00C43886"/>
    <w:rsid w:val="00C45885"/>
    <w:rsid w:val="00C50DB2"/>
    <w:rsid w:val="00C50F22"/>
    <w:rsid w:val="00C52F8E"/>
    <w:rsid w:val="00C53483"/>
    <w:rsid w:val="00C55303"/>
    <w:rsid w:val="00C56316"/>
    <w:rsid w:val="00C57971"/>
    <w:rsid w:val="00C579D6"/>
    <w:rsid w:val="00C62359"/>
    <w:rsid w:val="00C6482D"/>
    <w:rsid w:val="00C65BD7"/>
    <w:rsid w:val="00C65FEA"/>
    <w:rsid w:val="00C73C66"/>
    <w:rsid w:val="00C76BA4"/>
    <w:rsid w:val="00C80C4D"/>
    <w:rsid w:val="00C83A48"/>
    <w:rsid w:val="00C85865"/>
    <w:rsid w:val="00C85CA0"/>
    <w:rsid w:val="00C85E85"/>
    <w:rsid w:val="00C873FB"/>
    <w:rsid w:val="00C9387A"/>
    <w:rsid w:val="00C93A05"/>
    <w:rsid w:val="00C94A4F"/>
    <w:rsid w:val="00C94CB2"/>
    <w:rsid w:val="00C9628D"/>
    <w:rsid w:val="00CA2A1B"/>
    <w:rsid w:val="00CA2EAE"/>
    <w:rsid w:val="00CA47EC"/>
    <w:rsid w:val="00CA4AC1"/>
    <w:rsid w:val="00CA4DFA"/>
    <w:rsid w:val="00CA5CEB"/>
    <w:rsid w:val="00CA6507"/>
    <w:rsid w:val="00CA7F10"/>
    <w:rsid w:val="00CB0316"/>
    <w:rsid w:val="00CB0B11"/>
    <w:rsid w:val="00CB270B"/>
    <w:rsid w:val="00CB5354"/>
    <w:rsid w:val="00CC1204"/>
    <w:rsid w:val="00CC299E"/>
    <w:rsid w:val="00CC2DF5"/>
    <w:rsid w:val="00CC6236"/>
    <w:rsid w:val="00CC6A14"/>
    <w:rsid w:val="00CC70A3"/>
    <w:rsid w:val="00CD1B40"/>
    <w:rsid w:val="00CD3B8B"/>
    <w:rsid w:val="00CD4442"/>
    <w:rsid w:val="00CD4C55"/>
    <w:rsid w:val="00CD5014"/>
    <w:rsid w:val="00CD53C3"/>
    <w:rsid w:val="00CD574E"/>
    <w:rsid w:val="00CD5F51"/>
    <w:rsid w:val="00CD6D25"/>
    <w:rsid w:val="00CE3805"/>
    <w:rsid w:val="00CE4C22"/>
    <w:rsid w:val="00CE4D67"/>
    <w:rsid w:val="00CE60D3"/>
    <w:rsid w:val="00CF0A4C"/>
    <w:rsid w:val="00CF41EC"/>
    <w:rsid w:val="00CF5D04"/>
    <w:rsid w:val="00CF706B"/>
    <w:rsid w:val="00CF7991"/>
    <w:rsid w:val="00D00767"/>
    <w:rsid w:val="00D010B3"/>
    <w:rsid w:val="00D02FB5"/>
    <w:rsid w:val="00D04DE4"/>
    <w:rsid w:val="00D0546C"/>
    <w:rsid w:val="00D063F1"/>
    <w:rsid w:val="00D13558"/>
    <w:rsid w:val="00D13CD0"/>
    <w:rsid w:val="00D14F22"/>
    <w:rsid w:val="00D20481"/>
    <w:rsid w:val="00D22563"/>
    <w:rsid w:val="00D25220"/>
    <w:rsid w:val="00D25CEB"/>
    <w:rsid w:val="00D25F7C"/>
    <w:rsid w:val="00D34464"/>
    <w:rsid w:val="00D35C9A"/>
    <w:rsid w:val="00D3621D"/>
    <w:rsid w:val="00D4119E"/>
    <w:rsid w:val="00D424A4"/>
    <w:rsid w:val="00D45228"/>
    <w:rsid w:val="00D453FD"/>
    <w:rsid w:val="00D47161"/>
    <w:rsid w:val="00D4741C"/>
    <w:rsid w:val="00D51A60"/>
    <w:rsid w:val="00D51B89"/>
    <w:rsid w:val="00D5490B"/>
    <w:rsid w:val="00D552B5"/>
    <w:rsid w:val="00D56F71"/>
    <w:rsid w:val="00D57703"/>
    <w:rsid w:val="00D57918"/>
    <w:rsid w:val="00D61C2E"/>
    <w:rsid w:val="00D62899"/>
    <w:rsid w:val="00D62D7F"/>
    <w:rsid w:val="00D6327F"/>
    <w:rsid w:val="00D63DB2"/>
    <w:rsid w:val="00D66570"/>
    <w:rsid w:val="00D665D8"/>
    <w:rsid w:val="00D6668B"/>
    <w:rsid w:val="00D66982"/>
    <w:rsid w:val="00D72584"/>
    <w:rsid w:val="00D73DC6"/>
    <w:rsid w:val="00D74C1A"/>
    <w:rsid w:val="00D754C1"/>
    <w:rsid w:val="00D77393"/>
    <w:rsid w:val="00D77A35"/>
    <w:rsid w:val="00D81B3E"/>
    <w:rsid w:val="00D81B48"/>
    <w:rsid w:val="00D8302C"/>
    <w:rsid w:val="00D85F2F"/>
    <w:rsid w:val="00D8762C"/>
    <w:rsid w:val="00D90C70"/>
    <w:rsid w:val="00D90E49"/>
    <w:rsid w:val="00D9168D"/>
    <w:rsid w:val="00D94CF7"/>
    <w:rsid w:val="00D96ADE"/>
    <w:rsid w:val="00D96E7A"/>
    <w:rsid w:val="00D97470"/>
    <w:rsid w:val="00DA07EB"/>
    <w:rsid w:val="00DA0CE2"/>
    <w:rsid w:val="00DA24A5"/>
    <w:rsid w:val="00DA69CD"/>
    <w:rsid w:val="00DA6F38"/>
    <w:rsid w:val="00DB04AE"/>
    <w:rsid w:val="00DB554D"/>
    <w:rsid w:val="00DC1326"/>
    <w:rsid w:val="00DC1512"/>
    <w:rsid w:val="00DC6876"/>
    <w:rsid w:val="00DC6A10"/>
    <w:rsid w:val="00DD0605"/>
    <w:rsid w:val="00DD5C46"/>
    <w:rsid w:val="00DE1736"/>
    <w:rsid w:val="00DE183E"/>
    <w:rsid w:val="00DE3D63"/>
    <w:rsid w:val="00DE657E"/>
    <w:rsid w:val="00DF10CF"/>
    <w:rsid w:val="00DF201D"/>
    <w:rsid w:val="00DF229E"/>
    <w:rsid w:val="00DF4704"/>
    <w:rsid w:val="00DF6889"/>
    <w:rsid w:val="00DF7AF8"/>
    <w:rsid w:val="00E00F10"/>
    <w:rsid w:val="00E024AA"/>
    <w:rsid w:val="00E02663"/>
    <w:rsid w:val="00E04AE2"/>
    <w:rsid w:val="00E107C8"/>
    <w:rsid w:val="00E11C32"/>
    <w:rsid w:val="00E12497"/>
    <w:rsid w:val="00E1314B"/>
    <w:rsid w:val="00E13871"/>
    <w:rsid w:val="00E234AD"/>
    <w:rsid w:val="00E235DE"/>
    <w:rsid w:val="00E250F1"/>
    <w:rsid w:val="00E3143F"/>
    <w:rsid w:val="00E3279C"/>
    <w:rsid w:val="00E3550D"/>
    <w:rsid w:val="00E35C30"/>
    <w:rsid w:val="00E36F17"/>
    <w:rsid w:val="00E41335"/>
    <w:rsid w:val="00E418B9"/>
    <w:rsid w:val="00E45011"/>
    <w:rsid w:val="00E502C3"/>
    <w:rsid w:val="00E517A8"/>
    <w:rsid w:val="00E52243"/>
    <w:rsid w:val="00E6074D"/>
    <w:rsid w:val="00E60F07"/>
    <w:rsid w:val="00E614E0"/>
    <w:rsid w:val="00E61A9C"/>
    <w:rsid w:val="00E72B9B"/>
    <w:rsid w:val="00E73F7F"/>
    <w:rsid w:val="00E74450"/>
    <w:rsid w:val="00E82F56"/>
    <w:rsid w:val="00E84C2E"/>
    <w:rsid w:val="00E85409"/>
    <w:rsid w:val="00E86837"/>
    <w:rsid w:val="00E91D0F"/>
    <w:rsid w:val="00E93FB0"/>
    <w:rsid w:val="00EA0D2C"/>
    <w:rsid w:val="00EA429F"/>
    <w:rsid w:val="00EA4414"/>
    <w:rsid w:val="00EA4F9E"/>
    <w:rsid w:val="00EA5F00"/>
    <w:rsid w:val="00EA63CA"/>
    <w:rsid w:val="00EA6C18"/>
    <w:rsid w:val="00EA6D3B"/>
    <w:rsid w:val="00EB00AD"/>
    <w:rsid w:val="00EB0C40"/>
    <w:rsid w:val="00EB136C"/>
    <w:rsid w:val="00EB25D7"/>
    <w:rsid w:val="00EB2BC2"/>
    <w:rsid w:val="00EB480E"/>
    <w:rsid w:val="00EB5EC6"/>
    <w:rsid w:val="00EB687B"/>
    <w:rsid w:val="00EB7FC9"/>
    <w:rsid w:val="00EC0A59"/>
    <w:rsid w:val="00EC2827"/>
    <w:rsid w:val="00EC4849"/>
    <w:rsid w:val="00EC665C"/>
    <w:rsid w:val="00ED0A78"/>
    <w:rsid w:val="00ED11BC"/>
    <w:rsid w:val="00ED27E8"/>
    <w:rsid w:val="00ED7137"/>
    <w:rsid w:val="00EE1470"/>
    <w:rsid w:val="00EE5CDD"/>
    <w:rsid w:val="00EE5F90"/>
    <w:rsid w:val="00EE66BA"/>
    <w:rsid w:val="00EF6525"/>
    <w:rsid w:val="00EF6593"/>
    <w:rsid w:val="00F005DB"/>
    <w:rsid w:val="00F032A8"/>
    <w:rsid w:val="00F0335D"/>
    <w:rsid w:val="00F037CE"/>
    <w:rsid w:val="00F038E6"/>
    <w:rsid w:val="00F067CF"/>
    <w:rsid w:val="00F07418"/>
    <w:rsid w:val="00F07715"/>
    <w:rsid w:val="00F07A58"/>
    <w:rsid w:val="00F17256"/>
    <w:rsid w:val="00F21088"/>
    <w:rsid w:val="00F21405"/>
    <w:rsid w:val="00F25845"/>
    <w:rsid w:val="00F268BE"/>
    <w:rsid w:val="00F26E2B"/>
    <w:rsid w:val="00F301AC"/>
    <w:rsid w:val="00F327E7"/>
    <w:rsid w:val="00F34545"/>
    <w:rsid w:val="00F34E04"/>
    <w:rsid w:val="00F35746"/>
    <w:rsid w:val="00F430EA"/>
    <w:rsid w:val="00F431E0"/>
    <w:rsid w:val="00F447C7"/>
    <w:rsid w:val="00F44914"/>
    <w:rsid w:val="00F44DC8"/>
    <w:rsid w:val="00F51430"/>
    <w:rsid w:val="00F5211B"/>
    <w:rsid w:val="00F52177"/>
    <w:rsid w:val="00F535A2"/>
    <w:rsid w:val="00F53A54"/>
    <w:rsid w:val="00F54AD7"/>
    <w:rsid w:val="00F554A9"/>
    <w:rsid w:val="00F565FA"/>
    <w:rsid w:val="00F6563E"/>
    <w:rsid w:val="00F65BB7"/>
    <w:rsid w:val="00F6757E"/>
    <w:rsid w:val="00F716FD"/>
    <w:rsid w:val="00F71C00"/>
    <w:rsid w:val="00F75B66"/>
    <w:rsid w:val="00F774B0"/>
    <w:rsid w:val="00F80355"/>
    <w:rsid w:val="00F808C0"/>
    <w:rsid w:val="00F81FCA"/>
    <w:rsid w:val="00F83059"/>
    <w:rsid w:val="00F86299"/>
    <w:rsid w:val="00F868E7"/>
    <w:rsid w:val="00F87C43"/>
    <w:rsid w:val="00F9065C"/>
    <w:rsid w:val="00F92B2D"/>
    <w:rsid w:val="00F971EF"/>
    <w:rsid w:val="00FA4DF4"/>
    <w:rsid w:val="00FA5DE3"/>
    <w:rsid w:val="00FA6C98"/>
    <w:rsid w:val="00FB08A3"/>
    <w:rsid w:val="00FB0C81"/>
    <w:rsid w:val="00FB0E4F"/>
    <w:rsid w:val="00FB3E99"/>
    <w:rsid w:val="00FC2200"/>
    <w:rsid w:val="00FC2540"/>
    <w:rsid w:val="00FC3753"/>
    <w:rsid w:val="00FC7973"/>
    <w:rsid w:val="00FD350D"/>
    <w:rsid w:val="00FD4861"/>
    <w:rsid w:val="00FD662B"/>
    <w:rsid w:val="00FE1BE9"/>
    <w:rsid w:val="00FE2211"/>
    <w:rsid w:val="00FE2964"/>
    <w:rsid w:val="00FE4B0E"/>
    <w:rsid w:val="00FE783B"/>
    <w:rsid w:val="00FF0204"/>
    <w:rsid w:val="00FF3AED"/>
    <w:rsid w:val="00FF4A0D"/>
    <w:rsid w:val="00FF5026"/>
    <w:rsid w:val="00FF5E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C93D4"/>
  <w15:docId w15:val="{76A52B02-BF4E-4BF3-96B4-C8B7EFA7C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6154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51B7F"/>
    <w:rPr>
      <w:sz w:val="22"/>
      <w:szCs w:val="22"/>
      <w:lang w:val="en-GB"/>
    </w:rPr>
  </w:style>
  <w:style w:type="paragraph" w:styleId="ListParagraph">
    <w:name w:val="List Paragraph"/>
    <w:aliases w:val="List of Tables"/>
    <w:basedOn w:val="Normal"/>
    <w:uiPriority w:val="34"/>
    <w:qFormat/>
    <w:rsid w:val="00151B7F"/>
    <w:pPr>
      <w:ind w:left="720"/>
      <w:contextualSpacing/>
    </w:pPr>
  </w:style>
  <w:style w:type="paragraph" w:customStyle="1" w:styleId="Footer1">
    <w:name w:val="Footer1"/>
    <w:basedOn w:val="Normal"/>
    <w:rsid w:val="00151B7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paragraph" w:styleId="FootnoteText">
    <w:name w:val="footnote text"/>
    <w:basedOn w:val="Normal"/>
    <w:link w:val="FootnoteTextChar"/>
    <w:uiPriority w:val="99"/>
    <w:unhideWhenUsed/>
    <w:rsid w:val="00151B7F"/>
    <w:rPr>
      <w:sz w:val="20"/>
      <w:szCs w:val="20"/>
    </w:rPr>
  </w:style>
  <w:style w:type="character" w:customStyle="1" w:styleId="FootnoteTextChar">
    <w:name w:val="Footnote Text Char"/>
    <w:basedOn w:val="DefaultParagraphFont"/>
    <w:link w:val="FootnoteText"/>
    <w:uiPriority w:val="99"/>
    <w:rsid w:val="00151B7F"/>
    <w:rPr>
      <w:lang w:val="en-GB"/>
    </w:rPr>
  </w:style>
  <w:style w:type="character" w:styleId="FootnoteReference">
    <w:name w:val="footnote reference"/>
    <w:basedOn w:val="DefaultParagraphFont"/>
    <w:uiPriority w:val="99"/>
    <w:unhideWhenUsed/>
    <w:rsid w:val="00151B7F"/>
    <w:rPr>
      <w:vertAlign w:val="superscript"/>
    </w:rPr>
  </w:style>
  <w:style w:type="table" w:customStyle="1" w:styleId="GridTable4-Accent12">
    <w:name w:val="Grid Table 4 - Accent 12"/>
    <w:uiPriority w:val="99"/>
    <w:rsid w:val="00151B7F"/>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151B7F"/>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DefaultParagraphFont"/>
    <w:uiPriority w:val="99"/>
    <w:unhideWhenUsed/>
    <w:rsid w:val="00E6074D"/>
    <w:rPr>
      <w:color w:val="0000FF"/>
      <w:u w:val="single"/>
    </w:rPr>
  </w:style>
  <w:style w:type="character" w:styleId="FollowedHyperlink">
    <w:name w:val="FollowedHyperlink"/>
    <w:basedOn w:val="DefaultParagraphFont"/>
    <w:uiPriority w:val="99"/>
    <w:semiHidden/>
    <w:unhideWhenUsed/>
    <w:rsid w:val="00725D5A"/>
    <w:rPr>
      <w:color w:val="800080" w:themeColor="followedHyperlink"/>
      <w:u w:val="single"/>
    </w:rPr>
  </w:style>
  <w:style w:type="character" w:styleId="UnresolvedMention">
    <w:name w:val="Unresolved Mention"/>
    <w:basedOn w:val="DefaultParagraphFont"/>
    <w:uiPriority w:val="99"/>
    <w:semiHidden/>
    <w:unhideWhenUsed/>
    <w:rsid w:val="00B330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2984216">
      <w:bodyDiv w:val="1"/>
      <w:marLeft w:val="0"/>
      <w:marRight w:val="0"/>
      <w:marTop w:val="0"/>
      <w:marBottom w:val="0"/>
      <w:divBdr>
        <w:top w:val="none" w:sz="0" w:space="0" w:color="auto"/>
        <w:left w:val="none" w:sz="0" w:space="0" w:color="auto"/>
        <w:bottom w:val="none" w:sz="0" w:space="0" w:color="auto"/>
        <w:right w:val="none" w:sz="0" w:space="0" w:color="auto"/>
      </w:divBdr>
    </w:div>
    <w:div w:id="693311029">
      <w:bodyDiv w:val="1"/>
      <w:marLeft w:val="0"/>
      <w:marRight w:val="0"/>
      <w:marTop w:val="0"/>
      <w:marBottom w:val="0"/>
      <w:divBdr>
        <w:top w:val="none" w:sz="0" w:space="0" w:color="auto"/>
        <w:left w:val="none" w:sz="0" w:space="0" w:color="auto"/>
        <w:bottom w:val="none" w:sz="0" w:space="0" w:color="auto"/>
        <w:right w:val="none" w:sz="0" w:space="0" w:color="auto"/>
      </w:divBdr>
    </w:div>
    <w:div w:id="1104958266">
      <w:bodyDiv w:val="1"/>
      <w:marLeft w:val="0"/>
      <w:marRight w:val="0"/>
      <w:marTop w:val="0"/>
      <w:marBottom w:val="0"/>
      <w:divBdr>
        <w:top w:val="none" w:sz="0" w:space="0" w:color="auto"/>
        <w:left w:val="none" w:sz="0" w:space="0" w:color="auto"/>
        <w:bottom w:val="none" w:sz="0" w:space="0" w:color="auto"/>
        <w:right w:val="none" w:sz="0" w:space="0" w:color="auto"/>
      </w:divBdr>
    </w:div>
    <w:div w:id="1136876730">
      <w:bodyDiv w:val="1"/>
      <w:marLeft w:val="0"/>
      <w:marRight w:val="0"/>
      <w:marTop w:val="0"/>
      <w:marBottom w:val="0"/>
      <w:divBdr>
        <w:top w:val="none" w:sz="0" w:space="0" w:color="auto"/>
        <w:left w:val="none" w:sz="0" w:space="0" w:color="auto"/>
        <w:bottom w:val="none" w:sz="0" w:space="0" w:color="auto"/>
        <w:right w:val="none" w:sz="0" w:space="0" w:color="auto"/>
      </w:divBdr>
    </w:div>
    <w:div w:id="17229034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chart" Target="charts/chart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imf.org/~/media/Files/Publications/WEO/2020/April/English/StatsAppendixA.ashx?la=en" TargetMode="External"/><Relationship Id="rId2" Type="http://schemas.openxmlformats.org/officeDocument/2006/relationships/hyperlink" Target="http://servicios.infoleg.gob.ar/infolegInternet/anexos/330000-334999/333435/norma.htm" TargetMode="External"/><Relationship Id="rId1" Type="http://schemas.openxmlformats.org/officeDocument/2006/relationships/hyperlink" Target="https://www.worldbank.org/en/country/argentina/overview"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ile-server\GENERAL\DRAFTS\Ico\85th_ExCom\HFC-23%20folders\HFC-23%20Argentina\Argentina_economic_dat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879435508338136E-2"/>
          <c:y val="6.9264069264069264E-2"/>
          <c:w val="0.85542176140918935"/>
          <c:h val="0.85195555101066911"/>
        </c:manualLayout>
      </c:layout>
      <c:scatterChart>
        <c:scatterStyle val="smoothMarker"/>
        <c:varyColors val="0"/>
        <c:ser>
          <c:idx val="0"/>
          <c:order val="0"/>
          <c:spPr>
            <a:ln w="19050" cap="rnd">
              <a:solidFill>
                <a:sysClr val="windowText" lastClr="000000"/>
              </a:solidFill>
              <a:round/>
            </a:ln>
            <a:effectLst/>
          </c:spPr>
          <c:marker>
            <c:symbol val="none"/>
          </c:marker>
          <c:xVal>
            <c:numRef>
              <c:f>'Exchange rate'!$C$3:$C$124</c:f>
              <c:numCache>
                <c:formatCode>d\-mmm\-yy</c:formatCode>
                <c:ptCount val="122"/>
                <c:pt idx="0">
                  <c:v>43922</c:v>
                </c:pt>
                <c:pt idx="1">
                  <c:v>43891</c:v>
                </c:pt>
                <c:pt idx="2">
                  <c:v>43862</c:v>
                </c:pt>
                <c:pt idx="3">
                  <c:v>43830</c:v>
                </c:pt>
                <c:pt idx="4">
                  <c:v>43800</c:v>
                </c:pt>
                <c:pt idx="5">
                  <c:v>43770</c:v>
                </c:pt>
                <c:pt idx="6">
                  <c:v>43739</c:v>
                </c:pt>
                <c:pt idx="7">
                  <c:v>43709</c:v>
                </c:pt>
                <c:pt idx="8">
                  <c:v>43692</c:v>
                </c:pt>
                <c:pt idx="9">
                  <c:v>43678</c:v>
                </c:pt>
                <c:pt idx="10">
                  <c:v>43646</c:v>
                </c:pt>
                <c:pt idx="11">
                  <c:v>43617</c:v>
                </c:pt>
                <c:pt idx="12">
                  <c:v>43586</c:v>
                </c:pt>
                <c:pt idx="13">
                  <c:v>43556</c:v>
                </c:pt>
                <c:pt idx="14">
                  <c:v>43525</c:v>
                </c:pt>
                <c:pt idx="15">
                  <c:v>43497</c:v>
                </c:pt>
                <c:pt idx="16">
                  <c:v>43465</c:v>
                </c:pt>
                <c:pt idx="17">
                  <c:v>43435</c:v>
                </c:pt>
                <c:pt idx="18">
                  <c:v>43405</c:v>
                </c:pt>
                <c:pt idx="19">
                  <c:v>43374</c:v>
                </c:pt>
                <c:pt idx="20">
                  <c:v>43344</c:v>
                </c:pt>
                <c:pt idx="21">
                  <c:v>43313</c:v>
                </c:pt>
                <c:pt idx="22">
                  <c:v>43281</c:v>
                </c:pt>
                <c:pt idx="23">
                  <c:v>43252</c:v>
                </c:pt>
                <c:pt idx="24">
                  <c:v>43235</c:v>
                </c:pt>
                <c:pt idx="25">
                  <c:v>43221</c:v>
                </c:pt>
                <c:pt idx="26">
                  <c:v>43191</c:v>
                </c:pt>
                <c:pt idx="27">
                  <c:v>43160</c:v>
                </c:pt>
                <c:pt idx="28">
                  <c:v>43132</c:v>
                </c:pt>
                <c:pt idx="29">
                  <c:v>43100</c:v>
                </c:pt>
                <c:pt idx="30">
                  <c:v>43070</c:v>
                </c:pt>
                <c:pt idx="31">
                  <c:v>43040</c:v>
                </c:pt>
                <c:pt idx="32">
                  <c:v>43009</c:v>
                </c:pt>
                <c:pt idx="33">
                  <c:v>42979</c:v>
                </c:pt>
                <c:pt idx="34">
                  <c:v>42948</c:v>
                </c:pt>
                <c:pt idx="35">
                  <c:v>42916</c:v>
                </c:pt>
                <c:pt idx="36">
                  <c:v>42887</c:v>
                </c:pt>
                <c:pt idx="37">
                  <c:v>42856</c:v>
                </c:pt>
                <c:pt idx="38">
                  <c:v>42826</c:v>
                </c:pt>
                <c:pt idx="39">
                  <c:v>42795</c:v>
                </c:pt>
                <c:pt idx="40">
                  <c:v>42767</c:v>
                </c:pt>
                <c:pt idx="41">
                  <c:v>42735</c:v>
                </c:pt>
                <c:pt idx="42">
                  <c:v>42705</c:v>
                </c:pt>
                <c:pt idx="43">
                  <c:v>42675</c:v>
                </c:pt>
                <c:pt idx="44">
                  <c:v>42658</c:v>
                </c:pt>
                <c:pt idx="45">
                  <c:v>42644</c:v>
                </c:pt>
                <c:pt idx="46">
                  <c:v>42614</c:v>
                </c:pt>
                <c:pt idx="47">
                  <c:v>42583</c:v>
                </c:pt>
                <c:pt idx="48">
                  <c:v>42551</c:v>
                </c:pt>
                <c:pt idx="49">
                  <c:v>42522</c:v>
                </c:pt>
                <c:pt idx="50">
                  <c:v>42491</c:v>
                </c:pt>
                <c:pt idx="51">
                  <c:v>42461</c:v>
                </c:pt>
                <c:pt idx="52">
                  <c:v>42444</c:v>
                </c:pt>
                <c:pt idx="53">
                  <c:v>42430</c:v>
                </c:pt>
                <c:pt idx="54">
                  <c:v>42401</c:v>
                </c:pt>
                <c:pt idx="55">
                  <c:v>42369</c:v>
                </c:pt>
                <c:pt idx="56">
                  <c:v>42339</c:v>
                </c:pt>
                <c:pt idx="57">
                  <c:v>42309</c:v>
                </c:pt>
                <c:pt idx="58">
                  <c:v>42278</c:v>
                </c:pt>
                <c:pt idx="59">
                  <c:v>42248</c:v>
                </c:pt>
                <c:pt idx="60">
                  <c:v>42217</c:v>
                </c:pt>
                <c:pt idx="61">
                  <c:v>42185</c:v>
                </c:pt>
                <c:pt idx="62">
                  <c:v>42156</c:v>
                </c:pt>
                <c:pt idx="63">
                  <c:v>42125</c:v>
                </c:pt>
                <c:pt idx="64">
                  <c:v>42095</c:v>
                </c:pt>
                <c:pt idx="65">
                  <c:v>42064</c:v>
                </c:pt>
                <c:pt idx="66">
                  <c:v>42036</c:v>
                </c:pt>
                <c:pt idx="67">
                  <c:v>42004</c:v>
                </c:pt>
                <c:pt idx="68">
                  <c:v>41974</c:v>
                </c:pt>
                <c:pt idx="69">
                  <c:v>41944</c:v>
                </c:pt>
                <c:pt idx="70">
                  <c:v>41913</c:v>
                </c:pt>
                <c:pt idx="71">
                  <c:v>41883</c:v>
                </c:pt>
                <c:pt idx="72">
                  <c:v>41852</c:v>
                </c:pt>
                <c:pt idx="73">
                  <c:v>41820</c:v>
                </c:pt>
                <c:pt idx="74">
                  <c:v>41791</c:v>
                </c:pt>
                <c:pt idx="75">
                  <c:v>41760</c:v>
                </c:pt>
                <c:pt idx="76">
                  <c:v>41730</c:v>
                </c:pt>
                <c:pt idx="77">
                  <c:v>41699</c:v>
                </c:pt>
                <c:pt idx="78">
                  <c:v>41671</c:v>
                </c:pt>
                <c:pt idx="79">
                  <c:v>41639</c:v>
                </c:pt>
                <c:pt idx="80">
                  <c:v>41609</c:v>
                </c:pt>
                <c:pt idx="81">
                  <c:v>41579</c:v>
                </c:pt>
                <c:pt idx="82">
                  <c:v>41548</c:v>
                </c:pt>
                <c:pt idx="83">
                  <c:v>41518</c:v>
                </c:pt>
                <c:pt idx="84">
                  <c:v>41487</c:v>
                </c:pt>
                <c:pt idx="85">
                  <c:v>41455</c:v>
                </c:pt>
                <c:pt idx="86">
                  <c:v>41426</c:v>
                </c:pt>
                <c:pt idx="87">
                  <c:v>41395</c:v>
                </c:pt>
                <c:pt idx="88">
                  <c:v>41365</c:v>
                </c:pt>
                <c:pt idx="89">
                  <c:v>41334</c:v>
                </c:pt>
                <c:pt idx="90">
                  <c:v>41306</c:v>
                </c:pt>
                <c:pt idx="91">
                  <c:v>41274</c:v>
                </c:pt>
                <c:pt idx="92">
                  <c:v>41244</c:v>
                </c:pt>
                <c:pt idx="93">
                  <c:v>41215</c:v>
                </c:pt>
                <c:pt idx="94">
                  <c:v>41183</c:v>
                </c:pt>
                <c:pt idx="95">
                  <c:v>41153</c:v>
                </c:pt>
                <c:pt idx="96">
                  <c:v>41122</c:v>
                </c:pt>
                <c:pt idx="97">
                  <c:v>41090</c:v>
                </c:pt>
                <c:pt idx="98">
                  <c:v>41061</c:v>
                </c:pt>
                <c:pt idx="99">
                  <c:v>41030</c:v>
                </c:pt>
                <c:pt idx="100">
                  <c:v>41000</c:v>
                </c:pt>
                <c:pt idx="101">
                  <c:v>40969</c:v>
                </c:pt>
                <c:pt idx="102">
                  <c:v>40940</c:v>
                </c:pt>
                <c:pt idx="103">
                  <c:v>40908</c:v>
                </c:pt>
                <c:pt idx="104">
                  <c:v>40878</c:v>
                </c:pt>
                <c:pt idx="105">
                  <c:v>40848</c:v>
                </c:pt>
                <c:pt idx="106">
                  <c:v>40817</c:v>
                </c:pt>
                <c:pt idx="107">
                  <c:v>40787</c:v>
                </c:pt>
                <c:pt idx="108">
                  <c:v>40756</c:v>
                </c:pt>
                <c:pt idx="109">
                  <c:v>40724</c:v>
                </c:pt>
                <c:pt idx="110">
                  <c:v>40695</c:v>
                </c:pt>
                <c:pt idx="111">
                  <c:v>40664</c:v>
                </c:pt>
                <c:pt idx="112">
                  <c:v>40634</c:v>
                </c:pt>
                <c:pt idx="113">
                  <c:v>40603</c:v>
                </c:pt>
                <c:pt idx="114">
                  <c:v>40543</c:v>
                </c:pt>
                <c:pt idx="115">
                  <c:v>40513</c:v>
                </c:pt>
                <c:pt idx="116">
                  <c:v>40483</c:v>
                </c:pt>
                <c:pt idx="117">
                  <c:v>40452</c:v>
                </c:pt>
                <c:pt idx="118">
                  <c:v>40422</c:v>
                </c:pt>
                <c:pt idx="119">
                  <c:v>40359</c:v>
                </c:pt>
                <c:pt idx="120">
                  <c:v>40330</c:v>
                </c:pt>
                <c:pt idx="121">
                  <c:v>40299</c:v>
                </c:pt>
              </c:numCache>
            </c:numRef>
          </c:xVal>
          <c:yVal>
            <c:numRef>
              <c:f>'Exchange rate'!$D$3:$D$124</c:f>
              <c:numCache>
                <c:formatCode>General</c:formatCode>
                <c:ptCount val="122"/>
                <c:pt idx="0">
                  <c:v>64.456999999999994</c:v>
                </c:pt>
                <c:pt idx="1">
                  <c:v>62.137</c:v>
                </c:pt>
                <c:pt idx="2">
                  <c:v>60.238</c:v>
                </c:pt>
                <c:pt idx="3">
                  <c:v>59.936999999999998</c:v>
                </c:pt>
                <c:pt idx="4">
                  <c:v>59.862000000000002</c:v>
                </c:pt>
                <c:pt idx="5">
                  <c:v>59.500999999999998</c:v>
                </c:pt>
                <c:pt idx="6">
                  <c:v>57.313000000000002</c:v>
                </c:pt>
                <c:pt idx="7">
                  <c:v>59.55</c:v>
                </c:pt>
                <c:pt idx="8">
                  <c:v>56.5</c:v>
                </c:pt>
                <c:pt idx="9">
                  <c:v>43.877000000000002</c:v>
                </c:pt>
                <c:pt idx="10">
                  <c:v>42.847999999999999</c:v>
                </c:pt>
                <c:pt idx="11">
                  <c:v>44.536999999999999</c:v>
                </c:pt>
                <c:pt idx="12">
                  <c:v>44.738</c:v>
                </c:pt>
                <c:pt idx="13">
                  <c:v>43.328000000000003</c:v>
                </c:pt>
                <c:pt idx="14">
                  <c:v>38.747</c:v>
                </c:pt>
                <c:pt idx="15">
                  <c:v>37.655999999999999</c:v>
                </c:pt>
                <c:pt idx="16">
                  <c:v>38.58</c:v>
                </c:pt>
                <c:pt idx="17">
                  <c:v>37.816000000000003</c:v>
                </c:pt>
                <c:pt idx="18">
                  <c:v>36.820999999999998</c:v>
                </c:pt>
                <c:pt idx="19">
                  <c:v>39.353000000000002</c:v>
                </c:pt>
                <c:pt idx="20">
                  <c:v>36.25</c:v>
                </c:pt>
                <c:pt idx="21">
                  <c:v>27.356999999999999</c:v>
                </c:pt>
                <c:pt idx="22">
                  <c:v>27.744</c:v>
                </c:pt>
                <c:pt idx="23">
                  <c:v>24.907</c:v>
                </c:pt>
                <c:pt idx="24">
                  <c:v>23.175000000000001</c:v>
                </c:pt>
                <c:pt idx="25">
                  <c:v>20.867000000000001</c:v>
                </c:pt>
                <c:pt idx="26">
                  <c:v>20.117000000000001</c:v>
                </c:pt>
                <c:pt idx="27">
                  <c:v>20.155000000000001</c:v>
                </c:pt>
                <c:pt idx="28">
                  <c:v>19.591999999999999</c:v>
                </c:pt>
                <c:pt idx="29">
                  <c:v>18.704999999999998</c:v>
                </c:pt>
                <c:pt idx="30">
                  <c:v>17.408999999999999</c:v>
                </c:pt>
                <c:pt idx="31">
                  <c:v>17.635000000000002</c:v>
                </c:pt>
                <c:pt idx="32">
                  <c:v>17.577000000000002</c:v>
                </c:pt>
                <c:pt idx="33">
                  <c:v>17.263000000000002</c:v>
                </c:pt>
                <c:pt idx="34">
                  <c:v>17.782</c:v>
                </c:pt>
                <c:pt idx="35">
                  <c:v>16.338999999999999</c:v>
                </c:pt>
                <c:pt idx="36">
                  <c:v>16.04</c:v>
                </c:pt>
                <c:pt idx="37">
                  <c:v>15.455</c:v>
                </c:pt>
                <c:pt idx="38">
                  <c:v>15.372999999999999</c:v>
                </c:pt>
                <c:pt idx="39">
                  <c:v>15.478999999999999</c:v>
                </c:pt>
                <c:pt idx="40">
                  <c:v>15.952999999999999</c:v>
                </c:pt>
                <c:pt idx="41">
                  <c:v>15.734999999999999</c:v>
                </c:pt>
                <c:pt idx="42">
                  <c:v>15.564</c:v>
                </c:pt>
                <c:pt idx="43">
                  <c:v>15.173999999999999</c:v>
                </c:pt>
                <c:pt idx="44">
                  <c:v>15.377000000000001</c:v>
                </c:pt>
                <c:pt idx="45">
                  <c:v>15.377000000000001</c:v>
                </c:pt>
                <c:pt idx="46">
                  <c:v>15.116</c:v>
                </c:pt>
                <c:pt idx="47">
                  <c:v>15.031000000000001</c:v>
                </c:pt>
                <c:pt idx="48">
                  <c:v>15.17</c:v>
                </c:pt>
                <c:pt idx="49">
                  <c:v>14.019</c:v>
                </c:pt>
                <c:pt idx="50">
                  <c:v>14.164</c:v>
                </c:pt>
                <c:pt idx="51">
                  <c:v>14.634</c:v>
                </c:pt>
                <c:pt idx="52">
                  <c:v>15.446</c:v>
                </c:pt>
                <c:pt idx="53">
                  <c:v>15.446</c:v>
                </c:pt>
                <c:pt idx="54">
                  <c:v>13.869</c:v>
                </c:pt>
                <c:pt idx="55">
                  <c:v>12.954000000000001</c:v>
                </c:pt>
                <c:pt idx="56">
                  <c:v>9.6739999999999995</c:v>
                </c:pt>
                <c:pt idx="57">
                  <c:v>9.5359999999999996</c:v>
                </c:pt>
                <c:pt idx="58">
                  <c:v>9.4149999999999991</c:v>
                </c:pt>
                <c:pt idx="59">
                  <c:v>9.2899999999999991</c:v>
                </c:pt>
                <c:pt idx="60">
                  <c:v>9.1850000000000005</c:v>
                </c:pt>
                <c:pt idx="61">
                  <c:v>9.0730000000000004</c:v>
                </c:pt>
                <c:pt idx="62">
                  <c:v>8.9819999999999993</c:v>
                </c:pt>
                <c:pt idx="63">
                  <c:v>8.8979999999999997</c:v>
                </c:pt>
                <c:pt idx="64">
                  <c:v>8.8130000000000006</c:v>
                </c:pt>
                <c:pt idx="65">
                  <c:v>8.7240000000000002</c:v>
                </c:pt>
                <c:pt idx="66">
                  <c:v>8.6310000000000002</c:v>
                </c:pt>
                <c:pt idx="67">
                  <c:v>8.5549999999999997</c:v>
                </c:pt>
                <c:pt idx="68">
                  <c:v>8.5220000000000002</c:v>
                </c:pt>
                <c:pt idx="69">
                  <c:v>8.5060000000000002</c:v>
                </c:pt>
                <c:pt idx="70">
                  <c:v>8.4649999999999999</c:v>
                </c:pt>
                <c:pt idx="71">
                  <c:v>8.4019999999999992</c:v>
                </c:pt>
                <c:pt idx="72">
                  <c:v>8.1950000000000003</c:v>
                </c:pt>
                <c:pt idx="73">
                  <c:v>8.1319999999999997</c:v>
                </c:pt>
                <c:pt idx="74">
                  <c:v>8.0739999999999998</c:v>
                </c:pt>
                <c:pt idx="75">
                  <c:v>8.0009999999999994</c:v>
                </c:pt>
                <c:pt idx="76">
                  <c:v>8.0030000000000001</c:v>
                </c:pt>
                <c:pt idx="77">
                  <c:v>7.89</c:v>
                </c:pt>
                <c:pt idx="78">
                  <c:v>8.0039999999999996</c:v>
                </c:pt>
                <c:pt idx="79">
                  <c:v>6.4950000000000001</c:v>
                </c:pt>
                <c:pt idx="80">
                  <c:v>6.1050000000000004</c:v>
                </c:pt>
                <c:pt idx="81">
                  <c:v>5.8979999999999997</c:v>
                </c:pt>
                <c:pt idx="82">
                  <c:v>5.7859999999999996</c:v>
                </c:pt>
                <c:pt idx="83">
                  <c:v>5.6550000000000002</c:v>
                </c:pt>
                <c:pt idx="84">
                  <c:v>5.4960000000000004</c:v>
                </c:pt>
                <c:pt idx="85">
                  <c:v>5.3710000000000004</c:v>
                </c:pt>
                <c:pt idx="86">
                  <c:v>5.2729999999999997</c:v>
                </c:pt>
                <c:pt idx="87">
                  <c:v>5.1779999999999999</c:v>
                </c:pt>
                <c:pt idx="88">
                  <c:v>5.1230000000000002</c:v>
                </c:pt>
                <c:pt idx="89">
                  <c:v>5.0389999999999997</c:v>
                </c:pt>
                <c:pt idx="90">
                  <c:v>4.976</c:v>
                </c:pt>
                <c:pt idx="91">
                  <c:v>4.91</c:v>
                </c:pt>
                <c:pt idx="92">
                  <c:v>4.8280000000000003</c:v>
                </c:pt>
                <c:pt idx="93">
                  <c:v>4.7699999999999996</c:v>
                </c:pt>
                <c:pt idx="94">
                  <c:v>4.6900000000000004</c:v>
                </c:pt>
                <c:pt idx="95">
                  <c:v>4.6280000000000001</c:v>
                </c:pt>
                <c:pt idx="96">
                  <c:v>4.5739999999999998</c:v>
                </c:pt>
                <c:pt idx="97">
                  <c:v>4.51</c:v>
                </c:pt>
                <c:pt idx="98">
                  <c:v>4.43</c:v>
                </c:pt>
                <c:pt idx="99">
                  <c:v>4.38</c:v>
                </c:pt>
                <c:pt idx="100">
                  <c:v>4.3600000000000003</c:v>
                </c:pt>
                <c:pt idx="101">
                  <c:v>4.34</c:v>
                </c:pt>
                <c:pt idx="102">
                  <c:v>4.33</c:v>
                </c:pt>
                <c:pt idx="103">
                  <c:v>4.2699999999999996</c:v>
                </c:pt>
                <c:pt idx="104">
                  <c:v>4.24</c:v>
                </c:pt>
                <c:pt idx="105">
                  <c:v>4.22</c:v>
                </c:pt>
                <c:pt idx="106">
                  <c:v>4.2</c:v>
                </c:pt>
                <c:pt idx="107">
                  <c:v>4.18</c:v>
                </c:pt>
                <c:pt idx="108">
                  <c:v>4.12</c:v>
                </c:pt>
                <c:pt idx="109">
                  <c:v>4.0999999999999996</c:v>
                </c:pt>
                <c:pt idx="110">
                  <c:v>4.08</c:v>
                </c:pt>
                <c:pt idx="111">
                  <c:v>4.0759999999999996</c:v>
                </c:pt>
                <c:pt idx="112">
                  <c:v>4.0129999999999999</c:v>
                </c:pt>
                <c:pt idx="113">
                  <c:v>4</c:v>
                </c:pt>
                <c:pt idx="114">
                  <c:v>3.98</c:v>
                </c:pt>
                <c:pt idx="115">
                  <c:v>3.96</c:v>
                </c:pt>
                <c:pt idx="116">
                  <c:v>3.94</c:v>
                </c:pt>
                <c:pt idx="117">
                  <c:v>3.95</c:v>
                </c:pt>
                <c:pt idx="118">
                  <c:v>3.94</c:v>
                </c:pt>
                <c:pt idx="119">
                  <c:v>3.93</c:v>
                </c:pt>
                <c:pt idx="120">
                  <c:v>3.89</c:v>
                </c:pt>
                <c:pt idx="121">
                  <c:v>3.87</c:v>
                </c:pt>
              </c:numCache>
            </c:numRef>
          </c:yVal>
          <c:smooth val="1"/>
          <c:extLst>
            <c:ext xmlns:c16="http://schemas.microsoft.com/office/drawing/2014/chart" uri="{C3380CC4-5D6E-409C-BE32-E72D297353CC}">
              <c16:uniqueId val="{00000000-1780-4E8C-A4A0-02DF5C63F4B5}"/>
            </c:ext>
          </c:extLst>
        </c:ser>
        <c:dLbls>
          <c:showLegendKey val="0"/>
          <c:showVal val="0"/>
          <c:showCatName val="0"/>
          <c:showSerName val="0"/>
          <c:showPercent val="0"/>
          <c:showBubbleSize val="0"/>
        </c:dLbls>
        <c:axId val="720076504"/>
        <c:axId val="720079784"/>
      </c:scatterChart>
      <c:valAx>
        <c:axId val="720076504"/>
        <c:scaling>
          <c:orientation val="minMax"/>
          <c:max val="43922"/>
          <c:min val="41640"/>
        </c:scaling>
        <c:delete val="0"/>
        <c:axPos val="b"/>
        <c:majorGridlines>
          <c:spPr>
            <a:ln w="9525" cap="flat" cmpd="sng" algn="ctr">
              <a:solidFill>
                <a:schemeClr val="tx1">
                  <a:lumMod val="15000"/>
                  <a:lumOff val="85000"/>
                </a:schemeClr>
              </a:solidFill>
              <a:round/>
            </a:ln>
            <a:effectLst/>
          </c:spPr>
        </c:majorGridlines>
        <c:numFmt formatCode="yyyy"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0079784"/>
        <c:crosses val="autoZero"/>
        <c:crossBetween val="midCat"/>
        <c:majorUnit val="365.24"/>
        <c:minorUnit val="365.24"/>
      </c:valAx>
      <c:valAx>
        <c:axId val="720079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007650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UNEP/OzL.Pro/ExCom/85/64</Document_x0020_Number>
    <DocumentType xmlns="48d2d36d-b4e3-478b-a344-cdbeebaca89a">Pre-session</DocumentType>
  </documentManagement>
</p:properties>
</file>

<file path=customXml/itemProps1.xml><?xml version="1.0" encoding="utf-8"?>
<ds:datastoreItem xmlns:ds="http://schemas.openxmlformats.org/officeDocument/2006/customXml" ds:itemID="{993AEDA6-F70B-4E74-BFD8-C2AAA83E603A}"/>
</file>

<file path=customXml/itemProps2.xml><?xml version="1.0" encoding="utf-8"?>
<ds:datastoreItem xmlns:ds="http://schemas.openxmlformats.org/officeDocument/2006/customXml" ds:itemID="{1D831468-155E-44EB-B767-DC485A3508BD}"/>
</file>

<file path=customXml/itemProps3.xml><?xml version="1.0" encoding="utf-8"?>
<ds:datastoreItem xmlns:ds="http://schemas.openxmlformats.org/officeDocument/2006/customXml" ds:itemID="{02141B8C-883F-444B-95A8-4E397D11F21A}"/>
</file>

<file path=customXml/itemProps4.xml><?xml version="1.0" encoding="utf-8"?>
<ds:datastoreItem xmlns:ds="http://schemas.openxmlformats.org/officeDocument/2006/customXml" ds:itemID="{3C50D756-7CCA-42E9-8F8E-0BCDCCB352DA}"/>
</file>

<file path=docProps/app.xml><?xml version="1.0" encoding="utf-8"?>
<Properties xmlns="http://schemas.openxmlformats.org/officeDocument/2006/extended-properties" xmlns:vt="http://schemas.openxmlformats.org/officeDocument/2006/docPropsVTypes">
  <Template>Normal</Template>
  <TotalTime>137</TotalTime>
  <Pages>12</Pages>
  <Words>4568</Words>
  <Characters>26040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الجوانب الرئيسية ذات الصلة بتكنولوجيات الرقابة على المنتج الثانوي الهيدروفلوروكربون-23: الأرجنتين (المقرر 84/90)</vt:lpstr>
    </vt:vector>
  </TitlesOfParts>
  <Company>UNMFS</Company>
  <LinksUpToDate>false</LinksUpToDate>
  <CharactersWithSpaces>30547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الجوانب الرئيسية ذات الصلة بتكنولوجيات الرقابة على المنتج الثانوي الهيدروفلوروكربون-23: الأرجنتين (المقرر 84/90)</dc:title>
  <dc:subject>85th</dc:subject>
  <dc:creator>Patricia Chau</dc:creator>
  <dc:description>FSM</dc:description>
  <cp:lastModifiedBy>Lynda</cp:lastModifiedBy>
  <cp:revision>26</cp:revision>
  <cp:lastPrinted>2019-11-28T20:50:00Z</cp:lastPrinted>
  <dcterms:created xsi:type="dcterms:W3CDTF">2020-05-14T18:29:00Z</dcterms:created>
  <dcterms:modified xsi:type="dcterms:W3CDTF">2020-05-29T17:40:00Z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UNEP/OzL.Pro/ExCom/85/64</vt:lpwstr>
  </property>
  <property fmtid="{D5CDD505-2E9C-101B-9397-08002B2CF9AE}" pid="3" name="Revision date">
    <vt:lpwstr>5/8/2020</vt:lpwstr>
  </property>
  <property fmtid="{D5CDD505-2E9C-101B-9397-08002B2CF9AE}" pid="4" name="ContentTypeId">
    <vt:lpwstr>0x0101000F92D74A04FAEF42BD852E17FDD6E5B6</vt:lpwstr>
  </property>
</Properties>
</file>