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0322AB" w14:paraId="32492B85" w14:textId="77777777" w:rsidTr="00F40440">
        <w:trPr>
          <w:trHeight w:val="720"/>
        </w:trPr>
        <w:tc>
          <w:tcPr>
            <w:tcW w:w="6494" w:type="dxa"/>
            <w:gridSpan w:val="2"/>
            <w:tcBorders>
              <w:bottom w:val="single" w:sz="18" w:space="0" w:color="auto"/>
            </w:tcBorders>
          </w:tcPr>
          <w:p w14:paraId="5B549CDE" w14:textId="77777777" w:rsidR="000322AB" w:rsidRDefault="000322AB" w:rsidP="00F40440">
            <w:pPr>
              <w:rPr>
                <w:rFonts w:ascii="Univers" w:hAnsi="Univers"/>
                <w:b/>
                <w:sz w:val="28"/>
                <w:szCs w:val="28"/>
                <w:lang w:val="es-MX"/>
              </w:rPr>
            </w:pPr>
            <w:r>
              <w:rPr>
                <w:rFonts w:ascii="Univers" w:hAnsi="Univers"/>
                <w:b/>
                <w:sz w:val="28"/>
                <w:szCs w:val="28"/>
                <w:lang w:val="es-MX"/>
              </w:rPr>
              <w:t>NACIONES</w:t>
            </w:r>
          </w:p>
          <w:p w14:paraId="5812E8FB" w14:textId="77777777" w:rsidR="000322AB" w:rsidRDefault="000322AB" w:rsidP="00F40440">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6880DA72" w14:textId="77777777" w:rsidR="000322AB" w:rsidRDefault="000322AB" w:rsidP="00F40440">
            <w:pPr>
              <w:jc w:val="right"/>
              <w:rPr>
                <w:rFonts w:asciiTheme="minorBidi" w:hAnsiTheme="minorBidi" w:cstheme="minorBidi"/>
                <w:sz w:val="52"/>
                <w:szCs w:val="52"/>
              </w:rPr>
            </w:pPr>
            <w:r>
              <w:rPr>
                <w:rFonts w:asciiTheme="minorBidi" w:hAnsiTheme="minorBidi" w:cstheme="minorBidi"/>
                <w:b/>
                <w:sz w:val="72"/>
              </w:rPr>
              <w:t>EP</w:t>
            </w:r>
          </w:p>
        </w:tc>
      </w:tr>
      <w:tr w:rsidR="000322AB" w:rsidRPr="009D25AB" w14:paraId="303F2AD0" w14:textId="77777777" w:rsidTr="00F404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3C175A91" w14:textId="77777777" w:rsidR="000322AB" w:rsidRDefault="000322AB" w:rsidP="00F40440">
            <w:pPr>
              <w:spacing w:before="120"/>
            </w:pPr>
            <w:r>
              <w:rPr>
                <w:noProof/>
                <w:lang w:eastAsia="en-CA"/>
              </w:rPr>
              <w:drawing>
                <wp:anchor distT="0" distB="0" distL="114300" distR="114300" simplePos="0" relativeHeight="251659264" behindDoc="0" locked="0" layoutInCell="1" allowOverlap="1" wp14:anchorId="5A3325F4" wp14:editId="7743ED9D">
                  <wp:simplePos x="0" y="0"/>
                  <wp:positionH relativeFrom="column">
                    <wp:posOffset>74295</wp:posOffset>
                  </wp:positionH>
                  <wp:positionV relativeFrom="paragraph">
                    <wp:posOffset>855345</wp:posOffset>
                  </wp:positionV>
                  <wp:extent cx="76200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76200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03FF8711" wp14:editId="7CED415B">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3"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6FA50EE" w14:textId="77777777" w:rsidR="000322AB" w:rsidRDefault="000322AB" w:rsidP="00F404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2BFF95A6" w14:textId="77777777" w:rsidR="000322AB" w:rsidRDefault="000322AB" w:rsidP="00F404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071CDD52" w14:textId="77777777" w:rsidR="000322AB" w:rsidRDefault="000322AB" w:rsidP="00F404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7963485C" w14:textId="77777777" w:rsidR="000322AB" w:rsidRDefault="000322AB" w:rsidP="00F4044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70DBECC0" w14:textId="77777777" w:rsidR="000322AB" w:rsidRDefault="000322AB" w:rsidP="00F40440">
            <w:pPr>
              <w:spacing w:before="720"/>
            </w:pPr>
          </w:p>
        </w:tc>
        <w:tc>
          <w:tcPr>
            <w:tcW w:w="3586" w:type="dxa"/>
            <w:tcBorders>
              <w:top w:val="nil"/>
              <w:left w:val="nil"/>
              <w:bottom w:val="single" w:sz="36" w:space="0" w:color="auto"/>
              <w:right w:val="nil"/>
            </w:tcBorders>
          </w:tcPr>
          <w:p w14:paraId="4016815A" w14:textId="77777777" w:rsidR="000322AB" w:rsidRDefault="000322AB" w:rsidP="00F40440"/>
          <w:p w14:paraId="3A6D406C" w14:textId="77777777" w:rsidR="000322AB" w:rsidRDefault="000322AB" w:rsidP="00F40440">
            <w:proofErr w:type="spellStart"/>
            <w:r>
              <w:t>Distr</w:t>
            </w:r>
            <w:proofErr w:type="spellEnd"/>
            <w:r>
              <w:t>.</w:t>
            </w:r>
          </w:p>
          <w:p w14:paraId="0C4D4A33" w14:textId="77777777" w:rsidR="000322AB" w:rsidRDefault="000322AB" w:rsidP="00F40440">
            <w:r>
              <w:t>GENERAL</w:t>
            </w:r>
          </w:p>
          <w:p w14:paraId="0C244DA3" w14:textId="77777777" w:rsidR="000322AB" w:rsidRDefault="000322AB" w:rsidP="00F40440"/>
          <w:p w14:paraId="0FF75E77" w14:textId="7DD89C00" w:rsidR="000322AB" w:rsidRPr="009B0D30" w:rsidRDefault="000322AB" w:rsidP="000322AB">
            <w:r>
              <w:fldChar w:fldCharType="begin"/>
            </w:r>
            <w:r>
              <w:instrText>DOCPROPERTY "Document number"  \* MERGEFORMAT</w:instrText>
            </w:r>
            <w:r>
              <w:fldChar w:fldCharType="separate"/>
            </w:r>
            <w:r w:rsidR="00CE4135">
              <w:t>UNEP/</w:t>
            </w:r>
            <w:proofErr w:type="spellStart"/>
            <w:r w:rsidR="00CE4135">
              <w:t>OzL.Pro</w:t>
            </w:r>
            <w:proofErr w:type="spellEnd"/>
            <w:r w:rsidR="00CE4135">
              <w:t>/</w:t>
            </w:r>
            <w:proofErr w:type="spellStart"/>
            <w:r w:rsidR="00CE4135">
              <w:t>ExCom</w:t>
            </w:r>
            <w:proofErr w:type="spellEnd"/>
            <w:r w:rsidR="00CE4135">
              <w:t>/96/30</w:t>
            </w:r>
            <w:r>
              <w:fldChar w:fldCharType="end"/>
            </w:r>
          </w:p>
          <w:p w14:paraId="1FEFBA06" w14:textId="3CC3AC49" w:rsidR="000322AB" w:rsidRPr="009B0D30" w:rsidRDefault="000322AB" w:rsidP="000322AB">
            <w:r w:rsidRPr="009B0D30">
              <w:fldChar w:fldCharType="begin"/>
            </w:r>
            <w:r w:rsidRPr="009B0D30">
              <w:instrText xml:space="preserve"> DOCPROPERTY "Revision date" \@ "d MMMM YYYY"  \* MERGEFORMAT </w:instrText>
            </w:r>
            <w:r w:rsidRPr="009B0D30">
              <w:fldChar w:fldCharType="separate"/>
            </w:r>
            <w:r>
              <w:t>25 de abril de 2025</w:t>
            </w:r>
            <w:r w:rsidRPr="009B0D30">
              <w:fldChar w:fldCharType="end"/>
            </w:r>
          </w:p>
          <w:p w14:paraId="1B203ABF" w14:textId="77777777" w:rsidR="000322AB" w:rsidRPr="006A24A7" w:rsidRDefault="000322AB" w:rsidP="00F40440">
            <w:pPr>
              <w:rPr>
                <w:caps/>
                <w:lang w:val="fr-CA"/>
              </w:rPr>
            </w:pPr>
          </w:p>
          <w:p w14:paraId="3E7A7B31" w14:textId="77777777" w:rsidR="000322AB" w:rsidRDefault="000322AB" w:rsidP="00F40440">
            <w:pPr>
              <w:rPr>
                <w:lang w:val="es-MX"/>
              </w:rPr>
            </w:pPr>
            <w:r>
              <w:rPr>
                <w:lang w:val="es-MX"/>
              </w:rPr>
              <w:t xml:space="preserve">ESPAÑOL </w:t>
            </w:r>
          </w:p>
          <w:p w14:paraId="7BD4DD6A" w14:textId="77777777" w:rsidR="000322AB" w:rsidRDefault="000322AB" w:rsidP="00F40440">
            <w:r>
              <w:t xml:space="preserve">ORIGINAL: </w:t>
            </w:r>
            <w:r>
              <w:rPr>
                <w:lang w:val="es-MX"/>
              </w:rPr>
              <w:t>INGLÉS</w:t>
            </w:r>
          </w:p>
        </w:tc>
      </w:tr>
    </w:tbl>
    <w:p w14:paraId="025A386C" w14:textId="77777777" w:rsidR="000322AB" w:rsidRPr="009B1A3A" w:rsidRDefault="000322AB" w:rsidP="000322AB">
      <w:pPr>
        <w:jc w:val="left"/>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6A24A7">
        <w:t>Nonagésim</w:t>
      </w:r>
      <w:r>
        <w:t>a</w:t>
      </w:r>
      <w:r w:rsidRPr="006A24A7">
        <w:t xml:space="preserve"> </w:t>
      </w:r>
      <w:r w:rsidRPr="00BF6D9E">
        <w:t>sexta</w:t>
      </w:r>
      <w:r w:rsidRPr="006A24A7">
        <w:t xml:space="preserve"> reunión</w:t>
      </w:r>
    </w:p>
    <w:p w14:paraId="58DD64F8" w14:textId="2282C9AF" w:rsidR="00CA59FB" w:rsidRDefault="00CA59FB" w:rsidP="00CA59FB">
      <w:pPr>
        <w:jc w:val="left"/>
      </w:pPr>
      <w:r>
        <w:t>Montreal, 26-30 de mayo de 2025</w:t>
      </w:r>
    </w:p>
    <w:p w14:paraId="5A0B6E41" w14:textId="4EEBD4D9" w:rsidR="0079781A" w:rsidRDefault="0079781A" w:rsidP="0079781A">
      <w:pPr>
        <w:jc w:val="left"/>
      </w:pPr>
      <w:r>
        <w:t>Punto 9 d) del orden del día provisional</w:t>
      </w:r>
      <w:r w:rsidRPr="00512BEF">
        <w:rPr>
          <w:rStyle w:val="FootnoteReference"/>
        </w:rPr>
        <w:footnoteReference w:id="2"/>
      </w:r>
    </w:p>
    <w:p w14:paraId="242EA379" w14:textId="40775D2E" w:rsidR="00C15867" w:rsidRPr="009B0D30" w:rsidRDefault="00C15867" w:rsidP="00CA59FB">
      <w:pPr>
        <w:jc w:val="left"/>
      </w:pPr>
    </w:p>
    <w:p w14:paraId="6EEC9F04" w14:textId="77777777" w:rsidR="009145E4" w:rsidRDefault="009145E4" w:rsidP="009145E4">
      <w:pPr>
        <w:pStyle w:val="Heading1"/>
        <w:numPr>
          <w:ilvl w:val="0"/>
          <w:numId w:val="0"/>
        </w:numPr>
      </w:pPr>
    </w:p>
    <w:p w14:paraId="6FE62895" w14:textId="2DD27AAF" w:rsidR="00D73D50" w:rsidRPr="00D73D50" w:rsidRDefault="00CE4135" w:rsidP="00D73D50">
      <w:pPr>
        <w:jc w:val="center"/>
        <w:rPr>
          <w:b/>
        </w:rPr>
      </w:pPr>
      <w:r>
        <w:rPr>
          <w:b/>
        </w:rPr>
        <w:t>PROPUESTA DE PROYECTO: CHILE</w:t>
      </w:r>
    </w:p>
    <w:p w14:paraId="6BAFC15B" w14:textId="77777777" w:rsidR="00D73D50" w:rsidRPr="00CE4135" w:rsidRDefault="00D73D50" w:rsidP="00D73D50">
      <w:pPr>
        <w:rPr>
          <w:highlight w:val="yellow"/>
          <w:lang w:val="fr-FR"/>
        </w:rPr>
      </w:pPr>
    </w:p>
    <w:p w14:paraId="5099A92F" w14:textId="77777777" w:rsidR="00D73D50" w:rsidRPr="00CE4135" w:rsidRDefault="00D73D50" w:rsidP="00D73D50">
      <w:pPr>
        <w:rPr>
          <w:highlight w:val="yellow"/>
          <w:lang w:val="fr-FR"/>
        </w:rPr>
      </w:pPr>
    </w:p>
    <w:p w14:paraId="31FC43EC" w14:textId="77777777" w:rsidR="00D73D50" w:rsidRPr="00D73D50" w:rsidRDefault="00D73D50" w:rsidP="00D73D50">
      <w:pPr>
        <w:ind w:firstLine="720"/>
      </w:pPr>
      <w:r>
        <w:t xml:space="preserve">El presente documento contiene las observaciones y recomendaciones de la Secretaría sobre la siguiente propuesta de proyecto: </w:t>
      </w:r>
    </w:p>
    <w:p w14:paraId="35C67207" w14:textId="77777777" w:rsidR="00D73D50" w:rsidRPr="00EF1DFC" w:rsidRDefault="00D73D50" w:rsidP="00D73D50">
      <w:pPr>
        <w:spacing w:before="240" w:after="240"/>
        <w:rPr>
          <w:u w:val="single"/>
        </w:rPr>
      </w:pPr>
      <w:r>
        <w:rPr>
          <w:u w:val="single"/>
        </w:rPr>
        <w:t>Eficiencia energética</w:t>
      </w:r>
    </w:p>
    <w:tbl>
      <w:tblPr>
        <w:tblStyle w:val="TableGrid"/>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1559"/>
        <w:gridCol w:w="1555"/>
      </w:tblGrid>
      <w:tr w:rsidR="00D73D50" w:rsidRPr="00EF1DFC" w14:paraId="714B521F" w14:textId="77777777" w:rsidTr="004574F7">
        <w:trPr>
          <w:trHeight w:val="300"/>
        </w:trPr>
        <w:tc>
          <w:tcPr>
            <w:tcW w:w="6379" w:type="dxa"/>
            <w:hideMark/>
          </w:tcPr>
          <w:p w14:paraId="1911405A" w14:textId="7688F897" w:rsidR="00D73D50" w:rsidRPr="00EF1DFC" w:rsidRDefault="00D73D50" w:rsidP="00D73D50">
            <w:pPr>
              <w:numPr>
                <w:ilvl w:val="0"/>
                <w:numId w:val="15"/>
              </w:numPr>
              <w:ind w:hanging="830"/>
              <w:contextualSpacing/>
            </w:pPr>
            <w:r>
              <w:t>Proyecto piloto destinado a mantener y/o mejorar la eficiencia energética de equipos y tecnologías sustitutivas durante la reducción de los HFC (actividades sin inversión): Proyecto de demostración del uso de bombas de calor a base de R-744 (dióxido de carbono) como refrigerante en la refrigeración industrial</w:t>
            </w:r>
          </w:p>
        </w:tc>
        <w:tc>
          <w:tcPr>
            <w:tcW w:w="1559" w:type="dxa"/>
            <w:hideMark/>
          </w:tcPr>
          <w:p w14:paraId="45DE6CF3" w14:textId="16441C71" w:rsidR="00D73D50" w:rsidRPr="00EF1DFC" w:rsidRDefault="00574BEE" w:rsidP="00D73D50">
            <w:pPr>
              <w:jc w:val="center"/>
            </w:pPr>
            <w:r>
              <w:t>PNUD</w:t>
            </w:r>
          </w:p>
        </w:tc>
        <w:tc>
          <w:tcPr>
            <w:tcW w:w="1555" w:type="dxa"/>
          </w:tcPr>
          <w:p w14:paraId="01067F39" w14:textId="77777777" w:rsidR="00D73D50" w:rsidRPr="00EF1DFC" w:rsidRDefault="00D73D50" w:rsidP="00D73D50">
            <w:pPr>
              <w:ind w:right="-251"/>
              <w:jc w:val="center"/>
            </w:pPr>
            <w:r>
              <w:t>Para consideración individual</w:t>
            </w:r>
          </w:p>
        </w:tc>
      </w:tr>
    </w:tbl>
    <w:p w14:paraId="719A53BD" w14:textId="77777777" w:rsidR="00D73D50" w:rsidRPr="00EF1DFC" w:rsidRDefault="00D73D50" w:rsidP="00D73D50">
      <w:pPr>
        <w:jc w:val="left"/>
        <w:rPr>
          <w:b/>
        </w:rPr>
      </w:pPr>
      <w:r>
        <w:br w:type="page"/>
      </w:r>
    </w:p>
    <w:p w14:paraId="488B755E" w14:textId="77777777" w:rsidR="00D73D50" w:rsidRPr="00D73D50" w:rsidRDefault="00D73D50" w:rsidP="00D73D50">
      <w:pPr>
        <w:jc w:val="center"/>
        <w:rPr>
          <w:b/>
        </w:rPr>
      </w:pPr>
      <w:r>
        <w:rPr>
          <w:b/>
        </w:rPr>
        <w:lastRenderedPageBreak/>
        <w:t>HOJA DE EVALUACIÓN – PROYECTO NO PLURIANUAL</w:t>
      </w:r>
    </w:p>
    <w:p w14:paraId="29226CCB" w14:textId="77777777" w:rsidR="00D73D50" w:rsidRPr="00D73D50" w:rsidRDefault="00D73D50" w:rsidP="00D73D50">
      <w:pPr>
        <w:jc w:val="center"/>
        <w:rPr>
          <w:b/>
          <w:lang w:val="en-GB"/>
        </w:rPr>
      </w:pPr>
    </w:p>
    <w:p w14:paraId="28B472D3" w14:textId="2CB0FB48" w:rsidR="00D73D50" w:rsidRPr="00D73D50" w:rsidRDefault="009F7A98" w:rsidP="00D73D50">
      <w:pPr>
        <w:ind w:left="142"/>
        <w:jc w:val="center"/>
        <w:rPr>
          <w:b/>
        </w:rPr>
      </w:pPr>
      <w:r>
        <w:rPr>
          <w:b/>
        </w:rPr>
        <w:t>Chile</w:t>
      </w:r>
    </w:p>
    <w:p w14:paraId="2DA5E2A5" w14:textId="77777777" w:rsidR="00D73D50" w:rsidRPr="00D73D50" w:rsidRDefault="00D73D50" w:rsidP="00D73D50">
      <w:pPr>
        <w:ind w:left="142"/>
        <w:jc w:val="center"/>
        <w:rPr>
          <w:b/>
          <w:lang w:val="en-GB"/>
        </w:rPr>
      </w:pPr>
    </w:p>
    <w:p w14:paraId="4FF48D30" w14:textId="77777777" w:rsidR="00D73D50" w:rsidRPr="00D73D50" w:rsidRDefault="00D73D50" w:rsidP="00D73D50">
      <w:pPr>
        <w:tabs>
          <w:tab w:val="left" w:pos="5580"/>
        </w:tabs>
        <w:ind w:right="-450" w:hanging="450"/>
        <w:rPr>
          <w:b/>
          <w:sz w:val="20"/>
        </w:rPr>
      </w:pPr>
      <w:bookmarkStart w:id="0" w:name="_Hlk149308122"/>
      <w:r>
        <w:rPr>
          <w:b/>
          <w:caps/>
          <w:sz w:val="20"/>
        </w:rPr>
        <w:t>Título del proyecto</w:t>
      </w:r>
      <w:bookmarkEnd w:id="0"/>
      <w:r>
        <w:rPr>
          <w:b/>
          <w:sz w:val="20"/>
        </w:rPr>
        <w:tab/>
      </w:r>
      <w:r>
        <w:rPr>
          <w:b/>
          <w:caps/>
          <w:sz w:val="20"/>
        </w:rPr>
        <w:t>Organismo bilateral o de ejecución</w:t>
      </w:r>
    </w:p>
    <w:tbl>
      <w:tblPr>
        <w:tblStyle w:val="TableGrid"/>
        <w:tblpPr w:leftFromText="180" w:rightFromText="180" w:vertAnchor="text" w:horzAnchor="margin" w:tblpXSpec="center" w:tblpY="62"/>
        <w:tblW w:w="10166" w:type="dxa"/>
        <w:tblBorders>
          <w:insideH w:val="none" w:sz="0" w:space="0" w:color="auto"/>
          <w:insideV w:val="none" w:sz="0" w:space="0" w:color="auto"/>
        </w:tblBorders>
        <w:tblLook w:val="01E0" w:firstRow="1" w:lastRow="1" w:firstColumn="1" w:lastColumn="1" w:noHBand="0" w:noVBand="0"/>
      </w:tblPr>
      <w:tblGrid>
        <w:gridCol w:w="9111"/>
        <w:gridCol w:w="1055"/>
      </w:tblGrid>
      <w:tr w:rsidR="00D73D50" w:rsidRPr="000E4A76" w14:paraId="0EE49875" w14:textId="77777777" w:rsidTr="006109A5">
        <w:trPr>
          <w:trHeight w:val="251"/>
        </w:trPr>
        <w:tc>
          <w:tcPr>
            <w:tcW w:w="9085" w:type="dxa"/>
            <w:tcBorders>
              <w:right w:val="single" w:sz="4" w:space="0" w:color="auto"/>
            </w:tcBorders>
          </w:tcPr>
          <w:p w14:paraId="73D93B95" w14:textId="0D92C123" w:rsidR="00D73D50" w:rsidRPr="00D73D50" w:rsidRDefault="00D73D50" w:rsidP="00D73D50">
            <w:pPr>
              <w:tabs>
                <w:tab w:val="left" w:pos="383"/>
              </w:tabs>
              <w:rPr>
                <w:sz w:val="20"/>
                <w:szCs w:val="20"/>
                <w:highlight w:val="yellow"/>
              </w:rPr>
            </w:pPr>
            <w:bookmarkStart w:id="1" w:name="_Hlk183010580"/>
            <w:r>
              <w:rPr>
                <w:sz w:val="20"/>
              </w:rPr>
              <w:t xml:space="preserve">Proyecto piloto destinado a mantener y/o mejorar la eficiencia energética de equipos y tecnologías sustitutivas durante la reducción de los HFC (actividades sin inversión): </w:t>
            </w:r>
            <w:r>
              <w:t xml:space="preserve"> </w:t>
            </w:r>
            <w:r>
              <w:rPr>
                <w:sz w:val="20"/>
              </w:rPr>
              <w:t>Proyecto de demostración del uso de bombas de calor a base de R-744 (dióxido de carbono) como refrigerante en la refrigeración industrial</w:t>
            </w:r>
            <w:bookmarkEnd w:id="1"/>
          </w:p>
        </w:tc>
        <w:tc>
          <w:tcPr>
            <w:tcW w:w="1052" w:type="dxa"/>
            <w:tcBorders>
              <w:top w:val="single" w:sz="4" w:space="0" w:color="auto"/>
              <w:left w:val="single" w:sz="4" w:space="0" w:color="auto"/>
              <w:bottom w:val="single" w:sz="4" w:space="0" w:color="auto"/>
            </w:tcBorders>
          </w:tcPr>
          <w:p w14:paraId="6FCFB877" w14:textId="0A4C47D9" w:rsidR="00D73D50" w:rsidRPr="000E4A76" w:rsidRDefault="00574BEE" w:rsidP="00D73D50">
            <w:pPr>
              <w:jc w:val="right"/>
              <w:rPr>
                <w:sz w:val="20"/>
                <w:szCs w:val="20"/>
              </w:rPr>
            </w:pPr>
            <w:r>
              <w:rPr>
                <w:sz w:val="20"/>
              </w:rPr>
              <w:t>PNUD</w:t>
            </w:r>
          </w:p>
        </w:tc>
      </w:tr>
    </w:tbl>
    <w:p w14:paraId="72B97148" w14:textId="77777777" w:rsidR="00D73D50" w:rsidRPr="00D73D50" w:rsidRDefault="00D73D50" w:rsidP="00D73D50">
      <w:pPr>
        <w:rPr>
          <w:sz w:val="20"/>
          <w:highlight w:val="yellow"/>
          <w:lang w:val="en-GB"/>
        </w:rPr>
      </w:pPr>
    </w:p>
    <w:p w14:paraId="4F3BBA83" w14:textId="77777777" w:rsidR="00D73D50" w:rsidRPr="004E43CA" w:rsidRDefault="00D73D50" w:rsidP="00D73D50">
      <w:pPr>
        <w:ind w:hanging="426"/>
        <w:rPr>
          <w:sz w:val="20"/>
        </w:rPr>
      </w:pPr>
      <w:r>
        <w:rPr>
          <w:b/>
          <w:caps/>
          <w:sz w:val="20"/>
        </w:rPr>
        <w:t>Objetivo del proyecto</w:t>
      </w:r>
    </w:p>
    <w:tbl>
      <w:tblPr>
        <w:tblStyle w:val="TableGrid"/>
        <w:tblW w:w="10165" w:type="dxa"/>
        <w:jc w:val="center"/>
        <w:tblLook w:val="01E0" w:firstRow="1" w:lastRow="1" w:firstColumn="1" w:lastColumn="1" w:noHBand="0" w:noVBand="0"/>
      </w:tblPr>
      <w:tblGrid>
        <w:gridCol w:w="10165"/>
      </w:tblGrid>
      <w:tr w:rsidR="00D73D50" w:rsidRPr="00D73D50" w14:paraId="5B940FF1" w14:textId="77777777" w:rsidTr="00261284">
        <w:trPr>
          <w:trHeight w:val="1999"/>
          <w:jc w:val="center"/>
        </w:trPr>
        <w:tc>
          <w:tcPr>
            <w:tcW w:w="10165" w:type="dxa"/>
            <w:vAlign w:val="center"/>
          </w:tcPr>
          <w:p w14:paraId="416F0809" w14:textId="3B6CE1CF" w:rsidR="00D73D50" w:rsidRPr="003108DA" w:rsidRDefault="003108DA" w:rsidP="00AC0DF2">
            <w:pPr>
              <w:spacing w:after="120"/>
              <w:outlineLvl w:val="0"/>
              <w:rPr>
                <w:color w:val="000000" w:themeColor="text1"/>
                <w:sz w:val="20"/>
                <w:szCs w:val="20"/>
              </w:rPr>
            </w:pPr>
            <w:r>
              <w:rPr>
                <w:color w:val="000000" w:themeColor="text1"/>
                <w:sz w:val="20"/>
              </w:rPr>
              <w:t>El proyecto piloto tiene como objetivo evaluar y demostrar el rendimiento y la eficiencia energética de la tecnología de bombas de calor a base de CO</w:t>
            </w:r>
            <w:r>
              <w:rPr>
                <w:color w:val="000000" w:themeColor="text1"/>
                <w:sz w:val="20"/>
                <w:vertAlign w:val="subscript"/>
              </w:rPr>
              <w:t>2</w:t>
            </w:r>
            <w:r>
              <w:rPr>
                <w:color w:val="000000" w:themeColor="text1"/>
                <w:sz w:val="20"/>
              </w:rPr>
              <w:t xml:space="preserve"> como refrigerante en aplicaciones industriales en diferentes regiones de Chile mediante la instalación, puesta en marcha y operación de al menos tres proyectos piloto individuales, con diferentes capacidades de calentamiento y refrigeración, en el sector de elaboración de productos lácteos. El proyecto pretende demostrar las ventajas potenciales de esta tecnología en la reducción del consumo de energía, el rendimiento del refrigerante, la calidad del proceso, la reducción de los costos operativos y, si es posible, la reducción de la pérdida de alimentos. </w:t>
            </w:r>
          </w:p>
        </w:tc>
      </w:tr>
    </w:tbl>
    <w:p w14:paraId="5A34861D" w14:textId="77777777" w:rsidR="00D73D50" w:rsidRPr="00CE4135" w:rsidRDefault="00D73D50" w:rsidP="00D73D50">
      <w:pPr>
        <w:rPr>
          <w:sz w:val="20"/>
          <w:highlight w:val="yellow"/>
          <w:lang w:val="fr-FR"/>
        </w:rPr>
      </w:pPr>
    </w:p>
    <w:tbl>
      <w:tblPr>
        <w:tblStyle w:val="TableGrid"/>
        <w:tblW w:w="10165" w:type="dxa"/>
        <w:jc w:val="center"/>
        <w:tblLook w:val="01E0" w:firstRow="1" w:lastRow="1" w:firstColumn="1" w:lastColumn="1" w:noHBand="0" w:noVBand="0"/>
      </w:tblPr>
      <w:tblGrid>
        <w:gridCol w:w="4135"/>
        <w:gridCol w:w="6030"/>
      </w:tblGrid>
      <w:tr w:rsidR="00D73D50" w:rsidRPr="00D73D50" w14:paraId="31095A94" w14:textId="77777777" w:rsidTr="006109A5">
        <w:trPr>
          <w:jc w:val="center"/>
        </w:trPr>
        <w:tc>
          <w:tcPr>
            <w:tcW w:w="4135" w:type="dxa"/>
          </w:tcPr>
          <w:p w14:paraId="2C09E027" w14:textId="7E026790" w:rsidR="00D73D50" w:rsidRPr="00D73D50" w:rsidRDefault="00D73D50" w:rsidP="00D73D50">
            <w:pPr>
              <w:rPr>
                <w:sz w:val="20"/>
                <w:szCs w:val="20"/>
                <w:highlight w:val="yellow"/>
              </w:rPr>
            </w:pPr>
            <w:r>
              <w:rPr>
                <w:b/>
                <w:caps/>
                <w:sz w:val="20"/>
              </w:rPr>
              <w:t>Organismo nacional de coordinación</w:t>
            </w:r>
          </w:p>
        </w:tc>
        <w:tc>
          <w:tcPr>
            <w:tcW w:w="6030" w:type="dxa"/>
          </w:tcPr>
          <w:p w14:paraId="11E8F4F0" w14:textId="169E256C" w:rsidR="00D73D50" w:rsidRPr="00D73D50" w:rsidRDefault="00D73D50" w:rsidP="006A5837">
            <w:pPr>
              <w:jc w:val="right"/>
              <w:rPr>
                <w:sz w:val="20"/>
                <w:szCs w:val="20"/>
                <w:highlight w:val="yellow"/>
              </w:rPr>
            </w:pPr>
            <w:r>
              <w:rPr>
                <w:sz w:val="20"/>
              </w:rPr>
              <w:t>Oficina Nacional del Ozono, Ministerio de Medio Ambiente</w:t>
            </w:r>
          </w:p>
        </w:tc>
      </w:tr>
    </w:tbl>
    <w:p w14:paraId="4EE4ACDE" w14:textId="77777777" w:rsidR="00D73D50" w:rsidRPr="00D73D50" w:rsidRDefault="00D73D50" w:rsidP="00D73D50">
      <w:pPr>
        <w:tabs>
          <w:tab w:val="left" w:pos="4248"/>
        </w:tabs>
        <w:ind w:left="113"/>
        <w:jc w:val="left"/>
        <w:rPr>
          <w:sz w:val="20"/>
          <w:szCs w:val="20"/>
          <w:highlight w:val="yellow"/>
          <w:lang w:val="en-GB"/>
        </w:rPr>
      </w:pPr>
    </w:p>
    <w:tbl>
      <w:tblPr>
        <w:tblStyle w:val="TableGrid"/>
        <w:tblW w:w="10165" w:type="dxa"/>
        <w:jc w:val="center"/>
        <w:tblLook w:val="01E0" w:firstRow="1" w:lastRow="1" w:firstColumn="1" w:lastColumn="1" w:noHBand="0" w:noVBand="0"/>
      </w:tblPr>
      <w:tblGrid>
        <w:gridCol w:w="4135"/>
        <w:gridCol w:w="1105"/>
        <w:gridCol w:w="2835"/>
        <w:gridCol w:w="2090"/>
      </w:tblGrid>
      <w:tr w:rsidR="00D73D50" w:rsidRPr="00D73D50" w14:paraId="4DE0EF26" w14:textId="77777777" w:rsidTr="000322AB">
        <w:trPr>
          <w:jc w:val="center"/>
        </w:trPr>
        <w:tc>
          <w:tcPr>
            <w:tcW w:w="4135" w:type="dxa"/>
          </w:tcPr>
          <w:p w14:paraId="35C896F7" w14:textId="77777777" w:rsidR="00D73D50" w:rsidRPr="00556EAF" w:rsidRDefault="00D73D50" w:rsidP="00D73D50">
            <w:pPr>
              <w:rPr>
                <w:b/>
                <w:caps/>
                <w:sz w:val="20"/>
                <w:szCs w:val="20"/>
              </w:rPr>
            </w:pPr>
            <w:r>
              <w:rPr>
                <w:b/>
                <w:sz w:val="20"/>
              </w:rPr>
              <w:t>DATOS MÁS RECIENTES DEL ARTÍCULO 7 (Anexo F)</w:t>
            </w:r>
          </w:p>
        </w:tc>
        <w:tc>
          <w:tcPr>
            <w:tcW w:w="1105" w:type="dxa"/>
          </w:tcPr>
          <w:p w14:paraId="6B546528" w14:textId="77777777" w:rsidR="00D73D50" w:rsidRPr="00556EAF" w:rsidRDefault="00D73D50" w:rsidP="00D73D50">
            <w:pPr>
              <w:jc w:val="left"/>
              <w:rPr>
                <w:sz w:val="20"/>
                <w:szCs w:val="20"/>
              </w:rPr>
            </w:pPr>
            <w:r>
              <w:rPr>
                <w:b/>
                <w:sz w:val="20"/>
              </w:rPr>
              <w:t>Año:</w:t>
            </w:r>
            <w:r>
              <w:rPr>
                <w:sz w:val="20"/>
              </w:rPr>
              <w:t xml:space="preserve"> </w:t>
            </w:r>
            <w:r>
              <w:rPr>
                <w:color w:val="000000" w:themeColor="text1"/>
                <w:sz w:val="20"/>
              </w:rPr>
              <w:t>2023</w:t>
            </w:r>
          </w:p>
        </w:tc>
        <w:tc>
          <w:tcPr>
            <w:tcW w:w="2835" w:type="dxa"/>
          </w:tcPr>
          <w:p w14:paraId="1FB9B129" w14:textId="74BE09A5" w:rsidR="00D73D50" w:rsidRPr="009A3D39" w:rsidRDefault="009A3D39" w:rsidP="00D73D50">
            <w:pPr>
              <w:jc w:val="center"/>
              <w:rPr>
                <w:sz w:val="20"/>
                <w:szCs w:val="20"/>
              </w:rPr>
            </w:pPr>
            <w:r>
              <w:rPr>
                <w:sz w:val="20"/>
              </w:rPr>
              <w:t>1.973,56 toneladas métricas (t)</w:t>
            </w:r>
          </w:p>
        </w:tc>
        <w:tc>
          <w:tcPr>
            <w:tcW w:w="2090" w:type="dxa"/>
          </w:tcPr>
          <w:p w14:paraId="31CE2EAA" w14:textId="0936245C" w:rsidR="00D73D50" w:rsidRPr="009A3D39" w:rsidRDefault="009A3D39" w:rsidP="00D73D50">
            <w:pPr>
              <w:jc w:val="left"/>
              <w:rPr>
                <w:sz w:val="20"/>
                <w:szCs w:val="20"/>
              </w:rPr>
            </w:pPr>
            <w:r>
              <w:rPr>
                <w:sz w:val="20"/>
              </w:rPr>
              <w:t>4.943.654 toneladas de CO</w:t>
            </w:r>
            <w:r>
              <w:rPr>
                <w:sz w:val="20"/>
                <w:vertAlign w:val="subscript"/>
              </w:rPr>
              <w:t>2</w:t>
            </w:r>
            <w:r>
              <w:rPr>
                <w:sz w:val="20"/>
              </w:rPr>
              <w:t xml:space="preserve"> equivalente</w:t>
            </w:r>
          </w:p>
        </w:tc>
      </w:tr>
    </w:tbl>
    <w:p w14:paraId="494351E8" w14:textId="77777777" w:rsidR="00D73D50" w:rsidRPr="00D73D50" w:rsidRDefault="00D73D50" w:rsidP="00D73D50">
      <w:pPr>
        <w:jc w:val="center"/>
        <w:rPr>
          <w:sz w:val="10"/>
          <w:szCs w:val="10"/>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73D50" w:rsidRPr="00D73D50" w14:paraId="73C0BA5A" w14:textId="77777777" w:rsidTr="006109A5">
        <w:trPr>
          <w:trHeight w:val="250"/>
          <w:jc w:val="center"/>
        </w:trPr>
        <w:tc>
          <w:tcPr>
            <w:tcW w:w="6799" w:type="dxa"/>
            <w:tcBorders>
              <w:top w:val="single" w:sz="4" w:space="0" w:color="auto"/>
              <w:left w:val="single" w:sz="4" w:space="0" w:color="auto"/>
              <w:right w:val="single" w:sz="4" w:space="0" w:color="auto"/>
            </w:tcBorders>
          </w:tcPr>
          <w:p w14:paraId="36AA0799"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Pr>
                <w:b/>
                <w:sz w:val="20"/>
              </w:rPr>
              <w:t>Concepto</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3F25C03"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Pr>
                <w:sz w:val="20"/>
              </w:rPr>
              <w:t>Actividades sin inversión</w:t>
            </w:r>
          </w:p>
        </w:tc>
      </w:tr>
      <w:tr w:rsidR="00D73D50" w:rsidRPr="00D73D50" w14:paraId="7C419BF8" w14:textId="77777777" w:rsidTr="006109A5">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43B9F1AD"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Duración del proyecto (meses):</w:t>
            </w:r>
          </w:p>
        </w:tc>
        <w:tc>
          <w:tcPr>
            <w:tcW w:w="3366" w:type="dxa"/>
            <w:tcBorders>
              <w:top w:val="single" w:sz="4" w:space="0" w:color="auto"/>
              <w:left w:val="single" w:sz="4" w:space="0" w:color="auto"/>
              <w:bottom w:val="single" w:sz="4" w:space="0" w:color="auto"/>
              <w:right w:val="single" w:sz="4" w:space="0" w:color="auto"/>
            </w:tcBorders>
          </w:tcPr>
          <w:p w14:paraId="4F7951BD" w14:textId="77777777" w:rsidR="00D73D50" w:rsidRPr="006313E1" w:rsidRDefault="00D73D50" w:rsidP="00D73D50">
            <w:pPr>
              <w:jc w:val="right"/>
              <w:rPr>
                <w:sz w:val="20"/>
                <w:szCs w:val="20"/>
              </w:rPr>
            </w:pPr>
            <w:r>
              <w:rPr>
                <w:sz w:val="20"/>
              </w:rPr>
              <w:t>36</w:t>
            </w:r>
          </w:p>
        </w:tc>
      </w:tr>
      <w:tr w:rsidR="00D73D50" w:rsidRPr="00D73D50" w14:paraId="74BA71BC"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7C0970E7"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Suma inicial solicitada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13D38D8" w14:textId="4C026F82" w:rsidR="00D73D50" w:rsidRPr="006313E1" w:rsidRDefault="00A61E1D"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 xml:space="preserve">1.300.000 </w:t>
            </w:r>
          </w:p>
        </w:tc>
      </w:tr>
      <w:tr w:rsidR="00D73D50" w:rsidRPr="00D73D50" w14:paraId="4212B228"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FAA2D23" w14:textId="77777777" w:rsidR="00D73D50" w:rsidRPr="006313E1"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highlight w:val="yellow"/>
              </w:rPr>
            </w:pPr>
            <w:r>
              <w:rPr>
                <w:sz w:val="20"/>
              </w:rPr>
              <w:t>Costos finales del proyecto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E926AA9" w14:textId="06B997E8" w:rsidR="00D73D50" w:rsidRPr="006313E1" w:rsidRDefault="000A3187" w:rsidP="001C7A4E">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ind w:right="3"/>
              <w:jc w:val="right"/>
              <w:rPr>
                <w:sz w:val="20"/>
                <w:szCs w:val="20"/>
              </w:rPr>
            </w:pPr>
            <w:r>
              <w:rPr>
                <w:sz w:val="20"/>
              </w:rPr>
              <w:tab/>
              <w:t>1.170.000</w:t>
            </w:r>
          </w:p>
        </w:tc>
      </w:tr>
      <w:tr w:rsidR="00D73D50" w:rsidRPr="00D73D50" w14:paraId="7885BFAD"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2497D6C"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Subvención solicitada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85D90B8" w14:textId="3BBF2682" w:rsidR="00D73D50" w:rsidRPr="006313E1" w:rsidRDefault="00203C51"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720.000</w:t>
            </w:r>
          </w:p>
        </w:tc>
      </w:tr>
      <w:tr w:rsidR="00D73D50" w:rsidRPr="00D73D50" w14:paraId="6861EADE"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E175213"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Gastos de apoyo del organismo de ejecución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FB4710E" w14:textId="0960F2CE" w:rsidR="00D73D50" w:rsidRPr="006313E1" w:rsidRDefault="00203C51"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50.400</w:t>
            </w:r>
          </w:p>
        </w:tc>
      </w:tr>
      <w:tr w:rsidR="00D73D50" w:rsidRPr="00D73D50" w14:paraId="5D9B5A40"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F7C3D1D" w14:textId="77777777" w:rsidR="00D73D50" w:rsidRPr="00FF1869"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Costo total del proyecto para el Fondo Multilateral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C413BAE" w14:textId="4AA524E0" w:rsidR="00D73D50" w:rsidRPr="006313E1" w:rsidRDefault="002244DA"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770.400</w:t>
            </w:r>
          </w:p>
        </w:tc>
      </w:tr>
      <w:tr w:rsidR="00D73D50" w:rsidRPr="00D73D50" w14:paraId="35AFAAFD" w14:textId="77777777" w:rsidTr="006109A5">
        <w:trPr>
          <w:trHeight w:val="11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BE23380" w14:textId="77777777" w:rsidR="00D73D50" w:rsidRPr="006313E1" w:rsidRDefault="00D73D50" w:rsidP="00D73D50">
            <w:pPr>
              <w:rPr>
                <w:sz w:val="20"/>
                <w:szCs w:val="20"/>
              </w:rPr>
            </w:pPr>
            <w:r>
              <w:rPr>
                <w:sz w:val="20"/>
              </w:rPr>
              <w:t>Cofinanciamiento (USD):</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1FDE7EB5" w14:textId="4330A5B8" w:rsidR="00D73D50" w:rsidRPr="006313E1" w:rsidRDefault="00361B4C" w:rsidP="00D73D50">
            <w:pPr>
              <w:jc w:val="right"/>
              <w:rPr>
                <w:sz w:val="20"/>
                <w:szCs w:val="20"/>
              </w:rPr>
            </w:pPr>
            <w:r>
              <w:rPr>
                <w:sz w:val="20"/>
              </w:rPr>
              <w:t>450.000</w:t>
            </w:r>
          </w:p>
        </w:tc>
      </w:tr>
      <w:tr w:rsidR="00D73D50" w:rsidRPr="00D73D50" w14:paraId="2F9891CF"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F3F7F75" w14:textId="0EE441D6" w:rsidR="00D73D50" w:rsidRPr="00D11CF4"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Ahorro de eficiencia energética (kWh/año):</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2097349" w14:textId="566268E3" w:rsidR="00D73D50" w:rsidRPr="00D11CF4" w:rsidRDefault="00D11CF4"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983.094*</w:t>
            </w:r>
          </w:p>
        </w:tc>
      </w:tr>
      <w:tr w:rsidR="00D73D50" w:rsidRPr="00D73D50" w14:paraId="2855D39E" w14:textId="77777777" w:rsidTr="006109A5">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0B1E8752"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Disponibilidad del cofinanciamiento (Sí/No):</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D3A1574" w14:textId="0AAD2176" w:rsidR="00D73D50" w:rsidRPr="00D852B2" w:rsidRDefault="00D852B2"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Sí</w:t>
            </w:r>
          </w:p>
        </w:tc>
      </w:tr>
      <w:tr w:rsidR="00D73D50" w:rsidRPr="00D73D50" w14:paraId="7F1C7B27"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7FA40B05"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Inclusión de hitos de supervisión del proyecto (Sí/No)</w:t>
            </w:r>
          </w:p>
        </w:tc>
        <w:tc>
          <w:tcPr>
            <w:tcW w:w="3366" w:type="dxa"/>
            <w:tcBorders>
              <w:top w:val="single" w:sz="4" w:space="0" w:color="auto"/>
              <w:left w:val="single" w:sz="4" w:space="0" w:color="auto"/>
              <w:bottom w:val="single" w:sz="4" w:space="0" w:color="auto"/>
              <w:right w:val="single" w:sz="4" w:space="0" w:color="auto"/>
            </w:tcBorders>
          </w:tcPr>
          <w:p w14:paraId="5347A89D" w14:textId="6ECEB2C5" w:rsidR="00D73D50" w:rsidRPr="00D852B2" w:rsidRDefault="00D852B2"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Sí</w:t>
            </w:r>
          </w:p>
        </w:tc>
      </w:tr>
      <w:tr w:rsidR="00D73D50" w:rsidRPr="00D73D50" w14:paraId="190C7932" w14:textId="77777777" w:rsidTr="006109A5">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02AD8B7F" w14:textId="77777777" w:rsidR="00D73D50" w:rsidRPr="00D852B2"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Disponibilidad de normas mínimas de eficiencia energética (MEPS) para el sector correspondiente (Sí/No):</w:t>
            </w:r>
          </w:p>
        </w:tc>
        <w:tc>
          <w:tcPr>
            <w:tcW w:w="3366" w:type="dxa"/>
            <w:tcBorders>
              <w:top w:val="single" w:sz="4" w:space="0" w:color="auto"/>
              <w:left w:val="single" w:sz="4" w:space="0" w:color="auto"/>
              <w:bottom w:val="single" w:sz="4" w:space="0" w:color="auto"/>
              <w:right w:val="single" w:sz="4" w:space="0" w:color="auto"/>
            </w:tcBorders>
          </w:tcPr>
          <w:p w14:paraId="56CD3238" w14:textId="5BCD9708" w:rsidR="00D73D50" w:rsidRPr="00D852B2" w:rsidRDefault="00FF1869" w:rsidP="00D73D50">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szCs w:val="20"/>
              </w:rPr>
            </w:pPr>
            <w:r>
              <w:rPr>
                <w:sz w:val="20"/>
              </w:rPr>
              <w:t>No**</w:t>
            </w:r>
          </w:p>
        </w:tc>
      </w:tr>
    </w:tbl>
    <w:p w14:paraId="12031EEA" w14:textId="0A36FF3D" w:rsidR="00BD486E" w:rsidRDefault="00EC7706" w:rsidP="00A6485E">
      <w:pPr>
        <w:ind w:hanging="360"/>
        <w:rPr>
          <w:sz w:val="20"/>
          <w:szCs w:val="20"/>
        </w:rPr>
      </w:pPr>
      <w:r>
        <w:rPr>
          <w:sz w:val="20"/>
        </w:rPr>
        <w:t>* Ahorro en el consumo de energía de dos bombas de calor a base de CO</w:t>
      </w:r>
      <w:r>
        <w:rPr>
          <w:sz w:val="20"/>
          <w:vertAlign w:val="subscript"/>
        </w:rPr>
        <w:t>2</w:t>
      </w:r>
    </w:p>
    <w:p w14:paraId="42A916FB" w14:textId="698881EB" w:rsidR="00D73D50" w:rsidRPr="00D852B2" w:rsidRDefault="00BD486E" w:rsidP="00A6485E">
      <w:pPr>
        <w:ind w:hanging="360"/>
        <w:rPr>
          <w:sz w:val="20"/>
          <w:szCs w:val="20"/>
        </w:rPr>
      </w:pPr>
      <w:r>
        <w:rPr>
          <w:sz w:val="20"/>
        </w:rPr>
        <w:t xml:space="preserve">** Las MEPS actuales engloban refrigeradores domésticos y climatizadores sin conductos con capacidad de hasta 12 kW </w:t>
      </w:r>
    </w:p>
    <w:p w14:paraId="3994B30E" w14:textId="77777777" w:rsidR="00EC7706" w:rsidRPr="00D73D50" w:rsidRDefault="00EC7706" w:rsidP="00D73D50">
      <w:pPr>
        <w:rPr>
          <w:highlight w:val="yellow"/>
          <w:lang w:val="en-GB"/>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D73D50" w:rsidRPr="00D73D50" w14:paraId="3D23042D" w14:textId="77777777" w:rsidTr="006109A5">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6BE36D14" w14:textId="77777777" w:rsidR="00D73D50" w:rsidRPr="00D73D50"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Pr>
                <w:b/>
                <w:sz w:val="20"/>
              </w:rPr>
              <w:t>RECOMENDACIÓN DE LA SECRETARÍA</w:t>
            </w:r>
          </w:p>
        </w:tc>
        <w:tc>
          <w:tcPr>
            <w:tcW w:w="3366" w:type="dxa"/>
            <w:tcBorders>
              <w:top w:val="single" w:sz="4" w:space="0" w:color="auto"/>
              <w:left w:val="single" w:sz="4" w:space="0" w:color="auto"/>
              <w:bottom w:val="single" w:sz="4" w:space="0" w:color="auto"/>
              <w:right w:val="single" w:sz="4" w:space="0" w:color="auto"/>
            </w:tcBorders>
          </w:tcPr>
          <w:p w14:paraId="0EDC8690" w14:textId="77777777" w:rsidR="00D73D50" w:rsidRPr="00D73D50" w:rsidRDefault="00D73D50" w:rsidP="00D73D5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Pr>
                <w:sz w:val="20"/>
              </w:rPr>
              <w:t xml:space="preserve">Para consideración individual </w:t>
            </w:r>
          </w:p>
        </w:tc>
      </w:tr>
    </w:tbl>
    <w:p w14:paraId="0363FF3A" w14:textId="77777777" w:rsidR="00D73D50" w:rsidRPr="00D73D50" w:rsidRDefault="00D73D50" w:rsidP="00D73D50">
      <w:pPr>
        <w:rPr>
          <w:highlight w:val="yellow"/>
          <w:lang w:val="en-GB"/>
        </w:rPr>
      </w:pPr>
    </w:p>
    <w:p w14:paraId="2E43157C" w14:textId="77777777" w:rsidR="00D73D50" w:rsidRPr="00D73D50" w:rsidRDefault="00D73D50" w:rsidP="00D73D50">
      <w:pPr>
        <w:jc w:val="left"/>
        <w:rPr>
          <w:b/>
          <w:highlight w:val="yellow"/>
        </w:rPr>
      </w:pPr>
      <w:r>
        <w:br w:type="page"/>
      </w:r>
    </w:p>
    <w:p w14:paraId="5E9BFF7A" w14:textId="77777777" w:rsidR="00D73D50" w:rsidRPr="002F7525" w:rsidRDefault="00D73D50" w:rsidP="00D73D50">
      <w:pPr>
        <w:tabs>
          <w:tab w:val="left" w:pos="5530"/>
        </w:tabs>
        <w:jc w:val="center"/>
        <w:rPr>
          <w:b/>
        </w:rPr>
      </w:pPr>
      <w:r>
        <w:rPr>
          <w:b/>
        </w:rPr>
        <w:lastRenderedPageBreak/>
        <w:t>DESCRIPCIÓN DEL PROYECTO</w:t>
      </w:r>
    </w:p>
    <w:p w14:paraId="21A4C576" w14:textId="77777777" w:rsidR="00D73D50" w:rsidRPr="003C12C1" w:rsidRDefault="00D73D50" w:rsidP="00D73D50">
      <w:pPr>
        <w:spacing w:before="240" w:after="240"/>
        <w:rPr>
          <w:b/>
          <w:bCs/>
        </w:rPr>
      </w:pPr>
      <w:r>
        <w:rPr>
          <w:b/>
        </w:rPr>
        <w:t>Antecedentes</w:t>
      </w:r>
    </w:p>
    <w:p w14:paraId="4938070D" w14:textId="51F97B91" w:rsidR="00D73D50" w:rsidRPr="003C12C1" w:rsidRDefault="00D73D50" w:rsidP="007676D5">
      <w:pPr>
        <w:pStyle w:val="Heading1"/>
      </w:pPr>
      <w:r>
        <w:t xml:space="preserve">En nombre del Gobierno de Chile, el PNUD, de conformidad con la decisión 91/65, ha presentado una solicitud para un </w:t>
      </w:r>
      <w:bookmarkStart w:id="2" w:name="_Hlk148535980"/>
      <w:r>
        <w:t>proyecto piloto con el objetivo de mejorar la eficiencia energética de los equipos y las tecnologías sustitutivas durante la reducción de los HFC (actividades sin inversión)</w:t>
      </w:r>
      <w:bookmarkEnd w:id="2"/>
      <w:r>
        <w:t>, por una suma de USD 1.300.000, más unos gastos de apoyo de USD 91.000, según lo solicitado originalmente.</w:t>
      </w:r>
      <w:r w:rsidRPr="003C12C1">
        <w:rPr>
          <w:vertAlign w:val="superscript"/>
          <w:lang w:val="en-GB"/>
        </w:rPr>
        <w:footnoteReference w:id="3"/>
      </w:r>
    </w:p>
    <w:p w14:paraId="057346A2" w14:textId="05B32F72" w:rsidR="00D73D50" w:rsidRPr="00E76CFE" w:rsidRDefault="00D73D50" w:rsidP="00D73D50">
      <w:pPr>
        <w:spacing w:after="240"/>
        <w:rPr>
          <w:b/>
          <w:bCs/>
        </w:rPr>
      </w:pPr>
      <w:r>
        <w:rPr>
          <w:b/>
        </w:rPr>
        <w:t>Proyecto piloto de eficiencia energética</w:t>
      </w:r>
    </w:p>
    <w:p w14:paraId="531EBC07" w14:textId="77777777" w:rsidR="00E32510" w:rsidRPr="009A61FE" w:rsidRDefault="00E32510" w:rsidP="00E32510">
      <w:pPr>
        <w:pStyle w:val="Heading1"/>
      </w:pPr>
      <w:r>
        <w:t xml:space="preserve">Chile ratificó la Enmienda de Kigali el 19 de septiembre de 2017 y asigna cuotas de HFC a los importadores desde enero de 2024. En la etapa I del plan de aplicación de la Enmienda de Kigali relativa a los HFC (PAK) aprobado en la 93ª reunión, el país se ha comprometido a reducir el consumo de HFC en un 10 por ciento para 2029. </w:t>
      </w:r>
    </w:p>
    <w:p w14:paraId="32695E37" w14:textId="77777777" w:rsidR="00D73D50" w:rsidRPr="00E76CFE" w:rsidRDefault="00D73D50" w:rsidP="00D73D50">
      <w:pPr>
        <w:spacing w:after="240"/>
        <w:rPr>
          <w:u w:val="single"/>
        </w:rPr>
      </w:pPr>
      <w:r>
        <w:rPr>
          <w:u w:val="single"/>
        </w:rPr>
        <w:t>Marco normativo, reglamentario e institucional</w:t>
      </w:r>
    </w:p>
    <w:p w14:paraId="63892619" w14:textId="3C5E0E56" w:rsidR="007D09ED" w:rsidRPr="007D09ED" w:rsidRDefault="00D92D64" w:rsidP="007676D5">
      <w:pPr>
        <w:pStyle w:val="Heading1"/>
        <w:rPr>
          <w:rFonts w:ascii="Segoe UI" w:hAnsi="Segoe UI" w:cs="Segoe UI"/>
          <w:sz w:val="18"/>
          <w:szCs w:val="18"/>
        </w:rPr>
      </w:pPr>
      <w:r>
        <w:t>En 2021, el Gobierno de Chile promulgó la Ley de Eficiencia Energética con el fin de institucionalizar la eficiencia energética, estableciendo la obligación de publicar un Plan Nacional de Eficiencia Energética cada cinco años. La ley también tiene como objetivo reducir la intensidad energética en al menos un 10 por ciento para 2030. En 2021, el Gobierno de Chile actualizó su Política Energética de Largo Plazo (PELP), que destaca el compromiso del país de alcanzar emisiones netas cero para 2050 e incluye una hoja de ruta clara de descarbonización para todos los sectores de la economía nacional.</w:t>
      </w:r>
    </w:p>
    <w:p w14:paraId="1F500D1E" w14:textId="7BFDF84F" w:rsidR="009541E4" w:rsidRPr="009541E4" w:rsidRDefault="00D62220" w:rsidP="006109A5">
      <w:pPr>
        <w:pStyle w:val="Heading1"/>
        <w:rPr>
          <w:rStyle w:val="normaltextrun"/>
        </w:rPr>
      </w:pPr>
      <w:r>
        <w:rPr>
          <w:rStyle w:val="normaltextrun"/>
        </w:rPr>
        <w:t>En 2015 se adoptaron por primera vez las normas mínimas de eficiencia energética (MEPS) obligatorias mediante la Resolución Exenta N.º 74 de 2014 del Ministerio de Energía. Desde 2016, solo se pueden vender refrigeradores con eficiencia energética de clase A, A+ y A++. Desde 2018, no se pueden comercializar climatizadores por debajo de la clase A.</w:t>
      </w:r>
    </w:p>
    <w:p w14:paraId="7D81FA37" w14:textId="35F54B71" w:rsidR="008271C2" w:rsidRDefault="00856BA1" w:rsidP="006109A5">
      <w:pPr>
        <w:pStyle w:val="Heading1"/>
        <w:rPr>
          <w:rStyle w:val="normaltextrun"/>
        </w:rPr>
      </w:pPr>
      <w:r>
        <w:rPr>
          <w:rStyle w:val="normaltextrun"/>
        </w:rPr>
        <w:t>La División de Eficiencia Energética del Ministerio de Energía es responsable de la aplicación de la Ley de Eficiencia Energética y del Plan Nacional de Eficiencia Energética, así como de la gestión energética de los grandes consumidores y del etiquetado energético de los edificios. Esta división trabaja en estrecha colaboración con la Oficina Nacional del Ozono (ONO) en todas las reglamentaciones relacionadas con los sectores de refrigeración y climatización, y participará directamente en la ejecución del proyecto piloto. </w:t>
      </w:r>
    </w:p>
    <w:p w14:paraId="00B9F268" w14:textId="21776C49" w:rsidR="00D73D50" w:rsidRPr="008271C2" w:rsidRDefault="00D73D50" w:rsidP="006109A5">
      <w:pPr>
        <w:pStyle w:val="Heading1"/>
        <w:keepNext/>
        <w:numPr>
          <w:ilvl w:val="0"/>
          <w:numId w:val="0"/>
        </w:numPr>
        <w:suppressAutoHyphens/>
        <w:spacing w:before="240"/>
        <w:rPr>
          <w:u w:val="single"/>
        </w:rPr>
      </w:pPr>
      <w:r>
        <w:rPr>
          <w:u w:val="single"/>
        </w:rPr>
        <w:t>Consumo de HFC y antecedentes del sector</w:t>
      </w:r>
    </w:p>
    <w:p w14:paraId="78952398" w14:textId="615F3721" w:rsidR="00D73D50" w:rsidRPr="00CD3A4D" w:rsidRDefault="00D73D50" w:rsidP="007676D5">
      <w:pPr>
        <w:pStyle w:val="Heading1"/>
      </w:pPr>
      <w:r>
        <w:t>El consumo de referencia de HFC para Chile se ha establecido en 6.698.107 toneladas de CO</w:t>
      </w:r>
      <w:r>
        <w:rPr>
          <w:vertAlign w:val="subscript"/>
        </w:rPr>
        <w:t>2</w:t>
      </w:r>
      <w:r>
        <w:t xml:space="preserve"> equivalente. En el cuadro 1 se muestra el consumo de HFC en Chile.</w:t>
      </w:r>
    </w:p>
    <w:p w14:paraId="0C8377AF" w14:textId="7121167D" w:rsidR="00D73D50" w:rsidRPr="008865F8" w:rsidRDefault="00D73D50" w:rsidP="00D73D50">
      <w:pPr>
        <w:keepNext/>
        <w:rPr>
          <w:b/>
          <w:bCs/>
        </w:rPr>
      </w:pPr>
      <w:r>
        <w:rPr>
          <w:b/>
        </w:rPr>
        <w:t>Cuadro 1. Consumo de HFC en Chile (2019-2023)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0"/>
        <w:gridCol w:w="1277"/>
        <w:gridCol w:w="1277"/>
        <w:gridCol w:w="1277"/>
        <w:gridCol w:w="1277"/>
        <w:gridCol w:w="1272"/>
      </w:tblGrid>
      <w:tr w:rsidR="00124CDE" w:rsidRPr="00D73D50" w14:paraId="18CA6D48" w14:textId="4A732F72" w:rsidTr="00FB7C76">
        <w:trPr>
          <w:trHeight w:val="300"/>
          <w:tblHeader/>
        </w:trPr>
        <w:tc>
          <w:tcPr>
            <w:tcW w:w="1588" w:type="pct"/>
            <w:shd w:val="clear" w:color="auto" w:fill="auto"/>
            <w:noWrap/>
            <w:vAlign w:val="center"/>
            <w:hideMark/>
          </w:tcPr>
          <w:p w14:paraId="2A931E29" w14:textId="7BC581FC" w:rsidR="00124CDE" w:rsidRPr="00393C4C" w:rsidRDefault="00FB7C76" w:rsidP="00D73D50">
            <w:pPr>
              <w:keepNext/>
              <w:jc w:val="left"/>
              <w:rPr>
                <w:b/>
                <w:bCs/>
                <w:color w:val="000000"/>
                <w:sz w:val="20"/>
                <w:szCs w:val="20"/>
              </w:rPr>
            </w:pPr>
            <w:r>
              <w:rPr>
                <w:b/>
                <w:color w:val="000000"/>
                <w:sz w:val="20"/>
              </w:rPr>
              <w:t xml:space="preserve">Consumo de HFC </w:t>
            </w:r>
          </w:p>
        </w:tc>
        <w:tc>
          <w:tcPr>
            <w:tcW w:w="683" w:type="pct"/>
            <w:shd w:val="clear" w:color="auto" w:fill="auto"/>
            <w:noWrap/>
            <w:vAlign w:val="center"/>
            <w:hideMark/>
          </w:tcPr>
          <w:p w14:paraId="68F8DD77" w14:textId="77777777" w:rsidR="00124CDE" w:rsidRPr="00393C4C" w:rsidRDefault="00124CDE" w:rsidP="00D73D50">
            <w:pPr>
              <w:keepNext/>
              <w:jc w:val="center"/>
              <w:rPr>
                <w:b/>
                <w:bCs/>
                <w:color w:val="000000"/>
                <w:sz w:val="20"/>
                <w:szCs w:val="20"/>
              </w:rPr>
            </w:pPr>
            <w:r>
              <w:rPr>
                <w:b/>
                <w:color w:val="000000"/>
                <w:sz w:val="20"/>
              </w:rPr>
              <w:t>2019</w:t>
            </w:r>
          </w:p>
        </w:tc>
        <w:tc>
          <w:tcPr>
            <w:tcW w:w="683" w:type="pct"/>
            <w:shd w:val="clear" w:color="auto" w:fill="auto"/>
            <w:noWrap/>
            <w:vAlign w:val="center"/>
            <w:hideMark/>
          </w:tcPr>
          <w:p w14:paraId="2E54FE84" w14:textId="77777777" w:rsidR="00124CDE" w:rsidRPr="00393C4C" w:rsidRDefault="00124CDE" w:rsidP="00D73D50">
            <w:pPr>
              <w:keepNext/>
              <w:jc w:val="center"/>
              <w:rPr>
                <w:b/>
                <w:bCs/>
                <w:color w:val="000000"/>
                <w:sz w:val="20"/>
                <w:szCs w:val="20"/>
              </w:rPr>
            </w:pPr>
            <w:r>
              <w:rPr>
                <w:b/>
                <w:color w:val="000000"/>
                <w:sz w:val="20"/>
              </w:rPr>
              <w:t>2020</w:t>
            </w:r>
          </w:p>
        </w:tc>
        <w:tc>
          <w:tcPr>
            <w:tcW w:w="683" w:type="pct"/>
            <w:shd w:val="clear" w:color="auto" w:fill="auto"/>
            <w:noWrap/>
            <w:vAlign w:val="center"/>
            <w:hideMark/>
          </w:tcPr>
          <w:p w14:paraId="0DB4D118" w14:textId="77777777" w:rsidR="00124CDE" w:rsidRPr="00393C4C" w:rsidRDefault="00124CDE" w:rsidP="00D73D50">
            <w:pPr>
              <w:keepNext/>
              <w:jc w:val="center"/>
              <w:rPr>
                <w:b/>
                <w:bCs/>
                <w:color w:val="000000"/>
                <w:sz w:val="20"/>
                <w:szCs w:val="20"/>
              </w:rPr>
            </w:pPr>
            <w:r>
              <w:rPr>
                <w:b/>
                <w:color w:val="000000"/>
                <w:sz w:val="20"/>
              </w:rPr>
              <w:t>2021</w:t>
            </w:r>
          </w:p>
        </w:tc>
        <w:tc>
          <w:tcPr>
            <w:tcW w:w="683" w:type="pct"/>
            <w:shd w:val="clear" w:color="auto" w:fill="auto"/>
            <w:noWrap/>
            <w:vAlign w:val="center"/>
            <w:hideMark/>
          </w:tcPr>
          <w:p w14:paraId="6CC62F9A" w14:textId="77777777" w:rsidR="00124CDE" w:rsidRPr="00393C4C" w:rsidRDefault="00124CDE" w:rsidP="00D73D50">
            <w:pPr>
              <w:keepNext/>
              <w:jc w:val="center"/>
              <w:rPr>
                <w:b/>
                <w:bCs/>
                <w:color w:val="000000"/>
                <w:sz w:val="20"/>
                <w:szCs w:val="20"/>
              </w:rPr>
            </w:pPr>
            <w:r>
              <w:rPr>
                <w:b/>
                <w:color w:val="000000"/>
                <w:sz w:val="20"/>
              </w:rPr>
              <w:t>2022</w:t>
            </w:r>
          </w:p>
        </w:tc>
        <w:tc>
          <w:tcPr>
            <w:tcW w:w="681" w:type="pct"/>
            <w:shd w:val="clear" w:color="auto" w:fill="auto"/>
            <w:vAlign w:val="center"/>
          </w:tcPr>
          <w:p w14:paraId="0A1D1565" w14:textId="77777777" w:rsidR="00124CDE" w:rsidRPr="00393C4C" w:rsidRDefault="00124CDE" w:rsidP="00D73D50">
            <w:pPr>
              <w:keepNext/>
              <w:jc w:val="center"/>
              <w:rPr>
                <w:b/>
                <w:bCs/>
                <w:color w:val="000000" w:themeColor="text1"/>
                <w:sz w:val="20"/>
                <w:szCs w:val="20"/>
              </w:rPr>
            </w:pPr>
            <w:r>
              <w:rPr>
                <w:b/>
                <w:color w:val="000000" w:themeColor="text1"/>
                <w:sz w:val="20"/>
              </w:rPr>
              <w:t>2023</w:t>
            </w:r>
          </w:p>
        </w:tc>
      </w:tr>
      <w:tr w:rsidR="00FB7C76" w:rsidRPr="00D73D50" w14:paraId="60218426" w14:textId="64690383" w:rsidTr="00FB7C76">
        <w:trPr>
          <w:trHeight w:val="300"/>
        </w:trPr>
        <w:tc>
          <w:tcPr>
            <w:tcW w:w="1588" w:type="pct"/>
            <w:shd w:val="clear" w:color="auto" w:fill="auto"/>
            <w:noWrap/>
            <w:vAlign w:val="center"/>
            <w:hideMark/>
          </w:tcPr>
          <w:p w14:paraId="0C1BC667" w14:textId="77777777" w:rsidR="00FB7C76" w:rsidRPr="008E3926" w:rsidRDefault="00FB7C76" w:rsidP="00D73D50">
            <w:pPr>
              <w:keepNext/>
              <w:jc w:val="left"/>
              <w:rPr>
                <w:color w:val="000000"/>
                <w:sz w:val="20"/>
                <w:szCs w:val="20"/>
              </w:rPr>
            </w:pPr>
            <w:r>
              <w:rPr>
                <w:color w:val="000000"/>
                <w:sz w:val="20"/>
              </w:rPr>
              <w:t xml:space="preserve">Toneladas métricas </w:t>
            </w:r>
          </w:p>
        </w:tc>
        <w:tc>
          <w:tcPr>
            <w:tcW w:w="683" w:type="pct"/>
            <w:shd w:val="clear" w:color="auto" w:fill="auto"/>
            <w:noWrap/>
            <w:vAlign w:val="center"/>
            <w:hideMark/>
          </w:tcPr>
          <w:p w14:paraId="20972580" w14:textId="4B6854E7" w:rsidR="00FB7C76" w:rsidRPr="008E3926" w:rsidRDefault="00FB7C76" w:rsidP="00D73D50">
            <w:pPr>
              <w:keepNext/>
              <w:jc w:val="center"/>
              <w:rPr>
                <w:color w:val="000000"/>
                <w:sz w:val="20"/>
                <w:szCs w:val="20"/>
              </w:rPr>
            </w:pPr>
            <w:r>
              <w:rPr>
                <w:color w:val="000000" w:themeColor="text1"/>
                <w:sz w:val="20"/>
              </w:rPr>
              <w:t>1.747,26</w:t>
            </w:r>
          </w:p>
        </w:tc>
        <w:tc>
          <w:tcPr>
            <w:tcW w:w="683" w:type="pct"/>
            <w:shd w:val="clear" w:color="auto" w:fill="auto"/>
            <w:noWrap/>
            <w:vAlign w:val="center"/>
            <w:hideMark/>
          </w:tcPr>
          <w:p w14:paraId="61866F4C" w14:textId="3AC41BC0" w:rsidR="00FB7C76" w:rsidRPr="008E3926" w:rsidRDefault="00FB7C76" w:rsidP="00D73D50">
            <w:pPr>
              <w:keepNext/>
              <w:jc w:val="center"/>
              <w:rPr>
                <w:color w:val="000000"/>
                <w:sz w:val="20"/>
                <w:szCs w:val="20"/>
              </w:rPr>
            </w:pPr>
            <w:r>
              <w:rPr>
                <w:color w:val="000000" w:themeColor="text1"/>
                <w:sz w:val="20"/>
              </w:rPr>
              <w:t>1.684,22</w:t>
            </w:r>
          </w:p>
        </w:tc>
        <w:tc>
          <w:tcPr>
            <w:tcW w:w="683" w:type="pct"/>
            <w:shd w:val="clear" w:color="auto" w:fill="auto"/>
            <w:noWrap/>
            <w:vAlign w:val="center"/>
            <w:hideMark/>
          </w:tcPr>
          <w:p w14:paraId="7D68A19B" w14:textId="515ABEC3" w:rsidR="00FB7C76" w:rsidRPr="008E3926" w:rsidRDefault="00FB7C76" w:rsidP="00D73D50">
            <w:pPr>
              <w:keepNext/>
              <w:jc w:val="center"/>
              <w:rPr>
                <w:color w:val="000000"/>
                <w:sz w:val="20"/>
                <w:szCs w:val="20"/>
              </w:rPr>
            </w:pPr>
            <w:r>
              <w:rPr>
                <w:color w:val="000000" w:themeColor="text1"/>
                <w:sz w:val="20"/>
              </w:rPr>
              <w:t>1.854,98</w:t>
            </w:r>
          </w:p>
        </w:tc>
        <w:tc>
          <w:tcPr>
            <w:tcW w:w="683" w:type="pct"/>
            <w:shd w:val="clear" w:color="auto" w:fill="auto"/>
            <w:noWrap/>
            <w:vAlign w:val="center"/>
            <w:hideMark/>
          </w:tcPr>
          <w:p w14:paraId="320C9FD6" w14:textId="06A01F14" w:rsidR="00FB7C76" w:rsidRPr="008E3926" w:rsidRDefault="00FB7C76" w:rsidP="00D73D50">
            <w:pPr>
              <w:keepNext/>
              <w:jc w:val="center"/>
              <w:rPr>
                <w:color w:val="000000"/>
                <w:sz w:val="20"/>
                <w:szCs w:val="20"/>
              </w:rPr>
            </w:pPr>
            <w:r>
              <w:rPr>
                <w:color w:val="000000" w:themeColor="text1"/>
                <w:sz w:val="20"/>
              </w:rPr>
              <w:t>2.556,05</w:t>
            </w:r>
          </w:p>
        </w:tc>
        <w:tc>
          <w:tcPr>
            <w:tcW w:w="681" w:type="pct"/>
            <w:shd w:val="clear" w:color="auto" w:fill="auto"/>
            <w:vAlign w:val="center"/>
          </w:tcPr>
          <w:p w14:paraId="295C9735" w14:textId="78A0C0FA" w:rsidR="00FB7C76" w:rsidRPr="003A2DC1" w:rsidRDefault="00FB7C76" w:rsidP="00D73D50">
            <w:pPr>
              <w:keepNext/>
              <w:jc w:val="center"/>
              <w:rPr>
                <w:color w:val="000000" w:themeColor="text1"/>
                <w:sz w:val="20"/>
                <w:szCs w:val="20"/>
              </w:rPr>
            </w:pPr>
            <w:r>
              <w:rPr>
                <w:color w:val="000000" w:themeColor="text1"/>
                <w:sz w:val="20"/>
              </w:rPr>
              <w:t>1.973,56</w:t>
            </w:r>
          </w:p>
        </w:tc>
      </w:tr>
      <w:tr w:rsidR="00FB7C76" w:rsidRPr="00D73D50" w14:paraId="23FE4249" w14:textId="63E0C96D" w:rsidTr="00FB7C76">
        <w:trPr>
          <w:trHeight w:val="300"/>
        </w:trPr>
        <w:tc>
          <w:tcPr>
            <w:tcW w:w="1588" w:type="pct"/>
            <w:shd w:val="clear" w:color="auto" w:fill="auto"/>
            <w:noWrap/>
            <w:vAlign w:val="center"/>
          </w:tcPr>
          <w:p w14:paraId="692E4D3F" w14:textId="77777777" w:rsidR="00FB7C76" w:rsidRPr="008E3926" w:rsidRDefault="00FB7C76" w:rsidP="00D73D50">
            <w:pPr>
              <w:jc w:val="left"/>
              <w:rPr>
                <w:color w:val="1E1E1E"/>
                <w:sz w:val="20"/>
                <w:szCs w:val="20"/>
              </w:rPr>
            </w:pPr>
            <w:r>
              <w:rPr>
                <w:color w:val="1E1E1E"/>
                <w:sz w:val="20"/>
              </w:rPr>
              <w:t>Toneladas de CO</w:t>
            </w:r>
            <w:r>
              <w:rPr>
                <w:color w:val="1E1E1E"/>
                <w:sz w:val="20"/>
                <w:vertAlign w:val="subscript"/>
              </w:rPr>
              <w:t>2</w:t>
            </w:r>
            <w:r>
              <w:rPr>
                <w:color w:val="1E1E1E"/>
                <w:sz w:val="20"/>
              </w:rPr>
              <w:t xml:space="preserve"> </w:t>
            </w:r>
            <w:proofErr w:type="spellStart"/>
            <w:r>
              <w:rPr>
                <w:color w:val="1E1E1E"/>
                <w:sz w:val="20"/>
              </w:rPr>
              <w:t>eq</w:t>
            </w:r>
            <w:proofErr w:type="spellEnd"/>
            <w:r>
              <w:rPr>
                <w:color w:val="1E1E1E"/>
                <w:sz w:val="20"/>
              </w:rPr>
              <w:t>.</w:t>
            </w:r>
          </w:p>
        </w:tc>
        <w:tc>
          <w:tcPr>
            <w:tcW w:w="683" w:type="pct"/>
            <w:shd w:val="clear" w:color="auto" w:fill="auto"/>
            <w:noWrap/>
            <w:vAlign w:val="center"/>
          </w:tcPr>
          <w:p w14:paraId="30564E38" w14:textId="0A1B2A23" w:rsidR="00FB7C76" w:rsidRPr="008E3926" w:rsidRDefault="00FB7C76" w:rsidP="00D73D50">
            <w:pPr>
              <w:jc w:val="center"/>
              <w:rPr>
                <w:color w:val="000000"/>
                <w:sz w:val="20"/>
                <w:szCs w:val="20"/>
              </w:rPr>
            </w:pPr>
            <w:r>
              <w:rPr>
                <w:color w:val="000000"/>
                <w:sz w:val="20"/>
              </w:rPr>
              <w:t>4.763.686</w:t>
            </w:r>
          </w:p>
        </w:tc>
        <w:tc>
          <w:tcPr>
            <w:tcW w:w="683" w:type="pct"/>
            <w:shd w:val="clear" w:color="auto" w:fill="auto"/>
            <w:noWrap/>
            <w:vAlign w:val="center"/>
          </w:tcPr>
          <w:p w14:paraId="7A038199" w14:textId="5206D346" w:rsidR="00FB7C76" w:rsidRPr="008E3926" w:rsidRDefault="00FB7C76" w:rsidP="00D73D50">
            <w:pPr>
              <w:jc w:val="center"/>
              <w:rPr>
                <w:color w:val="000000"/>
                <w:sz w:val="20"/>
                <w:szCs w:val="20"/>
              </w:rPr>
            </w:pPr>
            <w:r>
              <w:rPr>
                <w:color w:val="000000"/>
                <w:sz w:val="20"/>
              </w:rPr>
              <w:t>4.465.255</w:t>
            </w:r>
          </w:p>
        </w:tc>
        <w:tc>
          <w:tcPr>
            <w:tcW w:w="683" w:type="pct"/>
            <w:shd w:val="clear" w:color="auto" w:fill="auto"/>
            <w:noWrap/>
            <w:vAlign w:val="center"/>
          </w:tcPr>
          <w:p w14:paraId="738FC0D1" w14:textId="7838E745" w:rsidR="00FB7C76" w:rsidRPr="008E3926" w:rsidRDefault="00FB7C76" w:rsidP="00D73D50">
            <w:pPr>
              <w:jc w:val="center"/>
              <w:rPr>
                <w:color w:val="000000"/>
                <w:sz w:val="20"/>
                <w:szCs w:val="20"/>
              </w:rPr>
            </w:pPr>
            <w:r>
              <w:rPr>
                <w:color w:val="000000"/>
                <w:sz w:val="20"/>
              </w:rPr>
              <w:t>4.957.950</w:t>
            </w:r>
          </w:p>
        </w:tc>
        <w:tc>
          <w:tcPr>
            <w:tcW w:w="683" w:type="pct"/>
            <w:shd w:val="clear" w:color="auto" w:fill="auto"/>
            <w:noWrap/>
            <w:vAlign w:val="center"/>
          </w:tcPr>
          <w:p w14:paraId="6CE5040A" w14:textId="5EF7AC97" w:rsidR="00FB7C76" w:rsidRPr="008E3926" w:rsidRDefault="00FB7C76" w:rsidP="00D73D50">
            <w:pPr>
              <w:jc w:val="center"/>
              <w:rPr>
                <w:color w:val="000000"/>
                <w:sz w:val="20"/>
                <w:szCs w:val="20"/>
              </w:rPr>
            </w:pPr>
            <w:r>
              <w:rPr>
                <w:color w:val="000000"/>
                <w:sz w:val="20"/>
              </w:rPr>
              <w:t>7.089.350</w:t>
            </w:r>
          </w:p>
        </w:tc>
        <w:tc>
          <w:tcPr>
            <w:tcW w:w="681" w:type="pct"/>
            <w:shd w:val="clear" w:color="auto" w:fill="auto"/>
            <w:vAlign w:val="center"/>
          </w:tcPr>
          <w:p w14:paraId="28D8E60D" w14:textId="78071049" w:rsidR="00FB7C76" w:rsidRPr="003A2DC1" w:rsidRDefault="00FB7C76" w:rsidP="00D73D50">
            <w:pPr>
              <w:jc w:val="center"/>
              <w:rPr>
                <w:color w:val="000000" w:themeColor="text1"/>
                <w:sz w:val="20"/>
                <w:szCs w:val="20"/>
              </w:rPr>
            </w:pPr>
            <w:r>
              <w:rPr>
                <w:color w:val="000000" w:themeColor="text1"/>
                <w:sz w:val="20"/>
              </w:rPr>
              <w:t>4.943.654</w:t>
            </w:r>
          </w:p>
        </w:tc>
      </w:tr>
    </w:tbl>
    <w:p w14:paraId="6C41C1E2" w14:textId="77777777" w:rsidR="00D73D50" w:rsidRPr="00D73D50" w:rsidRDefault="00D73D50" w:rsidP="00D73D50">
      <w:pPr>
        <w:tabs>
          <w:tab w:val="left" w:pos="1384"/>
          <w:tab w:val="left" w:pos="2917"/>
          <w:tab w:val="left" w:pos="4289"/>
          <w:tab w:val="left" w:pos="5581"/>
          <w:tab w:val="left" w:pos="6875"/>
          <w:tab w:val="left" w:pos="8169"/>
        </w:tabs>
        <w:ind w:left="113"/>
        <w:jc w:val="left"/>
        <w:rPr>
          <w:color w:val="000000" w:themeColor="text1"/>
          <w:sz w:val="20"/>
          <w:szCs w:val="20"/>
          <w:highlight w:val="yellow"/>
          <w:lang w:val="en-GB" w:eastAsia="en-CA"/>
        </w:rPr>
      </w:pPr>
    </w:p>
    <w:p w14:paraId="4CF98C1F" w14:textId="5DDA3554" w:rsidR="003C4892" w:rsidRDefault="007D0366" w:rsidP="007676D5">
      <w:pPr>
        <w:pStyle w:val="Heading1"/>
      </w:pPr>
      <w:r>
        <w:t xml:space="preserve">El consumo de HFC ha mostrado una tendencia general al alza entre 2019 y 2023, con una leve reducción en 2020 y un aumento notable en 2022 debido a la rápida recuperación económica tras la pandemia de COVID-19, lo que generó una mayor demanda de servicios e instalaciones de HFC, junto con la adopción de tecnología de HFC en climatizadores e instalaciones de refrigeración comerciales, incluidos </w:t>
      </w:r>
      <w:r>
        <w:lastRenderedPageBreak/>
        <w:t xml:space="preserve">los sistemas energéticamente eficientes a base de R-507A en aplicaciones de refrigeración industrial utilizados como sustitutivos de los antiguos sistemas a base de HCFC-22 y también de R-404A. </w:t>
      </w:r>
    </w:p>
    <w:p w14:paraId="07433FA1" w14:textId="77777777" w:rsidR="003B1091" w:rsidRDefault="003B1091" w:rsidP="003B1091">
      <w:pPr>
        <w:pStyle w:val="Heading1"/>
      </w:pPr>
      <w:r>
        <w:t>En 2023 se consumieron 459 toneladas métricas (1.568.479 toneladas de CO</w:t>
      </w:r>
      <w:r>
        <w:rPr>
          <w:vertAlign w:val="subscript"/>
        </w:rPr>
        <w:t>2</w:t>
      </w:r>
      <w:r>
        <w:t xml:space="preserve"> equivalente) de HFC en sistemas de refrigeración industrial, lo que representa el 23 por ciento del consumo total de HFC en toneladas métricas o el 32 por ciento en toneladas de CO</w:t>
      </w:r>
      <w:r>
        <w:rPr>
          <w:vertAlign w:val="subscript"/>
        </w:rPr>
        <w:t>2</w:t>
      </w:r>
      <w:r>
        <w:t xml:space="preserve"> equivalente.</w:t>
      </w:r>
    </w:p>
    <w:p w14:paraId="05D5CC27" w14:textId="374BD692" w:rsidR="001E1B11" w:rsidRDefault="00191663" w:rsidP="007676D5">
      <w:pPr>
        <w:pStyle w:val="Heading1"/>
      </w:pPr>
      <w:bookmarkStart w:id="3" w:name="_Hlk126662278"/>
      <w:bookmarkStart w:id="4" w:name="_Hlk126934445"/>
      <w:r>
        <w:t>La industria de elaboración de productos lácteos está integrada por 14 grandes empresas que procesan más del 90 por ciento de la leche y otros productos lácteos. El 10 por ciento restante es elaborado por 111 pequeñas y medianas empresas (PYMES), que también producen quesos y yogures. Asimismo, existen más de 1.000 microempresas que solo producen leche sin procesamiento posterior destinada al autoconsumo</w:t>
      </w:r>
      <w:r w:rsidR="004574F7">
        <w:t>,</w:t>
      </w:r>
      <w:r>
        <w:t xml:space="preserve"> o como proveedoras de grandes empresas. La industria </w:t>
      </w:r>
      <w:r w:rsidR="001B6005">
        <w:t xml:space="preserve">cárnica </w:t>
      </w:r>
      <w:r>
        <w:t>está formada por 54 pequeñas, medianas y grandes empresas que elaboran carne de vacuno, cerdo y aves de corral.</w:t>
      </w:r>
    </w:p>
    <w:p w14:paraId="2A8A0781" w14:textId="0AF46A58" w:rsidR="00D73D50" w:rsidRPr="00F0560F" w:rsidRDefault="00A4024D" w:rsidP="007676D5">
      <w:pPr>
        <w:pStyle w:val="Heading1"/>
      </w:pPr>
      <w:r>
        <w:t xml:space="preserve">Es difícil calcular la cantidad exacta de HFC que se consume en los sectores de la elaboración de productos lácteos o cárnicos debido a la gran variedad de instalaciones, requisitos de refrigeración, tipo y antigüedad de los equipos, y prácticas empresariales. Sin embargo, se ha determinado que las pocas grandes empresas en las industrias de productos lácteos y de carne de vacuno utilizan amoníaco como refrigerante, mientras que un alto porcentaje de PYMES en las industrias de productos lácteos y avícolas llevan décadas utilizando refrigerantes HCFC y HFC.  </w:t>
      </w:r>
    </w:p>
    <w:p w14:paraId="0C4EA566" w14:textId="77777777" w:rsidR="00D73D50" w:rsidRPr="00E76CFE" w:rsidRDefault="00D73D50" w:rsidP="00D73D50">
      <w:pPr>
        <w:spacing w:after="240"/>
        <w:outlineLvl w:val="0"/>
        <w:rPr>
          <w:u w:val="single"/>
        </w:rPr>
      </w:pPr>
      <w:r>
        <w:rPr>
          <w:u w:val="single"/>
        </w:rPr>
        <w:t xml:space="preserve">Objetivos del proyecto </w:t>
      </w:r>
    </w:p>
    <w:p w14:paraId="645D2408" w14:textId="5412F9CF" w:rsidR="00A631DA" w:rsidRDefault="00905996" w:rsidP="007676D5">
      <w:pPr>
        <w:pStyle w:val="Heading1"/>
      </w:pPr>
      <w:r>
        <w:t>El proyecto piloto tiene como objetivo evaluar y demostrar el rendimiento y la eficiencia energética de la tecnología de bombas de calor a base de CO</w:t>
      </w:r>
      <w:r>
        <w:rPr>
          <w:vertAlign w:val="subscript"/>
        </w:rPr>
        <w:t>2</w:t>
      </w:r>
      <w:r>
        <w:t xml:space="preserve"> como refrigerante en aplicaciones industriales en diferentes regiones de Chile mediante la instalación, puesta en marcha y operación de al menos tres proyectos piloto individuales, con diferentes capacidades de calentamiento y refrigeración, en el sector de elaboración de productos lácteos. </w:t>
      </w:r>
    </w:p>
    <w:p w14:paraId="6ED1489F" w14:textId="46EAE16B" w:rsidR="000943A1" w:rsidRDefault="000943A1" w:rsidP="000943A1">
      <w:pPr>
        <w:pStyle w:val="Heading1"/>
      </w:pPr>
      <w:r>
        <w:t>El proyecto pretende demostrar las ventajas potenciales de esta tecnología en la reducción del consumo de energía, el rendimiento del refrigerante, la calidad del proceso, la reducción de los costos operativos y, si es posible, la reducción de la pérdida de alimentos. Gracias a este proyecto, se estima que el consumo de energía puede reducirse entre un 30 y un 50 por ciento al sustituir los sistemas de calentamiento y refrigeración independientes convencionales (que funcionan con HFC) por un sistema integrado de calentamiento y refrigeración a base de CO</w:t>
      </w:r>
      <w:r>
        <w:rPr>
          <w:vertAlign w:val="subscript"/>
        </w:rPr>
        <w:t>2</w:t>
      </w:r>
      <w:r>
        <w:t>.</w:t>
      </w:r>
    </w:p>
    <w:p w14:paraId="4E27529B" w14:textId="40DF4142" w:rsidR="007519AE" w:rsidRDefault="007519AE" w:rsidP="007519AE">
      <w:pPr>
        <w:pStyle w:val="Heading1"/>
      </w:pPr>
      <w:r>
        <w:t>De entre los sectores agroindustriales más importantes de Chile (elaboración de vinos, frutas y hortalizas, productos lácteos, aves de corral y pescado), el proyecto se centró en el sector lácteo por el gran interés manifestado por numerosas PYMES procesadoras de este sector, mayoritariamente chilenas. Tras examinar con detalle los informes sobre el consumo de HFC, elaborar un directorio de posibles candidatos, realizar una encuesta para recopilar información básica sobre las operaciones de las empresas, su consumo energético y los requisitos de sus procesos, y organizar un taller para presentar los objetivos del proyecto, además de entrevistas y visitas, se preseleccionaron tres empresas beneficiarias del sector lácteo que cumplían los requisitos técnicos necesarios para instalar de forma óptima una bomba de calor.</w:t>
      </w:r>
    </w:p>
    <w:p w14:paraId="18F77915" w14:textId="2735DE5A" w:rsidR="003D61DA" w:rsidRPr="003D61DA" w:rsidRDefault="003D61DA" w:rsidP="003D61DA">
      <w:pPr>
        <w:pStyle w:val="Heading1"/>
        <w:keepNext/>
        <w:numPr>
          <w:ilvl w:val="0"/>
          <w:numId w:val="0"/>
        </w:numPr>
        <w:spacing w:before="240"/>
        <w:rPr>
          <w:u w:val="single"/>
        </w:rPr>
      </w:pPr>
      <w:r>
        <w:rPr>
          <w:u w:val="single"/>
        </w:rPr>
        <w:t>Tecnología</w:t>
      </w:r>
    </w:p>
    <w:p w14:paraId="3628B2F6" w14:textId="39783042" w:rsidR="00A06436" w:rsidRPr="00910450" w:rsidRDefault="00915342" w:rsidP="00910450">
      <w:pPr>
        <w:pStyle w:val="Heading1"/>
        <w:keepNext/>
        <w:spacing w:before="240"/>
      </w:pPr>
      <w:r>
        <w:t>Está demostrado que los sistemas de bomba de calor tienen un impacto positivo en la reducción del consumo de HFC y aumentan la eficiencia energética.</w:t>
      </w:r>
    </w:p>
    <w:p w14:paraId="3E7376A6" w14:textId="0A5AE740" w:rsidR="004F4FC9" w:rsidRPr="00825D2C" w:rsidRDefault="0001792E" w:rsidP="006109A5">
      <w:pPr>
        <w:pStyle w:val="Heading1"/>
      </w:pPr>
      <w:r>
        <w:t xml:space="preserve">La industria chilena suele utilizar sistemas de refrigeración convencionales a base de HFC y sistemas independientes de calentamiento de agua que funcionan con petróleo o gas natural. Las bombas de calor integradas de CO₂ propuestas en el proyecto piloto gestionan la refrigeración y el calentamiento </w:t>
      </w:r>
      <w:r>
        <w:lastRenderedPageBreak/>
        <w:t>industriales en un único sistema que utiliza electricidad para transferir calor entre las distintas áreas, minimizando el desperdicio de energía y evitando la liberación innecesaria de calor o frío al medio ambiente. Funcionan en un amplio rango de temperaturas (de -30 °C a +70 °C), lo que las hace versátiles para industrias como la elaboración de productos lácteos y la producción de proteína animal.</w:t>
      </w:r>
    </w:p>
    <w:p w14:paraId="165E952B" w14:textId="669FC149" w:rsidR="00D73D50" w:rsidRPr="00E01658" w:rsidRDefault="00D73D50" w:rsidP="00D73D50">
      <w:pPr>
        <w:keepNext/>
        <w:spacing w:before="240" w:after="240"/>
      </w:pPr>
      <w:r>
        <w:rPr>
          <w:u w:val="single"/>
        </w:rPr>
        <w:t>Actividades propuestas</w:t>
      </w:r>
      <w:r>
        <w:t xml:space="preserve"> </w:t>
      </w:r>
    </w:p>
    <w:p w14:paraId="458D59BA" w14:textId="77777777" w:rsidR="00D73D50" w:rsidRDefault="00D73D50" w:rsidP="00C275AC">
      <w:pPr>
        <w:pStyle w:val="Heading1"/>
      </w:pPr>
      <w:r>
        <w:t xml:space="preserve">A </w:t>
      </w:r>
      <w:proofErr w:type="gramStart"/>
      <w:r>
        <w:t>continuación</w:t>
      </w:r>
      <w:proofErr w:type="gramEnd"/>
      <w:r>
        <w:t xml:space="preserve"> se describen las actividades junto con el desglose de costos (según lo presentado originalmente).</w:t>
      </w:r>
    </w:p>
    <w:p w14:paraId="3EA9E1BB" w14:textId="72925FD6" w:rsidR="00F92836" w:rsidRPr="003D6ADC" w:rsidRDefault="00CE381C" w:rsidP="000322AB">
      <w:pPr>
        <w:pStyle w:val="Heading2"/>
      </w:pPr>
      <w:r>
        <w:t>Instalación de bombas de calor integradas a base de CO</w:t>
      </w:r>
      <w:r>
        <w:rPr>
          <w:vertAlign w:val="subscript"/>
        </w:rPr>
        <w:t>2</w:t>
      </w:r>
      <w:r>
        <w:t xml:space="preserve"> para procesos industriales </w:t>
      </w:r>
      <w:r w:rsidR="00BF7BD9">
        <w:t>d</w:t>
      </w:r>
      <w:r>
        <w:t>el sector lácteo en tres plantas beneficiarias para sustituir los equipos de refrigeración existentes de HFC y la producción de calor por separado (USD 1.200.000);</w:t>
      </w:r>
    </w:p>
    <w:p w14:paraId="1645A145" w14:textId="5F9E04AA" w:rsidR="00F92836" w:rsidRDefault="00B92DEB" w:rsidP="00B92DEB">
      <w:pPr>
        <w:pStyle w:val="Heading2"/>
      </w:pPr>
      <w:r>
        <w:t xml:space="preserve">Supervisión del rendimiento y del consumo de energía de los sistemas instalados y elaboración de directrices de eficiencia energética para hacer sostenible el proyecto (USD 70.000); </w:t>
      </w:r>
    </w:p>
    <w:p w14:paraId="0848A1D8" w14:textId="58F2B2F7" w:rsidR="00F92836" w:rsidRDefault="000F674D" w:rsidP="00B92DEB">
      <w:pPr>
        <w:pStyle w:val="Heading2"/>
      </w:pPr>
      <w:r>
        <w:t>Publicación de los resultados obtenidos (USD 15.000); y</w:t>
      </w:r>
    </w:p>
    <w:p w14:paraId="6575A3C6" w14:textId="228BEE79" w:rsidR="00F92836" w:rsidRPr="00394FA0" w:rsidRDefault="00425DC6" w:rsidP="00B92DEB">
      <w:pPr>
        <w:pStyle w:val="Heading2"/>
      </w:pPr>
      <w:r>
        <w:t xml:space="preserve">Promoción, una vez validadas las ventajas de la tecnología, del uso de los sistemas de bomba de calor utilizados en la demostración (USD 15.000). </w:t>
      </w:r>
    </w:p>
    <w:p w14:paraId="734C478D" w14:textId="60C17709" w:rsidR="00D73D50" w:rsidRPr="00E76CFE" w:rsidRDefault="00D73D50" w:rsidP="00D73D50">
      <w:r>
        <w:rPr>
          <w:u w:val="single"/>
        </w:rPr>
        <w:t>Costo total del proyecto piloto</w:t>
      </w:r>
    </w:p>
    <w:p w14:paraId="5061D186" w14:textId="77777777" w:rsidR="00D73D50" w:rsidRPr="00D73D50" w:rsidRDefault="00D73D50" w:rsidP="00D73D50">
      <w:pPr>
        <w:rPr>
          <w:highlight w:val="yellow"/>
          <w:lang w:val="en-GB"/>
        </w:rPr>
      </w:pPr>
    </w:p>
    <w:p w14:paraId="53AFF1B2" w14:textId="4ADFDDEC" w:rsidR="00D73D50" w:rsidRPr="00C954FF" w:rsidRDefault="00D73D50" w:rsidP="00C275AC">
      <w:pPr>
        <w:pStyle w:val="Heading1"/>
      </w:pPr>
      <w:r>
        <w:t>Está previsto que el proyecto se lleve a cabo en un plazo de 36 meses tras su aprobación, entre julio de 2025 y junio de 2028, con un costo total de USD 1.300.000, según lo presentado inicialmente. Las empresas beneficiarias cofinanciarán el proyecto con USD 400.000. En el cuadro 2 se desglosan los costos del proyecto para cada una de las actividades y componentes relacionados.</w:t>
      </w:r>
    </w:p>
    <w:p w14:paraId="1FD828B6" w14:textId="30E8C57D" w:rsidR="00D73D50" w:rsidRPr="003C26A9" w:rsidRDefault="00D73D50" w:rsidP="00D73D50">
      <w:pPr>
        <w:rPr>
          <w:b/>
          <w:bCs/>
        </w:rPr>
      </w:pPr>
      <w:r>
        <w:rPr>
          <w:b/>
        </w:rPr>
        <w:t>Cuadro 2. Presupuesto total del proyecto y desglose de las fuentes de financiamiento, según lo presentado</w:t>
      </w:r>
    </w:p>
    <w:tbl>
      <w:tblPr>
        <w:tblW w:w="9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57" w:type="dxa"/>
        </w:tblCellMar>
        <w:tblLook w:val="04A0" w:firstRow="1" w:lastRow="0" w:firstColumn="1" w:lastColumn="0" w:noHBand="0" w:noVBand="1"/>
      </w:tblPr>
      <w:tblGrid>
        <w:gridCol w:w="4253"/>
        <w:gridCol w:w="1134"/>
        <w:gridCol w:w="2126"/>
        <w:gridCol w:w="1837"/>
      </w:tblGrid>
      <w:tr w:rsidR="00CB3A5A" w:rsidRPr="00D73D50" w14:paraId="5A7A7D34" w14:textId="77777777" w:rsidTr="006C0BD5">
        <w:trPr>
          <w:trHeight w:val="20"/>
          <w:tblHeader/>
        </w:trPr>
        <w:tc>
          <w:tcPr>
            <w:tcW w:w="4253" w:type="dxa"/>
            <w:shd w:val="clear" w:color="auto" w:fill="FFFFFF" w:themeFill="background1"/>
            <w:tcMar>
              <w:left w:w="105" w:type="dxa"/>
              <w:right w:w="105" w:type="dxa"/>
            </w:tcMar>
            <w:vAlign w:val="center"/>
          </w:tcPr>
          <w:p w14:paraId="3A803C1C" w14:textId="04AABAD2" w:rsidR="00275D76" w:rsidRPr="003C26A9" w:rsidRDefault="00275D76" w:rsidP="00B405E7">
            <w:pPr>
              <w:jc w:val="center"/>
              <w:rPr>
                <w:b/>
                <w:bCs/>
                <w:color w:val="000000" w:themeColor="text1"/>
                <w:sz w:val="20"/>
                <w:szCs w:val="20"/>
              </w:rPr>
            </w:pPr>
            <w:r>
              <w:rPr>
                <w:b/>
                <w:color w:val="000000" w:themeColor="text1"/>
                <w:sz w:val="20"/>
              </w:rPr>
              <w:t>Concepto</w:t>
            </w:r>
          </w:p>
        </w:tc>
        <w:tc>
          <w:tcPr>
            <w:tcW w:w="1134" w:type="dxa"/>
            <w:tcBorders>
              <w:bottom w:val="single" w:sz="4" w:space="0" w:color="auto"/>
            </w:tcBorders>
            <w:shd w:val="clear" w:color="auto" w:fill="FFFFFF" w:themeFill="background1"/>
            <w:tcMar>
              <w:left w:w="105" w:type="dxa"/>
              <w:right w:w="105" w:type="dxa"/>
            </w:tcMar>
            <w:vAlign w:val="center"/>
          </w:tcPr>
          <w:p w14:paraId="09520E82" w14:textId="0DA97F2B" w:rsidR="00275D76" w:rsidRPr="003C26A9" w:rsidRDefault="00275D76" w:rsidP="00D73D50">
            <w:pPr>
              <w:jc w:val="center"/>
              <w:rPr>
                <w:b/>
                <w:bCs/>
                <w:color w:val="000000" w:themeColor="text1"/>
                <w:sz w:val="20"/>
                <w:szCs w:val="20"/>
              </w:rPr>
            </w:pPr>
            <w:r>
              <w:rPr>
                <w:b/>
                <w:color w:val="000000" w:themeColor="text1"/>
                <w:sz w:val="20"/>
              </w:rPr>
              <w:t>Total</w:t>
            </w:r>
          </w:p>
          <w:p w14:paraId="2C033771" w14:textId="77777777" w:rsidR="00275D76" w:rsidRPr="003C26A9" w:rsidRDefault="00275D76" w:rsidP="00D73D50">
            <w:pPr>
              <w:jc w:val="center"/>
              <w:rPr>
                <w:color w:val="000000" w:themeColor="text1"/>
                <w:sz w:val="20"/>
                <w:szCs w:val="20"/>
              </w:rPr>
            </w:pPr>
            <w:r>
              <w:rPr>
                <w:b/>
                <w:color w:val="000000" w:themeColor="text1"/>
                <w:sz w:val="20"/>
              </w:rPr>
              <w:t xml:space="preserve"> (USD)</w:t>
            </w:r>
          </w:p>
        </w:tc>
        <w:tc>
          <w:tcPr>
            <w:tcW w:w="2126" w:type="dxa"/>
            <w:tcBorders>
              <w:bottom w:val="single" w:sz="4" w:space="0" w:color="auto"/>
            </w:tcBorders>
            <w:shd w:val="clear" w:color="auto" w:fill="FFFFFF" w:themeFill="background1"/>
            <w:tcMar>
              <w:left w:w="105" w:type="dxa"/>
              <w:right w:w="105" w:type="dxa"/>
            </w:tcMar>
            <w:vAlign w:val="center"/>
          </w:tcPr>
          <w:p w14:paraId="1272B5F5" w14:textId="77777777" w:rsidR="00275D76" w:rsidRPr="003C26A9" w:rsidRDefault="00275D76" w:rsidP="00D73D50">
            <w:pPr>
              <w:jc w:val="center"/>
              <w:rPr>
                <w:b/>
                <w:bCs/>
                <w:color w:val="000000" w:themeColor="text1"/>
                <w:sz w:val="20"/>
                <w:szCs w:val="20"/>
              </w:rPr>
            </w:pPr>
            <w:r>
              <w:rPr>
                <w:b/>
                <w:color w:val="000000" w:themeColor="text1"/>
                <w:sz w:val="20"/>
              </w:rPr>
              <w:t>Financiamiento del Fondo Multilateral</w:t>
            </w:r>
          </w:p>
          <w:p w14:paraId="55BB2B8E" w14:textId="77777777" w:rsidR="00275D76" w:rsidRPr="003C26A9" w:rsidRDefault="00275D76" w:rsidP="00D73D50">
            <w:pPr>
              <w:jc w:val="center"/>
              <w:rPr>
                <w:color w:val="000000" w:themeColor="text1"/>
                <w:sz w:val="20"/>
                <w:szCs w:val="20"/>
              </w:rPr>
            </w:pPr>
            <w:r>
              <w:rPr>
                <w:b/>
                <w:color w:val="000000" w:themeColor="text1"/>
                <w:sz w:val="20"/>
              </w:rPr>
              <w:t>(USD)</w:t>
            </w:r>
          </w:p>
        </w:tc>
        <w:tc>
          <w:tcPr>
            <w:tcW w:w="1837" w:type="dxa"/>
            <w:tcBorders>
              <w:bottom w:val="single" w:sz="4" w:space="0" w:color="auto"/>
            </w:tcBorders>
            <w:shd w:val="clear" w:color="auto" w:fill="FFFFFF" w:themeFill="background1"/>
            <w:tcMar>
              <w:left w:w="105" w:type="dxa"/>
              <w:right w:w="105" w:type="dxa"/>
            </w:tcMar>
            <w:vAlign w:val="center"/>
          </w:tcPr>
          <w:p w14:paraId="0882BF3B" w14:textId="0BC25119" w:rsidR="00275D76" w:rsidRPr="003C26A9" w:rsidRDefault="00275D76" w:rsidP="00D73D50">
            <w:pPr>
              <w:jc w:val="center"/>
              <w:rPr>
                <w:b/>
                <w:bCs/>
                <w:color w:val="000000" w:themeColor="text1"/>
                <w:sz w:val="20"/>
                <w:szCs w:val="20"/>
              </w:rPr>
            </w:pPr>
            <w:r>
              <w:rPr>
                <w:b/>
                <w:color w:val="000000" w:themeColor="text1"/>
                <w:sz w:val="20"/>
              </w:rPr>
              <w:t>Cofinanciamiento*</w:t>
            </w:r>
          </w:p>
          <w:p w14:paraId="1AEEE957" w14:textId="77777777" w:rsidR="00275D76" w:rsidRPr="003C26A9" w:rsidRDefault="00275D76" w:rsidP="00D73D50">
            <w:pPr>
              <w:jc w:val="center"/>
              <w:rPr>
                <w:color w:val="000000" w:themeColor="text1"/>
                <w:sz w:val="20"/>
                <w:szCs w:val="20"/>
              </w:rPr>
            </w:pPr>
            <w:r>
              <w:rPr>
                <w:b/>
                <w:color w:val="000000" w:themeColor="text1"/>
                <w:sz w:val="20"/>
              </w:rPr>
              <w:t>(USD)</w:t>
            </w:r>
          </w:p>
        </w:tc>
      </w:tr>
      <w:tr w:rsidR="00A41062" w:rsidRPr="00D73D50" w14:paraId="0AA3CEDF" w14:textId="77777777" w:rsidTr="00275D76">
        <w:trPr>
          <w:trHeight w:val="20"/>
          <w:tblHeader/>
        </w:trPr>
        <w:tc>
          <w:tcPr>
            <w:tcW w:w="9350" w:type="dxa"/>
            <w:gridSpan w:val="4"/>
            <w:shd w:val="clear" w:color="auto" w:fill="FFFFFF" w:themeFill="background1"/>
            <w:tcMar>
              <w:left w:w="105" w:type="dxa"/>
              <w:right w:w="105" w:type="dxa"/>
            </w:tcMar>
            <w:vAlign w:val="center"/>
          </w:tcPr>
          <w:p w14:paraId="617CC524" w14:textId="2BD69CC3" w:rsidR="00A41062" w:rsidRPr="0069252C" w:rsidRDefault="00237493" w:rsidP="0069252C">
            <w:pPr>
              <w:jc w:val="left"/>
              <w:rPr>
                <w:b/>
                <w:bCs/>
                <w:i/>
                <w:iCs/>
                <w:color w:val="000000" w:themeColor="text1"/>
                <w:sz w:val="20"/>
                <w:szCs w:val="20"/>
              </w:rPr>
            </w:pPr>
            <w:r>
              <w:rPr>
                <w:b/>
                <w:i/>
                <w:color w:val="000000" w:themeColor="text1"/>
                <w:sz w:val="20"/>
              </w:rPr>
              <w:t>Sustitución de los sistemas de refrigeración a base de HFC por bombas de calor a base de CO</w:t>
            </w:r>
            <w:r>
              <w:rPr>
                <w:b/>
                <w:i/>
                <w:color w:val="000000" w:themeColor="text1"/>
                <w:sz w:val="20"/>
                <w:vertAlign w:val="subscript"/>
              </w:rPr>
              <w:t>2</w:t>
            </w:r>
          </w:p>
        </w:tc>
      </w:tr>
      <w:tr w:rsidR="00DB4110" w:rsidRPr="001C0B2A" w14:paraId="3D1A85A5" w14:textId="77777777" w:rsidTr="006C0BD5">
        <w:trPr>
          <w:trHeight w:val="20"/>
        </w:trPr>
        <w:tc>
          <w:tcPr>
            <w:tcW w:w="4253" w:type="dxa"/>
            <w:tcBorders>
              <w:right w:val="single" w:sz="4" w:space="0" w:color="auto"/>
            </w:tcBorders>
            <w:tcMar>
              <w:left w:w="105" w:type="dxa"/>
              <w:right w:w="105" w:type="dxa"/>
            </w:tcMar>
            <w:vAlign w:val="center"/>
          </w:tcPr>
          <w:p w14:paraId="19A938D3" w14:textId="022658D9" w:rsidR="001777B2" w:rsidRPr="000D33F9" w:rsidRDefault="005A7DDE" w:rsidP="001777B2">
            <w:pPr>
              <w:ind w:right="73"/>
              <w:jc w:val="left"/>
              <w:rPr>
                <w:color w:val="000000"/>
                <w:sz w:val="20"/>
                <w:szCs w:val="20"/>
              </w:rPr>
            </w:pPr>
            <w:r>
              <w:rPr>
                <w:color w:val="000000" w:themeColor="text1"/>
                <w:sz w:val="20"/>
              </w:rPr>
              <w:t>Instalación de bombas de calor integradas a base de CO</w:t>
            </w:r>
            <w:r>
              <w:rPr>
                <w:color w:val="000000" w:themeColor="text1"/>
                <w:sz w:val="20"/>
                <w:vertAlign w:val="subscript"/>
              </w:rPr>
              <w:t>2</w:t>
            </w:r>
            <w:r>
              <w:rPr>
                <w:color w:val="000000" w:themeColor="text1"/>
                <w:sz w:val="20"/>
              </w:rPr>
              <w:t xml:space="preserve"> para procesos industriales en tres plantas, cada una con una capacidad mínima de calentamiento/refrigeración de 300 kW </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A6E5E46" w14:textId="601E26E4" w:rsidR="001777B2" w:rsidRPr="000D33F9" w:rsidRDefault="001777B2" w:rsidP="001777B2">
            <w:pPr>
              <w:jc w:val="right"/>
              <w:rPr>
                <w:color w:val="000000"/>
                <w:sz w:val="20"/>
                <w:szCs w:val="20"/>
              </w:rPr>
            </w:pPr>
            <w:r>
              <w:rPr>
                <w:color w:val="000000"/>
                <w:sz w:val="20"/>
              </w:rPr>
              <w:t>1.600.000</w:t>
            </w:r>
          </w:p>
        </w:tc>
        <w:tc>
          <w:tcPr>
            <w:tcW w:w="2126"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723AB6C" w14:textId="71D84418" w:rsidR="001777B2" w:rsidRPr="000D33F9" w:rsidRDefault="001777B2" w:rsidP="001777B2">
            <w:pPr>
              <w:jc w:val="right"/>
              <w:rPr>
                <w:color w:val="000000"/>
                <w:sz w:val="20"/>
                <w:szCs w:val="20"/>
              </w:rPr>
            </w:pPr>
            <w:r>
              <w:rPr>
                <w:color w:val="000000"/>
                <w:sz w:val="20"/>
              </w:rPr>
              <w:t>1.200.000</w:t>
            </w:r>
          </w:p>
        </w:tc>
        <w:tc>
          <w:tcPr>
            <w:tcW w:w="1837"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2E744226" w14:textId="2ED75399" w:rsidR="001777B2" w:rsidRPr="000D33F9" w:rsidRDefault="001777B2" w:rsidP="001777B2">
            <w:pPr>
              <w:jc w:val="right"/>
              <w:rPr>
                <w:color w:val="000000"/>
                <w:sz w:val="20"/>
                <w:szCs w:val="20"/>
              </w:rPr>
            </w:pPr>
            <w:r>
              <w:rPr>
                <w:color w:val="000000"/>
                <w:sz w:val="20"/>
              </w:rPr>
              <w:t>400.000</w:t>
            </w:r>
          </w:p>
        </w:tc>
      </w:tr>
      <w:tr w:rsidR="001777B2" w:rsidRPr="001C0B2A" w14:paraId="0AD29E82" w14:textId="77777777" w:rsidTr="00275D76">
        <w:trPr>
          <w:trHeight w:val="20"/>
        </w:trPr>
        <w:tc>
          <w:tcPr>
            <w:tcW w:w="9350" w:type="dxa"/>
            <w:gridSpan w:val="4"/>
            <w:tcBorders>
              <w:right w:val="single" w:sz="4" w:space="0" w:color="auto"/>
            </w:tcBorders>
            <w:tcMar>
              <w:left w:w="105" w:type="dxa"/>
              <w:right w:w="105" w:type="dxa"/>
            </w:tcMar>
            <w:vAlign w:val="center"/>
          </w:tcPr>
          <w:p w14:paraId="7ABB9F13" w14:textId="2BD4A713" w:rsidR="001777B2" w:rsidRPr="001C0B2A" w:rsidRDefault="001777B2" w:rsidP="001777B2">
            <w:pPr>
              <w:jc w:val="left"/>
              <w:rPr>
                <w:b/>
                <w:bCs/>
                <w:i/>
                <w:iCs/>
                <w:color w:val="000000"/>
                <w:sz w:val="20"/>
                <w:szCs w:val="20"/>
              </w:rPr>
            </w:pPr>
            <w:r>
              <w:rPr>
                <w:b/>
                <w:i/>
                <w:color w:val="000000" w:themeColor="text1"/>
                <w:sz w:val="20"/>
              </w:rPr>
              <w:t>Asistencia técnica</w:t>
            </w:r>
          </w:p>
        </w:tc>
      </w:tr>
      <w:tr w:rsidR="00CB3A5A" w:rsidRPr="001C0B2A" w14:paraId="1AB9255D" w14:textId="77777777" w:rsidTr="006C0BD5">
        <w:trPr>
          <w:trHeight w:val="20"/>
        </w:trPr>
        <w:tc>
          <w:tcPr>
            <w:tcW w:w="4253" w:type="dxa"/>
            <w:tcMar>
              <w:left w:w="105" w:type="dxa"/>
              <w:right w:w="105" w:type="dxa"/>
            </w:tcMar>
            <w:vAlign w:val="center"/>
          </w:tcPr>
          <w:p w14:paraId="1F037385" w14:textId="130CDB8C" w:rsidR="001777B2" w:rsidRPr="001C0B2A" w:rsidRDefault="001777B2" w:rsidP="001777B2">
            <w:pPr>
              <w:jc w:val="left"/>
              <w:rPr>
                <w:color w:val="000000"/>
                <w:sz w:val="20"/>
                <w:szCs w:val="20"/>
              </w:rPr>
            </w:pPr>
            <w:r>
              <w:rPr>
                <w:color w:val="000000" w:themeColor="text1"/>
                <w:sz w:val="20"/>
              </w:rPr>
              <w:t>Selección, diseño, supervisión y seguimiento</w:t>
            </w:r>
          </w:p>
        </w:tc>
        <w:tc>
          <w:tcPr>
            <w:tcW w:w="1134" w:type="dxa"/>
            <w:tcMar>
              <w:left w:w="105" w:type="dxa"/>
              <w:right w:w="105" w:type="dxa"/>
            </w:tcMar>
          </w:tcPr>
          <w:p w14:paraId="2319BFD3" w14:textId="48173966" w:rsidR="001777B2" w:rsidRPr="001C0B2A" w:rsidRDefault="001777B2" w:rsidP="001777B2">
            <w:pPr>
              <w:jc w:val="right"/>
              <w:rPr>
                <w:color w:val="000000"/>
                <w:sz w:val="20"/>
                <w:szCs w:val="20"/>
              </w:rPr>
            </w:pPr>
            <w:r>
              <w:rPr>
                <w:color w:val="000000"/>
                <w:sz w:val="20"/>
              </w:rPr>
              <w:t>40.000</w:t>
            </w:r>
          </w:p>
        </w:tc>
        <w:tc>
          <w:tcPr>
            <w:tcW w:w="2126" w:type="dxa"/>
            <w:tcMar>
              <w:left w:w="105" w:type="dxa"/>
              <w:right w:w="105" w:type="dxa"/>
            </w:tcMar>
          </w:tcPr>
          <w:p w14:paraId="2DE0CD68" w14:textId="44B36E67" w:rsidR="001777B2" w:rsidRPr="001C0B2A" w:rsidRDefault="001777B2" w:rsidP="001777B2">
            <w:pPr>
              <w:jc w:val="right"/>
              <w:rPr>
                <w:color w:val="000000"/>
                <w:sz w:val="20"/>
                <w:szCs w:val="20"/>
              </w:rPr>
            </w:pPr>
            <w:r>
              <w:rPr>
                <w:color w:val="000000"/>
                <w:sz w:val="20"/>
              </w:rPr>
              <w:t>40.000</w:t>
            </w:r>
          </w:p>
        </w:tc>
        <w:tc>
          <w:tcPr>
            <w:tcW w:w="1837" w:type="dxa"/>
            <w:tcBorders>
              <w:top w:val="single" w:sz="4" w:space="0" w:color="auto"/>
            </w:tcBorders>
            <w:tcMar>
              <w:left w:w="105" w:type="dxa"/>
              <w:right w:w="105" w:type="dxa"/>
            </w:tcMar>
          </w:tcPr>
          <w:p w14:paraId="2434DAC3" w14:textId="275C2CF0" w:rsidR="001777B2" w:rsidRPr="001C0B2A" w:rsidRDefault="001777B2" w:rsidP="001777B2">
            <w:pPr>
              <w:jc w:val="right"/>
              <w:rPr>
                <w:color w:val="000000"/>
                <w:sz w:val="20"/>
                <w:szCs w:val="20"/>
              </w:rPr>
            </w:pPr>
            <w:r>
              <w:rPr>
                <w:color w:val="000000"/>
                <w:sz w:val="20"/>
              </w:rPr>
              <w:t>-</w:t>
            </w:r>
          </w:p>
        </w:tc>
      </w:tr>
      <w:tr w:rsidR="00CB3A5A" w:rsidRPr="00D73D50" w14:paraId="2E3F3C8C" w14:textId="77777777" w:rsidTr="006C0BD5">
        <w:trPr>
          <w:trHeight w:val="20"/>
        </w:trPr>
        <w:tc>
          <w:tcPr>
            <w:tcW w:w="4253" w:type="dxa"/>
            <w:vAlign w:val="center"/>
          </w:tcPr>
          <w:p w14:paraId="3D896D69" w14:textId="28D2B1CA" w:rsidR="001777B2" w:rsidRPr="005C16C1" w:rsidRDefault="001777B2" w:rsidP="001777B2">
            <w:pPr>
              <w:ind w:left="67" w:hanging="67"/>
              <w:jc w:val="left"/>
              <w:rPr>
                <w:color w:val="000000"/>
                <w:sz w:val="20"/>
                <w:szCs w:val="20"/>
              </w:rPr>
            </w:pPr>
            <w:r>
              <w:rPr>
                <w:color w:val="000000" w:themeColor="text1"/>
                <w:sz w:val="20"/>
              </w:rPr>
              <w:t>Elaboración de directrices de eficiencia energética</w:t>
            </w:r>
          </w:p>
        </w:tc>
        <w:tc>
          <w:tcPr>
            <w:tcW w:w="1134" w:type="dxa"/>
            <w:tcMar>
              <w:left w:w="105" w:type="dxa"/>
              <w:right w:w="105" w:type="dxa"/>
            </w:tcMar>
          </w:tcPr>
          <w:p w14:paraId="7A428E3D" w14:textId="3E01DE9A" w:rsidR="001777B2" w:rsidRPr="001C0B2A" w:rsidRDefault="001777B2" w:rsidP="001777B2">
            <w:pPr>
              <w:jc w:val="right"/>
              <w:rPr>
                <w:color w:val="000000"/>
                <w:sz w:val="20"/>
                <w:szCs w:val="20"/>
              </w:rPr>
            </w:pPr>
            <w:r>
              <w:rPr>
                <w:color w:val="000000"/>
                <w:sz w:val="20"/>
              </w:rPr>
              <w:t>30.000</w:t>
            </w:r>
          </w:p>
        </w:tc>
        <w:tc>
          <w:tcPr>
            <w:tcW w:w="2126" w:type="dxa"/>
            <w:tcMar>
              <w:left w:w="105" w:type="dxa"/>
              <w:right w:w="105" w:type="dxa"/>
            </w:tcMar>
          </w:tcPr>
          <w:p w14:paraId="6657BA83" w14:textId="329F355E" w:rsidR="001777B2" w:rsidRPr="001C0B2A" w:rsidRDefault="001777B2" w:rsidP="001777B2">
            <w:pPr>
              <w:jc w:val="right"/>
              <w:rPr>
                <w:color w:val="000000"/>
                <w:sz w:val="20"/>
                <w:szCs w:val="20"/>
              </w:rPr>
            </w:pPr>
            <w:r>
              <w:rPr>
                <w:color w:val="000000"/>
                <w:sz w:val="20"/>
              </w:rPr>
              <w:t>30.000</w:t>
            </w:r>
          </w:p>
        </w:tc>
        <w:tc>
          <w:tcPr>
            <w:tcW w:w="1837" w:type="dxa"/>
            <w:tcMar>
              <w:left w:w="105" w:type="dxa"/>
              <w:right w:w="105" w:type="dxa"/>
            </w:tcMar>
          </w:tcPr>
          <w:p w14:paraId="4E9B1346" w14:textId="1634BB6C" w:rsidR="001777B2" w:rsidRPr="001D42B4" w:rsidRDefault="001777B2" w:rsidP="001777B2">
            <w:pPr>
              <w:jc w:val="right"/>
              <w:rPr>
                <w:color w:val="000000"/>
                <w:sz w:val="20"/>
                <w:szCs w:val="20"/>
              </w:rPr>
            </w:pPr>
            <w:r>
              <w:rPr>
                <w:color w:val="000000"/>
                <w:sz w:val="20"/>
              </w:rPr>
              <w:t>-</w:t>
            </w:r>
          </w:p>
        </w:tc>
      </w:tr>
      <w:tr w:rsidR="00CB3A5A" w:rsidRPr="00D73D50" w14:paraId="76594408" w14:textId="77777777" w:rsidTr="006C0BD5">
        <w:trPr>
          <w:trHeight w:val="20"/>
        </w:trPr>
        <w:tc>
          <w:tcPr>
            <w:tcW w:w="4253" w:type="dxa"/>
            <w:tcMar>
              <w:left w:w="105" w:type="dxa"/>
              <w:right w:w="105" w:type="dxa"/>
            </w:tcMar>
            <w:vAlign w:val="center"/>
          </w:tcPr>
          <w:p w14:paraId="60EB709A" w14:textId="0844E264" w:rsidR="001777B2" w:rsidRPr="00A918C8" w:rsidRDefault="001777B2" w:rsidP="001777B2">
            <w:pPr>
              <w:jc w:val="left"/>
              <w:rPr>
                <w:color w:val="000000"/>
                <w:sz w:val="20"/>
                <w:szCs w:val="20"/>
              </w:rPr>
            </w:pPr>
            <w:r>
              <w:rPr>
                <w:color w:val="000000" w:themeColor="text1"/>
                <w:sz w:val="20"/>
              </w:rPr>
              <w:t>Informe final, edición para difusión pública y sensibilización</w:t>
            </w:r>
          </w:p>
        </w:tc>
        <w:tc>
          <w:tcPr>
            <w:tcW w:w="1134" w:type="dxa"/>
            <w:tcMar>
              <w:left w:w="105" w:type="dxa"/>
              <w:right w:w="105" w:type="dxa"/>
            </w:tcMar>
          </w:tcPr>
          <w:p w14:paraId="3C9CDE91" w14:textId="68C58253" w:rsidR="001777B2" w:rsidRPr="001D42B4" w:rsidRDefault="001777B2" w:rsidP="001777B2">
            <w:pPr>
              <w:jc w:val="right"/>
              <w:rPr>
                <w:color w:val="000000"/>
                <w:sz w:val="20"/>
                <w:szCs w:val="20"/>
              </w:rPr>
            </w:pPr>
            <w:r>
              <w:rPr>
                <w:color w:val="000000"/>
                <w:sz w:val="20"/>
              </w:rPr>
              <w:t>15.000</w:t>
            </w:r>
          </w:p>
        </w:tc>
        <w:tc>
          <w:tcPr>
            <w:tcW w:w="2126" w:type="dxa"/>
            <w:tcMar>
              <w:left w:w="105" w:type="dxa"/>
              <w:right w:w="105" w:type="dxa"/>
            </w:tcMar>
          </w:tcPr>
          <w:p w14:paraId="69132648" w14:textId="20CF29B9" w:rsidR="001777B2" w:rsidRPr="001D42B4" w:rsidRDefault="001777B2" w:rsidP="001777B2">
            <w:pPr>
              <w:jc w:val="right"/>
              <w:rPr>
                <w:color w:val="000000"/>
                <w:sz w:val="20"/>
                <w:szCs w:val="20"/>
              </w:rPr>
            </w:pPr>
            <w:r>
              <w:rPr>
                <w:color w:val="000000"/>
                <w:sz w:val="20"/>
              </w:rPr>
              <w:t>15.000</w:t>
            </w:r>
          </w:p>
        </w:tc>
        <w:tc>
          <w:tcPr>
            <w:tcW w:w="1837" w:type="dxa"/>
            <w:tcMar>
              <w:left w:w="105" w:type="dxa"/>
              <w:right w:w="105" w:type="dxa"/>
            </w:tcMar>
          </w:tcPr>
          <w:p w14:paraId="1EB08E8C" w14:textId="0006D59C" w:rsidR="001777B2" w:rsidRPr="001D42B4" w:rsidRDefault="001777B2" w:rsidP="001777B2">
            <w:pPr>
              <w:jc w:val="right"/>
              <w:rPr>
                <w:color w:val="000000"/>
                <w:sz w:val="20"/>
                <w:szCs w:val="20"/>
              </w:rPr>
            </w:pPr>
            <w:r>
              <w:rPr>
                <w:color w:val="000000"/>
                <w:sz w:val="20"/>
              </w:rPr>
              <w:t>-</w:t>
            </w:r>
          </w:p>
        </w:tc>
      </w:tr>
      <w:tr w:rsidR="00CB3A5A" w:rsidRPr="00D73D50" w14:paraId="22973A47" w14:textId="77777777" w:rsidTr="006C0BD5">
        <w:trPr>
          <w:trHeight w:val="20"/>
        </w:trPr>
        <w:tc>
          <w:tcPr>
            <w:tcW w:w="4253" w:type="dxa"/>
            <w:tcMar>
              <w:left w:w="105" w:type="dxa"/>
              <w:right w:w="105" w:type="dxa"/>
            </w:tcMar>
            <w:vAlign w:val="center"/>
          </w:tcPr>
          <w:p w14:paraId="6D07C034" w14:textId="34085A8C" w:rsidR="001777B2" w:rsidRPr="00A918C8" w:rsidRDefault="001777B2" w:rsidP="001777B2">
            <w:pPr>
              <w:jc w:val="left"/>
              <w:rPr>
                <w:color w:val="000000"/>
                <w:sz w:val="20"/>
                <w:szCs w:val="20"/>
              </w:rPr>
            </w:pPr>
            <w:r>
              <w:rPr>
                <w:color w:val="000000" w:themeColor="text1"/>
                <w:sz w:val="20"/>
              </w:rPr>
              <w:t>Talleres para la difusión de los resultados del proyecto</w:t>
            </w:r>
          </w:p>
        </w:tc>
        <w:tc>
          <w:tcPr>
            <w:tcW w:w="1134" w:type="dxa"/>
            <w:tcMar>
              <w:left w:w="105" w:type="dxa"/>
              <w:right w:w="105" w:type="dxa"/>
            </w:tcMar>
          </w:tcPr>
          <w:p w14:paraId="5D657031" w14:textId="7C2595D2" w:rsidR="001777B2" w:rsidRPr="001D42B4" w:rsidRDefault="001777B2" w:rsidP="001777B2">
            <w:pPr>
              <w:jc w:val="right"/>
              <w:rPr>
                <w:color w:val="000000"/>
                <w:sz w:val="20"/>
                <w:szCs w:val="20"/>
              </w:rPr>
            </w:pPr>
            <w:r>
              <w:rPr>
                <w:color w:val="000000"/>
                <w:sz w:val="20"/>
              </w:rPr>
              <w:t>15.000</w:t>
            </w:r>
          </w:p>
        </w:tc>
        <w:tc>
          <w:tcPr>
            <w:tcW w:w="2126" w:type="dxa"/>
            <w:tcMar>
              <w:left w:w="105" w:type="dxa"/>
              <w:right w:w="105" w:type="dxa"/>
            </w:tcMar>
          </w:tcPr>
          <w:p w14:paraId="178DF7D2" w14:textId="46805820" w:rsidR="001777B2" w:rsidRPr="001D42B4" w:rsidRDefault="001777B2" w:rsidP="001777B2">
            <w:pPr>
              <w:jc w:val="right"/>
              <w:rPr>
                <w:color w:val="000000"/>
                <w:sz w:val="20"/>
                <w:szCs w:val="20"/>
              </w:rPr>
            </w:pPr>
            <w:r>
              <w:rPr>
                <w:color w:val="000000"/>
                <w:sz w:val="20"/>
              </w:rPr>
              <w:t>15.000</w:t>
            </w:r>
          </w:p>
        </w:tc>
        <w:tc>
          <w:tcPr>
            <w:tcW w:w="1837" w:type="dxa"/>
            <w:tcMar>
              <w:left w:w="105" w:type="dxa"/>
              <w:right w:w="105" w:type="dxa"/>
            </w:tcMar>
          </w:tcPr>
          <w:p w14:paraId="3C68FBF8" w14:textId="213D7E11" w:rsidR="001777B2" w:rsidRPr="001D42B4" w:rsidRDefault="001777B2" w:rsidP="001777B2">
            <w:pPr>
              <w:jc w:val="right"/>
              <w:rPr>
                <w:color w:val="000000"/>
                <w:sz w:val="20"/>
                <w:szCs w:val="20"/>
              </w:rPr>
            </w:pPr>
            <w:r>
              <w:rPr>
                <w:color w:val="000000"/>
                <w:sz w:val="20"/>
              </w:rPr>
              <w:t>-</w:t>
            </w:r>
          </w:p>
        </w:tc>
      </w:tr>
      <w:tr w:rsidR="00CB3A5A" w:rsidRPr="00D73D50" w14:paraId="058EEE90" w14:textId="77777777" w:rsidTr="006C0BD5">
        <w:trPr>
          <w:trHeight w:val="20"/>
        </w:trPr>
        <w:tc>
          <w:tcPr>
            <w:tcW w:w="4253" w:type="dxa"/>
            <w:tcMar>
              <w:left w:w="105" w:type="dxa"/>
              <w:right w:w="105" w:type="dxa"/>
            </w:tcMar>
            <w:vAlign w:val="center"/>
          </w:tcPr>
          <w:p w14:paraId="50CA8E18" w14:textId="75B186DA" w:rsidR="001777B2" w:rsidRPr="001D42B4" w:rsidRDefault="001777B2" w:rsidP="001777B2">
            <w:pPr>
              <w:jc w:val="left"/>
              <w:rPr>
                <w:i/>
                <w:iCs/>
                <w:color w:val="000000" w:themeColor="text1"/>
                <w:sz w:val="20"/>
                <w:szCs w:val="20"/>
              </w:rPr>
            </w:pPr>
            <w:r>
              <w:rPr>
                <w:i/>
                <w:color w:val="000000" w:themeColor="text1"/>
                <w:sz w:val="20"/>
              </w:rPr>
              <w:t xml:space="preserve">Subtotal </w:t>
            </w:r>
          </w:p>
        </w:tc>
        <w:tc>
          <w:tcPr>
            <w:tcW w:w="1134" w:type="dxa"/>
            <w:tcMar>
              <w:left w:w="105" w:type="dxa"/>
              <w:right w:w="105" w:type="dxa"/>
            </w:tcMar>
            <w:vAlign w:val="center"/>
          </w:tcPr>
          <w:p w14:paraId="05B9FCCC" w14:textId="411CD5D5" w:rsidR="001777B2" w:rsidRPr="001D42B4" w:rsidRDefault="001777B2" w:rsidP="001777B2">
            <w:pPr>
              <w:jc w:val="right"/>
              <w:rPr>
                <w:i/>
                <w:iCs/>
                <w:color w:val="000000" w:themeColor="text1"/>
                <w:sz w:val="20"/>
                <w:szCs w:val="20"/>
              </w:rPr>
            </w:pPr>
            <w:r>
              <w:rPr>
                <w:i/>
                <w:color w:val="000000" w:themeColor="text1"/>
                <w:sz w:val="20"/>
              </w:rPr>
              <w:t>100.000</w:t>
            </w:r>
          </w:p>
        </w:tc>
        <w:tc>
          <w:tcPr>
            <w:tcW w:w="2126" w:type="dxa"/>
            <w:tcMar>
              <w:left w:w="105" w:type="dxa"/>
              <w:right w:w="105" w:type="dxa"/>
            </w:tcMar>
            <w:vAlign w:val="center"/>
          </w:tcPr>
          <w:p w14:paraId="4B23DBED" w14:textId="6A831191" w:rsidR="001777B2" w:rsidRPr="001D42B4" w:rsidRDefault="001777B2" w:rsidP="001777B2">
            <w:pPr>
              <w:jc w:val="right"/>
              <w:rPr>
                <w:i/>
                <w:iCs/>
                <w:color w:val="000000" w:themeColor="text1"/>
                <w:sz w:val="20"/>
                <w:szCs w:val="20"/>
              </w:rPr>
            </w:pPr>
            <w:r>
              <w:rPr>
                <w:i/>
                <w:color w:val="000000" w:themeColor="text1"/>
                <w:sz w:val="20"/>
              </w:rPr>
              <w:t>100.000</w:t>
            </w:r>
          </w:p>
        </w:tc>
        <w:tc>
          <w:tcPr>
            <w:tcW w:w="1837" w:type="dxa"/>
            <w:tcMar>
              <w:left w:w="105" w:type="dxa"/>
              <w:right w:w="105" w:type="dxa"/>
            </w:tcMar>
            <w:vAlign w:val="center"/>
          </w:tcPr>
          <w:p w14:paraId="39B8E751" w14:textId="4145EA0D" w:rsidR="001777B2" w:rsidRPr="001D42B4" w:rsidRDefault="001777B2" w:rsidP="001777B2">
            <w:pPr>
              <w:jc w:val="right"/>
              <w:rPr>
                <w:i/>
                <w:iCs/>
                <w:color w:val="000000" w:themeColor="text1"/>
                <w:sz w:val="20"/>
                <w:szCs w:val="20"/>
              </w:rPr>
            </w:pPr>
            <w:r>
              <w:rPr>
                <w:i/>
                <w:color w:val="000000" w:themeColor="text1"/>
                <w:sz w:val="20"/>
              </w:rPr>
              <w:t>-</w:t>
            </w:r>
          </w:p>
        </w:tc>
      </w:tr>
      <w:tr w:rsidR="00CB3A5A" w:rsidRPr="00D73D50" w14:paraId="29A2F567" w14:textId="77777777" w:rsidTr="006C0BD5">
        <w:trPr>
          <w:trHeight w:val="20"/>
        </w:trPr>
        <w:tc>
          <w:tcPr>
            <w:tcW w:w="4253" w:type="dxa"/>
            <w:tcMar>
              <w:left w:w="105" w:type="dxa"/>
              <w:right w:w="105" w:type="dxa"/>
            </w:tcMar>
            <w:vAlign w:val="center"/>
          </w:tcPr>
          <w:p w14:paraId="77837B74" w14:textId="0208BB20" w:rsidR="001777B2" w:rsidRPr="001D42B4" w:rsidRDefault="001777B2" w:rsidP="001777B2">
            <w:pPr>
              <w:jc w:val="left"/>
              <w:rPr>
                <w:b/>
                <w:bCs/>
                <w:color w:val="000000" w:themeColor="text1"/>
                <w:sz w:val="20"/>
                <w:szCs w:val="20"/>
              </w:rPr>
            </w:pPr>
            <w:proofErr w:type="gramStart"/>
            <w:r>
              <w:rPr>
                <w:b/>
                <w:color w:val="000000" w:themeColor="text1"/>
                <w:sz w:val="20"/>
              </w:rPr>
              <w:t>TOTAL</w:t>
            </w:r>
            <w:proofErr w:type="gramEnd"/>
            <w:r>
              <w:rPr>
                <w:b/>
                <w:color w:val="000000" w:themeColor="text1"/>
                <w:sz w:val="20"/>
              </w:rPr>
              <w:t xml:space="preserve"> GENERAL</w:t>
            </w:r>
          </w:p>
        </w:tc>
        <w:tc>
          <w:tcPr>
            <w:tcW w:w="1134" w:type="dxa"/>
            <w:tcMar>
              <w:left w:w="105" w:type="dxa"/>
              <w:right w:w="105" w:type="dxa"/>
            </w:tcMar>
            <w:vAlign w:val="center"/>
          </w:tcPr>
          <w:p w14:paraId="1A6F0AFD" w14:textId="5C2E5B3E" w:rsidR="001777B2" w:rsidRPr="001D42B4" w:rsidRDefault="001777B2" w:rsidP="001777B2">
            <w:pPr>
              <w:jc w:val="right"/>
              <w:rPr>
                <w:b/>
                <w:bCs/>
                <w:color w:val="000000" w:themeColor="text1"/>
                <w:sz w:val="20"/>
                <w:szCs w:val="20"/>
              </w:rPr>
            </w:pPr>
            <w:r>
              <w:rPr>
                <w:b/>
                <w:color w:val="000000" w:themeColor="text1"/>
                <w:sz w:val="20"/>
              </w:rPr>
              <w:t>1.700.000</w:t>
            </w:r>
          </w:p>
        </w:tc>
        <w:tc>
          <w:tcPr>
            <w:tcW w:w="2126" w:type="dxa"/>
            <w:tcMar>
              <w:left w:w="105" w:type="dxa"/>
              <w:right w:w="105" w:type="dxa"/>
            </w:tcMar>
            <w:vAlign w:val="center"/>
          </w:tcPr>
          <w:p w14:paraId="31054036" w14:textId="291B3657" w:rsidR="001777B2" w:rsidRPr="001D42B4" w:rsidRDefault="001777B2" w:rsidP="001777B2">
            <w:pPr>
              <w:jc w:val="right"/>
              <w:rPr>
                <w:b/>
                <w:bCs/>
                <w:color w:val="000000" w:themeColor="text1"/>
                <w:sz w:val="20"/>
                <w:szCs w:val="20"/>
              </w:rPr>
            </w:pPr>
            <w:r>
              <w:rPr>
                <w:b/>
                <w:color w:val="000000" w:themeColor="text1"/>
                <w:sz w:val="20"/>
              </w:rPr>
              <w:t>1.300.000</w:t>
            </w:r>
          </w:p>
        </w:tc>
        <w:tc>
          <w:tcPr>
            <w:tcW w:w="1837" w:type="dxa"/>
            <w:tcMar>
              <w:left w:w="105" w:type="dxa"/>
              <w:right w:w="105" w:type="dxa"/>
            </w:tcMar>
            <w:vAlign w:val="center"/>
          </w:tcPr>
          <w:p w14:paraId="317D2937" w14:textId="73645187" w:rsidR="001777B2" w:rsidRPr="001D42B4" w:rsidRDefault="001777B2" w:rsidP="001777B2">
            <w:pPr>
              <w:jc w:val="right"/>
              <w:rPr>
                <w:b/>
                <w:bCs/>
                <w:color w:val="000000" w:themeColor="text1"/>
                <w:sz w:val="20"/>
                <w:szCs w:val="20"/>
              </w:rPr>
            </w:pPr>
            <w:r>
              <w:rPr>
                <w:b/>
                <w:color w:val="000000" w:themeColor="text1"/>
                <w:sz w:val="20"/>
              </w:rPr>
              <w:t>400.000</w:t>
            </w:r>
          </w:p>
        </w:tc>
      </w:tr>
    </w:tbl>
    <w:p w14:paraId="6BAD42C3" w14:textId="79019301" w:rsidR="00D73D50" w:rsidRPr="001656FD" w:rsidRDefault="00D73D50" w:rsidP="00D73D50">
      <w:pPr>
        <w:rPr>
          <w:sz w:val="18"/>
          <w:szCs w:val="18"/>
        </w:rPr>
      </w:pPr>
      <w:r>
        <w:rPr>
          <w:sz w:val="18"/>
        </w:rPr>
        <w:t>* Calculado como el 25 por ciento del costo total de instalación, puesta en marcha e ingeniería del proyecto</w:t>
      </w:r>
    </w:p>
    <w:p w14:paraId="70E72494" w14:textId="77777777" w:rsidR="00D73D50" w:rsidRPr="00D73D50" w:rsidRDefault="00D73D50" w:rsidP="00D73D50">
      <w:pPr>
        <w:rPr>
          <w:highlight w:val="yellow"/>
          <w:lang w:val="en-GB"/>
        </w:rPr>
      </w:pPr>
    </w:p>
    <w:bookmarkEnd w:id="3"/>
    <w:bookmarkEnd w:id="4"/>
    <w:p w14:paraId="6E7337C6" w14:textId="77777777" w:rsidR="00D73D50" w:rsidRPr="00D73D50" w:rsidRDefault="00D73D50" w:rsidP="00D73D50">
      <w:pPr>
        <w:jc w:val="center"/>
        <w:rPr>
          <w:b/>
          <w:bCs/>
          <w:highlight w:val="yellow"/>
          <w:lang w:val="en-GB"/>
        </w:rPr>
      </w:pPr>
    </w:p>
    <w:p w14:paraId="552FAA6E" w14:textId="77777777" w:rsidR="00D73D50" w:rsidRPr="00E76CFE" w:rsidRDefault="00D73D50" w:rsidP="00D73D50">
      <w:pPr>
        <w:keepNext/>
        <w:jc w:val="center"/>
        <w:rPr>
          <w:b/>
          <w:bCs/>
        </w:rPr>
      </w:pPr>
      <w:r>
        <w:rPr>
          <w:b/>
        </w:rPr>
        <w:lastRenderedPageBreak/>
        <w:t>OBSERVACIONES Y RECOMENDACIONES DE LA SECRETARÍA</w:t>
      </w:r>
    </w:p>
    <w:p w14:paraId="20AA0F69" w14:textId="77777777" w:rsidR="00D73D50" w:rsidRPr="00CE4135" w:rsidRDefault="00D73D50" w:rsidP="00D73D50">
      <w:pPr>
        <w:keepNext/>
        <w:rPr>
          <w:b/>
          <w:bCs/>
          <w:lang w:val="fr-FR"/>
        </w:rPr>
      </w:pPr>
    </w:p>
    <w:p w14:paraId="371DF3A1" w14:textId="77777777" w:rsidR="00D73D50" w:rsidRPr="00E76CFE" w:rsidRDefault="00D73D50" w:rsidP="00D73D50">
      <w:pPr>
        <w:keepNext/>
        <w:rPr>
          <w:b/>
          <w:bCs/>
        </w:rPr>
      </w:pPr>
      <w:r>
        <w:rPr>
          <w:b/>
        </w:rPr>
        <w:t>OBSERVACIONES</w:t>
      </w:r>
    </w:p>
    <w:p w14:paraId="19D84CBE" w14:textId="09437B70" w:rsidR="00CB2071" w:rsidRPr="00CB2071" w:rsidRDefault="00CB2071" w:rsidP="00CB2071">
      <w:pPr>
        <w:pStyle w:val="Heading1"/>
        <w:spacing w:before="240"/>
      </w:pPr>
      <w:r>
        <w:t>La Secretaría ha revisado la propuesta de proyecto teniendo en cuenta las actividades descritas en las decisiones 89/6 y 91/65, así como las que se ejecutarán en la etapa I del plan de aplicación de la Enmienda de Kigali relativa a los HFC (PAK).</w:t>
      </w:r>
    </w:p>
    <w:p w14:paraId="13184214" w14:textId="5D7BA534" w:rsidR="00D73D50" w:rsidRPr="00E76CFE" w:rsidRDefault="00D73D50" w:rsidP="00D73D50">
      <w:pPr>
        <w:keepNext/>
        <w:spacing w:before="240" w:after="240"/>
        <w:rPr>
          <w:u w:val="single"/>
        </w:rPr>
      </w:pPr>
      <w:r>
        <w:rPr>
          <w:u w:val="single"/>
        </w:rPr>
        <w:t xml:space="preserve">Admisibilidad conforme a la decisión 91/65 </w:t>
      </w:r>
    </w:p>
    <w:p w14:paraId="2217DCCD" w14:textId="2A03D48C" w:rsidR="00CE780E" w:rsidRPr="00656639" w:rsidRDefault="008608FC" w:rsidP="00CE780E">
      <w:pPr>
        <w:pStyle w:val="Heading1"/>
      </w:pPr>
      <w:r>
        <w:t xml:space="preserve">El proyecto piloto tiene como objetivo mejorar la eficiencia energética de los sistemas de calentamiento y refrigeración en los procesos industriales en el marco de la reducción de los HFC en las instalaciones de los usuarios finales. El PNUD confirmó que la División de Eficiencia Energética del Ministerio de Energía participará directamente en la ejecución del proyecto piloto en coordinación con la ONO. Otras partes intervinientes en el proyecto son la División de Energías Sostenibles del Ministerio de Energía, el Departamento de Mitigación del Cambio Climático y Transparencia del Ministerio de Medio Ambiente, </w:t>
      </w:r>
      <w:r w:rsidR="004E6CAF">
        <w:t xml:space="preserve">y </w:t>
      </w:r>
      <w:r>
        <w:t xml:space="preserve">asociaciones regionales de las industrias láctea, cárnica y avícola.  </w:t>
      </w:r>
    </w:p>
    <w:p w14:paraId="7032DA1D" w14:textId="3CAF4C49" w:rsidR="00D73D50" w:rsidRPr="00ED5735" w:rsidRDefault="00D73D50">
      <w:pPr>
        <w:pStyle w:val="Heading1"/>
      </w:pPr>
      <w:r>
        <w:t>Conforme a lo dispuesto en la decisión 91/65 b) </w:t>
      </w:r>
      <w:proofErr w:type="spellStart"/>
      <w:r>
        <w:t>iv</w:t>
      </w:r>
      <w:proofErr w:type="spellEnd"/>
      <w:r>
        <w:t xml:space="preserve">), el Gobierno de Chile también ha confirmado que, si el país movilizara fondos de fuentes ajenas al Fondo Multilateral para componentes de eficiencia energética durante la reducción de los HFC, el proyecto no generaría duplicidad de actividades entre las financiadas por el Fondo Multilateral y las financiadas por otras fuentes; que facilitaría la información sobre los avances realizados, los resultados y las experiencias adquiridas durante el proyecto, llegado el caso; que la fecha de finalización del proyecto se establecería a más tardar 36 meses después de la fecha de aprobación por parte del Comité Ejecutivo; y que se presentaría un informe detallado del proyecto al Comité Ejecutivo en un plazo máximo de seis meses a partir de la fecha de finalización del proyecto. </w:t>
      </w:r>
    </w:p>
    <w:p w14:paraId="69E67C93" w14:textId="72B8F7AE" w:rsidR="00D73D50" w:rsidRPr="00CE5B97" w:rsidRDefault="00D73D50" w:rsidP="00D73D50">
      <w:pPr>
        <w:keepNext/>
        <w:rPr>
          <w:u w:val="single"/>
        </w:rPr>
      </w:pPr>
      <w:r>
        <w:rPr>
          <w:u w:val="single"/>
        </w:rPr>
        <w:t>Relación con la reducción de los HFC y el plan de aplicación de la Enmienda de Kigali relativa a los HFC (PAK)</w:t>
      </w:r>
    </w:p>
    <w:p w14:paraId="4A45FEED" w14:textId="77777777" w:rsidR="00D73D50" w:rsidRPr="00CE4135" w:rsidRDefault="00D73D50" w:rsidP="00D73D50">
      <w:pPr>
        <w:keepNext/>
        <w:rPr>
          <w:lang w:val="fr-FR"/>
        </w:rPr>
      </w:pPr>
    </w:p>
    <w:p w14:paraId="29D9FDE2" w14:textId="013A9552" w:rsidR="005258D2" w:rsidRPr="005258D2" w:rsidRDefault="00D73D50" w:rsidP="006109A5">
      <w:pPr>
        <w:pStyle w:val="Heading1"/>
        <w:rPr>
          <w:rStyle w:val="normaltextrun"/>
        </w:rPr>
      </w:pPr>
      <w:r>
        <w:t xml:space="preserve">El proyecto piloto se ejecutará en coordinación con las actividades de la etapa I del PAK.  Las instituciones de capacitación que participan en la ejecución del PAK formarán parte del proyecto piloto para aprender a instalar esta nueva tecnología. Las </w:t>
      </w:r>
      <w:r>
        <w:rPr>
          <w:rStyle w:val="normaltextrun"/>
        </w:rPr>
        <w:t>actividades del PAK incluyen la capacitación de técnicos altamente especializados en tecnologías a base de CO</w:t>
      </w:r>
      <w:r>
        <w:rPr>
          <w:rStyle w:val="normaltextrun"/>
          <w:vertAlign w:val="subscript"/>
        </w:rPr>
        <w:t>2</w:t>
      </w:r>
      <w:r>
        <w:rPr>
          <w:rStyle w:val="normaltextrun"/>
        </w:rPr>
        <w:t xml:space="preserve">. Los refrigerantes HFC que se sustituirán en las instalaciones existentes también se recuperarán para </w:t>
      </w:r>
      <w:r>
        <w:t>su posterior regeneración o eliminación como parte de las actividades de la etapa I del PAK</w:t>
      </w:r>
      <w:r>
        <w:rPr>
          <w:rStyle w:val="normaltextrun"/>
        </w:rPr>
        <w:t>.</w:t>
      </w:r>
      <w:r>
        <w:t xml:space="preserve"> </w:t>
      </w:r>
      <w:r>
        <w:rPr>
          <w:rStyle w:val="normaltextrun"/>
        </w:rPr>
        <w:t>Los componentes y materiales recolectados de los equipos a base de HFC desmantelados se separarán y des</w:t>
      </w:r>
      <w:r w:rsidR="004E6CAF">
        <w:rPr>
          <w:rStyle w:val="normaltextrun"/>
        </w:rPr>
        <w:t xml:space="preserve">guazarán </w:t>
      </w:r>
      <w:r>
        <w:rPr>
          <w:rStyle w:val="normaltextrun"/>
        </w:rPr>
        <w:t>para otros usos en la medida de lo posible, y los desechos peligrosos se eliminarán de acuerdo con los reglamentos aplicables.</w:t>
      </w:r>
    </w:p>
    <w:p w14:paraId="7FDE7171" w14:textId="3916921F" w:rsidR="00183ECA" w:rsidRPr="00511F60" w:rsidRDefault="00A3625F" w:rsidP="006109A5">
      <w:pPr>
        <w:pStyle w:val="Heading1"/>
      </w:pPr>
      <w:r>
        <w:t xml:space="preserve">Actualmente, la tendencia en el sector de la refrigeración industrial en Chile es abandonar los sistemas a base de HCFC-22 y R-404A en favor de los sistemas a base de R-507A por razones de eficiencia energética, lo que ha contribuido en parte al aumento del consumo de R-507A en los últimos años. El proyecto piloto complementará los esfuerzos del PAK reduciendo el consumo de R-507A y proporcionando una </w:t>
      </w:r>
      <w:proofErr w:type="gramStart"/>
      <w:r>
        <w:t>opción alternativa</w:t>
      </w:r>
      <w:proofErr w:type="gramEnd"/>
      <w:r>
        <w:t xml:space="preserve"> a través de la divulgación de: </w:t>
      </w:r>
      <w:r>
        <w:rPr>
          <w:rStyle w:val="normaltextrun"/>
        </w:rPr>
        <w:t>las ventajas ambientales, económicas y de eficiencia energética; el rendimiento de las bombas de calor a base de CO</w:t>
      </w:r>
      <w:r>
        <w:rPr>
          <w:rStyle w:val="normaltextrun"/>
          <w:vertAlign w:val="subscript"/>
        </w:rPr>
        <w:t>2</w:t>
      </w:r>
      <w:r>
        <w:rPr>
          <w:rStyle w:val="normaltextrun"/>
        </w:rPr>
        <w:t xml:space="preserve">; y los requisitos técnicos para la instalación y el mantenimiento de las de bombas de calor que se utilizan en la refrigeración industrial. La intención es promover esta tecnología entre otros usuarios de los sectores de elaboración de productos lácteos y cárnicos u otros sectores industriales con requisitos y capacidades similares, a fin de reducir el consumo de energía y el uso de HFC. </w:t>
      </w:r>
    </w:p>
    <w:p w14:paraId="6D8C1EFB" w14:textId="77777777" w:rsidR="000322AB" w:rsidRDefault="000322AB" w:rsidP="00D73D50">
      <w:pPr>
        <w:spacing w:after="240"/>
        <w:outlineLvl w:val="0"/>
        <w:rPr>
          <w:u w:val="single"/>
        </w:rPr>
      </w:pPr>
    </w:p>
    <w:p w14:paraId="525BB3BC" w14:textId="77777777" w:rsidR="000322AB" w:rsidRDefault="000322AB" w:rsidP="00D73D50">
      <w:pPr>
        <w:spacing w:after="240"/>
        <w:outlineLvl w:val="0"/>
        <w:rPr>
          <w:u w:val="single"/>
        </w:rPr>
      </w:pPr>
    </w:p>
    <w:p w14:paraId="4BF706B6" w14:textId="338D64AB" w:rsidR="00D73D50" w:rsidRDefault="00D73D50" w:rsidP="00D73D50">
      <w:pPr>
        <w:spacing w:after="240"/>
        <w:outlineLvl w:val="0"/>
      </w:pPr>
      <w:r>
        <w:rPr>
          <w:u w:val="single"/>
        </w:rPr>
        <w:lastRenderedPageBreak/>
        <w:t>Aspectos técnicos y económicos</w:t>
      </w:r>
      <w:r>
        <w:t xml:space="preserve">  </w:t>
      </w:r>
    </w:p>
    <w:p w14:paraId="63C3ADCC" w14:textId="0BEDC325" w:rsidR="00B57CD6" w:rsidRPr="006D5386" w:rsidRDefault="00B57CD6" w:rsidP="00B94234">
      <w:pPr>
        <w:spacing w:after="240"/>
        <w:outlineLvl w:val="0"/>
        <w:rPr>
          <w:i/>
          <w:iCs/>
        </w:rPr>
      </w:pPr>
      <w:r>
        <w:rPr>
          <w:i/>
        </w:rPr>
        <w:t xml:space="preserve">Selección de la tecnología </w:t>
      </w:r>
    </w:p>
    <w:p w14:paraId="60FCE7B9" w14:textId="2DE310F2" w:rsidR="00B94234" w:rsidRPr="006D5386" w:rsidRDefault="004E3E3B" w:rsidP="00F608CF">
      <w:pPr>
        <w:pStyle w:val="Heading1"/>
      </w:pPr>
      <w:r>
        <w:t>El PNUD explicó que se habían considerado otras tecnologías para el proyecto, como el R-290 y el amoníaco. El R-290 funciona bien para sistemas más pequeños, pero no cumple con los requisitos de gradiente de temperatura para los procesos lácteos y presenta problemas de seguridad. El amoníaco cumple con los requisitos de calor y frío, pero tiene unos costos de mantenimiento elevados y presenta problemas de seguridad, por lo que es más adecuado para instalaciones más grandes. El PNUD determinó que las bombas de calor a base de CO</w:t>
      </w:r>
      <w:r>
        <w:rPr>
          <w:vertAlign w:val="subscript"/>
        </w:rPr>
        <w:t>2</w:t>
      </w:r>
      <w:r>
        <w:t xml:space="preserve"> son la alternativa más apropiada para las plantas industriales medianas, ya que ofrecen gradientes de temperatura adecuados para los procesos lácteos sin la inflamabilidad ni la peligrosidad de las otras opciones. La capacitación necesaria para abordar los problemas relacionados con la alta presión de la tecnología basada en CO</w:t>
      </w:r>
      <w:r>
        <w:rPr>
          <w:vertAlign w:val="subscript"/>
        </w:rPr>
        <w:t>2</w:t>
      </w:r>
      <w:r>
        <w:t xml:space="preserve"> se impartirá a través del PAK. </w:t>
      </w:r>
    </w:p>
    <w:p w14:paraId="5A5A5E24" w14:textId="33D132CF" w:rsidR="00B94234" w:rsidRPr="00B257BB" w:rsidRDefault="00B257BB" w:rsidP="00D73D50">
      <w:pPr>
        <w:spacing w:after="240"/>
        <w:outlineLvl w:val="0"/>
        <w:rPr>
          <w:i/>
          <w:iCs/>
        </w:rPr>
      </w:pPr>
      <w:r>
        <w:rPr>
          <w:i/>
        </w:rPr>
        <w:t>Selección de las empresas beneficiarias</w:t>
      </w:r>
    </w:p>
    <w:p w14:paraId="13C620A9" w14:textId="0E967727" w:rsidR="00B71DF8" w:rsidRDefault="00B257BB" w:rsidP="006109A5">
      <w:pPr>
        <w:pStyle w:val="Heading1"/>
      </w:pPr>
      <w:r>
        <w:t>El PNUD explicó que se había llevado a cabo un trabajo exhaustivo para identificar a las posibles empresas beneficiarias, con encuestas, un taller y visitas a diversas empresas. Los costos del proyecto se estimaron sobre la base del costo real de sustituir los sistemas en las posibles empresas beneficiarias, para lo cual se recabó información sobre el tipo de instalaciones, las necesidades de frío y calor, y las veces que era preciso producir frío y calor durante los procesos. La elección final de las empresas beneficiarias se decidirá a través de una amplia convocatoria pública en que se seleccionarán aquellas plantas que mejor se adapten a los objetivos del proyecto. La Secretaría señala que ya se han identificado posibles empresas beneficiarias que cumplen con los requisitos y que la convocatoria pública garantizará la transparencia del proceso de selección y la oportunidad de elegir las mejores plantas.</w:t>
      </w:r>
    </w:p>
    <w:p w14:paraId="16195343" w14:textId="658B26FA" w:rsidR="00717A81" w:rsidRPr="00B257BB" w:rsidRDefault="00717A81" w:rsidP="00D73D50">
      <w:pPr>
        <w:spacing w:after="240"/>
        <w:outlineLvl w:val="0"/>
        <w:rPr>
          <w:i/>
          <w:iCs/>
        </w:rPr>
      </w:pPr>
      <w:r>
        <w:rPr>
          <w:i/>
        </w:rPr>
        <w:t>Tipo de equipos que se sustituirán y cálculo del costo</w:t>
      </w:r>
    </w:p>
    <w:p w14:paraId="4846720F" w14:textId="7D62BAEC" w:rsidR="00717A81" w:rsidRPr="007327C8" w:rsidRDefault="00364A62" w:rsidP="006109A5">
      <w:pPr>
        <w:pStyle w:val="Heading1"/>
      </w:pPr>
      <w:r>
        <w:t xml:space="preserve">Con respecto al tipo de sistemas que se sustituirán, el PNUD explicó que, dado que estas plantas se han ido ampliando con el tiempo para adaptarse a las demandas y necesidades del mercado, no se suelen utilizar sistemas de refrigeración centralizados, sino sistemas individuales e independientes para cada proceso. </w:t>
      </w:r>
      <w:proofErr w:type="gramStart"/>
      <w:r>
        <w:t>Los equipos a sustituir</w:t>
      </w:r>
      <w:proofErr w:type="gramEnd"/>
      <w:r>
        <w:t>, la capacidad de refrigeración, el tipo de refrigerante y el consumo de energía dependerán del proceso de producción y de las necesidades de calentamiento/refrigeración de cada planta. Para el proceso de calentamiento, lo habitual es utilizar como combustible gas natural. El consumo actual de electricidad entre las empresas visitadas varía considerablemente, desde 200 kWh hasta 1.000 kWh. La reducción estimada del consumo de energía gracias al proyecto piloto se sitúa entre el 30 y el 50 por ciento, según datos de proyectos similares ejecutados principalmente en el sudeste asiático.</w:t>
      </w:r>
    </w:p>
    <w:p w14:paraId="2EB55972" w14:textId="147464F5" w:rsidR="009B7CDA" w:rsidRPr="00397C6C" w:rsidRDefault="00082856" w:rsidP="006109A5">
      <w:pPr>
        <w:pStyle w:val="Heading1"/>
      </w:pPr>
      <w:r>
        <w:t xml:space="preserve">Dada la gran variedad de sistemas y capacidades en los que podría adoptarse la tecnología, se realizó un cálculo de costos representativo revisado tomando como referencia el caso concreto de una planta que cuenta con 18 sistemas distintos en diferentes cámaras y etapas </w:t>
      </w:r>
      <w:r w:rsidR="00245EFC">
        <w:t>d</w:t>
      </w:r>
      <w:r>
        <w:t xml:space="preserve">el proceso productivo, con una capacidad de producción total de calor/frío de alrededor de 1.000 kW. El cálculo se realizó sobre cuatro sistemas diferentes del proceso (evaporadores y cámaras </w:t>
      </w:r>
      <w:r w:rsidR="004E6CAF">
        <w:t xml:space="preserve">de frío para </w:t>
      </w:r>
      <w:r>
        <w:t>yogur, túnel de frío, almacenamiento de alimentos congelados y contenedores refrigerados logísticos) para una capacidad de 300 kW y una carga instalada de 388 kg de R-507A, que suministran refrigeración (de 5 °C a 10 °C), cámaras frigoríficas (de 3 °C a -18 °C) y calentamiento de agua para diferentes procesos dentro de la planta (de 22 °C a 85 °C). El coeficiente de rendimiento estimado es de 2 en la sección de refrigeración y de 3 en la sección de calentamiento. Sobre esta base, el proyecto se diseñó para:</w:t>
      </w:r>
    </w:p>
    <w:p w14:paraId="1DF485A4" w14:textId="0F76D5FB" w:rsidR="00EF55A6" w:rsidRPr="00397C6C" w:rsidRDefault="00EF55A6" w:rsidP="00EF55A6">
      <w:pPr>
        <w:pStyle w:val="Heading2"/>
      </w:pPr>
      <w:r>
        <w:t>Integrar en un solo sistema la producción de refrigeración, agua refrigerada y agua calentada, aumentando el coeficiente de rendimiento del sistema hasta valores superiores a 5 o 6;</w:t>
      </w:r>
    </w:p>
    <w:p w14:paraId="24ED55FF" w14:textId="03387D16" w:rsidR="00F01084" w:rsidRPr="00397C6C" w:rsidRDefault="009B7CDA" w:rsidP="006109A5">
      <w:pPr>
        <w:pStyle w:val="Heading2"/>
      </w:pPr>
      <w:r>
        <w:lastRenderedPageBreak/>
        <w:t>Reducir el consumo de R-507A. La mayoría de las plantas presentan tasas de fuga elevadas de hasta el 35% anual; según el sistema de referencia, esto corresponde a una estimación de 135 kg anuales consumidos en el mantenimiento, más la carga instalada de 388 kg eliminada con la sustitución del sistema;</w:t>
      </w:r>
    </w:p>
    <w:p w14:paraId="1D37DDAF" w14:textId="51BD75F5" w:rsidR="00F01084" w:rsidRPr="00397C6C" w:rsidRDefault="00F01084" w:rsidP="006109A5">
      <w:pPr>
        <w:pStyle w:val="Heading2"/>
      </w:pPr>
      <w:r>
        <w:t xml:space="preserve">Reducir el consumo eléctrico en la producción de refrigeración y el consumo de gas natural o petróleo en la producción de agua caliente o vapor; </w:t>
      </w:r>
      <w:r w:rsidR="003304D0">
        <w:t>e</w:t>
      </w:r>
    </w:p>
    <w:p w14:paraId="40EA2D31" w14:textId="553D669B" w:rsidR="003A15E8" w:rsidRPr="00397C6C" w:rsidRDefault="000476D2" w:rsidP="006109A5">
      <w:pPr>
        <w:pStyle w:val="Heading2"/>
      </w:pPr>
      <w:r>
        <w:t>Incluir en la sustitución de la prueba piloto solo una parte de la planta, que la empresa beneficiaria deberá replicar posteriormente en otras partes de la misma planta y en otras plantas.</w:t>
      </w:r>
    </w:p>
    <w:p w14:paraId="64E858A9" w14:textId="39FFCAAE" w:rsidR="00AC3E3C" w:rsidRPr="0094346E" w:rsidRDefault="00632AF2" w:rsidP="006109A5">
      <w:pPr>
        <w:pStyle w:val="Heading1"/>
      </w:pPr>
      <w:r>
        <w:t>Tras analizar varios aspectos de la propuesta, la Secretaría y el PNUD determinaron que, para los fines del proyecto piloto, la demostración de las bombas de calor a base de CO</w:t>
      </w:r>
      <w:r>
        <w:rPr>
          <w:vertAlign w:val="subscript"/>
        </w:rPr>
        <w:t>2</w:t>
      </w:r>
      <w:r>
        <w:t xml:space="preserve"> solo debería realizarse en dos plantas, en lugar de tres. Dada la variedad de procesos y el hecho de que la tecnología no es muy conocida en el sector, la Secretaría considera que dos plantas son suficientes para demostrar la tecnología.</w:t>
      </w:r>
    </w:p>
    <w:p w14:paraId="47529A0E" w14:textId="36A4250D" w:rsidR="00254802" w:rsidRPr="004A1393" w:rsidRDefault="00BD1D41" w:rsidP="006109A5">
      <w:pPr>
        <w:pStyle w:val="Heading1"/>
      </w:pPr>
      <w:r>
        <w:t>La Secretaría señala que el costo adicional estimado de sustituir un sistema convencional a base de R-507A por una bomba de calor energéticamente eficiente a base de CO</w:t>
      </w:r>
      <w:r>
        <w:rPr>
          <w:vertAlign w:val="subscript"/>
        </w:rPr>
        <w:t>2</w:t>
      </w:r>
      <w:r>
        <w:t xml:space="preserve">, en lugar de una bomba de calor básica de R-507A, asciende a unos USD 350.000. Tras analizar los costos, se acordó que el nivel de fondos que cubriría el Fondo Multilateral por cada planta sería de USD 325.000, mientras que las empresas beneficiarias aportarían un mayor cofinanciamiento, que pasaría del 25 por ciento propuesto de los costos del proyecto al 40 por ciento o más, en función del tamaño del proyecto. El Fondo Multilateral cubrirá la parte principal de los equipos (bomba de calor, bombas, intercambiadores de calor, controles), mientras que el cofinanciamiento de la empresa beneficiaria cubrirá la instalación, ingeniería, obra civil (construcción, tuberías, instalaciones eléctricas, puesta a tierra) y los costos restantes de los equipos principales. </w:t>
      </w:r>
    </w:p>
    <w:p w14:paraId="0067A871" w14:textId="016C537D" w:rsidR="00B17DB4" w:rsidRPr="004A1393" w:rsidRDefault="009D7553" w:rsidP="006109A5">
      <w:pPr>
        <w:pStyle w:val="Heading1"/>
      </w:pPr>
      <w:r>
        <w:t xml:space="preserve">El nivel de fondos convenido por planta garantizará la disposición de las empresas beneficiarias a participar y que estas sean las primeras en utilizar esta tecnología en el país. Los fondos también garantizarán que el proyecto se diseñe y desarrolle correctamente, lo que se traducirá en menos problemas, un mejor rendimiento y una mayor confianza en la tecnología. </w:t>
      </w:r>
    </w:p>
    <w:p w14:paraId="5027ABC3" w14:textId="3972AA72" w:rsidR="0056164B" w:rsidRPr="004A1393" w:rsidRDefault="002225EF" w:rsidP="000579E0">
      <w:pPr>
        <w:pStyle w:val="Heading1"/>
      </w:pPr>
      <w:r>
        <w:t>Asimismo, el PNUD acordó reducir los siguientes costos de asistencia técnica: selección, diseño, verificación y seguimiento (de USD 40.000 a USD 30.000); elaboración de criterios y/o directrices de eficiencia energética para hacer sostenible el proyecto (de USD 30.000 a USD 20.000); informe final, edición para difusión pública y sensibilización (de USD 15.000 a USD 10.000); y talleres para difundir los resultados del proyecto de (USD 15.000 a USD 10.000).</w:t>
      </w:r>
    </w:p>
    <w:p w14:paraId="41B0DCDD" w14:textId="77777777" w:rsidR="007D4E83" w:rsidRPr="00B257BB" w:rsidRDefault="007D4E83" w:rsidP="007D4E83">
      <w:pPr>
        <w:pStyle w:val="ListParagraph"/>
        <w:spacing w:after="240"/>
        <w:ind w:left="0"/>
        <w:outlineLvl w:val="0"/>
        <w:rPr>
          <w:i/>
          <w:iCs/>
        </w:rPr>
      </w:pPr>
      <w:r>
        <w:rPr>
          <w:i/>
        </w:rPr>
        <w:t xml:space="preserve">Supervisión </w:t>
      </w:r>
    </w:p>
    <w:p w14:paraId="554A5B12" w14:textId="31BF85EC" w:rsidR="00CB49A9" w:rsidRDefault="00491034" w:rsidP="006109A5">
      <w:pPr>
        <w:pStyle w:val="Heading1"/>
      </w:pPr>
      <w:r>
        <w:t>El financiamiento recomendado también cubre los instrumentos de medición de energía necesarios para que las empresas beneficiarias puedan recopilar y divulgar la información sobre el consumo y el ahorro de energía a fin de garantizar que se informe adecuadamente al Comité Ejecutivo sobre los resultados del proyecto. El PNUD explicó que, además del consumo de energía, también se medirán otros parámetros, como el consumo de combustible para los calentadores de agua, las necesidades de recarga de refrigerante y la necesidad de medidas correctivas. A diferencia de los sistemas tradicionales, las bombas de calor a base de CO</w:t>
      </w:r>
      <w:r>
        <w:rPr>
          <w:vertAlign w:val="subscript"/>
        </w:rPr>
        <w:t>2</w:t>
      </w:r>
      <w:r>
        <w:t xml:space="preserve"> incluyen un sistema de control electrónico permanente que detecta posibles fallos de funcionamiento en tiempo real y permite resolver muchos problemas a distancia. Los usuarios finales controlarán el funcionamiento del sistema con las plantillas y procedimientos suministrados por un experto técnico externo que </w:t>
      </w:r>
      <w:proofErr w:type="gramStart"/>
      <w:r>
        <w:t>les</w:t>
      </w:r>
      <w:proofErr w:type="gramEnd"/>
      <w:r>
        <w:t xml:space="preserve"> acompañará durante el proyecto.</w:t>
      </w:r>
    </w:p>
    <w:p w14:paraId="50087E60" w14:textId="77777777" w:rsidR="003E1A46" w:rsidRDefault="003E1A46" w:rsidP="00D73D50">
      <w:pPr>
        <w:rPr>
          <w:u w:val="single"/>
        </w:rPr>
      </w:pPr>
    </w:p>
    <w:p w14:paraId="1E9FE165" w14:textId="77777777" w:rsidR="003E1A46" w:rsidRDefault="003E1A46" w:rsidP="00D73D50">
      <w:pPr>
        <w:rPr>
          <w:u w:val="single"/>
        </w:rPr>
      </w:pPr>
    </w:p>
    <w:p w14:paraId="6B18B422" w14:textId="70E50FE6" w:rsidR="00D73D50" w:rsidRPr="00CE5B97" w:rsidRDefault="00D73D50" w:rsidP="00D73D50">
      <w:pPr>
        <w:rPr>
          <w:u w:val="single"/>
        </w:rPr>
      </w:pPr>
      <w:r>
        <w:rPr>
          <w:u w:val="single"/>
        </w:rPr>
        <w:lastRenderedPageBreak/>
        <w:t>Costo convenido del proyecto piloto</w:t>
      </w:r>
    </w:p>
    <w:p w14:paraId="2DC3681A" w14:textId="77777777" w:rsidR="00D73D50" w:rsidRPr="00F93D26" w:rsidRDefault="00D73D50" w:rsidP="00D73D50">
      <w:pPr>
        <w:rPr>
          <w:u w:val="single"/>
          <w:lang w:val="en-GB"/>
        </w:rPr>
      </w:pPr>
    </w:p>
    <w:p w14:paraId="3C7D68B7" w14:textId="505C4FFE" w:rsidR="00D73D50" w:rsidRPr="00F93D26" w:rsidRDefault="00C22A45" w:rsidP="00B257BB">
      <w:pPr>
        <w:pStyle w:val="Heading1"/>
      </w:pPr>
      <w:r>
        <w:t>Los costos convenidos para ejecutar el proyecto piloto destinado a demostrar el rendimiento y la eficiencia energética de la tecnología de bombas de calor a base de CO</w:t>
      </w:r>
      <w:r>
        <w:rPr>
          <w:vertAlign w:val="subscript"/>
        </w:rPr>
        <w:t>2</w:t>
      </w:r>
      <w:r>
        <w:t xml:space="preserve"> como refrigerante en aplicaciones industriales en Chile ascienden a USD 1.170.000, que se desglosan en USD 720.000 aportados por el Fondo Multilateral y USD 450.000 correspondientes al cofinanciamiento, como se muestra en el cuadro 3.</w:t>
      </w:r>
    </w:p>
    <w:p w14:paraId="322701F5" w14:textId="06CD255A" w:rsidR="00D73D50" w:rsidRDefault="00D73D50" w:rsidP="00D73D50">
      <w:pPr>
        <w:rPr>
          <w:b/>
          <w:bCs/>
        </w:rPr>
      </w:pPr>
      <w:r>
        <w:rPr>
          <w:b/>
        </w:rPr>
        <w:t>Cuadro 3. Presupuesto total del proyecto y desglose de las fuentes de financiamiento, según lo convenido</w:t>
      </w:r>
    </w:p>
    <w:tbl>
      <w:tblPr>
        <w:tblW w:w="500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36"/>
        <w:gridCol w:w="1134"/>
        <w:gridCol w:w="1843"/>
        <w:gridCol w:w="1839"/>
      </w:tblGrid>
      <w:tr w:rsidR="00067E41" w:rsidRPr="00D73D50" w14:paraId="49177E34" w14:textId="77777777" w:rsidTr="003E1A46">
        <w:trPr>
          <w:trHeight w:val="555"/>
          <w:tblHeader/>
        </w:trPr>
        <w:tc>
          <w:tcPr>
            <w:tcW w:w="4536" w:type="dxa"/>
            <w:shd w:val="clear" w:color="auto" w:fill="FFFFFF" w:themeFill="background1"/>
            <w:tcMar>
              <w:left w:w="105" w:type="dxa"/>
              <w:right w:w="105" w:type="dxa"/>
            </w:tcMar>
            <w:vAlign w:val="center"/>
          </w:tcPr>
          <w:p w14:paraId="196F116B" w14:textId="6D39826D" w:rsidR="00067E41" w:rsidRPr="003C26A9" w:rsidRDefault="00067E41" w:rsidP="006109A5">
            <w:pPr>
              <w:jc w:val="center"/>
              <w:rPr>
                <w:b/>
                <w:bCs/>
                <w:color w:val="000000" w:themeColor="text1"/>
                <w:sz w:val="20"/>
                <w:szCs w:val="20"/>
              </w:rPr>
            </w:pPr>
            <w:r>
              <w:rPr>
                <w:b/>
                <w:color w:val="000000" w:themeColor="text1"/>
                <w:sz w:val="20"/>
              </w:rPr>
              <w:t>Concepto</w:t>
            </w:r>
          </w:p>
        </w:tc>
        <w:tc>
          <w:tcPr>
            <w:tcW w:w="1134" w:type="dxa"/>
            <w:tcBorders>
              <w:bottom w:val="single" w:sz="4" w:space="0" w:color="auto"/>
            </w:tcBorders>
            <w:shd w:val="clear" w:color="auto" w:fill="FFFFFF" w:themeFill="background1"/>
            <w:tcMar>
              <w:left w:w="105" w:type="dxa"/>
              <w:right w:w="105" w:type="dxa"/>
            </w:tcMar>
            <w:vAlign w:val="center"/>
          </w:tcPr>
          <w:p w14:paraId="54FBF70F" w14:textId="77777777" w:rsidR="00067E41" w:rsidRPr="003C26A9" w:rsidRDefault="00067E41" w:rsidP="006109A5">
            <w:pPr>
              <w:jc w:val="center"/>
              <w:rPr>
                <w:b/>
                <w:bCs/>
                <w:color w:val="000000" w:themeColor="text1"/>
                <w:sz w:val="20"/>
                <w:szCs w:val="20"/>
              </w:rPr>
            </w:pPr>
            <w:r>
              <w:rPr>
                <w:b/>
                <w:color w:val="000000" w:themeColor="text1"/>
                <w:sz w:val="20"/>
              </w:rPr>
              <w:t>Total</w:t>
            </w:r>
          </w:p>
          <w:p w14:paraId="6141D556" w14:textId="77777777" w:rsidR="00067E41" w:rsidRPr="003C26A9" w:rsidRDefault="00067E41" w:rsidP="006109A5">
            <w:pPr>
              <w:jc w:val="center"/>
              <w:rPr>
                <w:color w:val="000000" w:themeColor="text1"/>
                <w:sz w:val="20"/>
                <w:szCs w:val="20"/>
              </w:rPr>
            </w:pPr>
            <w:r>
              <w:rPr>
                <w:b/>
                <w:color w:val="000000" w:themeColor="text1"/>
                <w:sz w:val="20"/>
              </w:rPr>
              <w:t xml:space="preserve"> (USD)</w:t>
            </w:r>
          </w:p>
        </w:tc>
        <w:tc>
          <w:tcPr>
            <w:tcW w:w="1843" w:type="dxa"/>
            <w:tcBorders>
              <w:bottom w:val="single" w:sz="4" w:space="0" w:color="auto"/>
            </w:tcBorders>
            <w:shd w:val="clear" w:color="auto" w:fill="FFFFFF" w:themeFill="background1"/>
            <w:tcMar>
              <w:left w:w="105" w:type="dxa"/>
              <w:right w:w="105" w:type="dxa"/>
            </w:tcMar>
            <w:vAlign w:val="center"/>
          </w:tcPr>
          <w:p w14:paraId="35A22ABF" w14:textId="77777777" w:rsidR="00067E41" w:rsidRPr="003C26A9" w:rsidRDefault="00067E41" w:rsidP="006109A5">
            <w:pPr>
              <w:jc w:val="center"/>
              <w:rPr>
                <w:b/>
                <w:bCs/>
                <w:color w:val="000000" w:themeColor="text1"/>
                <w:sz w:val="20"/>
                <w:szCs w:val="20"/>
              </w:rPr>
            </w:pPr>
            <w:r>
              <w:rPr>
                <w:b/>
                <w:color w:val="000000" w:themeColor="text1"/>
                <w:sz w:val="20"/>
              </w:rPr>
              <w:t>Financiamiento del Fondo Multilateral</w:t>
            </w:r>
          </w:p>
          <w:p w14:paraId="294EA772" w14:textId="77777777" w:rsidR="00067E41" w:rsidRPr="003C26A9" w:rsidRDefault="00067E41" w:rsidP="006109A5">
            <w:pPr>
              <w:jc w:val="center"/>
              <w:rPr>
                <w:color w:val="000000" w:themeColor="text1"/>
                <w:sz w:val="20"/>
                <w:szCs w:val="20"/>
              </w:rPr>
            </w:pPr>
            <w:r>
              <w:rPr>
                <w:b/>
                <w:color w:val="000000" w:themeColor="text1"/>
                <w:sz w:val="20"/>
              </w:rPr>
              <w:t>(USD)</w:t>
            </w:r>
          </w:p>
        </w:tc>
        <w:tc>
          <w:tcPr>
            <w:tcW w:w="1839" w:type="dxa"/>
            <w:tcBorders>
              <w:bottom w:val="single" w:sz="4" w:space="0" w:color="auto"/>
            </w:tcBorders>
            <w:shd w:val="clear" w:color="auto" w:fill="FFFFFF" w:themeFill="background1"/>
            <w:tcMar>
              <w:left w:w="105" w:type="dxa"/>
              <w:right w:w="105" w:type="dxa"/>
            </w:tcMar>
            <w:vAlign w:val="center"/>
          </w:tcPr>
          <w:p w14:paraId="497A93E2" w14:textId="0D118C22" w:rsidR="00067E41" w:rsidRPr="003C26A9" w:rsidRDefault="00067E41" w:rsidP="006109A5">
            <w:pPr>
              <w:jc w:val="center"/>
              <w:rPr>
                <w:b/>
                <w:bCs/>
                <w:color w:val="000000" w:themeColor="text1"/>
                <w:sz w:val="20"/>
                <w:szCs w:val="20"/>
              </w:rPr>
            </w:pPr>
            <w:r>
              <w:rPr>
                <w:b/>
                <w:color w:val="000000" w:themeColor="text1"/>
                <w:sz w:val="20"/>
              </w:rPr>
              <w:t>Cofinanciamiento</w:t>
            </w:r>
          </w:p>
          <w:p w14:paraId="7E882C46" w14:textId="77777777" w:rsidR="00067E41" w:rsidRPr="003C26A9" w:rsidRDefault="00067E41" w:rsidP="006109A5">
            <w:pPr>
              <w:jc w:val="center"/>
              <w:rPr>
                <w:color w:val="000000" w:themeColor="text1"/>
                <w:sz w:val="20"/>
                <w:szCs w:val="20"/>
              </w:rPr>
            </w:pPr>
            <w:r>
              <w:rPr>
                <w:b/>
                <w:color w:val="000000" w:themeColor="text1"/>
                <w:sz w:val="20"/>
              </w:rPr>
              <w:t>(USD)</w:t>
            </w:r>
          </w:p>
        </w:tc>
      </w:tr>
      <w:tr w:rsidR="00484949" w:rsidRPr="00D73D50" w14:paraId="3EB4E266" w14:textId="77777777" w:rsidTr="006109A5">
        <w:trPr>
          <w:trHeight w:val="57"/>
          <w:tblHeader/>
        </w:trPr>
        <w:tc>
          <w:tcPr>
            <w:tcW w:w="9352" w:type="dxa"/>
            <w:gridSpan w:val="4"/>
            <w:shd w:val="clear" w:color="auto" w:fill="FFFFFF" w:themeFill="background1"/>
            <w:tcMar>
              <w:left w:w="105" w:type="dxa"/>
              <w:right w:w="105" w:type="dxa"/>
            </w:tcMar>
            <w:vAlign w:val="center"/>
          </w:tcPr>
          <w:p w14:paraId="255165A3" w14:textId="77777777" w:rsidR="00484949" w:rsidRPr="0069252C" w:rsidRDefault="00484949" w:rsidP="006109A5">
            <w:pPr>
              <w:jc w:val="left"/>
              <w:rPr>
                <w:b/>
                <w:bCs/>
                <w:i/>
                <w:iCs/>
                <w:color w:val="000000" w:themeColor="text1"/>
                <w:sz w:val="20"/>
                <w:szCs w:val="20"/>
              </w:rPr>
            </w:pPr>
            <w:r>
              <w:rPr>
                <w:b/>
                <w:i/>
                <w:color w:val="000000" w:themeColor="text1"/>
                <w:sz w:val="20"/>
              </w:rPr>
              <w:t>Sustitución de los sistemas de refrigeración a base de HFC por bombas de calor a base de CO</w:t>
            </w:r>
            <w:r>
              <w:rPr>
                <w:b/>
                <w:i/>
                <w:color w:val="000000" w:themeColor="text1"/>
                <w:sz w:val="20"/>
                <w:vertAlign w:val="subscript"/>
              </w:rPr>
              <w:t>2</w:t>
            </w:r>
          </w:p>
        </w:tc>
      </w:tr>
      <w:tr w:rsidR="00067E41" w:rsidRPr="00D54082" w14:paraId="5FA581A5" w14:textId="77777777" w:rsidTr="003E1A46">
        <w:trPr>
          <w:trHeight w:val="119"/>
        </w:trPr>
        <w:tc>
          <w:tcPr>
            <w:tcW w:w="4536" w:type="dxa"/>
            <w:tcBorders>
              <w:right w:val="single" w:sz="4" w:space="0" w:color="auto"/>
            </w:tcBorders>
            <w:tcMar>
              <w:left w:w="105" w:type="dxa"/>
              <w:right w:w="105" w:type="dxa"/>
            </w:tcMar>
            <w:vAlign w:val="center"/>
          </w:tcPr>
          <w:p w14:paraId="53E47946" w14:textId="4B352D49" w:rsidR="00067E41" w:rsidRPr="009831FB" w:rsidRDefault="00A916B1" w:rsidP="00067E41">
            <w:pPr>
              <w:rPr>
                <w:color w:val="000000" w:themeColor="text1"/>
                <w:sz w:val="20"/>
                <w:szCs w:val="20"/>
              </w:rPr>
            </w:pPr>
            <w:r>
              <w:rPr>
                <w:color w:val="000000" w:themeColor="text1"/>
                <w:sz w:val="20"/>
              </w:rPr>
              <w:t>Instalación de bombas de calor integradas a base de CO</w:t>
            </w:r>
            <w:r>
              <w:rPr>
                <w:color w:val="000000" w:themeColor="text1"/>
                <w:sz w:val="20"/>
                <w:vertAlign w:val="subscript"/>
              </w:rPr>
              <w:t>2</w:t>
            </w:r>
            <w:r>
              <w:rPr>
                <w:color w:val="000000" w:themeColor="text1"/>
                <w:sz w:val="20"/>
              </w:rPr>
              <w:t xml:space="preserve"> para procesos industriales en dos plantas, cada una con una capacidad mínima de calentamiento/refrigeración de 300 kW</w:t>
            </w:r>
          </w:p>
        </w:tc>
        <w:tc>
          <w:tcPr>
            <w:tcW w:w="1134"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7F0D527C" w14:textId="43D8F979" w:rsidR="00067E41" w:rsidRPr="009831FB" w:rsidRDefault="00067E41" w:rsidP="006109A5">
            <w:pPr>
              <w:jc w:val="right"/>
              <w:rPr>
                <w:color w:val="000000"/>
                <w:sz w:val="20"/>
                <w:szCs w:val="20"/>
              </w:rPr>
            </w:pPr>
            <w:r>
              <w:rPr>
                <w:color w:val="000000"/>
                <w:sz w:val="20"/>
              </w:rPr>
              <w:t>1.100.000</w:t>
            </w:r>
          </w:p>
        </w:tc>
        <w:tc>
          <w:tcPr>
            <w:tcW w:w="184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3D225A01" w14:textId="46D0DABC" w:rsidR="00067E41" w:rsidRPr="009831FB" w:rsidRDefault="00067E41" w:rsidP="006109A5">
            <w:pPr>
              <w:jc w:val="right"/>
              <w:rPr>
                <w:color w:val="000000" w:themeColor="text1"/>
                <w:sz w:val="20"/>
                <w:szCs w:val="20"/>
              </w:rPr>
            </w:pPr>
            <w:r>
              <w:rPr>
                <w:color w:val="000000"/>
                <w:sz w:val="20"/>
              </w:rPr>
              <w:t>650.000</w:t>
            </w:r>
          </w:p>
        </w:tc>
        <w:tc>
          <w:tcPr>
            <w:tcW w:w="1839"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69E3B50C" w14:textId="56EDD278" w:rsidR="00067E41" w:rsidRPr="009831FB" w:rsidRDefault="00067E41" w:rsidP="006109A5">
            <w:pPr>
              <w:jc w:val="right"/>
              <w:rPr>
                <w:color w:val="000000" w:themeColor="text1"/>
                <w:sz w:val="20"/>
                <w:szCs w:val="20"/>
              </w:rPr>
            </w:pPr>
            <w:r>
              <w:rPr>
                <w:color w:val="000000"/>
                <w:sz w:val="20"/>
              </w:rPr>
              <w:t>450.000</w:t>
            </w:r>
          </w:p>
        </w:tc>
      </w:tr>
      <w:tr w:rsidR="00484949" w:rsidRPr="00D73D50" w14:paraId="5608F275" w14:textId="77777777" w:rsidTr="006109A5">
        <w:trPr>
          <w:trHeight w:val="42"/>
        </w:trPr>
        <w:tc>
          <w:tcPr>
            <w:tcW w:w="9352" w:type="dxa"/>
            <w:gridSpan w:val="4"/>
            <w:tcBorders>
              <w:right w:val="single" w:sz="4" w:space="0" w:color="auto"/>
            </w:tcBorders>
            <w:tcMar>
              <w:left w:w="105" w:type="dxa"/>
              <w:right w:w="105" w:type="dxa"/>
            </w:tcMar>
            <w:vAlign w:val="center"/>
          </w:tcPr>
          <w:p w14:paraId="3318B5F3" w14:textId="77777777" w:rsidR="00484949" w:rsidRPr="0069252C" w:rsidRDefault="00484949" w:rsidP="006109A5">
            <w:pPr>
              <w:jc w:val="left"/>
              <w:rPr>
                <w:b/>
                <w:bCs/>
                <w:i/>
                <w:iCs/>
                <w:color w:val="000000"/>
                <w:sz w:val="20"/>
                <w:szCs w:val="20"/>
              </w:rPr>
            </w:pPr>
            <w:r>
              <w:rPr>
                <w:b/>
                <w:i/>
                <w:color w:val="000000" w:themeColor="text1"/>
                <w:sz w:val="20"/>
              </w:rPr>
              <w:t>Asistencia técnica</w:t>
            </w:r>
          </w:p>
        </w:tc>
      </w:tr>
      <w:tr w:rsidR="00D54082" w:rsidRPr="00D73D50" w14:paraId="5064A639" w14:textId="77777777" w:rsidTr="003E1A46">
        <w:trPr>
          <w:trHeight w:val="96"/>
        </w:trPr>
        <w:tc>
          <w:tcPr>
            <w:tcW w:w="4536" w:type="dxa"/>
            <w:tcMar>
              <w:left w:w="105" w:type="dxa"/>
              <w:right w:w="105" w:type="dxa"/>
            </w:tcMar>
            <w:vAlign w:val="center"/>
          </w:tcPr>
          <w:p w14:paraId="304A61C6" w14:textId="77777777" w:rsidR="00D54082" w:rsidRPr="00A918C8" w:rsidRDefault="00D54082" w:rsidP="00D54082">
            <w:pPr>
              <w:jc w:val="left"/>
              <w:rPr>
                <w:color w:val="000000"/>
                <w:sz w:val="20"/>
                <w:szCs w:val="20"/>
              </w:rPr>
            </w:pPr>
            <w:r>
              <w:rPr>
                <w:color w:val="000000" w:themeColor="text1"/>
                <w:sz w:val="20"/>
              </w:rPr>
              <w:t>Selección, diseño, supervisión y seguimiento</w:t>
            </w:r>
          </w:p>
        </w:tc>
        <w:tc>
          <w:tcPr>
            <w:tcW w:w="1134" w:type="dxa"/>
            <w:tcMar>
              <w:left w:w="105" w:type="dxa"/>
              <w:right w:w="105" w:type="dxa"/>
            </w:tcMar>
          </w:tcPr>
          <w:p w14:paraId="3095B8A8" w14:textId="7D2C3554" w:rsidR="00D54082" w:rsidRPr="001D42B4" w:rsidRDefault="00D54082" w:rsidP="00D54082">
            <w:pPr>
              <w:jc w:val="right"/>
              <w:rPr>
                <w:color w:val="000000"/>
                <w:sz w:val="20"/>
                <w:szCs w:val="20"/>
              </w:rPr>
            </w:pPr>
            <w:r>
              <w:rPr>
                <w:color w:val="000000"/>
                <w:sz w:val="20"/>
              </w:rPr>
              <w:t>30.000</w:t>
            </w:r>
          </w:p>
        </w:tc>
        <w:tc>
          <w:tcPr>
            <w:tcW w:w="1843" w:type="dxa"/>
            <w:tcMar>
              <w:left w:w="105" w:type="dxa"/>
              <w:right w:w="105" w:type="dxa"/>
            </w:tcMar>
          </w:tcPr>
          <w:p w14:paraId="7AD9C2B2" w14:textId="07FFF01C" w:rsidR="00D54082" w:rsidRPr="001D42B4" w:rsidRDefault="00D54082" w:rsidP="00D54082">
            <w:pPr>
              <w:jc w:val="right"/>
              <w:rPr>
                <w:color w:val="000000"/>
                <w:sz w:val="20"/>
                <w:szCs w:val="20"/>
              </w:rPr>
            </w:pPr>
            <w:r>
              <w:rPr>
                <w:color w:val="000000"/>
                <w:sz w:val="20"/>
              </w:rPr>
              <w:t>30.000</w:t>
            </w:r>
          </w:p>
        </w:tc>
        <w:tc>
          <w:tcPr>
            <w:tcW w:w="1839" w:type="dxa"/>
            <w:tcBorders>
              <w:top w:val="single" w:sz="4" w:space="0" w:color="auto"/>
            </w:tcBorders>
            <w:tcMar>
              <w:left w:w="105" w:type="dxa"/>
              <w:right w:w="105" w:type="dxa"/>
            </w:tcMar>
          </w:tcPr>
          <w:p w14:paraId="0F0F1350" w14:textId="77777777" w:rsidR="00D54082" w:rsidRPr="001D42B4" w:rsidRDefault="00D54082" w:rsidP="00D54082">
            <w:pPr>
              <w:jc w:val="right"/>
              <w:rPr>
                <w:color w:val="000000"/>
                <w:sz w:val="20"/>
                <w:szCs w:val="20"/>
              </w:rPr>
            </w:pPr>
            <w:r>
              <w:rPr>
                <w:color w:val="000000"/>
                <w:sz w:val="20"/>
              </w:rPr>
              <w:t>-</w:t>
            </w:r>
          </w:p>
        </w:tc>
      </w:tr>
      <w:tr w:rsidR="00D54082" w:rsidRPr="00D73D50" w14:paraId="21DCD16D" w14:textId="77777777" w:rsidTr="003E1A46">
        <w:trPr>
          <w:trHeight w:val="129"/>
        </w:trPr>
        <w:tc>
          <w:tcPr>
            <w:tcW w:w="4536" w:type="dxa"/>
            <w:vAlign w:val="center"/>
          </w:tcPr>
          <w:p w14:paraId="4049C175" w14:textId="4903672D" w:rsidR="00D54082" w:rsidRPr="00215A91" w:rsidRDefault="00D54082" w:rsidP="000452A1">
            <w:pPr>
              <w:ind w:firstLine="79"/>
              <w:jc w:val="left"/>
              <w:rPr>
                <w:color w:val="000000"/>
                <w:sz w:val="20"/>
                <w:szCs w:val="20"/>
              </w:rPr>
            </w:pPr>
            <w:r>
              <w:rPr>
                <w:color w:val="000000" w:themeColor="text1"/>
                <w:sz w:val="20"/>
              </w:rPr>
              <w:t>Elaboración de directrices de eficiencia energética</w:t>
            </w:r>
          </w:p>
        </w:tc>
        <w:tc>
          <w:tcPr>
            <w:tcW w:w="1134" w:type="dxa"/>
            <w:tcMar>
              <w:left w:w="105" w:type="dxa"/>
              <w:right w:w="105" w:type="dxa"/>
            </w:tcMar>
          </w:tcPr>
          <w:p w14:paraId="688F7CCB" w14:textId="0A6C4153" w:rsidR="00D54082" w:rsidRPr="00215A91" w:rsidRDefault="00D54082" w:rsidP="00D54082">
            <w:pPr>
              <w:jc w:val="right"/>
              <w:rPr>
                <w:color w:val="000000"/>
                <w:sz w:val="20"/>
                <w:szCs w:val="20"/>
              </w:rPr>
            </w:pPr>
            <w:r>
              <w:rPr>
                <w:color w:val="000000"/>
                <w:sz w:val="20"/>
              </w:rPr>
              <w:t>20.000</w:t>
            </w:r>
          </w:p>
        </w:tc>
        <w:tc>
          <w:tcPr>
            <w:tcW w:w="1843" w:type="dxa"/>
            <w:tcMar>
              <w:left w:w="105" w:type="dxa"/>
              <w:right w:w="105" w:type="dxa"/>
            </w:tcMar>
          </w:tcPr>
          <w:p w14:paraId="63B36909" w14:textId="3CFD4367" w:rsidR="00D54082" w:rsidRPr="00215A91" w:rsidRDefault="00D54082" w:rsidP="00D54082">
            <w:pPr>
              <w:jc w:val="right"/>
              <w:rPr>
                <w:color w:val="000000"/>
                <w:sz w:val="20"/>
                <w:szCs w:val="20"/>
              </w:rPr>
            </w:pPr>
            <w:r>
              <w:rPr>
                <w:color w:val="000000"/>
                <w:sz w:val="20"/>
              </w:rPr>
              <w:t>20.000</w:t>
            </w:r>
          </w:p>
        </w:tc>
        <w:tc>
          <w:tcPr>
            <w:tcW w:w="1839" w:type="dxa"/>
            <w:tcMar>
              <w:left w:w="105" w:type="dxa"/>
              <w:right w:w="105" w:type="dxa"/>
            </w:tcMar>
          </w:tcPr>
          <w:p w14:paraId="74D170AF" w14:textId="77777777" w:rsidR="00D54082" w:rsidRPr="001D42B4" w:rsidRDefault="00D54082" w:rsidP="00D54082">
            <w:pPr>
              <w:jc w:val="right"/>
              <w:rPr>
                <w:color w:val="000000"/>
                <w:sz w:val="20"/>
                <w:szCs w:val="20"/>
              </w:rPr>
            </w:pPr>
            <w:r>
              <w:rPr>
                <w:color w:val="000000"/>
                <w:sz w:val="20"/>
              </w:rPr>
              <w:t>-</w:t>
            </w:r>
          </w:p>
        </w:tc>
      </w:tr>
      <w:tr w:rsidR="00D54082" w:rsidRPr="00D73D50" w14:paraId="023F4462" w14:textId="77777777" w:rsidTr="003E1A46">
        <w:trPr>
          <w:trHeight w:val="93"/>
        </w:trPr>
        <w:tc>
          <w:tcPr>
            <w:tcW w:w="4536" w:type="dxa"/>
            <w:tcMar>
              <w:left w:w="105" w:type="dxa"/>
              <w:right w:w="105" w:type="dxa"/>
            </w:tcMar>
            <w:vAlign w:val="center"/>
          </w:tcPr>
          <w:p w14:paraId="2F5B1326" w14:textId="77777777" w:rsidR="00D54082" w:rsidRPr="00A918C8" w:rsidRDefault="00D54082" w:rsidP="00D54082">
            <w:pPr>
              <w:jc w:val="left"/>
              <w:rPr>
                <w:color w:val="000000"/>
                <w:sz w:val="20"/>
                <w:szCs w:val="20"/>
              </w:rPr>
            </w:pPr>
            <w:r>
              <w:rPr>
                <w:color w:val="000000" w:themeColor="text1"/>
                <w:sz w:val="20"/>
              </w:rPr>
              <w:t>Informe final, edición para difusión pública y sensibilización</w:t>
            </w:r>
          </w:p>
        </w:tc>
        <w:tc>
          <w:tcPr>
            <w:tcW w:w="1134" w:type="dxa"/>
            <w:tcMar>
              <w:left w:w="105" w:type="dxa"/>
              <w:right w:w="105" w:type="dxa"/>
            </w:tcMar>
          </w:tcPr>
          <w:p w14:paraId="53FA5665" w14:textId="47132211" w:rsidR="00D54082" w:rsidRPr="001D42B4" w:rsidRDefault="00D54082" w:rsidP="00D54082">
            <w:pPr>
              <w:jc w:val="right"/>
              <w:rPr>
                <w:color w:val="000000"/>
                <w:sz w:val="20"/>
                <w:szCs w:val="20"/>
              </w:rPr>
            </w:pPr>
            <w:r>
              <w:rPr>
                <w:color w:val="000000"/>
                <w:sz w:val="20"/>
              </w:rPr>
              <w:t>10.000</w:t>
            </w:r>
          </w:p>
        </w:tc>
        <w:tc>
          <w:tcPr>
            <w:tcW w:w="1843" w:type="dxa"/>
            <w:tcMar>
              <w:left w:w="105" w:type="dxa"/>
              <w:right w:w="105" w:type="dxa"/>
            </w:tcMar>
          </w:tcPr>
          <w:p w14:paraId="45D1465E" w14:textId="7F64998D" w:rsidR="00D54082" w:rsidRPr="001D42B4" w:rsidRDefault="00D54082" w:rsidP="00D54082">
            <w:pPr>
              <w:jc w:val="right"/>
              <w:rPr>
                <w:color w:val="000000"/>
                <w:sz w:val="20"/>
                <w:szCs w:val="20"/>
              </w:rPr>
            </w:pPr>
            <w:r>
              <w:rPr>
                <w:color w:val="000000"/>
                <w:sz w:val="20"/>
              </w:rPr>
              <w:t>10.000</w:t>
            </w:r>
          </w:p>
        </w:tc>
        <w:tc>
          <w:tcPr>
            <w:tcW w:w="1839" w:type="dxa"/>
            <w:tcMar>
              <w:left w:w="105" w:type="dxa"/>
              <w:right w:w="105" w:type="dxa"/>
            </w:tcMar>
          </w:tcPr>
          <w:p w14:paraId="088570A6" w14:textId="77777777" w:rsidR="00D54082" w:rsidRPr="001D42B4" w:rsidRDefault="00D54082" w:rsidP="00D54082">
            <w:pPr>
              <w:jc w:val="right"/>
              <w:rPr>
                <w:color w:val="000000"/>
                <w:sz w:val="20"/>
                <w:szCs w:val="20"/>
              </w:rPr>
            </w:pPr>
            <w:r>
              <w:rPr>
                <w:color w:val="000000"/>
                <w:sz w:val="20"/>
              </w:rPr>
              <w:t>-</w:t>
            </w:r>
          </w:p>
        </w:tc>
      </w:tr>
      <w:tr w:rsidR="00D54082" w:rsidRPr="00D73D50" w14:paraId="4347A8D9" w14:textId="77777777" w:rsidTr="003E1A46">
        <w:trPr>
          <w:trHeight w:val="93"/>
        </w:trPr>
        <w:tc>
          <w:tcPr>
            <w:tcW w:w="4536" w:type="dxa"/>
            <w:tcMar>
              <w:left w:w="105" w:type="dxa"/>
              <w:right w:w="105" w:type="dxa"/>
            </w:tcMar>
            <w:vAlign w:val="center"/>
          </w:tcPr>
          <w:p w14:paraId="502F204B" w14:textId="77777777" w:rsidR="00D54082" w:rsidRPr="00A918C8" w:rsidRDefault="00D54082" w:rsidP="00D54082">
            <w:pPr>
              <w:jc w:val="left"/>
              <w:rPr>
                <w:color w:val="000000"/>
                <w:sz w:val="20"/>
                <w:szCs w:val="20"/>
              </w:rPr>
            </w:pPr>
            <w:r>
              <w:rPr>
                <w:color w:val="000000" w:themeColor="text1"/>
                <w:sz w:val="20"/>
              </w:rPr>
              <w:t>Talleres para la difusión de los resultados del proyecto</w:t>
            </w:r>
          </w:p>
        </w:tc>
        <w:tc>
          <w:tcPr>
            <w:tcW w:w="1134" w:type="dxa"/>
            <w:tcMar>
              <w:left w:w="105" w:type="dxa"/>
              <w:right w:w="105" w:type="dxa"/>
            </w:tcMar>
          </w:tcPr>
          <w:p w14:paraId="3AF6BC09" w14:textId="06141DAE" w:rsidR="00D54082" w:rsidRPr="001D42B4" w:rsidRDefault="00D54082" w:rsidP="00D54082">
            <w:pPr>
              <w:jc w:val="right"/>
              <w:rPr>
                <w:color w:val="000000"/>
                <w:sz w:val="20"/>
                <w:szCs w:val="20"/>
              </w:rPr>
            </w:pPr>
            <w:r>
              <w:rPr>
                <w:color w:val="000000"/>
                <w:sz w:val="20"/>
              </w:rPr>
              <w:t>10.000</w:t>
            </w:r>
          </w:p>
        </w:tc>
        <w:tc>
          <w:tcPr>
            <w:tcW w:w="1843" w:type="dxa"/>
            <w:tcMar>
              <w:left w:w="105" w:type="dxa"/>
              <w:right w:w="105" w:type="dxa"/>
            </w:tcMar>
          </w:tcPr>
          <w:p w14:paraId="26986722" w14:textId="79D2FFE9" w:rsidR="00D54082" w:rsidRPr="001D42B4" w:rsidRDefault="00D54082" w:rsidP="00D54082">
            <w:pPr>
              <w:jc w:val="right"/>
              <w:rPr>
                <w:color w:val="000000"/>
                <w:sz w:val="20"/>
                <w:szCs w:val="20"/>
              </w:rPr>
            </w:pPr>
            <w:r>
              <w:rPr>
                <w:color w:val="000000"/>
                <w:sz w:val="20"/>
              </w:rPr>
              <w:t>10.000</w:t>
            </w:r>
          </w:p>
        </w:tc>
        <w:tc>
          <w:tcPr>
            <w:tcW w:w="1839" w:type="dxa"/>
            <w:tcMar>
              <w:left w:w="105" w:type="dxa"/>
              <w:right w:w="105" w:type="dxa"/>
            </w:tcMar>
          </w:tcPr>
          <w:p w14:paraId="3FB9503A" w14:textId="77777777" w:rsidR="00D54082" w:rsidRPr="001D42B4" w:rsidRDefault="00D54082" w:rsidP="00D54082">
            <w:pPr>
              <w:jc w:val="right"/>
              <w:rPr>
                <w:color w:val="000000"/>
                <w:sz w:val="20"/>
                <w:szCs w:val="20"/>
              </w:rPr>
            </w:pPr>
            <w:r>
              <w:rPr>
                <w:color w:val="000000"/>
                <w:sz w:val="20"/>
              </w:rPr>
              <w:t>-</w:t>
            </w:r>
          </w:p>
        </w:tc>
      </w:tr>
      <w:tr w:rsidR="00484949" w:rsidRPr="00D73D50" w14:paraId="4A14174F" w14:textId="77777777" w:rsidTr="003E1A46">
        <w:trPr>
          <w:trHeight w:val="93"/>
        </w:trPr>
        <w:tc>
          <w:tcPr>
            <w:tcW w:w="4536" w:type="dxa"/>
            <w:tcMar>
              <w:left w:w="105" w:type="dxa"/>
              <w:right w:w="105" w:type="dxa"/>
            </w:tcMar>
            <w:vAlign w:val="center"/>
          </w:tcPr>
          <w:p w14:paraId="2F255643" w14:textId="77777777" w:rsidR="00484949" w:rsidRPr="001D42B4" w:rsidRDefault="00484949" w:rsidP="006109A5">
            <w:pPr>
              <w:jc w:val="left"/>
              <w:rPr>
                <w:i/>
                <w:iCs/>
                <w:color w:val="000000" w:themeColor="text1"/>
                <w:sz w:val="20"/>
                <w:szCs w:val="20"/>
              </w:rPr>
            </w:pPr>
            <w:r>
              <w:rPr>
                <w:i/>
                <w:color w:val="000000" w:themeColor="text1"/>
                <w:sz w:val="20"/>
              </w:rPr>
              <w:t xml:space="preserve">Subtotal </w:t>
            </w:r>
          </w:p>
        </w:tc>
        <w:tc>
          <w:tcPr>
            <w:tcW w:w="1134" w:type="dxa"/>
            <w:tcMar>
              <w:left w:w="105" w:type="dxa"/>
              <w:right w:w="105" w:type="dxa"/>
            </w:tcMar>
            <w:vAlign w:val="center"/>
          </w:tcPr>
          <w:p w14:paraId="466B227A" w14:textId="04F3870C" w:rsidR="00484949" w:rsidRPr="001D42B4" w:rsidRDefault="00D54082" w:rsidP="006109A5">
            <w:pPr>
              <w:jc w:val="right"/>
              <w:rPr>
                <w:i/>
                <w:iCs/>
                <w:color w:val="000000" w:themeColor="text1"/>
                <w:sz w:val="20"/>
                <w:szCs w:val="20"/>
              </w:rPr>
            </w:pPr>
            <w:r>
              <w:rPr>
                <w:i/>
                <w:color w:val="000000" w:themeColor="text1"/>
                <w:sz w:val="20"/>
              </w:rPr>
              <w:t>70.000</w:t>
            </w:r>
          </w:p>
        </w:tc>
        <w:tc>
          <w:tcPr>
            <w:tcW w:w="1843" w:type="dxa"/>
            <w:tcMar>
              <w:left w:w="105" w:type="dxa"/>
              <w:right w:w="105" w:type="dxa"/>
            </w:tcMar>
            <w:vAlign w:val="center"/>
          </w:tcPr>
          <w:p w14:paraId="17168FDE" w14:textId="4947B225" w:rsidR="00484949" w:rsidRPr="001D42B4" w:rsidRDefault="00D54082" w:rsidP="006109A5">
            <w:pPr>
              <w:jc w:val="right"/>
              <w:rPr>
                <w:i/>
                <w:iCs/>
                <w:color w:val="000000" w:themeColor="text1"/>
                <w:sz w:val="20"/>
                <w:szCs w:val="20"/>
              </w:rPr>
            </w:pPr>
            <w:r>
              <w:rPr>
                <w:i/>
                <w:color w:val="000000" w:themeColor="text1"/>
                <w:sz w:val="20"/>
              </w:rPr>
              <w:t>70.000</w:t>
            </w:r>
          </w:p>
        </w:tc>
        <w:tc>
          <w:tcPr>
            <w:tcW w:w="1839" w:type="dxa"/>
            <w:tcMar>
              <w:left w:w="105" w:type="dxa"/>
              <w:right w:w="105" w:type="dxa"/>
            </w:tcMar>
            <w:vAlign w:val="center"/>
          </w:tcPr>
          <w:p w14:paraId="579A008D" w14:textId="77777777" w:rsidR="00484949" w:rsidRPr="001D42B4" w:rsidRDefault="00484949" w:rsidP="006109A5">
            <w:pPr>
              <w:jc w:val="right"/>
              <w:rPr>
                <w:i/>
                <w:iCs/>
                <w:color w:val="000000" w:themeColor="text1"/>
                <w:sz w:val="20"/>
                <w:szCs w:val="20"/>
              </w:rPr>
            </w:pPr>
            <w:r>
              <w:rPr>
                <w:i/>
                <w:color w:val="000000" w:themeColor="text1"/>
                <w:sz w:val="20"/>
              </w:rPr>
              <w:t>-</w:t>
            </w:r>
          </w:p>
        </w:tc>
      </w:tr>
      <w:tr w:rsidR="00484949" w:rsidRPr="00D73D50" w14:paraId="4E407E7A" w14:textId="77777777" w:rsidTr="003E1A46">
        <w:trPr>
          <w:trHeight w:val="210"/>
        </w:trPr>
        <w:tc>
          <w:tcPr>
            <w:tcW w:w="4536" w:type="dxa"/>
            <w:tcMar>
              <w:left w:w="105" w:type="dxa"/>
              <w:right w:w="105" w:type="dxa"/>
            </w:tcMar>
            <w:vAlign w:val="center"/>
          </w:tcPr>
          <w:p w14:paraId="7FCF15BA" w14:textId="77777777" w:rsidR="00484949" w:rsidRPr="001D42B4" w:rsidRDefault="00484949" w:rsidP="006109A5">
            <w:pPr>
              <w:jc w:val="left"/>
              <w:rPr>
                <w:b/>
                <w:bCs/>
                <w:color w:val="000000" w:themeColor="text1"/>
                <w:sz w:val="20"/>
                <w:szCs w:val="20"/>
              </w:rPr>
            </w:pPr>
            <w:proofErr w:type="gramStart"/>
            <w:r>
              <w:rPr>
                <w:b/>
                <w:color w:val="000000" w:themeColor="text1"/>
                <w:sz w:val="20"/>
              </w:rPr>
              <w:t>TOTAL</w:t>
            </w:r>
            <w:proofErr w:type="gramEnd"/>
            <w:r>
              <w:rPr>
                <w:b/>
                <w:color w:val="000000" w:themeColor="text1"/>
                <w:sz w:val="20"/>
              </w:rPr>
              <w:t xml:space="preserve"> GENERAL</w:t>
            </w:r>
          </w:p>
        </w:tc>
        <w:tc>
          <w:tcPr>
            <w:tcW w:w="1134" w:type="dxa"/>
            <w:tcMar>
              <w:left w:w="105" w:type="dxa"/>
              <w:right w:w="105" w:type="dxa"/>
            </w:tcMar>
            <w:vAlign w:val="center"/>
          </w:tcPr>
          <w:p w14:paraId="46816D37" w14:textId="3846976B" w:rsidR="00484949" w:rsidRPr="001D42B4" w:rsidRDefault="00656743" w:rsidP="006109A5">
            <w:pPr>
              <w:jc w:val="right"/>
              <w:rPr>
                <w:b/>
                <w:bCs/>
                <w:color w:val="000000" w:themeColor="text1"/>
                <w:sz w:val="20"/>
                <w:szCs w:val="20"/>
              </w:rPr>
            </w:pPr>
            <w:r>
              <w:rPr>
                <w:b/>
                <w:color w:val="000000" w:themeColor="text1"/>
                <w:sz w:val="20"/>
              </w:rPr>
              <w:t>1.170.000</w:t>
            </w:r>
          </w:p>
        </w:tc>
        <w:tc>
          <w:tcPr>
            <w:tcW w:w="1843" w:type="dxa"/>
            <w:tcMar>
              <w:left w:w="105" w:type="dxa"/>
              <w:right w:w="105" w:type="dxa"/>
            </w:tcMar>
            <w:vAlign w:val="center"/>
          </w:tcPr>
          <w:p w14:paraId="6E47BF81" w14:textId="04DA8530" w:rsidR="00484949" w:rsidRPr="001D42B4" w:rsidRDefault="00656743" w:rsidP="006109A5">
            <w:pPr>
              <w:jc w:val="right"/>
              <w:rPr>
                <w:b/>
                <w:bCs/>
                <w:color w:val="000000" w:themeColor="text1"/>
                <w:sz w:val="20"/>
                <w:szCs w:val="20"/>
              </w:rPr>
            </w:pPr>
            <w:r>
              <w:rPr>
                <w:b/>
                <w:color w:val="000000" w:themeColor="text1"/>
                <w:sz w:val="20"/>
              </w:rPr>
              <w:t>720.000</w:t>
            </w:r>
          </w:p>
        </w:tc>
        <w:tc>
          <w:tcPr>
            <w:tcW w:w="1839" w:type="dxa"/>
            <w:tcMar>
              <w:left w:w="105" w:type="dxa"/>
              <w:right w:w="105" w:type="dxa"/>
            </w:tcMar>
            <w:vAlign w:val="center"/>
          </w:tcPr>
          <w:p w14:paraId="518AA09D" w14:textId="44FC588F" w:rsidR="00484949" w:rsidRPr="001D42B4" w:rsidRDefault="00484949" w:rsidP="006109A5">
            <w:pPr>
              <w:jc w:val="right"/>
              <w:rPr>
                <w:b/>
                <w:bCs/>
                <w:color w:val="000000" w:themeColor="text1"/>
                <w:sz w:val="20"/>
                <w:szCs w:val="20"/>
              </w:rPr>
            </w:pPr>
            <w:r>
              <w:rPr>
                <w:b/>
                <w:color w:val="000000" w:themeColor="text1"/>
                <w:sz w:val="20"/>
              </w:rPr>
              <w:t>450.000</w:t>
            </w:r>
          </w:p>
        </w:tc>
      </w:tr>
    </w:tbl>
    <w:p w14:paraId="0A9BE651" w14:textId="254BBA8D" w:rsidR="00D73D50" w:rsidRPr="00B11BE0" w:rsidRDefault="00D73D50" w:rsidP="00D73D50">
      <w:pPr>
        <w:spacing w:before="240" w:after="240"/>
        <w:rPr>
          <w:u w:val="single"/>
        </w:rPr>
      </w:pPr>
      <w:r>
        <w:rPr>
          <w:u w:val="single"/>
        </w:rPr>
        <w:t xml:space="preserve">Mejoras en la eficiencia energética y estimación preliminar del ahorro de electricidad </w:t>
      </w:r>
    </w:p>
    <w:p w14:paraId="19DF65A7" w14:textId="447875B3" w:rsidR="00D73D50" w:rsidRDefault="00265174">
      <w:pPr>
        <w:pStyle w:val="Heading1"/>
      </w:pPr>
      <w:r>
        <w:t xml:space="preserve">El PNUD calculó de manera indicativa el posible ahorro energético del proyecto de demostración tomando como referencia la información real de una posible planta beneficiaria. En dicha planta, el 60 por ciento de la energía se consume en procesos de refrigeración, y la bomba de calor propuesta sustituiría el 27 por ciento de la capacidad de frío instalada (300 kW). La instalación de un sistema de bomba de calor con un coeficiente de rendimiento de entre 5 y 7 comportará un ahorro de electricidad (refrigeración) y petróleo/gas natural (calentamiento) de aproximadamente 491.549 kWh/año por planta. Con un costo promedio estimado de electricidad industrial de USD 0,14 por kWh, la estimación preliminar indica que la empresa beneficiaria podría lograr un ahorro anual de hasta USD 68.817 en la factura de electricidad. En cualquier caso, estos valores pueden variar en función de las características concretas de cada planta y la configuración final de la instalación, así como de los equipos suministrados. </w:t>
      </w:r>
    </w:p>
    <w:p w14:paraId="2A4B824C" w14:textId="6C253A89" w:rsidR="00D73D50" w:rsidRDefault="00D73D50" w:rsidP="00DD1F04">
      <w:pPr>
        <w:rPr>
          <w:u w:val="single"/>
        </w:rPr>
      </w:pPr>
      <w:r>
        <w:rPr>
          <w:u w:val="single"/>
        </w:rPr>
        <w:t>Sostenibilidad, replicabilidad y evaluación de riesgos</w:t>
      </w:r>
    </w:p>
    <w:p w14:paraId="1B83FF17" w14:textId="77777777" w:rsidR="00DD1F04" w:rsidRPr="00CE4135" w:rsidRDefault="00DD1F04" w:rsidP="00DD1F04">
      <w:pPr>
        <w:rPr>
          <w:color w:val="000000" w:themeColor="text1"/>
          <w:lang w:val="fr-FR"/>
        </w:rPr>
      </w:pPr>
    </w:p>
    <w:p w14:paraId="26B74C7C" w14:textId="2B3D08A9" w:rsidR="00AE6DE4" w:rsidRPr="000930F3" w:rsidRDefault="00D8454C" w:rsidP="005A3FBA">
      <w:pPr>
        <w:pStyle w:val="Heading1"/>
      </w:pPr>
      <w:r>
        <w:t>El PNUD explicó que es prematuro establecer un estándar de bombas de calor para los procesos industriales en esta etapa, ya que la tecnología propuesta se encuentra en fase de pruebas. En consulta con el Ministerio de Energía, se determinó que adoptar MEPS, o medidas equivalentes, en esta etapa desincentivaría la instalación de una tecnología aún desconocida en el país. No obstante, a partir de los resultados de las demostraciones, se prevé que los proyectos propicien la elaboración de criterios de eficiencia energética para guiar a otros usuarios finales a elegir esta tecnología.</w:t>
      </w:r>
    </w:p>
    <w:p w14:paraId="7369F180" w14:textId="38EFEDA7" w:rsidR="00A00AEE" w:rsidRPr="000930F3" w:rsidRDefault="00E43F98" w:rsidP="005A3FBA">
      <w:pPr>
        <w:pStyle w:val="Heading1"/>
      </w:pPr>
      <w:r>
        <w:t xml:space="preserve">Se espera que la replicabilidad inmediata del proyecto sea alta en un gran número de PYMES de los sectores de elaboración de productos lácteos y cárnicos. Durante la preparación del proyecto se realizaron consultas con asociaciones de los sectores lácteo y cárnico para garantizar su compromiso e </w:t>
      </w:r>
      <w:r>
        <w:lastRenderedPageBreak/>
        <w:t>implicación en el proyecto. Se espera que más adelante, una vez demostradas las ventajas en materia de eficiencia energética, otros sectores como el vinícola y el pesquero adopten también esta tecnología.</w:t>
      </w:r>
    </w:p>
    <w:p w14:paraId="425CA350" w14:textId="461DA105" w:rsidR="00B2545E" w:rsidRPr="000930F3" w:rsidRDefault="00237EE8" w:rsidP="005A3FBA">
      <w:pPr>
        <w:pStyle w:val="Heading1"/>
      </w:pPr>
      <w:r>
        <w:t xml:space="preserve">En cuanto a los riesgos de implementación identificados, se intentará reducir cualquier posible retraso en la selección de las empresas beneficiarias y la adquisición e instalación de los equipos comenzando el proceso de selección de empresas tan pronto como se apruebe el proyecto, y planificando y coordinando con antelación los procesos de adquisición estrechamente con las empresas beneficiarias. Para garantizar el compromiso y capacidad requeridos de las empresas beneficiarias, se facilitará a </w:t>
      </w:r>
      <w:proofErr w:type="gramStart"/>
      <w:r>
        <w:t>estas información clara</w:t>
      </w:r>
      <w:proofErr w:type="gramEnd"/>
      <w:r>
        <w:t xml:space="preserve"> sobre los requisitos financieros, técnicos y de seguridad durante el proceso de selección para que puedan planificarse, y se supervisará de cerca su actividad para ofrecerles asistencia técnica en caso necesario. Para mitigar los riesgos relacionados con la escasa oferta local de bombas de calor a base de CO</w:t>
      </w:r>
      <w:r>
        <w:rPr>
          <w:vertAlign w:val="subscript"/>
        </w:rPr>
        <w:t>2</w:t>
      </w:r>
      <w:r>
        <w:t>, se divulgará la ejecución del proyecto entre las empresas de ingeniería locales y en la región a fin de ampliar la oferta de sistemas y equipos.</w:t>
      </w:r>
    </w:p>
    <w:p w14:paraId="6F469FFF" w14:textId="77777777" w:rsidR="00D73D50" w:rsidRPr="00094DA8" w:rsidRDefault="00D73D50" w:rsidP="00D73D50">
      <w:pPr>
        <w:keepNext/>
        <w:spacing w:before="360" w:after="240"/>
      </w:pPr>
      <w:r>
        <w:rPr>
          <w:b/>
        </w:rPr>
        <w:t>RECOMENDACIÓN</w:t>
      </w:r>
    </w:p>
    <w:p w14:paraId="0374F439" w14:textId="0D7F49FE" w:rsidR="00D73D50" w:rsidRPr="00094DA8" w:rsidRDefault="00D73D50" w:rsidP="005A3FBA">
      <w:pPr>
        <w:pStyle w:val="Heading1"/>
      </w:pPr>
      <w:r>
        <w:t>El Comité Ejecutivo puede estimar oportuno aprobar el proyecto piloto destinado a mantener y/o mejorar la eficiencia energética de equipos y tecnologías sustitutivas durante la reducción de los HFC (actividades sin inversión): Proyecto de demostración del uso de R-744 (dióxido de carbono) como refrigerante alternativo en bombas de calor aplicadas en la refrigeración industrial en Chile, por una suma de USD 720.000, más unos gastos de apoyo de USD 50.400 para el PNUD, tomando nota de lo siguiente:</w:t>
      </w:r>
    </w:p>
    <w:p w14:paraId="38C9E87A" w14:textId="130229CF" w:rsidR="00D73D50" w:rsidRPr="00094DA8" w:rsidRDefault="00D73D50" w:rsidP="00354140">
      <w:pPr>
        <w:pStyle w:val="Heading2"/>
      </w:pPr>
      <w:r>
        <w:t>Que el Gobierno de Chile se ha comprometido a dar cumplimiento a las condiciones establecidas en la decisión 91/65, incisos</w:t>
      </w:r>
      <w:r w:rsidR="00245EFC">
        <w:t xml:space="preserve"> del</w:t>
      </w:r>
      <w:r>
        <w:t xml:space="preserve"> b) </w:t>
      </w:r>
      <w:proofErr w:type="spellStart"/>
      <w:r>
        <w:t>iv</w:t>
      </w:r>
      <w:proofErr w:type="spellEnd"/>
      <w:r>
        <w:t>) b. a</w:t>
      </w:r>
      <w:r w:rsidR="00BA2654">
        <w:t>l</w:t>
      </w:r>
      <w:r>
        <w:t xml:space="preserve"> b</w:t>
      </w:r>
      <w:r w:rsidR="00BA2654">
        <w:t>)</w:t>
      </w:r>
      <w:r>
        <w:t> </w:t>
      </w:r>
      <w:proofErr w:type="spellStart"/>
      <w:r>
        <w:t>iv</w:t>
      </w:r>
      <w:proofErr w:type="spellEnd"/>
      <w:r>
        <w:t>) d.; y</w:t>
      </w:r>
    </w:p>
    <w:p w14:paraId="34E86BE2" w14:textId="0C9A956B" w:rsidR="00D73D50" w:rsidRPr="00094DA8" w:rsidRDefault="00D73D50" w:rsidP="00354140">
      <w:pPr>
        <w:pStyle w:val="Heading2"/>
      </w:pPr>
      <w:r>
        <w:t xml:space="preserve">Que el cierre operativo del proyecto se producirá a más tardar el 30 de junio de 2028 y que dentro de los seis meses siguientes se presentará al Comité Ejecutivo un informe </w:t>
      </w:r>
      <w:r w:rsidR="00245EFC">
        <w:t xml:space="preserve">detallado </w:t>
      </w:r>
      <w:r>
        <w:t xml:space="preserve">al respecto.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73D50" w:rsidRPr="00D73D50" w14:paraId="4DAC1300" w14:textId="77777777" w:rsidTr="006109A5">
        <w:tc>
          <w:tcPr>
            <w:tcW w:w="1870" w:type="dxa"/>
          </w:tcPr>
          <w:p w14:paraId="609AAF8C" w14:textId="77777777" w:rsidR="00D73D50" w:rsidRPr="00CE4135" w:rsidRDefault="00D73D50" w:rsidP="00D73D50">
            <w:pPr>
              <w:rPr>
                <w:lang w:val="fr-FR"/>
              </w:rPr>
            </w:pPr>
          </w:p>
        </w:tc>
        <w:tc>
          <w:tcPr>
            <w:tcW w:w="1870" w:type="dxa"/>
          </w:tcPr>
          <w:p w14:paraId="294D8B11" w14:textId="77777777" w:rsidR="00D73D50" w:rsidRPr="00CE4135" w:rsidRDefault="00D73D50" w:rsidP="00D73D50">
            <w:pPr>
              <w:rPr>
                <w:lang w:val="fr-FR"/>
              </w:rPr>
            </w:pPr>
          </w:p>
        </w:tc>
        <w:tc>
          <w:tcPr>
            <w:tcW w:w="1870" w:type="dxa"/>
            <w:tcBorders>
              <w:bottom w:val="single" w:sz="4" w:space="0" w:color="auto"/>
            </w:tcBorders>
          </w:tcPr>
          <w:p w14:paraId="1EDCD2A9" w14:textId="77777777" w:rsidR="00D73D50" w:rsidRPr="00CE4135" w:rsidRDefault="00D73D50" w:rsidP="00D73D50">
            <w:pPr>
              <w:rPr>
                <w:lang w:val="fr-FR"/>
              </w:rPr>
            </w:pPr>
          </w:p>
        </w:tc>
        <w:tc>
          <w:tcPr>
            <w:tcW w:w="1870" w:type="dxa"/>
          </w:tcPr>
          <w:p w14:paraId="188A5BD0" w14:textId="77777777" w:rsidR="00D73D50" w:rsidRPr="00CE4135" w:rsidRDefault="00D73D50" w:rsidP="00D73D50">
            <w:pPr>
              <w:rPr>
                <w:lang w:val="fr-FR"/>
              </w:rPr>
            </w:pPr>
          </w:p>
        </w:tc>
        <w:tc>
          <w:tcPr>
            <w:tcW w:w="1870" w:type="dxa"/>
          </w:tcPr>
          <w:p w14:paraId="0EF0F9CE" w14:textId="77777777" w:rsidR="00D73D50" w:rsidRPr="00CE4135" w:rsidRDefault="00D73D50" w:rsidP="00D73D50">
            <w:pPr>
              <w:rPr>
                <w:lang w:val="fr-FR"/>
              </w:rPr>
            </w:pPr>
          </w:p>
        </w:tc>
      </w:tr>
    </w:tbl>
    <w:p w14:paraId="5D61C58F" w14:textId="77777777" w:rsidR="00D73D50" w:rsidRPr="00CE4135" w:rsidRDefault="00D73D50" w:rsidP="00D73D50">
      <w:pPr>
        <w:rPr>
          <w:lang w:val="fr-FR"/>
        </w:rPr>
      </w:pPr>
    </w:p>
    <w:sectPr w:rsidR="00D73D50" w:rsidRPr="00CE4135" w:rsidSect="00CB1DBA">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3">
      <wne:macro wne:macroName="TEMPLATEPROJECT.CO2.MAIN"/>
    </wne:keymap>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8"/>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 wne:kcmPrimary="0655">
      <wne:macro wne:macroName="TEMPLATEPROJECT.MODULE1.MAIN"/>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cdName="acd6" wne:fciIndexBasedOn="0065"/>
    <wne:acd wne:argValue="AQAAAAUA" wne:acdName="acd7" wne:fciIndexBasedOn="0065"/>
    <wne:acd wne:argValue="AgBOAGUAdwAgAGgAZQBhAGQAZQByACAANAA=" wne:acdName="acd8"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6229C" w14:textId="77777777" w:rsidR="00C02E74" w:rsidRDefault="00C02E74" w:rsidP="004A504B">
      <w:r>
        <w:separator/>
      </w:r>
    </w:p>
  </w:endnote>
  <w:endnote w:type="continuationSeparator" w:id="0">
    <w:p w14:paraId="5FF65259" w14:textId="77777777" w:rsidR="00C02E74" w:rsidRDefault="00C02E74" w:rsidP="004A504B">
      <w:r>
        <w:continuationSeparator/>
      </w:r>
    </w:p>
  </w:endnote>
  <w:endnote w:type="continuationNotice" w:id="1">
    <w:p w14:paraId="3A3C5DE9" w14:textId="77777777" w:rsidR="00C02E74" w:rsidRDefault="00C02E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5FF36" w14:textId="77777777" w:rsidR="006109A5" w:rsidRPr="0033525D" w:rsidRDefault="006109A5">
    <w:pPr>
      <w:jc w:val="center"/>
    </w:pP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B039" w14:textId="77777777" w:rsidR="006109A5" w:rsidRPr="0033525D" w:rsidRDefault="006109A5">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94B91"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r>
      <w:rPr>
        <w:sz w:val="18"/>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Pr>
        <w:sz w:val="18"/>
      </w:rPr>
      <w:t>los mismos</w:t>
    </w:r>
    <w:proofErr w:type="gramEnd"/>
    <w:r>
      <w:rPr>
        <w:sz w:val="18"/>
      </w:rPr>
      <w:t>.</w:t>
    </w:r>
  </w:p>
  <w:p w14:paraId="0FF4C129" w14:textId="77777777" w:rsidR="006109A5" w:rsidRDefault="006109A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1B09F" w14:textId="77777777" w:rsidR="00C02E74" w:rsidRDefault="00C02E74" w:rsidP="004A504B">
      <w:r>
        <w:separator/>
      </w:r>
    </w:p>
  </w:footnote>
  <w:footnote w:type="continuationSeparator" w:id="0">
    <w:p w14:paraId="2AAFD5CA" w14:textId="77777777" w:rsidR="00C02E74" w:rsidRDefault="00C02E74" w:rsidP="004A504B">
      <w:r>
        <w:continuationSeparator/>
      </w:r>
    </w:p>
  </w:footnote>
  <w:footnote w:type="continuationNotice" w:id="1">
    <w:p w14:paraId="1BFFC68B" w14:textId="77777777" w:rsidR="00C02E74" w:rsidRDefault="00C02E74"/>
  </w:footnote>
  <w:footnote w:id="2">
    <w:p w14:paraId="03919EEA" w14:textId="5F1DEA77" w:rsidR="006109A5" w:rsidRPr="001E1147" w:rsidRDefault="006109A5" w:rsidP="0079781A">
      <w:pPr>
        <w:pStyle w:val="FootnoteText"/>
      </w:pPr>
      <w:r>
        <w:rPr>
          <w:rStyle w:val="FootnoteReference"/>
        </w:rPr>
        <w:footnoteRef/>
      </w:r>
      <w:r>
        <w:t xml:space="preserve"> UNEP/</w:t>
      </w:r>
      <w:proofErr w:type="spellStart"/>
      <w:r>
        <w:t>OzL.Pro</w:t>
      </w:r>
      <w:proofErr w:type="spellEnd"/>
      <w:r>
        <w:t>/</w:t>
      </w:r>
      <w:proofErr w:type="spellStart"/>
      <w:r>
        <w:t>ExCom</w:t>
      </w:r>
      <w:proofErr w:type="spellEnd"/>
      <w:r>
        <w:t>/96/1</w:t>
      </w:r>
    </w:p>
  </w:footnote>
  <w:footnote w:id="3">
    <w:p w14:paraId="09B0BFCC" w14:textId="7F9C79E6" w:rsidR="006109A5" w:rsidRPr="008A2345" w:rsidRDefault="006109A5" w:rsidP="00D73D50">
      <w:pPr>
        <w:pStyle w:val="FootnoteText"/>
      </w:pPr>
      <w:r>
        <w:rPr>
          <w:rStyle w:val="FootnoteReference"/>
          <w:lang w:val="en-GB"/>
        </w:rPr>
        <w:footnoteRef/>
      </w:r>
      <w:r>
        <w:t xml:space="preserve"> Según nota del 12 de marzo de 2025 dirigida al PNUD por el Ministerio de Medio Ambiente de Chile.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AF0" w14:textId="58C479D0" w:rsidR="006109A5" w:rsidRPr="0033525D" w:rsidRDefault="000322AB">
    <w:r>
      <w:fldChar w:fldCharType="begin"/>
    </w:r>
    <w:r>
      <w:instrText>DOCPROPERTY "Document number"  \* MERGEFORMAT</w:instrText>
    </w:r>
    <w:r>
      <w:fldChar w:fldCharType="separate"/>
    </w:r>
    <w:r w:rsidR="00CE4135">
      <w:t>UNEP/</w:t>
    </w:r>
    <w:proofErr w:type="spellStart"/>
    <w:r w:rsidR="00CE4135">
      <w:t>OzL.Pro</w:t>
    </w:r>
    <w:proofErr w:type="spellEnd"/>
    <w:r w:rsidR="00CE4135">
      <w:t>/</w:t>
    </w:r>
    <w:proofErr w:type="spellStart"/>
    <w:r w:rsidR="00CE4135">
      <w:t>ExCom</w:t>
    </w:r>
    <w:proofErr w:type="spellEnd"/>
    <w:r w:rsidR="00CE4135">
      <w:t>/96/30</w:t>
    </w:r>
    <w:r>
      <w:fldChar w:fldCharType="end"/>
    </w:r>
  </w:p>
  <w:p w14:paraId="6860EB02" w14:textId="77777777" w:rsidR="006109A5" w:rsidRPr="0033525D" w:rsidRDefault="006109A5"/>
  <w:p w14:paraId="6924930D" w14:textId="77777777" w:rsidR="006109A5" w:rsidRPr="0033525D" w:rsidRDefault="006109A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EED0A" w14:textId="7F012291" w:rsidR="006109A5" w:rsidRPr="0033525D" w:rsidRDefault="000322AB">
    <w:pPr>
      <w:jc w:val="right"/>
    </w:pPr>
    <w:r>
      <w:fldChar w:fldCharType="begin"/>
    </w:r>
    <w:r>
      <w:instrText>DOCPROPERTY "Document number"  \* MERGEFORMAT</w:instrText>
    </w:r>
    <w:r>
      <w:fldChar w:fldCharType="separate"/>
    </w:r>
    <w:r w:rsidR="00CE4135">
      <w:t>UNEP/</w:t>
    </w:r>
    <w:proofErr w:type="spellStart"/>
    <w:r w:rsidR="00CE4135">
      <w:t>OzL.Pro</w:t>
    </w:r>
    <w:proofErr w:type="spellEnd"/>
    <w:r w:rsidR="00CE4135">
      <w:t>/</w:t>
    </w:r>
    <w:proofErr w:type="spellStart"/>
    <w:r w:rsidR="00CE4135">
      <w:t>ExCom</w:t>
    </w:r>
    <w:proofErr w:type="spellEnd"/>
    <w:r w:rsidR="00CE4135">
      <w:t>/96/30</w:t>
    </w:r>
    <w:r>
      <w:fldChar w:fldCharType="end"/>
    </w:r>
  </w:p>
  <w:p w14:paraId="206883EF" w14:textId="77777777" w:rsidR="006109A5" w:rsidRPr="0033525D" w:rsidRDefault="006109A5"/>
  <w:p w14:paraId="649A1F7E" w14:textId="77777777" w:rsidR="006109A5" w:rsidRPr="0033525D" w:rsidRDefault="006109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1020A5C"/>
    <w:lvl w:ilvl="0">
      <w:start w:val="1"/>
      <w:numFmt w:val="decimal"/>
      <w:pStyle w:val="Heading1"/>
      <w:lvlText w:val="%1."/>
      <w:lvlJc w:val="left"/>
      <w:pPr>
        <w:tabs>
          <w:tab w:val="num" w:pos="0"/>
        </w:tabs>
        <w:ind w:left="0" w:firstLine="0"/>
      </w:pPr>
      <w:rPr>
        <w:rFonts w:ascii="Times New Roman" w:hAnsi="Times New Roman" w:cs="Times New Roman" w:hint="default"/>
        <w:sz w:val="22"/>
        <w:szCs w:val="22"/>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211"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2"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3"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49246552">
    <w:abstractNumId w:val="0"/>
  </w:num>
  <w:num w:numId="2" w16cid:durableId="1364280736">
    <w:abstractNumId w:val="0"/>
  </w:num>
  <w:num w:numId="3" w16cid:durableId="1909531124">
    <w:abstractNumId w:val="0"/>
  </w:num>
  <w:num w:numId="4" w16cid:durableId="2139833383">
    <w:abstractNumId w:val="0"/>
  </w:num>
  <w:num w:numId="5" w16cid:durableId="1056514637">
    <w:abstractNumId w:val="4"/>
  </w:num>
  <w:num w:numId="6" w16cid:durableId="1876501096">
    <w:abstractNumId w:val="7"/>
  </w:num>
  <w:num w:numId="7" w16cid:durableId="409234488">
    <w:abstractNumId w:val="8"/>
  </w:num>
  <w:num w:numId="8" w16cid:durableId="1182935925">
    <w:abstractNumId w:val="14"/>
  </w:num>
  <w:num w:numId="9" w16cid:durableId="1953857456">
    <w:abstractNumId w:val="5"/>
  </w:num>
  <w:num w:numId="10" w16cid:durableId="275909297">
    <w:abstractNumId w:val="9"/>
  </w:num>
  <w:num w:numId="11" w16cid:durableId="598296029">
    <w:abstractNumId w:val="1"/>
  </w:num>
  <w:num w:numId="12" w16cid:durableId="1074813681">
    <w:abstractNumId w:val="10"/>
  </w:num>
  <w:num w:numId="13" w16cid:durableId="1725564835">
    <w:abstractNumId w:val="6"/>
  </w:num>
  <w:num w:numId="14" w16cid:durableId="1269001707">
    <w:abstractNumId w:val="12"/>
  </w:num>
  <w:num w:numId="15" w16cid:durableId="527648014">
    <w:abstractNumId w:val="11"/>
  </w:num>
  <w:num w:numId="16" w16cid:durableId="6263492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1778373">
    <w:abstractNumId w:val="3"/>
  </w:num>
  <w:num w:numId="18" w16cid:durableId="1434473720">
    <w:abstractNumId w:val="0"/>
  </w:num>
  <w:num w:numId="19" w16cid:durableId="107556010">
    <w:abstractNumId w:val="0"/>
  </w:num>
  <w:num w:numId="20" w16cid:durableId="341708797">
    <w:abstractNumId w:val="0"/>
  </w:num>
  <w:num w:numId="21" w16cid:durableId="981498477">
    <w:abstractNumId w:val="0"/>
  </w:num>
  <w:num w:numId="22" w16cid:durableId="454637224">
    <w:abstractNumId w:val="0"/>
  </w:num>
  <w:num w:numId="23" w16cid:durableId="1364675030">
    <w:abstractNumId w:val="13"/>
  </w:num>
  <w:num w:numId="24" w16cid:durableId="279144099">
    <w:abstractNumId w:val="0"/>
  </w:num>
  <w:num w:numId="25" w16cid:durableId="1971327864">
    <w:abstractNumId w:val="2"/>
  </w:num>
  <w:num w:numId="26" w16cid:durableId="84766899">
    <w:abstractNumId w:val="0"/>
  </w:num>
  <w:num w:numId="27" w16cid:durableId="1290744548">
    <w:abstractNumId w:val="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434E"/>
    <w:rsid w:val="00004CAC"/>
    <w:rsid w:val="0000629E"/>
    <w:rsid w:val="0000692F"/>
    <w:rsid w:val="0000758F"/>
    <w:rsid w:val="0001088E"/>
    <w:rsid w:val="000116A4"/>
    <w:rsid w:val="00011E20"/>
    <w:rsid w:val="00012422"/>
    <w:rsid w:val="00012547"/>
    <w:rsid w:val="00012DE3"/>
    <w:rsid w:val="00013F2E"/>
    <w:rsid w:val="00015A97"/>
    <w:rsid w:val="0001792E"/>
    <w:rsid w:val="00020C9F"/>
    <w:rsid w:val="000211A9"/>
    <w:rsid w:val="00021238"/>
    <w:rsid w:val="000212D2"/>
    <w:rsid w:val="00022071"/>
    <w:rsid w:val="00022B68"/>
    <w:rsid w:val="000254B3"/>
    <w:rsid w:val="00026FB6"/>
    <w:rsid w:val="00027CA4"/>
    <w:rsid w:val="00031260"/>
    <w:rsid w:val="000322AB"/>
    <w:rsid w:val="0003293B"/>
    <w:rsid w:val="0003681A"/>
    <w:rsid w:val="000372B7"/>
    <w:rsid w:val="00040093"/>
    <w:rsid w:val="000438E4"/>
    <w:rsid w:val="0004394F"/>
    <w:rsid w:val="00044218"/>
    <w:rsid w:val="000452A1"/>
    <w:rsid w:val="000476D2"/>
    <w:rsid w:val="00050F6E"/>
    <w:rsid w:val="00051200"/>
    <w:rsid w:val="000540CC"/>
    <w:rsid w:val="00057765"/>
    <w:rsid w:val="000579E0"/>
    <w:rsid w:val="00060A60"/>
    <w:rsid w:val="00061231"/>
    <w:rsid w:val="00061EC2"/>
    <w:rsid w:val="000635B0"/>
    <w:rsid w:val="00063B69"/>
    <w:rsid w:val="000661EB"/>
    <w:rsid w:val="00066CE8"/>
    <w:rsid w:val="000677D2"/>
    <w:rsid w:val="00067D21"/>
    <w:rsid w:val="00067E41"/>
    <w:rsid w:val="0007043D"/>
    <w:rsid w:val="000717E7"/>
    <w:rsid w:val="00074C89"/>
    <w:rsid w:val="0007644E"/>
    <w:rsid w:val="00080ED0"/>
    <w:rsid w:val="00082810"/>
    <w:rsid w:val="00082856"/>
    <w:rsid w:val="00085B8F"/>
    <w:rsid w:val="00090338"/>
    <w:rsid w:val="0009046F"/>
    <w:rsid w:val="00090481"/>
    <w:rsid w:val="000914D1"/>
    <w:rsid w:val="00091558"/>
    <w:rsid w:val="000930F3"/>
    <w:rsid w:val="00093CD1"/>
    <w:rsid w:val="00093E58"/>
    <w:rsid w:val="000943A1"/>
    <w:rsid w:val="00094A1B"/>
    <w:rsid w:val="00094DA8"/>
    <w:rsid w:val="00095032"/>
    <w:rsid w:val="00096028"/>
    <w:rsid w:val="00096284"/>
    <w:rsid w:val="000A0AD0"/>
    <w:rsid w:val="000A3187"/>
    <w:rsid w:val="000A3826"/>
    <w:rsid w:val="000A452B"/>
    <w:rsid w:val="000A49DD"/>
    <w:rsid w:val="000A5D48"/>
    <w:rsid w:val="000A6C26"/>
    <w:rsid w:val="000A7653"/>
    <w:rsid w:val="000B0477"/>
    <w:rsid w:val="000B0C0B"/>
    <w:rsid w:val="000B36C8"/>
    <w:rsid w:val="000B5AFA"/>
    <w:rsid w:val="000B686B"/>
    <w:rsid w:val="000C0E65"/>
    <w:rsid w:val="000C107F"/>
    <w:rsid w:val="000C4433"/>
    <w:rsid w:val="000C65A7"/>
    <w:rsid w:val="000D0A04"/>
    <w:rsid w:val="000D33F9"/>
    <w:rsid w:val="000D380D"/>
    <w:rsid w:val="000D52A4"/>
    <w:rsid w:val="000D6C2A"/>
    <w:rsid w:val="000D70C9"/>
    <w:rsid w:val="000E07BC"/>
    <w:rsid w:val="000E27DC"/>
    <w:rsid w:val="000E2E21"/>
    <w:rsid w:val="000E4A76"/>
    <w:rsid w:val="000F0799"/>
    <w:rsid w:val="000F1CD4"/>
    <w:rsid w:val="000F1F96"/>
    <w:rsid w:val="000F2DC5"/>
    <w:rsid w:val="000F4103"/>
    <w:rsid w:val="000F4EBB"/>
    <w:rsid w:val="000F55FB"/>
    <w:rsid w:val="000F57C6"/>
    <w:rsid w:val="000F674D"/>
    <w:rsid w:val="000F70A7"/>
    <w:rsid w:val="00105173"/>
    <w:rsid w:val="001061E1"/>
    <w:rsid w:val="001126AE"/>
    <w:rsid w:val="00113CCA"/>
    <w:rsid w:val="001158C8"/>
    <w:rsid w:val="001174ED"/>
    <w:rsid w:val="001225EF"/>
    <w:rsid w:val="00122F25"/>
    <w:rsid w:val="001240C9"/>
    <w:rsid w:val="0012496D"/>
    <w:rsid w:val="00124CDE"/>
    <w:rsid w:val="00125143"/>
    <w:rsid w:val="0012666B"/>
    <w:rsid w:val="00134AB6"/>
    <w:rsid w:val="00134B2E"/>
    <w:rsid w:val="0013579C"/>
    <w:rsid w:val="00135980"/>
    <w:rsid w:val="0013786F"/>
    <w:rsid w:val="00140008"/>
    <w:rsid w:val="00141F0D"/>
    <w:rsid w:val="00143922"/>
    <w:rsid w:val="00147129"/>
    <w:rsid w:val="0015049E"/>
    <w:rsid w:val="00150EC8"/>
    <w:rsid w:val="0015393C"/>
    <w:rsid w:val="00154C96"/>
    <w:rsid w:val="00155D43"/>
    <w:rsid w:val="00162016"/>
    <w:rsid w:val="00162EDF"/>
    <w:rsid w:val="00164695"/>
    <w:rsid w:val="00164719"/>
    <w:rsid w:val="001656FD"/>
    <w:rsid w:val="00166FC4"/>
    <w:rsid w:val="001677AC"/>
    <w:rsid w:val="00167ED3"/>
    <w:rsid w:val="001718A9"/>
    <w:rsid w:val="00173F56"/>
    <w:rsid w:val="00174CED"/>
    <w:rsid w:val="001751E6"/>
    <w:rsid w:val="00175AA8"/>
    <w:rsid w:val="00176B46"/>
    <w:rsid w:val="001777B2"/>
    <w:rsid w:val="001804EA"/>
    <w:rsid w:val="0018076F"/>
    <w:rsid w:val="00181A4C"/>
    <w:rsid w:val="00183ECA"/>
    <w:rsid w:val="00185188"/>
    <w:rsid w:val="00185C15"/>
    <w:rsid w:val="00185F8D"/>
    <w:rsid w:val="00185FA0"/>
    <w:rsid w:val="00186EFA"/>
    <w:rsid w:val="0018718C"/>
    <w:rsid w:val="00190A61"/>
    <w:rsid w:val="00191663"/>
    <w:rsid w:val="00192D78"/>
    <w:rsid w:val="001931D5"/>
    <w:rsid w:val="001937FB"/>
    <w:rsid w:val="001964C8"/>
    <w:rsid w:val="00197179"/>
    <w:rsid w:val="001A2215"/>
    <w:rsid w:val="001A3342"/>
    <w:rsid w:val="001A3E3D"/>
    <w:rsid w:val="001A539D"/>
    <w:rsid w:val="001A60FE"/>
    <w:rsid w:val="001A7049"/>
    <w:rsid w:val="001B0551"/>
    <w:rsid w:val="001B094B"/>
    <w:rsid w:val="001B1E40"/>
    <w:rsid w:val="001B5B83"/>
    <w:rsid w:val="001B6005"/>
    <w:rsid w:val="001B78A9"/>
    <w:rsid w:val="001C0B2A"/>
    <w:rsid w:val="001C559E"/>
    <w:rsid w:val="001C764E"/>
    <w:rsid w:val="001C7A4E"/>
    <w:rsid w:val="001D216D"/>
    <w:rsid w:val="001D42B4"/>
    <w:rsid w:val="001E0026"/>
    <w:rsid w:val="001E028D"/>
    <w:rsid w:val="001E0930"/>
    <w:rsid w:val="001E1052"/>
    <w:rsid w:val="001E1B11"/>
    <w:rsid w:val="001E2076"/>
    <w:rsid w:val="001E21B1"/>
    <w:rsid w:val="001E29B1"/>
    <w:rsid w:val="001E2F93"/>
    <w:rsid w:val="001E4554"/>
    <w:rsid w:val="001E4A08"/>
    <w:rsid w:val="001E61E5"/>
    <w:rsid w:val="001E70B6"/>
    <w:rsid w:val="001F0244"/>
    <w:rsid w:val="001F2159"/>
    <w:rsid w:val="001F4EF5"/>
    <w:rsid w:val="001F53FD"/>
    <w:rsid w:val="001F5601"/>
    <w:rsid w:val="001F574C"/>
    <w:rsid w:val="0020090C"/>
    <w:rsid w:val="00200E5F"/>
    <w:rsid w:val="002015EF"/>
    <w:rsid w:val="00203C51"/>
    <w:rsid w:val="00206ADB"/>
    <w:rsid w:val="00206B4D"/>
    <w:rsid w:val="00207792"/>
    <w:rsid w:val="0021060D"/>
    <w:rsid w:val="00210B8B"/>
    <w:rsid w:val="0021126D"/>
    <w:rsid w:val="00212400"/>
    <w:rsid w:val="0021243F"/>
    <w:rsid w:val="00212E27"/>
    <w:rsid w:val="00214863"/>
    <w:rsid w:val="00214D89"/>
    <w:rsid w:val="002156B4"/>
    <w:rsid w:val="00215A91"/>
    <w:rsid w:val="002164FA"/>
    <w:rsid w:val="0021701F"/>
    <w:rsid w:val="0021727D"/>
    <w:rsid w:val="00217B3D"/>
    <w:rsid w:val="00217D5B"/>
    <w:rsid w:val="002204AB"/>
    <w:rsid w:val="00220726"/>
    <w:rsid w:val="00220E6C"/>
    <w:rsid w:val="00221633"/>
    <w:rsid w:val="002225EF"/>
    <w:rsid w:val="002244DA"/>
    <w:rsid w:val="00224FCD"/>
    <w:rsid w:val="002278F8"/>
    <w:rsid w:val="00231F2D"/>
    <w:rsid w:val="002323D3"/>
    <w:rsid w:val="00233982"/>
    <w:rsid w:val="00233CB0"/>
    <w:rsid w:val="00233F01"/>
    <w:rsid w:val="002365F4"/>
    <w:rsid w:val="00236B59"/>
    <w:rsid w:val="00237493"/>
    <w:rsid w:val="00237EE8"/>
    <w:rsid w:val="00240F07"/>
    <w:rsid w:val="00241C32"/>
    <w:rsid w:val="002436E3"/>
    <w:rsid w:val="00245EFC"/>
    <w:rsid w:val="002464CC"/>
    <w:rsid w:val="00252440"/>
    <w:rsid w:val="00253222"/>
    <w:rsid w:val="00254802"/>
    <w:rsid w:val="00256BAD"/>
    <w:rsid w:val="0025754A"/>
    <w:rsid w:val="00260BF3"/>
    <w:rsid w:val="00261284"/>
    <w:rsid w:val="00261AE9"/>
    <w:rsid w:val="00261C13"/>
    <w:rsid w:val="002623E0"/>
    <w:rsid w:val="00262847"/>
    <w:rsid w:val="00264295"/>
    <w:rsid w:val="00265174"/>
    <w:rsid w:val="0026657F"/>
    <w:rsid w:val="00270732"/>
    <w:rsid w:val="00270B41"/>
    <w:rsid w:val="002734F3"/>
    <w:rsid w:val="00275418"/>
    <w:rsid w:val="00275D76"/>
    <w:rsid w:val="00275F8A"/>
    <w:rsid w:val="00281B43"/>
    <w:rsid w:val="00281BB2"/>
    <w:rsid w:val="00282454"/>
    <w:rsid w:val="00282F9F"/>
    <w:rsid w:val="00287575"/>
    <w:rsid w:val="00291355"/>
    <w:rsid w:val="002956AE"/>
    <w:rsid w:val="002A03C3"/>
    <w:rsid w:val="002A58DA"/>
    <w:rsid w:val="002A686A"/>
    <w:rsid w:val="002A6D76"/>
    <w:rsid w:val="002B1402"/>
    <w:rsid w:val="002B254E"/>
    <w:rsid w:val="002B4CE8"/>
    <w:rsid w:val="002B5485"/>
    <w:rsid w:val="002B5C55"/>
    <w:rsid w:val="002B632A"/>
    <w:rsid w:val="002B72E9"/>
    <w:rsid w:val="002C1EF9"/>
    <w:rsid w:val="002C3658"/>
    <w:rsid w:val="002C4520"/>
    <w:rsid w:val="002C6C57"/>
    <w:rsid w:val="002C7998"/>
    <w:rsid w:val="002D6549"/>
    <w:rsid w:val="002E24FB"/>
    <w:rsid w:val="002E6E05"/>
    <w:rsid w:val="002E7C19"/>
    <w:rsid w:val="002F1E53"/>
    <w:rsid w:val="002F2CAA"/>
    <w:rsid w:val="002F61D5"/>
    <w:rsid w:val="002F7525"/>
    <w:rsid w:val="002F7ED9"/>
    <w:rsid w:val="0030052C"/>
    <w:rsid w:val="003008BD"/>
    <w:rsid w:val="003010FD"/>
    <w:rsid w:val="0030424D"/>
    <w:rsid w:val="00307A0A"/>
    <w:rsid w:val="00307F13"/>
    <w:rsid w:val="003102D0"/>
    <w:rsid w:val="003108DA"/>
    <w:rsid w:val="00311E25"/>
    <w:rsid w:val="0031321E"/>
    <w:rsid w:val="00316CB9"/>
    <w:rsid w:val="00320913"/>
    <w:rsid w:val="00321992"/>
    <w:rsid w:val="00324313"/>
    <w:rsid w:val="00325644"/>
    <w:rsid w:val="003278A3"/>
    <w:rsid w:val="00327D0A"/>
    <w:rsid w:val="003304D0"/>
    <w:rsid w:val="003306E1"/>
    <w:rsid w:val="00331928"/>
    <w:rsid w:val="003320E4"/>
    <w:rsid w:val="00333018"/>
    <w:rsid w:val="003345F0"/>
    <w:rsid w:val="0033525D"/>
    <w:rsid w:val="00337D3E"/>
    <w:rsid w:val="0034023C"/>
    <w:rsid w:val="003414F3"/>
    <w:rsid w:val="003444C4"/>
    <w:rsid w:val="00346E51"/>
    <w:rsid w:val="00351EEA"/>
    <w:rsid w:val="003521FC"/>
    <w:rsid w:val="00352780"/>
    <w:rsid w:val="00354140"/>
    <w:rsid w:val="0035604D"/>
    <w:rsid w:val="0035613E"/>
    <w:rsid w:val="003567D5"/>
    <w:rsid w:val="00356903"/>
    <w:rsid w:val="00356C02"/>
    <w:rsid w:val="00361B4C"/>
    <w:rsid w:val="00363EE9"/>
    <w:rsid w:val="00364A62"/>
    <w:rsid w:val="0036730F"/>
    <w:rsid w:val="00370102"/>
    <w:rsid w:val="00371252"/>
    <w:rsid w:val="00373509"/>
    <w:rsid w:val="00373620"/>
    <w:rsid w:val="00374973"/>
    <w:rsid w:val="00374DE6"/>
    <w:rsid w:val="00376128"/>
    <w:rsid w:val="0037742E"/>
    <w:rsid w:val="00377764"/>
    <w:rsid w:val="00377D56"/>
    <w:rsid w:val="0038245A"/>
    <w:rsid w:val="003840E6"/>
    <w:rsid w:val="00385CFC"/>
    <w:rsid w:val="003928E1"/>
    <w:rsid w:val="0039337A"/>
    <w:rsid w:val="00393545"/>
    <w:rsid w:val="00393C4C"/>
    <w:rsid w:val="00394DF0"/>
    <w:rsid w:val="003960C4"/>
    <w:rsid w:val="0039731A"/>
    <w:rsid w:val="0039764E"/>
    <w:rsid w:val="003978FD"/>
    <w:rsid w:val="00397C6C"/>
    <w:rsid w:val="003A15E8"/>
    <w:rsid w:val="003A2DC1"/>
    <w:rsid w:val="003A3189"/>
    <w:rsid w:val="003A3CA7"/>
    <w:rsid w:val="003A45B3"/>
    <w:rsid w:val="003A62FC"/>
    <w:rsid w:val="003A79E2"/>
    <w:rsid w:val="003B1091"/>
    <w:rsid w:val="003B1BAE"/>
    <w:rsid w:val="003B33BD"/>
    <w:rsid w:val="003B527E"/>
    <w:rsid w:val="003B569D"/>
    <w:rsid w:val="003C12C1"/>
    <w:rsid w:val="003C26A9"/>
    <w:rsid w:val="003C28E2"/>
    <w:rsid w:val="003C3C0E"/>
    <w:rsid w:val="003C4892"/>
    <w:rsid w:val="003C4C44"/>
    <w:rsid w:val="003D42A6"/>
    <w:rsid w:val="003D4F21"/>
    <w:rsid w:val="003D4FAC"/>
    <w:rsid w:val="003D5BCF"/>
    <w:rsid w:val="003D61DA"/>
    <w:rsid w:val="003D6ADC"/>
    <w:rsid w:val="003E1885"/>
    <w:rsid w:val="003E1A46"/>
    <w:rsid w:val="003E488E"/>
    <w:rsid w:val="003E7906"/>
    <w:rsid w:val="003F000F"/>
    <w:rsid w:val="003F03B3"/>
    <w:rsid w:val="003F3AF1"/>
    <w:rsid w:val="003F3C50"/>
    <w:rsid w:val="003F5DEF"/>
    <w:rsid w:val="003F5F16"/>
    <w:rsid w:val="00400B9B"/>
    <w:rsid w:val="00401AE5"/>
    <w:rsid w:val="004021B4"/>
    <w:rsid w:val="004044D8"/>
    <w:rsid w:val="00406202"/>
    <w:rsid w:val="00406880"/>
    <w:rsid w:val="00406A6A"/>
    <w:rsid w:val="00406B22"/>
    <w:rsid w:val="00407147"/>
    <w:rsid w:val="004078FA"/>
    <w:rsid w:val="00407BA0"/>
    <w:rsid w:val="00411EAA"/>
    <w:rsid w:val="00414803"/>
    <w:rsid w:val="00416110"/>
    <w:rsid w:val="004220F5"/>
    <w:rsid w:val="00422D2B"/>
    <w:rsid w:val="00425891"/>
    <w:rsid w:val="00425DC6"/>
    <w:rsid w:val="0042749D"/>
    <w:rsid w:val="0043117F"/>
    <w:rsid w:val="00431E08"/>
    <w:rsid w:val="004328A7"/>
    <w:rsid w:val="00433A06"/>
    <w:rsid w:val="00434C74"/>
    <w:rsid w:val="004371B8"/>
    <w:rsid w:val="004416CA"/>
    <w:rsid w:val="004421A7"/>
    <w:rsid w:val="00442B99"/>
    <w:rsid w:val="00443865"/>
    <w:rsid w:val="00446354"/>
    <w:rsid w:val="004463F9"/>
    <w:rsid w:val="004502FA"/>
    <w:rsid w:val="00453700"/>
    <w:rsid w:val="00453AFF"/>
    <w:rsid w:val="00456EB4"/>
    <w:rsid w:val="004574F7"/>
    <w:rsid w:val="00457827"/>
    <w:rsid w:val="00457F92"/>
    <w:rsid w:val="004615A4"/>
    <w:rsid w:val="00462461"/>
    <w:rsid w:val="00466A3A"/>
    <w:rsid w:val="00467A3B"/>
    <w:rsid w:val="004710B4"/>
    <w:rsid w:val="004718F3"/>
    <w:rsid w:val="00472F03"/>
    <w:rsid w:val="00473169"/>
    <w:rsid w:val="0047363E"/>
    <w:rsid w:val="004739AA"/>
    <w:rsid w:val="0047481B"/>
    <w:rsid w:val="00475040"/>
    <w:rsid w:val="00482E00"/>
    <w:rsid w:val="00484949"/>
    <w:rsid w:val="004858D4"/>
    <w:rsid w:val="00486770"/>
    <w:rsid w:val="00490C06"/>
    <w:rsid w:val="00491034"/>
    <w:rsid w:val="00491D71"/>
    <w:rsid w:val="00493D40"/>
    <w:rsid w:val="00493EE3"/>
    <w:rsid w:val="0049466F"/>
    <w:rsid w:val="00494D17"/>
    <w:rsid w:val="004956C3"/>
    <w:rsid w:val="004967B6"/>
    <w:rsid w:val="0049736E"/>
    <w:rsid w:val="004974C9"/>
    <w:rsid w:val="004A1393"/>
    <w:rsid w:val="004A3AE7"/>
    <w:rsid w:val="004A504B"/>
    <w:rsid w:val="004A6911"/>
    <w:rsid w:val="004B0F78"/>
    <w:rsid w:val="004B3652"/>
    <w:rsid w:val="004B54E0"/>
    <w:rsid w:val="004B7384"/>
    <w:rsid w:val="004C39E9"/>
    <w:rsid w:val="004C4269"/>
    <w:rsid w:val="004C7370"/>
    <w:rsid w:val="004D3B67"/>
    <w:rsid w:val="004D6236"/>
    <w:rsid w:val="004D7168"/>
    <w:rsid w:val="004D7F90"/>
    <w:rsid w:val="004E0A47"/>
    <w:rsid w:val="004E0C87"/>
    <w:rsid w:val="004E1DC8"/>
    <w:rsid w:val="004E315C"/>
    <w:rsid w:val="004E390E"/>
    <w:rsid w:val="004E3E3B"/>
    <w:rsid w:val="004E43CA"/>
    <w:rsid w:val="004E4DBB"/>
    <w:rsid w:val="004E4E41"/>
    <w:rsid w:val="004E53BE"/>
    <w:rsid w:val="004E6CAF"/>
    <w:rsid w:val="004E73DB"/>
    <w:rsid w:val="004E7F9C"/>
    <w:rsid w:val="004F1A04"/>
    <w:rsid w:val="004F2C5B"/>
    <w:rsid w:val="004F3493"/>
    <w:rsid w:val="004F4FC9"/>
    <w:rsid w:val="004F5143"/>
    <w:rsid w:val="004F5BB6"/>
    <w:rsid w:val="00500897"/>
    <w:rsid w:val="005019EA"/>
    <w:rsid w:val="00503FF6"/>
    <w:rsid w:val="0050585E"/>
    <w:rsid w:val="00506F38"/>
    <w:rsid w:val="00511887"/>
    <w:rsid w:val="00511F4F"/>
    <w:rsid w:val="00511F60"/>
    <w:rsid w:val="00512B09"/>
    <w:rsid w:val="00521AD7"/>
    <w:rsid w:val="005220ED"/>
    <w:rsid w:val="005228F7"/>
    <w:rsid w:val="005236E2"/>
    <w:rsid w:val="005258D2"/>
    <w:rsid w:val="00525D81"/>
    <w:rsid w:val="0052629E"/>
    <w:rsid w:val="00532A19"/>
    <w:rsid w:val="00533796"/>
    <w:rsid w:val="00537343"/>
    <w:rsid w:val="00545BF6"/>
    <w:rsid w:val="00547A0A"/>
    <w:rsid w:val="00547D10"/>
    <w:rsid w:val="005516F3"/>
    <w:rsid w:val="00551842"/>
    <w:rsid w:val="005524C8"/>
    <w:rsid w:val="00552EE5"/>
    <w:rsid w:val="005534BA"/>
    <w:rsid w:val="00555D75"/>
    <w:rsid w:val="00556EAF"/>
    <w:rsid w:val="00560DF0"/>
    <w:rsid w:val="0056164B"/>
    <w:rsid w:val="005655F8"/>
    <w:rsid w:val="0056759C"/>
    <w:rsid w:val="005679CD"/>
    <w:rsid w:val="005738D1"/>
    <w:rsid w:val="00574916"/>
    <w:rsid w:val="00574BEE"/>
    <w:rsid w:val="00575390"/>
    <w:rsid w:val="00575589"/>
    <w:rsid w:val="0058298A"/>
    <w:rsid w:val="00586A15"/>
    <w:rsid w:val="005939D3"/>
    <w:rsid w:val="00593B7B"/>
    <w:rsid w:val="00593CE7"/>
    <w:rsid w:val="005940E7"/>
    <w:rsid w:val="0059513E"/>
    <w:rsid w:val="0059538F"/>
    <w:rsid w:val="005973F1"/>
    <w:rsid w:val="00597A5B"/>
    <w:rsid w:val="005A291D"/>
    <w:rsid w:val="005A2F6F"/>
    <w:rsid w:val="005A3FBA"/>
    <w:rsid w:val="005A40BA"/>
    <w:rsid w:val="005A586E"/>
    <w:rsid w:val="005A6AA4"/>
    <w:rsid w:val="005A6D9F"/>
    <w:rsid w:val="005A7DDE"/>
    <w:rsid w:val="005B0944"/>
    <w:rsid w:val="005B34C8"/>
    <w:rsid w:val="005B48FF"/>
    <w:rsid w:val="005B7636"/>
    <w:rsid w:val="005C04C6"/>
    <w:rsid w:val="005C16C1"/>
    <w:rsid w:val="005C16E7"/>
    <w:rsid w:val="005C1E32"/>
    <w:rsid w:val="005C59E8"/>
    <w:rsid w:val="005C670D"/>
    <w:rsid w:val="005C6ABE"/>
    <w:rsid w:val="005C7A76"/>
    <w:rsid w:val="005D2A06"/>
    <w:rsid w:val="005D363F"/>
    <w:rsid w:val="005D4596"/>
    <w:rsid w:val="005D5398"/>
    <w:rsid w:val="005E2B10"/>
    <w:rsid w:val="005E384B"/>
    <w:rsid w:val="005E48D3"/>
    <w:rsid w:val="005F07E2"/>
    <w:rsid w:val="00602FBA"/>
    <w:rsid w:val="006046AB"/>
    <w:rsid w:val="00604C15"/>
    <w:rsid w:val="0060637E"/>
    <w:rsid w:val="00607786"/>
    <w:rsid w:val="006109A5"/>
    <w:rsid w:val="00612E3A"/>
    <w:rsid w:val="006158D5"/>
    <w:rsid w:val="00617E99"/>
    <w:rsid w:val="00620938"/>
    <w:rsid w:val="00621A93"/>
    <w:rsid w:val="00624E9D"/>
    <w:rsid w:val="00625874"/>
    <w:rsid w:val="00625D83"/>
    <w:rsid w:val="006313E1"/>
    <w:rsid w:val="00632AF2"/>
    <w:rsid w:val="0063315C"/>
    <w:rsid w:val="006332CD"/>
    <w:rsid w:val="00644E5D"/>
    <w:rsid w:val="00651984"/>
    <w:rsid w:val="00652073"/>
    <w:rsid w:val="006554EC"/>
    <w:rsid w:val="00655921"/>
    <w:rsid w:val="00656639"/>
    <w:rsid w:val="00656743"/>
    <w:rsid w:val="0065780B"/>
    <w:rsid w:val="00661A1C"/>
    <w:rsid w:val="00662165"/>
    <w:rsid w:val="006623E7"/>
    <w:rsid w:val="0066241E"/>
    <w:rsid w:val="00662B80"/>
    <w:rsid w:val="00665364"/>
    <w:rsid w:val="00665E9E"/>
    <w:rsid w:val="0066768F"/>
    <w:rsid w:val="00670F6C"/>
    <w:rsid w:val="00673F2E"/>
    <w:rsid w:val="00676E58"/>
    <w:rsid w:val="0067746D"/>
    <w:rsid w:val="00677A2B"/>
    <w:rsid w:val="00683636"/>
    <w:rsid w:val="006852C7"/>
    <w:rsid w:val="006852CE"/>
    <w:rsid w:val="00685D31"/>
    <w:rsid w:val="0069252C"/>
    <w:rsid w:val="00692D14"/>
    <w:rsid w:val="00692E41"/>
    <w:rsid w:val="0069524E"/>
    <w:rsid w:val="00696B51"/>
    <w:rsid w:val="006A06BF"/>
    <w:rsid w:val="006A1072"/>
    <w:rsid w:val="006A53F1"/>
    <w:rsid w:val="006A5837"/>
    <w:rsid w:val="006A7A3B"/>
    <w:rsid w:val="006B188A"/>
    <w:rsid w:val="006B5D9B"/>
    <w:rsid w:val="006B65C7"/>
    <w:rsid w:val="006B7F76"/>
    <w:rsid w:val="006C0BD5"/>
    <w:rsid w:val="006C1727"/>
    <w:rsid w:val="006C32FD"/>
    <w:rsid w:val="006C39CE"/>
    <w:rsid w:val="006C5838"/>
    <w:rsid w:val="006C6CCC"/>
    <w:rsid w:val="006D0FCC"/>
    <w:rsid w:val="006D21F5"/>
    <w:rsid w:val="006D3089"/>
    <w:rsid w:val="006D36BE"/>
    <w:rsid w:val="006D5386"/>
    <w:rsid w:val="006D6606"/>
    <w:rsid w:val="006E126D"/>
    <w:rsid w:val="006E1FC3"/>
    <w:rsid w:val="006E2E13"/>
    <w:rsid w:val="006E6D56"/>
    <w:rsid w:val="006F23CE"/>
    <w:rsid w:val="006F63E8"/>
    <w:rsid w:val="00703A81"/>
    <w:rsid w:val="00703A9D"/>
    <w:rsid w:val="00704A39"/>
    <w:rsid w:val="00704CE9"/>
    <w:rsid w:val="0070616B"/>
    <w:rsid w:val="00706295"/>
    <w:rsid w:val="00706FDA"/>
    <w:rsid w:val="00711F9A"/>
    <w:rsid w:val="00713678"/>
    <w:rsid w:val="00713810"/>
    <w:rsid w:val="00713F63"/>
    <w:rsid w:val="00715489"/>
    <w:rsid w:val="00717A81"/>
    <w:rsid w:val="0072168D"/>
    <w:rsid w:val="00723ED2"/>
    <w:rsid w:val="007240C8"/>
    <w:rsid w:val="00724BBC"/>
    <w:rsid w:val="007303A5"/>
    <w:rsid w:val="00730882"/>
    <w:rsid w:val="00730B3E"/>
    <w:rsid w:val="007327C8"/>
    <w:rsid w:val="00733DE8"/>
    <w:rsid w:val="0073420B"/>
    <w:rsid w:val="00734EA9"/>
    <w:rsid w:val="00736367"/>
    <w:rsid w:val="00746444"/>
    <w:rsid w:val="0074760E"/>
    <w:rsid w:val="007504EB"/>
    <w:rsid w:val="007514E4"/>
    <w:rsid w:val="007519AE"/>
    <w:rsid w:val="007548C4"/>
    <w:rsid w:val="00754ABA"/>
    <w:rsid w:val="007624A2"/>
    <w:rsid w:val="00763560"/>
    <w:rsid w:val="0076558E"/>
    <w:rsid w:val="00767073"/>
    <w:rsid w:val="007676D5"/>
    <w:rsid w:val="007710B5"/>
    <w:rsid w:val="00773F41"/>
    <w:rsid w:val="007766F8"/>
    <w:rsid w:val="00782B0D"/>
    <w:rsid w:val="0078324F"/>
    <w:rsid w:val="007863D3"/>
    <w:rsid w:val="0079239C"/>
    <w:rsid w:val="00796E81"/>
    <w:rsid w:val="0079781A"/>
    <w:rsid w:val="007A03F9"/>
    <w:rsid w:val="007A0508"/>
    <w:rsid w:val="007A1546"/>
    <w:rsid w:val="007A228C"/>
    <w:rsid w:val="007A368E"/>
    <w:rsid w:val="007A440F"/>
    <w:rsid w:val="007A5868"/>
    <w:rsid w:val="007B04CE"/>
    <w:rsid w:val="007B2497"/>
    <w:rsid w:val="007B2A96"/>
    <w:rsid w:val="007B41AA"/>
    <w:rsid w:val="007B6871"/>
    <w:rsid w:val="007B7A2F"/>
    <w:rsid w:val="007C2020"/>
    <w:rsid w:val="007C2B69"/>
    <w:rsid w:val="007C32EE"/>
    <w:rsid w:val="007C3445"/>
    <w:rsid w:val="007C3D33"/>
    <w:rsid w:val="007C75F3"/>
    <w:rsid w:val="007D0120"/>
    <w:rsid w:val="007D0366"/>
    <w:rsid w:val="007D09ED"/>
    <w:rsid w:val="007D1E7D"/>
    <w:rsid w:val="007D2604"/>
    <w:rsid w:val="007D294A"/>
    <w:rsid w:val="007D3FDD"/>
    <w:rsid w:val="007D47D2"/>
    <w:rsid w:val="007D4C6D"/>
    <w:rsid w:val="007D4E83"/>
    <w:rsid w:val="007D6EC0"/>
    <w:rsid w:val="007D7E1D"/>
    <w:rsid w:val="007E4872"/>
    <w:rsid w:val="007E503C"/>
    <w:rsid w:val="007F152C"/>
    <w:rsid w:val="007F2DBC"/>
    <w:rsid w:val="007F31A7"/>
    <w:rsid w:val="007F4C21"/>
    <w:rsid w:val="007F5B10"/>
    <w:rsid w:val="007F70B4"/>
    <w:rsid w:val="007F72F9"/>
    <w:rsid w:val="00800A2E"/>
    <w:rsid w:val="00800B84"/>
    <w:rsid w:val="00801875"/>
    <w:rsid w:val="00801C8D"/>
    <w:rsid w:val="0080345C"/>
    <w:rsid w:val="008039B7"/>
    <w:rsid w:val="00804EE9"/>
    <w:rsid w:val="008062FF"/>
    <w:rsid w:val="008105C5"/>
    <w:rsid w:val="00811497"/>
    <w:rsid w:val="008114F9"/>
    <w:rsid w:val="00814EE3"/>
    <w:rsid w:val="008165FD"/>
    <w:rsid w:val="00821454"/>
    <w:rsid w:val="00821F7B"/>
    <w:rsid w:val="00824D8B"/>
    <w:rsid w:val="0082522F"/>
    <w:rsid w:val="00825D2C"/>
    <w:rsid w:val="00826BA3"/>
    <w:rsid w:val="00826FB1"/>
    <w:rsid w:val="008271C2"/>
    <w:rsid w:val="00827DB8"/>
    <w:rsid w:val="00830D96"/>
    <w:rsid w:val="00831979"/>
    <w:rsid w:val="008355B0"/>
    <w:rsid w:val="00837023"/>
    <w:rsid w:val="00837BBD"/>
    <w:rsid w:val="00837C57"/>
    <w:rsid w:val="008422AF"/>
    <w:rsid w:val="00850C81"/>
    <w:rsid w:val="00851352"/>
    <w:rsid w:val="0085282E"/>
    <w:rsid w:val="00853712"/>
    <w:rsid w:val="0085433A"/>
    <w:rsid w:val="00854E04"/>
    <w:rsid w:val="00856BA1"/>
    <w:rsid w:val="00857077"/>
    <w:rsid w:val="008605B0"/>
    <w:rsid w:val="008608FC"/>
    <w:rsid w:val="00863230"/>
    <w:rsid w:val="00863C03"/>
    <w:rsid w:val="00864601"/>
    <w:rsid w:val="00865A32"/>
    <w:rsid w:val="00865BD0"/>
    <w:rsid w:val="008717D8"/>
    <w:rsid w:val="0087215C"/>
    <w:rsid w:val="00875D25"/>
    <w:rsid w:val="0087784D"/>
    <w:rsid w:val="00877B97"/>
    <w:rsid w:val="00880E35"/>
    <w:rsid w:val="008865F8"/>
    <w:rsid w:val="008873E7"/>
    <w:rsid w:val="008875FE"/>
    <w:rsid w:val="00887F8E"/>
    <w:rsid w:val="00896234"/>
    <w:rsid w:val="008974E2"/>
    <w:rsid w:val="00897E43"/>
    <w:rsid w:val="008A4C71"/>
    <w:rsid w:val="008A58AC"/>
    <w:rsid w:val="008A67A9"/>
    <w:rsid w:val="008B5EB3"/>
    <w:rsid w:val="008B61CA"/>
    <w:rsid w:val="008C222B"/>
    <w:rsid w:val="008C5738"/>
    <w:rsid w:val="008C7EAD"/>
    <w:rsid w:val="008D087A"/>
    <w:rsid w:val="008D0CFE"/>
    <w:rsid w:val="008D1E03"/>
    <w:rsid w:val="008D3B17"/>
    <w:rsid w:val="008D4112"/>
    <w:rsid w:val="008D41E3"/>
    <w:rsid w:val="008D6152"/>
    <w:rsid w:val="008D7503"/>
    <w:rsid w:val="008D75DE"/>
    <w:rsid w:val="008D7E06"/>
    <w:rsid w:val="008E35C0"/>
    <w:rsid w:val="008E3926"/>
    <w:rsid w:val="008E7BA9"/>
    <w:rsid w:val="008F0624"/>
    <w:rsid w:val="008F0F81"/>
    <w:rsid w:val="008F1559"/>
    <w:rsid w:val="008F1C52"/>
    <w:rsid w:val="008F27BF"/>
    <w:rsid w:val="008F2E64"/>
    <w:rsid w:val="00904A0B"/>
    <w:rsid w:val="00905996"/>
    <w:rsid w:val="00910450"/>
    <w:rsid w:val="009142EC"/>
    <w:rsid w:val="00914543"/>
    <w:rsid w:val="009145E4"/>
    <w:rsid w:val="00914832"/>
    <w:rsid w:val="00915342"/>
    <w:rsid w:val="009154C3"/>
    <w:rsid w:val="0091560D"/>
    <w:rsid w:val="00916752"/>
    <w:rsid w:val="009212DB"/>
    <w:rsid w:val="00923540"/>
    <w:rsid w:val="00926767"/>
    <w:rsid w:val="009319BC"/>
    <w:rsid w:val="009361D5"/>
    <w:rsid w:val="00937AC5"/>
    <w:rsid w:val="009427C7"/>
    <w:rsid w:val="009428A4"/>
    <w:rsid w:val="0094346E"/>
    <w:rsid w:val="009441FB"/>
    <w:rsid w:val="0094446B"/>
    <w:rsid w:val="00944A9D"/>
    <w:rsid w:val="00945DBE"/>
    <w:rsid w:val="009541E4"/>
    <w:rsid w:val="00957B34"/>
    <w:rsid w:val="00961603"/>
    <w:rsid w:val="00961B72"/>
    <w:rsid w:val="00961E20"/>
    <w:rsid w:val="009649C4"/>
    <w:rsid w:val="00965005"/>
    <w:rsid w:val="009651F3"/>
    <w:rsid w:val="009659F4"/>
    <w:rsid w:val="00966AFF"/>
    <w:rsid w:val="00970D60"/>
    <w:rsid w:val="00975796"/>
    <w:rsid w:val="00976090"/>
    <w:rsid w:val="00980426"/>
    <w:rsid w:val="009807AF"/>
    <w:rsid w:val="00982C8A"/>
    <w:rsid w:val="009831FB"/>
    <w:rsid w:val="0098352F"/>
    <w:rsid w:val="009874D0"/>
    <w:rsid w:val="00992D34"/>
    <w:rsid w:val="009938CE"/>
    <w:rsid w:val="0099390E"/>
    <w:rsid w:val="00995EA5"/>
    <w:rsid w:val="009960E5"/>
    <w:rsid w:val="009A054E"/>
    <w:rsid w:val="009A17A0"/>
    <w:rsid w:val="009A2901"/>
    <w:rsid w:val="009A3D39"/>
    <w:rsid w:val="009A483E"/>
    <w:rsid w:val="009A61FE"/>
    <w:rsid w:val="009A7ADC"/>
    <w:rsid w:val="009B0D30"/>
    <w:rsid w:val="009B29D2"/>
    <w:rsid w:val="009B2B53"/>
    <w:rsid w:val="009B7CDA"/>
    <w:rsid w:val="009C0318"/>
    <w:rsid w:val="009C19B7"/>
    <w:rsid w:val="009C205D"/>
    <w:rsid w:val="009C25F8"/>
    <w:rsid w:val="009C3889"/>
    <w:rsid w:val="009C5ABB"/>
    <w:rsid w:val="009C5EAC"/>
    <w:rsid w:val="009D2C1B"/>
    <w:rsid w:val="009D7553"/>
    <w:rsid w:val="009D7C51"/>
    <w:rsid w:val="009E0083"/>
    <w:rsid w:val="009E1730"/>
    <w:rsid w:val="009E196C"/>
    <w:rsid w:val="009E2EB0"/>
    <w:rsid w:val="009E39C6"/>
    <w:rsid w:val="009E6A0A"/>
    <w:rsid w:val="009F36BF"/>
    <w:rsid w:val="009F7A98"/>
    <w:rsid w:val="00A006D8"/>
    <w:rsid w:val="00A00AEE"/>
    <w:rsid w:val="00A04255"/>
    <w:rsid w:val="00A048B3"/>
    <w:rsid w:val="00A06436"/>
    <w:rsid w:val="00A07FA3"/>
    <w:rsid w:val="00A111B6"/>
    <w:rsid w:val="00A1383B"/>
    <w:rsid w:val="00A16969"/>
    <w:rsid w:val="00A17D02"/>
    <w:rsid w:val="00A251E0"/>
    <w:rsid w:val="00A26C0B"/>
    <w:rsid w:val="00A26D27"/>
    <w:rsid w:val="00A2736E"/>
    <w:rsid w:val="00A3267F"/>
    <w:rsid w:val="00A32AD3"/>
    <w:rsid w:val="00A3603F"/>
    <w:rsid w:val="00A3625F"/>
    <w:rsid w:val="00A376EE"/>
    <w:rsid w:val="00A4024D"/>
    <w:rsid w:val="00A41062"/>
    <w:rsid w:val="00A42A99"/>
    <w:rsid w:val="00A42C5D"/>
    <w:rsid w:val="00A43400"/>
    <w:rsid w:val="00A4488F"/>
    <w:rsid w:val="00A47BFA"/>
    <w:rsid w:val="00A5099D"/>
    <w:rsid w:val="00A5151A"/>
    <w:rsid w:val="00A52302"/>
    <w:rsid w:val="00A5244F"/>
    <w:rsid w:val="00A57167"/>
    <w:rsid w:val="00A57E0A"/>
    <w:rsid w:val="00A60EDF"/>
    <w:rsid w:val="00A61E1D"/>
    <w:rsid w:val="00A631DA"/>
    <w:rsid w:val="00A6485E"/>
    <w:rsid w:val="00A649CB"/>
    <w:rsid w:val="00A64A3A"/>
    <w:rsid w:val="00A670FC"/>
    <w:rsid w:val="00A70B27"/>
    <w:rsid w:val="00A71471"/>
    <w:rsid w:val="00A73815"/>
    <w:rsid w:val="00A73E25"/>
    <w:rsid w:val="00A77919"/>
    <w:rsid w:val="00A823F6"/>
    <w:rsid w:val="00A8299A"/>
    <w:rsid w:val="00A8454C"/>
    <w:rsid w:val="00A8719E"/>
    <w:rsid w:val="00A87FCE"/>
    <w:rsid w:val="00A916B1"/>
    <w:rsid w:val="00A918C8"/>
    <w:rsid w:val="00A96166"/>
    <w:rsid w:val="00AA0A89"/>
    <w:rsid w:val="00AA5368"/>
    <w:rsid w:val="00AA53E3"/>
    <w:rsid w:val="00AA5D35"/>
    <w:rsid w:val="00AA6429"/>
    <w:rsid w:val="00AB3BC1"/>
    <w:rsid w:val="00AB66D7"/>
    <w:rsid w:val="00AB6C72"/>
    <w:rsid w:val="00AC01AA"/>
    <w:rsid w:val="00AC0DF2"/>
    <w:rsid w:val="00AC316E"/>
    <w:rsid w:val="00AC3E3C"/>
    <w:rsid w:val="00AC3EE9"/>
    <w:rsid w:val="00AC400B"/>
    <w:rsid w:val="00AC4F72"/>
    <w:rsid w:val="00AC5041"/>
    <w:rsid w:val="00AC5A84"/>
    <w:rsid w:val="00AC6EF8"/>
    <w:rsid w:val="00AD3351"/>
    <w:rsid w:val="00AD5222"/>
    <w:rsid w:val="00AD5AAB"/>
    <w:rsid w:val="00AD726C"/>
    <w:rsid w:val="00AD74C8"/>
    <w:rsid w:val="00AD77BA"/>
    <w:rsid w:val="00AE14CC"/>
    <w:rsid w:val="00AE274E"/>
    <w:rsid w:val="00AE482E"/>
    <w:rsid w:val="00AE4F66"/>
    <w:rsid w:val="00AE59CA"/>
    <w:rsid w:val="00AE6DE4"/>
    <w:rsid w:val="00AF07E5"/>
    <w:rsid w:val="00AF1B39"/>
    <w:rsid w:val="00AF411B"/>
    <w:rsid w:val="00AF59D1"/>
    <w:rsid w:val="00AF741A"/>
    <w:rsid w:val="00B00B9C"/>
    <w:rsid w:val="00B01ADB"/>
    <w:rsid w:val="00B04161"/>
    <w:rsid w:val="00B0423A"/>
    <w:rsid w:val="00B055C2"/>
    <w:rsid w:val="00B056F9"/>
    <w:rsid w:val="00B10C38"/>
    <w:rsid w:val="00B11BE0"/>
    <w:rsid w:val="00B11E3D"/>
    <w:rsid w:val="00B14D2C"/>
    <w:rsid w:val="00B154D0"/>
    <w:rsid w:val="00B17DB4"/>
    <w:rsid w:val="00B17E46"/>
    <w:rsid w:val="00B17E82"/>
    <w:rsid w:val="00B20B9E"/>
    <w:rsid w:val="00B2545E"/>
    <w:rsid w:val="00B257BB"/>
    <w:rsid w:val="00B35D5A"/>
    <w:rsid w:val="00B365CE"/>
    <w:rsid w:val="00B3711B"/>
    <w:rsid w:val="00B37C7D"/>
    <w:rsid w:val="00B37E78"/>
    <w:rsid w:val="00B401D0"/>
    <w:rsid w:val="00B405E7"/>
    <w:rsid w:val="00B41E21"/>
    <w:rsid w:val="00B435E8"/>
    <w:rsid w:val="00B4575A"/>
    <w:rsid w:val="00B46110"/>
    <w:rsid w:val="00B46827"/>
    <w:rsid w:val="00B46873"/>
    <w:rsid w:val="00B51D38"/>
    <w:rsid w:val="00B54F6C"/>
    <w:rsid w:val="00B57187"/>
    <w:rsid w:val="00B575BA"/>
    <w:rsid w:val="00B57CD6"/>
    <w:rsid w:val="00B61FE6"/>
    <w:rsid w:val="00B6516A"/>
    <w:rsid w:val="00B67182"/>
    <w:rsid w:val="00B672D9"/>
    <w:rsid w:val="00B71608"/>
    <w:rsid w:val="00B71DF8"/>
    <w:rsid w:val="00B7218D"/>
    <w:rsid w:val="00B76429"/>
    <w:rsid w:val="00B773E4"/>
    <w:rsid w:val="00B81AD0"/>
    <w:rsid w:val="00B84298"/>
    <w:rsid w:val="00B8578D"/>
    <w:rsid w:val="00B86471"/>
    <w:rsid w:val="00B86BB6"/>
    <w:rsid w:val="00B905AF"/>
    <w:rsid w:val="00B92DEB"/>
    <w:rsid w:val="00B94234"/>
    <w:rsid w:val="00B956D4"/>
    <w:rsid w:val="00B97440"/>
    <w:rsid w:val="00B97446"/>
    <w:rsid w:val="00BA1C84"/>
    <w:rsid w:val="00BA2654"/>
    <w:rsid w:val="00BA49EA"/>
    <w:rsid w:val="00BA5690"/>
    <w:rsid w:val="00BA5BAA"/>
    <w:rsid w:val="00BA7432"/>
    <w:rsid w:val="00BB15A4"/>
    <w:rsid w:val="00BB2764"/>
    <w:rsid w:val="00BB348D"/>
    <w:rsid w:val="00BB5308"/>
    <w:rsid w:val="00BC00CB"/>
    <w:rsid w:val="00BC1AA0"/>
    <w:rsid w:val="00BC2495"/>
    <w:rsid w:val="00BC314A"/>
    <w:rsid w:val="00BC7EB9"/>
    <w:rsid w:val="00BD09E4"/>
    <w:rsid w:val="00BD1D41"/>
    <w:rsid w:val="00BD1E41"/>
    <w:rsid w:val="00BD2643"/>
    <w:rsid w:val="00BD2DEF"/>
    <w:rsid w:val="00BD34FB"/>
    <w:rsid w:val="00BD486E"/>
    <w:rsid w:val="00BD54DF"/>
    <w:rsid w:val="00BD56B1"/>
    <w:rsid w:val="00BD6558"/>
    <w:rsid w:val="00BE0A0F"/>
    <w:rsid w:val="00BE0D19"/>
    <w:rsid w:val="00BE1030"/>
    <w:rsid w:val="00BE5407"/>
    <w:rsid w:val="00BE559C"/>
    <w:rsid w:val="00BE610E"/>
    <w:rsid w:val="00BF2875"/>
    <w:rsid w:val="00BF2AD7"/>
    <w:rsid w:val="00BF2F76"/>
    <w:rsid w:val="00BF3022"/>
    <w:rsid w:val="00BF3214"/>
    <w:rsid w:val="00BF5573"/>
    <w:rsid w:val="00BF5BF4"/>
    <w:rsid w:val="00BF5CD4"/>
    <w:rsid w:val="00BF7BD9"/>
    <w:rsid w:val="00C02BBA"/>
    <w:rsid w:val="00C02E74"/>
    <w:rsid w:val="00C05B51"/>
    <w:rsid w:val="00C07DC4"/>
    <w:rsid w:val="00C10AF2"/>
    <w:rsid w:val="00C12079"/>
    <w:rsid w:val="00C12BB8"/>
    <w:rsid w:val="00C12D1C"/>
    <w:rsid w:val="00C1421B"/>
    <w:rsid w:val="00C15867"/>
    <w:rsid w:val="00C16E6F"/>
    <w:rsid w:val="00C22398"/>
    <w:rsid w:val="00C2296D"/>
    <w:rsid w:val="00C22A45"/>
    <w:rsid w:val="00C22F7D"/>
    <w:rsid w:val="00C23155"/>
    <w:rsid w:val="00C2420E"/>
    <w:rsid w:val="00C25FF8"/>
    <w:rsid w:val="00C26B8A"/>
    <w:rsid w:val="00C275AC"/>
    <w:rsid w:val="00C344A9"/>
    <w:rsid w:val="00C372A5"/>
    <w:rsid w:val="00C37844"/>
    <w:rsid w:val="00C40C41"/>
    <w:rsid w:val="00C42516"/>
    <w:rsid w:val="00C45885"/>
    <w:rsid w:val="00C47996"/>
    <w:rsid w:val="00C47CCE"/>
    <w:rsid w:val="00C50131"/>
    <w:rsid w:val="00C50F22"/>
    <w:rsid w:val="00C531DD"/>
    <w:rsid w:val="00C5752B"/>
    <w:rsid w:val="00C576D6"/>
    <w:rsid w:val="00C57971"/>
    <w:rsid w:val="00C65BD7"/>
    <w:rsid w:val="00C70872"/>
    <w:rsid w:val="00C717FC"/>
    <w:rsid w:val="00C73361"/>
    <w:rsid w:val="00C73638"/>
    <w:rsid w:val="00C76BA4"/>
    <w:rsid w:val="00C8184B"/>
    <w:rsid w:val="00C83A48"/>
    <w:rsid w:val="00C84F75"/>
    <w:rsid w:val="00C85865"/>
    <w:rsid w:val="00C85E85"/>
    <w:rsid w:val="00C87407"/>
    <w:rsid w:val="00C921EE"/>
    <w:rsid w:val="00C926C8"/>
    <w:rsid w:val="00C937F4"/>
    <w:rsid w:val="00C94F5B"/>
    <w:rsid w:val="00C950EB"/>
    <w:rsid w:val="00C9518B"/>
    <w:rsid w:val="00C954FF"/>
    <w:rsid w:val="00C95DFB"/>
    <w:rsid w:val="00C973F9"/>
    <w:rsid w:val="00CA097F"/>
    <w:rsid w:val="00CA2EAE"/>
    <w:rsid w:val="00CA4AC1"/>
    <w:rsid w:val="00CA59FB"/>
    <w:rsid w:val="00CA6018"/>
    <w:rsid w:val="00CA6351"/>
    <w:rsid w:val="00CB0316"/>
    <w:rsid w:val="00CB0B11"/>
    <w:rsid w:val="00CB1DBA"/>
    <w:rsid w:val="00CB2071"/>
    <w:rsid w:val="00CB3A5A"/>
    <w:rsid w:val="00CB426A"/>
    <w:rsid w:val="00CB4346"/>
    <w:rsid w:val="00CB47C3"/>
    <w:rsid w:val="00CB49A9"/>
    <w:rsid w:val="00CB5354"/>
    <w:rsid w:val="00CB77C4"/>
    <w:rsid w:val="00CC1C83"/>
    <w:rsid w:val="00CC1E2A"/>
    <w:rsid w:val="00CC3C9E"/>
    <w:rsid w:val="00CC3D81"/>
    <w:rsid w:val="00CC6A14"/>
    <w:rsid w:val="00CC70A3"/>
    <w:rsid w:val="00CD0E70"/>
    <w:rsid w:val="00CD2B66"/>
    <w:rsid w:val="00CD348A"/>
    <w:rsid w:val="00CD3A4D"/>
    <w:rsid w:val="00CD4442"/>
    <w:rsid w:val="00CD45EE"/>
    <w:rsid w:val="00CD4FC1"/>
    <w:rsid w:val="00CD53C3"/>
    <w:rsid w:val="00CD5739"/>
    <w:rsid w:val="00CD574E"/>
    <w:rsid w:val="00CE33DA"/>
    <w:rsid w:val="00CE381C"/>
    <w:rsid w:val="00CE4049"/>
    <w:rsid w:val="00CE4135"/>
    <w:rsid w:val="00CE4C22"/>
    <w:rsid w:val="00CE5B97"/>
    <w:rsid w:val="00CE76E5"/>
    <w:rsid w:val="00CE780E"/>
    <w:rsid w:val="00CF1B44"/>
    <w:rsid w:val="00CF4034"/>
    <w:rsid w:val="00CF41EC"/>
    <w:rsid w:val="00CF5D04"/>
    <w:rsid w:val="00D01046"/>
    <w:rsid w:val="00D01F39"/>
    <w:rsid w:val="00D04DE4"/>
    <w:rsid w:val="00D05043"/>
    <w:rsid w:val="00D06172"/>
    <w:rsid w:val="00D063F1"/>
    <w:rsid w:val="00D11735"/>
    <w:rsid w:val="00D11CF4"/>
    <w:rsid w:val="00D139C1"/>
    <w:rsid w:val="00D1440F"/>
    <w:rsid w:val="00D14CCD"/>
    <w:rsid w:val="00D14F22"/>
    <w:rsid w:val="00D16898"/>
    <w:rsid w:val="00D20EF8"/>
    <w:rsid w:val="00D21775"/>
    <w:rsid w:val="00D24899"/>
    <w:rsid w:val="00D25C85"/>
    <w:rsid w:val="00D276C4"/>
    <w:rsid w:val="00D30EEF"/>
    <w:rsid w:val="00D31495"/>
    <w:rsid w:val="00D33E1E"/>
    <w:rsid w:val="00D34DDE"/>
    <w:rsid w:val="00D350BB"/>
    <w:rsid w:val="00D37061"/>
    <w:rsid w:val="00D3799A"/>
    <w:rsid w:val="00D433E6"/>
    <w:rsid w:val="00D44413"/>
    <w:rsid w:val="00D46450"/>
    <w:rsid w:val="00D4741C"/>
    <w:rsid w:val="00D50090"/>
    <w:rsid w:val="00D53991"/>
    <w:rsid w:val="00D54082"/>
    <w:rsid w:val="00D55F83"/>
    <w:rsid w:val="00D56927"/>
    <w:rsid w:val="00D57918"/>
    <w:rsid w:val="00D57B6A"/>
    <w:rsid w:val="00D61520"/>
    <w:rsid w:val="00D62220"/>
    <w:rsid w:val="00D62B0F"/>
    <w:rsid w:val="00D6449A"/>
    <w:rsid w:val="00D73266"/>
    <w:rsid w:val="00D73D50"/>
    <w:rsid w:val="00D73DC6"/>
    <w:rsid w:val="00D74C1A"/>
    <w:rsid w:val="00D75223"/>
    <w:rsid w:val="00D754C1"/>
    <w:rsid w:val="00D75971"/>
    <w:rsid w:val="00D75BB0"/>
    <w:rsid w:val="00D7645F"/>
    <w:rsid w:val="00D7654D"/>
    <w:rsid w:val="00D77140"/>
    <w:rsid w:val="00D77393"/>
    <w:rsid w:val="00D77A35"/>
    <w:rsid w:val="00D80850"/>
    <w:rsid w:val="00D81B3E"/>
    <w:rsid w:val="00D833A1"/>
    <w:rsid w:val="00D83531"/>
    <w:rsid w:val="00D83C31"/>
    <w:rsid w:val="00D83D37"/>
    <w:rsid w:val="00D8454C"/>
    <w:rsid w:val="00D852B2"/>
    <w:rsid w:val="00D85C07"/>
    <w:rsid w:val="00D8605D"/>
    <w:rsid w:val="00D8794D"/>
    <w:rsid w:val="00D90C70"/>
    <w:rsid w:val="00D90E49"/>
    <w:rsid w:val="00D91529"/>
    <w:rsid w:val="00D92D64"/>
    <w:rsid w:val="00D94B6C"/>
    <w:rsid w:val="00D96ADE"/>
    <w:rsid w:val="00D976E4"/>
    <w:rsid w:val="00D9775B"/>
    <w:rsid w:val="00DA0CE2"/>
    <w:rsid w:val="00DA2387"/>
    <w:rsid w:val="00DA24CE"/>
    <w:rsid w:val="00DA30E4"/>
    <w:rsid w:val="00DA43DB"/>
    <w:rsid w:val="00DB0A41"/>
    <w:rsid w:val="00DB14D7"/>
    <w:rsid w:val="00DB18CA"/>
    <w:rsid w:val="00DB1AC8"/>
    <w:rsid w:val="00DB4110"/>
    <w:rsid w:val="00DB6B5B"/>
    <w:rsid w:val="00DC0F32"/>
    <w:rsid w:val="00DC3932"/>
    <w:rsid w:val="00DC6A10"/>
    <w:rsid w:val="00DC781A"/>
    <w:rsid w:val="00DD027B"/>
    <w:rsid w:val="00DD0791"/>
    <w:rsid w:val="00DD1A44"/>
    <w:rsid w:val="00DD1F04"/>
    <w:rsid w:val="00DD36B6"/>
    <w:rsid w:val="00DD3F0B"/>
    <w:rsid w:val="00DD5E68"/>
    <w:rsid w:val="00DD6FF2"/>
    <w:rsid w:val="00DE3A6B"/>
    <w:rsid w:val="00DE657E"/>
    <w:rsid w:val="00DF125D"/>
    <w:rsid w:val="00DF16F2"/>
    <w:rsid w:val="00DF2402"/>
    <w:rsid w:val="00DF2C1C"/>
    <w:rsid w:val="00DF4314"/>
    <w:rsid w:val="00DF4704"/>
    <w:rsid w:val="00DF5FE7"/>
    <w:rsid w:val="00E011C4"/>
    <w:rsid w:val="00E01658"/>
    <w:rsid w:val="00E024AA"/>
    <w:rsid w:val="00E03547"/>
    <w:rsid w:val="00E04601"/>
    <w:rsid w:val="00E04CB1"/>
    <w:rsid w:val="00E06162"/>
    <w:rsid w:val="00E07586"/>
    <w:rsid w:val="00E11995"/>
    <w:rsid w:val="00E1201A"/>
    <w:rsid w:val="00E13AFF"/>
    <w:rsid w:val="00E15C77"/>
    <w:rsid w:val="00E167D5"/>
    <w:rsid w:val="00E1693E"/>
    <w:rsid w:val="00E21183"/>
    <w:rsid w:val="00E213AB"/>
    <w:rsid w:val="00E250F1"/>
    <w:rsid w:val="00E257B1"/>
    <w:rsid w:val="00E319DF"/>
    <w:rsid w:val="00E31D9B"/>
    <w:rsid w:val="00E32510"/>
    <w:rsid w:val="00E3550D"/>
    <w:rsid w:val="00E43F98"/>
    <w:rsid w:val="00E52838"/>
    <w:rsid w:val="00E52AFD"/>
    <w:rsid w:val="00E53404"/>
    <w:rsid w:val="00E53AA5"/>
    <w:rsid w:val="00E56A10"/>
    <w:rsid w:val="00E614E0"/>
    <w:rsid w:val="00E631D9"/>
    <w:rsid w:val="00E63C87"/>
    <w:rsid w:val="00E64DA9"/>
    <w:rsid w:val="00E66267"/>
    <w:rsid w:val="00E662C0"/>
    <w:rsid w:val="00E66F12"/>
    <w:rsid w:val="00E72E6D"/>
    <w:rsid w:val="00E73004"/>
    <w:rsid w:val="00E739F5"/>
    <w:rsid w:val="00E73F7F"/>
    <w:rsid w:val="00E753E8"/>
    <w:rsid w:val="00E76CFE"/>
    <w:rsid w:val="00E81824"/>
    <w:rsid w:val="00E832EC"/>
    <w:rsid w:val="00E83FAE"/>
    <w:rsid w:val="00E8437C"/>
    <w:rsid w:val="00E84EC5"/>
    <w:rsid w:val="00E85409"/>
    <w:rsid w:val="00E87DD2"/>
    <w:rsid w:val="00E87E12"/>
    <w:rsid w:val="00E9331F"/>
    <w:rsid w:val="00E9339B"/>
    <w:rsid w:val="00E94265"/>
    <w:rsid w:val="00E96326"/>
    <w:rsid w:val="00EA0EC9"/>
    <w:rsid w:val="00EA429F"/>
    <w:rsid w:val="00EA4F9E"/>
    <w:rsid w:val="00EA5AA7"/>
    <w:rsid w:val="00EA63CA"/>
    <w:rsid w:val="00EA6D3B"/>
    <w:rsid w:val="00EB00AD"/>
    <w:rsid w:val="00EB06AA"/>
    <w:rsid w:val="00EB136C"/>
    <w:rsid w:val="00EB145B"/>
    <w:rsid w:val="00EB1604"/>
    <w:rsid w:val="00EB480E"/>
    <w:rsid w:val="00EB5EC6"/>
    <w:rsid w:val="00EB7FC9"/>
    <w:rsid w:val="00EC48E3"/>
    <w:rsid w:val="00EC7706"/>
    <w:rsid w:val="00EC7A27"/>
    <w:rsid w:val="00EC7D0B"/>
    <w:rsid w:val="00ED2526"/>
    <w:rsid w:val="00ED27E8"/>
    <w:rsid w:val="00ED3F76"/>
    <w:rsid w:val="00ED5735"/>
    <w:rsid w:val="00ED7137"/>
    <w:rsid w:val="00EE02F1"/>
    <w:rsid w:val="00EE25AF"/>
    <w:rsid w:val="00EE2FA2"/>
    <w:rsid w:val="00EE39D5"/>
    <w:rsid w:val="00EE4BD3"/>
    <w:rsid w:val="00EE6B56"/>
    <w:rsid w:val="00EF06EA"/>
    <w:rsid w:val="00EF1DFC"/>
    <w:rsid w:val="00EF3D0F"/>
    <w:rsid w:val="00EF49E8"/>
    <w:rsid w:val="00EF55A6"/>
    <w:rsid w:val="00EF7DD8"/>
    <w:rsid w:val="00F01084"/>
    <w:rsid w:val="00F01D94"/>
    <w:rsid w:val="00F03310"/>
    <w:rsid w:val="00F0560F"/>
    <w:rsid w:val="00F06B8C"/>
    <w:rsid w:val="00F07604"/>
    <w:rsid w:val="00F10452"/>
    <w:rsid w:val="00F12637"/>
    <w:rsid w:val="00F12E2E"/>
    <w:rsid w:val="00F13DAD"/>
    <w:rsid w:val="00F14209"/>
    <w:rsid w:val="00F15AC4"/>
    <w:rsid w:val="00F20355"/>
    <w:rsid w:val="00F21088"/>
    <w:rsid w:val="00F23E1C"/>
    <w:rsid w:val="00F2499E"/>
    <w:rsid w:val="00F24E14"/>
    <w:rsid w:val="00F24EAC"/>
    <w:rsid w:val="00F27C8F"/>
    <w:rsid w:val="00F32296"/>
    <w:rsid w:val="00F3236E"/>
    <w:rsid w:val="00F326BF"/>
    <w:rsid w:val="00F327E7"/>
    <w:rsid w:val="00F34267"/>
    <w:rsid w:val="00F35746"/>
    <w:rsid w:val="00F374F6"/>
    <w:rsid w:val="00F445EA"/>
    <w:rsid w:val="00F447C7"/>
    <w:rsid w:val="00F459B4"/>
    <w:rsid w:val="00F47393"/>
    <w:rsid w:val="00F5211B"/>
    <w:rsid w:val="00F554A9"/>
    <w:rsid w:val="00F57464"/>
    <w:rsid w:val="00F57EBE"/>
    <w:rsid w:val="00F608CF"/>
    <w:rsid w:val="00F61277"/>
    <w:rsid w:val="00F6248D"/>
    <w:rsid w:val="00F64210"/>
    <w:rsid w:val="00F66E3F"/>
    <w:rsid w:val="00F67D6A"/>
    <w:rsid w:val="00F716FD"/>
    <w:rsid w:val="00F71900"/>
    <w:rsid w:val="00F75512"/>
    <w:rsid w:val="00F80355"/>
    <w:rsid w:val="00F82923"/>
    <w:rsid w:val="00F831D8"/>
    <w:rsid w:val="00F83586"/>
    <w:rsid w:val="00F84F23"/>
    <w:rsid w:val="00F87C43"/>
    <w:rsid w:val="00F90562"/>
    <w:rsid w:val="00F91659"/>
    <w:rsid w:val="00F92836"/>
    <w:rsid w:val="00F93D26"/>
    <w:rsid w:val="00F96717"/>
    <w:rsid w:val="00FA4E64"/>
    <w:rsid w:val="00FA4F7B"/>
    <w:rsid w:val="00FA5722"/>
    <w:rsid w:val="00FA5EB3"/>
    <w:rsid w:val="00FA69B2"/>
    <w:rsid w:val="00FA6D1A"/>
    <w:rsid w:val="00FB0C81"/>
    <w:rsid w:val="00FB342B"/>
    <w:rsid w:val="00FB3966"/>
    <w:rsid w:val="00FB43B3"/>
    <w:rsid w:val="00FB6241"/>
    <w:rsid w:val="00FB7C76"/>
    <w:rsid w:val="00FC1E55"/>
    <w:rsid w:val="00FC2200"/>
    <w:rsid w:val="00FC2540"/>
    <w:rsid w:val="00FC5B8F"/>
    <w:rsid w:val="00FC5D8D"/>
    <w:rsid w:val="00FC6534"/>
    <w:rsid w:val="00FC67F9"/>
    <w:rsid w:val="00FD02C6"/>
    <w:rsid w:val="00FD6D4A"/>
    <w:rsid w:val="00FD75C2"/>
    <w:rsid w:val="00FD762B"/>
    <w:rsid w:val="00FE271F"/>
    <w:rsid w:val="00FE3249"/>
    <w:rsid w:val="00FE39F1"/>
    <w:rsid w:val="00FE4637"/>
    <w:rsid w:val="00FF0204"/>
    <w:rsid w:val="00FF0D6B"/>
    <w:rsid w:val="00FF172D"/>
    <w:rsid w:val="00FF1869"/>
    <w:rsid w:val="00FF3AED"/>
    <w:rsid w:val="00FF401A"/>
    <w:rsid w:val="00FF6C12"/>
    <w:rsid w:val="00FF77B3"/>
    <w:rsid w:val="00FF77D5"/>
    <w:rsid w:val="12ED7354"/>
    <w:rsid w:val="14F9D7B4"/>
    <w:rsid w:val="1D07B3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33E6B193-5D7F-488E-96F5-D6BE618E5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numbering" w:customStyle="1" w:styleId="1111111">
    <w:name w:val="1 / 1.1 / 1.1.11"/>
    <w:basedOn w:val="NoList"/>
    <w:next w:val="111111"/>
    <w:semiHidden/>
    <w:rsid w:val="00D73D50"/>
    <w:pPr>
      <w:numPr>
        <w:numId w:val="12"/>
      </w:numPr>
    </w:pPr>
  </w:style>
  <w:style w:type="numbering" w:customStyle="1" w:styleId="1ai1">
    <w:name w:val="1 / a / i1"/>
    <w:basedOn w:val="NoList"/>
    <w:next w:val="1ai"/>
    <w:semiHidden/>
    <w:rsid w:val="00D73D50"/>
    <w:pPr>
      <w:numPr>
        <w:numId w:val="13"/>
      </w:numPr>
    </w:pPr>
  </w:style>
  <w:style w:type="numbering" w:customStyle="1" w:styleId="ArticleSection1">
    <w:name w:val="Article / Section1"/>
    <w:basedOn w:val="NoList"/>
    <w:next w:val="ArticleSection"/>
    <w:semiHidden/>
    <w:rsid w:val="00D73D50"/>
    <w:pPr>
      <w:numPr>
        <w:numId w:val="14"/>
      </w:numPr>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D73D50"/>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D73D50"/>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D73D50"/>
    <w:rPr>
      <w:sz w:val="22"/>
      <w:szCs w:val="22"/>
      <w:lang w:val="es-ES"/>
    </w:rPr>
  </w:style>
  <w:style w:type="character" w:customStyle="1" w:styleId="HeaderChar">
    <w:name w:val="Header Char"/>
    <w:basedOn w:val="DefaultParagraphFont"/>
    <w:link w:val="Header"/>
    <w:rsid w:val="00D73D50"/>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73D50"/>
    <w:pPr>
      <w:spacing w:after="160" w:line="240" w:lineRule="exact"/>
    </w:pPr>
    <w:rPr>
      <w:sz w:val="20"/>
      <w:szCs w:val="20"/>
      <w:vertAlign w:val="superscript"/>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D73D50"/>
    <w:rPr>
      <w:sz w:val="22"/>
      <w:szCs w:val="22"/>
      <w:lang w:val="es-ES"/>
    </w:rPr>
  </w:style>
  <w:style w:type="character" w:customStyle="1" w:styleId="normaltextrun">
    <w:name w:val="normaltextrun"/>
    <w:basedOn w:val="DefaultParagraphFont"/>
    <w:rsid w:val="00D73D50"/>
  </w:style>
  <w:style w:type="paragraph" w:styleId="NoSpacing">
    <w:name w:val="No Spacing"/>
    <w:uiPriority w:val="1"/>
    <w:qFormat/>
    <w:rsid w:val="00D73D50"/>
  </w:style>
  <w:style w:type="character" w:customStyle="1" w:styleId="FooterChar">
    <w:name w:val="Footer Char"/>
    <w:basedOn w:val="DefaultParagraphFont"/>
    <w:link w:val="Footer"/>
    <w:uiPriority w:val="99"/>
    <w:rsid w:val="00D73D50"/>
    <w:rPr>
      <w:sz w:val="22"/>
      <w:szCs w:val="22"/>
      <w:lang w:val="es-ES"/>
    </w:rPr>
  </w:style>
  <w:style w:type="paragraph" w:styleId="Revision">
    <w:name w:val="Revision"/>
    <w:hidden/>
    <w:uiPriority w:val="99"/>
    <w:semiHidden/>
    <w:rsid w:val="00D73D50"/>
    <w:rPr>
      <w:sz w:val="22"/>
      <w:szCs w:val="22"/>
    </w:rPr>
  </w:style>
  <w:style w:type="paragraph" w:customStyle="1" w:styleId="paragraph">
    <w:name w:val="paragraph"/>
    <w:basedOn w:val="Normal"/>
    <w:rsid w:val="002B1402"/>
    <w:pPr>
      <w:spacing w:before="100" w:beforeAutospacing="1" w:after="100" w:afterAutospacing="1"/>
      <w:jc w:val="left"/>
    </w:pPr>
    <w:rPr>
      <w:sz w:val="24"/>
      <w:szCs w:val="24"/>
      <w:lang w:eastAsia="en-CA"/>
    </w:rPr>
  </w:style>
  <w:style w:type="character" w:customStyle="1" w:styleId="eop">
    <w:name w:val="eop"/>
    <w:basedOn w:val="DefaultParagraphFont"/>
    <w:rsid w:val="002B14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71133579">
      <w:bodyDiv w:val="1"/>
      <w:marLeft w:val="0"/>
      <w:marRight w:val="0"/>
      <w:marTop w:val="0"/>
      <w:marBottom w:val="0"/>
      <w:divBdr>
        <w:top w:val="none" w:sz="0" w:space="0" w:color="auto"/>
        <w:left w:val="none" w:sz="0" w:space="0" w:color="auto"/>
        <w:bottom w:val="none" w:sz="0" w:space="0" w:color="auto"/>
        <w:right w:val="none" w:sz="0" w:space="0" w:color="auto"/>
      </w:divBdr>
      <w:divsChild>
        <w:div w:id="1121846107">
          <w:marLeft w:val="0"/>
          <w:marRight w:val="0"/>
          <w:marTop w:val="0"/>
          <w:marBottom w:val="0"/>
          <w:divBdr>
            <w:top w:val="none" w:sz="0" w:space="0" w:color="auto"/>
            <w:left w:val="none" w:sz="0" w:space="0" w:color="auto"/>
            <w:bottom w:val="none" w:sz="0" w:space="0" w:color="auto"/>
            <w:right w:val="none" w:sz="0" w:space="0" w:color="auto"/>
          </w:divBdr>
        </w:div>
        <w:div w:id="1793789414">
          <w:marLeft w:val="0"/>
          <w:marRight w:val="0"/>
          <w:marTop w:val="0"/>
          <w:marBottom w:val="0"/>
          <w:divBdr>
            <w:top w:val="none" w:sz="0" w:space="0" w:color="auto"/>
            <w:left w:val="none" w:sz="0" w:space="0" w:color="auto"/>
            <w:bottom w:val="none" w:sz="0" w:space="0" w:color="auto"/>
            <w:right w:val="none" w:sz="0" w:space="0" w:color="auto"/>
          </w:divBdr>
        </w:div>
      </w:divsChild>
    </w:div>
    <w:div w:id="1421833864">
      <w:bodyDiv w:val="1"/>
      <w:marLeft w:val="0"/>
      <w:marRight w:val="0"/>
      <w:marTop w:val="0"/>
      <w:marBottom w:val="0"/>
      <w:divBdr>
        <w:top w:val="none" w:sz="0" w:space="0" w:color="auto"/>
        <w:left w:val="none" w:sz="0" w:space="0" w:color="auto"/>
        <w:bottom w:val="none" w:sz="0" w:space="0" w:color="auto"/>
        <w:right w:val="none" w:sz="0" w:space="0" w:color="auto"/>
      </w:divBdr>
      <w:divsChild>
        <w:div w:id="489056792">
          <w:marLeft w:val="0"/>
          <w:marRight w:val="0"/>
          <w:marTop w:val="0"/>
          <w:marBottom w:val="0"/>
          <w:divBdr>
            <w:top w:val="none" w:sz="0" w:space="0" w:color="auto"/>
            <w:left w:val="none" w:sz="0" w:space="0" w:color="auto"/>
            <w:bottom w:val="none" w:sz="0" w:space="0" w:color="auto"/>
            <w:right w:val="none" w:sz="0" w:space="0" w:color="auto"/>
          </w:divBdr>
        </w:div>
        <w:div w:id="1959528936">
          <w:marLeft w:val="0"/>
          <w:marRight w:val="0"/>
          <w:marTop w:val="0"/>
          <w:marBottom w:val="0"/>
          <w:divBdr>
            <w:top w:val="none" w:sz="0" w:space="0" w:color="auto"/>
            <w:left w:val="none" w:sz="0" w:space="0" w:color="auto"/>
            <w:bottom w:val="none" w:sz="0" w:space="0" w:color="auto"/>
            <w:right w:val="none" w:sz="0" w:space="0" w:color="auto"/>
          </w:divBdr>
        </w:div>
      </w:divsChild>
    </w:div>
    <w:div w:id="1438525156">
      <w:bodyDiv w:val="1"/>
      <w:marLeft w:val="0"/>
      <w:marRight w:val="0"/>
      <w:marTop w:val="0"/>
      <w:marBottom w:val="0"/>
      <w:divBdr>
        <w:top w:val="none" w:sz="0" w:space="0" w:color="auto"/>
        <w:left w:val="none" w:sz="0" w:space="0" w:color="auto"/>
        <w:bottom w:val="none" w:sz="0" w:space="0" w:color="auto"/>
        <w:right w:val="none" w:sz="0" w:space="0" w:color="auto"/>
      </w:divBdr>
      <w:divsChild>
        <w:div w:id="583801359">
          <w:marLeft w:val="0"/>
          <w:marRight w:val="0"/>
          <w:marTop w:val="0"/>
          <w:marBottom w:val="0"/>
          <w:divBdr>
            <w:top w:val="none" w:sz="0" w:space="0" w:color="auto"/>
            <w:left w:val="none" w:sz="0" w:space="0" w:color="auto"/>
            <w:bottom w:val="none" w:sz="0" w:space="0" w:color="auto"/>
            <w:right w:val="none" w:sz="0" w:space="0" w:color="auto"/>
          </w:divBdr>
        </w:div>
        <w:div w:id="843670666">
          <w:marLeft w:val="0"/>
          <w:marRight w:val="0"/>
          <w:marTop w:val="0"/>
          <w:marBottom w:val="0"/>
          <w:divBdr>
            <w:top w:val="none" w:sz="0" w:space="0" w:color="auto"/>
            <w:left w:val="none" w:sz="0" w:space="0" w:color="auto"/>
            <w:bottom w:val="none" w:sz="0" w:space="0" w:color="auto"/>
            <w:right w:val="none" w:sz="0" w:space="0" w:color="auto"/>
          </w:divBdr>
        </w:div>
        <w:div w:id="1046834987">
          <w:marLeft w:val="0"/>
          <w:marRight w:val="0"/>
          <w:marTop w:val="0"/>
          <w:marBottom w:val="0"/>
          <w:divBdr>
            <w:top w:val="none" w:sz="0" w:space="0" w:color="auto"/>
            <w:left w:val="none" w:sz="0" w:space="0" w:color="auto"/>
            <w:bottom w:val="none" w:sz="0" w:space="0" w:color="auto"/>
            <w:right w:val="none" w:sz="0" w:space="0" w:color="auto"/>
          </w:divBdr>
        </w:div>
        <w:div w:id="1340699642">
          <w:marLeft w:val="0"/>
          <w:marRight w:val="0"/>
          <w:marTop w:val="0"/>
          <w:marBottom w:val="0"/>
          <w:divBdr>
            <w:top w:val="none" w:sz="0" w:space="0" w:color="auto"/>
            <w:left w:val="none" w:sz="0" w:space="0" w:color="auto"/>
            <w:bottom w:val="none" w:sz="0" w:space="0" w:color="auto"/>
            <w:right w:val="none" w:sz="0" w:space="0" w:color="auto"/>
          </w:divBdr>
        </w:div>
        <w:div w:id="167144843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854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40A962FB-48F2-334B-9994-DEE25C0E3743}">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purl.org/dc/terms/"/>
    <ds:schemaRef ds:uri="http://purl.org/dc/elements/1.1/"/>
    <ds:schemaRef ds:uri="eb6c2e4c-3f1c-4103-a37b-37c984dbe58f"/>
    <ds:schemaRef ds:uri="http://schemas.microsoft.com/office/infopath/2007/PartnerControls"/>
    <ds:schemaRef ds:uri="b93c647f-d63b-431a-95c8-8e00048cff23"/>
    <ds:schemaRef ds:uri="http://www.w3.org/XML/1998/namespace"/>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4677</Words>
  <Characters>25307</Characters>
  <Application>Microsoft Office Word</Application>
  <DocSecurity>0</DocSecurity>
  <Lines>210</Lines>
  <Paragraphs>59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Chile</vt:lpstr>
      <vt:lpstr>CHILE: Energy Efficiency</vt:lpstr>
    </vt:vector>
  </TitlesOfParts>
  <Company>UNMFS</Company>
  <LinksUpToDate>false</LinksUpToDate>
  <CharactersWithSpaces>29925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Chile</dc:title>
  <dc:subject/>
  <dc:creator>Mulu Alem</dc:creator>
  <cp:keywords/>
  <cp:lastModifiedBy>Angela Xue He Yan</cp:lastModifiedBy>
  <cp:revision>3</cp:revision>
  <cp:lastPrinted>2001-05-26T16:40:00Z</cp:lastPrinted>
  <dcterms:created xsi:type="dcterms:W3CDTF">2025-04-30T18:27:00Z</dcterms:created>
  <dcterms:modified xsi:type="dcterms:W3CDTF">2025-05-01T17:51:00Z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UNEP/OzL.Pro/ExCom/96/30</vt:lpwstr>
  </property>
  <property fmtid="{D5CDD505-2E9C-101B-9397-08002B2CF9AE}" pid="3" name="Revision date">
    <vt:lpwstr>4/25/2025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