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r>
              <w:rPr>
                <w:rFonts w:ascii="Univers" w:hAnsi="Univers"/>
                <w:b/>
                <w:sz w:val="32"/>
                <w:lang w:val="fr-CA"/>
              </w:rPr>
              <w:t>l’environnement</w:t>
            </w:r>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5A37B2A0" w:rsidR="00441083" w:rsidRPr="00956C5C" w:rsidRDefault="00E60D9C">
            <w:pPr>
              <w:rPr>
                <w:lang w:val="fr-CA"/>
              </w:rPr>
            </w:pPr>
            <w:r>
              <w:fldChar w:fldCharType="begin"/>
            </w:r>
            <w:r w:rsidRPr="00956C5C">
              <w:rPr>
                <w:lang w:val="fr-CA"/>
              </w:rPr>
              <w:instrText xml:space="preserve"> DOCPROPERTY "Document number"  \* MERGEFORMAT </w:instrText>
            </w:r>
            <w:r>
              <w:fldChar w:fldCharType="separate"/>
            </w:r>
            <w:r w:rsidR="00FA099B">
              <w:rPr>
                <w:lang w:val="fr-CA"/>
              </w:rPr>
              <w:t>UNEP/</w:t>
            </w:r>
            <w:proofErr w:type="spellStart"/>
            <w:r w:rsidR="00FA099B">
              <w:rPr>
                <w:lang w:val="fr-CA"/>
              </w:rPr>
              <w:t>OzL.Pro</w:t>
            </w:r>
            <w:proofErr w:type="spellEnd"/>
            <w:r w:rsidR="00FA099B">
              <w:rPr>
                <w:lang w:val="fr-CA"/>
              </w:rPr>
              <w:t>/</w:t>
            </w:r>
            <w:proofErr w:type="spellStart"/>
            <w:r w:rsidR="00FA099B">
              <w:rPr>
                <w:lang w:val="fr-CA"/>
              </w:rPr>
              <w:t>ExCom</w:t>
            </w:r>
            <w:proofErr w:type="spellEnd"/>
            <w:r w:rsidR="00FA099B">
              <w:rPr>
                <w:lang w:val="fr-CA"/>
              </w:rPr>
              <w:t>/93/21</w:t>
            </w:r>
            <w:r>
              <w:fldChar w:fldCharType="end"/>
            </w:r>
          </w:p>
          <w:p w14:paraId="4814104B" w14:textId="57BD2D9E" w:rsidR="002F0B57" w:rsidRPr="00DB2922" w:rsidRDefault="002F0B57" w:rsidP="00C9547D">
            <w:pPr>
              <w:rPr>
                <w:lang w:val="fr-CA"/>
              </w:rPr>
            </w:pPr>
            <w:r>
              <w:fldChar w:fldCharType="begin"/>
            </w:r>
            <w:r w:rsidRPr="00DB2922">
              <w:rPr>
                <w:lang w:val="fr-CA"/>
              </w:rPr>
              <w:instrText xml:space="preserve"> DOCPROPERTY "Revision date" \@ "d MMMM YYYY"  \* MERGEFORMAT </w:instrText>
            </w:r>
            <w:r>
              <w:fldChar w:fldCharType="separate"/>
            </w:r>
            <w:r w:rsidR="000313BC">
              <w:rPr>
                <w:lang w:val="fr-CA"/>
              </w:rPr>
              <w:t>4 décembre 2023</w:t>
            </w:r>
            <w:r>
              <w:fldChar w:fldCharType="end"/>
            </w:r>
          </w:p>
          <w:p w14:paraId="44C1D720" w14:textId="77777777" w:rsidR="00441083" w:rsidRDefault="00FC5578">
            <w:pPr>
              <w:rPr>
                <w:caps/>
                <w:lang w:val="fr-FR"/>
              </w:rPr>
            </w:pPr>
            <w:r w:rsidRPr="00DB2922">
              <w:rPr>
                <w:caps/>
                <w:lang w:val="fr-CA"/>
              </w:rPr>
              <w:br/>
            </w:r>
            <w:r w:rsidR="00E60D9C">
              <w:rPr>
                <w:caps/>
                <w:lang w:val="fr-FR"/>
              </w:rPr>
              <w:t>FRANÇAIS</w:t>
            </w:r>
          </w:p>
          <w:p w14:paraId="5B66CFAC" w14:textId="77777777" w:rsidR="00441083" w:rsidRDefault="00E60D9C">
            <w:r>
              <w:t xml:space="preserve">ORIGINAL: </w:t>
            </w:r>
            <w:r w:rsidR="0091161A">
              <w:t>ANGLAIS</w:t>
            </w:r>
          </w:p>
        </w:tc>
      </w:tr>
    </w:tbl>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2DFA7881" w14:textId="284CD54B" w:rsidR="00C024F9" w:rsidRDefault="00C024F9" w:rsidP="00A97E14">
      <w:pPr>
        <w:jc w:val="left"/>
        <w:rPr>
          <w:lang w:val="fr-FR"/>
        </w:rPr>
      </w:pPr>
      <w:r>
        <w:rPr>
          <w:lang w:val="fr-FR"/>
        </w:rPr>
        <w:t>Point 7(b)(ii) de l’ordre du jour provisoire</w:t>
      </w:r>
      <w:r>
        <w:rPr>
          <w:rStyle w:val="FootnoteReference"/>
          <w:lang w:val="fr-FR"/>
        </w:rPr>
        <w:footnoteReference w:id="1"/>
      </w:r>
    </w:p>
    <w:p w14:paraId="61CC952E" w14:textId="77777777" w:rsidR="005A7F28" w:rsidRPr="00B07F02" w:rsidRDefault="005A7F28" w:rsidP="00A97E14">
      <w:pPr>
        <w:jc w:val="left"/>
        <w:rPr>
          <w:lang w:val="fr-FR"/>
        </w:rPr>
      </w:pPr>
    </w:p>
    <w:p w14:paraId="4017703A" w14:textId="77777777" w:rsidR="00843511" w:rsidRDefault="00843511" w:rsidP="00C54491">
      <w:pPr>
        <w:pStyle w:val="Title1"/>
        <w:jc w:val="both"/>
        <w:rPr>
          <w:lang w:val="fr-FR"/>
        </w:rPr>
      </w:pPr>
    </w:p>
    <w:p w14:paraId="5E3926C1" w14:textId="77777777" w:rsidR="00441083" w:rsidRDefault="00441083">
      <w:pPr>
        <w:pStyle w:val="Title1"/>
        <w:rPr>
          <w:lang w:val="fr-FR"/>
        </w:rPr>
      </w:pPr>
    </w:p>
    <w:p w14:paraId="047FDE75" w14:textId="2ACE5B67" w:rsidR="00C54491" w:rsidRDefault="00C54491">
      <w:pPr>
        <w:jc w:val="center"/>
        <w:rPr>
          <w:b/>
          <w:bCs/>
          <w:lang w:val="fr-CA"/>
        </w:rPr>
      </w:pPr>
      <w:r>
        <w:rPr>
          <w:b/>
          <w:bCs/>
          <w:lang w:val="fr-CA"/>
        </w:rPr>
        <w:t>RAPPORT</w:t>
      </w:r>
      <w:r w:rsidR="00212A08">
        <w:rPr>
          <w:b/>
          <w:bCs/>
          <w:lang w:val="fr-CA"/>
        </w:rPr>
        <w:t>S</w:t>
      </w:r>
      <w:r>
        <w:rPr>
          <w:b/>
          <w:bCs/>
          <w:lang w:val="fr-CA"/>
        </w:rPr>
        <w:t xml:space="preserve"> SUR LES PROJETS COMPORTANT DES EXIGENCES PARTICULIÈRES </w:t>
      </w:r>
    </w:p>
    <w:p w14:paraId="0CBC40A1" w14:textId="745F45A4" w:rsidR="00E76277" w:rsidRPr="0069494B" w:rsidRDefault="00C54491" w:rsidP="0069494B">
      <w:pPr>
        <w:jc w:val="center"/>
        <w:rPr>
          <w:b/>
          <w:bCs/>
          <w:lang w:val="fr-CA"/>
        </w:rPr>
      </w:pPr>
      <w:r>
        <w:rPr>
          <w:b/>
          <w:bCs/>
          <w:lang w:val="fr-CA"/>
        </w:rPr>
        <w:t>DE REMISE DE RAPPORTS : RAPPOR</w:t>
      </w:r>
      <w:r w:rsidR="00902682">
        <w:rPr>
          <w:b/>
          <w:bCs/>
          <w:lang w:val="fr-CA"/>
        </w:rPr>
        <w:t>T</w:t>
      </w:r>
      <w:r>
        <w:rPr>
          <w:b/>
          <w:bCs/>
          <w:lang w:val="fr-CA"/>
        </w:rPr>
        <w:t xml:space="preserve">S COMPORTANT DES QUESTIONS EN </w:t>
      </w:r>
      <w:r w:rsidR="00902682">
        <w:rPr>
          <w:b/>
          <w:bCs/>
          <w:lang w:val="fr-CA"/>
        </w:rPr>
        <w:t>IN</w:t>
      </w:r>
      <w:r>
        <w:rPr>
          <w:b/>
          <w:bCs/>
          <w:lang w:val="fr-CA"/>
        </w:rPr>
        <w:t>S</w:t>
      </w:r>
      <w:r w:rsidR="00902682">
        <w:rPr>
          <w:b/>
          <w:bCs/>
          <w:lang w:val="fr-CA"/>
        </w:rPr>
        <w:t>TA</w:t>
      </w:r>
      <w:r>
        <w:rPr>
          <w:b/>
          <w:bCs/>
          <w:lang w:val="fr-CA"/>
        </w:rPr>
        <w:t>N</w:t>
      </w:r>
      <w:r w:rsidR="00902682">
        <w:rPr>
          <w:b/>
          <w:bCs/>
          <w:lang w:val="fr-CA"/>
        </w:rPr>
        <w:t>CE</w:t>
      </w:r>
    </w:p>
    <w:p w14:paraId="321B8E3A" w14:textId="77777777" w:rsidR="00441083" w:rsidRDefault="00441083">
      <w:pPr>
        <w:jc w:val="center"/>
        <w:rPr>
          <w:lang w:val="fr-CA"/>
        </w:rPr>
      </w:pPr>
    </w:p>
    <w:p w14:paraId="465ED7A9" w14:textId="54347028" w:rsidR="00441083" w:rsidRDefault="00C54491" w:rsidP="00C54491">
      <w:pPr>
        <w:rPr>
          <w:b/>
          <w:bCs/>
          <w:lang w:val="fr-CA"/>
        </w:rPr>
      </w:pPr>
      <w:r w:rsidRPr="00C54491">
        <w:rPr>
          <w:b/>
          <w:bCs/>
          <w:lang w:val="fr-CA"/>
        </w:rPr>
        <w:t>Aperçu</w:t>
      </w:r>
    </w:p>
    <w:p w14:paraId="1FB483A3" w14:textId="77777777" w:rsidR="00C54491" w:rsidRPr="00C54491" w:rsidRDefault="00C54491" w:rsidP="00C54491">
      <w:pPr>
        <w:rPr>
          <w:b/>
          <w:bCs/>
          <w:lang w:val="fr-CA"/>
        </w:rPr>
      </w:pPr>
    </w:p>
    <w:p w14:paraId="74ECEEF4" w14:textId="62C892A6" w:rsidR="00212A08" w:rsidRDefault="00C54491">
      <w:pPr>
        <w:pStyle w:val="StyleHeading1Para1Heading1CharHeading1Char3CharHeadin"/>
        <w:numPr>
          <w:ilvl w:val="0"/>
          <w:numId w:val="1"/>
        </w:numPr>
        <w:tabs>
          <w:tab w:val="clear" w:pos="0"/>
        </w:tabs>
        <w:rPr>
          <w:lang w:val="fr-CA"/>
        </w:rPr>
      </w:pPr>
      <w:r>
        <w:rPr>
          <w:lang w:val="fr-CA"/>
        </w:rPr>
        <w:t>Le tableau 1</w:t>
      </w:r>
      <w:r w:rsidR="00212A08">
        <w:rPr>
          <w:lang w:val="fr-CA"/>
        </w:rPr>
        <w:t>contient trois rapports sur les projets comportant des exigences particulières de remise de rapports, soumis à la 93</w:t>
      </w:r>
      <w:r w:rsidR="00212A08" w:rsidRPr="00212A08">
        <w:rPr>
          <w:vertAlign w:val="superscript"/>
          <w:lang w:val="fr-CA"/>
        </w:rPr>
        <w:t>e</w:t>
      </w:r>
      <w:r w:rsidR="00212A08">
        <w:rPr>
          <w:lang w:val="fr-CA"/>
        </w:rPr>
        <w:t xml:space="preserve"> réunion et qui, après examen du Secrétariat, comportent des questions en </w:t>
      </w:r>
      <w:r w:rsidR="00902682">
        <w:rPr>
          <w:lang w:val="fr-CA"/>
        </w:rPr>
        <w:t>in</w:t>
      </w:r>
      <w:r w:rsidR="00212A08">
        <w:rPr>
          <w:lang w:val="fr-CA"/>
        </w:rPr>
        <w:t>s</w:t>
      </w:r>
      <w:r w:rsidR="00902682">
        <w:rPr>
          <w:lang w:val="fr-CA"/>
        </w:rPr>
        <w:t>ta</w:t>
      </w:r>
      <w:r w:rsidR="00212A08">
        <w:rPr>
          <w:lang w:val="fr-CA"/>
        </w:rPr>
        <w:t>n</w:t>
      </w:r>
      <w:r w:rsidR="00902682">
        <w:rPr>
          <w:lang w:val="fr-CA"/>
        </w:rPr>
        <w:t>ce</w:t>
      </w:r>
      <w:r w:rsidR="00212A08">
        <w:rPr>
          <w:lang w:val="fr-CA"/>
        </w:rPr>
        <w:t xml:space="preserve"> et doivent être examinés individuellement par le Comité exécutif.</w:t>
      </w:r>
    </w:p>
    <w:p w14:paraId="71778F1F" w14:textId="76B04A93" w:rsidR="001958CA" w:rsidRPr="001958CA" w:rsidRDefault="001958CA" w:rsidP="001958CA">
      <w:pPr>
        <w:rPr>
          <w:b/>
          <w:sz w:val="20"/>
          <w:szCs w:val="20"/>
          <w:lang w:val="fr-CA"/>
        </w:rPr>
      </w:pPr>
      <w:r w:rsidRPr="00B6618D">
        <w:rPr>
          <w:b/>
          <w:sz w:val="20"/>
          <w:szCs w:val="20"/>
          <w:lang w:val="fr-CA"/>
        </w:rPr>
        <w:t xml:space="preserve">Tableau 1. </w:t>
      </w:r>
      <w:r w:rsidRPr="001958CA">
        <w:rPr>
          <w:b/>
          <w:sz w:val="20"/>
          <w:szCs w:val="20"/>
          <w:lang w:val="fr-CA"/>
        </w:rPr>
        <w:t xml:space="preserve">Rapports sur </w:t>
      </w:r>
      <w:r>
        <w:rPr>
          <w:b/>
          <w:sz w:val="20"/>
          <w:szCs w:val="20"/>
          <w:lang w:val="fr-CA"/>
        </w:rPr>
        <w:t>l</w:t>
      </w:r>
      <w:r w:rsidRPr="001958CA">
        <w:rPr>
          <w:b/>
          <w:sz w:val="20"/>
          <w:szCs w:val="20"/>
          <w:lang w:val="fr-CA"/>
        </w:rPr>
        <w:t xml:space="preserve">es projets comportant des exigences particulières de remise de rapports </w:t>
      </w:r>
      <w:r w:rsidR="0015712F">
        <w:rPr>
          <w:b/>
          <w:sz w:val="20"/>
          <w:szCs w:val="20"/>
          <w:lang w:val="fr-CA"/>
        </w:rPr>
        <w:t>sur</w:t>
      </w:r>
      <w:r>
        <w:rPr>
          <w:b/>
          <w:sz w:val="20"/>
          <w:szCs w:val="20"/>
          <w:lang w:val="fr-CA"/>
        </w:rPr>
        <w:t xml:space="preserve"> des questions en </w:t>
      </w:r>
      <w:r w:rsidR="00902682">
        <w:rPr>
          <w:b/>
          <w:sz w:val="20"/>
          <w:szCs w:val="20"/>
          <w:lang w:val="fr-CA"/>
        </w:rPr>
        <w:t>in</w:t>
      </w:r>
      <w:r>
        <w:rPr>
          <w:b/>
          <w:sz w:val="20"/>
          <w:szCs w:val="20"/>
          <w:lang w:val="fr-CA"/>
        </w:rPr>
        <w:t>s</w:t>
      </w:r>
      <w:r w:rsidR="00902682">
        <w:rPr>
          <w:b/>
          <w:sz w:val="20"/>
          <w:szCs w:val="20"/>
          <w:lang w:val="fr-CA"/>
        </w:rPr>
        <w:t>ta</w:t>
      </w:r>
      <w:r>
        <w:rPr>
          <w:b/>
          <w:sz w:val="20"/>
          <w:szCs w:val="20"/>
          <w:lang w:val="fr-CA"/>
        </w:rPr>
        <w:t>n</w:t>
      </w:r>
      <w:r w:rsidR="00902682">
        <w:rPr>
          <w:b/>
          <w:sz w:val="20"/>
          <w:szCs w:val="20"/>
          <w:lang w:val="fr-CA"/>
        </w:rPr>
        <w:t>ce</w:t>
      </w:r>
    </w:p>
    <w:tbl>
      <w:tblPr>
        <w:tblStyle w:val="TableGrid"/>
        <w:tblW w:w="0" w:type="auto"/>
        <w:tblLook w:val="04A0" w:firstRow="1" w:lastRow="0" w:firstColumn="1" w:lastColumn="0" w:noHBand="0" w:noVBand="1"/>
      </w:tblPr>
      <w:tblGrid>
        <w:gridCol w:w="1980"/>
        <w:gridCol w:w="2694"/>
        <w:gridCol w:w="3061"/>
        <w:gridCol w:w="1615"/>
      </w:tblGrid>
      <w:tr w:rsidR="001958CA" w:rsidRPr="00FE253D" w14:paraId="19400C43" w14:textId="77777777" w:rsidTr="001958CA">
        <w:trPr>
          <w:tblHeader/>
        </w:trPr>
        <w:tc>
          <w:tcPr>
            <w:tcW w:w="1980" w:type="dxa"/>
            <w:tcBorders>
              <w:top w:val="single" w:sz="4" w:space="0" w:color="auto"/>
              <w:left w:val="single" w:sz="4" w:space="0" w:color="auto"/>
              <w:bottom w:val="single" w:sz="4" w:space="0" w:color="auto"/>
              <w:right w:val="single" w:sz="4" w:space="0" w:color="auto"/>
            </w:tcBorders>
            <w:hideMark/>
          </w:tcPr>
          <w:p w14:paraId="12BA8330" w14:textId="69DC4F3F" w:rsidR="001958CA" w:rsidRPr="00FE253D" w:rsidRDefault="001958CA" w:rsidP="00B51E18">
            <w:pPr>
              <w:jc w:val="center"/>
              <w:rPr>
                <w:b/>
                <w:sz w:val="20"/>
                <w:szCs w:val="20"/>
              </w:rPr>
            </w:pPr>
            <w:r>
              <w:rPr>
                <w:b/>
                <w:sz w:val="20"/>
                <w:szCs w:val="20"/>
              </w:rPr>
              <w:t>Pays</w:t>
            </w:r>
          </w:p>
        </w:tc>
        <w:tc>
          <w:tcPr>
            <w:tcW w:w="2694" w:type="dxa"/>
            <w:tcBorders>
              <w:top w:val="single" w:sz="4" w:space="0" w:color="auto"/>
              <w:left w:val="single" w:sz="4" w:space="0" w:color="auto"/>
              <w:bottom w:val="single" w:sz="4" w:space="0" w:color="auto"/>
              <w:right w:val="single" w:sz="4" w:space="0" w:color="auto"/>
            </w:tcBorders>
            <w:hideMark/>
          </w:tcPr>
          <w:p w14:paraId="184783B5" w14:textId="5FED480D" w:rsidR="001958CA" w:rsidRPr="00FE253D" w:rsidRDefault="001958CA" w:rsidP="00B51E18">
            <w:pPr>
              <w:jc w:val="center"/>
              <w:rPr>
                <w:b/>
                <w:sz w:val="20"/>
                <w:szCs w:val="20"/>
              </w:rPr>
            </w:pPr>
            <w:r>
              <w:rPr>
                <w:b/>
                <w:sz w:val="20"/>
                <w:szCs w:val="20"/>
              </w:rPr>
              <w:t xml:space="preserve">Titre du </w:t>
            </w:r>
            <w:proofErr w:type="spellStart"/>
            <w:r>
              <w:rPr>
                <w:b/>
                <w:sz w:val="20"/>
                <w:szCs w:val="20"/>
              </w:rPr>
              <w:t>p</w:t>
            </w:r>
            <w:r w:rsidRPr="00FE253D">
              <w:rPr>
                <w:b/>
                <w:sz w:val="20"/>
                <w:szCs w:val="20"/>
              </w:rPr>
              <w:t>rojet</w:t>
            </w:r>
            <w:proofErr w:type="spellEnd"/>
            <w:r w:rsidRPr="00FE253D">
              <w:rPr>
                <w:b/>
                <w:sz w:val="20"/>
                <w:szCs w:val="20"/>
              </w:rPr>
              <w:t xml:space="preserve"> </w:t>
            </w:r>
          </w:p>
        </w:tc>
        <w:tc>
          <w:tcPr>
            <w:tcW w:w="3061" w:type="dxa"/>
            <w:tcBorders>
              <w:top w:val="single" w:sz="4" w:space="0" w:color="auto"/>
              <w:left w:val="single" w:sz="4" w:space="0" w:color="auto"/>
              <w:bottom w:val="single" w:sz="4" w:space="0" w:color="auto"/>
              <w:right w:val="single" w:sz="4" w:space="0" w:color="auto"/>
            </w:tcBorders>
            <w:hideMark/>
          </w:tcPr>
          <w:p w14:paraId="0A94843C" w14:textId="38B9B0BE" w:rsidR="001958CA" w:rsidRPr="00FE253D" w:rsidRDefault="001958CA" w:rsidP="00B51E18">
            <w:pPr>
              <w:jc w:val="center"/>
              <w:rPr>
                <w:b/>
                <w:sz w:val="20"/>
                <w:szCs w:val="20"/>
              </w:rPr>
            </w:pPr>
            <w:r>
              <w:rPr>
                <w:b/>
                <w:sz w:val="20"/>
                <w:szCs w:val="20"/>
              </w:rPr>
              <w:t>Question</w:t>
            </w:r>
          </w:p>
        </w:tc>
        <w:tc>
          <w:tcPr>
            <w:tcW w:w="1615" w:type="dxa"/>
            <w:tcBorders>
              <w:top w:val="single" w:sz="4" w:space="0" w:color="auto"/>
              <w:left w:val="single" w:sz="4" w:space="0" w:color="auto"/>
              <w:bottom w:val="single" w:sz="4" w:space="0" w:color="auto"/>
              <w:right w:val="single" w:sz="4" w:space="0" w:color="auto"/>
            </w:tcBorders>
            <w:hideMark/>
          </w:tcPr>
          <w:p w14:paraId="7EA19E3A" w14:textId="46BE2C89" w:rsidR="001958CA" w:rsidRPr="00FE253D" w:rsidRDefault="001958CA" w:rsidP="00B51E18">
            <w:pPr>
              <w:jc w:val="center"/>
              <w:rPr>
                <w:b/>
                <w:sz w:val="20"/>
                <w:szCs w:val="20"/>
              </w:rPr>
            </w:pPr>
            <w:proofErr w:type="spellStart"/>
            <w:r w:rsidRPr="00FE253D">
              <w:rPr>
                <w:b/>
                <w:sz w:val="20"/>
                <w:szCs w:val="20"/>
              </w:rPr>
              <w:t>Paragraph</w:t>
            </w:r>
            <w:r>
              <w:rPr>
                <w:b/>
                <w:sz w:val="20"/>
                <w:szCs w:val="20"/>
              </w:rPr>
              <w:t>e</w:t>
            </w:r>
            <w:r w:rsidRPr="00FE253D">
              <w:rPr>
                <w:b/>
                <w:sz w:val="20"/>
                <w:szCs w:val="20"/>
              </w:rPr>
              <w:t>s</w:t>
            </w:r>
            <w:proofErr w:type="spellEnd"/>
          </w:p>
        </w:tc>
      </w:tr>
      <w:tr w:rsidR="001958CA" w:rsidRPr="00D94D3B" w14:paraId="6320B2E8" w14:textId="77777777" w:rsidTr="00B51E18">
        <w:trPr>
          <w:tblHeader/>
        </w:trPr>
        <w:tc>
          <w:tcPr>
            <w:tcW w:w="9350" w:type="dxa"/>
            <w:gridSpan w:val="4"/>
            <w:tcBorders>
              <w:top w:val="single" w:sz="4" w:space="0" w:color="auto"/>
              <w:left w:val="single" w:sz="4" w:space="0" w:color="auto"/>
              <w:bottom w:val="single" w:sz="4" w:space="0" w:color="auto"/>
              <w:right w:val="single" w:sz="4" w:space="0" w:color="auto"/>
            </w:tcBorders>
            <w:hideMark/>
          </w:tcPr>
          <w:p w14:paraId="49231D1D" w14:textId="06548EE7" w:rsidR="001958CA" w:rsidRPr="0015712F" w:rsidRDefault="001958CA" w:rsidP="001958CA">
            <w:pPr>
              <w:pStyle w:val="ListParagraph"/>
              <w:numPr>
                <w:ilvl w:val="0"/>
                <w:numId w:val="23"/>
              </w:numPr>
              <w:rPr>
                <w:sz w:val="20"/>
                <w:szCs w:val="20"/>
                <w:lang w:val="fr-CA"/>
              </w:rPr>
            </w:pPr>
            <w:bookmarkStart w:id="0" w:name="_Hlk132793536"/>
            <w:r w:rsidRPr="0015712F">
              <w:rPr>
                <w:b/>
                <w:sz w:val="20"/>
                <w:szCs w:val="20"/>
                <w:lang w:val="fr-CA"/>
              </w:rPr>
              <w:t>R</w:t>
            </w:r>
            <w:r w:rsidR="0015712F" w:rsidRPr="0015712F">
              <w:rPr>
                <w:b/>
                <w:sz w:val="20"/>
                <w:szCs w:val="20"/>
                <w:lang w:val="fr-CA"/>
              </w:rPr>
              <w:t>ap</w:t>
            </w:r>
            <w:r w:rsidRPr="0015712F">
              <w:rPr>
                <w:b/>
                <w:sz w:val="20"/>
                <w:szCs w:val="20"/>
                <w:lang w:val="fr-CA"/>
              </w:rPr>
              <w:t xml:space="preserve">ports </w:t>
            </w:r>
            <w:r w:rsidR="0015712F">
              <w:rPr>
                <w:b/>
                <w:sz w:val="20"/>
                <w:szCs w:val="20"/>
                <w:lang w:val="fr-CA"/>
              </w:rPr>
              <w:t>reliés à</w:t>
            </w:r>
            <w:r w:rsidR="0015712F" w:rsidRPr="0015712F">
              <w:rPr>
                <w:b/>
                <w:sz w:val="20"/>
                <w:szCs w:val="20"/>
                <w:lang w:val="fr-CA"/>
              </w:rPr>
              <w:t xml:space="preserve"> des plans de gestion de l’élimination </w:t>
            </w:r>
            <w:r w:rsidR="0015712F">
              <w:rPr>
                <w:b/>
                <w:sz w:val="20"/>
                <w:szCs w:val="20"/>
                <w:lang w:val="fr-CA"/>
              </w:rPr>
              <w:t xml:space="preserve">des </w:t>
            </w:r>
            <w:r w:rsidRPr="0015712F">
              <w:rPr>
                <w:b/>
                <w:sz w:val="20"/>
                <w:szCs w:val="20"/>
                <w:lang w:val="fr-CA"/>
              </w:rPr>
              <w:t>HCFC (P</w:t>
            </w:r>
            <w:r w:rsidR="0015712F">
              <w:rPr>
                <w:b/>
                <w:sz w:val="20"/>
                <w:szCs w:val="20"/>
                <w:lang w:val="fr-CA"/>
              </w:rPr>
              <w:t>GEH</w:t>
            </w:r>
            <w:r w:rsidRPr="0015712F">
              <w:rPr>
                <w:b/>
                <w:sz w:val="20"/>
                <w:szCs w:val="20"/>
                <w:lang w:val="fr-CA"/>
              </w:rPr>
              <w:t>)</w:t>
            </w:r>
          </w:p>
        </w:tc>
      </w:tr>
      <w:tr w:rsidR="001958CA" w:rsidRPr="00FE253D" w14:paraId="72606473" w14:textId="77777777" w:rsidTr="001958CA">
        <w:tc>
          <w:tcPr>
            <w:tcW w:w="1980" w:type="dxa"/>
            <w:tcBorders>
              <w:top w:val="single" w:sz="4" w:space="0" w:color="auto"/>
              <w:left w:val="single" w:sz="4" w:space="0" w:color="auto"/>
              <w:bottom w:val="single" w:sz="4" w:space="0" w:color="auto"/>
              <w:right w:val="single" w:sz="4" w:space="0" w:color="auto"/>
            </w:tcBorders>
          </w:tcPr>
          <w:p w14:paraId="787C5228" w14:textId="2E7FF1FA" w:rsidR="001958CA" w:rsidRPr="00FE253D" w:rsidRDefault="001958CA" w:rsidP="00B51E18">
            <w:pPr>
              <w:rPr>
                <w:sz w:val="20"/>
                <w:szCs w:val="20"/>
                <w:highlight w:val="cyan"/>
              </w:rPr>
            </w:pPr>
            <w:proofErr w:type="spellStart"/>
            <w:r w:rsidRPr="00FE253D">
              <w:rPr>
                <w:sz w:val="20"/>
                <w:szCs w:val="20"/>
              </w:rPr>
              <w:t>Liby</w:t>
            </w:r>
            <w:r>
              <w:rPr>
                <w:sz w:val="20"/>
                <w:szCs w:val="20"/>
              </w:rPr>
              <w:t>e</w:t>
            </w:r>
            <w:proofErr w:type="spellEnd"/>
          </w:p>
        </w:tc>
        <w:tc>
          <w:tcPr>
            <w:tcW w:w="2694" w:type="dxa"/>
            <w:tcBorders>
              <w:top w:val="single" w:sz="4" w:space="0" w:color="auto"/>
              <w:left w:val="single" w:sz="4" w:space="0" w:color="auto"/>
              <w:bottom w:val="single" w:sz="4" w:space="0" w:color="auto"/>
              <w:right w:val="single" w:sz="4" w:space="0" w:color="auto"/>
            </w:tcBorders>
          </w:tcPr>
          <w:p w14:paraId="5468CD9A" w14:textId="3EC71BAE" w:rsidR="001958CA" w:rsidRPr="001958CA" w:rsidRDefault="001958CA" w:rsidP="00B51E18">
            <w:pPr>
              <w:jc w:val="left"/>
              <w:rPr>
                <w:sz w:val="20"/>
                <w:szCs w:val="20"/>
                <w:highlight w:val="cyan"/>
                <w:lang w:val="fr-CA"/>
              </w:rPr>
            </w:pPr>
            <w:r w:rsidRPr="001958CA">
              <w:rPr>
                <w:sz w:val="20"/>
                <w:szCs w:val="20"/>
                <w:lang w:val="fr-CA"/>
              </w:rPr>
              <w:t>Plan de gestion de l’élimination des HCFC  (</w:t>
            </w:r>
            <w:r>
              <w:rPr>
                <w:sz w:val="20"/>
                <w:szCs w:val="20"/>
                <w:lang w:val="fr-CA"/>
              </w:rPr>
              <w:t>ph</w:t>
            </w:r>
            <w:r w:rsidRPr="001958CA">
              <w:rPr>
                <w:sz w:val="20"/>
                <w:szCs w:val="20"/>
                <w:lang w:val="fr-CA"/>
              </w:rPr>
              <w:t>a</w:t>
            </w:r>
            <w:r>
              <w:rPr>
                <w:sz w:val="20"/>
                <w:szCs w:val="20"/>
                <w:lang w:val="fr-CA"/>
              </w:rPr>
              <w:t>s</w:t>
            </w:r>
            <w:r w:rsidRPr="001958CA">
              <w:rPr>
                <w:sz w:val="20"/>
                <w:szCs w:val="20"/>
                <w:lang w:val="fr-CA"/>
              </w:rPr>
              <w:t xml:space="preserve">e I – </w:t>
            </w:r>
            <w:r>
              <w:rPr>
                <w:sz w:val="20"/>
                <w:szCs w:val="20"/>
                <w:lang w:val="fr-CA"/>
              </w:rPr>
              <w:t>rapport périodique</w:t>
            </w:r>
            <w:r w:rsidRPr="001958CA">
              <w:rPr>
                <w:sz w:val="20"/>
                <w:szCs w:val="20"/>
                <w:lang w:val="fr-CA"/>
              </w:rPr>
              <w:t>)</w:t>
            </w:r>
          </w:p>
        </w:tc>
        <w:tc>
          <w:tcPr>
            <w:tcW w:w="3061" w:type="dxa"/>
            <w:tcBorders>
              <w:top w:val="single" w:sz="4" w:space="0" w:color="auto"/>
              <w:left w:val="single" w:sz="4" w:space="0" w:color="auto"/>
              <w:bottom w:val="single" w:sz="4" w:space="0" w:color="auto"/>
              <w:right w:val="single" w:sz="4" w:space="0" w:color="auto"/>
            </w:tcBorders>
          </w:tcPr>
          <w:p w14:paraId="53A47D90" w14:textId="5F4A0AED" w:rsidR="001958CA" w:rsidRPr="0015712F" w:rsidRDefault="0015712F" w:rsidP="00B51E18">
            <w:pPr>
              <w:rPr>
                <w:sz w:val="20"/>
                <w:szCs w:val="20"/>
                <w:highlight w:val="cyan"/>
                <w:lang w:val="fr-CA"/>
              </w:rPr>
            </w:pPr>
            <w:r w:rsidRPr="0015712F">
              <w:rPr>
                <w:sz w:val="20"/>
                <w:szCs w:val="20"/>
                <w:lang w:val="fr-CA"/>
              </w:rPr>
              <w:t xml:space="preserve">Demande d’annulation du projet de conversion chez </w:t>
            </w:r>
            <w:r w:rsidR="001958CA" w:rsidRPr="0015712F">
              <w:rPr>
                <w:sz w:val="20"/>
                <w:szCs w:val="20"/>
                <w:lang w:val="fr-CA"/>
              </w:rPr>
              <w:t>Al </w:t>
            </w:r>
            <w:proofErr w:type="spellStart"/>
            <w:r w:rsidR="001958CA" w:rsidRPr="0015712F">
              <w:rPr>
                <w:sz w:val="20"/>
                <w:szCs w:val="20"/>
                <w:lang w:val="fr-CA"/>
              </w:rPr>
              <w:t>Najam</w:t>
            </w:r>
            <w:proofErr w:type="spellEnd"/>
            <w:r w:rsidR="001958CA" w:rsidRPr="0015712F">
              <w:rPr>
                <w:sz w:val="20"/>
                <w:szCs w:val="20"/>
                <w:lang w:val="fr-CA"/>
              </w:rPr>
              <w:t xml:space="preserve"> </w:t>
            </w:r>
            <w:proofErr w:type="spellStart"/>
            <w:r w:rsidR="001958CA" w:rsidRPr="0015712F">
              <w:rPr>
                <w:sz w:val="20"/>
                <w:szCs w:val="20"/>
                <w:lang w:val="fr-CA"/>
              </w:rPr>
              <w:t>Company</w:t>
            </w:r>
            <w:proofErr w:type="spellEnd"/>
          </w:p>
        </w:tc>
        <w:tc>
          <w:tcPr>
            <w:tcW w:w="1615" w:type="dxa"/>
            <w:tcBorders>
              <w:top w:val="single" w:sz="4" w:space="0" w:color="auto"/>
              <w:left w:val="single" w:sz="4" w:space="0" w:color="auto"/>
              <w:bottom w:val="single" w:sz="4" w:space="0" w:color="auto"/>
              <w:right w:val="single" w:sz="4" w:space="0" w:color="auto"/>
            </w:tcBorders>
          </w:tcPr>
          <w:p w14:paraId="6871D760" w14:textId="77777777" w:rsidR="001958CA" w:rsidRPr="00F12E1D" w:rsidRDefault="001958CA" w:rsidP="00B51E18">
            <w:pPr>
              <w:jc w:val="center"/>
              <w:rPr>
                <w:sz w:val="20"/>
                <w:szCs w:val="20"/>
              </w:rPr>
            </w:pPr>
            <w:r w:rsidRPr="00F12E1D">
              <w:rPr>
                <w:sz w:val="20"/>
                <w:szCs w:val="20"/>
              </w:rPr>
              <w:t>2 - 21</w:t>
            </w:r>
          </w:p>
        </w:tc>
      </w:tr>
      <w:tr w:rsidR="001958CA" w:rsidRPr="00FE253D" w14:paraId="43A73394" w14:textId="77777777" w:rsidTr="001958CA">
        <w:tc>
          <w:tcPr>
            <w:tcW w:w="1980" w:type="dxa"/>
            <w:tcBorders>
              <w:top w:val="single" w:sz="4" w:space="0" w:color="auto"/>
              <w:left w:val="single" w:sz="4" w:space="0" w:color="auto"/>
              <w:bottom w:val="single" w:sz="4" w:space="0" w:color="auto"/>
              <w:right w:val="single" w:sz="4" w:space="0" w:color="auto"/>
            </w:tcBorders>
          </w:tcPr>
          <w:p w14:paraId="76FA832A" w14:textId="39751C2A" w:rsidR="001958CA" w:rsidRPr="005C6143" w:rsidRDefault="001958CA" w:rsidP="00B51E18">
            <w:pPr>
              <w:rPr>
                <w:sz w:val="20"/>
                <w:szCs w:val="20"/>
              </w:rPr>
            </w:pPr>
            <w:proofErr w:type="spellStart"/>
            <w:r w:rsidRPr="005C6143">
              <w:rPr>
                <w:sz w:val="20"/>
                <w:szCs w:val="20"/>
              </w:rPr>
              <w:t>Mauritani</w:t>
            </w:r>
            <w:r>
              <w:rPr>
                <w:sz w:val="20"/>
                <w:szCs w:val="20"/>
              </w:rPr>
              <w:t>e</w:t>
            </w:r>
            <w:proofErr w:type="spellEnd"/>
          </w:p>
        </w:tc>
        <w:tc>
          <w:tcPr>
            <w:tcW w:w="2694" w:type="dxa"/>
            <w:tcBorders>
              <w:top w:val="single" w:sz="4" w:space="0" w:color="auto"/>
              <w:left w:val="single" w:sz="4" w:space="0" w:color="auto"/>
              <w:bottom w:val="single" w:sz="4" w:space="0" w:color="auto"/>
              <w:right w:val="single" w:sz="4" w:space="0" w:color="auto"/>
            </w:tcBorders>
          </w:tcPr>
          <w:p w14:paraId="0386D7F9" w14:textId="3486A977" w:rsidR="001958CA" w:rsidRPr="00C054BD" w:rsidRDefault="001958CA" w:rsidP="00B51E18">
            <w:pPr>
              <w:jc w:val="left"/>
              <w:rPr>
                <w:sz w:val="20"/>
                <w:szCs w:val="20"/>
                <w:lang w:val="fr-CA"/>
              </w:rPr>
            </w:pPr>
            <w:r w:rsidRPr="00C054BD">
              <w:rPr>
                <w:sz w:val="20"/>
                <w:szCs w:val="20"/>
                <w:lang w:val="fr-CA"/>
              </w:rPr>
              <w:t>Plan de gestion de l’éliminat</w:t>
            </w:r>
            <w:r w:rsidR="00C054BD" w:rsidRPr="00C054BD">
              <w:rPr>
                <w:sz w:val="20"/>
                <w:szCs w:val="20"/>
                <w:lang w:val="fr-CA"/>
              </w:rPr>
              <w:t xml:space="preserve">ion des </w:t>
            </w:r>
            <w:r w:rsidRPr="00C054BD">
              <w:rPr>
                <w:sz w:val="20"/>
                <w:szCs w:val="20"/>
                <w:lang w:val="fr-CA"/>
              </w:rPr>
              <w:t>HCFC -</w:t>
            </w:r>
            <w:r w:rsidR="00C054BD">
              <w:rPr>
                <w:sz w:val="20"/>
                <w:szCs w:val="20"/>
                <w:lang w:val="fr-CA"/>
              </w:rPr>
              <w:t>ph</w:t>
            </w:r>
            <w:r w:rsidRPr="00C054BD">
              <w:rPr>
                <w:sz w:val="20"/>
                <w:szCs w:val="20"/>
                <w:lang w:val="fr-CA"/>
              </w:rPr>
              <w:t>a</w:t>
            </w:r>
            <w:r w:rsidR="00C054BD">
              <w:rPr>
                <w:sz w:val="20"/>
                <w:szCs w:val="20"/>
                <w:lang w:val="fr-CA"/>
              </w:rPr>
              <w:t>s</w:t>
            </w:r>
            <w:r w:rsidRPr="00C054BD">
              <w:rPr>
                <w:sz w:val="20"/>
                <w:szCs w:val="20"/>
                <w:lang w:val="fr-CA"/>
              </w:rPr>
              <w:t xml:space="preserve">e I </w:t>
            </w:r>
          </w:p>
        </w:tc>
        <w:tc>
          <w:tcPr>
            <w:tcW w:w="3061" w:type="dxa"/>
            <w:tcBorders>
              <w:top w:val="single" w:sz="4" w:space="0" w:color="auto"/>
              <w:left w:val="single" w:sz="4" w:space="0" w:color="auto"/>
              <w:bottom w:val="single" w:sz="4" w:space="0" w:color="auto"/>
              <w:right w:val="single" w:sz="4" w:space="0" w:color="auto"/>
            </w:tcBorders>
          </w:tcPr>
          <w:p w14:paraId="67182CB8" w14:textId="0AD3F579" w:rsidR="001958CA" w:rsidRPr="00C054BD" w:rsidRDefault="00C054BD" w:rsidP="00B51E18">
            <w:pPr>
              <w:rPr>
                <w:sz w:val="20"/>
                <w:szCs w:val="20"/>
                <w:highlight w:val="cyan"/>
                <w:lang w:val="fr-CA"/>
              </w:rPr>
            </w:pPr>
            <w:r w:rsidRPr="00C054BD">
              <w:rPr>
                <w:sz w:val="20"/>
                <w:szCs w:val="20"/>
                <w:lang w:val="fr-CA"/>
              </w:rPr>
              <w:t>Examiner l’état du rapport d’</w:t>
            </w:r>
            <w:r w:rsidR="0015712F">
              <w:rPr>
                <w:sz w:val="20"/>
                <w:szCs w:val="20"/>
                <w:lang w:val="fr-CA"/>
              </w:rPr>
              <w:t>étude</w:t>
            </w:r>
            <w:r w:rsidRPr="00C054BD">
              <w:rPr>
                <w:sz w:val="20"/>
                <w:szCs w:val="20"/>
                <w:lang w:val="fr-CA"/>
              </w:rPr>
              <w:t xml:space="preserve"> sur les </w:t>
            </w:r>
            <w:r w:rsidR="001958CA" w:rsidRPr="00C054BD">
              <w:rPr>
                <w:sz w:val="20"/>
                <w:szCs w:val="20"/>
                <w:lang w:val="fr-CA"/>
              </w:rPr>
              <w:t xml:space="preserve">HCFC </w:t>
            </w:r>
            <w:r>
              <w:rPr>
                <w:sz w:val="20"/>
                <w:szCs w:val="20"/>
                <w:lang w:val="fr-CA"/>
              </w:rPr>
              <w:t xml:space="preserve">et les recommandations sur le point de départ révisé et l’Accord révisé </w:t>
            </w:r>
          </w:p>
        </w:tc>
        <w:tc>
          <w:tcPr>
            <w:tcW w:w="1615" w:type="dxa"/>
            <w:tcBorders>
              <w:top w:val="single" w:sz="4" w:space="0" w:color="auto"/>
              <w:left w:val="single" w:sz="4" w:space="0" w:color="auto"/>
              <w:bottom w:val="single" w:sz="4" w:space="0" w:color="auto"/>
              <w:right w:val="single" w:sz="4" w:space="0" w:color="auto"/>
            </w:tcBorders>
          </w:tcPr>
          <w:p w14:paraId="257870B4" w14:textId="77777777" w:rsidR="001958CA" w:rsidRDefault="001958CA" w:rsidP="00B51E18">
            <w:pPr>
              <w:jc w:val="center"/>
              <w:rPr>
                <w:sz w:val="20"/>
                <w:szCs w:val="20"/>
              </w:rPr>
            </w:pPr>
            <w:r w:rsidRPr="00F12E1D">
              <w:rPr>
                <w:sz w:val="20"/>
                <w:szCs w:val="20"/>
              </w:rPr>
              <w:t xml:space="preserve">22 </w:t>
            </w:r>
            <w:r>
              <w:rPr>
                <w:sz w:val="20"/>
                <w:szCs w:val="20"/>
              </w:rPr>
              <w:t>–</w:t>
            </w:r>
            <w:r w:rsidRPr="00F12E1D">
              <w:rPr>
                <w:sz w:val="20"/>
                <w:szCs w:val="20"/>
              </w:rPr>
              <w:t xml:space="preserve"> 36</w:t>
            </w:r>
          </w:p>
          <w:p w14:paraId="18886569" w14:textId="199998C6" w:rsidR="001958CA" w:rsidRPr="00F12E1D" w:rsidRDefault="001958CA" w:rsidP="00B51E18">
            <w:pPr>
              <w:jc w:val="center"/>
              <w:rPr>
                <w:sz w:val="20"/>
                <w:szCs w:val="20"/>
              </w:rPr>
            </w:pPr>
            <w:r>
              <w:rPr>
                <w:sz w:val="20"/>
                <w:szCs w:val="20"/>
              </w:rPr>
              <w:t>Annex</w:t>
            </w:r>
            <w:r w:rsidR="00C054BD">
              <w:rPr>
                <w:sz w:val="20"/>
                <w:szCs w:val="20"/>
              </w:rPr>
              <w:t>e</w:t>
            </w:r>
            <w:r>
              <w:rPr>
                <w:sz w:val="20"/>
                <w:szCs w:val="20"/>
              </w:rPr>
              <w:t xml:space="preserve"> I</w:t>
            </w:r>
          </w:p>
        </w:tc>
      </w:tr>
      <w:tr w:rsidR="001958CA" w:rsidRPr="00D94D3B" w14:paraId="445A330D" w14:textId="77777777" w:rsidTr="00B51E18">
        <w:tc>
          <w:tcPr>
            <w:tcW w:w="9350" w:type="dxa"/>
            <w:gridSpan w:val="4"/>
            <w:tcBorders>
              <w:top w:val="single" w:sz="4" w:space="0" w:color="auto"/>
              <w:left w:val="single" w:sz="4" w:space="0" w:color="auto"/>
              <w:bottom w:val="single" w:sz="4" w:space="0" w:color="auto"/>
              <w:right w:val="single" w:sz="4" w:space="0" w:color="auto"/>
            </w:tcBorders>
          </w:tcPr>
          <w:p w14:paraId="007284B8" w14:textId="3E6CC071" w:rsidR="001958CA" w:rsidRPr="00C054BD" w:rsidRDefault="001958CA" w:rsidP="001958CA">
            <w:pPr>
              <w:pStyle w:val="ListParagraph"/>
              <w:numPr>
                <w:ilvl w:val="0"/>
                <w:numId w:val="23"/>
              </w:numPr>
              <w:rPr>
                <w:sz w:val="20"/>
                <w:szCs w:val="20"/>
                <w:lang w:val="fr-CA"/>
              </w:rPr>
            </w:pPr>
            <w:r w:rsidRPr="00C054BD">
              <w:rPr>
                <w:b/>
                <w:sz w:val="20"/>
                <w:szCs w:val="20"/>
                <w:lang w:val="fr-CA"/>
              </w:rPr>
              <w:t>R</w:t>
            </w:r>
            <w:r w:rsidR="00C054BD" w:rsidRPr="00C054BD">
              <w:rPr>
                <w:b/>
                <w:sz w:val="20"/>
                <w:szCs w:val="20"/>
                <w:lang w:val="fr-CA"/>
              </w:rPr>
              <w:t>ap</w:t>
            </w:r>
            <w:r w:rsidRPr="00C054BD">
              <w:rPr>
                <w:b/>
                <w:sz w:val="20"/>
                <w:szCs w:val="20"/>
                <w:lang w:val="fr-CA"/>
              </w:rPr>
              <w:t>ports rel</w:t>
            </w:r>
            <w:r w:rsidR="00C054BD" w:rsidRPr="00C054BD">
              <w:rPr>
                <w:b/>
                <w:sz w:val="20"/>
                <w:szCs w:val="20"/>
                <w:lang w:val="fr-CA"/>
              </w:rPr>
              <w:t xml:space="preserve">iés à des projets sur les </w:t>
            </w:r>
            <w:r w:rsidRPr="00C054BD">
              <w:rPr>
                <w:b/>
                <w:sz w:val="20"/>
                <w:szCs w:val="20"/>
                <w:lang w:val="fr-CA"/>
              </w:rPr>
              <w:t xml:space="preserve">HFC </w:t>
            </w:r>
          </w:p>
        </w:tc>
      </w:tr>
      <w:tr w:rsidR="001958CA" w:rsidRPr="00FE253D" w14:paraId="6750C004" w14:textId="77777777" w:rsidTr="001958CA">
        <w:tc>
          <w:tcPr>
            <w:tcW w:w="1980" w:type="dxa"/>
            <w:tcBorders>
              <w:top w:val="single" w:sz="4" w:space="0" w:color="auto"/>
              <w:left w:val="single" w:sz="4" w:space="0" w:color="auto"/>
              <w:bottom w:val="single" w:sz="4" w:space="0" w:color="auto"/>
              <w:right w:val="single" w:sz="4" w:space="0" w:color="auto"/>
            </w:tcBorders>
          </w:tcPr>
          <w:p w14:paraId="53655A01" w14:textId="3D6751AC" w:rsidR="001958CA" w:rsidRPr="005C6143" w:rsidRDefault="001958CA" w:rsidP="00B51E18">
            <w:pPr>
              <w:rPr>
                <w:sz w:val="20"/>
                <w:szCs w:val="20"/>
              </w:rPr>
            </w:pPr>
            <w:r w:rsidRPr="005C6143">
              <w:rPr>
                <w:sz w:val="20"/>
                <w:szCs w:val="20"/>
              </w:rPr>
              <w:t>Argentin</w:t>
            </w:r>
            <w:r>
              <w:rPr>
                <w:sz w:val="20"/>
                <w:szCs w:val="20"/>
              </w:rPr>
              <w:t>e</w:t>
            </w:r>
          </w:p>
        </w:tc>
        <w:tc>
          <w:tcPr>
            <w:tcW w:w="2694" w:type="dxa"/>
            <w:tcBorders>
              <w:top w:val="single" w:sz="4" w:space="0" w:color="auto"/>
              <w:left w:val="single" w:sz="4" w:space="0" w:color="auto"/>
              <w:bottom w:val="single" w:sz="4" w:space="0" w:color="auto"/>
              <w:right w:val="single" w:sz="4" w:space="0" w:color="auto"/>
            </w:tcBorders>
          </w:tcPr>
          <w:p w14:paraId="723ACD53" w14:textId="4048CE4D" w:rsidR="001958CA" w:rsidRPr="00C054BD" w:rsidRDefault="001958CA" w:rsidP="00B51E18">
            <w:pPr>
              <w:rPr>
                <w:sz w:val="20"/>
                <w:szCs w:val="20"/>
                <w:lang w:val="fr-CA"/>
              </w:rPr>
            </w:pPr>
            <w:r w:rsidRPr="00C054BD">
              <w:rPr>
                <w:sz w:val="20"/>
                <w:szCs w:val="20"/>
                <w:lang w:val="fr-CA"/>
              </w:rPr>
              <w:t>Contr</w:t>
            </w:r>
            <w:r w:rsidR="00C054BD" w:rsidRPr="00C054BD">
              <w:rPr>
                <w:sz w:val="20"/>
                <w:szCs w:val="20"/>
                <w:lang w:val="fr-CA"/>
              </w:rPr>
              <w:t>ôle des é</w:t>
            </w:r>
            <w:r w:rsidRPr="00C054BD">
              <w:rPr>
                <w:sz w:val="20"/>
                <w:szCs w:val="20"/>
                <w:lang w:val="fr-CA"/>
              </w:rPr>
              <w:t xml:space="preserve">missions </w:t>
            </w:r>
            <w:r w:rsidR="00C054BD" w:rsidRPr="00C054BD">
              <w:rPr>
                <w:sz w:val="20"/>
                <w:szCs w:val="20"/>
                <w:lang w:val="fr-CA"/>
              </w:rPr>
              <w:t>de</w:t>
            </w:r>
            <w:r w:rsidRPr="00C054BD">
              <w:rPr>
                <w:sz w:val="20"/>
                <w:szCs w:val="20"/>
                <w:lang w:val="fr-CA"/>
              </w:rPr>
              <w:t xml:space="preserve"> HFC-23 g</w:t>
            </w:r>
            <w:r w:rsidR="00C054BD" w:rsidRPr="00C054BD">
              <w:rPr>
                <w:sz w:val="20"/>
                <w:szCs w:val="20"/>
                <w:lang w:val="fr-CA"/>
              </w:rPr>
              <w:t>é</w:t>
            </w:r>
            <w:r w:rsidRPr="00C054BD">
              <w:rPr>
                <w:sz w:val="20"/>
                <w:szCs w:val="20"/>
                <w:lang w:val="fr-CA"/>
              </w:rPr>
              <w:t>n</w:t>
            </w:r>
            <w:r w:rsidR="00C054BD" w:rsidRPr="00C054BD">
              <w:rPr>
                <w:sz w:val="20"/>
                <w:szCs w:val="20"/>
                <w:lang w:val="fr-CA"/>
              </w:rPr>
              <w:t>é</w:t>
            </w:r>
            <w:r w:rsidRPr="00C054BD">
              <w:rPr>
                <w:sz w:val="20"/>
                <w:szCs w:val="20"/>
                <w:lang w:val="fr-CA"/>
              </w:rPr>
              <w:t>r</w:t>
            </w:r>
            <w:r w:rsidR="00C054BD">
              <w:rPr>
                <w:sz w:val="20"/>
                <w:szCs w:val="20"/>
                <w:lang w:val="fr-CA"/>
              </w:rPr>
              <w:t xml:space="preserve">ées par la </w:t>
            </w:r>
            <w:r w:rsidRPr="00C054BD">
              <w:rPr>
                <w:sz w:val="20"/>
                <w:szCs w:val="20"/>
                <w:lang w:val="fr-CA"/>
              </w:rPr>
              <w:t xml:space="preserve">production </w:t>
            </w:r>
            <w:r w:rsidR="00C054BD">
              <w:rPr>
                <w:sz w:val="20"/>
                <w:szCs w:val="20"/>
                <w:lang w:val="fr-CA"/>
              </w:rPr>
              <w:t xml:space="preserve">de </w:t>
            </w:r>
            <w:r w:rsidRPr="00C054BD">
              <w:rPr>
                <w:sz w:val="20"/>
                <w:szCs w:val="20"/>
                <w:lang w:val="fr-CA"/>
              </w:rPr>
              <w:t xml:space="preserve">HCFC-22 </w:t>
            </w:r>
          </w:p>
        </w:tc>
        <w:tc>
          <w:tcPr>
            <w:tcW w:w="3061" w:type="dxa"/>
            <w:tcBorders>
              <w:top w:val="single" w:sz="4" w:space="0" w:color="auto"/>
              <w:left w:val="single" w:sz="4" w:space="0" w:color="auto"/>
              <w:bottom w:val="single" w:sz="4" w:space="0" w:color="auto"/>
              <w:right w:val="single" w:sz="4" w:space="0" w:color="auto"/>
            </w:tcBorders>
          </w:tcPr>
          <w:p w14:paraId="54E3D7BF" w14:textId="5B4C1FAD" w:rsidR="001958CA" w:rsidRPr="00C054BD" w:rsidRDefault="00C054BD" w:rsidP="00B51E18">
            <w:pPr>
              <w:rPr>
                <w:sz w:val="20"/>
                <w:szCs w:val="20"/>
                <w:highlight w:val="cyan"/>
                <w:lang w:val="fr-CA"/>
              </w:rPr>
            </w:pPr>
            <w:r w:rsidRPr="00C054BD">
              <w:rPr>
                <w:sz w:val="20"/>
                <w:szCs w:val="20"/>
                <w:lang w:val="fr-CA"/>
              </w:rPr>
              <w:t xml:space="preserve">Rapport périodique sur la mise en </w:t>
            </w:r>
            <w:r w:rsidR="0015712F" w:rsidRPr="00C054BD">
              <w:rPr>
                <w:sz w:val="20"/>
                <w:szCs w:val="20"/>
                <w:lang w:val="fr-CA"/>
              </w:rPr>
              <w:t>œuvre</w:t>
            </w:r>
            <w:r w:rsidRPr="00C054BD">
              <w:rPr>
                <w:sz w:val="20"/>
                <w:szCs w:val="20"/>
                <w:lang w:val="fr-CA"/>
              </w:rPr>
              <w:t xml:space="preserve"> du projet pour le contrôle des é</w:t>
            </w:r>
            <w:r>
              <w:rPr>
                <w:sz w:val="20"/>
                <w:szCs w:val="20"/>
                <w:lang w:val="fr-CA"/>
              </w:rPr>
              <w:t xml:space="preserve">missions de </w:t>
            </w:r>
            <w:r w:rsidR="001958CA" w:rsidRPr="00C054BD">
              <w:rPr>
                <w:sz w:val="20"/>
                <w:szCs w:val="20"/>
                <w:lang w:val="fr-CA"/>
              </w:rPr>
              <w:t>HFC-23 g</w:t>
            </w:r>
            <w:r>
              <w:rPr>
                <w:sz w:val="20"/>
                <w:szCs w:val="20"/>
                <w:lang w:val="fr-CA"/>
              </w:rPr>
              <w:t xml:space="preserve">énérées par la </w:t>
            </w:r>
            <w:r w:rsidR="001958CA" w:rsidRPr="00C054BD">
              <w:rPr>
                <w:sz w:val="20"/>
                <w:szCs w:val="20"/>
                <w:lang w:val="fr-CA"/>
              </w:rPr>
              <w:t xml:space="preserve">production </w:t>
            </w:r>
            <w:r>
              <w:rPr>
                <w:sz w:val="20"/>
                <w:szCs w:val="20"/>
                <w:lang w:val="fr-CA"/>
              </w:rPr>
              <w:t xml:space="preserve">de </w:t>
            </w:r>
            <w:r w:rsidR="001958CA" w:rsidRPr="00C054BD">
              <w:rPr>
                <w:sz w:val="20"/>
                <w:szCs w:val="20"/>
                <w:lang w:val="fr-CA"/>
              </w:rPr>
              <w:t xml:space="preserve">HCFC-22 </w:t>
            </w:r>
            <w:r>
              <w:rPr>
                <w:sz w:val="20"/>
                <w:szCs w:val="20"/>
                <w:lang w:val="fr-CA"/>
              </w:rPr>
              <w:t xml:space="preserve">chez </w:t>
            </w:r>
            <w:r w:rsidR="001958CA" w:rsidRPr="00C054BD">
              <w:rPr>
                <w:sz w:val="20"/>
                <w:szCs w:val="20"/>
                <w:lang w:val="fr-CA"/>
              </w:rPr>
              <w:t xml:space="preserve"> Frio </w:t>
            </w:r>
            <w:proofErr w:type="spellStart"/>
            <w:r w:rsidR="001958CA" w:rsidRPr="00C054BD">
              <w:rPr>
                <w:sz w:val="20"/>
                <w:szCs w:val="20"/>
                <w:lang w:val="fr-CA"/>
              </w:rPr>
              <w:t>Industrias</w:t>
            </w:r>
            <w:proofErr w:type="spellEnd"/>
            <w:r w:rsidR="001958CA" w:rsidRPr="00C054BD">
              <w:rPr>
                <w:sz w:val="20"/>
                <w:szCs w:val="20"/>
                <w:lang w:val="fr-CA"/>
              </w:rPr>
              <w:t xml:space="preserve"> Argentina</w:t>
            </w:r>
          </w:p>
        </w:tc>
        <w:tc>
          <w:tcPr>
            <w:tcW w:w="1615" w:type="dxa"/>
            <w:tcBorders>
              <w:top w:val="single" w:sz="4" w:space="0" w:color="auto"/>
              <w:left w:val="single" w:sz="4" w:space="0" w:color="auto"/>
              <w:bottom w:val="single" w:sz="4" w:space="0" w:color="auto"/>
              <w:right w:val="single" w:sz="4" w:space="0" w:color="auto"/>
            </w:tcBorders>
          </w:tcPr>
          <w:p w14:paraId="43D8981F" w14:textId="372E31FF" w:rsidR="001958CA" w:rsidRPr="00C054BD" w:rsidRDefault="001958CA" w:rsidP="00C054BD">
            <w:pPr>
              <w:pStyle w:val="ListParagraph"/>
              <w:numPr>
                <w:ilvl w:val="0"/>
                <w:numId w:val="24"/>
              </w:numPr>
              <w:jc w:val="center"/>
              <w:rPr>
                <w:sz w:val="20"/>
                <w:szCs w:val="20"/>
              </w:rPr>
            </w:pPr>
            <w:r w:rsidRPr="00C054BD">
              <w:rPr>
                <w:sz w:val="20"/>
                <w:szCs w:val="20"/>
              </w:rPr>
              <w:t>- 48</w:t>
            </w:r>
          </w:p>
        </w:tc>
      </w:tr>
      <w:bookmarkEnd w:id="0"/>
    </w:tbl>
    <w:p w14:paraId="2238DA88" w14:textId="77777777" w:rsidR="00212A08" w:rsidRDefault="00212A08" w:rsidP="00212A08">
      <w:pPr>
        <w:pStyle w:val="StyleHeading1Para1Heading1CharHeading1Char3CharHeadin"/>
        <w:rPr>
          <w:lang w:val="fr-CA"/>
        </w:rPr>
      </w:pPr>
    </w:p>
    <w:p w14:paraId="04A0932C" w14:textId="06A0A888" w:rsidR="00C054BD" w:rsidRDefault="00C054BD" w:rsidP="00C054BD">
      <w:pPr>
        <w:pStyle w:val="StyleHeading1Para1Heading1CharHeading1Char3CharHeadin"/>
        <w:rPr>
          <w:b/>
          <w:bCs/>
          <w:lang w:val="fr-CA"/>
        </w:rPr>
      </w:pPr>
      <w:r>
        <w:rPr>
          <w:b/>
          <w:bCs/>
          <w:lang w:val="fr-CA"/>
        </w:rPr>
        <w:lastRenderedPageBreak/>
        <w:t>A.</w:t>
      </w:r>
      <w:r>
        <w:rPr>
          <w:b/>
          <w:bCs/>
          <w:lang w:val="fr-CA"/>
        </w:rPr>
        <w:tab/>
        <w:t xml:space="preserve">Rapports reliés </w:t>
      </w:r>
      <w:r w:rsidR="009B6DF9">
        <w:rPr>
          <w:b/>
          <w:bCs/>
          <w:lang w:val="fr-CA"/>
        </w:rPr>
        <w:t>à des</w:t>
      </w:r>
      <w:r>
        <w:rPr>
          <w:b/>
          <w:bCs/>
          <w:lang w:val="fr-CA"/>
        </w:rPr>
        <w:t xml:space="preserve"> PGEH</w:t>
      </w:r>
      <w:r w:rsidR="00F9464C">
        <w:rPr>
          <w:b/>
          <w:bCs/>
          <w:lang w:val="fr-CA"/>
        </w:rPr>
        <w:t xml:space="preserve"> </w:t>
      </w:r>
    </w:p>
    <w:p w14:paraId="25C162DE" w14:textId="38797DFB" w:rsidR="00C054BD" w:rsidRPr="00C054BD" w:rsidRDefault="00C054BD" w:rsidP="00C054BD">
      <w:pPr>
        <w:pStyle w:val="StyleHeading1Para1Heading1CharHeading1Char3CharHeadin"/>
        <w:rPr>
          <w:b/>
          <w:bCs/>
          <w:u w:val="single"/>
          <w:lang w:val="fr-CA"/>
        </w:rPr>
      </w:pPr>
      <w:r>
        <w:rPr>
          <w:b/>
          <w:bCs/>
          <w:lang w:val="fr-CA"/>
        </w:rPr>
        <w:tab/>
      </w:r>
      <w:r>
        <w:rPr>
          <w:b/>
          <w:bCs/>
          <w:u w:val="single"/>
          <w:lang w:val="fr-CA"/>
        </w:rPr>
        <w:t>Libye : Plan de gestion de l’élimination des HCFC (phase I – rapport périodique) (ONUDI)</w:t>
      </w:r>
    </w:p>
    <w:p w14:paraId="3F844CE1" w14:textId="0F95C8A2" w:rsidR="00441083" w:rsidRDefault="00C054BD" w:rsidP="00C054BD">
      <w:pPr>
        <w:pStyle w:val="StyleHeading1Para1Heading1CharHeading1Char3CharHeadin"/>
        <w:rPr>
          <w:lang w:val="fr-CA"/>
        </w:rPr>
      </w:pPr>
      <w:r>
        <w:rPr>
          <w:b/>
          <w:bCs/>
          <w:lang w:val="fr-CA"/>
        </w:rPr>
        <w:t>Contexte</w:t>
      </w:r>
    </w:p>
    <w:p w14:paraId="015B9A5C" w14:textId="1E50E61B" w:rsidR="004B6630" w:rsidRDefault="0015712F">
      <w:pPr>
        <w:pStyle w:val="StyleHeading1Para1Heading1CharHeading1Char3CharHeadin"/>
        <w:numPr>
          <w:ilvl w:val="0"/>
          <w:numId w:val="1"/>
        </w:numPr>
        <w:tabs>
          <w:tab w:val="clear" w:pos="0"/>
        </w:tabs>
        <w:rPr>
          <w:lang w:val="fr-CA"/>
        </w:rPr>
      </w:pPr>
      <w:r>
        <w:rPr>
          <w:lang w:val="fr-CA"/>
        </w:rPr>
        <w:t xml:space="preserve">À </w:t>
      </w:r>
      <w:r w:rsidR="00C054BD">
        <w:rPr>
          <w:lang w:val="fr-CA"/>
        </w:rPr>
        <w:t xml:space="preserve">leur Trente-septième Réunion, les Parties ont constaté que la consommation annuelle de HCFC déclarée par la Libye pour 2013 et 2014 dépassait les niveaux maxima autorisés du pays pour ces années et que par conséquent la Libye ne respectait pas les mesures de réglementation </w:t>
      </w:r>
      <w:r w:rsidR="004B6630">
        <w:rPr>
          <w:lang w:val="fr-CA"/>
        </w:rPr>
        <w:t>du Protocole sur les HCFC.  Les Parties ont pris note avec gratitude du plan d’action remis par la Libye pour assurer son retour au respect des mesures de réglementation du Protocole sur les HCFC, dans lequel l</w:t>
      </w:r>
      <w:r>
        <w:rPr>
          <w:lang w:val="fr-CA"/>
        </w:rPr>
        <w:t>e pays</w:t>
      </w:r>
      <w:r w:rsidR="004B6630">
        <w:rPr>
          <w:lang w:val="fr-CA"/>
        </w:rPr>
        <w:t xml:space="preserve"> s’engageait à ramener sa consommation de HCFC, de 122,40 tonnes PAO en 2014, à un maximum de 122,30 tonnes PAO en 2015; 118,40 tonnes PAO en 2016 et 2017; 106,50 tonnes PAO en 2018 et 2019; 76,95 tonnes PAO en 2020 et 2021; et aux niveaux autorisés par le Protocole de Montréal en 2022 et </w:t>
      </w:r>
      <w:r w:rsidR="009B6DF9">
        <w:rPr>
          <w:lang w:val="fr-CA"/>
        </w:rPr>
        <w:t xml:space="preserve">pour </w:t>
      </w:r>
      <w:r w:rsidR="004B6630">
        <w:rPr>
          <w:lang w:val="fr-CA"/>
        </w:rPr>
        <w:t xml:space="preserve">les années suivantes. </w:t>
      </w:r>
    </w:p>
    <w:p w14:paraId="3B1CE506" w14:textId="014B574C" w:rsidR="00F6769C" w:rsidRDefault="004B6630">
      <w:pPr>
        <w:pStyle w:val="StyleHeading1Para1Heading1CharHeading1Char3CharHeadin"/>
        <w:numPr>
          <w:ilvl w:val="0"/>
          <w:numId w:val="1"/>
        </w:numPr>
        <w:tabs>
          <w:tab w:val="clear" w:pos="0"/>
        </w:tabs>
        <w:rPr>
          <w:lang w:val="fr-CA"/>
        </w:rPr>
      </w:pPr>
      <w:r>
        <w:rPr>
          <w:lang w:val="fr-CA"/>
        </w:rPr>
        <w:t>Par la suite, le Comité exécutif a approuvé la phase I du PGEH pour la Libye à sa 75</w:t>
      </w:r>
      <w:r w:rsidRPr="004B6630">
        <w:rPr>
          <w:vertAlign w:val="superscript"/>
          <w:lang w:val="fr-CA"/>
        </w:rPr>
        <w:t>e</w:t>
      </w:r>
      <w:r>
        <w:rPr>
          <w:lang w:val="fr-CA"/>
        </w:rPr>
        <w:t xml:space="preserve"> réunion</w:t>
      </w:r>
      <w:r>
        <w:rPr>
          <w:rStyle w:val="FootnoteReference"/>
          <w:lang w:val="fr-CA"/>
        </w:rPr>
        <w:footnoteReference w:id="2"/>
      </w:r>
      <w:r>
        <w:rPr>
          <w:lang w:val="fr-CA"/>
        </w:rPr>
        <w:t xml:space="preserve"> pour faciliter la mise en œuvre du plan d’action </w:t>
      </w:r>
      <w:r w:rsidR="001217C0">
        <w:rPr>
          <w:lang w:val="fr-CA"/>
        </w:rPr>
        <w:t>du</w:t>
      </w:r>
      <w:r w:rsidR="00F6769C">
        <w:rPr>
          <w:lang w:val="fr-CA"/>
        </w:rPr>
        <w:t xml:space="preserve"> retour à la conformité et pour éliminer 26,51 tonnes PAO de HCFC utilisé dans le secteur de l’entretien de l’équipement de réfrigération et de climatisation (RAC) et le secteur de la fabrication de mousse</w:t>
      </w:r>
      <w:r w:rsidR="001217C0">
        <w:rPr>
          <w:lang w:val="fr-CA"/>
        </w:rPr>
        <w:t>,</w:t>
      </w:r>
      <w:r w:rsidR="00F6769C">
        <w:rPr>
          <w:lang w:val="fr-CA"/>
        </w:rPr>
        <w:t xml:space="preserve"> afin de parvenir à la réduction de 10 pour cent de la consommation de HCFC par rapport à sa valeur de référence en 2018, au coût total de 1 908 843 $US, coûts d’appui d’agence en sus.  Les cibles de contrôle proposées dans le plan d’action ont été utilisées comme cibles de contrôle du Protocole de Montréal pour la phase I.</w:t>
      </w:r>
    </w:p>
    <w:p w14:paraId="51862F73" w14:textId="384F0F78" w:rsidR="00441083" w:rsidRDefault="00F6769C">
      <w:pPr>
        <w:pStyle w:val="StyleHeading1Para1Heading1CharHeading1Char3CharHeadin"/>
        <w:numPr>
          <w:ilvl w:val="0"/>
          <w:numId w:val="1"/>
        </w:numPr>
        <w:tabs>
          <w:tab w:val="clear" w:pos="0"/>
        </w:tabs>
        <w:rPr>
          <w:lang w:val="fr-CA"/>
        </w:rPr>
      </w:pPr>
      <w:r>
        <w:rPr>
          <w:lang w:val="fr-CA"/>
        </w:rPr>
        <w:t>La phase I du PGEH pour la Libye a été approuvée en deux tranches.  Le Comité exécutif a approuvé la deuxième tranche à sa 82</w:t>
      </w:r>
      <w:r w:rsidRPr="00F6769C">
        <w:rPr>
          <w:vertAlign w:val="superscript"/>
          <w:lang w:val="fr-CA"/>
        </w:rPr>
        <w:t>e</w:t>
      </w:r>
      <w:r>
        <w:rPr>
          <w:lang w:val="fr-CA"/>
        </w:rPr>
        <w:t xml:space="preserve"> réunion et demandé au gouvernement de la Libye et à l’ONUDI de présenter </w:t>
      </w:r>
      <w:r w:rsidR="0019226C">
        <w:rPr>
          <w:lang w:val="fr-CA"/>
        </w:rPr>
        <w:t>chaque année jusqu’à l’achèvement de la phase I, un</w:t>
      </w:r>
      <w:r>
        <w:rPr>
          <w:lang w:val="fr-CA"/>
        </w:rPr>
        <w:t xml:space="preserve"> rapport périodique sur la mise en œuvre du programme de travail </w:t>
      </w:r>
      <w:r w:rsidR="0019226C">
        <w:rPr>
          <w:lang w:val="fr-CA"/>
        </w:rPr>
        <w:t>connexe</w:t>
      </w:r>
      <w:r>
        <w:rPr>
          <w:lang w:val="fr-CA"/>
        </w:rPr>
        <w:t xml:space="preserve"> à la deuxième </w:t>
      </w:r>
      <w:r w:rsidR="00B6618D">
        <w:rPr>
          <w:lang w:val="fr-CA"/>
        </w:rPr>
        <w:t xml:space="preserve">et dernière </w:t>
      </w:r>
      <w:r>
        <w:rPr>
          <w:lang w:val="fr-CA"/>
        </w:rPr>
        <w:t>tranch</w:t>
      </w:r>
      <w:r w:rsidR="00B6618D">
        <w:rPr>
          <w:lang w:val="fr-CA"/>
        </w:rPr>
        <w:t>e</w:t>
      </w:r>
      <w:r>
        <w:rPr>
          <w:lang w:val="fr-CA"/>
        </w:rPr>
        <w:t xml:space="preserve"> et un rapport de vérification sur la consommation</w:t>
      </w:r>
      <w:r w:rsidR="0080137D">
        <w:rPr>
          <w:lang w:val="fr-CA"/>
        </w:rPr>
        <w:t xml:space="preserve"> (décision </w:t>
      </w:r>
      <w:r w:rsidR="001217C0">
        <w:rPr>
          <w:lang w:val="fr-CA"/>
        </w:rPr>
        <w:t>8</w:t>
      </w:r>
      <w:r w:rsidR="0080137D">
        <w:rPr>
          <w:lang w:val="fr-CA"/>
        </w:rPr>
        <w:t>2/75(c))</w:t>
      </w:r>
      <w:r w:rsidR="00E60D9C">
        <w:rPr>
          <w:lang w:val="fr-CA"/>
        </w:rPr>
        <w:t>.</w:t>
      </w:r>
    </w:p>
    <w:p w14:paraId="2E0D7BB2" w14:textId="17D4A57C" w:rsidR="0080137D" w:rsidRDefault="0080137D">
      <w:pPr>
        <w:pStyle w:val="StyleHeading1Para1Heading1CharHeading1Char3CharHeadin"/>
        <w:numPr>
          <w:ilvl w:val="0"/>
          <w:numId w:val="1"/>
        </w:numPr>
        <w:tabs>
          <w:tab w:val="clear" w:pos="0"/>
        </w:tabs>
        <w:rPr>
          <w:lang w:val="fr-CA"/>
        </w:rPr>
      </w:pPr>
      <w:r>
        <w:rPr>
          <w:lang w:val="fr-CA"/>
        </w:rPr>
        <w:t>Au nom du gouvernement de la Libye, l’ONUDI</w:t>
      </w:r>
      <w:r w:rsidR="00B6618D">
        <w:rPr>
          <w:lang w:val="fr-CA"/>
        </w:rPr>
        <w:t xml:space="preserve">, en tant qu’agence d’exécution principale, a remis le rapport périodique final sur la mise en œuvre du programme de travail </w:t>
      </w:r>
      <w:r w:rsidR="00490B5D">
        <w:rPr>
          <w:lang w:val="fr-CA"/>
        </w:rPr>
        <w:t xml:space="preserve">connexe </w:t>
      </w:r>
      <w:r w:rsidR="00B6618D">
        <w:rPr>
          <w:lang w:val="fr-CA"/>
        </w:rPr>
        <w:t>à la deuxième et dernière tranche de la phase I du PGEH, conformément à la décision 82/57(</w:t>
      </w:r>
      <w:r w:rsidR="00490B5D">
        <w:rPr>
          <w:lang w:val="fr-CA"/>
        </w:rPr>
        <w:t>c</w:t>
      </w:r>
      <w:r w:rsidR="00B6618D">
        <w:rPr>
          <w:lang w:val="fr-CA"/>
        </w:rPr>
        <w:t>).</w:t>
      </w:r>
    </w:p>
    <w:p w14:paraId="777D9C19" w14:textId="1A362459" w:rsidR="00B6618D" w:rsidRDefault="00B6618D" w:rsidP="00B6618D">
      <w:pPr>
        <w:pStyle w:val="StyleHeading1Para1Heading1CharHeading1Char3CharHeadin"/>
        <w:rPr>
          <w:b/>
          <w:bCs/>
          <w:lang w:val="fr-CA"/>
        </w:rPr>
      </w:pPr>
      <w:r>
        <w:rPr>
          <w:b/>
          <w:bCs/>
          <w:lang w:val="fr-CA"/>
        </w:rPr>
        <w:t>Rapport périodique sur la mise en œuvre de la phase I du plan de gestion de l’élimination des HCFC</w:t>
      </w:r>
    </w:p>
    <w:p w14:paraId="3D7A186D" w14:textId="222B8CD5" w:rsidR="00B6618D" w:rsidRDefault="00B6618D" w:rsidP="00B6618D">
      <w:pPr>
        <w:pStyle w:val="Heading1"/>
        <w:rPr>
          <w:lang w:val="fr-CA"/>
        </w:rPr>
      </w:pPr>
      <w:r>
        <w:rPr>
          <w:lang w:val="fr-CA"/>
        </w:rPr>
        <w:t>La mise en œuvre de la phase I a été retardée en raison de la situation politique et sécuritaire dans le pays et le plan a été révisé à la 86</w:t>
      </w:r>
      <w:r w:rsidRPr="00B6618D">
        <w:rPr>
          <w:vertAlign w:val="superscript"/>
          <w:lang w:val="fr-CA"/>
        </w:rPr>
        <w:t>e</w:t>
      </w:r>
      <w:r>
        <w:rPr>
          <w:lang w:val="fr-CA"/>
        </w:rPr>
        <w:t xml:space="preserve"> réunion</w:t>
      </w:r>
      <w:r w:rsidR="00975B0F">
        <w:rPr>
          <w:rStyle w:val="FootnoteReference"/>
          <w:lang w:val="fr-CA"/>
        </w:rPr>
        <w:footnoteReference w:id="3"/>
      </w:r>
      <w:r>
        <w:rPr>
          <w:lang w:val="fr-CA"/>
        </w:rPr>
        <w:t xml:space="preserve"> pour prolonger la mise en œuvre jusqu’en décembre 2021 (décisions 84/20(b) et 86/26(b)), tel que stipulé dans l’Accord mis à jour entre le gouvernement de la Libye et le Comité exécutif</w:t>
      </w:r>
      <w:r>
        <w:rPr>
          <w:rStyle w:val="FootnoteReference"/>
          <w:lang w:val="fr-CA"/>
        </w:rPr>
        <w:footnoteReference w:id="4"/>
      </w:r>
      <w:r>
        <w:rPr>
          <w:lang w:val="fr-CA"/>
        </w:rPr>
        <w:t>.  Le pays est revenu à la conformité en 2018, a maintenu la conformité aux cibles énoncé</w:t>
      </w:r>
      <w:r w:rsidR="00490B5D">
        <w:rPr>
          <w:lang w:val="fr-CA"/>
        </w:rPr>
        <w:t>e</w:t>
      </w:r>
      <w:r>
        <w:rPr>
          <w:lang w:val="fr-CA"/>
        </w:rPr>
        <w:t>s dans le plan d’action</w:t>
      </w:r>
      <w:r w:rsidR="00490B5D">
        <w:rPr>
          <w:lang w:val="fr-CA"/>
        </w:rPr>
        <w:t>,</w:t>
      </w:r>
      <w:r>
        <w:rPr>
          <w:lang w:val="fr-CA"/>
        </w:rPr>
        <w:t xml:space="preserve"> par la suite, et atteint la cible de contrôle d’une réduction de 35 pour cent par rapport à sa consommation de base en 2020</w:t>
      </w:r>
      <w:r w:rsidR="00490B5D">
        <w:rPr>
          <w:lang w:val="fr-CA"/>
        </w:rPr>
        <w:t>,</w:t>
      </w:r>
      <w:r>
        <w:rPr>
          <w:lang w:val="fr-CA"/>
        </w:rPr>
        <w:t xml:space="preserve"> sans financement additionnel.</w:t>
      </w:r>
    </w:p>
    <w:p w14:paraId="4627A1F7" w14:textId="0727091D" w:rsidR="00B6618D" w:rsidRDefault="0037353A" w:rsidP="00B6618D">
      <w:pPr>
        <w:rPr>
          <w:u w:val="single"/>
          <w:lang w:val="fr-CA"/>
        </w:rPr>
      </w:pPr>
      <w:r>
        <w:rPr>
          <w:u w:val="single"/>
          <w:lang w:val="fr-CA"/>
        </w:rPr>
        <w:t>Rapport sur la consommation de HCFC et vérification</w:t>
      </w:r>
    </w:p>
    <w:p w14:paraId="0D0BA3A6" w14:textId="77777777" w:rsidR="0037353A" w:rsidRDefault="0037353A" w:rsidP="00B6618D">
      <w:pPr>
        <w:rPr>
          <w:u w:val="single"/>
          <w:lang w:val="fr-CA"/>
        </w:rPr>
      </w:pPr>
    </w:p>
    <w:p w14:paraId="7DE68EC8" w14:textId="31F79AA7" w:rsidR="0037353A" w:rsidRDefault="0037353A" w:rsidP="0037353A">
      <w:pPr>
        <w:pStyle w:val="Heading1"/>
        <w:rPr>
          <w:lang w:val="fr-CA"/>
        </w:rPr>
      </w:pPr>
      <w:r>
        <w:rPr>
          <w:lang w:val="fr-CA"/>
        </w:rPr>
        <w:t xml:space="preserve">Le gouvernement de la Libye a déclaré une consommation de 73,01 tonnes PAO de HCFC en 2022, inférieure à la cible de contrôle fixée dans le plan d’action pour cette année-là.  Le rapport de vérification confirme que le gouvernement met en œuvre un système de permis et de quotas pour les importations et les exportations de HCFC et que la consommation totale de HCFC déclarée en vertu de l’article 7 du Protocole </w:t>
      </w:r>
      <w:r>
        <w:rPr>
          <w:lang w:val="fr-CA"/>
        </w:rPr>
        <w:lastRenderedPageBreak/>
        <w:t>de Montréal pour 2022, était exacte. Le rapport de vérification concluait que le gouvernement de la Libye a tenu ses engagements envers le Comité exécutif concernant la réduction de sa consommation.</w:t>
      </w:r>
    </w:p>
    <w:p w14:paraId="04877F0D" w14:textId="30A65F6F" w:rsidR="0037353A" w:rsidRDefault="0037353A" w:rsidP="0037353A">
      <w:pPr>
        <w:rPr>
          <w:u w:val="single"/>
          <w:lang w:val="fr-CA"/>
        </w:rPr>
      </w:pPr>
      <w:r>
        <w:rPr>
          <w:u w:val="single"/>
          <w:lang w:val="fr-CA"/>
        </w:rPr>
        <w:t>Secteur de la fabrication</w:t>
      </w:r>
    </w:p>
    <w:p w14:paraId="3899721C" w14:textId="77777777" w:rsidR="0037353A" w:rsidRDefault="0037353A" w:rsidP="0037353A">
      <w:pPr>
        <w:rPr>
          <w:u w:val="single"/>
          <w:lang w:val="fr-CA"/>
        </w:rPr>
      </w:pPr>
    </w:p>
    <w:p w14:paraId="3DC278BF" w14:textId="75ACA173" w:rsidR="0037353A" w:rsidRDefault="0037353A" w:rsidP="0037353A">
      <w:pPr>
        <w:pStyle w:val="Heading1"/>
        <w:rPr>
          <w:lang w:val="fr-CA"/>
        </w:rPr>
      </w:pPr>
      <w:r>
        <w:rPr>
          <w:lang w:val="fr-CA"/>
        </w:rPr>
        <w:t xml:space="preserve">La phase I du PGEH incluait un projet d’investissement pour éliminer 216,73 </w:t>
      </w:r>
      <w:proofErr w:type="spellStart"/>
      <w:r>
        <w:rPr>
          <w:lang w:val="fr-CA"/>
        </w:rPr>
        <w:t>tm</w:t>
      </w:r>
      <w:proofErr w:type="spellEnd"/>
      <w:r>
        <w:rPr>
          <w:lang w:val="fr-CA"/>
        </w:rPr>
        <w:t xml:space="preserve"> (23,84 tonnes PAO) de HCFC-141b dans trois entreprises de fabrication de mousse de polyuréthane (PU) (</w:t>
      </w:r>
      <w:proofErr w:type="spellStart"/>
      <w:r>
        <w:rPr>
          <w:lang w:val="fr-CA"/>
        </w:rPr>
        <w:t>Alyem</w:t>
      </w:r>
      <w:proofErr w:type="spellEnd"/>
      <w:r>
        <w:rPr>
          <w:lang w:val="fr-CA"/>
        </w:rPr>
        <w:t xml:space="preserve"> Engineering, Al-</w:t>
      </w:r>
      <w:proofErr w:type="spellStart"/>
      <w:r>
        <w:rPr>
          <w:lang w:val="fr-CA"/>
        </w:rPr>
        <w:t>Najah</w:t>
      </w:r>
      <w:proofErr w:type="spellEnd"/>
      <w:r>
        <w:rPr>
          <w:lang w:val="fr-CA"/>
        </w:rPr>
        <w:t xml:space="preserve"> </w:t>
      </w:r>
      <w:proofErr w:type="spellStart"/>
      <w:r>
        <w:rPr>
          <w:lang w:val="fr-CA"/>
        </w:rPr>
        <w:t>Company</w:t>
      </w:r>
      <w:proofErr w:type="spellEnd"/>
      <w:r>
        <w:rPr>
          <w:lang w:val="fr-CA"/>
        </w:rPr>
        <w:t xml:space="preserve"> et Al </w:t>
      </w:r>
      <w:proofErr w:type="spellStart"/>
      <w:r>
        <w:rPr>
          <w:lang w:val="fr-CA"/>
        </w:rPr>
        <w:t>Najam</w:t>
      </w:r>
      <w:proofErr w:type="spellEnd"/>
      <w:r>
        <w:rPr>
          <w:lang w:val="fr-CA"/>
        </w:rPr>
        <w:t xml:space="preserve"> </w:t>
      </w:r>
      <w:proofErr w:type="spellStart"/>
      <w:r>
        <w:rPr>
          <w:lang w:val="fr-CA"/>
        </w:rPr>
        <w:t>Company</w:t>
      </w:r>
      <w:proofErr w:type="spellEnd"/>
      <w:r>
        <w:rPr>
          <w:lang w:val="fr-CA"/>
        </w:rPr>
        <w:t xml:space="preserve"> (anciennement Al-Amal </w:t>
      </w:r>
      <w:proofErr w:type="spellStart"/>
      <w:r>
        <w:rPr>
          <w:lang w:val="fr-CA"/>
        </w:rPr>
        <w:t>Alkhada</w:t>
      </w:r>
      <w:proofErr w:type="spellEnd"/>
      <w:r>
        <w:rPr>
          <w:lang w:val="fr-CA"/>
        </w:rPr>
        <w:t xml:space="preserve"> </w:t>
      </w:r>
      <w:proofErr w:type="spellStart"/>
      <w:r>
        <w:rPr>
          <w:lang w:val="fr-CA"/>
        </w:rPr>
        <w:t>Company</w:t>
      </w:r>
      <w:proofErr w:type="spellEnd"/>
      <w:r>
        <w:rPr>
          <w:lang w:val="fr-CA"/>
        </w:rPr>
        <w:t>)).</w:t>
      </w:r>
    </w:p>
    <w:p w14:paraId="64D66F47" w14:textId="75DB81C8" w:rsidR="0037353A" w:rsidRDefault="0037353A" w:rsidP="0037353A">
      <w:pPr>
        <w:pStyle w:val="Heading1"/>
        <w:rPr>
          <w:lang w:val="fr-CA"/>
        </w:rPr>
      </w:pPr>
      <w:r>
        <w:rPr>
          <w:lang w:val="fr-CA"/>
        </w:rPr>
        <w:t>À sa 82</w:t>
      </w:r>
      <w:r w:rsidRPr="0037353A">
        <w:rPr>
          <w:vertAlign w:val="superscript"/>
          <w:lang w:val="fr-CA"/>
        </w:rPr>
        <w:t>e</w:t>
      </w:r>
      <w:r>
        <w:rPr>
          <w:lang w:val="fr-CA"/>
        </w:rPr>
        <w:t xml:space="preserve"> réunion, le Comité exécutif a approuvé l’annulation</w:t>
      </w:r>
      <w:r w:rsidR="00F8144E">
        <w:rPr>
          <w:lang w:val="fr-CA"/>
        </w:rPr>
        <w:t xml:space="preserve"> de la conversion chez </w:t>
      </w:r>
      <w:proofErr w:type="spellStart"/>
      <w:r w:rsidR="00F8144E">
        <w:rPr>
          <w:lang w:val="fr-CA"/>
        </w:rPr>
        <w:t>Alyem</w:t>
      </w:r>
      <w:proofErr w:type="spellEnd"/>
      <w:r w:rsidR="00F8144E">
        <w:rPr>
          <w:lang w:val="fr-CA"/>
        </w:rPr>
        <w:t xml:space="preserve"> Engineering puisque l’entreprise n’était plus opérationnelle</w:t>
      </w:r>
      <w:r w:rsidR="00F8144E">
        <w:rPr>
          <w:rStyle w:val="FootnoteReference"/>
          <w:lang w:val="fr-CA"/>
        </w:rPr>
        <w:footnoteReference w:id="5"/>
      </w:r>
      <w:r w:rsidR="00F8144E">
        <w:rPr>
          <w:lang w:val="fr-CA"/>
        </w:rPr>
        <w:t>.  Le financement de 747 533 $US, associé à ce projet (incluant le coût du projet et l’assistance technique pour la formation) a été restitué à la 82</w:t>
      </w:r>
      <w:r w:rsidR="00F8144E" w:rsidRPr="00F8144E">
        <w:rPr>
          <w:vertAlign w:val="superscript"/>
          <w:lang w:val="fr-CA"/>
        </w:rPr>
        <w:t>e</w:t>
      </w:r>
      <w:r w:rsidR="00F8144E">
        <w:rPr>
          <w:lang w:val="fr-CA"/>
        </w:rPr>
        <w:t xml:space="preserve"> réunion.</w:t>
      </w:r>
    </w:p>
    <w:p w14:paraId="42735653" w14:textId="236E4D79" w:rsidR="005E315A" w:rsidRDefault="00F8144E" w:rsidP="00F8144E">
      <w:pPr>
        <w:pStyle w:val="Heading1"/>
        <w:rPr>
          <w:lang w:val="fr-CA"/>
        </w:rPr>
      </w:pPr>
      <w:r>
        <w:rPr>
          <w:lang w:val="fr-CA"/>
        </w:rPr>
        <w:t>La conversion de Al-</w:t>
      </w:r>
      <w:proofErr w:type="spellStart"/>
      <w:r>
        <w:rPr>
          <w:lang w:val="fr-CA"/>
        </w:rPr>
        <w:t>Najah</w:t>
      </w:r>
      <w:proofErr w:type="spellEnd"/>
      <w:r>
        <w:rPr>
          <w:lang w:val="fr-CA"/>
        </w:rPr>
        <w:t xml:space="preserve"> </w:t>
      </w:r>
      <w:proofErr w:type="spellStart"/>
      <w:r>
        <w:rPr>
          <w:lang w:val="fr-CA"/>
        </w:rPr>
        <w:t>Company</w:t>
      </w:r>
      <w:proofErr w:type="spellEnd"/>
      <w:r>
        <w:rPr>
          <w:lang w:val="fr-CA"/>
        </w:rPr>
        <w:t xml:space="preserve"> a été approuvée pour éliminer 105,37 </w:t>
      </w:r>
      <w:proofErr w:type="spellStart"/>
      <w:r>
        <w:rPr>
          <w:lang w:val="fr-CA"/>
        </w:rPr>
        <w:t>tm</w:t>
      </w:r>
      <w:proofErr w:type="spellEnd"/>
      <w:r>
        <w:rPr>
          <w:lang w:val="fr-CA"/>
        </w:rPr>
        <w:t xml:space="preserve"> de HCFC-141b </w:t>
      </w:r>
      <w:r w:rsidR="00490B5D">
        <w:rPr>
          <w:lang w:val="fr-CA"/>
        </w:rPr>
        <w:t>dans</w:t>
      </w:r>
      <w:r>
        <w:rPr>
          <w:lang w:val="fr-CA"/>
        </w:rPr>
        <w:t xml:space="preserve"> la fabrication </w:t>
      </w:r>
      <w:r w:rsidR="005E315A">
        <w:rPr>
          <w:lang w:val="fr-CA"/>
        </w:rPr>
        <w:t>de</w:t>
      </w:r>
      <w:r>
        <w:rPr>
          <w:lang w:val="fr-CA"/>
        </w:rPr>
        <w:t xml:space="preserve"> panneaux</w:t>
      </w:r>
      <w:r w:rsidR="005E315A">
        <w:rPr>
          <w:lang w:val="fr-CA"/>
        </w:rPr>
        <w:t xml:space="preserve"> de mousse continus</w:t>
      </w:r>
      <w:r>
        <w:rPr>
          <w:lang w:val="fr-CA"/>
        </w:rPr>
        <w:t xml:space="preserve">.  Le contrat pour la fourniture de l’équipement et l’assistance technique a été signé en 2017.  L’équipement a été livré à l’entreprise bénéficiaire en 2018.  L’installation, la mise en service de l’équipement et la formation du personnel ont été retardées à cause de l’éclatement de la guerre et </w:t>
      </w:r>
      <w:r w:rsidR="009B6DF9">
        <w:rPr>
          <w:lang w:val="fr-CA"/>
        </w:rPr>
        <w:t xml:space="preserve">de </w:t>
      </w:r>
      <w:r>
        <w:rPr>
          <w:lang w:val="fr-CA"/>
        </w:rPr>
        <w:t>l’interdiction de voyage</w:t>
      </w:r>
      <w:r w:rsidR="005E315A">
        <w:rPr>
          <w:lang w:val="fr-CA"/>
        </w:rPr>
        <w:t>r</w:t>
      </w:r>
      <w:r>
        <w:rPr>
          <w:lang w:val="fr-CA"/>
        </w:rPr>
        <w:t xml:space="preserve"> imposée par l’Italie.</w:t>
      </w:r>
      <w:r w:rsidR="005E315A">
        <w:rPr>
          <w:lang w:val="fr-CA"/>
        </w:rPr>
        <w:t xml:space="preserve"> En décembre 2022, une équipe d’ingénieurs de Cannon a pu se rendre en Libye pour </w:t>
      </w:r>
      <w:r w:rsidR="00490B5D">
        <w:rPr>
          <w:lang w:val="fr-CA"/>
        </w:rPr>
        <w:t>parachev</w:t>
      </w:r>
      <w:r w:rsidR="005E315A">
        <w:rPr>
          <w:lang w:val="fr-CA"/>
        </w:rPr>
        <w:t>er l’installation de l’équipement, la mise en route et la formation.  Le certificat de sécurité a été reçu en novembre 2023 et depuis, l’entreprise produit des panneaux isolants avec du cyclopentane comme agent de gonflage de la mousse.</w:t>
      </w:r>
    </w:p>
    <w:p w14:paraId="7F6134C6" w14:textId="55DCD0AA" w:rsidR="005E315A" w:rsidRDefault="005E315A" w:rsidP="005E315A">
      <w:pPr>
        <w:rPr>
          <w:i/>
          <w:iCs/>
          <w:lang w:val="fr-CA"/>
        </w:rPr>
      </w:pPr>
      <w:r>
        <w:rPr>
          <w:i/>
          <w:iCs/>
          <w:lang w:val="fr-CA"/>
        </w:rPr>
        <w:t xml:space="preserve">Demande d’annulation du projet de conversion chez Al </w:t>
      </w:r>
      <w:proofErr w:type="spellStart"/>
      <w:r>
        <w:rPr>
          <w:i/>
          <w:iCs/>
          <w:lang w:val="fr-CA"/>
        </w:rPr>
        <w:t>Najam</w:t>
      </w:r>
      <w:proofErr w:type="spellEnd"/>
      <w:r>
        <w:rPr>
          <w:i/>
          <w:iCs/>
          <w:lang w:val="fr-CA"/>
        </w:rPr>
        <w:t xml:space="preserve"> </w:t>
      </w:r>
      <w:proofErr w:type="spellStart"/>
      <w:r>
        <w:rPr>
          <w:i/>
          <w:iCs/>
          <w:lang w:val="fr-CA"/>
        </w:rPr>
        <w:t>Company</w:t>
      </w:r>
      <w:proofErr w:type="spellEnd"/>
    </w:p>
    <w:p w14:paraId="4C0E6B30" w14:textId="77777777" w:rsidR="005E315A" w:rsidRPr="005E315A" w:rsidRDefault="005E315A" w:rsidP="005E315A">
      <w:pPr>
        <w:rPr>
          <w:i/>
          <w:iCs/>
          <w:lang w:val="fr-CA"/>
        </w:rPr>
      </w:pPr>
    </w:p>
    <w:p w14:paraId="4877ED86" w14:textId="49ED6921" w:rsidR="005E315A" w:rsidRPr="003B2A5D" w:rsidRDefault="005E315A" w:rsidP="006E7A28">
      <w:pPr>
        <w:pStyle w:val="Heading1"/>
        <w:rPr>
          <w:lang w:val="fr-CA"/>
        </w:rPr>
      </w:pPr>
      <w:r w:rsidRPr="003B2A5D">
        <w:rPr>
          <w:lang w:val="fr-CA"/>
        </w:rPr>
        <w:t xml:space="preserve">Le projet de conversion de Al </w:t>
      </w:r>
      <w:proofErr w:type="spellStart"/>
      <w:r w:rsidRPr="003B2A5D">
        <w:rPr>
          <w:lang w:val="fr-CA"/>
        </w:rPr>
        <w:t>Najam</w:t>
      </w:r>
      <w:proofErr w:type="spellEnd"/>
      <w:r w:rsidRPr="003B2A5D">
        <w:rPr>
          <w:lang w:val="fr-CA"/>
        </w:rPr>
        <w:t xml:space="preserve"> </w:t>
      </w:r>
      <w:proofErr w:type="spellStart"/>
      <w:r w:rsidRPr="003B2A5D">
        <w:rPr>
          <w:lang w:val="fr-CA"/>
        </w:rPr>
        <w:t>Company</w:t>
      </w:r>
      <w:proofErr w:type="spellEnd"/>
      <w:r w:rsidRPr="003B2A5D">
        <w:rPr>
          <w:lang w:val="fr-CA"/>
        </w:rPr>
        <w:t xml:space="preserve"> a été approuvé au coût de 140 523 $US, pour éliminer 15,53 </w:t>
      </w:r>
      <w:proofErr w:type="spellStart"/>
      <w:r w:rsidRPr="003B2A5D">
        <w:rPr>
          <w:lang w:val="fr-CA"/>
        </w:rPr>
        <w:t>tm</w:t>
      </w:r>
      <w:proofErr w:type="spellEnd"/>
      <w:r w:rsidRPr="003B2A5D">
        <w:rPr>
          <w:lang w:val="fr-CA"/>
        </w:rPr>
        <w:t xml:space="preserve"> de HCFC-141b dans la fabrication de panneaux discontinus pour la construction. Le contrat pour la fourniture de l’équipement de conversion a été signé en 2017</w:t>
      </w:r>
      <w:r w:rsidR="003B2A5D" w:rsidRPr="003B2A5D">
        <w:rPr>
          <w:lang w:val="fr-CA"/>
        </w:rPr>
        <w:t>, avec une compagnie basée en Italie</w:t>
      </w:r>
      <w:r w:rsidRPr="003B2A5D">
        <w:rPr>
          <w:lang w:val="fr-CA"/>
        </w:rPr>
        <w:t>.  L</w:t>
      </w:r>
      <w:r w:rsidR="003B2A5D" w:rsidRPr="003B2A5D">
        <w:rPr>
          <w:lang w:val="fr-CA"/>
        </w:rPr>
        <w:t>e fournisseur n’</w:t>
      </w:r>
      <w:r w:rsidR="00490B5D">
        <w:rPr>
          <w:lang w:val="fr-CA"/>
        </w:rPr>
        <w:t>a</w:t>
      </w:r>
      <w:r w:rsidR="003B2A5D" w:rsidRPr="003B2A5D">
        <w:rPr>
          <w:lang w:val="fr-CA"/>
        </w:rPr>
        <w:t xml:space="preserve"> pas livré l</w:t>
      </w:r>
      <w:r w:rsidRPr="003B2A5D">
        <w:rPr>
          <w:lang w:val="fr-CA"/>
        </w:rPr>
        <w:t xml:space="preserve">’équipement </w:t>
      </w:r>
      <w:r w:rsidR="003B2A5D" w:rsidRPr="003B2A5D">
        <w:rPr>
          <w:lang w:val="fr-CA"/>
        </w:rPr>
        <w:t xml:space="preserve">en raison de l’instabilité politique dans le pays. Le contrat </w:t>
      </w:r>
      <w:r w:rsidRPr="003B2A5D">
        <w:rPr>
          <w:lang w:val="fr-CA"/>
        </w:rPr>
        <w:t xml:space="preserve">a été </w:t>
      </w:r>
      <w:r w:rsidR="003B2A5D" w:rsidRPr="003B2A5D">
        <w:rPr>
          <w:lang w:val="fr-CA"/>
        </w:rPr>
        <w:t>annulé par la suite. Lorsque la situation sécuritaire s’est nettement améliorée en 2021, l’entreprise bénéficiaire et l’Unité nationale de l’ozone (UNO) ont finalisé les spécifications techniques pour l’achat de l’équipement</w:t>
      </w:r>
      <w:r w:rsidRPr="003B2A5D">
        <w:rPr>
          <w:lang w:val="fr-CA"/>
        </w:rPr>
        <w:t xml:space="preserve"> </w:t>
      </w:r>
      <w:r w:rsidR="003B2A5D" w:rsidRPr="003B2A5D">
        <w:rPr>
          <w:lang w:val="fr-CA"/>
        </w:rPr>
        <w:t xml:space="preserve">en 2022 </w:t>
      </w:r>
      <w:r w:rsidRPr="003B2A5D">
        <w:rPr>
          <w:lang w:val="fr-CA"/>
        </w:rPr>
        <w:t xml:space="preserve">et </w:t>
      </w:r>
      <w:r w:rsidR="003B2A5D" w:rsidRPr="003B2A5D">
        <w:rPr>
          <w:lang w:val="fr-CA"/>
        </w:rPr>
        <w:t xml:space="preserve">un appel d’offres ouvert a été lancé en mai 2022. Le contrat a été octroyé à un fournisseur basé à Singapour en juin </w:t>
      </w:r>
      <w:r w:rsidRPr="003B2A5D">
        <w:rPr>
          <w:lang w:val="fr-CA"/>
        </w:rPr>
        <w:t>2022</w:t>
      </w:r>
      <w:r w:rsidR="003B2A5D" w:rsidRPr="003B2A5D">
        <w:rPr>
          <w:lang w:val="fr-CA"/>
        </w:rPr>
        <w:t xml:space="preserve">. </w:t>
      </w:r>
    </w:p>
    <w:p w14:paraId="2F68FF1A" w14:textId="33E6EE48" w:rsidR="00F8144E" w:rsidRDefault="003B2A5D" w:rsidP="00F8144E">
      <w:pPr>
        <w:pStyle w:val="Heading1"/>
        <w:rPr>
          <w:lang w:val="fr-CA"/>
        </w:rPr>
      </w:pPr>
      <w:r>
        <w:rPr>
          <w:lang w:val="fr-CA"/>
        </w:rPr>
        <w:t xml:space="preserve">De juin à octobre 2022, l’ONUDI, l’UNO, le fournisseur et l’entreprise bénéficiaire ont tenu plusieurs rondes de discussions sur le calendrier de mise en œuvre du projet, incluant la livraison de l’équipement, les travaux de préparation sur le terrain, l’installation et la mise en route de l’équipement.  Tel que convenu entre toutes les parties impliquées, l’équipement a bien été livré au port de Tripoli en décembre 2022 mais n’a pu être livré à l’entreprise bénéficiaire car cette dernière était devenue "non-opérationnelle". L’ONUDI et l’UNO ont eu plusieurs rencontres avec le représentant de l’entreprise bénéficiaire pour discuter du projet de conversion.  En conclusion, l’entreprise ne peut plus opérer </w:t>
      </w:r>
      <w:r w:rsidR="00845351">
        <w:rPr>
          <w:lang w:val="fr-CA"/>
        </w:rPr>
        <w:t xml:space="preserve">à cause d’un conflit de propriété qui rend le site de l’usine inaccessible.  L’UNO a envoyé une lettre à l’ONUDI pour l’informer que le projet de conversion chez Al </w:t>
      </w:r>
      <w:proofErr w:type="spellStart"/>
      <w:r w:rsidR="00845351">
        <w:rPr>
          <w:lang w:val="fr-CA"/>
        </w:rPr>
        <w:t>Najam</w:t>
      </w:r>
      <w:proofErr w:type="spellEnd"/>
      <w:r w:rsidR="00845351">
        <w:rPr>
          <w:lang w:val="fr-CA"/>
        </w:rPr>
        <w:t xml:space="preserve"> devait être annulé.</w:t>
      </w:r>
    </w:p>
    <w:p w14:paraId="6980C8A6" w14:textId="1EEC4178" w:rsidR="004C5BD5" w:rsidRDefault="00845351" w:rsidP="00845351">
      <w:pPr>
        <w:pStyle w:val="Heading1"/>
        <w:rPr>
          <w:lang w:val="fr-CA"/>
        </w:rPr>
      </w:pPr>
      <w:r>
        <w:rPr>
          <w:lang w:val="fr-CA"/>
        </w:rPr>
        <w:t xml:space="preserve">Dans ce contexte, l’ONUDI a convenu avec l’UNO d’annuler le projet.  L’ONUDI et l’UNO </w:t>
      </w:r>
      <w:r w:rsidR="00490B5D">
        <w:rPr>
          <w:lang w:val="fr-CA"/>
        </w:rPr>
        <w:t xml:space="preserve">ont </w:t>
      </w:r>
      <w:r>
        <w:rPr>
          <w:lang w:val="fr-CA"/>
        </w:rPr>
        <w:t>tent</w:t>
      </w:r>
      <w:r w:rsidR="00490B5D">
        <w:rPr>
          <w:lang w:val="fr-CA"/>
        </w:rPr>
        <w:t>é</w:t>
      </w:r>
      <w:r>
        <w:rPr>
          <w:lang w:val="fr-CA"/>
        </w:rPr>
        <w:t xml:space="preserve"> de trouver une solution pour récupérer le coût de l’équipement acheté et le remettre au Fonds multilatéral.  Plusieurs options ont été envisagées, incluant l’identification d’une autre entreprise admissible en Libye qui utiliserait l’équipement; la revente de l’équipement au fournisseur ou sa mise aux enchères sur le marché; </w:t>
      </w:r>
      <w:r w:rsidR="004B4D47">
        <w:rPr>
          <w:lang w:val="fr-CA"/>
        </w:rPr>
        <w:t>la recherche d’</w:t>
      </w:r>
      <w:r>
        <w:rPr>
          <w:lang w:val="fr-CA"/>
        </w:rPr>
        <w:t>une entreprise admissible dans un autre pays qui accepterait d’utiliser l’équipement. Après des consultations prolongées, il s’est avéré qu’aucune entreprise admissible en Libye ne pouvait utiliser l’équipement. Puisque l’équipement a</w:t>
      </w:r>
      <w:r w:rsidR="004B4D47">
        <w:rPr>
          <w:lang w:val="fr-CA"/>
        </w:rPr>
        <w:t>vait</w:t>
      </w:r>
      <w:r>
        <w:rPr>
          <w:lang w:val="fr-CA"/>
        </w:rPr>
        <w:t xml:space="preserve"> été adapté </w:t>
      </w:r>
      <w:r w:rsidR="004B4D47">
        <w:rPr>
          <w:lang w:val="fr-CA"/>
        </w:rPr>
        <w:t>pour</w:t>
      </w:r>
      <w:r>
        <w:rPr>
          <w:lang w:val="fr-CA"/>
        </w:rPr>
        <w:t xml:space="preserve"> </w:t>
      </w:r>
      <w:r w:rsidR="004B4D47">
        <w:rPr>
          <w:lang w:val="fr-CA"/>
        </w:rPr>
        <w:t>cette entreprise</w:t>
      </w:r>
      <w:r>
        <w:rPr>
          <w:lang w:val="fr-CA"/>
        </w:rPr>
        <w:t xml:space="preserve"> et qu’il est déjà fabriqué, il ne peut être vendu sur le marché à son prix original, et seulement 40 pour cent du coût pourrait </w:t>
      </w:r>
      <w:r w:rsidR="004B4D47">
        <w:rPr>
          <w:lang w:val="fr-CA"/>
        </w:rPr>
        <w:lastRenderedPageBreak/>
        <w:t>être r</w:t>
      </w:r>
      <w:r>
        <w:rPr>
          <w:lang w:val="fr-CA"/>
        </w:rPr>
        <w:t>écupér</w:t>
      </w:r>
      <w:r w:rsidR="004B4D47">
        <w:rPr>
          <w:lang w:val="fr-CA"/>
        </w:rPr>
        <w:t>é</w:t>
      </w:r>
      <w:r>
        <w:rPr>
          <w:lang w:val="fr-CA"/>
        </w:rPr>
        <w:t xml:space="preserve"> auprès du fournisseur.  L’ONUDI a évalué la possibilité de réexporter l’équipement vers un autre bénéficiaire étranger et a identifié une entreprise basée en Syrie</w:t>
      </w:r>
      <w:r w:rsidR="004C5BD5">
        <w:rPr>
          <w:lang w:val="fr-CA"/>
        </w:rPr>
        <w:t xml:space="preserve"> qui pourrait utiliser l’équipement</w:t>
      </w:r>
      <w:r>
        <w:rPr>
          <w:lang w:val="fr-CA"/>
        </w:rPr>
        <w:t xml:space="preserve"> </w:t>
      </w:r>
      <w:r w:rsidR="004C5BD5">
        <w:rPr>
          <w:lang w:val="fr-CA"/>
        </w:rPr>
        <w:t>dans le cadre de son PGEH en cours. Par la suite, les spécifications techniques de l’équipement ont été évaluées pour déterminer sa compatibilité</w:t>
      </w:r>
      <w:r w:rsidR="004B4D47">
        <w:rPr>
          <w:lang w:val="fr-CA"/>
        </w:rPr>
        <w:t>,</w:t>
      </w:r>
      <w:r w:rsidR="004C5BD5">
        <w:rPr>
          <w:lang w:val="fr-CA"/>
        </w:rPr>
        <w:t xml:space="preserve"> et l’entreprise en République arabe syrienne a donné son consentement pour utiliser l’équipement. L’UNO et l’ONUDI sollicitent l’accord du Comité exécutif pour annuler le projet et réexporter l’équipement en République arabe syrienne afin de récupérer le coût de l’équipement.</w:t>
      </w:r>
    </w:p>
    <w:p w14:paraId="37526722" w14:textId="5D7EB052" w:rsidR="004C5BD5" w:rsidRDefault="004C5BD5" w:rsidP="004C5BD5">
      <w:pPr>
        <w:rPr>
          <w:u w:val="single"/>
          <w:lang w:val="fr-CA"/>
        </w:rPr>
      </w:pPr>
      <w:r>
        <w:rPr>
          <w:u w:val="single"/>
          <w:lang w:val="fr-CA"/>
        </w:rPr>
        <w:t>Secteur de l’entretien dans la réfrigération</w:t>
      </w:r>
    </w:p>
    <w:p w14:paraId="713F5DDF" w14:textId="77777777" w:rsidR="004C5BD5" w:rsidRPr="004C5BD5" w:rsidRDefault="004C5BD5" w:rsidP="004C5BD5">
      <w:pPr>
        <w:rPr>
          <w:u w:val="single"/>
          <w:lang w:val="fr-CA"/>
        </w:rPr>
      </w:pPr>
    </w:p>
    <w:p w14:paraId="7B1EB73B" w14:textId="77777777" w:rsidR="004C5BD5" w:rsidRDefault="004C5BD5" w:rsidP="00845351">
      <w:pPr>
        <w:pStyle w:val="Heading1"/>
        <w:rPr>
          <w:lang w:val="fr-CA"/>
        </w:rPr>
      </w:pPr>
      <w:r>
        <w:rPr>
          <w:lang w:val="fr-CA"/>
        </w:rPr>
        <w:t>Les activités suivantes ont été menées dans le secteur de l’entretien :</w:t>
      </w:r>
    </w:p>
    <w:p w14:paraId="22A39937" w14:textId="5A6C17C3" w:rsidR="004C5BD5" w:rsidRDefault="004C5BD5" w:rsidP="004C5BD5">
      <w:pPr>
        <w:pStyle w:val="Heading2"/>
        <w:rPr>
          <w:lang w:val="fr-CA"/>
        </w:rPr>
      </w:pPr>
      <w:r>
        <w:rPr>
          <w:lang w:val="fr-CA"/>
        </w:rPr>
        <w:t xml:space="preserve">Mise à jour du décret-loi 228 émis en 2015 pour inclure les HFC; discussions avec les ministères et les parties prenantes concernés au sujet d’une interdiction des importations d’équipement à base de HCFC; </w:t>
      </w:r>
      <w:r w:rsidR="004B4D47">
        <w:rPr>
          <w:lang w:val="fr-CA"/>
        </w:rPr>
        <w:t xml:space="preserve">conclusion d’une </w:t>
      </w:r>
      <w:r>
        <w:rPr>
          <w:lang w:val="fr-CA"/>
        </w:rPr>
        <w:t xml:space="preserve">entente et le ministère de l’Économie et du Commerce </w:t>
      </w:r>
      <w:r w:rsidR="009B6DF9">
        <w:rPr>
          <w:lang w:val="fr-CA"/>
        </w:rPr>
        <w:t xml:space="preserve">qui </w:t>
      </w:r>
      <w:r>
        <w:rPr>
          <w:lang w:val="fr-CA"/>
        </w:rPr>
        <w:t>émettra un décret annonçant l’interdictio</w:t>
      </w:r>
      <w:r w:rsidR="009B6DF9">
        <w:rPr>
          <w:lang w:val="fr-CA"/>
        </w:rPr>
        <w:t>n</w:t>
      </w:r>
      <w:r>
        <w:rPr>
          <w:lang w:val="fr-CA"/>
        </w:rPr>
        <w:t xml:space="preserve"> à compter de janvier 2024;</w:t>
      </w:r>
    </w:p>
    <w:p w14:paraId="1A3C2A4D" w14:textId="77777777" w:rsidR="00B30BAE" w:rsidRDefault="004C5BD5" w:rsidP="004C5BD5">
      <w:pPr>
        <w:pStyle w:val="Heading2"/>
        <w:rPr>
          <w:lang w:val="fr-CA"/>
        </w:rPr>
      </w:pPr>
      <w:r>
        <w:rPr>
          <w:lang w:val="fr-CA"/>
        </w:rPr>
        <w:t>Deux ateliers de formation pour six maîtres-formateurs et 20 agents des douanes sur l’élimination des substances appauvrissant la couche d’ozone (SAO), l’identification des SAO</w:t>
      </w:r>
      <w:r w:rsidR="00B30BAE">
        <w:rPr>
          <w:lang w:val="fr-CA"/>
        </w:rPr>
        <w:t xml:space="preserve"> et l’utilisation de détecteurs de frigorigènes, l’étiquetage et l’emballage des SAO, les codes du système harmonisé (HS) et la lutte contre l’importation illicite de SAO; et impression de 200 exemplaires du manuel de formation, pour distribution;</w:t>
      </w:r>
    </w:p>
    <w:p w14:paraId="49D2D3E4" w14:textId="548B73CC" w:rsidR="004644A5" w:rsidRDefault="00B30BAE" w:rsidP="004C5BD5">
      <w:pPr>
        <w:pStyle w:val="Heading2"/>
        <w:rPr>
          <w:lang w:val="fr-CA"/>
        </w:rPr>
      </w:pPr>
      <w:r>
        <w:rPr>
          <w:lang w:val="fr-CA"/>
        </w:rPr>
        <w:t xml:space="preserve">Trois ateliers de formation pour 38 </w:t>
      </w:r>
      <w:r w:rsidR="004644A5">
        <w:rPr>
          <w:lang w:val="fr-CA"/>
        </w:rPr>
        <w:t>techniciens sur l’élimination des SAO et la protection de l’environnement; divers procédés et composantes de rafraichissement; les bonnes pratiques pour l’installation, l’entretien et la maintenance de l’équipement RAC; la classification et l’étiquetage des frigorigènes; et des stratégies pour accroître la participation des femmes dans le secteur de l’entretien;</w:t>
      </w:r>
    </w:p>
    <w:p w14:paraId="72BF1DA5" w14:textId="701EA379" w:rsidR="00975B0F" w:rsidRDefault="004644A5" w:rsidP="004C5BD5">
      <w:pPr>
        <w:pStyle w:val="Heading2"/>
        <w:rPr>
          <w:lang w:val="fr-CA"/>
        </w:rPr>
      </w:pPr>
      <w:r>
        <w:rPr>
          <w:lang w:val="fr-CA"/>
        </w:rPr>
        <w:t xml:space="preserve">Achat d’outils et d’équipement pour </w:t>
      </w:r>
      <w:r w:rsidR="00975B0F">
        <w:rPr>
          <w:lang w:val="fr-CA"/>
        </w:rPr>
        <w:t xml:space="preserve">de </w:t>
      </w:r>
      <w:r>
        <w:rPr>
          <w:lang w:val="fr-CA"/>
        </w:rPr>
        <w:t>la formation</w:t>
      </w:r>
      <w:r w:rsidR="00975B0F">
        <w:rPr>
          <w:lang w:val="fr-CA"/>
        </w:rPr>
        <w:t>, la récupération et la régénération des frigorigènes</w:t>
      </w:r>
      <w:r w:rsidR="00975B0F">
        <w:rPr>
          <w:rStyle w:val="FootnoteReference"/>
          <w:lang w:val="fr-CA"/>
        </w:rPr>
        <w:footnoteReference w:id="6"/>
      </w:r>
      <w:r w:rsidR="00975B0F">
        <w:rPr>
          <w:lang w:val="fr-CA"/>
        </w:rPr>
        <w:t xml:space="preserve"> (par ex. équipement de formation modèle, détecteurs de frigorigènes, machines de récupération de frigorigènes, trousses d’outils) et livraison de l’équipement et des outils de formation en novembre 2022; et</w:t>
      </w:r>
    </w:p>
    <w:p w14:paraId="27CEEA12" w14:textId="3A30C93F" w:rsidR="00975B0F" w:rsidRDefault="00975B0F" w:rsidP="004C5BD5">
      <w:pPr>
        <w:pStyle w:val="Heading2"/>
        <w:rPr>
          <w:lang w:val="fr-CA"/>
        </w:rPr>
      </w:pPr>
      <w:r>
        <w:rPr>
          <w:lang w:val="fr-CA"/>
        </w:rPr>
        <w:t>Activités de sensibilisation sur l’élimination des SAO et promotion de la participation des femmes aux activités dans le cadre du PGEH.</w:t>
      </w:r>
    </w:p>
    <w:p w14:paraId="461B9A98" w14:textId="37926726" w:rsidR="00975B0F" w:rsidRDefault="00975B0F" w:rsidP="00975B0F">
      <w:pPr>
        <w:rPr>
          <w:u w:val="single"/>
          <w:lang w:val="fr-CA"/>
        </w:rPr>
      </w:pPr>
      <w:r>
        <w:rPr>
          <w:u w:val="single"/>
          <w:lang w:val="fr-CA"/>
        </w:rPr>
        <w:t>Niveau de décaissement des fonds</w:t>
      </w:r>
    </w:p>
    <w:p w14:paraId="43F4B8EE" w14:textId="77777777" w:rsidR="00975B0F" w:rsidRDefault="00975B0F" w:rsidP="00975B0F">
      <w:pPr>
        <w:rPr>
          <w:u w:val="single"/>
          <w:lang w:val="fr-CA"/>
        </w:rPr>
      </w:pPr>
    </w:p>
    <w:p w14:paraId="47BBD6A5" w14:textId="53F13774" w:rsidR="00845351" w:rsidRDefault="00975B0F" w:rsidP="00E930FD">
      <w:pPr>
        <w:pStyle w:val="Heading1"/>
        <w:rPr>
          <w:lang w:val="fr-CA"/>
        </w:rPr>
      </w:pPr>
      <w:r>
        <w:rPr>
          <w:lang w:val="fr-CA"/>
        </w:rPr>
        <w:t xml:space="preserve">En date d’octobre 2023, </w:t>
      </w:r>
      <w:r w:rsidR="00FF31C0">
        <w:rPr>
          <w:lang w:val="fr-CA"/>
        </w:rPr>
        <w:t xml:space="preserve">sur le montant de </w:t>
      </w:r>
      <w:r w:rsidR="0062089F">
        <w:rPr>
          <w:lang w:val="fr-CA"/>
        </w:rPr>
        <w:t>1 161 31</w:t>
      </w:r>
      <w:r w:rsidR="00FF31C0">
        <w:rPr>
          <w:lang w:val="fr-CA"/>
        </w:rPr>
        <w:t xml:space="preserve">0 $US approuvé </w:t>
      </w:r>
      <w:r w:rsidR="0062089F">
        <w:rPr>
          <w:lang w:val="fr-CA"/>
        </w:rPr>
        <w:t>pour la phase I du PGEH</w:t>
      </w:r>
      <w:r w:rsidR="0062089F">
        <w:rPr>
          <w:rStyle w:val="FootnoteReference"/>
          <w:lang w:val="fr-CA"/>
        </w:rPr>
        <w:footnoteReference w:id="7"/>
      </w:r>
      <w:r w:rsidR="0062089F">
        <w:rPr>
          <w:lang w:val="fr-CA"/>
        </w:rPr>
        <w:t>,</w:t>
      </w:r>
      <w:r w:rsidR="00FF31C0">
        <w:rPr>
          <w:lang w:val="fr-CA"/>
        </w:rPr>
        <w:t xml:space="preserve"> </w:t>
      </w:r>
      <w:r w:rsidR="0062089F">
        <w:rPr>
          <w:lang w:val="fr-CA"/>
        </w:rPr>
        <w:t xml:space="preserve">la somme de 1 141 430 </w:t>
      </w:r>
      <w:r w:rsidR="00FF31C0">
        <w:rPr>
          <w:lang w:val="fr-CA"/>
        </w:rPr>
        <w:t>$US (</w:t>
      </w:r>
      <w:r w:rsidR="0062089F">
        <w:rPr>
          <w:lang w:val="fr-CA"/>
        </w:rPr>
        <w:t>9</w:t>
      </w:r>
      <w:r w:rsidR="00FF31C0">
        <w:rPr>
          <w:lang w:val="fr-CA"/>
        </w:rPr>
        <w:t>8 pour cent) a été décaissé</w:t>
      </w:r>
      <w:r w:rsidR="0062089F">
        <w:rPr>
          <w:lang w:val="fr-CA"/>
        </w:rPr>
        <w:t>e.  Le solde de 19 880 $US (8 075 $US</w:t>
      </w:r>
      <w:r w:rsidR="00E930FD">
        <w:rPr>
          <w:lang w:val="fr-CA"/>
        </w:rPr>
        <w:t xml:space="preserve"> provenant du secteur de l’entretien et 11 805 $US du secteur des mousses)</w:t>
      </w:r>
      <w:r w:rsidR="00FF31C0">
        <w:rPr>
          <w:lang w:val="fr-CA"/>
        </w:rPr>
        <w:t xml:space="preserve"> </w:t>
      </w:r>
      <w:r w:rsidR="00E930FD">
        <w:rPr>
          <w:lang w:val="fr-CA"/>
        </w:rPr>
        <w:t xml:space="preserve">et les fonds à récupérer sur la vente de l’équipement seront restitués au Fonds multilatéral lorsque la réexportation de l’équipement sera terminée. </w:t>
      </w:r>
    </w:p>
    <w:p w14:paraId="4350109F" w14:textId="1C4CAEB1" w:rsidR="00E930FD" w:rsidRDefault="00E930FD" w:rsidP="00E930FD">
      <w:pPr>
        <w:rPr>
          <w:b/>
          <w:bCs/>
          <w:lang w:val="fr-CA"/>
        </w:rPr>
      </w:pPr>
      <w:r>
        <w:rPr>
          <w:b/>
          <w:bCs/>
          <w:lang w:val="fr-CA"/>
        </w:rPr>
        <w:t>Observations du Secrétariat</w:t>
      </w:r>
    </w:p>
    <w:p w14:paraId="53984DFF" w14:textId="77777777" w:rsidR="00E930FD" w:rsidRDefault="00E930FD" w:rsidP="00E930FD">
      <w:pPr>
        <w:rPr>
          <w:b/>
          <w:bCs/>
          <w:lang w:val="fr-CA"/>
        </w:rPr>
      </w:pPr>
    </w:p>
    <w:p w14:paraId="18091887" w14:textId="45125A96" w:rsidR="00E930FD" w:rsidRDefault="00E930FD" w:rsidP="00E930FD">
      <w:pPr>
        <w:rPr>
          <w:u w:val="single"/>
          <w:lang w:val="fr-CA"/>
        </w:rPr>
      </w:pPr>
      <w:r>
        <w:rPr>
          <w:u w:val="single"/>
          <w:lang w:val="fr-CA"/>
        </w:rPr>
        <w:t>Rapport périodique sur la mise en œuvre de la phase I du plan de gestion de l’élimination des HCFC</w:t>
      </w:r>
    </w:p>
    <w:p w14:paraId="228F9009" w14:textId="77777777" w:rsidR="00E930FD" w:rsidRDefault="00E930FD" w:rsidP="00E930FD">
      <w:pPr>
        <w:rPr>
          <w:u w:val="single"/>
          <w:lang w:val="fr-CA"/>
        </w:rPr>
      </w:pPr>
    </w:p>
    <w:p w14:paraId="179D7FD5" w14:textId="7434A61F" w:rsidR="00E930FD" w:rsidRDefault="00E930FD" w:rsidP="00E930FD">
      <w:pPr>
        <w:rPr>
          <w:i/>
          <w:iCs/>
          <w:lang w:val="fr-CA"/>
        </w:rPr>
      </w:pPr>
      <w:r>
        <w:rPr>
          <w:i/>
          <w:iCs/>
          <w:lang w:val="fr-CA"/>
        </w:rPr>
        <w:t xml:space="preserve">Cadre </w:t>
      </w:r>
      <w:r w:rsidR="004B4D47">
        <w:rPr>
          <w:i/>
          <w:iCs/>
          <w:lang w:val="fr-CA"/>
        </w:rPr>
        <w:t>juridique</w:t>
      </w:r>
    </w:p>
    <w:p w14:paraId="45691C72" w14:textId="77777777" w:rsidR="00E930FD" w:rsidRDefault="00E930FD" w:rsidP="00E930FD">
      <w:pPr>
        <w:rPr>
          <w:i/>
          <w:iCs/>
          <w:lang w:val="fr-CA"/>
        </w:rPr>
      </w:pPr>
    </w:p>
    <w:p w14:paraId="6286CB16" w14:textId="22D5FA5C" w:rsidR="00E930FD" w:rsidRDefault="00E930FD" w:rsidP="00E930FD">
      <w:pPr>
        <w:pStyle w:val="Heading1"/>
        <w:rPr>
          <w:lang w:val="fr-CA"/>
        </w:rPr>
      </w:pPr>
      <w:r>
        <w:rPr>
          <w:lang w:val="fr-CA"/>
        </w:rPr>
        <w:lastRenderedPageBreak/>
        <w:t>Le gouvernement a fixé les quotas d’importation de HCFC à 75,00 tonnes PAO pour 2023, ce qui est inférieur aux cibles de contrôle du Protocole de Montréal.</w:t>
      </w:r>
    </w:p>
    <w:p w14:paraId="43B15B2A" w14:textId="57652707" w:rsidR="00E930FD" w:rsidRDefault="00E930FD" w:rsidP="00E930FD">
      <w:pPr>
        <w:rPr>
          <w:i/>
          <w:iCs/>
          <w:lang w:val="fr-CA"/>
        </w:rPr>
      </w:pPr>
      <w:r>
        <w:rPr>
          <w:i/>
          <w:iCs/>
          <w:lang w:val="fr-CA"/>
        </w:rPr>
        <w:t>Secteur de la fabrication</w:t>
      </w:r>
    </w:p>
    <w:p w14:paraId="67FAE64F" w14:textId="77777777" w:rsidR="00E930FD" w:rsidRDefault="00E930FD" w:rsidP="00E930FD">
      <w:pPr>
        <w:rPr>
          <w:i/>
          <w:iCs/>
          <w:lang w:val="fr-CA"/>
        </w:rPr>
      </w:pPr>
    </w:p>
    <w:p w14:paraId="1B97F12C" w14:textId="0FDFC09E" w:rsidR="00E930FD" w:rsidRDefault="00E930FD" w:rsidP="00E930FD">
      <w:pPr>
        <w:rPr>
          <w:u w:val="single"/>
          <w:lang w:val="fr-CA"/>
        </w:rPr>
      </w:pPr>
      <w:r>
        <w:rPr>
          <w:u w:val="single"/>
          <w:lang w:val="fr-CA"/>
        </w:rPr>
        <w:t xml:space="preserve">Demande d’annulation du projet de conversion chez Al </w:t>
      </w:r>
      <w:proofErr w:type="spellStart"/>
      <w:r>
        <w:rPr>
          <w:u w:val="single"/>
          <w:lang w:val="fr-CA"/>
        </w:rPr>
        <w:t>Najam</w:t>
      </w:r>
      <w:proofErr w:type="spellEnd"/>
      <w:r>
        <w:rPr>
          <w:u w:val="single"/>
          <w:lang w:val="fr-CA"/>
        </w:rPr>
        <w:t xml:space="preserve"> </w:t>
      </w:r>
      <w:proofErr w:type="spellStart"/>
      <w:r>
        <w:rPr>
          <w:u w:val="single"/>
          <w:lang w:val="fr-CA"/>
        </w:rPr>
        <w:t>Company</w:t>
      </w:r>
      <w:proofErr w:type="spellEnd"/>
      <w:r>
        <w:rPr>
          <w:u w:val="single"/>
          <w:lang w:val="fr-CA"/>
        </w:rPr>
        <w:t xml:space="preserve"> </w:t>
      </w:r>
    </w:p>
    <w:p w14:paraId="43B452D3" w14:textId="77777777" w:rsidR="00E930FD" w:rsidRDefault="00E930FD" w:rsidP="00E930FD">
      <w:pPr>
        <w:rPr>
          <w:u w:val="single"/>
          <w:lang w:val="fr-CA"/>
        </w:rPr>
      </w:pPr>
    </w:p>
    <w:p w14:paraId="0BBFA73E" w14:textId="52BE48D2" w:rsidR="00E930FD" w:rsidRDefault="00E930FD" w:rsidP="00E930FD">
      <w:pPr>
        <w:pStyle w:val="Heading1"/>
        <w:rPr>
          <w:lang w:val="fr-CA"/>
        </w:rPr>
      </w:pPr>
      <w:r>
        <w:rPr>
          <w:lang w:val="fr-CA"/>
        </w:rPr>
        <w:t>Répondant à une question sur le montant estimé des fonds qui pourr</w:t>
      </w:r>
      <w:r w:rsidR="00E66E4F">
        <w:rPr>
          <w:lang w:val="fr-CA"/>
        </w:rPr>
        <w:t>ont</w:t>
      </w:r>
      <w:r>
        <w:rPr>
          <w:lang w:val="fr-CA"/>
        </w:rPr>
        <w:t xml:space="preserve"> être récupéré</w:t>
      </w:r>
      <w:r w:rsidR="00E66E4F">
        <w:rPr>
          <w:lang w:val="fr-CA"/>
        </w:rPr>
        <w:t>s</w:t>
      </w:r>
      <w:r>
        <w:rPr>
          <w:lang w:val="fr-CA"/>
        </w:rPr>
        <w:t xml:space="preserve"> par l’exportation de l’équipement, l’ONUDI a indiqué qu’environ 80 à 90 pour cent du financement approuvé pourrait être récupéré, selon les coûts d’expédition et frais de dédouanement lorsque l’équipement sera déplacé de la Libye à la République arabe syrienne.  Le montant exact sera connu lorsque le projet sera terminé et il sera restitué au Fonds. </w:t>
      </w:r>
    </w:p>
    <w:p w14:paraId="075904FC" w14:textId="4D69A823" w:rsidR="00E66E4F" w:rsidRDefault="00E66E4F" w:rsidP="00E66E4F">
      <w:pPr>
        <w:pStyle w:val="Heading1"/>
        <w:rPr>
          <w:lang w:val="fr-CA"/>
        </w:rPr>
      </w:pPr>
      <w:r>
        <w:rPr>
          <w:lang w:val="fr-CA"/>
        </w:rPr>
        <w:t>Concernant le calendrier pour la restitution du solde, l’ONUDI a indiqué que l’équipement sera livré à l’entreprise bénéficiaire en République arabe syrienne, via le Liban. Selon le temps nécessaire pour le dédouanement au Liban et en République arabe syrienne, le processus pourrait prendre de trois à six mois.  Donc, le solde du financement devrait être restitué au Fonds à la 94</w:t>
      </w:r>
      <w:r w:rsidRPr="00E66E4F">
        <w:rPr>
          <w:vertAlign w:val="superscript"/>
          <w:lang w:val="fr-CA"/>
        </w:rPr>
        <w:t>e</w:t>
      </w:r>
      <w:r>
        <w:rPr>
          <w:lang w:val="fr-CA"/>
        </w:rPr>
        <w:t xml:space="preserve"> réunion. </w:t>
      </w:r>
    </w:p>
    <w:p w14:paraId="4124FA8D" w14:textId="417A2699" w:rsidR="00E66E4F" w:rsidRDefault="00E66E4F" w:rsidP="00E66E4F">
      <w:pPr>
        <w:pStyle w:val="Heading1"/>
        <w:rPr>
          <w:lang w:val="fr-CA"/>
        </w:rPr>
      </w:pPr>
      <w:r>
        <w:rPr>
          <w:lang w:val="fr-CA"/>
        </w:rPr>
        <w:t xml:space="preserve">Le Secrétariat prend note de l’annulation du projet de conversion chez Al </w:t>
      </w:r>
      <w:proofErr w:type="spellStart"/>
      <w:r>
        <w:rPr>
          <w:lang w:val="fr-CA"/>
        </w:rPr>
        <w:t>Najam</w:t>
      </w:r>
      <w:proofErr w:type="spellEnd"/>
      <w:r>
        <w:rPr>
          <w:lang w:val="fr-CA"/>
        </w:rPr>
        <w:t>, due à une situation imprévisible dans le pays, et des efforts de l’ONUDI pour récupérer les fonds approuvés, dans la mesure du possible, et recommande au Comité exécutif d’approuver l’annulation du projet, comme le demande le gouvernement</w:t>
      </w:r>
      <w:r w:rsidR="00615765">
        <w:rPr>
          <w:lang w:val="fr-CA"/>
        </w:rPr>
        <w:t xml:space="preserve"> du pays.</w:t>
      </w:r>
    </w:p>
    <w:p w14:paraId="09051705" w14:textId="315721A0" w:rsidR="00E66E4F" w:rsidRDefault="00E66E4F" w:rsidP="00E66E4F">
      <w:pPr>
        <w:rPr>
          <w:b/>
          <w:bCs/>
          <w:lang w:val="fr-CA"/>
        </w:rPr>
      </w:pPr>
      <w:r>
        <w:rPr>
          <w:b/>
          <w:bCs/>
          <w:lang w:val="fr-CA"/>
        </w:rPr>
        <w:t>Achèvement de la phase I du plan de gestion de l’élimination des HCFC</w:t>
      </w:r>
    </w:p>
    <w:p w14:paraId="1A38189E" w14:textId="77777777" w:rsidR="00E66E4F" w:rsidRDefault="00E66E4F" w:rsidP="00E66E4F">
      <w:pPr>
        <w:rPr>
          <w:b/>
          <w:bCs/>
          <w:lang w:val="fr-CA"/>
        </w:rPr>
      </w:pPr>
    </w:p>
    <w:p w14:paraId="48703821" w14:textId="515D5283" w:rsidR="00E66E4F" w:rsidRDefault="00E66E4F" w:rsidP="00E66E4F">
      <w:pPr>
        <w:pStyle w:val="Heading1"/>
        <w:rPr>
          <w:lang w:val="fr-CA"/>
        </w:rPr>
      </w:pPr>
      <w:r>
        <w:rPr>
          <w:lang w:val="fr-CA"/>
        </w:rPr>
        <w:t>L’ONUDI confirme que la phase I du PGEH pour la Libye sera achevée d’ici le 31 décembre 2023, selon la décision 91/14(b)(ii).</w:t>
      </w:r>
    </w:p>
    <w:p w14:paraId="2B6F98DC" w14:textId="3EA7D5F2" w:rsidR="00A229D0" w:rsidRDefault="00A229D0" w:rsidP="00A229D0">
      <w:pPr>
        <w:rPr>
          <w:b/>
          <w:bCs/>
          <w:lang w:val="fr-CA"/>
        </w:rPr>
      </w:pPr>
      <w:r>
        <w:rPr>
          <w:b/>
          <w:bCs/>
          <w:lang w:val="fr-CA"/>
        </w:rPr>
        <w:t>Recommandation</w:t>
      </w:r>
    </w:p>
    <w:p w14:paraId="4A00732D" w14:textId="77777777" w:rsidR="00A229D0" w:rsidRDefault="00A229D0" w:rsidP="00A229D0">
      <w:pPr>
        <w:rPr>
          <w:b/>
          <w:bCs/>
          <w:lang w:val="fr-CA"/>
        </w:rPr>
      </w:pPr>
    </w:p>
    <w:p w14:paraId="14B3353E" w14:textId="34085F98" w:rsidR="00A229D0" w:rsidRDefault="00A229D0" w:rsidP="00A229D0">
      <w:pPr>
        <w:pStyle w:val="Heading1"/>
        <w:rPr>
          <w:lang w:val="fr-CA"/>
        </w:rPr>
      </w:pPr>
      <w:r>
        <w:rPr>
          <w:lang w:val="fr-CA"/>
        </w:rPr>
        <w:t>Le Comité exécutif pourrait souhaiter :</w:t>
      </w:r>
    </w:p>
    <w:p w14:paraId="2B627C33" w14:textId="25FB8C15" w:rsidR="00A229D0" w:rsidRDefault="00A229D0" w:rsidP="00A229D0">
      <w:pPr>
        <w:pStyle w:val="Heading2"/>
        <w:rPr>
          <w:lang w:val="fr-CA"/>
        </w:rPr>
      </w:pPr>
      <w:r>
        <w:rPr>
          <w:lang w:val="fr-CA"/>
        </w:rPr>
        <w:t>Prendre note du rapport périodique final sur la mise en œuvre de la phase I du plan de gestion de l’élimination des HCFC (PGEH) pour la Libye, soumis par l’ONUDI et contenu dans le document UNEP/</w:t>
      </w:r>
      <w:proofErr w:type="spellStart"/>
      <w:r>
        <w:rPr>
          <w:lang w:val="fr-CA"/>
        </w:rPr>
        <w:t>OzL.Pro</w:t>
      </w:r>
      <w:proofErr w:type="spellEnd"/>
      <w:r>
        <w:rPr>
          <w:lang w:val="fr-CA"/>
        </w:rPr>
        <w:t>/ExCom93/21;</w:t>
      </w:r>
    </w:p>
    <w:p w14:paraId="4A77B55B" w14:textId="6CFCDA47" w:rsidR="00A229D0" w:rsidRDefault="00A229D0" w:rsidP="00A229D0">
      <w:pPr>
        <w:pStyle w:val="Heading2"/>
        <w:rPr>
          <w:lang w:val="fr-CA"/>
        </w:rPr>
      </w:pPr>
      <w:r>
        <w:rPr>
          <w:lang w:val="fr-CA"/>
        </w:rPr>
        <w:t xml:space="preserve">Annuler le projet de conversion de la fabrication de mousse chez Al </w:t>
      </w:r>
      <w:proofErr w:type="spellStart"/>
      <w:r>
        <w:rPr>
          <w:lang w:val="fr-CA"/>
        </w:rPr>
        <w:t>Najam</w:t>
      </w:r>
      <w:proofErr w:type="spellEnd"/>
      <w:r>
        <w:rPr>
          <w:lang w:val="fr-CA"/>
        </w:rPr>
        <w:t>, prévu dans le cadre de la phase I du PGEH; et</w:t>
      </w:r>
    </w:p>
    <w:p w14:paraId="55B75FF5" w14:textId="3919F229" w:rsidR="00A229D0" w:rsidRDefault="00A229D0" w:rsidP="00A229D0">
      <w:pPr>
        <w:pStyle w:val="Heading2"/>
        <w:rPr>
          <w:lang w:val="fr-CA"/>
        </w:rPr>
      </w:pPr>
      <w:r>
        <w:rPr>
          <w:lang w:val="fr-CA"/>
        </w:rPr>
        <w:t>Demander à l’ONUDI de restituer le solde du financement de la phase I du PGEH à la 94</w:t>
      </w:r>
      <w:r w:rsidRPr="00A229D0">
        <w:rPr>
          <w:vertAlign w:val="superscript"/>
          <w:lang w:val="fr-CA"/>
        </w:rPr>
        <w:t>e</w:t>
      </w:r>
      <w:r>
        <w:rPr>
          <w:lang w:val="fr-CA"/>
        </w:rPr>
        <w:t xml:space="preserve"> réunion.</w:t>
      </w:r>
    </w:p>
    <w:p w14:paraId="4E701E99" w14:textId="075078C6" w:rsidR="00A229D0" w:rsidRPr="00A229D0" w:rsidRDefault="00A229D0" w:rsidP="00A229D0">
      <w:pPr>
        <w:ind w:left="720"/>
        <w:rPr>
          <w:b/>
          <w:bCs/>
          <w:lang w:val="fr-CA"/>
        </w:rPr>
      </w:pPr>
      <w:r>
        <w:rPr>
          <w:b/>
          <w:bCs/>
          <w:u w:val="single"/>
          <w:lang w:val="fr-CA"/>
        </w:rPr>
        <w:t xml:space="preserve">Mauritanie : Plan de gestion de l’élimination des HCFC (phase I – </w:t>
      </w:r>
      <w:r w:rsidR="003B77C8">
        <w:rPr>
          <w:b/>
          <w:bCs/>
          <w:u w:val="single"/>
          <w:lang w:val="fr-CA"/>
        </w:rPr>
        <w:t>état de l’</w:t>
      </w:r>
      <w:r>
        <w:rPr>
          <w:b/>
          <w:bCs/>
          <w:u w:val="single"/>
          <w:lang w:val="fr-CA"/>
        </w:rPr>
        <w:t>examen du rapport d’</w:t>
      </w:r>
      <w:r w:rsidR="003B77C8">
        <w:rPr>
          <w:b/>
          <w:bCs/>
          <w:u w:val="single"/>
          <w:lang w:val="fr-CA"/>
        </w:rPr>
        <w:t>étude</w:t>
      </w:r>
      <w:r>
        <w:rPr>
          <w:b/>
          <w:bCs/>
          <w:u w:val="single"/>
          <w:lang w:val="fr-CA"/>
        </w:rPr>
        <w:t xml:space="preserve"> </w:t>
      </w:r>
      <w:r w:rsidR="00615765">
        <w:rPr>
          <w:b/>
          <w:bCs/>
          <w:u w:val="single"/>
          <w:lang w:val="fr-CA"/>
        </w:rPr>
        <w:t>sur l</w:t>
      </w:r>
      <w:r>
        <w:rPr>
          <w:b/>
          <w:bCs/>
          <w:u w:val="single"/>
          <w:lang w:val="fr-CA"/>
        </w:rPr>
        <w:t>es HCFC et recommandation</w:t>
      </w:r>
      <w:r w:rsidR="003B77C8">
        <w:rPr>
          <w:b/>
          <w:bCs/>
          <w:u w:val="single"/>
          <w:lang w:val="fr-CA"/>
        </w:rPr>
        <w:t>s</w:t>
      </w:r>
      <w:r>
        <w:rPr>
          <w:b/>
          <w:bCs/>
          <w:u w:val="single"/>
          <w:lang w:val="fr-CA"/>
        </w:rPr>
        <w:t xml:space="preserve"> </w:t>
      </w:r>
      <w:r w:rsidR="003B77C8">
        <w:rPr>
          <w:b/>
          <w:bCs/>
          <w:u w:val="single"/>
          <w:lang w:val="fr-CA"/>
        </w:rPr>
        <w:t>po</w:t>
      </w:r>
      <w:r>
        <w:rPr>
          <w:b/>
          <w:bCs/>
          <w:u w:val="single"/>
          <w:lang w:val="fr-CA"/>
        </w:rPr>
        <w:t xml:space="preserve">ur le point de départ révisé et l’Accord révisé </w:t>
      </w:r>
      <w:r>
        <w:rPr>
          <w:b/>
          <w:bCs/>
          <w:lang w:val="fr-CA"/>
        </w:rPr>
        <w:t>(PNUE)</w:t>
      </w:r>
    </w:p>
    <w:p w14:paraId="29AC8B61" w14:textId="77777777" w:rsidR="00E66E4F" w:rsidRDefault="00E66E4F" w:rsidP="00E66E4F">
      <w:pPr>
        <w:rPr>
          <w:u w:val="single"/>
          <w:lang w:val="fr-CA"/>
        </w:rPr>
      </w:pPr>
    </w:p>
    <w:p w14:paraId="7FD587CD" w14:textId="642DCF4F" w:rsidR="00A229D0" w:rsidRDefault="00A229D0" w:rsidP="00E66E4F">
      <w:pPr>
        <w:rPr>
          <w:b/>
          <w:bCs/>
          <w:lang w:val="fr-CA"/>
        </w:rPr>
      </w:pPr>
      <w:r>
        <w:rPr>
          <w:b/>
          <w:bCs/>
          <w:lang w:val="fr-CA"/>
        </w:rPr>
        <w:t>Contexte</w:t>
      </w:r>
    </w:p>
    <w:p w14:paraId="0B960DAF" w14:textId="77777777" w:rsidR="00A229D0" w:rsidRDefault="00A229D0" w:rsidP="00E66E4F">
      <w:pPr>
        <w:rPr>
          <w:b/>
          <w:bCs/>
          <w:lang w:val="fr-CA"/>
        </w:rPr>
      </w:pPr>
    </w:p>
    <w:p w14:paraId="51CD1DC6" w14:textId="34C03D31" w:rsidR="00A229D0" w:rsidRDefault="00A229D0" w:rsidP="00A229D0">
      <w:pPr>
        <w:pStyle w:val="Heading1"/>
        <w:rPr>
          <w:lang w:val="fr-CA"/>
        </w:rPr>
      </w:pPr>
      <w:r>
        <w:rPr>
          <w:lang w:val="fr-CA"/>
        </w:rPr>
        <w:t>La phase I du PGEH pour la Mauritanie a été approuvée à la 80</w:t>
      </w:r>
      <w:r w:rsidRPr="00A229D0">
        <w:rPr>
          <w:vertAlign w:val="superscript"/>
          <w:lang w:val="fr-CA"/>
        </w:rPr>
        <w:t>e</w:t>
      </w:r>
      <w:r>
        <w:rPr>
          <w:lang w:val="fr-CA"/>
        </w:rPr>
        <w:t xml:space="preserve"> réunion.  À l’époque, le pays communiquait sa consommation de HCFC en vertu de l’article 7 sur une base annuelle</w:t>
      </w:r>
      <w:r w:rsidR="003B77C8">
        <w:rPr>
          <w:lang w:val="fr-CA"/>
        </w:rPr>
        <w:t>,</w:t>
      </w:r>
      <w:r>
        <w:rPr>
          <w:lang w:val="fr-CA"/>
        </w:rPr>
        <w:t xml:space="preserve"> </w:t>
      </w:r>
      <w:r w:rsidR="00BF26B4">
        <w:rPr>
          <w:lang w:val="fr-CA"/>
        </w:rPr>
        <w:t>même si</w:t>
      </w:r>
      <w:r>
        <w:rPr>
          <w:lang w:val="fr-CA"/>
        </w:rPr>
        <w:t xml:space="preserve"> les données officielles sur les importations de HCFC </w:t>
      </w:r>
      <w:r w:rsidR="009271F5">
        <w:rPr>
          <w:lang w:val="fr-CA"/>
        </w:rPr>
        <w:t>ou les registres des importateurs ou d’autres sources n’étaient pas disponibles.  En 2007 et 2008, le gouvernement a déclaré une consommation de 1,4 et 5,5 tonnes PAO de HCFC, respectivement, qui a a</w:t>
      </w:r>
      <w:r w:rsidR="004332FF">
        <w:rPr>
          <w:lang w:val="fr-CA"/>
        </w:rPr>
        <w:t>tteint</w:t>
      </w:r>
      <w:r w:rsidR="009271F5">
        <w:rPr>
          <w:lang w:val="fr-CA"/>
        </w:rPr>
        <w:t xml:space="preserve"> 20,5 tonnes PAO en 2009-2010, montant </w:t>
      </w:r>
      <w:r w:rsidR="004332FF">
        <w:rPr>
          <w:lang w:val="fr-CA"/>
        </w:rPr>
        <w:t>à partir duquel</w:t>
      </w:r>
      <w:r w:rsidR="009271F5">
        <w:rPr>
          <w:lang w:val="fr-CA"/>
        </w:rPr>
        <w:t xml:space="preserve"> la valeur de </w:t>
      </w:r>
      <w:r w:rsidR="009271F5">
        <w:rPr>
          <w:lang w:val="fr-CA"/>
        </w:rPr>
        <w:lastRenderedPageBreak/>
        <w:t>référence pour la conformité</w:t>
      </w:r>
      <w:r w:rsidR="004332FF">
        <w:rPr>
          <w:lang w:val="fr-CA"/>
        </w:rPr>
        <w:t xml:space="preserve"> a</w:t>
      </w:r>
      <w:r w:rsidR="00615765">
        <w:rPr>
          <w:lang w:val="fr-CA"/>
        </w:rPr>
        <w:t>vait</w:t>
      </w:r>
      <w:r w:rsidR="004332FF">
        <w:rPr>
          <w:lang w:val="fr-CA"/>
        </w:rPr>
        <w:t xml:space="preserve"> été établie</w:t>
      </w:r>
      <w:r w:rsidR="009271F5">
        <w:rPr>
          <w:lang w:val="fr-CA"/>
        </w:rPr>
        <w:t xml:space="preserve">.  La phase I du PGEH pour la Mauritanie a été approuvée sur la base d’un point de départ </w:t>
      </w:r>
      <w:r w:rsidR="003B77C8">
        <w:rPr>
          <w:lang w:val="fr-CA"/>
        </w:rPr>
        <w:t>pour la</w:t>
      </w:r>
      <w:r w:rsidR="009271F5">
        <w:rPr>
          <w:lang w:val="fr-CA"/>
        </w:rPr>
        <w:t xml:space="preserve"> réduction globale de la consommation de HCFC </w:t>
      </w:r>
      <w:r w:rsidR="004332FF">
        <w:rPr>
          <w:lang w:val="fr-CA"/>
        </w:rPr>
        <w:t>estimé à</w:t>
      </w:r>
      <w:r w:rsidR="009271F5">
        <w:rPr>
          <w:lang w:val="fr-CA"/>
        </w:rPr>
        <w:t xml:space="preserve"> 6,60 tonnes PAO (120,00 tonnes métriques (</w:t>
      </w:r>
      <w:proofErr w:type="spellStart"/>
      <w:r w:rsidR="009271F5">
        <w:rPr>
          <w:lang w:val="fr-CA"/>
        </w:rPr>
        <w:t>tm</w:t>
      </w:r>
      <w:proofErr w:type="spellEnd"/>
      <w:r w:rsidR="009271F5">
        <w:rPr>
          <w:lang w:val="fr-CA"/>
        </w:rPr>
        <w:t>)), étant donné l’absence de données fiables sur la consommation de HCFC.</w:t>
      </w:r>
      <w:r w:rsidR="004332FF">
        <w:rPr>
          <w:lang w:val="fr-CA"/>
        </w:rPr>
        <w:t xml:space="preserve"> L’approbation a été donnée étant entendu, entre autres, qu’une </w:t>
      </w:r>
      <w:r w:rsidR="003B77C8">
        <w:rPr>
          <w:lang w:val="fr-CA"/>
        </w:rPr>
        <w:t>étude</w:t>
      </w:r>
      <w:r w:rsidR="004332FF">
        <w:rPr>
          <w:lang w:val="fr-CA"/>
        </w:rPr>
        <w:t xml:space="preserve"> exhaustive visant à é</w:t>
      </w:r>
      <w:r w:rsidR="00615765">
        <w:rPr>
          <w:lang w:val="fr-CA"/>
        </w:rPr>
        <w:t>valu</w:t>
      </w:r>
      <w:r w:rsidR="004332FF">
        <w:rPr>
          <w:lang w:val="fr-CA"/>
        </w:rPr>
        <w:t>er le niveau de consommation réel</w:t>
      </w:r>
      <w:r w:rsidR="007D3BF0">
        <w:rPr>
          <w:lang w:val="fr-CA"/>
        </w:rPr>
        <w:t>le</w:t>
      </w:r>
      <w:r w:rsidR="004332FF">
        <w:rPr>
          <w:lang w:val="fr-CA"/>
        </w:rPr>
        <w:t xml:space="preserve"> d</w:t>
      </w:r>
      <w:r w:rsidR="00615765">
        <w:rPr>
          <w:lang w:val="fr-CA"/>
        </w:rPr>
        <w:t>e HCFC de l</w:t>
      </w:r>
      <w:r w:rsidR="004332FF">
        <w:rPr>
          <w:lang w:val="fr-CA"/>
        </w:rPr>
        <w:t>a</w:t>
      </w:r>
      <w:r w:rsidR="00615765">
        <w:rPr>
          <w:lang w:val="fr-CA"/>
        </w:rPr>
        <w:t xml:space="preserve"> Maurita</w:t>
      </w:r>
      <w:r w:rsidR="004332FF">
        <w:rPr>
          <w:lang w:val="fr-CA"/>
        </w:rPr>
        <w:t>n</w:t>
      </w:r>
      <w:r w:rsidR="00615765">
        <w:rPr>
          <w:lang w:val="fr-CA"/>
        </w:rPr>
        <w:t>ie</w:t>
      </w:r>
      <w:r w:rsidR="004332FF">
        <w:rPr>
          <w:lang w:val="fr-CA"/>
        </w:rPr>
        <w:t xml:space="preserve"> sera </w:t>
      </w:r>
      <w:r w:rsidR="00615765">
        <w:rPr>
          <w:lang w:val="fr-CA"/>
        </w:rPr>
        <w:t>réalis</w:t>
      </w:r>
      <w:r w:rsidR="004332FF">
        <w:rPr>
          <w:lang w:val="fr-CA"/>
        </w:rPr>
        <w:t>ée et que les résultats obtenus feront l’objet d’une vérification indépendante avant la présentation et l’approbation de la deuxième tranche de financement; que le point de départ pourrait être révisé sur la base des résultats de l’</w:t>
      </w:r>
      <w:r w:rsidR="003B77C8">
        <w:rPr>
          <w:lang w:val="fr-CA"/>
        </w:rPr>
        <w:t>étud</w:t>
      </w:r>
      <w:r w:rsidR="004332FF">
        <w:rPr>
          <w:lang w:val="fr-CA"/>
        </w:rPr>
        <w:t xml:space="preserve">e et que la </w:t>
      </w:r>
      <w:r w:rsidR="00615765">
        <w:rPr>
          <w:lang w:val="fr-CA"/>
        </w:rPr>
        <w:t>disposition</w:t>
      </w:r>
      <w:r w:rsidR="004332FF">
        <w:rPr>
          <w:lang w:val="fr-CA"/>
        </w:rPr>
        <w:t xml:space="preserve"> </w:t>
      </w:r>
      <w:r w:rsidR="00615765">
        <w:rPr>
          <w:lang w:val="fr-CA"/>
        </w:rPr>
        <w:t>relative à la</w:t>
      </w:r>
      <w:r w:rsidR="004332FF">
        <w:rPr>
          <w:lang w:val="fr-CA"/>
        </w:rPr>
        <w:t xml:space="preserve"> réduction du financement en cas de non-conformité (Appendice 7-A de l’Accord) ne serait pas appliquée </w:t>
      </w:r>
      <w:r w:rsidR="00615765">
        <w:rPr>
          <w:lang w:val="fr-CA"/>
        </w:rPr>
        <w:t>au cas où</w:t>
      </w:r>
      <w:r w:rsidR="004332FF">
        <w:rPr>
          <w:lang w:val="fr-CA"/>
        </w:rPr>
        <w:t xml:space="preserve"> le niveau vérifié de consommation </w:t>
      </w:r>
      <w:r w:rsidR="00615765">
        <w:rPr>
          <w:lang w:val="fr-CA"/>
        </w:rPr>
        <w:t xml:space="preserve">de HCFC </w:t>
      </w:r>
      <w:r w:rsidR="007D3BF0">
        <w:rPr>
          <w:lang w:val="fr-CA"/>
        </w:rPr>
        <w:t>s</w:t>
      </w:r>
      <w:r w:rsidR="00615765">
        <w:rPr>
          <w:lang w:val="fr-CA"/>
        </w:rPr>
        <w:t>erai</w:t>
      </w:r>
      <w:r w:rsidR="007D3BF0">
        <w:rPr>
          <w:lang w:val="fr-CA"/>
        </w:rPr>
        <w:t>t supérieur au</w:t>
      </w:r>
      <w:r w:rsidR="004332FF">
        <w:rPr>
          <w:lang w:val="fr-CA"/>
        </w:rPr>
        <w:t xml:space="preserve"> point de départ estim</w:t>
      </w:r>
      <w:r w:rsidR="00615765">
        <w:rPr>
          <w:lang w:val="fr-CA"/>
        </w:rPr>
        <w:t>é</w:t>
      </w:r>
      <w:r w:rsidR="004332FF">
        <w:rPr>
          <w:lang w:val="fr-CA"/>
        </w:rPr>
        <w:t xml:space="preserve"> de 6,60 tonnes PAO</w:t>
      </w:r>
      <w:r w:rsidR="007D3BF0">
        <w:rPr>
          <w:lang w:val="fr-CA"/>
        </w:rPr>
        <w:t xml:space="preserve"> (décision 80/57).</w:t>
      </w:r>
    </w:p>
    <w:p w14:paraId="04DDD822" w14:textId="4BBAEC20" w:rsidR="007D3BF0" w:rsidRDefault="007D3BF0" w:rsidP="007D3BF0">
      <w:pPr>
        <w:pStyle w:val="Heading1"/>
        <w:rPr>
          <w:lang w:val="fr-CA"/>
        </w:rPr>
      </w:pPr>
      <w:r>
        <w:rPr>
          <w:lang w:val="fr-CA"/>
        </w:rPr>
        <w:t>À la 91</w:t>
      </w:r>
      <w:r w:rsidRPr="007D3BF0">
        <w:rPr>
          <w:vertAlign w:val="superscript"/>
          <w:lang w:val="fr-CA"/>
        </w:rPr>
        <w:t>e</w:t>
      </w:r>
      <w:r>
        <w:rPr>
          <w:lang w:val="fr-CA"/>
        </w:rPr>
        <w:t xml:space="preserve"> réunion, le PNUE a </w:t>
      </w:r>
      <w:r w:rsidR="008F7D10">
        <w:rPr>
          <w:lang w:val="fr-CA"/>
        </w:rPr>
        <w:t xml:space="preserve">présenté une </w:t>
      </w:r>
      <w:r>
        <w:rPr>
          <w:lang w:val="fr-CA"/>
        </w:rPr>
        <w:t>demand</w:t>
      </w:r>
      <w:r w:rsidR="008F7D10">
        <w:rPr>
          <w:lang w:val="fr-CA"/>
        </w:rPr>
        <w:t>e</w:t>
      </w:r>
      <w:r>
        <w:rPr>
          <w:lang w:val="fr-CA"/>
        </w:rPr>
        <w:t xml:space="preserve"> </w:t>
      </w:r>
      <w:r w:rsidR="008F7D10">
        <w:rPr>
          <w:lang w:val="fr-CA"/>
        </w:rPr>
        <w:t>de</w:t>
      </w:r>
      <w:r>
        <w:rPr>
          <w:lang w:val="fr-CA"/>
        </w:rPr>
        <w:t xml:space="preserve"> financement </w:t>
      </w:r>
      <w:r w:rsidR="008F7D10">
        <w:rPr>
          <w:lang w:val="fr-CA"/>
        </w:rPr>
        <w:t>pour</w:t>
      </w:r>
      <w:r>
        <w:rPr>
          <w:lang w:val="fr-CA"/>
        </w:rPr>
        <w:t xml:space="preserve"> la deuxième tranche, </w:t>
      </w:r>
      <w:r w:rsidR="008F7D10">
        <w:rPr>
          <w:lang w:val="fr-CA"/>
        </w:rPr>
        <w:t>accompagné</w:t>
      </w:r>
      <w:r>
        <w:rPr>
          <w:lang w:val="fr-CA"/>
        </w:rPr>
        <w:t>e</w:t>
      </w:r>
      <w:r w:rsidR="008F7D10">
        <w:rPr>
          <w:lang w:val="fr-CA"/>
        </w:rPr>
        <w:t xml:space="preserve"> de</w:t>
      </w:r>
      <w:r>
        <w:rPr>
          <w:lang w:val="fr-CA"/>
        </w:rPr>
        <w:t xml:space="preserve"> l’</w:t>
      </w:r>
      <w:r w:rsidR="008F7D10">
        <w:rPr>
          <w:lang w:val="fr-CA"/>
        </w:rPr>
        <w:t>étude</w:t>
      </w:r>
      <w:r>
        <w:rPr>
          <w:lang w:val="fr-CA"/>
        </w:rPr>
        <w:t xml:space="preserve"> sur les HCFC</w:t>
      </w:r>
      <w:r>
        <w:rPr>
          <w:rStyle w:val="FootnoteReference"/>
          <w:lang w:val="fr-CA"/>
        </w:rPr>
        <w:footnoteReference w:id="8"/>
      </w:r>
      <w:r>
        <w:rPr>
          <w:lang w:val="fr-CA"/>
        </w:rPr>
        <w:t xml:space="preserve"> et </w:t>
      </w:r>
      <w:r w:rsidR="008F7D10">
        <w:rPr>
          <w:lang w:val="fr-CA"/>
        </w:rPr>
        <w:t>d’</w:t>
      </w:r>
      <w:r>
        <w:rPr>
          <w:lang w:val="fr-CA"/>
        </w:rPr>
        <w:t>un rapport de vérification indépendante</w:t>
      </w:r>
      <w:r>
        <w:rPr>
          <w:rStyle w:val="FootnoteReference"/>
          <w:lang w:val="fr-CA"/>
        </w:rPr>
        <w:footnoteReference w:id="9"/>
      </w:r>
      <w:r w:rsidR="00502BEB">
        <w:rPr>
          <w:lang w:val="fr-CA"/>
        </w:rPr>
        <w:t xml:space="preserve">, pour </w:t>
      </w:r>
      <w:r>
        <w:rPr>
          <w:lang w:val="fr-CA"/>
        </w:rPr>
        <w:t>appu</w:t>
      </w:r>
      <w:r w:rsidR="00502BEB">
        <w:rPr>
          <w:lang w:val="fr-CA"/>
        </w:rPr>
        <w:t>yer</w:t>
      </w:r>
      <w:r>
        <w:rPr>
          <w:lang w:val="fr-CA"/>
        </w:rPr>
        <w:t xml:space="preserve"> la demande de révision du point de départ</w:t>
      </w:r>
      <w:r w:rsidR="00502BEB">
        <w:rPr>
          <w:lang w:val="fr-CA"/>
        </w:rPr>
        <w:t xml:space="preserve"> et</w:t>
      </w:r>
      <w:r w:rsidR="007D1D7E">
        <w:rPr>
          <w:lang w:val="fr-CA"/>
        </w:rPr>
        <w:t xml:space="preserve"> le ramener à 20,50 tonnes PAO (372 </w:t>
      </w:r>
      <w:proofErr w:type="spellStart"/>
      <w:r w:rsidR="007D1D7E">
        <w:rPr>
          <w:lang w:val="fr-CA"/>
        </w:rPr>
        <w:t>tm</w:t>
      </w:r>
      <w:proofErr w:type="spellEnd"/>
      <w:r w:rsidR="007D1D7E">
        <w:rPr>
          <w:lang w:val="fr-CA"/>
        </w:rPr>
        <w:t xml:space="preserve">).  Le Secrétariat et le PNUE ont discuté de plusieurs </w:t>
      </w:r>
      <w:r w:rsidR="00502BEB">
        <w:rPr>
          <w:lang w:val="fr-CA"/>
        </w:rPr>
        <w:t>points reliés</w:t>
      </w:r>
      <w:r w:rsidR="00E331B7">
        <w:rPr>
          <w:lang w:val="fr-CA"/>
        </w:rPr>
        <w:t xml:space="preserve"> </w:t>
      </w:r>
      <w:r w:rsidR="007D1D7E">
        <w:rPr>
          <w:lang w:val="fr-CA"/>
        </w:rPr>
        <w:t>aux résultats de l’</w:t>
      </w:r>
      <w:r w:rsidR="008F7D10">
        <w:rPr>
          <w:lang w:val="fr-CA"/>
        </w:rPr>
        <w:t>étude</w:t>
      </w:r>
      <w:r w:rsidR="007D1D7E">
        <w:rPr>
          <w:lang w:val="fr-CA"/>
        </w:rPr>
        <w:t>, notamment la consommation de HCFC per capita</w:t>
      </w:r>
      <w:r w:rsidR="008F7D10">
        <w:rPr>
          <w:lang w:val="fr-CA"/>
        </w:rPr>
        <w:t xml:space="preserve"> </w:t>
      </w:r>
      <w:r w:rsidR="007D1D7E">
        <w:rPr>
          <w:lang w:val="fr-CA"/>
        </w:rPr>
        <w:t>relativement élevée, par comparaison avec les pays voisins</w:t>
      </w:r>
      <w:r w:rsidR="008F7D10">
        <w:rPr>
          <w:lang w:val="fr-CA"/>
        </w:rPr>
        <w:t>;</w:t>
      </w:r>
      <w:r w:rsidR="007D1D7E">
        <w:rPr>
          <w:lang w:val="fr-CA"/>
        </w:rPr>
        <w:t xml:space="preserve"> la méthodologie utilisée pour déterminer le niveau global de la consommation dans différents sous-secteurs</w:t>
      </w:r>
      <w:r w:rsidR="008F7D10">
        <w:rPr>
          <w:lang w:val="fr-CA"/>
        </w:rPr>
        <w:t>;</w:t>
      </w:r>
      <w:r w:rsidR="007D1D7E">
        <w:rPr>
          <w:lang w:val="fr-CA"/>
        </w:rPr>
        <w:t xml:space="preserve"> les taux de fuites anormalement élevés</w:t>
      </w:r>
      <w:r w:rsidR="008F7D10">
        <w:rPr>
          <w:lang w:val="fr-CA"/>
        </w:rPr>
        <w:t>;</w:t>
      </w:r>
      <w:r w:rsidR="007D1D7E">
        <w:rPr>
          <w:lang w:val="fr-CA"/>
        </w:rPr>
        <w:t xml:space="preserve"> et des détails additionnels sur la consommation dans le secteur des pêches.  Prenant note que le PNUE a</w:t>
      </w:r>
      <w:r w:rsidR="008F7D10">
        <w:rPr>
          <w:lang w:val="fr-CA"/>
        </w:rPr>
        <w:t>ur</w:t>
      </w:r>
      <w:r w:rsidR="007D1D7E">
        <w:rPr>
          <w:lang w:val="fr-CA"/>
        </w:rPr>
        <w:t>ait besoin de plus de temps pour fournir</w:t>
      </w:r>
      <w:r w:rsidR="008F7D10">
        <w:rPr>
          <w:lang w:val="fr-CA"/>
        </w:rPr>
        <w:t xml:space="preserve"> toutes</w:t>
      </w:r>
      <w:r w:rsidR="007D1D7E">
        <w:rPr>
          <w:lang w:val="fr-CA"/>
        </w:rPr>
        <w:t xml:space="preserve"> les informations demandées, le Secrétariat a convenu avec le PNUE de finaliser la discussion sur la révision du point de départ sur la base des résultats de l’</w:t>
      </w:r>
      <w:r w:rsidR="008F7D10">
        <w:rPr>
          <w:lang w:val="fr-CA"/>
        </w:rPr>
        <w:t>étud</w:t>
      </w:r>
      <w:r w:rsidR="007D1D7E">
        <w:rPr>
          <w:lang w:val="fr-CA"/>
        </w:rPr>
        <w:t xml:space="preserve">e et de </w:t>
      </w:r>
      <w:r w:rsidR="00E331B7">
        <w:rPr>
          <w:lang w:val="fr-CA"/>
        </w:rPr>
        <w:t>présenter</w:t>
      </w:r>
      <w:r w:rsidR="007D1D7E">
        <w:rPr>
          <w:lang w:val="fr-CA"/>
        </w:rPr>
        <w:t xml:space="preserve"> une analyse</w:t>
      </w:r>
      <w:r w:rsidR="008F7D10">
        <w:rPr>
          <w:lang w:val="fr-CA"/>
        </w:rPr>
        <w:t>,</w:t>
      </w:r>
      <w:r w:rsidR="007D1D7E">
        <w:rPr>
          <w:lang w:val="fr-CA"/>
        </w:rPr>
        <w:t xml:space="preserve"> à la 92</w:t>
      </w:r>
      <w:r w:rsidR="007D1D7E" w:rsidRPr="007D1D7E">
        <w:rPr>
          <w:vertAlign w:val="superscript"/>
          <w:lang w:val="fr-CA"/>
        </w:rPr>
        <w:t>e</w:t>
      </w:r>
      <w:r w:rsidR="007D1D7E">
        <w:rPr>
          <w:lang w:val="fr-CA"/>
        </w:rPr>
        <w:t xml:space="preserve"> réunion. </w:t>
      </w:r>
      <w:r w:rsidR="00E331B7">
        <w:rPr>
          <w:lang w:val="fr-CA"/>
        </w:rPr>
        <w:t xml:space="preserve"> </w:t>
      </w:r>
      <w:r w:rsidR="007D1D7E">
        <w:rPr>
          <w:lang w:val="fr-CA"/>
        </w:rPr>
        <w:t>Par conséquent, le Comité exécutif a pris note</w:t>
      </w:r>
      <w:r w:rsidR="007D1D7E">
        <w:rPr>
          <w:rStyle w:val="FootnoteReference"/>
          <w:lang w:val="fr-CA"/>
        </w:rPr>
        <w:footnoteReference w:id="10"/>
      </w:r>
      <w:r w:rsidR="00B37379">
        <w:rPr>
          <w:lang w:val="fr-CA"/>
        </w:rPr>
        <w:t xml:space="preserve"> que le Secrétariat présenterait</w:t>
      </w:r>
      <w:r w:rsidR="00502BEB">
        <w:rPr>
          <w:lang w:val="fr-CA"/>
        </w:rPr>
        <w:t xml:space="preserve"> </w:t>
      </w:r>
      <w:r w:rsidR="00B37379">
        <w:rPr>
          <w:lang w:val="fr-CA"/>
        </w:rPr>
        <w:t>l’examen du rapport de l’</w:t>
      </w:r>
      <w:r w:rsidR="008F7D10">
        <w:rPr>
          <w:lang w:val="fr-CA"/>
        </w:rPr>
        <w:t>étud</w:t>
      </w:r>
      <w:r w:rsidR="00B37379">
        <w:rPr>
          <w:lang w:val="fr-CA"/>
        </w:rPr>
        <w:t xml:space="preserve">e sur les </w:t>
      </w:r>
      <w:r w:rsidR="007D1D7E">
        <w:rPr>
          <w:lang w:val="fr-CA"/>
        </w:rPr>
        <w:t>HCFC</w:t>
      </w:r>
      <w:r w:rsidR="00B37379">
        <w:rPr>
          <w:lang w:val="fr-CA"/>
        </w:rPr>
        <w:t xml:space="preserve"> pour la Mauritanie</w:t>
      </w:r>
      <w:r w:rsidR="00502BEB">
        <w:rPr>
          <w:lang w:val="fr-CA"/>
        </w:rPr>
        <w:t xml:space="preserve"> à la 92</w:t>
      </w:r>
      <w:r w:rsidR="00502BEB" w:rsidRPr="00B37379">
        <w:rPr>
          <w:vertAlign w:val="superscript"/>
          <w:lang w:val="fr-CA"/>
        </w:rPr>
        <w:t>e</w:t>
      </w:r>
      <w:r w:rsidR="00502BEB">
        <w:rPr>
          <w:lang w:val="fr-CA"/>
        </w:rPr>
        <w:t xml:space="preserve"> réunion</w:t>
      </w:r>
      <w:r w:rsidR="00B37379">
        <w:rPr>
          <w:lang w:val="fr-CA"/>
        </w:rPr>
        <w:t xml:space="preserve">, </w:t>
      </w:r>
      <w:r w:rsidR="008F7D10">
        <w:rPr>
          <w:lang w:val="fr-CA"/>
        </w:rPr>
        <w:t>après</w:t>
      </w:r>
      <w:r w:rsidR="00B37379">
        <w:rPr>
          <w:lang w:val="fr-CA"/>
        </w:rPr>
        <w:t xml:space="preserve"> plus amples consultations avec le PNUE </w:t>
      </w:r>
      <w:r w:rsidR="008F7D10">
        <w:rPr>
          <w:lang w:val="fr-CA"/>
        </w:rPr>
        <w:t xml:space="preserve">sur </w:t>
      </w:r>
      <w:r w:rsidR="00E331B7">
        <w:rPr>
          <w:lang w:val="fr-CA"/>
        </w:rPr>
        <w:t>l’</w:t>
      </w:r>
      <w:r w:rsidR="008F7D10">
        <w:rPr>
          <w:lang w:val="fr-CA"/>
        </w:rPr>
        <w:t>étud</w:t>
      </w:r>
      <w:r w:rsidR="00E331B7">
        <w:rPr>
          <w:lang w:val="fr-CA"/>
        </w:rPr>
        <w:t>e</w:t>
      </w:r>
      <w:r w:rsidR="00B37379">
        <w:rPr>
          <w:lang w:val="fr-CA"/>
        </w:rPr>
        <w:t xml:space="preserve"> soumis</w:t>
      </w:r>
      <w:r w:rsidR="00E331B7">
        <w:rPr>
          <w:lang w:val="fr-CA"/>
        </w:rPr>
        <w:t>e</w:t>
      </w:r>
      <w:r w:rsidR="00B37379">
        <w:rPr>
          <w:lang w:val="fr-CA"/>
        </w:rPr>
        <w:t xml:space="preserve"> à la 91</w:t>
      </w:r>
      <w:r w:rsidR="00B37379" w:rsidRPr="00B37379">
        <w:rPr>
          <w:vertAlign w:val="superscript"/>
          <w:lang w:val="fr-CA"/>
        </w:rPr>
        <w:t>e</w:t>
      </w:r>
      <w:r w:rsidR="00B37379">
        <w:rPr>
          <w:lang w:val="fr-CA"/>
        </w:rPr>
        <w:t xml:space="preserve"> réunion.</w:t>
      </w:r>
    </w:p>
    <w:p w14:paraId="2D293E8B" w14:textId="6B603D37" w:rsidR="00FB2C22" w:rsidRDefault="00B37379" w:rsidP="004D130F">
      <w:pPr>
        <w:pStyle w:val="Heading1"/>
        <w:rPr>
          <w:lang w:val="fr-CA"/>
        </w:rPr>
      </w:pPr>
      <w:r w:rsidRPr="00E331B7">
        <w:rPr>
          <w:lang w:val="fr-CA"/>
        </w:rPr>
        <w:t>À la 92</w:t>
      </w:r>
      <w:r w:rsidRPr="00E331B7">
        <w:rPr>
          <w:vertAlign w:val="superscript"/>
          <w:lang w:val="fr-CA"/>
        </w:rPr>
        <w:t>e</w:t>
      </w:r>
      <w:r w:rsidRPr="00E331B7">
        <w:rPr>
          <w:lang w:val="fr-CA"/>
        </w:rPr>
        <w:t xml:space="preserve"> réunion, le Secrétariat a pris note </w:t>
      </w:r>
      <w:r w:rsidR="00E331B7" w:rsidRPr="00E331B7">
        <w:rPr>
          <w:lang w:val="fr-CA"/>
        </w:rPr>
        <w:t>que l</w:t>
      </w:r>
      <w:r w:rsidRPr="00E331B7">
        <w:rPr>
          <w:lang w:val="fr-CA"/>
        </w:rPr>
        <w:t>es</w:t>
      </w:r>
      <w:r w:rsidR="00FB2C22">
        <w:rPr>
          <w:lang w:val="fr-CA"/>
        </w:rPr>
        <w:t xml:space="preserve"> </w:t>
      </w:r>
      <w:r w:rsidRPr="00E331B7">
        <w:rPr>
          <w:lang w:val="fr-CA"/>
        </w:rPr>
        <w:t xml:space="preserve">données supplémentaires fournies </w:t>
      </w:r>
      <w:r w:rsidR="00FB2C22">
        <w:rPr>
          <w:lang w:val="fr-CA"/>
        </w:rPr>
        <w:t xml:space="preserve">par le PNUE </w:t>
      </w:r>
      <w:r w:rsidR="00E331B7">
        <w:rPr>
          <w:lang w:val="fr-CA"/>
        </w:rPr>
        <w:t>ne permettaient pas</w:t>
      </w:r>
      <w:r w:rsidR="00FB2C22">
        <w:rPr>
          <w:lang w:val="fr-CA"/>
        </w:rPr>
        <w:t xml:space="preserve"> une conclusion sur la meilleure estimation de la consommation de HCFC du pays et convenu avec le PNUE que le gouvernement de la Mauritanie, avec le soutien du PNUE, poursuivrait l’analyse des données socio-économiques pour justifier l’utilisation de HCFC dans le pays.  Par conséquent, le Comité exécutif a, entre autres, pris note que le Secrétariat présentera à la 93</w:t>
      </w:r>
      <w:r w:rsidR="00FB2C22" w:rsidRPr="00FB2C22">
        <w:rPr>
          <w:vertAlign w:val="superscript"/>
          <w:lang w:val="fr-CA"/>
        </w:rPr>
        <w:t>e</w:t>
      </w:r>
      <w:r w:rsidR="00FB2C22">
        <w:rPr>
          <w:lang w:val="fr-CA"/>
        </w:rPr>
        <w:t xml:space="preserve"> réunion un examen du rapport de l’</w:t>
      </w:r>
      <w:r w:rsidR="008F7D10">
        <w:rPr>
          <w:lang w:val="fr-CA"/>
        </w:rPr>
        <w:t>étude</w:t>
      </w:r>
      <w:r w:rsidR="00FB2C22">
        <w:rPr>
          <w:lang w:val="fr-CA"/>
        </w:rPr>
        <w:t xml:space="preserve">, comprenant les informations complémentaires sur le nombre d’équipements et l’utilisation des HCFC </w:t>
      </w:r>
      <w:r w:rsidR="00A93453">
        <w:rPr>
          <w:lang w:val="fr-CA"/>
        </w:rPr>
        <w:t>dans</w:t>
      </w:r>
      <w:r w:rsidR="00FB2C22">
        <w:rPr>
          <w:lang w:val="fr-CA"/>
        </w:rPr>
        <w:t xml:space="preserve"> chaque sous-secteur durant les années couvertes par l’</w:t>
      </w:r>
      <w:r w:rsidR="00502BEB">
        <w:rPr>
          <w:lang w:val="fr-CA"/>
        </w:rPr>
        <w:t>étud</w:t>
      </w:r>
      <w:r w:rsidR="00FB2C22">
        <w:rPr>
          <w:lang w:val="fr-CA"/>
        </w:rPr>
        <w:t xml:space="preserve">e; une recommandation sur le point de départ révisé pour les réductions </w:t>
      </w:r>
      <w:r w:rsidR="00502BEB">
        <w:rPr>
          <w:lang w:val="fr-CA"/>
        </w:rPr>
        <w:t>global</w:t>
      </w:r>
      <w:r w:rsidR="00FB2C22">
        <w:rPr>
          <w:lang w:val="fr-CA"/>
        </w:rPr>
        <w:t>es de la consommation de HCFC, et un Accord révisé pour la phase I du PGEH entre le gouvernement de la Mauritanie et le Comité exécutif</w:t>
      </w:r>
      <w:r w:rsidR="00FB2C22">
        <w:rPr>
          <w:rStyle w:val="FootnoteReference"/>
          <w:lang w:val="fr-CA"/>
        </w:rPr>
        <w:footnoteReference w:id="11"/>
      </w:r>
      <w:r w:rsidR="00FB2C22">
        <w:rPr>
          <w:lang w:val="fr-CA"/>
        </w:rPr>
        <w:t>.</w:t>
      </w:r>
    </w:p>
    <w:p w14:paraId="204BD92D" w14:textId="3C456BB8" w:rsidR="00FB2C22" w:rsidRDefault="00CA14A0" w:rsidP="00FB2C22">
      <w:pPr>
        <w:rPr>
          <w:b/>
          <w:bCs/>
          <w:lang w:val="fr-CA"/>
        </w:rPr>
      </w:pPr>
      <w:r>
        <w:rPr>
          <w:b/>
          <w:bCs/>
          <w:lang w:val="fr-CA"/>
        </w:rPr>
        <w:t>Consommation de HCFC</w:t>
      </w:r>
    </w:p>
    <w:p w14:paraId="5F95134C" w14:textId="77777777" w:rsidR="00CA14A0" w:rsidRPr="00CA14A0" w:rsidRDefault="00CA14A0" w:rsidP="00FB2C22">
      <w:pPr>
        <w:rPr>
          <w:b/>
          <w:bCs/>
          <w:lang w:val="fr-CA"/>
        </w:rPr>
      </w:pPr>
    </w:p>
    <w:p w14:paraId="16ECBB45" w14:textId="77777777" w:rsidR="00DD15FB" w:rsidRPr="00DD15FB" w:rsidRDefault="00CA14A0" w:rsidP="004D130F">
      <w:pPr>
        <w:pStyle w:val="Heading1"/>
        <w:rPr>
          <w:u w:val="single"/>
          <w:lang w:val="fr-CA"/>
        </w:rPr>
      </w:pPr>
      <w:r>
        <w:rPr>
          <w:lang w:val="fr-CA"/>
        </w:rPr>
        <w:t>La Mauritanie consomme des HCFC pour l’entretien de l’équipement de réfrigération et de climatisation (RAC) uniquement et le HCFC-22 est le seul HCFC consommé dans le pays.  Le tableau 2 présente la consommation de HCFC déclarée en vertu de l’article 7, entre 2016 et 2022.</w:t>
      </w:r>
    </w:p>
    <w:p w14:paraId="12D8FEA4" w14:textId="6106F502" w:rsidR="00DD15FB" w:rsidRPr="00DD15FB" w:rsidRDefault="00DD15FB" w:rsidP="00DD15FB">
      <w:pPr>
        <w:keepNext/>
        <w:rPr>
          <w:b/>
          <w:lang w:val="fr-CA"/>
        </w:rPr>
      </w:pPr>
      <w:r w:rsidRPr="00DD15FB">
        <w:rPr>
          <w:b/>
          <w:lang w:val="fr-CA"/>
        </w:rPr>
        <w:t xml:space="preserve">Tableau 2. Consommation de HCFC </w:t>
      </w:r>
      <w:r>
        <w:rPr>
          <w:b/>
          <w:lang w:val="fr-CA"/>
        </w:rPr>
        <w:t>e</w:t>
      </w:r>
      <w:r w:rsidRPr="00DD15FB">
        <w:rPr>
          <w:b/>
          <w:lang w:val="fr-CA"/>
        </w:rPr>
        <w:t>n Mauritani</w:t>
      </w:r>
      <w:r>
        <w:rPr>
          <w:b/>
          <w:lang w:val="fr-CA"/>
        </w:rPr>
        <w:t>e</w:t>
      </w:r>
      <w:r w:rsidRPr="00DD15FB">
        <w:rPr>
          <w:b/>
          <w:lang w:val="fr-CA"/>
        </w:rPr>
        <w:t xml:space="preserve"> (</w:t>
      </w:r>
      <w:r>
        <w:rPr>
          <w:b/>
          <w:lang w:val="fr-CA"/>
        </w:rPr>
        <w:t xml:space="preserve">Données de l’article 7 pour </w:t>
      </w:r>
      <w:r w:rsidRPr="00DD15FB">
        <w:rPr>
          <w:b/>
          <w:lang w:val="fr-CA"/>
        </w:rPr>
        <w:t>2016-</w:t>
      </w:r>
      <w:r>
        <w:rPr>
          <w:b/>
          <w:lang w:val="fr-CA"/>
        </w:rPr>
        <w:t>2022</w:t>
      </w:r>
      <w:r w:rsidRPr="00DD15FB">
        <w:rPr>
          <w:b/>
          <w:lang w:val="fr-CA"/>
        </w:rPr>
        <w:t>)</w:t>
      </w:r>
    </w:p>
    <w:tbl>
      <w:tblPr>
        <w:tblW w:w="5000" w:type="pct"/>
        <w:tblLook w:val="04A0" w:firstRow="1" w:lastRow="0" w:firstColumn="1" w:lastColumn="0" w:noHBand="0" w:noVBand="1"/>
      </w:tblPr>
      <w:tblGrid>
        <w:gridCol w:w="1908"/>
        <w:gridCol w:w="907"/>
        <w:gridCol w:w="907"/>
        <w:gridCol w:w="911"/>
        <w:gridCol w:w="912"/>
        <w:gridCol w:w="910"/>
        <w:gridCol w:w="912"/>
        <w:gridCol w:w="912"/>
        <w:gridCol w:w="1071"/>
      </w:tblGrid>
      <w:tr w:rsidR="00DD15FB" w:rsidRPr="00633EFC" w14:paraId="3E94E06F" w14:textId="77777777" w:rsidTr="008C3816">
        <w:trPr>
          <w:trHeight w:val="248"/>
          <w:tblHeader/>
        </w:trPr>
        <w:tc>
          <w:tcPr>
            <w:tcW w:w="9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AD9260" w14:textId="77777777" w:rsidR="00DD15FB" w:rsidRPr="00633EFC" w:rsidRDefault="00DD15FB" w:rsidP="008C3816">
            <w:pPr>
              <w:jc w:val="left"/>
              <w:rPr>
                <w:b/>
                <w:bCs/>
                <w:sz w:val="20"/>
                <w:szCs w:val="20"/>
              </w:rPr>
            </w:pPr>
            <w:r w:rsidRPr="00633EFC">
              <w:rPr>
                <w:b/>
                <w:bCs/>
                <w:sz w:val="20"/>
                <w:szCs w:val="20"/>
              </w:rPr>
              <w:t>HCFC-22</w:t>
            </w:r>
          </w:p>
        </w:tc>
        <w:tc>
          <w:tcPr>
            <w:tcW w:w="506" w:type="pct"/>
            <w:tcBorders>
              <w:top w:val="single" w:sz="4" w:space="0" w:color="auto"/>
              <w:left w:val="nil"/>
              <w:bottom w:val="single" w:sz="4" w:space="0" w:color="auto"/>
              <w:right w:val="single" w:sz="4" w:space="0" w:color="auto"/>
            </w:tcBorders>
          </w:tcPr>
          <w:p w14:paraId="02D53A94" w14:textId="77777777" w:rsidR="00DD15FB" w:rsidRPr="00633EFC" w:rsidRDefault="00DD15FB" w:rsidP="008C3816">
            <w:pPr>
              <w:jc w:val="center"/>
              <w:rPr>
                <w:b/>
                <w:bCs/>
                <w:sz w:val="20"/>
                <w:szCs w:val="20"/>
              </w:rPr>
            </w:pPr>
            <w:r w:rsidRPr="00633EFC">
              <w:rPr>
                <w:b/>
                <w:bCs/>
                <w:sz w:val="20"/>
                <w:szCs w:val="20"/>
              </w:rPr>
              <w:t>2016</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5011A" w14:textId="77777777" w:rsidR="00DD15FB" w:rsidRPr="00633EFC" w:rsidRDefault="00DD15FB" w:rsidP="008C3816">
            <w:pPr>
              <w:jc w:val="center"/>
              <w:rPr>
                <w:b/>
                <w:bCs/>
                <w:sz w:val="20"/>
                <w:szCs w:val="20"/>
              </w:rPr>
            </w:pPr>
            <w:r w:rsidRPr="00633EFC">
              <w:rPr>
                <w:b/>
                <w:bCs/>
                <w:sz w:val="20"/>
                <w:szCs w:val="20"/>
              </w:rPr>
              <w:t>2017</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11782B47" w14:textId="77777777" w:rsidR="00DD15FB" w:rsidRPr="00633EFC" w:rsidRDefault="00DD15FB" w:rsidP="008C3816">
            <w:pPr>
              <w:jc w:val="center"/>
              <w:rPr>
                <w:b/>
                <w:bCs/>
                <w:sz w:val="20"/>
                <w:szCs w:val="20"/>
              </w:rPr>
            </w:pPr>
            <w:r w:rsidRPr="00633EFC">
              <w:rPr>
                <w:b/>
                <w:bCs/>
                <w:sz w:val="20"/>
                <w:szCs w:val="20"/>
              </w:rPr>
              <w:t>2018</w:t>
            </w:r>
          </w:p>
        </w:tc>
        <w:tc>
          <w:tcPr>
            <w:tcW w:w="508" w:type="pct"/>
            <w:tcBorders>
              <w:top w:val="single" w:sz="4" w:space="0" w:color="auto"/>
              <w:left w:val="nil"/>
              <w:bottom w:val="single" w:sz="4" w:space="0" w:color="auto"/>
              <w:right w:val="single" w:sz="4" w:space="0" w:color="auto"/>
            </w:tcBorders>
          </w:tcPr>
          <w:p w14:paraId="4A20EB54" w14:textId="77777777" w:rsidR="00DD15FB" w:rsidRPr="00633EFC" w:rsidRDefault="00DD15FB" w:rsidP="008C3816">
            <w:pPr>
              <w:jc w:val="center"/>
              <w:rPr>
                <w:b/>
                <w:bCs/>
                <w:sz w:val="20"/>
                <w:szCs w:val="20"/>
              </w:rPr>
            </w:pPr>
            <w:r w:rsidRPr="00633EFC">
              <w:rPr>
                <w:b/>
                <w:bCs/>
                <w:sz w:val="20"/>
                <w:szCs w:val="20"/>
              </w:rPr>
              <w:t>2019</w:t>
            </w:r>
          </w:p>
        </w:tc>
        <w:tc>
          <w:tcPr>
            <w:tcW w:w="507" w:type="pct"/>
            <w:tcBorders>
              <w:top w:val="single" w:sz="4" w:space="0" w:color="auto"/>
              <w:left w:val="single" w:sz="4" w:space="0" w:color="auto"/>
              <w:bottom w:val="single" w:sz="4" w:space="0" w:color="auto"/>
              <w:right w:val="single" w:sz="4" w:space="0" w:color="auto"/>
            </w:tcBorders>
          </w:tcPr>
          <w:p w14:paraId="6BF0D99E" w14:textId="77777777" w:rsidR="00DD15FB" w:rsidRPr="00633EFC" w:rsidRDefault="00DD15FB" w:rsidP="008C3816">
            <w:pPr>
              <w:jc w:val="center"/>
              <w:rPr>
                <w:b/>
                <w:bCs/>
                <w:sz w:val="20"/>
                <w:szCs w:val="20"/>
              </w:rPr>
            </w:pPr>
            <w:r w:rsidRPr="00633EFC">
              <w:rPr>
                <w:b/>
                <w:bCs/>
                <w:sz w:val="20"/>
                <w:szCs w:val="20"/>
              </w:rPr>
              <w:t>2020</w:t>
            </w:r>
          </w:p>
        </w:tc>
        <w:tc>
          <w:tcPr>
            <w:tcW w:w="508" w:type="pct"/>
            <w:tcBorders>
              <w:top w:val="single" w:sz="4" w:space="0" w:color="auto"/>
              <w:left w:val="single" w:sz="4" w:space="0" w:color="auto"/>
              <w:bottom w:val="single" w:sz="4" w:space="0" w:color="auto"/>
              <w:right w:val="single" w:sz="4" w:space="0" w:color="auto"/>
            </w:tcBorders>
          </w:tcPr>
          <w:p w14:paraId="11D97604" w14:textId="77777777" w:rsidR="00DD15FB" w:rsidRPr="00633EFC" w:rsidRDefault="00DD15FB" w:rsidP="008C3816">
            <w:pPr>
              <w:jc w:val="center"/>
              <w:rPr>
                <w:b/>
                <w:bCs/>
                <w:sz w:val="20"/>
                <w:szCs w:val="20"/>
              </w:rPr>
            </w:pPr>
            <w:r w:rsidRPr="00633EFC">
              <w:rPr>
                <w:b/>
                <w:bCs/>
                <w:sz w:val="20"/>
                <w:szCs w:val="20"/>
              </w:rPr>
              <w:t>2021</w:t>
            </w:r>
          </w:p>
        </w:tc>
        <w:tc>
          <w:tcPr>
            <w:tcW w:w="508" w:type="pct"/>
            <w:tcBorders>
              <w:top w:val="single" w:sz="4" w:space="0" w:color="auto"/>
              <w:left w:val="single" w:sz="4" w:space="0" w:color="auto"/>
              <w:bottom w:val="single" w:sz="4" w:space="0" w:color="auto"/>
              <w:right w:val="single" w:sz="4" w:space="0" w:color="auto"/>
            </w:tcBorders>
          </w:tcPr>
          <w:p w14:paraId="5E91356B" w14:textId="77777777" w:rsidR="00DD15FB" w:rsidRPr="00633EFC" w:rsidRDefault="00DD15FB" w:rsidP="008C3816">
            <w:pPr>
              <w:jc w:val="center"/>
              <w:rPr>
                <w:b/>
                <w:bCs/>
                <w:sz w:val="20"/>
                <w:szCs w:val="20"/>
              </w:rPr>
            </w:pPr>
            <w:r w:rsidRPr="00633EFC">
              <w:rPr>
                <w:b/>
                <w:bCs/>
                <w:sz w:val="20"/>
                <w:szCs w:val="20"/>
              </w:rPr>
              <w:t>2022</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B2C08" w14:textId="3CEAB0B6" w:rsidR="00DD15FB" w:rsidRPr="00633EFC" w:rsidRDefault="00DD15FB" w:rsidP="008C3816">
            <w:pPr>
              <w:jc w:val="center"/>
              <w:rPr>
                <w:b/>
                <w:bCs/>
                <w:sz w:val="20"/>
                <w:szCs w:val="20"/>
              </w:rPr>
            </w:pPr>
            <w:proofErr w:type="spellStart"/>
            <w:r>
              <w:rPr>
                <w:b/>
                <w:bCs/>
                <w:sz w:val="20"/>
                <w:szCs w:val="20"/>
              </w:rPr>
              <w:t>Référenc</w:t>
            </w:r>
            <w:r w:rsidRPr="00633EFC">
              <w:rPr>
                <w:b/>
                <w:bCs/>
                <w:sz w:val="20"/>
                <w:szCs w:val="20"/>
              </w:rPr>
              <w:t>e</w:t>
            </w:r>
            <w:proofErr w:type="spellEnd"/>
          </w:p>
        </w:tc>
      </w:tr>
      <w:tr w:rsidR="00DD15FB" w:rsidRPr="00633EFC" w14:paraId="66D7A409" w14:textId="77777777" w:rsidTr="008C3816">
        <w:trPr>
          <w:trHeight w:val="240"/>
        </w:trPr>
        <w:tc>
          <w:tcPr>
            <w:tcW w:w="9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72DEA2" w14:textId="7372596E" w:rsidR="00DD15FB" w:rsidRPr="00DD15FB" w:rsidRDefault="00DD15FB" w:rsidP="008C3816">
            <w:pPr>
              <w:jc w:val="left"/>
              <w:rPr>
                <w:bCs/>
                <w:sz w:val="20"/>
                <w:szCs w:val="20"/>
                <w:lang w:val="fr-CA"/>
              </w:rPr>
            </w:pPr>
            <w:r w:rsidRPr="00DD15FB">
              <w:rPr>
                <w:bCs/>
                <w:sz w:val="20"/>
                <w:szCs w:val="20"/>
                <w:lang w:val="fr-CA"/>
              </w:rPr>
              <w:t>Tonnes métriques (</w:t>
            </w:r>
            <w:proofErr w:type="spellStart"/>
            <w:r w:rsidRPr="00DD15FB">
              <w:rPr>
                <w:bCs/>
                <w:sz w:val="20"/>
                <w:szCs w:val="20"/>
                <w:lang w:val="fr-CA"/>
              </w:rPr>
              <w:t>tm</w:t>
            </w:r>
            <w:proofErr w:type="spellEnd"/>
            <w:r w:rsidRPr="00DD15FB">
              <w:rPr>
                <w:bCs/>
                <w:sz w:val="20"/>
                <w:szCs w:val="20"/>
                <w:lang w:val="fr-CA"/>
              </w:rPr>
              <w:t xml:space="preserve">) </w:t>
            </w:r>
          </w:p>
        </w:tc>
        <w:tc>
          <w:tcPr>
            <w:tcW w:w="506" w:type="pct"/>
            <w:tcBorders>
              <w:top w:val="single" w:sz="4" w:space="0" w:color="auto"/>
              <w:left w:val="nil"/>
              <w:bottom w:val="single" w:sz="4" w:space="0" w:color="auto"/>
              <w:right w:val="single" w:sz="4" w:space="0" w:color="auto"/>
            </w:tcBorders>
          </w:tcPr>
          <w:p w14:paraId="01D3E4AB" w14:textId="2E1F74E5" w:rsidR="00DD15FB" w:rsidRPr="00633EFC" w:rsidRDefault="00DD15FB" w:rsidP="008C3816">
            <w:pPr>
              <w:jc w:val="right"/>
              <w:rPr>
                <w:sz w:val="20"/>
                <w:szCs w:val="20"/>
              </w:rPr>
            </w:pPr>
            <w:r w:rsidRPr="00633EFC">
              <w:rPr>
                <w:color w:val="000000"/>
                <w:sz w:val="20"/>
                <w:szCs w:val="20"/>
              </w:rPr>
              <w:t>330</w:t>
            </w:r>
            <w:r>
              <w:rPr>
                <w:color w:val="000000"/>
                <w:sz w:val="20"/>
                <w:szCs w:val="20"/>
              </w:rPr>
              <w:t>,</w:t>
            </w:r>
            <w:r w:rsidRPr="00633EFC">
              <w:rPr>
                <w:color w:val="000000"/>
                <w:sz w:val="20"/>
                <w:szCs w:val="20"/>
              </w:rPr>
              <w:t>00</w:t>
            </w:r>
          </w:p>
        </w:tc>
        <w:tc>
          <w:tcPr>
            <w:tcW w:w="506" w:type="pct"/>
            <w:tcBorders>
              <w:top w:val="nil"/>
              <w:left w:val="single" w:sz="4" w:space="0" w:color="auto"/>
              <w:bottom w:val="single" w:sz="4" w:space="0" w:color="auto"/>
              <w:right w:val="single" w:sz="4" w:space="0" w:color="auto"/>
            </w:tcBorders>
            <w:shd w:val="clear" w:color="auto" w:fill="auto"/>
            <w:noWrap/>
            <w:vAlign w:val="bottom"/>
          </w:tcPr>
          <w:p w14:paraId="38F81251" w14:textId="7C0C074C" w:rsidR="00DD15FB" w:rsidRPr="00633EFC" w:rsidRDefault="00DD15FB" w:rsidP="008C3816">
            <w:pPr>
              <w:jc w:val="right"/>
              <w:rPr>
                <w:sz w:val="20"/>
                <w:szCs w:val="20"/>
              </w:rPr>
            </w:pPr>
            <w:r w:rsidRPr="00633EFC">
              <w:rPr>
                <w:sz w:val="20"/>
                <w:szCs w:val="20"/>
              </w:rPr>
              <w:t>287</w:t>
            </w:r>
            <w:r>
              <w:rPr>
                <w:sz w:val="20"/>
                <w:szCs w:val="20"/>
              </w:rPr>
              <w:t>,</w:t>
            </w:r>
            <w:r w:rsidRPr="00633EFC">
              <w:rPr>
                <w:sz w:val="20"/>
                <w:szCs w:val="20"/>
              </w:rPr>
              <w:t>26</w:t>
            </w:r>
          </w:p>
        </w:tc>
        <w:tc>
          <w:tcPr>
            <w:tcW w:w="508" w:type="pct"/>
            <w:tcBorders>
              <w:top w:val="nil"/>
              <w:left w:val="nil"/>
              <w:bottom w:val="single" w:sz="4" w:space="0" w:color="auto"/>
              <w:right w:val="single" w:sz="4" w:space="0" w:color="auto"/>
            </w:tcBorders>
            <w:shd w:val="clear" w:color="auto" w:fill="auto"/>
            <w:noWrap/>
          </w:tcPr>
          <w:p w14:paraId="1FE38EFD" w14:textId="0E6DF4BC" w:rsidR="00DD15FB" w:rsidRPr="00633EFC" w:rsidRDefault="00DD15FB" w:rsidP="008C3816">
            <w:pPr>
              <w:jc w:val="right"/>
              <w:rPr>
                <w:sz w:val="20"/>
                <w:szCs w:val="20"/>
              </w:rPr>
            </w:pPr>
            <w:r w:rsidRPr="00633EFC">
              <w:rPr>
                <w:sz w:val="20"/>
                <w:szCs w:val="20"/>
              </w:rPr>
              <w:t>273</w:t>
            </w:r>
            <w:r>
              <w:rPr>
                <w:sz w:val="20"/>
                <w:szCs w:val="20"/>
              </w:rPr>
              <w:t>,</w:t>
            </w:r>
            <w:r w:rsidRPr="00633EFC">
              <w:rPr>
                <w:sz w:val="20"/>
                <w:szCs w:val="20"/>
              </w:rPr>
              <w:t>55</w:t>
            </w:r>
          </w:p>
        </w:tc>
        <w:tc>
          <w:tcPr>
            <w:tcW w:w="508" w:type="pct"/>
            <w:tcBorders>
              <w:top w:val="single" w:sz="4" w:space="0" w:color="auto"/>
              <w:left w:val="nil"/>
              <w:bottom w:val="single" w:sz="4" w:space="0" w:color="auto"/>
              <w:right w:val="single" w:sz="4" w:space="0" w:color="auto"/>
            </w:tcBorders>
          </w:tcPr>
          <w:p w14:paraId="77F1370E" w14:textId="41C0444B" w:rsidR="00DD15FB" w:rsidRPr="00633EFC" w:rsidRDefault="00DD15FB" w:rsidP="008C3816">
            <w:pPr>
              <w:jc w:val="right"/>
              <w:rPr>
                <w:bCs/>
                <w:sz w:val="20"/>
                <w:szCs w:val="20"/>
              </w:rPr>
            </w:pPr>
            <w:r w:rsidRPr="00633EFC">
              <w:rPr>
                <w:bCs/>
                <w:sz w:val="20"/>
                <w:szCs w:val="20"/>
              </w:rPr>
              <w:t>252</w:t>
            </w:r>
            <w:r>
              <w:rPr>
                <w:bCs/>
                <w:sz w:val="20"/>
                <w:szCs w:val="20"/>
              </w:rPr>
              <w:t>,</w:t>
            </w:r>
            <w:r w:rsidRPr="00633EFC">
              <w:rPr>
                <w:bCs/>
                <w:sz w:val="20"/>
                <w:szCs w:val="20"/>
              </w:rPr>
              <w:t>98</w:t>
            </w:r>
          </w:p>
        </w:tc>
        <w:tc>
          <w:tcPr>
            <w:tcW w:w="507" w:type="pct"/>
            <w:tcBorders>
              <w:top w:val="nil"/>
              <w:left w:val="single" w:sz="4" w:space="0" w:color="auto"/>
              <w:bottom w:val="single" w:sz="4" w:space="0" w:color="auto"/>
              <w:right w:val="single" w:sz="4" w:space="0" w:color="auto"/>
            </w:tcBorders>
          </w:tcPr>
          <w:p w14:paraId="7BDA084C" w14:textId="517E3E08" w:rsidR="00DD15FB" w:rsidRPr="00633EFC" w:rsidRDefault="00DD15FB" w:rsidP="008C3816">
            <w:pPr>
              <w:jc w:val="right"/>
              <w:rPr>
                <w:bCs/>
                <w:sz w:val="20"/>
                <w:szCs w:val="20"/>
              </w:rPr>
            </w:pPr>
            <w:r w:rsidRPr="00633EFC">
              <w:rPr>
                <w:bCs/>
                <w:sz w:val="20"/>
                <w:szCs w:val="20"/>
              </w:rPr>
              <w:t>239</w:t>
            </w:r>
            <w:r>
              <w:rPr>
                <w:bCs/>
                <w:sz w:val="20"/>
                <w:szCs w:val="20"/>
              </w:rPr>
              <w:t>,</w:t>
            </w:r>
            <w:r w:rsidRPr="00633EFC">
              <w:rPr>
                <w:bCs/>
                <w:sz w:val="20"/>
                <w:szCs w:val="20"/>
              </w:rPr>
              <w:t>90</w:t>
            </w:r>
          </w:p>
        </w:tc>
        <w:tc>
          <w:tcPr>
            <w:tcW w:w="508" w:type="pct"/>
            <w:tcBorders>
              <w:top w:val="nil"/>
              <w:left w:val="single" w:sz="4" w:space="0" w:color="auto"/>
              <w:bottom w:val="single" w:sz="4" w:space="0" w:color="auto"/>
              <w:right w:val="single" w:sz="4" w:space="0" w:color="auto"/>
            </w:tcBorders>
          </w:tcPr>
          <w:p w14:paraId="767D4152" w14:textId="12CEC3F2" w:rsidR="00DD15FB" w:rsidRPr="00633EFC" w:rsidRDefault="00DD15FB" w:rsidP="008C3816">
            <w:pPr>
              <w:jc w:val="right"/>
              <w:rPr>
                <w:rFonts w:eastAsiaTheme="minorHAnsi"/>
                <w:sz w:val="20"/>
                <w:szCs w:val="20"/>
              </w:rPr>
            </w:pPr>
            <w:r w:rsidRPr="00633EFC">
              <w:rPr>
                <w:rFonts w:eastAsiaTheme="minorHAnsi"/>
                <w:sz w:val="20"/>
                <w:szCs w:val="20"/>
              </w:rPr>
              <w:t>238</w:t>
            </w:r>
            <w:r>
              <w:rPr>
                <w:rFonts w:eastAsiaTheme="minorHAnsi"/>
                <w:sz w:val="20"/>
                <w:szCs w:val="20"/>
              </w:rPr>
              <w:t>,</w:t>
            </w:r>
            <w:r w:rsidRPr="00633EFC">
              <w:rPr>
                <w:rFonts w:eastAsiaTheme="minorHAnsi"/>
                <w:sz w:val="20"/>
                <w:szCs w:val="20"/>
              </w:rPr>
              <w:t>60</w:t>
            </w:r>
          </w:p>
        </w:tc>
        <w:tc>
          <w:tcPr>
            <w:tcW w:w="508" w:type="pct"/>
            <w:tcBorders>
              <w:top w:val="nil"/>
              <w:left w:val="single" w:sz="4" w:space="0" w:color="auto"/>
              <w:bottom w:val="single" w:sz="4" w:space="0" w:color="auto"/>
              <w:right w:val="single" w:sz="4" w:space="0" w:color="auto"/>
            </w:tcBorders>
          </w:tcPr>
          <w:p w14:paraId="3E3FCE6A" w14:textId="268D5322" w:rsidR="00DD15FB" w:rsidRPr="00633EFC" w:rsidRDefault="00DD15FB" w:rsidP="008C3816">
            <w:pPr>
              <w:jc w:val="right"/>
              <w:rPr>
                <w:sz w:val="20"/>
                <w:szCs w:val="20"/>
              </w:rPr>
            </w:pPr>
            <w:r w:rsidRPr="00633EFC">
              <w:rPr>
                <w:sz w:val="20"/>
                <w:szCs w:val="20"/>
              </w:rPr>
              <w:t>237</w:t>
            </w:r>
            <w:r>
              <w:rPr>
                <w:sz w:val="20"/>
                <w:szCs w:val="20"/>
              </w:rPr>
              <w:t>,</w:t>
            </w:r>
            <w:r w:rsidRPr="00633EFC">
              <w:rPr>
                <w:sz w:val="20"/>
                <w:szCs w:val="20"/>
              </w:rPr>
              <w:t>09</w:t>
            </w:r>
          </w:p>
        </w:tc>
        <w:tc>
          <w:tcPr>
            <w:tcW w:w="506" w:type="pct"/>
            <w:tcBorders>
              <w:top w:val="nil"/>
              <w:left w:val="single" w:sz="4" w:space="0" w:color="auto"/>
              <w:bottom w:val="single" w:sz="4" w:space="0" w:color="auto"/>
              <w:right w:val="single" w:sz="4" w:space="0" w:color="auto"/>
            </w:tcBorders>
            <w:shd w:val="clear" w:color="auto" w:fill="auto"/>
            <w:noWrap/>
            <w:vAlign w:val="center"/>
          </w:tcPr>
          <w:p w14:paraId="30DE9A71" w14:textId="2CB2EF9B" w:rsidR="00DD15FB" w:rsidRPr="00633EFC" w:rsidRDefault="00DD15FB" w:rsidP="008C3816">
            <w:pPr>
              <w:jc w:val="right"/>
              <w:rPr>
                <w:b/>
                <w:bCs/>
                <w:sz w:val="20"/>
                <w:szCs w:val="20"/>
              </w:rPr>
            </w:pPr>
            <w:r w:rsidRPr="00633EFC">
              <w:rPr>
                <w:b/>
                <w:bCs/>
                <w:sz w:val="20"/>
                <w:szCs w:val="20"/>
              </w:rPr>
              <w:t>372</w:t>
            </w:r>
            <w:r>
              <w:rPr>
                <w:b/>
                <w:bCs/>
                <w:sz w:val="20"/>
                <w:szCs w:val="20"/>
              </w:rPr>
              <w:t>,</w:t>
            </w:r>
            <w:r w:rsidRPr="00633EFC">
              <w:rPr>
                <w:b/>
                <w:bCs/>
                <w:sz w:val="20"/>
                <w:szCs w:val="20"/>
              </w:rPr>
              <w:t>73</w:t>
            </w:r>
          </w:p>
        </w:tc>
      </w:tr>
      <w:tr w:rsidR="00DD15FB" w:rsidRPr="00633EFC" w14:paraId="10B8537B" w14:textId="77777777" w:rsidTr="008C3816">
        <w:trPr>
          <w:trHeight w:val="248"/>
        </w:trPr>
        <w:tc>
          <w:tcPr>
            <w:tcW w:w="9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BCD5F1" w14:textId="53B26388" w:rsidR="00DD15FB" w:rsidRPr="00633EFC" w:rsidRDefault="00DD15FB" w:rsidP="008C3816">
            <w:pPr>
              <w:jc w:val="left"/>
              <w:rPr>
                <w:sz w:val="20"/>
                <w:szCs w:val="20"/>
              </w:rPr>
            </w:pPr>
            <w:r>
              <w:rPr>
                <w:bCs/>
                <w:sz w:val="20"/>
                <w:szCs w:val="20"/>
              </w:rPr>
              <w:t>Tonnes PA</w:t>
            </w:r>
            <w:r w:rsidRPr="00633EFC">
              <w:rPr>
                <w:bCs/>
                <w:sz w:val="20"/>
                <w:szCs w:val="20"/>
              </w:rPr>
              <w:t>O</w:t>
            </w:r>
          </w:p>
        </w:tc>
        <w:tc>
          <w:tcPr>
            <w:tcW w:w="506" w:type="pct"/>
            <w:tcBorders>
              <w:top w:val="single" w:sz="4" w:space="0" w:color="auto"/>
              <w:left w:val="nil"/>
              <w:bottom w:val="single" w:sz="4" w:space="0" w:color="auto"/>
              <w:right w:val="single" w:sz="4" w:space="0" w:color="auto"/>
            </w:tcBorders>
          </w:tcPr>
          <w:p w14:paraId="5C68753C" w14:textId="7311A3CE" w:rsidR="00DD15FB" w:rsidRPr="00633EFC" w:rsidRDefault="00DD15FB" w:rsidP="008C3816">
            <w:pPr>
              <w:jc w:val="right"/>
              <w:rPr>
                <w:rFonts w:eastAsiaTheme="minorHAnsi"/>
                <w:sz w:val="20"/>
                <w:szCs w:val="20"/>
              </w:rPr>
            </w:pPr>
            <w:r w:rsidRPr="00633EFC">
              <w:rPr>
                <w:color w:val="333333"/>
                <w:sz w:val="20"/>
                <w:szCs w:val="20"/>
              </w:rPr>
              <w:t>18</w:t>
            </w:r>
            <w:r>
              <w:rPr>
                <w:color w:val="333333"/>
                <w:sz w:val="20"/>
                <w:szCs w:val="20"/>
              </w:rPr>
              <w:t>,</w:t>
            </w:r>
            <w:r w:rsidRPr="00633EFC">
              <w:rPr>
                <w:color w:val="333333"/>
                <w:sz w:val="20"/>
                <w:szCs w:val="20"/>
              </w:rPr>
              <w:t>15</w:t>
            </w:r>
          </w:p>
        </w:tc>
        <w:tc>
          <w:tcPr>
            <w:tcW w:w="506" w:type="pct"/>
            <w:tcBorders>
              <w:top w:val="nil"/>
              <w:left w:val="single" w:sz="4" w:space="0" w:color="auto"/>
              <w:bottom w:val="single" w:sz="4" w:space="0" w:color="auto"/>
              <w:right w:val="single" w:sz="4" w:space="0" w:color="auto"/>
            </w:tcBorders>
            <w:shd w:val="clear" w:color="auto" w:fill="auto"/>
            <w:noWrap/>
          </w:tcPr>
          <w:p w14:paraId="2E667436" w14:textId="76B5E17B" w:rsidR="00DD15FB" w:rsidRPr="00633EFC" w:rsidRDefault="00DD15FB" w:rsidP="008C3816">
            <w:pPr>
              <w:jc w:val="right"/>
              <w:rPr>
                <w:rFonts w:eastAsiaTheme="minorHAnsi"/>
                <w:sz w:val="20"/>
                <w:szCs w:val="20"/>
              </w:rPr>
            </w:pPr>
            <w:r w:rsidRPr="00633EFC">
              <w:rPr>
                <w:rFonts w:eastAsiaTheme="minorHAnsi"/>
                <w:sz w:val="20"/>
                <w:szCs w:val="20"/>
              </w:rPr>
              <w:t>15</w:t>
            </w:r>
            <w:r>
              <w:rPr>
                <w:rFonts w:eastAsiaTheme="minorHAnsi"/>
                <w:sz w:val="20"/>
                <w:szCs w:val="20"/>
              </w:rPr>
              <w:t>,</w:t>
            </w:r>
            <w:r w:rsidRPr="00633EFC">
              <w:rPr>
                <w:rFonts w:eastAsiaTheme="minorHAnsi"/>
                <w:sz w:val="20"/>
                <w:szCs w:val="20"/>
              </w:rPr>
              <w:t>80</w:t>
            </w:r>
          </w:p>
        </w:tc>
        <w:tc>
          <w:tcPr>
            <w:tcW w:w="508" w:type="pct"/>
            <w:tcBorders>
              <w:top w:val="nil"/>
              <w:left w:val="nil"/>
              <w:bottom w:val="single" w:sz="4" w:space="0" w:color="auto"/>
              <w:right w:val="single" w:sz="4" w:space="0" w:color="auto"/>
            </w:tcBorders>
            <w:shd w:val="clear" w:color="auto" w:fill="auto"/>
            <w:noWrap/>
          </w:tcPr>
          <w:p w14:paraId="2B85074C" w14:textId="16822105" w:rsidR="00DD15FB" w:rsidRPr="00633EFC" w:rsidRDefault="00DD15FB" w:rsidP="008C3816">
            <w:pPr>
              <w:jc w:val="right"/>
              <w:rPr>
                <w:sz w:val="20"/>
                <w:szCs w:val="20"/>
              </w:rPr>
            </w:pPr>
            <w:r w:rsidRPr="00633EFC">
              <w:rPr>
                <w:sz w:val="20"/>
                <w:szCs w:val="20"/>
              </w:rPr>
              <w:t>15</w:t>
            </w:r>
            <w:r>
              <w:rPr>
                <w:sz w:val="20"/>
                <w:szCs w:val="20"/>
              </w:rPr>
              <w:t>,</w:t>
            </w:r>
            <w:r w:rsidRPr="00633EFC">
              <w:rPr>
                <w:sz w:val="20"/>
                <w:szCs w:val="20"/>
              </w:rPr>
              <w:t>05</w:t>
            </w:r>
          </w:p>
        </w:tc>
        <w:tc>
          <w:tcPr>
            <w:tcW w:w="508" w:type="pct"/>
            <w:tcBorders>
              <w:top w:val="single" w:sz="4" w:space="0" w:color="auto"/>
              <w:left w:val="nil"/>
              <w:bottom w:val="single" w:sz="4" w:space="0" w:color="auto"/>
              <w:right w:val="single" w:sz="4" w:space="0" w:color="auto"/>
            </w:tcBorders>
          </w:tcPr>
          <w:p w14:paraId="2975B39F" w14:textId="4D506B00" w:rsidR="00DD15FB" w:rsidRPr="00633EFC" w:rsidRDefault="00DD15FB" w:rsidP="008C3816">
            <w:pPr>
              <w:jc w:val="right"/>
              <w:rPr>
                <w:sz w:val="20"/>
                <w:szCs w:val="20"/>
              </w:rPr>
            </w:pPr>
            <w:r w:rsidRPr="00633EFC">
              <w:rPr>
                <w:sz w:val="20"/>
                <w:szCs w:val="20"/>
              </w:rPr>
              <w:t>13</w:t>
            </w:r>
            <w:r>
              <w:rPr>
                <w:sz w:val="20"/>
                <w:szCs w:val="20"/>
              </w:rPr>
              <w:t>,</w:t>
            </w:r>
            <w:r w:rsidRPr="00633EFC">
              <w:rPr>
                <w:sz w:val="20"/>
                <w:szCs w:val="20"/>
              </w:rPr>
              <w:t>91</w:t>
            </w:r>
          </w:p>
        </w:tc>
        <w:tc>
          <w:tcPr>
            <w:tcW w:w="507" w:type="pct"/>
            <w:tcBorders>
              <w:top w:val="nil"/>
              <w:left w:val="single" w:sz="4" w:space="0" w:color="auto"/>
              <w:bottom w:val="single" w:sz="4" w:space="0" w:color="auto"/>
              <w:right w:val="single" w:sz="4" w:space="0" w:color="auto"/>
            </w:tcBorders>
          </w:tcPr>
          <w:p w14:paraId="23789967" w14:textId="753B8EB7" w:rsidR="00DD15FB" w:rsidRPr="00633EFC" w:rsidRDefault="00DD15FB" w:rsidP="008C3816">
            <w:pPr>
              <w:jc w:val="right"/>
              <w:rPr>
                <w:sz w:val="20"/>
                <w:szCs w:val="20"/>
              </w:rPr>
            </w:pPr>
            <w:r w:rsidRPr="00633EFC">
              <w:rPr>
                <w:sz w:val="20"/>
                <w:szCs w:val="20"/>
              </w:rPr>
              <w:t>13</w:t>
            </w:r>
            <w:r>
              <w:rPr>
                <w:sz w:val="20"/>
                <w:szCs w:val="20"/>
              </w:rPr>
              <w:t>,</w:t>
            </w:r>
            <w:r w:rsidRPr="00633EFC">
              <w:rPr>
                <w:sz w:val="20"/>
                <w:szCs w:val="20"/>
              </w:rPr>
              <w:t>19</w:t>
            </w:r>
          </w:p>
        </w:tc>
        <w:tc>
          <w:tcPr>
            <w:tcW w:w="508" w:type="pct"/>
            <w:tcBorders>
              <w:top w:val="nil"/>
              <w:left w:val="single" w:sz="4" w:space="0" w:color="auto"/>
              <w:bottom w:val="single" w:sz="4" w:space="0" w:color="auto"/>
              <w:right w:val="single" w:sz="4" w:space="0" w:color="auto"/>
            </w:tcBorders>
          </w:tcPr>
          <w:p w14:paraId="64A1D88F" w14:textId="6A88B295" w:rsidR="00DD15FB" w:rsidRPr="00633EFC" w:rsidRDefault="00DD15FB" w:rsidP="008C3816">
            <w:pPr>
              <w:jc w:val="right"/>
              <w:rPr>
                <w:rFonts w:eastAsiaTheme="minorHAnsi"/>
                <w:sz w:val="20"/>
                <w:szCs w:val="20"/>
              </w:rPr>
            </w:pPr>
            <w:r w:rsidRPr="00633EFC">
              <w:rPr>
                <w:rFonts w:eastAsiaTheme="minorHAnsi"/>
                <w:sz w:val="20"/>
                <w:szCs w:val="20"/>
              </w:rPr>
              <w:t>13</w:t>
            </w:r>
            <w:r>
              <w:rPr>
                <w:rFonts w:eastAsiaTheme="minorHAnsi"/>
                <w:sz w:val="20"/>
                <w:szCs w:val="20"/>
              </w:rPr>
              <w:t>,</w:t>
            </w:r>
            <w:r w:rsidRPr="00633EFC">
              <w:rPr>
                <w:rFonts w:eastAsiaTheme="minorHAnsi"/>
                <w:sz w:val="20"/>
                <w:szCs w:val="20"/>
              </w:rPr>
              <w:t>12</w:t>
            </w:r>
          </w:p>
        </w:tc>
        <w:tc>
          <w:tcPr>
            <w:tcW w:w="508" w:type="pct"/>
            <w:tcBorders>
              <w:top w:val="nil"/>
              <w:left w:val="single" w:sz="4" w:space="0" w:color="auto"/>
              <w:bottom w:val="single" w:sz="4" w:space="0" w:color="auto"/>
              <w:right w:val="single" w:sz="4" w:space="0" w:color="auto"/>
            </w:tcBorders>
          </w:tcPr>
          <w:p w14:paraId="2FFDE57A" w14:textId="2035BBD5" w:rsidR="00DD15FB" w:rsidRPr="00633EFC" w:rsidRDefault="00DD15FB" w:rsidP="008C3816">
            <w:pPr>
              <w:jc w:val="right"/>
              <w:rPr>
                <w:rFonts w:eastAsiaTheme="minorHAnsi"/>
                <w:sz w:val="20"/>
                <w:szCs w:val="20"/>
              </w:rPr>
            </w:pPr>
            <w:r w:rsidRPr="00633EFC">
              <w:rPr>
                <w:rFonts w:eastAsiaTheme="minorHAnsi"/>
                <w:sz w:val="20"/>
                <w:szCs w:val="20"/>
              </w:rPr>
              <w:t>13</w:t>
            </w:r>
            <w:r>
              <w:rPr>
                <w:rFonts w:eastAsiaTheme="minorHAnsi"/>
                <w:sz w:val="20"/>
                <w:szCs w:val="20"/>
              </w:rPr>
              <w:t>,</w:t>
            </w:r>
            <w:r w:rsidRPr="00633EFC">
              <w:rPr>
                <w:rFonts w:eastAsiaTheme="minorHAnsi"/>
                <w:sz w:val="20"/>
                <w:szCs w:val="20"/>
              </w:rPr>
              <w:t>04</w:t>
            </w:r>
          </w:p>
        </w:tc>
        <w:tc>
          <w:tcPr>
            <w:tcW w:w="506" w:type="pct"/>
            <w:tcBorders>
              <w:top w:val="nil"/>
              <w:left w:val="single" w:sz="4" w:space="0" w:color="auto"/>
              <w:bottom w:val="single" w:sz="4" w:space="0" w:color="auto"/>
              <w:right w:val="single" w:sz="4" w:space="0" w:color="auto"/>
            </w:tcBorders>
            <w:shd w:val="clear" w:color="auto" w:fill="auto"/>
            <w:noWrap/>
          </w:tcPr>
          <w:p w14:paraId="3A595901" w14:textId="163AE388" w:rsidR="00DD15FB" w:rsidRPr="00633EFC" w:rsidRDefault="00DD15FB" w:rsidP="008C3816">
            <w:pPr>
              <w:jc w:val="right"/>
              <w:rPr>
                <w:rFonts w:eastAsiaTheme="minorHAnsi"/>
                <w:b/>
                <w:bCs/>
                <w:sz w:val="20"/>
                <w:szCs w:val="20"/>
              </w:rPr>
            </w:pPr>
            <w:r w:rsidRPr="00633EFC">
              <w:rPr>
                <w:rFonts w:eastAsiaTheme="minorHAnsi"/>
                <w:b/>
                <w:bCs/>
                <w:sz w:val="20"/>
                <w:szCs w:val="20"/>
              </w:rPr>
              <w:t>20</w:t>
            </w:r>
            <w:r>
              <w:rPr>
                <w:rFonts w:eastAsiaTheme="minorHAnsi"/>
                <w:b/>
                <w:bCs/>
                <w:sz w:val="20"/>
                <w:szCs w:val="20"/>
              </w:rPr>
              <w:t>,</w:t>
            </w:r>
            <w:r w:rsidRPr="00633EFC">
              <w:rPr>
                <w:rFonts w:eastAsiaTheme="minorHAnsi"/>
                <w:b/>
                <w:bCs/>
                <w:sz w:val="20"/>
                <w:szCs w:val="20"/>
              </w:rPr>
              <w:t>50</w:t>
            </w:r>
          </w:p>
        </w:tc>
      </w:tr>
    </w:tbl>
    <w:p w14:paraId="0A67608A" w14:textId="13CF4A9C" w:rsidR="00DD15FB" w:rsidRPr="00DD15FB" w:rsidRDefault="00DD15FB" w:rsidP="00DD15FB">
      <w:pPr>
        <w:spacing w:before="240" w:after="240"/>
        <w:rPr>
          <w:b/>
          <w:bCs/>
          <w:lang w:val="fr-CA"/>
        </w:rPr>
      </w:pPr>
      <w:r w:rsidRPr="00DD15FB">
        <w:rPr>
          <w:b/>
          <w:bCs/>
          <w:lang w:val="fr-CA"/>
        </w:rPr>
        <w:lastRenderedPageBreak/>
        <w:t>Résultats du rapport de l’</w:t>
      </w:r>
      <w:r w:rsidR="008F7D10">
        <w:rPr>
          <w:b/>
          <w:bCs/>
          <w:lang w:val="fr-CA"/>
        </w:rPr>
        <w:t>étud</w:t>
      </w:r>
      <w:r w:rsidRPr="00DD15FB">
        <w:rPr>
          <w:b/>
          <w:bCs/>
          <w:lang w:val="fr-CA"/>
        </w:rPr>
        <w:t>e</w:t>
      </w:r>
    </w:p>
    <w:p w14:paraId="3AEF5338" w14:textId="10D5F52D" w:rsidR="00DD15FB" w:rsidRPr="00BF26B4" w:rsidRDefault="00DD15FB" w:rsidP="00DD15FB">
      <w:pPr>
        <w:pStyle w:val="Heading1"/>
        <w:tabs>
          <w:tab w:val="num" w:pos="720"/>
        </w:tabs>
        <w:rPr>
          <w:lang w:val="fr-CA"/>
        </w:rPr>
      </w:pPr>
      <w:r w:rsidRPr="00DD15FB">
        <w:rPr>
          <w:lang w:val="fr-CA"/>
        </w:rPr>
        <w:t xml:space="preserve">Le PNUE, avec l’aide d’experts du pays, a </w:t>
      </w:r>
      <w:r w:rsidR="00BF26B4">
        <w:rPr>
          <w:lang w:val="fr-CA"/>
        </w:rPr>
        <w:t>men</w:t>
      </w:r>
      <w:r w:rsidRPr="00DD15FB">
        <w:rPr>
          <w:lang w:val="fr-CA"/>
        </w:rPr>
        <w:t xml:space="preserve">é une nouvelle </w:t>
      </w:r>
      <w:r w:rsidR="00721F1F">
        <w:rPr>
          <w:lang w:val="fr-CA"/>
        </w:rPr>
        <w:t>étud</w:t>
      </w:r>
      <w:r w:rsidRPr="00DD15FB">
        <w:rPr>
          <w:lang w:val="fr-CA"/>
        </w:rPr>
        <w:t>e sur la cons</w:t>
      </w:r>
      <w:r>
        <w:rPr>
          <w:lang w:val="fr-CA"/>
        </w:rPr>
        <w:t>o</w:t>
      </w:r>
      <w:r w:rsidRPr="00DD15FB">
        <w:rPr>
          <w:lang w:val="fr-CA"/>
        </w:rPr>
        <w:t xml:space="preserve">mmation </w:t>
      </w:r>
      <w:r>
        <w:rPr>
          <w:lang w:val="fr-CA"/>
        </w:rPr>
        <w:t xml:space="preserve">de HCFC dans le secteur </w:t>
      </w:r>
      <w:r w:rsidRPr="00DD15FB">
        <w:rPr>
          <w:lang w:val="fr-CA"/>
        </w:rPr>
        <w:t xml:space="preserve">RAC </w:t>
      </w:r>
      <w:r w:rsidR="00BF26B4">
        <w:rPr>
          <w:lang w:val="fr-CA"/>
        </w:rPr>
        <w:t>en</w:t>
      </w:r>
      <w:r w:rsidRPr="00DD15FB">
        <w:rPr>
          <w:lang w:val="fr-CA"/>
        </w:rPr>
        <w:t xml:space="preserve"> Mauritan</w:t>
      </w:r>
      <w:r>
        <w:rPr>
          <w:lang w:val="fr-CA"/>
        </w:rPr>
        <w:t>ie</w:t>
      </w:r>
      <w:r w:rsidRPr="00DD15FB">
        <w:rPr>
          <w:lang w:val="fr-CA"/>
        </w:rPr>
        <w:t xml:space="preserve">. Un expert indépendant a aidé le PNUE pour </w:t>
      </w:r>
      <w:r w:rsidR="00BF26B4">
        <w:rPr>
          <w:lang w:val="fr-CA"/>
        </w:rPr>
        <w:t>l’</w:t>
      </w:r>
      <w:r w:rsidRPr="00DD15FB">
        <w:rPr>
          <w:lang w:val="fr-CA"/>
        </w:rPr>
        <w:t>analyse</w:t>
      </w:r>
      <w:r w:rsidR="00BF26B4">
        <w:rPr>
          <w:lang w:val="fr-CA"/>
        </w:rPr>
        <w:t xml:space="preserve"> des</w:t>
      </w:r>
      <w:r w:rsidRPr="00DD15FB">
        <w:rPr>
          <w:lang w:val="fr-CA"/>
        </w:rPr>
        <w:t xml:space="preserve"> données de terrain</w:t>
      </w:r>
      <w:r>
        <w:rPr>
          <w:lang w:val="fr-CA"/>
        </w:rPr>
        <w:t xml:space="preserve"> afin de préparer le rapport d</w:t>
      </w:r>
      <w:r w:rsidR="00721F1F">
        <w:rPr>
          <w:lang w:val="fr-CA"/>
        </w:rPr>
        <w:t>e l</w:t>
      </w:r>
      <w:r>
        <w:rPr>
          <w:lang w:val="fr-CA"/>
        </w:rPr>
        <w:t>’</w:t>
      </w:r>
      <w:r w:rsidR="00721F1F">
        <w:rPr>
          <w:lang w:val="fr-CA"/>
        </w:rPr>
        <w:t>étude</w:t>
      </w:r>
      <w:r>
        <w:rPr>
          <w:lang w:val="fr-CA"/>
        </w:rPr>
        <w:t xml:space="preserve"> sur les HCFC de 2022, soumis à la présente réunion.</w:t>
      </w:r>
      <w:r w:rsidRPr="00DD15FB">
        <w:rPr>
          <w:lang w:val="fr-CA"/>
        </w:rPr>
        <w:t xml:space="preserve"> </w:t>
      </w:r>
      <w:r w:rsidR="00721F1F">
        <w:rPr>
          <w:lang w:val="fr-CA"/>
        </w:rPr>
        <w:t xml:space="preserve"> </w:t>
      </w:r>
      <w:r w:rsidRPr="00BF26B4">
        <w:rPr>
          <w:lang w:val="fr-CA"/>
        </w:rPr>
        <w:t xml:space="preserve">Le rapport </w:t>
      </w:r>
      <w:r w:rsidR="00BF26B4" w:rsidRPr="00BF26B4">
        <w:rPr>
          <w:lang w:val="fr-CA"/>
        </w:rPr>
        <w:t xml:space="preserve">a </w:t>
      </w:r>
      <w:r w:rsidRPr="00BF26B4">
        <w:rPr>
          <w:lang w:val="fr-CA"/>
        </w:rPr>
        <w:t>estim</w:t>
      </w:r>
      <w:r w:rsidR="00BF26B4" w:rsidRPr="00BF26B4">
        <w:rPr>
          <w:lang w:val="fr-CA"/>
        </w:rPr>
        <w:t xml:space="preserve">é la demande de </w:t>
      </w:r>
      <w:r w:rsidRPr="00BF26B4">
        <w:rPr>
          <w:lang w:val="fr-CA"/>
        </w:rPr>
        <w:t xml:space="preserve">HCFC </w:t>
      </w:r>
      <w:r w:rsidR="00BF26B4" w:rsidRPr="00BF26B4">
        <w:rPr>
          <w:lang w:val="fr-CA"/>
        </w:rPr>
        <w:t xml:space="preserve">à travers le pays pour </w:t>
      </w:r>
      <w:r w:rsidR="00BF26B4">
        <w:rPr>
          <w:lang w:val="fr-CA"/>
        </w:rPr>
        <w:t>répondre aux</w:t>
      </w:r>
      <w:r w:rsidR="00BF26B4" w:rsidRPr="00BF26B4">
        <w:rPr>
          <w:lang w:val="fr-CA"/>
        </w:rPr>
        <w:t xml:space="preserve"> besoins locaux</w:t>
      </w:r>
      <w:r w:rsidR="00502BEB">
        <w:rPr>
          <w:lang w:val="fr-CA"/>
        </w:rPr>
        <w:t xml:space="preserve"> et</w:t>
      </w:r>
      <w:r w:rsidR="00BF26B4" w:rsidRPr="00BF26B4">
        <w:rPr>
          <w:lang w:val="fr-CA"/>
        </w:rPr>
        <w:t xml:space="preserve"> </w:t>
      </w:r>
      <w:r w:rsidR="00721F1F">
        <w:rPr>
          <w:lang w:val="fr-CA"/>
        </w:rPr>
        <w:t>mis en lumière</w:t>
      </w:r>
      <w:r w:rsidR="00BF26B4">
        <w:rPr>
          <w:lang w:val="fr-CA"/>
        </w:rPr>
        <w:t xml:space="preserve"> les difficultés rencontrées pour recouper les données, </w:t>
      </w:r>
      <w:r w:rsidR="00721F1F">
        <w:rPr>
          <w:lang w:val="fr-CA"/>
        </w:rPr>
        <w:t>dues a</w:t>
      </w:r>
      <w:r w:rsidR="00BF26B4">
        <w:rPr>
          <w:lang w:val="fr-CA"/>
        </w:rPr>
        <w:t xml:space="preserve">u système électronique des douanes qui a </w:t>
      </w:r>
      <w:r w:rsidR="00721F1F">
        <w:rPr>
          <w:lang w:val="fr-CA"/>
        </w:rPr>
        <w:t xml:space="preserve">encore </w:t>
      </w:r>
      <w:r w:rsidR="00BF26B4">
        <w:rPr>
          <w:lang w:val="fr-CA"/>
        </w:rPr>
        <w:t>besoin de mises à jour sur les codes tarifaires pour les HCFC, et</w:t>
      </w:r>
      <w:r w:rsidR="00502BEB">
        <w:rPr>
          <w:lang w:val="fr-CA"/>
        </w:rPr>
        <w:t xml:space="preserve"> à</w:t>
      </w:r>
      <w:r w:rsidR="00BF26B4">
        <w:rPr>
          <w:lang w:val="fr-CA"/>
        </w:rPr>
        <w:t xml:space="preserve"> la réticence de certaines entreprises à fournir de</w:t>
      </w:r>
      <w:r w:rsidR="0030783E">
        <w:rPr>
          <w:lang w:val="fr-CA"/>
        </w:rPr>
        <w:t xml:space="preserve"> l’</w:t>
      </w:r>
      <w:r w:rsidR="00BF26B4">
        <w:rPr>
          <w:lang w:val="fr-CA"/>
        </w:rPr>
        <w:t>information</w:t>
      </w:r>
      <w:r w:rsidRPr="00BF26B4">
        <w:rPr>
          <w:lang w:val="fr-CA"/>
        </w:rPr>
        <w:t>.</w:t>
      </w:r>
    </w:p>
    <w:p w14:paraId="3D5CCD5A" w14:textId="142A1651" w:rsidR="00843B6D" w:rsidRPr="005F4BF0" w:rsidRDefault="00BF26B4" w:rsidP="00843B6D">
      <w:pPr>
        <w:pStyle w:val="Heading1"/>
        <w:rPr>
          <w:lang w:val="fr-CA"/>
        </w:rPr>
      </w:pPr>
      <w:r w:rsidRPr="00843B6D">
        <w:rPr>
          <w:lang w:val="fr-CA"/>
        </w:rPr>
        <w:t>L</w:t>
      </w:r>
      <w:r w:rsidR="00DD15FB" w:rsidRPr="00843B6D">
        <w:rPr>
          <w:lang w:val="fr-CA"/>
        </w:rPr>
        <w:t xml:space="preserve">e </w:t>
      </w:r>
      <w:r w:rsidRPr="00843B6D">
        <w:rPr>
          <w:lang w:val="fr-CA"/>
        </w:rPr>
        <w:t>rapport a estimé</w:t>
      </w:r>
      <w:r w:rsidR="005F4BF0">
        <w:rPr>
          <w:lang w:val="fr-CA"/>
        </w:rPr>
        <w:t xml:space="preserve"> </w:t>
      </w:r>
      <w:r w:rsidRPr="00843B6D">
        <w:rPr>
          <w:lang w:val="fr-CA"/>
        </w:rPr>
        <w:t>la demande réelle de</w:t>
      </w:r>
      <w:r w:rsidR="00DD15FB" w:rsidRPr="00843B6D">
        <w:rPr>
          <w:lang w:val="fr-CA"/>
        </w:rPr>
        <w:t xml:space="preserve"> HCFC </w:t>
      </w:r>
      <w:r w:rsidRPr="00843B6D">
        <w:rPr>
          <w:lang w:val="fr-CA"/>
        </w:rPr>
        <w:t xml:space="preserve">pour répondre aux besoins locaux dans le secteur de l’entretien RAC à partir du nombre d’équipements installés, multiplié par </w:t>
      </w:r>
      <w:r w:rsidR="00843B6D" w:rsidRPr="00843B6D">
        <w:rPr>
          <w:lang w:val="fr-CA"/>
        </w:rPr>
        <w:t xml:space="preserve">les indicateurs sectoriels pour le taux de fuites et la charge moyenne de frigorigènes </w:t>
      </w:r>
      <w:r w:rsidR="00721F1F">
        <w:rPr>
          <w:lang w:val="fr-CA"/>
        </w:rPr>
        <w:t>d</w:t>
      </w:r>
      <w:r w:rsidR="00843B6D" w:rsidRPr="00843B6D">
        <w:rPr>
          <w:lang w:val="fr-CA"/>
        </w:rPr>
        <w:t xml:space="preserve">es différents types d’équipement RAC. </w:t>
      </w:r>
      <w:r w:rsidR="0030783E">
        <w:rPr>
          <w:lang w:val="fr-CA"/>
        </w:rPr>
        <w:t xml:space="preserve"> </w:t>
      </w:r>
      <w:r w:rsidR="00843B6D" w:rsidRPr="00843B6D">
        <w:rPr>
          <w:lang w:val="fr-CA"/>
        </w:rPr>
        <w:t>La demande de HCFC résult</w:t>
      </w:r>
      <w:r w:rsidR="005F4BF0">
        <w:rPr>
          <w:lang w:val="fr-CA"/>
        </w:rPr>
        <w:t>ant de c</w:t>
      </w:r>
      <w:r w:rsidR="00843B6D" w:rsidRPr="00843B6D">
        <w:rPr>
          <w:lang w:val="fr-CA"/>
        </w:rPr>
        <w:t xml:space="preserve">e </w:t>
      </w:r>
      <w:r w:rsidR="005F4BF0">
        <w:rPr>
          <w:lang w:val="fr-CA"/>
        </w:rPr>
        <w:t>calcul (</w:t>
      </w:r>
      <w:r w:rsidR="00843B6D" w:rsidRPr="00843B6D">
        <w:rPr>
          <w:lang w:val="fr-CA"/>
        </w:rPr>
        <w:t xml:space="preserve">109,77 </w:t>
      </w:r>
      <w:proofErr w:type="spellStart"/>
      <w:r w:rsidR="00843B6D" w:rsidRPr="00843B6D">
        <w:rPr>
          <w:lang w:val="fr-CA"/>
        </w:rPr>
        <w:t>tm</w:t>
      </w:r>
      <w:proofErr w:type="spellEnd"/>
      <w:r w:rsidR="005F4BF0">
        <w:rPr>
          <w:lang w:val="fr-CA"/>
        </w:rPr>
        <w:t>),</w:t>
      </w:r>
      <w:r w:rsidR="00843B6D" w:rsidRPr="00843B6D">
        <w:rPr>
          <w:lang w:val="fr-CA"/>
        </w:rPr>
        <w:t xml:space="preserve"> tel qu’indiqué au tableau 3, était inférieure à la cons</w:t>
      </w:r>
      <w:r w:rsidR="005F4BF0">
        <w:rPr>
          <w:lang w:val="fr-CA"/>
        </w:rPr>
        <w:t>o</w:t>
      </w:r>
      <w:r w:rsidR="00843B6D" w:rsidRPr="00843B6D">
        <w:rPr>
          <w:lang w:val="fr-CA"/>
        </w:rPr>
        <w:t xml:space="preserve">mmation </w:t>
      </w:r>
      <w:r w:rsidR="005F4BF0" w:rsidRPr="00843B6D">
        <w:rPr>
          <w:lang w:val="fr-CA"/>
        </w:rPr>
        <w:t xml:space="preserve">de 237,09 </w:t>
      </w:r>
      <w:proofErr w:type="spellStart"/>
      <w:r w:rsidR="005F4BF0" w:rsidRPr="00843B6D">
        <w:rPr>
          <w:lang w:val="fr-CA"/>
        </w:rPr>
        <w:t>tm</w:t>
      </w:r>
      <w:proofErr w:type="spellEnd"/>
      <w:r w:rsidR="005F4BF0" w:rsidRPr="00843B6D">
        <w:rPr>
          <w:lang w:val="fr-CA"/>
        </w:rPr>
        <w:t xml:space="preserve"> </w:t>
      </w:r>
      <w:r w:rsidR="00843B6D" w:rsidRPr="00843B6D">
        <w:rPr>
          <w:lang w:val="fr-CA"/>
        </w:rPr>
        <w:t xml:space="preserve">déclarée en vertu de l’article </w:t>
      </w:r>
      <w:r w:rsidR="005F4BF0">
        <w:rPr>
          <w:lang w:val="fr-CA"/>
        </w:rPr>
        <w:t>7</w:t>
      </w:r>
      <w:r w:rsidR="00843B6D" w:rsidRPr="00843B6D">
        <w:rPr>
          <w:lang w:val="fr-CA"/>
        </w:rPr>
        <w:t>.</w:t>
      </w:r>
      <w:bookmarkStart w:id="1" w:name="_Ref146018907"/>
    </w:p>
    <w:p w14:paraId="52BD034C" w14:textId="559E228C" w:rsidR="00DD15FB" w:rsidRPr="005F4BF0" w:rsidRDefault="00DD15FB" w:rsidP="00DD15FB">
      <w:pPr>
        <w:pStyle w:val="Heading1"/>
        <w:numPr>
          <w:ilvl w:val="0"/>
          <w:numId w:val="0"/>
        </w:numPr>
        <w:spacing w:after="40"/>
        <w:rPr>
          <w:lang w:val="fr-CA"/>
        </w:rPr>
      </w:pPr>
      <w:r w:rsidRPr="003B77C8">
        <w:rPr>
          <w:b/>
          <w:bCs/>
          <w:lang w:val="fr-CA"/>
        </w:rPr>
        <w:t>Table</w:t>
      </w:r>
      <w:r w:rsidR="005F4BF0" w:rsidRPr="003B77C8">
        <w:rPr>
          <w:b/>
          <w:bCs/>
          <w:lang w:val="fr-CA"/>
        </w:rPr>
        <w:t>au</w:t>
      </w:r>
      <w:r w:rsidRPr="003B77C8">
        <w:rPr>
          <w:b/>
          <w:bCs/>
          <w:lang w:val="fr-CA"/>
        </w:rPr>
        <w:t xml:space="preserve"> </w:t>
      </w:r>
      <w:bookmarkEnd w:id="1"/>
      <w:r w:rsidRPr="003B77C8">
        <w:rPr>
          <w:b/>
          <w:bCs/>
          <w:lang w:val="fr-CA"/>
        </w:rPr>
        <w:t xml:space="preserve">3. </w:t>
      </w:r>
      <w:r w:rsidRPr="005F4BF0">
        <w:rPr>
          <w:b/>
          <w:lang w:val="fr-CA"/>
        </w:rPr>
        <w:t xml:space="preserve">Estimation </w:t>
      </w:r>
      <w:r w:rsidR="005F4BF0" w:rsidRPr="005F4BF0">
        <w:rPr>
          <w:b/>
          <w:lang w:val="fr-CA"/>
        </w:rPr>
        <w:t xml:space="preserve">de la demande de HCFC-22 </w:t>
      </w:r>
      <w:r w:rsidR="005F4BF0">
        <w:rPr>
          <w:b/>
          <w:lang w:val="fr-CA"/>
        </w:rPr>
        <w:t>da</w:t>
      </w:r>
      <w:r w:rsidR="005F4BF0" w:rsidRPr="005F4BF0">
        <w:rPr>
          <w:b/>
          <w:lang w:val="fr-CA"/>
        </w:rPr>
        <w:t>ns le secteur de l’entretien RA</w:t>
      </w:r>
      <w:r w:rsidR="005F4BF0">
        <w:rPr>
          <w:b/>
          <w:lang w:val="fr-CA"/>
        </w:rPr>
        <w:t>C en</w:t>
      </w:r>
      <w:r w:rsidRPr="005F4BF0">
        <w:rPr>
          <w:b/>
          <w:lang w:val="fr-CA"/>
        </w:rPr>
        <w:t xml:space="preserve"> 2022 </w:t>
      </w:r>
      <w:r w:rsidR="005F4BF0">
        <w:rPr>
          <w:b/>
          <w:lang w:val="fr-CA"/>
        </w:rPr>
        <w:t>pour la</w:t>
      </w:r>
      <w:r w:rsidRPr="005F4BF0">
        <w:rPr>
          <w:b/>
          <w:lang w:val="fr-CA"/>
        </w:rPr>
        <w:t xml:space="preserve"> Mauritani</w:t>
      </w:r>
      <w:r w:rsidR="005F4BF0">
        <w:rPr>
          <w:b/>
          <w:lang w:val="fr-CA"/>
        </w:rPr>
        <w:t>e</w:t>
      </w:r>
      <w:r w:rsidRPr="005F4BF0">
        <w:rPr>
          <w:b/>
          <w:lang w:val="fr-CA"/>
        </w:rPr>
        <w:t xml:space="preserve"> </w:t>
      </w:r>
    </w:p>
    <w:tbl>
      <w:tblPr>
        <w:tblW w:w="5023"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71"/>
        <w:gridCol w:w="1403"/>
        <w:gridCol w:w="1405"/>
        <w:gridCol w:w="1404"/>
        <w:gridCol w:w="1405"/>
        <w:gridCol w:w="1405"/>
      </w:tblGrid>
      <w:tr w:rsidR="00DD15FB" w:rsidRPr="00D94D3B" w14:paraId="42CF8226" w14:textId="77777777" w:rsidTr="008C3816">
        <w:trPr>
          <w:trHeight w:val="288"/>
          <w:tblHeader/>
        </w:trPr>
        <w:tc>
          <w:tcPr>
            <w:tcW w:w="2395" w:type="dxa"/>
            <w:shd w:val="clear" w:color="auto" w:fill="auto"/>
            <w:noWrap/>
            <w:hideMark/>
          </w:tcPr>
          <w:p w14:paraId="383456D9" w14:textId="77777777" w:rsidR="00DD15FB" w:rsidRPr="00633EFC" w:rsidRDefault="00DD15FB" w:rsidP="008C3816">
            <w:pPr>
              <w:jc w:val="center"/>
              <w:rPr>
                <w:b/>
                <w:bCs/>
                <w:sz w:val="20"/>
                <w:szCs w:val="20"/>
                <w:lang w:eastAsia="en-CA"/>
              </w:rPr>
            </w:pPr>
            <w:r>
              <w:rPr>
                <w:b/>
                <w:bCs/>
                <w:sz w:val="20"/>
                <w:szCs w:val="20"/>
                <w:lang w:eastAsia="en-CA"/>
              </w:rPr>
              <w:t>Application</w:t>
            </w:r>
          </w:p>
        </w:tc>
        <w:tc>
          <w:tcPr>
            <w:tcW w:w="1417" w:type="dxa"/>
            <w:shd w:val="clear" w:color="auto" w:fill="auto"/>
            <w:noWrap/>
            <w:hideMark/>
          </w:tcPr>
          <w:p w14:paraId="4AF48D4F" w14:textId="1515A186" w:rsidR="00DD15FB" w:rsidRPr="00633EFC" w:rsidRDefault="005F4BF0" w:rsidP="008C3816">
            <w:pPr>
              <w:jc w:val="center"/>
              <w:rPr>
                <w:b/>
                <w:bCs/>
                <w:sz w:val="20"/>
                <w:szCs w:val="20"/>
                <w:lang w:eastAsia="en-CA"/>
              </w:rPr>
            </w:pPr>
            <w:proofErr w:type="spellStart"/>
            <w:r>
              <w:rPr>
                <w:b/>
                <w:bCs/>
                <w:sz w:val="20"/>
                <w:szCs w:val="20"/>
                <w:lang w:eastAsia="en-CA"/>
              </w:rPr>
              <w:t>Unités</w:t>
            </w:r>
            <w:proofErr w:type="spellEnd"/>
            <w:r>
              <w:rPr>
                <w:b/>
                <w:bCs/>
                <w:sz w:val="20"/>
                <w:szCs w:val="20"/>
                <w:lang w:eastAsia="en-CA"/>
              </w:rPr>
              <w:t xml:space="preserve"> </w:t>
            </w:r>
            <w:proofErr w:type="spellStart"/>
            <w:r>
              <w:rPr>
                <w:b/>
                <w:bCs/>
                <w:sz w:val="20"/>
                <w:szCs w:val="20"/>
                <w:lang w:eastAsia="en-CA"/>
              </w:rPr>
              <w:t>d’é</w:t>
            </w:r>
            <w:r w:rsidR="00DD15FB" w:rsidRPr="00633EFC">
              <w:rPr>
                <w:b/>
                <w:bCs/>
                <w:sz w:val="20"/>
                <w:szCs w:val="20"/>
                <w:lang w:eastAsia="en-CA"/>
              </w:rPr>
              <w:t>quipment</w:t>
            </w:r>
            <w:proofErr w:type="spellEnd"/>
            <w:r w:rsidR="00DD15FB" w:rsidRPr="00633EFC">
              <w:rPr>
                <w:b/>
                <w:bCs/>
                <w:sz w:val="20"/>
                <w:szCs w:val="20"/>
                <w:lang w:eastAsia="en-CA"/>
              </w:rPr>
              <w:t xml:space="preserve"> </w:t>
            </w:r>
          </w:p>
        </w:tc>
        <w:tc>
          <w:tcPr>
            <w:tcW w:w="1418" w:type="dxa"/>
            <w:shd w:val="clear" w:color="auto" w:fill="auto"/>
            <w:noWrap/>
            <w:hideMark/>
          </w:tcPr>
          <w:p w14:paraId="22DDFEAC" w14:textId="53768A49" w:rsidR="00DD15FB" w:rsidRPr="00633EFC" w:rsidRDefault="005F4BF0" w:rsidP="008C3816">
            <w:pPr>
              <w:jc w:val="center"/>
              <w:rPr>
                <w:b/>
                <w:bCs/>
                <w:sz w:val="20"/>
                <w:szCs w:val="20"/>
                <w:lang w:eastAsia="en-CA"/>
              </w:rPr>
            </w:pPr>
            <w:r>
              <w:rPr>
                <w:b/>
                <w:bCs/>
                <w:sz w:val="20"/>
                <w:szCs w:val="20"/>
                <w:lang w:eastAsia="en-CA"/>
              </w:rPr>
              <w:t xml:space="preserve">Charge </w:t>
            </w:r>
            <w:proofErr w:type="spellStart"/>
            <w:r>
              <w:rPr>
                <w:b/>
                <w:bCs/>
                <w:sz w:val="20"/>
                <w:szCs w:val="20"/>
                <w:lang w:eastAsia="en-CA"/>
              </w:rPr>
              <w:t>moyenne</w:t>
            </w:r>
            <w:proofErr w:type="spellEnd"/>
            <w:r w:rsidR="00DD15FB" w:rsidRPr="00633EFC">
              <w:rPr>
                <w:b/>
                <w:bCs/>
                <w:sz w:val="20"/>
                <w:szCs w:val="20"/>
                <w:lang w:eastAsia="en-CA"/>
              </w:rPr>
              <w:t xml:space="preserve"> </w:t>
            </w:r>
          </w:p>
          <w:p w14:paraId="397FC056" w14:textId="77777777" w:rsidR="00DD15FB" w:rsidRPr="00633EFC" w:rsidRDefault="00DD15FB" w:rsidP="008C3816">
            <w:pPr>
              <w:jc w:val="center"/>
              <w:rPr>
                <w:b/>
                <w:bCs/>
                <w:sz w:val="20"/>
                <w:szCs w:val="20"/>
                <w:lang w:eastAsia="en-CA"/>
              </w:rPr>
            </w:pPr>
            <w:r w:rsidRPr="00633EFC">
              <w:rPr>
                <w:b/>
                <w:bCs/>
                <w:sz w:val="20"/>
                <w:szCs w:val="20"/>
                <w:lang w:eastAsia="en-CA"/>
              </w:rPr>
              <w:t>(kg)</w:t>
            </w:r>
          </w:p>
        </w:tc>
        <w:tc>
          <w:tcPr>
            <w:tcW w:w="1417" w:type="dxa"/>
            <w:shd w:val="clear" w:color="auto" w:fill="auto"/>
            <w:noWrap/>
            <w:hideMark/>
          </w:tcPr>
          <w:p w14:paraId="75027164" w14:textId="0AF76425" w:rsidR="00DD15FB" w:rsidRPr="00633EFC" w:rsidRDefault="00DD15FB" w:rsidP="008C3816">
            <w:pPr>
              <w:jc w:val="center"/>
              <w:rPr>
                <w:b/>
                <w:bCs/>
                <w:sz w:val="20"/>
                <w:szCs w:val="20"/>
                <w:lang w:eastAsia="en-CA"/>
              </w:rPr>
            </w:pPr>
            <w:r w:rsidRPr="00633EFC">
              <w:rPr>
                <w:b/>
                <w:bCs/>
                <w:sz w:val="20"/>
                <w:szCs w:val="20"/>
                <w:lang w:eastAsia="en-CA"/>
              </w:rPr>
              <w:t>Ban</w:t>
            </w:r>
            <w:r w:rsidR="005F4BF0">
              <w:rPr>
                <w:b/>
                <w:bCs/>
                <w:sz w:val="20"/>
                <w:szCs w:val="20"/>
                <w:lang w:eastAsia="en-CA"/>
              </w:rPr>
              <w:t>que</w:t>
            </w:r>
            <w:r w:rsidRPr="00633EFC">
              <w:rPr>
                <w:b/>
                <w:bCs/>
                <w:sz w:val="20"/>
                <w:szCs w:val="20"/>
                <w:lang w:eastAsia="en-CA"/>
              </w:rPr>
              <w:t>s</w:t>
            </w:r>
            <w:r w:rsidR="00A25F03">
              <w:rPr>
                <w:b/>
                <w:bCs/>
                <w:sz w:val="20"/>
                <w:szCs w:val="20"/>
                <w:lang w:eastAsia="en-CA"/>
              </w:rPr>
              <w:t xml:space="preserve"> de HCFC-22</w:t>
            </w:r>
          </w:p>
          <w:p w14:paraId="79C4F479" w14:textId="4AEADD3F" w:rsidR="00DD15FB" w:rsidRPr="00633EFC" w:rsidRDefault="00DD15FB" w:rsidP="008C3816">
            <w:pPr>
              <w:jc w:val="center"/>
              <w:rPr>
                <w:b/>
                <w:bCs/>
                <w:sz w:val="20"/>
                <w:szCs w:val="20"/>
                <w:lang w:eastAsia="en-CA"/>
              </w:rPr>
            </w:pPr>
            <w:r w:rsidRPr="00633EFC">
              <w:rPr>
                <w:b/>
                <w:bCs/>
                <w:sz w:val="20"/>
                <w:szCs w:val="20"/>
                <w:lang w:eastAsia="en-CA"/>
              </w:rPr>
              <w:t>(</w:t>
            </w:r>
            <w:r>
              <w:rPr>
                <w:b/>
                <w:bCs/>
                <w:sz w:val="20"/>
                <w:szCs w:val="20"/>
                <w:lang w:eastAsia="en-CA"/>
              </w:rPr>
              <w:t>t</w:t>
            </w:r>
            <w:r w:rsidR="005F4BF0">
              <w:rPr>
                <w:b/>
                <w:bCs/>
                <w:sz w:val="20"/>
                <w:szCs w:val="20"/>
                <w:lang w:eastAsia="en-CA"/>
              </w:rPr>
              <w:t>m</w:t>
            </w:r>
            <w:r w:rsidRPr="00633EFC">
              <w:rPr>
                <w:b/>
                <w:bCs/>
                <w:sz w:val="20"/>
                <w:szCs w:val="20"/>
                <w:lang w:eastAsia="en-CA"/>
              </w:rPr>
              <w:t>)</w:t>
            </w:r>
          </w:p>
        </w:tc>
        <w:tc>
          <w:tcPr>
            <w:tcW w:w="1418" w:type="dxa"/>
            <w:shd w:val="clear" w:color="auto" w:fill="auto"/>
            <w:noWrap/>
            <w:hideMark/>
          </w:tcPr>
          <w:p w14:paraId="13E3BC6C" w14:textId="7208E63B" w:rsidR="00DD15FB" w:rsidRPr="00633EFC" w:rsidRDefault="005F4BF0" w:rsidP="008C3816">
            <w:pPr>
              <w:jc w:val="center"/>
              <w:rPr>
                <w:b/>
                <w:bCs/>
                <w:sz w:val="20"/>
                <w:szCs w:val="20"/>
                <w:lang w:eastAsia="en-CA"/>
              </w:rPr>
            </w:pPr>
            <w:proofErr w:type="spellStart"/>
            <w:r>
              <w:rPr>
                <w:b/>
                <w:bCs/>
                <w:sz w:val="20"/>
                <w:szCs w:val="20"/>
                <w:lang w:eastAsia="en-CA"/>
              </w:rPr>
              <w:t>Taux</w:t>
            </w:r>
            <w:proofErr w:type="spellEnd"/>
            <w:r>
              <w:rPr>
                <w:b/>
                <w:bCs/>
                <w:sz w:val="20"/>
                <w:szCs w:val="20"/>
                <w:lang w:eastAsia="en-CA"/>
              </w:rPr>
              <w:t xml:space="preserve"> de </w:t>
            </w:r>
            <w:proofErr w:type="spellStart"/>
            <w:r>
              <w:rPr>
                <w:b/>
                <w:bCs/>
                <w:sz w:val="20"/>
                <w:szCs w:val="20"/>
                <w:lang w:eastAsia="en-CA"/>
              </w:rPr>
              <w:t>fuites</w:t>
            </w:r>
            <w:proofErr w:type="spellEnd"/>
            <w:r w:rsidR="00DD15FB" w:rsidRPr="00633EFC">
              <w:rPr>
                <w:b/>
                <w:bCs/>
                <w:sz w:val="20"/>
                <w:szCs w:val="20"/>
                <w:lang w:eastAsia="en-CA"/>
              </w:rPr>
              <w:t xml:space="preserve"> (</w:t>
            </w:r>
            <w:proofErr w:type="spellStart"/>
            <w:r w:rsidR="00DD15FB" w:rsidRPr="00633EFC">
              <w:rPr>
                <w:b/>
                <w:bCs/>
                <w:sz w:val="20"/>
                <w:szCs w:val="20"/>
                <w:lang w:eastAsia="en-CA"/>
              </w:rPr>
              <w:t>p</w:t>
            </w:r>
            <w:r>
              <w:rPr>
                <w:b/>
                <w:bCs/>
                <w:sz w:val="20"/>
                <w:szCs w:val="20"/>
                <w:lang w:eastAsia="en-CA"/>
              </w:rPr>
              <w:t>ou</w:t>
            </w:r>
            <w:r w:rsidR="00DD15FB" w:rsidRPr="00633EFC">
              <w:rPr>
                <w:b/>
                <w:bCs/>
                <w:sz w:val="20"/>
                <w:szCs w:val="20"/>
                <w:lang w:eastAsia="en-CA"/>
              </w:rPr>
              <w:t>rcentage</w:t>
            </w:r>
            <w:proofErr w:type="spellEnd"/>
            <w:r w:rsidR="00DD15FB" w:rsidRPr="00633EFC">
              <w:rPr>
                <w:b/>
                <w:bCs/>
                <w:sz w:val="20"/>
                <w:szCs w:val="20"/>
                <w:lang w:eastAsia="en-CA"/>
              </w:rPr>
              <w:t>)</w:t>
            </w:r>
          </w:p>
        </w:tc>
        <w:tc>
          <w:tcPr>
            <w:tcW w:w="1418" w:type="dxa"/>
            <w:shd w:val="clear" w:color="auto" w:fill="auto"/>
            <w:noWrap/>
            <w:hideMark/>
          </w:tcPr>
          <w:p w14:paraId="22C03575" w14:textId="114B72B1" w:rsidR="00DD15FB" w:rsidRPr="005F4BF0" w:rsidRDefault="005F4BF0" w:rsidP="008C3816">
            <w:pPr>
              <w:jc w:val="center"/>
              <w:rPr>
                <w:b/>
                <w:bCs/>
                <w:sz w:val="20"/>
                <w:szCs w:val="20"/>
                <w:lang w:val="fr-CA" w:eastAsia="en-CA"/>
              </w:rPr>
            </w:pPr>
            <w:r w:rsidRPr="005F4BF0">
              <w:rPr>
                <w:b/>
                <w:bCs/>
                <w:sz w:val="20"/>
                <w:szCs w:val="20"/>
                <w:lang w:val="fr-CA" w:eastAsia="en-CA"/>
              </w:rPr>
              <w:t xml:space="preserve">Besoins de </w:t>
            </w:r>
            <w:r w:rsidR="00DD15FB" w:rsidRPr="005F4BF0">
              <w:rPr>
                <w:b/>
                <w:bCs/>
                <w:sz w:val="20"/>
                <w:szCs w:val="20"/>
                <w:lang w:val="fr-CA" w:eastAsia="en-CA"/>
              </w:rPr>
              <w:t>HCFC</w:t>
            </w:r>
            <w:r w:rsidRPr="005F4BF0">
              <w:rPr>
                <w:b/>
                <w:bCs/>
                <w:sz w:val="20"/>
                <w:szCs w:val="20"/>
                <w:lang w:val="fr-CA" w:eastAsia="en-CA"/>
              </w:rPr>
              <w:t xml:space="preserve"> pour l’entretien</w:t>
            </w:r>
            <w:r w:rsidR="00DD15FB" w:rsidRPr="005F4BF0">
              <w:rPr>
                <w:b/>
                <w:bCs/>
                <w:sz w:val="20"/>
                <w:szCs w:val="20"/>
                <w:lang w:val="fr-CA" w:eastAsia="en-CA"/>
              </w:rPr>
              <w:t xml:space="preserve"> (</w:t>
            </w:r>
            <w:proofErr w:type="spellStart"/>
            <w:r w:rsidRPr="005F4BF0">
              <w:rPr>
                <w:b/>
                <w:bCs/>
                <w:sz w:val="20"/>
                <w:szCs w:val="20"/>
                <w:lang w:val="fr-CA" w:eastAsia="en-CA"/>
              </w:rPr>
              <w:t>t</w:t>
            </w:r>
            <w:r w:rsidR="00DD15FB" w:rsidRPr="005F4BF0">
              <w:rPr>
                <w:b/>
                <w:bCs/>
                <w:sz w:val="20"/>
                <w:szCs w:val="20"/>
                <w:lang w:val="fr-CA" w:eastAsia="en-CA"/>
              </w:rPr>
              <w:t>m</w:t>
            </w:r>
            <w:proofErr w:type="spellEnd"/>
            <w:r w:rsidR="00DD15FB" w:rsidRPr="005F4BF0">
              <w:rPr>
                <w:b/>
                <w:bCs/>
                <w:sz w:val="20"/>
                <w:szCs w:val="20"/>
                <w:lang w:val="fr-CA" w:eastAsia="en-CA"/>
              </w:rPr>
              <w:t>)</w:t>
            </w:r>
          </w:p>
        </w:tc>
      </w:tr>
      <w:tr w:rsidR="00DD15FB" w:rsidRPr="00633EFC" w14:paraId="48407EB1" w14:textId="77777777" w:rsidTr="008C3816">
        <w:trPr>
          <w:trHeight w:val="288"/>
        </w:trPr>
        <w:tc>
          <w:tcPr>
            <w:tcW w:w="2395" w:type="dxa"/>
            <w:shd w:val="clear" w:color="auto" w:fill="auto"/>
            <w:noWrap/>
            <w:vAlign w:val="center"/>
            <w:hideMark/>
          </w:tcPr>
          <w:p w14:paraId="2DC0D1EF" w14:textId="23AA4117" w:rsidR="00DD15FB" w:rsidRPr="00633EFC" w:rsidRDefault="005F4BF0" w:rsidP="008C3816">
            <w:pPr>
              <w:rPr>
                <w:sz w:val="20"/>
                <w:szCs w:val="20"/>
                <w:lang w:eastAsia="en-CA"/>
              </w:rPr>
            </w:pPr>
            <w:proofErr w:type="spellStart"/>
            <w:r>
              <w:rPr>
                <w:sz w:val="20"/>
                <w:szCs w:val="20"/>
                <w:lang w:eastAsia="en-CA"/>
              </w:rPr>
              <w:t>Climatisation</w:t>
            </w:r>
            <w:proofErr w:type="spellEnd"/>
          </w:p>
        </w:tc>
        <w:tc>
          <w:tcPr>
            <w:tcW w:w="1417" w:type="dxa"/>
            <w:shd w:val="clear" w:color="auto" w:fill="auto"/>
            <w:noWrap/>
            <w:vAlign w:val="center"/>
            <w:hideMark/>
          </w:tcPr>
          <w:p w14:paraId="59428767" w14:textId="6F529D51" w:rsidR="00DD15FB" w:rsidRPr="00633EFC" w:rsidRDefault="00DD15FB" w:rsidP="008C3816">
            <w:pPr>
              <w:ind w:right="91"/>
              <w:jc w:val="right"/>
              <w:rPr>
                <w:sz w:val="20"/>
                <w:szCs w:val="20"/>
                <w:lang w:eastAsia="en-CA"/>
              </w:rPr>
            </w:pPr>
            <w:r w:rsidRPr="00633EFC">
              <w:rPr>
                <w:sz w:val="20"/>
                <w:szCs w:val="20"/>
                <w:lang w:eastAsia="en-CA"/>
              </w:rPr>
              <w:t>124</w:t>
            </w:r>
            <w:r w:rsidR="00A25F03">
              <w:rPr>
                <w:sz w:val="20"/>
                <w:szCs w:val="20"/>
                <w:lang w:eastAsia="en-CA"/>
              </w:rPr>
              <w:t xml:space="preserve"> </w:t>
            </w:r>
            <w:r w:rsidRPr="00633EFC">
              <w:rPr>
                <w:sz w:val="20"/>
                <w:szCs w:val="20"/>
                <w:lang w:eastAsia="en-CA"/>
              </w:rPr>
              <w:t>350</w:t>
            </w:r>
          </w:p>
        </w:tc>
        <w:tc>
          <w:tcPr>
            <w:tcW w:w="1418" w:type="dxa"/>
            <w:shd w:val="clear" w:color="auto" w:fill="auto"/>
            <w:noWrap/>
            <w:vAlign w:val="center"/>
            <w:hideMark/>
          </w:tcPr>
          <w:p w14:paraId="6851627E" w14:textId="4BE7A303" w:rsidR="00DD15FB" w:rsidRPr="00633EFC" w:rsidRDefault="00DD15FB" w:rsidP="008C3816">
            <w:pPr>
              <w:ind w:right="91"/>
              <w:jc w:val="right"/>
              <w:rPr>
                <w:sz w:val="20"/>
                <w:szCs w:val="20"/>
                <w:lang w:eastAsia="en-CA"/>
              </w:rPr>
            </w:pPr>
            <w:r w:rsidRPr="00633EFC">
              <w:rPr>
                <w:sz w:val="20"/>
                <w:szCs w:val="20"/>
                <w:lang w:eastAsia="en-CA"/>
              </w:rPr>
              <w:t>1</w:t>
            </w:r>
            <w:r w:rsidR="00A25F03">
              <w:rPr>
                <w:sz w:val="20"/>
                <w:szCs w:val="20"/>
                <w:lang w:eastAsia="en-CA"/>
              </w:rPr>
              <w:t>,</w:t>
            </w:r>
            <w:r w:rsidRPr="00633EFC">
              <w:rPr>
                <w:sz w:val="20"/>
                <w:szCs w:val="20"/>
                <w:lang w:eastAsia="en-CA"/>
              </w:rPr>
              <w:t>2</w:t>
            </w:r>
            <w:r>
              <w:rPr>
                <w:sz w:val="20"/>
                <w:szCs w:val="20"/>
                <w:lang w:eastAsia="en-CA"/>
              </w:rPr>
              <w:t>0</w:t>
            </w:r>
          </w:p>
        </w:tc>
        <w:tc>
          <w:tcPr>
            <w:tcW w:w="1417" w:type="dxa"/>
            <w:shd w:val="clear" w:color="auto" w:fill="auto"/>
            <w:noWrap/>
            <w:vAlign w:val="center"/>
            <w:hideMark/>
          </w:tcPr>
          <w:p w14:paraId="153C6114" w14:textId="41524F2F" w:rsidR="00DD15FB" w:rsidRPr="00633EFC" w:rsidRDefault="00DD15FB" w:rsidP="008C3816">
            <w:pPr>
              <w:ind w:right="67"/>
              <w:jc w:val="right"/>
              <w:rPr>
                <w:sz w:val="20"/>
                <w:szCs w:val="20"/>
                <w:lang w:eastAsia="en-CA"/>
              </w:rPr>
            </w:pPr>
            <w:r w:rsidRPr="00633EFC">
              <w:rPr>
                <w:sz w:val="20"/>
                <w:szCs w:val="20"/>
                <w:lang w:eastAsia="en-CA"/>
              </w:rPr>
              <w:t>149</w:t>
            </w:r>
            <w:r w:rsidR="00A25F03">
              <w:rPr>
                <w:sz w:val="20"/>
                <w:szCs w:val="20"/>
                <w:lang w:eastAsia="en-CA"/>
              </w:rPr>
              <w:t>,</w:t>
            </w:r>
            <w:r w:rsidRPr="00633EFC">
              <w:rPr>
                <w:sz w:val="20"/>
                <w:szCs w:val="20"/>
                <w:lang w:eastAsia="en-CA"/>
              </w:rPr>
              <w:t>22</w:t>
            </w:r>
          </w:p>
        </w:tc>
        <w:tc>
          <w:tcPr>
            <w:tcW w:w="1418" w:type="dxa"/>
            <w:shd w:val="clear" w:color="auto" w:fill="auto"/>
            <w:noWrap/>
            <w:vAlign w:val="center"/>
            <w:hideMark/>
          </w:tcPr>
          <w:p w14:paraId="486505EC" w14:textId="24DA7E60" w:rsidR="00DD15FB" w:rsidRPr="00633EFC" w:rsidRDefault="00DD15FB" w:rsidP="008C3816">
            <w:pPr>
              <w:ind w:right="58"/>
              <w:jc w:val="right"/>
              <w:rPr>
                <w:sz w:val="20"/>
                <w:szCs w:val="20"/>
                <w:lang w:eastAsia="en-CA"/>
              </w:rPr>
            </w:pPr>
            <w:r w:rsidRPr="00633EFC">
              <w:rPr>
                <w:sz w:val="20"/>
                <w:szCs w:val="20"/>
                <w:lang w:eastAsia="en-CA"/>
              </w:rPr>
              <w:t>25</w:t>
            </w:r>
            <w:r w:rsidR="00A25F03">
              <w:rPr>
                <w:sz w:val="20"/>
                <w:szCs w:val="20"/>
                <w:lang w:eastAsia="en-CA"/>
              </w:rPr>
              <w:t>,</w:t>
            </w:r>
            <w:r w:rsidRPr="00633EFC">
              <w:rPr>
                <w:sz w:val="20"/>
                <w:szCs w:val="20"/>
                <w:lang w:eastAsia="en-CA"/>
              </w:rPr>
              <w:t>0</w:t>
            </w:r>
          </w:p>
        </w:tc>
        <w:tc>
          <w:tcPr>
            <w:tcW w:w="1418" w:type="dxa"/>
            <w:shd w:val="clear" w:color="auto" w:fill="auto"/>
            <w:noWrap/>
            <w:vAlign w:val="center"/>
            <w:hideMark/>
          </w:tcPr>
          <w:p w14:paraId="66A0F76A" w14:textId="31987D8D" w:rsidR="00DD15FB" w:rsidRPr="00633EFC" w:rsidRDefault="00DD15FB" w:rsidP="008C3816">
            <w:pPr>
              <w:ind w:right="58"/>
              <w:jc w:val="right"/>
              <w:rPr>
                <w:sz w:val="20"/>
                <w:szCs w:val="20"/>
                <w:lang w:eastAsia="en-CA"/>
              </w:rPr>
            </w:pPr>
            <w:r w:rsidRPr="00633EFC">
              <w:rPr>
                <w:sz w:val="20"/>
                <w:szCs w:val="20"/>
                <w:lang w:eastAsia="en-CA"/>
              </w:rPr>
              <w:t>3</w:t>
            </w:r>
            <w:r>
              <w:rPr>
                <w:sz w:val="20"/>
                <w:szCs w:val="20"/>
                <w:lang w:eastAsia="en-CA"/>
              </w:rPr>
              <w:t>7</w:t>
            </w:r>
            <w:r w:rsidR="00A25F03">
              <w:rPr>
                <w:sz w:val="20"/>
                <w:szCs w:val="20"/>
                <w:lang w:eastAsia="en-CA"/>
              </w:rPr>
              <w:t>,</w:t>
            </w:r>
            <w:r>
              <w:rPr>
                <w:sz w:val="20"/>
                <w:szCs w:val="20"/>
                <w:lang w:eastAsia="en-CA"/>
              </w:rPr>
              <w:t>31</w:t>
            </w:r>
          </w:p>
        </w:tc>
      </w:tr>
      <w:tr w:rsidR="00DD15FB" w:rsidRPr="00633EFC" w14:paraId="5C2F788A" w14:textId="77777777" w:rsidTr="008C3816">
        <w:trPr>
          <w:trHeight w:val="288"/>
        </w:trPr>
        <w:tc>
          <w:tcPr>
            <w:tcW w:w="2395" w:type="dxa"/>
            <w:shd w:val="clear" w:color="auto" w:fill="auto"/>
            <w:noWrap/>
            <w:vAlign w:val="center"/>
            <w:hideMark/>
          </w:tcPr>
          <w:p w14:paraId="6D491654" w14:textId="5644BD49" w:rsidR="00DD15FB" w:rsidRPr="00633EFC" w:rsidRDefault="005F4BF0" w:rsidP="008C3816">
            <w:pPr>
              <w:rPr>
                <w:sz w:val="20"/>
                <w:szCs w:val="20"/>
                <w:lang w:eastAsia="en-CA"/>
              </w:rPr>
            </w:pPr>
            <w:proofErr w:type="spellStart"/>
            <w:r>
              <w:rPr>
                <w:sz w:val="20"/>
                <w:szCs w:val="20"/>
                <w:lang w:eastAsia="en-CA"/>
              </w:rPr>
              <w:t>Réfrigération</w:t>
            </w:r>
            <w:proofErr w:type="spellEnd"/>
            <w:r>
              <w:rPr>
                <w:sz w:val="20"/>
                <w:szCs w:val="20"/>
                <w:lang w:eastAsia="en-CA"/>
              </w:rPr>
              <w:t xml:space="preserve"> </w:t>
            </w:r>
            <w:proofErr w:type="spellStart"/>
            <w:r>
              <w:rPr>
                <w:sz w:val="20"/>
                <w:szCs w:val="20"/>
                <w:lang w:eastAsia="en-CA"/>
              </w:rPr>
              <w:t>c</w:t>
            </w:r>
            <w:r w:rsidR="00DD15FB" w:rsidRPr="00633EFC">
              <w:rPr>
                <w:sz w:val="20"/>
                <w:szCs w:val="20"/>
                <w:lang w:eastAsia="en-CA"/>
              </w:rPr>
              <w:t>ommercial</w:t>
            </w:r>
            <w:r>
              <w:rPr>
                <w:sz w:val="20"/>
                <w:szCs w:val="20"/>
                <w:lang w:eastAsia="en-CA"/>
              </w:rPr>
              <w:t>e</w:t>
            </w:r>
            <w:proofErr w:type="spellEnd"/>
          </w:p>
        </w:tc>
        <w:tc>
          <w:tcPr>
            <w:tcW w:w="1417" w:type="dxa"/>
            <w:shd w:val="clear" w:color="auto" w:fill="auto"/>
            <w:noWrap/>
            <w:vAlign w:val="center"/>
            <w:hideMark/>
          </w:tcPr>
          <w:p w14:paraId="27EA800A" w14:textId="3467AEE1" w:rsidR="00DD15FB" w:rsidRPr="00633EFC" w:rsidRDefault="00DD15FB" w:rsidP="008C3816">
            <w:pPr>
              <w:ind w:right="91"/>
              <w:jc w:val="right"/>
              <w:rPr>
                <w:sz w:val="20"/>
                <w:szCs w:val="20"/>
                <w:lang w:eastAsia="en-CA"/>
              </w:rPr>
            </w:pPr>
            <w:r w:rsidRPr="00633EFC">
              <w:rPr>
                <w:sz w:val="20"/>
                <w:szCs w:val="20"/>
                <w:lang w:eastAsia="en-CA"/>
              </w:rPr>
              <w:t>44</w:t>
            </w:r>
            <w:r w:rsidR="00A25F03">
              <w:rPr>
                <w:sz w:val="20"/>
                <w:szCs w:val="20"/>
                <w:lang w:eastAsia="en-CA"/>
              </w:rPr>
              <w:t xml:space="preserve"> </w:t>
            </w:r>
            <w:r w:rsidRPr="00633EFC">
              <w:rPr>
                <w:sz w:val="20"/>
                <w:szCs w:val="20"/>
                <w:lang w:eastAsia="en-CA"/>
              </w:rPr>
              <w:t>183</w:t>
            </w:r>
          </w:p>
        </w:tc>
        <w:tc>
          <w:tcPr>
            <w:tcW w:w="1418" w:type="dxa"/>
            <w:shd w:val="clear" w:color="auto" w:fill="auto"/>
            <w:noWrap/>
            <w:vAlign w:val="center"/>
            <w:hideMark/>
          </w:tcPr>
          <w:p w14:paraId="6A3ECC48" w14:textId="1F528C5B" w:rsidR="00DD15FB" w:rsidRPr="00633EFC" w:rsidRDefault="00DD15FB" w:rsidP="008C3816">
            <w:pPr>
              <w:ind w:right="91"/>
              <w:jc w:val="right"/>
              <w:rPr>
                <w:sz w:val="20"/>
                <w:szCs w:val="20"/>
                <w:lang w:eastAsia="en-CA"/>
              </w:rPr>
            </w:pPr>
            <w:r w:rsidRPr="00633EFC">
              <w:rPr>
                <w:sz w:val="20"/>
                <w:szCs w:val="20"/>
                <w:lang w:eastAsia="en-CA"/>
              </w:rPr>
              <w:t>2</w:t>
            </w:r>
            <w:r w:rsidR="00A25F03">
              <w:rPr>
                <w:sz w:val="20"/>
                <w:szCs w:val="20"/>
                <w:lang w:eastAsia="en-CA"/>
              </w:rPr>
              <w:t>,</w:t>
            </w:r>
            <w:r w:rsidRPr="00633EFC">
              <w:rPr>
                <w:sz w:val="20"/>
                <w:szCs w:val="20"/>
                <w:lang w:eastAsia="en-CA"/>
              </w:rPr>
              <w:t>5</w:t>
            </w:r>
            <w:r>
              <w:rPr>
                <w:sz w:val="20"/>
                <w:szCs w:val="20"/>
                <w:lang w:eastAsia="en-CA"/>
              </w:rPr>
              <w:t>0</w:t>
            </w:r>
          </w:p>
        </w:tc>
        <w:tc>
          <w:tcPr>
            <w:tcW w:w="1417" w:type="dxa"/>
            <w:shd w:val="clear" w:color="auto" w:fill="auto"/>
            <w:noWrap/>
            <w:vAlign w:val="center"/>
            <w:hideMark/>
          </w:tcPr>
          <w:p w14:paraId="062FDF65" w14:textId="6168FDE1" w:rsidR="00DD15FB" w:rsidRPr="00633EFC" w:rsidRDefault="00DD15FB" w:rsidP="008C3816">
            <w:pPr>
              <w:ind w:right="67"/>
              <w:jc w:val="right"/>
              <w:rPr>
                <w:sz w:val="20"/>
                <w:szCs w:val="20"/>
                <w:lang w:eastAsia="en-CA"/>
              </w:rPr>
            </w:pPr>
            <w:r w:rsidRPr="00633EFC">
              <w:rPr>
                <w:sz w:val="20"/>
                <w:szCs w:val="20"/>
                <w:lang w:eastAsia="en-CA"/>
              </w:rPr>
              <w:t>110</w:t>
            </w:r>
            <w:r w:rsidR="00A25F03">
              <w:rPr>
                <w:sz w:val="20"/>
                <w:szCs w:val="20"/>
                <w:lang w:eastAsia="en-CA"/>
              </w:rPr>
              <w:t>,</w:t>
            </w:r>
            <w:r w:rsidRPr="00633EFC">
              <w:rPr>
                <w:sz w:val="20"/>
                <w:szCs w:val="20"/>
                <w:lang w:eastAsia="en-CA"/>
              </w:rPr>
              <w:t>46</w:t>
            </w:r>
          </w:p>
        </w:tc>
        <w:tc>
          <w:tcPr>
            <w:tcW w:w="1418" w:type="dxa"/>
            <w:shd w:val="clear" w:color="auto" w:fill="auto"/>
            <w:noWrap/>
            <w:vAlign w:val="center"/>
            <w:hideMark/>
          </w:tcPr>
          <w:p w14:paraId="7599D51E" w14:textId="3DF58A42" w:rsidR="00DD15FB" w:rsidRPr="00633EFC" w:rsidRDefault="00DD15FB" w:rsidP="008C3816">
            <w:pPr>
              <w:ind w:right="58"/>
              <w:jc w:val="right"/>
              <w:rPr>
                <w:sz w:val="20"/>
                <w:szCs w:val="20"/>
                <w:lang w:eastAsia="en-CA"/>
              </w:rPr>
            </w:pPr>
            <w:r w:rsidRPr="00633EFC">
              <w:rPr>
                <w:sz w:val="20"/>
                <w:szCs w:val="20"/>
                <w:lang w:eastAsia="en-CA"/>
              </w:rPr>
              <w:t>25</w:t>
            </w:r>
            <w:r w:rsidR="00A25F03">
              <w:rPr>
                <w:sz w:val="20"/>
                <w:szCs w:val="20"/>
                <w:lang w:eastAsia="en-CA"/>
              </w:rPr>
              <w:t>,</w:t>
            </w:r>
            <w:r w:rsidRPr="00633EFC">
              <w:rPr>
                <w:sz w:val="20"/>
                <w:szCs w:val="20"/>
                <w:lang w:eastAsia="en-CA"/>
              </w:rPr>
              <w:t>0</w:t>
            </w:r>
          </w:p>
        </w:tc>
        <w:tc>
          <w:tcPr>
            <w:tcW w:w="1418" w:type="dxa"/>
            <w:shd w:val="clear" w:color="auto" w:fill="auto"/>
            <w:noWrap/>
            <w:vAlign w:val="center"/>
            <w:hideMark/>
          </w:tcPr>
          <w:p w14:paraId="2991DF47" w14:textId="46A74E46" w:rsidR="00DD15FB" w:rsidRPr="00633EFC" w:rsidRDefault="00DD15FB" w:rsidP="008C3816">
            <w:pPr>
              <w:ind w:right="58"/>
              <w:jc w:val="right"/>
              <w:rPr>
                <w:sz w:val="20"/>
                <w:szCs w:val="20"/>
                <w:lang w:eastAsia="en-CA"/>
              </w:rPr>
            </w:pPr>
            <w:r w:rsidRPr="00633EFC">
              <w:rPr>
                <w:sz w:val="20"/>
                <w:szCs w:val="20"/>
                <w:lang w:eastAsia="en-CA"/>
              </w:rPr>
              <w:t>2</w:t>
            </w:r>
            <w:r>
              <w:rPr>
                <w:sz w:val="20"/>
                <w:szCs w:val="20"/>
                <w:lang w:eastAsia="en-CA"/>
              </w:rPr>
              <w:t>7</w:t>
            </w:r>
            <w:r w:rsidR="00A25F03">
              <w:rPr>
                <w:sz w:val="20"/>
                <w:szCs w:val="20"/>
                <w:lang w:eastAsia="en-CA"/>
              </w:rPr>
              <w:t>,</w:t>
            </w:r>
            <w:r>
              <w:rPr>
                <w:sz w:val="20"/>
                <w:szCs w:val="20"/>
                <w:lang w:eastAsia="en-CA"/>
              </w:rPr>
              <w:t>61</w:t>
            </w:r>
          </w:p>
        </w:tc>
      </w:tr>
      <w:tr w:rsidR="00DD15FB" w:rsidRPr="00633EFC" w14:paraId="19312EE5" w14:textId="77777777" w:rsidTr="008C3816">
        <w:trPr>
          <w:trHeight w:val="288"/>
        </w:trPr>
        <w:tc>
          <w:tcPr>
            <w:tcW w:w="2395" w:type="dxa"/>
            <w:shd w:val="clear" w:color="auto" w:fill="auto"/>
            <w:noWrap/>
            <w:vAlign w:val="center"/>
            <w:hideMark/>
          </w:tcPr>
          <w:p w14:paraId="2430267E" w14:textId="7467EE5E" w:rsidR="00DD15FB" w:rsidRPr="005F4BF0" w:rsidRDefault="005F4BF0" w:rsidP="008C3816">
            <w:pPr>
              <w:jc w:val="left"/>
              <w:rPr>
                <w:sz w:val="20"/>
                <w:szCs w:val="20"/>
                <w:lang w:val="fr-CA" w:eastAsia="en-CA"/>
              </w:rPr>
            </w:pPr>
            <w:r w:rsidRPr="005F4BF0">
              <w:rPr>
                <w:sz w:val="20"/>
                <w:szCs w:val="20"/>
                <w:lang w:val="fr-CA" w:eastAsia="en-CA"/>
              </w:rPr>
              <w:t xml:space="preserve">Bateaux de pêche (avec </w:t>
            </w:r>
            <w:r w:rsidR="00DD15FB" w:rsidRPr="005F4BF0">
              <w:rPr>
                <w:sz w:val="20"/>
                <w:szCs w:val="20"/>
                <w:lang w:val="fr-CA" w:eastAsia="en-CA"/>
              </w:rPr>
              <w:t xml:space="preserve"> </w:t>
            </w:r>
            <w:r w:rsidRPr="005F4BF0">
              <w:rPr>
                <w:sz w:val="20"/>
                <w:szCs w:val="20"/>
                <w:lang w:val="fr-CA" w:eastAsia="en-CA"/>
              </w:rPr>
              <w:t>réfrigération mécanique</w:t>
            </w:r>
            <w:r w:rsidR="00DD15FB" w:rsidRPr="005F4BF0">
              <w:rPr>
                <w:sz w:val="20"/>
                <w:szCs w:val="20"/>
                <w:lang w:val="fr-CA" w:eastAsia="en-CA"/>
              </w:rPr>
              <w:t>)</w:t>
            </w:r>
          </w:p>
        </w:tc>
        <w:tc>
          <w:tcPr>
            <w:tcW w:w="1417" w:type="dxa"/>
            <w:shd w:val="clear" w:color="auto" w:fill="auto"/>
            <w:noWrap/>
            <w:vAlign w:val="center"/>
            <w:hideMark/>
          </w:tcPr>
          <w:p w14:paraId="664179E0" w14:textId="77777777" w:rsidR="00DD15FB" w:rsidRPr="00633EFC" w:rsidRDefault="00DD15FB" w:rsidP="008C3816">
            <w:pPr>
              <w:ind w:right="91"/>
              <w:jc w:val="right"/>
              <w:rPr>
                <w:sz w:val="20"/>
                <w:szCs w:val="20"/>
                <w:lang w:eastAsia="en-CA"/>
              </w:rPr>
            </w:pPr>
            <w:r w:rsidRPr="00633EFC">
              <w:rPr>
                <w:sz w:val="20"/>
                <w:szCs w:val="20"/>
                <w:lang w:eastAsia="en-CA"/>
              </w:rPr>
              <w:t>660</w:t>
            </w:r>
          </w:p>
        </w:tc>
        <w:tc>
          <w:tcPr>
            <w:tcW w:w="1418" w:type="dxa"/>
            <w:shd w:val="clear" w:color="auto" w:fill="auto"/>
            <w:noWrap/>
            <w:vAlign w:val="center"/>
            <w:hideMark/>
          </w:tcPr>
          <w:p w14:paraId="78ED78DD" w14:textId="5943A7B5" w:rsidR="00DD15FB" w:rsidRPr="00633EFC" w:rsidRDefault="00DD15FB" w:rsidP="008C3816">
            <w:pPr>
              <w:ind w:right="91"/>
              <w:jc w:val="right"/>
              <w:rPr>
                <w:sz w:val="20"/>
                <w:szCs w:val="20"/>
                <w:lang w:eastAsia="en-CA"/>
              </w:rPr>
            </w:pPr>
            <w:r w:rsidRPr="00633EFC">
              <w:rPr>
                <w:sz w:val="20"/>
                <w:szCs w:val="20"/>
                <w:lang w:eastAsia="en-CA"/>
              </w:rPr>
              <w:t>45</w:t>
            </w:r>
            <w:r w:rsidR="00A25F03">
              <w:rPr>
                <w:sz w:val="20"/>
                <w:szCs w:val="20"/>
                <w:lang w:eastAsia="en-CA"/>
              </w:rPr>
              <w:t>,</w:t>
            </w:r>
            <w:r>
              <w:rPr>
                <w:sz w:val="20"/>
                <w:szCs w:val="20"/>
                <w:lang w:eastAsia="en-CA"/>
              </w:rPr>
              <w:t>00</w:t>
            </w:r>
          </w:p>
        </w:tc>
        <w:tc>
          <w:tcPr>
            <w:tcW w:w="1417" w:type="dxa"/>
            <w:shd w:val="clear" w:color="auto" w:fill="auto"/>
            <w:noWrap/>
            <w:vAlign w:val="center"/>
            <w:hideMark/>
          </w:tcPr>
          <w:p w14:paraId="4942A51B" w14:textId="2A0700AF" w:rsidR="00DD15FB" w:rsidRPr="00633EFC" w:rsidRDefault="00DD15FB" w:rsidP="008C3816">
            <w:pPr>
              <w:ind w:right="67"/>
              <w:jc w:val="right"/>
              <w:rPr>
                <w:sz w:val="20"/>
                <w:szCs w:val="20"/>
                <w:lang w:eastAsia="en-CA"/>
              </w:rPr>
            </w:pPr>
            <w:r w:rsidRPr="00633EFC">
              <w:rPr>
                <w:sz w:val="20"/>
                <w:szCs w:val="20"/>
                <w:lang w:eastAsia="en-CA"/>
              </w:rPr>
              <w:t>29</w:t>
            </w:r>
            <w:r w:rsidR="00A25F03">
              <w:rPr>
                <w:sz w:val="20"/>
                <w:szCs w:val="20"/>
                <w:lang w:eastAsia="en-CA"/>
              </w:rPr>
              <w:t>,</w:t>
            </w:r>
            <w:r w:rsidRPr="00633EFC">
              <w:rPr>
                <w:sz w:val="20"/>
                <w:szCs w:val="20"/>
                <w:lang w:eastAsia="en-CA"/>
              </w:rPr>
              <w:t>70</w:t>
            </w:r>
          </w:p>
        </w:tc>
        <w:tc>
          <w:tcPr>
            <w:tcW w:w="1418" w:type="dxa"/>
            <w:shd w:val="clear" w:color="auto" w:fill="auto"/>
            <w:noWrap/>
            <w:vAlign w:val="center"/>
            <w:hideMark/>
          </w:tcPr>
          <w:p w14:paraId="1CC4C92A" w14:textId="355064CA" w:rsidR="00DD15FB" w:rsidRPr="00633EFC" w:rsidRDefault="00DD15FB" w:rsidP="008C3816">
            <w:pPr>
              <w:ind w:right="58"/>
              <w:jc w:val="right"/>
              <w:rPr>
                <w:sz w:val="20"/>
                <w:szCs w:val="20"/>
                <w:lang w:eastAsia="en-CA"/>
              </w:rPr>
            </w:pPr>
            <w:r w:rsidRPr="00633EFC">
              <w:rPr>
                <w:sz w:val="20"/>
                <w:szCs w:val="20"/>
                <w:lang w:eastAsia="en-CA"/>
              </w:rPr>
              <w:t>40</w:t>
            </w:r>
            <w:r w:rsidR="00A25F03">
              <w:rPr>
                <w:sz w:val="20"/>
                <w:szCs w:val="20"/>
                <w:lang w:eastAsia="en-CA"/>
              </w:rPr>
              <w:t>,</w:t>
            </w:r>
            <w:r w:rsidRPr="00633EFC">
              <w:rPr>
                <w:sz w:val="20"/>
                <w:szCs w:val="20"/>
                <w:lang w:eastAsia="en-CA"/>
              </w:rPr>
              <w:t>0</w:t>
            </w:r>
          </w:p>
        </w:tc>
        <w:tc>
          <w:tcPr>
            <w:tcW w:w="1418" w:type="dxa"/>
            <w:shd w:val="clear" w:color="auto" w:fill="auto"/>
            <w:noWrap/>
            <w:vAlign w:val="center"/>
            <w:hideMark/>
          </w:tcPr>
          <w:p w14:paraId="44660741" w14:textId="18C4695F" w:rsidR="00DD15FB" w:rsidRPr="00633EFC" w:rsidRDefault="00DD15FB" w:rsidP="008C3816">
            <w:pPr>
              <w:ind w:right="58"/>
              <w:jc w:val="right"/>
              <w:rPr>
                <w:sz w:val="20"/>
                <w:szCs w:val="20"/>
                <w:lang w:eastAsia="en-CA"/>
              </w:rPr>
            </w:pPr>
            <w:r w:rsidRPr="00633EFC">
              <w:rPr>
                <w:sz w:val="20"/>
                <w:szCs w:val="20"/>
                <w:lang w:eastAsia="en-CA"/>
              </w:rPr>
              <w:t>11</w:t>
            </w:r>
            <w:r w:rsidR="00A25F03">
              <w:rPr>
                <w:sz w:val="20"/>
                <w:szCs w:val="20"/>
                <w:lang w:eastAsia="en-CA"/>
              </w:rPr>
              <w:t>,</w:t>
            </w:r>
            <w:r w:rsidRPr="00633EFC">
              <w:rPr>
                <w:sz w:val="20"/>
                <w:szCs w:val="20"/>
                <w:lang w:eastAsia="en-CA"/>
              </w:rPr>
              <w:t>88</w:t>
            </w:r>
          </w:p>
        </w:tc>
      </w:tr>
      <w:tr w:rsidR="00DD15FB" w:rsidRPr="00633EFC" w14:paraId="0EC3EE29" w14:textId="77777777" w:rsidTr="008C3816">
        <w:trPr>
          <w:trHeight w:val="288"/>
        </w:trPr>
        <w:tc>
          <w:tcPr>
            <w:tcW w:w="2395" w:type="dxa"/>
            <w:shd w:val="clear" w:color="auto" w:fill="auto"/>
            <w:noWrap/>
            <w:vAlign w:val="center"/>
            <w:hideMark/>
          </w:tcPr>
          <w:p w14:paraId="0EE0B859" w14:textId="6B8C8708" w:rsidR="00DD15FB" w:rsidRPr="00633EFC" w:rsidRDefault="005F4BF0" w:rsidP="008C3816">
            <w:pPr>
              <w:rPr>
                <w:sz w:val="20"/>
                <w:szCs w:val="20"/>
                <w:lang w:eastAsia="en-CA"/>
              </w:rPr>
            </w:pPr>
            <w:r>
              <w:rPr>
                <w:sz w:val="20"/>
                <w:szCs w:val="20"/>
                <w:lang w:eastAsia="en-CA"/>
              </w:rPr>
              <w:t>Machines à gla</w:t>
            </w:r>
            <w:r w:rsidR="00DD15FB" w:rsidRPr="00633EFC">
              <w:rPr>
                <w:sz w:val="20"/>
                <w:szCs w:val="20"/>
                <w:lang w:eastAsia="en-CA"/>
              </w:rPr>
              <w:t>c</w:t>
            </w:r>
            <w:r>
              <w:rPr>
                <w:sz w:val="20"/>
                <w:szCs w:val="20"/>
                <w:lang w:eastAsia="en-CA"/>
              </w:rPr>
              <w:t>e</w:t>
            </w:r>
          </w:p>
        </w:tc>
        <w:tc>
          <w:tcPr>
            <w:tcW w:w="1417" w:type="dxa"/>
            <w:shd w:val="clear" w:color="auto" w:fill="auto"/>
            <w:noWrap/>
            <w:vAlign w:val="center"/>
            <w:hideMark/>
          </w:tcPr>
          <w:p w14:paraId="5E0CE7CD" w14:textId="68659F71" w:rsidR="00DD15FB" w:rsidRPr="00633EFC" w:rsidRDefault="00DD15FB" w:rsidP="008C3816">
            <w:pPr>
              <w:ind w:right="91"/>
              <w:jc w:val="right"/>
              <w:rPr>
                <w:sz w:val="20"/>
                <w:szCs w:val="20"/>
                <w:lang w:eastAsia="en-CA"/>
              </w:rPr>
            </w:pPr>
            <w:r w:rsidRPr="00633EFC">
              <w:rPr>
                <w:sz w:val="20"/>
                <w:szCs w:val="20"/>
                <w:lang w:eastAsia="en-CA"/>
              </w:rPr>
              <w:t>16</w:t>
            </w:r>
            <w:r w:rsidR="00A25F03">
              <w:rPr>
                <w:sz w:val="20"/>
                <w:szCs w:val="20"/>
                <w:lang w:eastAsia="en-CA"/>
              </w:rPr>
              <w:t xml:space="preserve"> </w:t>
            </w:r>
            <w:r w:rsidRPr="00633EFC">
              <w:rPr>
                <w:sz w:val="20"/>
                <w:szCs w:val="20"/>
                <w:lang w:eastAsia="en-CA"/>
              </w:rPr>
              <w:t>636</w:t>
            </w:r>
          </w:p>
        </w:tc>
        <w:tc>
          <w:tcPr>
            <w:tcW w:w="1418" w:type="dxa"/>
            <w:shd w:val="clear" w:color="auto" w:fill="auto"/>
            <w:noWrap/>
            <w:vAlign w:val="center"/>
            <w:hideMark/>
          </w:tcPr>
          <w:p w14:paraId="30258987" w14:textId="0C18E997" w:rsidR="00DD15FB" w:rsidRPr="00633EFC" w:rsidRDefault="00DD15FB" w:rsidP="008C3816">
            <w:pPr>
              <w:ind w:right="91"/>
              <w:jc w:val="right"/>
              <w:rPr>
                <w:sz w:val="20"/>
                <w:szCs w:val="20"/>
                <w:lang w:eastAsia="en-CA"/>
              </w:rPr>
            </w:pPr>
            <w:r w:rsidRPr="00633EFC">
              <w:rPr>
                <w:sz w:val="20"/>
                <w:szCs w:val="20"/>
                <w:lang w:eastAsia="en-CA"/>
              </w:rPr>
              <w:t>6</w:t>
            </w:r>
            <w:r w:rsidR="00A25F03">
              <w:rPr>
                <w:sz w:val="20"/>
                <w:szCs w:val="20"/>
                <w:lang w:eastAsia="en-CA"/>
              </w:rPr>
              <w:t>,</w:t>
            </w:r>
            <w:r>
              <w:rPr>
                <w:sz w:val="20"/>
                <w:szCs w:val="20"/>
                <w:lang w:eastAsia="en-CA"/>
              </w:rPr>
              <w:t>00</w:t>
            </w:r>
          </w:p>
        </w:tc>
        <w:tc>
          <w:tcPr>
            <w:tcW w:w="1417" w:type="dxa"/>
            <w:shd w:val="clear" w:color="auto" w:fill="auto"/>
            <w:noWrap/>
            <w:vAlign w:val="center"/>
            <w:hideMark/>
          </w:tcPr>
          <w:p w14:paraId="2B19C2A8" w14:textId="6CB15CEE" w:rsidR="00DD15FB" w:rsidRPr="00633EFC" w:rsidRDefault="00DD15FB" w:rsidP="008C3816">
            <w:pPr>
              <w:ind w:right="67"/>
              <w:jc w:val="right"/>
              <w:rPr>
                <w:sz w:val="20"/>
                <w:szCs w:val="20"/>
                <w:lang w:eastAsia="en-CA"/>
              </w:rPr>
            </w:pPr>
            <w:r w:rsidRPr="00633EFC">
              <w:rPr>
                <w:sz w:val="20"/>
                <w:szCs w:val="20"/>
                <w:lang w:eastAsia="en-CA"/>
              </w:rPr>
              <w:t>99</w:t>
            </w:r>
            <w:r w:rsidR="00A25F03">
              <w:rPr>
                <w:sz w:val="20"/>
                <w:szCs w:val="20"/>
                <w:lang w:eastAsia="en-CA"/>
              </w:rPr>
              <w:t>,</w:t>
            </w:r>
            <w:r w:rsidRPr="00633EFC">
              <w:rPr>
                <w:sz w:val="20"/>
                <w:szCs w:val="20"/>
                <w:lang w:eastAsia="en-CA"/>
              </w:rPr>
              <w:t>82</w:t>
            </w:r>
          </w:p>
        </w:tc>
        <w:tc>
          <w:tcPr>
            <w:tcW w:w="1418" w:type="dxa"/>
            <w:shd w:val="clear" w:color="auto" w:fill="auto"/>
            <w:noWrap/>
            <w:vAlign w:val="center"/>
            <w:hideMark/>
          </w:tcPr>
          <w:p w14:paraId="164D6CDE" w14:textId="2F554586" w:rsidR="00DD15FB" w:rsidRPr="00633EFC" w:rsidRDefault="00DD15FB" w:rsidP="008C3816">
            <w:pPr>
              <w:ind w:right="58"/>
              <w:jc w:val="right"/>
              <w:rPr>
                <w:sz w:val="20"/>
                <w:szCs w:val="20"/>
                <w:lang w:eastAsia="en-CA"/>
              </w:rPr>
            </w:pPr>
            <w:r w:rsidRPr="00633EFC">
              <w:rPr>
                <w:sz w:val="20"/>
                <w:szCs w:val="20"/>
                <w:lang w:eastAsia="en-CA"/>
              </w:rPr>
              <w:t>15</w:t>
            </w:r>
            <w:r w:rsidR="00A25F03">
              <w:rPr>
                <w:sz w:val="20"/>
                <w:szCs w:val="20"/>
                <w:lang w:eastAsia="en-CA"/>
              </w:rPr>
              <w:t>,</w:t>
            </w:r>
            <w:r w:rsidRPr="00633EFC">
              <w:rPr>
                <w:sz w:val="20"/>
                <w:szCs w:val="20"/>
                <w:lang w:eastAsia="en-CA"/>
              </w:rPr>
              <w:t>0</w:t>
            </w:r>
          </w:p>
        </w:tc>
        <w:tc>
          <w:tcPr>
            <w:tcW w:w="1418" w:type="dxa"/>
            <w:shd w:val="clear" w:color="auto" w:fill="auto"/>
            <w:noWrap/>
            <w:vAlign w:val="center"/>
            <w:hideMark/>
          </w:tcPr>
          <w:p w14:paraId="33563F37" w14:textId="401109FC" w:rsidR="00DD15FB" w:rsidRPr="00633EFC" w:rsidRDefault="00DD15FB" w:rsidP="008C3816">
            <w:pPr>
              <w:ind w:right="58"/>
              <w:jc w:val="right"/>
              <w:rPr>
                <w:sz w:val="20"/>
                <w:szCs w:val="20"/>
                <w:lang w:eastAsia="en-CA"/>
              </w:rPr>
            </w:pPr>
            <w:r w:rsidRPr="00633EFC">
              <w:rPr>
                <w:sz w:val="20"/>
                <w:szCs w:val="20"/>
                <w:lang w:eastAsia="en-CA"/>
              </w:rPr>
              <w:t>14</w:t>
            </w:r>
            <w:r w:rsidR="00A25F03">
              <w:rPr>
                <w:sz w:val="20"/>
                <w:szCs w:val="20"/>
                <w:lang w:eastAsia="en-CA"/>
              </w:rPr>
              <w:t>,</w:t>
            </w:r>
            <w:r w:rsidRPr="00633EFC">
              <w:rPr>
                <w:sz w:val="20"/>
                <w:szCs w:val="20"/>
                <w:lang w:eastAsia="en-CA"/>
              </w:rPr>
              <w:t>97</w:t>
            </w:r>
          </w:p>
        </w:tc>
      </w:tr>
      <w:tr w:rsidR="00DD15FB" w:rsidRPr="00633EFC" w14:paraId="081166A2" w14:textId="77777777" w:rsidTr="008C3816">
        <w:trPr>
          <w:trHeight w:val="288"/>
        </w:trPr>
        <w:tc>
          <w:tcPr>
            <w:tcW w:w="2395" w:type="dxa"/>
            <w:shd w:val="clear" w:color="auto" w:fill="auto"/>
            <w:noWrap/>
            <w:vAlign w:val="center"/>
            <w:hideMark/>
          </w:tcPr>
          <w:p w14:paraId="0D9451D2" w14:textId="34AF9C26" w:rsidR="00DD15FB" w:rsidRPr="00633EFC" w:rsidRDefault="00A25F03" w:rsidP="008C3816">
            <w:pPr>
              <w:rPr>
                <w:sz w:val="20"/>
                <w:szCs w:val="20"/>
                <w:lang w:eastAsia="en-CA"/>
              </w:rPr>
            </w:pPr>
            <w:r>
              <w:rPr>
                <w:sz w:val="20"/>
                <w:szCs w:val="20"/>
                <w:lang w:eastAsia="en-CA"/>
              </w:rPr>
              <w:t xml:space="preserve">Tunnels de </w:t>
            </w:r>
            <w:proofErr w:type="spellStart"/>
            <w:r w:rsidR="002424C2">
              <w:rPr>
                <w:sz w:val="20"/>
                <w:szCs w:val="20"/>
                <w:lang w:eastAsia="en-CA"/>
              </w:rPr>
              <w:t>cong</w:t>
            </w:r>
            <w:r w:rsidR="00502BEB">
              <w:rPr>
                <w:sz w:val="20"/>
                <w:szCs w:val="20"/>
                <w:lang w:eastAsia="en-CA"/>
              </w:rPr>
              <w:t>é</w:t>
            </w:r>
            <w:r w:rsidR="002424C2">
              <w:rPr>
                <w:sz w:val="20"/>
                <w:szCs w:val="20"/>
                <w:lang w:eastAsia="en-CA"/>
              </w:rPr>
              <w:t>lation</w:t>
            </w:r>
            <w:proofErr w:type="spellEnd"/>
          </w:p>
        </w:tc>
        <w:tc>
          <w:tcPr>
            <w:tcW w:w="1417" w:type="dxa"/>
            <w:shd w:val="clear" w:color="auto" w:fill="auto"/>
            <w:noWrap/>
            <w:vAlign w:val="center"/>
            <w:hideMark/>
          </w:tcPr>
          <w:p w14:paraId="0E139E3D" w14:textId="04CB62BB" w:rsidR="00DD15FB" w:rsidRPr="00633EFC" w:rsidRDefault="00DD15FB" w:rsidP="008C3816">
            <w:pPr>
              <w:ind w:right="91"/>
              <w:jc w:val="right"/>
              <w:rPr>
                <w:sz w:val="20"/>
                <w:szCs w:val="20"/>
                <w:lang w:eastAsia="en-CA"/>
              </w:rPr>
            </w:pPr>
            <w:r w:rsidRPr="00633EFC">
              <w:rPr>
                <w:sz w:val="20"/>
                <w:szCs w:val="20"/>
                <w:lang w:eastAsia="en-CA"/>
              </w:rPr>
              <w:t>1</w:t>
            </w:r>
            <w:r w:rsidR="00A25F03">
              <w:rPr>
                <w:sz w:val="20"/>
                <w:szCs w:val="20"/>
                <w:lang w:eastAsia="en-CA"/>
              </w:rPr>
              <w:t xml:space="preserve"> </w:t>
            </w:r>
            <w:r w:rsidRPr="00633EFC">
              <w:rPr>
                <w:sz w:val="20"/>
                <w:szCs w:val="20"/>
                <w:lang w:eastAsia="en-CA"/>
              </w:rPr>
              <w:t>200</w:t>
            </w:r>
          </w:p>
        </w:tc>
        <w:tc>
          <w:tcPr>
            <w:tcW w:w="1418" w:type="dxa"/>
            <w:shd w:val="clear" w:color="auto" w:fill="auto"/>
            <w:noWrap/>
            <w:vAlign w:val="center"/>
            <w:hideMark/>
          </w:tcPr>
          <w:p w14:paraId="21AA3F70" w14:textId="6E09B9EC" w:rsidR="00DD15FB" w:rsidRPr="00633EFC" w:rsidRDefault="00DD15FB" w:rsidP="008C3816">
            <w:pPr>
              <w:ind w:right="91"/>
              <w:jc w:val="right"/>
              <w:rPr>
                <w:sz w:val="20"/>
                <w:szCs w:val="20"/>
                <w:lang w:eastAsia="en-CA"/>
              </w:rPr>
            </w:pPr>
            <w:r w:rsidRPr="00633EFC">
              <w:rPr>
                <w:sz w:val="20"/>
                <w:szCs w:val="20"/>
                <w:lang w:eastAsia="en-CA"/>
              </w:rPr>
              <w:t>50</w:t>
            </w:r>
            <w:r w:rsidR="00A25F03">
              <w:rPr>
                <w:sz w:val="20"/>
                <w:szCs w:val="20"/>
                <w:lang w:eastAsia="en-CA"/>
              </w:rPr>
              <w:t>,</w:t>
            </w:r>
            <w:r>
              <w:rPr>
                <w:sz w:val="20"/>
                <w:szCs w:val="20"/>
                <w:lang w:eastAsia="en-CA"/>
              </w:rPr>
              <w:t>00</w:t>
            </w:r>
          </w:p>
        </w:tc>
        <w:tc>
          <w:tcPr>
            <w:tcW w:w="1417" w:type="dxa"/>
            <w:shd w:val="clear" w:color="auto" w:fill="auto"/>
            <w:noWrap/>
            <w:vAlign w:val="center"/>
            <w:hideMark/>
          </w:tcPr>
          <w:p w14:paraId="1B5064C9" w14:textId="2162A7C0" w:rsidR="00DD15FB" w:rsidRPr="00633EFC" w:rsidRDefault="00DD15FB" w:rsidP="008C3816">
            <w:pPr>
              <w:ind w:right="67"/>
              <w:jc w:val="right"/>
              <w:rPr>
                <w:sz w:val="20"/>
                <w:szCs w:val="20"/>
                <w:lang w:eastAsia="en-CA"/>
              </w:rPr>
            </w:pPr>
            <w:r w:rsidRPr="00633EFC">
              <w:rPr>
                <w:sz w:val="20"/>
                <w:szCs w:val="20"/>
                <w:lang w:eastAsia="en-CA"/>
              </w:rPr>
              <w:t>60</w:t>
            </w:r>
            <w:r w:rsidR="00A25F03">
              <w:rPr>
                <w:sz w:val="20"/>
                <w:szCs w:val="20"/>
                <w:lang w:eastAsia="en-CA"/>
              </w:rPr>
              <w:t>,</w:t>
            </w:r>
            <w:r w:rsidRPr="00633EFC">
              <w:rPr>
                <w:sz w:val="20"/>
                <w:szCs w:val="20"/>
                <w:lang w:eastAsia="en-CA"/>
              </w:rPr>
              <w:t>00</w:t>
            </w:r>
          </w:p>
        </w:tc>
        <w:tc>
          <w:tcPr>
            <w:tcW w:w="1418" w:type="dxa"/>
            <w:shd w:val="clear" w:color="auto" w:fill="auto"/>
            <w:noWrap/>
            <w:vAlign w:val="center"/>
            <w:hideMark/>
          </w:tcPr>
          <w:p w14:paraId="7637363A" w14:textId="6E8F4E2E" w:rsidR="00DD15FB" w:rsidRPr="00633EFC" w:rsidRDefault="00DD15FB" w:rsidP="008C3816">
            <w:pPr>
              <w:ind w:right="58"/>
              <w:jc w:val="right"/>
              <w:rPr>
                <w:sz w:val="20"/>
                <w:szCs w:val="20"/>
                <w:lang w:eastAsia="en-CA"/>
              </w:rPr>
            </w:pPr>
            <w:r w:rsidRPr="00633EFC">
              <w:rPr>
                <w:sz w:val="20"/>
                <w:szCs w:val="20"/>
                <w:lang w:eastAsia="en-CA"/>
              </w:rPr>
              <w:t>30</w:t>
            </w:r>
            <w:r w:rsidR="00A25F03">
              <w:rPr>
                <w:sz w:val="20"/>
                <w:szCs w:val="20"/>
                <w:lang w:eastAsia="en-CA"/>
              </w:rPr>
              <w:t>,</w:t>
            </w:r>
            <w:r w:rsidRPr="00633EFC">
              <w:rPr>
                <w:sz w:val="20"/>
                <w:szCs w:val="20"/>
                <w:lang w:eastAsia="en-CA"/>
              </w:rPr>
              <w:t>0</w:t>
            </w:r>
          </w:p>
        </w:tc>
        <w:tc>
          <w:tcPr>
            <w:tcW w:w="1418" w:type="dxa"/>
            <w:shd w:val="clear" w:color="auto" w:fill="auto"/>
            <w:noWrap/>
            <w:vAlign w:val="center"/>
            <w:hideMark/>
          </w:tcPr>
          <w:p w14:paraId="3F284CA7" w14:textId="18199E68" w:rsidR="00DD15FB" w:rsidRPr="00633EFC" w:rsidRDefault="00DD15FB" w:rsidP="008C3816">
            <w:pPr>
              <w:ind w:right="58"/>
              <w:jc w:val="right"/>
              <w:rPr>
                <w:sz w:val="20"/>
                <w:szCs w:val="20"/>
                <w:lang w:eastAsia="en-CA"/>
              </w:rPr>
            </w:pPr>
            <w:r w:rsidRPr="00633EFC">
              <w:rPr>
                <w:sz w:val="20"/>
                <w:szCs w:val="20"/>
                <w:lang w:eastAsia="en-CA"/>
              </w:rPr>
              <w:t>18</w:t>
            </w:r>
            <w:r w:rsidR="00A25F03">
              <w:rPr>
                <w:sz w:val="20"/>
                <w:szCs w:val="20"/>
                <w:lang w:eastAsia="en-CA"/>
              </w:rPr>
              <w:t>,</w:t>
            </w:r>
            <w:r w:rsidRPr="00633EFC">
              <w:rPr>
                <w:sz w:val="20"/>
                <w:szCs w:val="20"/>
                <w:lang w:eastAsia="en-CA"/>
              </w:rPr>
              <w:t>00</w:t>
            </w:r>
          </w:p>
        </w:tc>
      </w:tr>
      <w:tr w:rsidR="00DD15FB" w:rsidRPr="00633EFC" w14:paraId="5DEA4486" w14:textId="77777777" w:rsidTr="008C3816">
        <w:trPr>
          <w:trHeight w:val="288"/>
        </w:trPr>
        <w:tc>
          <w:tcPr>
            <w:tcW w:w="2395" w:type="dxa"/>
            <w:shd w:val="clear" w:color="auto" w:fill="auto"/>
            <w:noWrap/>
            <w:vAlign w:val="center"/>
            <w:hideMark/>
          </w:tcPr>
          <w:p w14:paraId="1E9AFEAA" w14:textId="77777777" w:rsidR="00DD15FB" w:rsidRPr="00633EFC" w:rsidRDefault="00DD15FB" w:rsidP="008C3816">
            <w:pPr>
              <w:rPr>
                <w:b/>
                <w:bCs/>
                <w:sz w:val="20"/>
                <w:szCs w:val="20"/>
                <w:lang w:eastAsia="en-CA"/>
              </w:rPr>
            </w:pPr>
            <w:r w:rsidRPr="00633EFC">
              <w:rPr>
                <w:b/>
                <w:bCs/>
                <w:sz w:val="20"/>
                <w:szCs w:val="20"/>
                <w:lang w:eastAsia="en-CA"/>
              </w:rPr>
              <w:t>Total</w:t>
            </w:r>
          </w:p>
        </w:tc>
        <w:tc>
          <w:tcPr>
            <w:tcW w:w="1417" w:type="dxa"/>
            <w:shd w:val="clear" w:color="auto" w:fill="auto"/>
            <w:noWrap/>
            <w:vAlign w:val="center"/>
            <w:hideMark/>
          </w:tcPr>
          <w:p w14:paraId="3B2880DF" w14:textId="0C6DA012" w:rsidR="00DD15FB" w:rsidRPr="00633EFC" w:rsidRDefault="00DD15FB" w:rsidP="008C3816">
            <w:pPr>
              <w:ind w:right="91"/>
              <w:jc w:val="right"/>
              <w:rPr>
                <w:b/>
                <w:bCs/>
                <w:sz w:val="20"/>
                <w:szCs w:val="20"/>
                <w:lang w:eastAsia="en-CA"/>
              </w:rPr>
            </w:pPr>
            <w:r w:rsidRPr="00633EFC">
              <w:rPr>
                <w:b/>
                <w:bCs/>
                <w:sz w:val="20"/>
                <w:szCs w:val="20"/>
                <w:lang w:eastAsia="en-CA"/>
              </w:rPr>
              <w:t>187</w:t>
            </w:r>
            <w:r w:rsidR="00A25F03">
              <w:rPr>
                <w:b/>
                <w:bCs/>
                <w:sz w:val="20"/>
                <w:szCs w:val="20"/>
                <w:lang w:eastAsia="en-CA"/>
              </w:rPr>
              <w:t xml:space="preserve"> </w:t>
            </w:r>
            <w:r w:rsidRPr="00633EFC">
              <w:rPr>
                <w:b/>
                <w:bCs/>
                <w:sz w:val="20"/>
                <w:szCs w:val="20"/>
                <w:lang w:eastAsia="en-CA"/>
              </w:rPr>
              <w:t>029</w:t>
            </w:r>
          </w:p>
        </w:tc>
        <w:tc>
          <w:tcPr>
            <w:tcW w:w="1418" w:type="dxa"/>
            <w:shd w:val="clear" w:color="auto" w:fill="auto"/>
            <w:noWrap/>
            <w:vAlign w:val="center"/>
            <w:hideMark/>
          </w:tcPr>
          <w:p w14:paraId="1BE4BEEF" w14:textId="77777777" w:rsidR="00DD15FB" w:rsidRPr="00633EFC" w:rsidRDefault="00DD15FB" w:rsidP="008C3816">
            <w:pPr>
              <w:ind w:right="91"/>
              <w:rPr>
                <w:b/>
                <w:bCs/>
                <w:sz w:val="20"/>
                <w:szCs w:val="20"/>
                <w:lang w:eastAsia="en-CA"/>
              </w:rPr>
            </w:pPr>
            <w:r w:rsidRPr="00633EFC">
              <w:rPr>
                <w:b/>
                <w:bCs/>
                <w:sz w:val="20"/>
                <w:szCs w:val="20"/>
                <w:lang w:eastAsia="en-CA"/>
              </w:rPr>
              <w:t> </w:t>
            </w:r>
          </w:p>
        </w:tc>
        <w:tc>
          <w:tcPr>
            <w:tcW w:w="1417" w:type="dxa"/>
            <w:shd w:val="clear" w:color="auto" w:fill="auto"/>
            <w:noWrap/>
            <w:vAlign w:val="center"/>
            <w:hideMark/>
          </w:tcPr>
          <w:p w14:paraId="317D9B16" w14:textId="49466F6D" w:rsidR="00DD15FB" w:rsidRPr="00633EFC" w:rsidRDefault="00DD15FB" w:rsidP="008C3816">
            <w:pPr>
              <w:ind w:right="67"/>
              <w:jc w:val="right"/>
              <w:rPr>
                <w:b/>
                <w:bCs/>
                <w:sz w:val="20"/>
                <w:szCs w:val="20"/>
                <w:lang w:eastAsia="en-CA"/>
              </w:rPr>
            </w:pPr>
            <w:r w:rsidRPr="00633EFC">
              <w:rPr>
                <w:b/>
                <w:bCs/>
                <w:sz w:val="20"/>
                <w:szCs w:val="20"/>
                <w:lang w:eastAsia="en-CA"/>
              </w:rPr>
              <w:t>449</w:t>
            </w:r>
            <w:r w:rsidR="00A25F03">
              <w:rPr>
                <w:b/>
                <w:bCs/>
                <w:sz w:val="20"/>
                <w:szCs w:val="20"/>
                <w:lang w:eastAsia="en-CA"/>
              </w:rPr>
              <w:t>,</w:t>
            </w:r>
            <w:r w:rsidRPr="00633EFC">
              <w:rPr>
                <w:b/>
                <w:bCs/>
                <w:sz w:val="20"/>
                <w:szCs w:val="20"/>
                <w:lang w:eastAsia="en-CA"/>
              </w:rPr>
              <w:t>20</w:t>
            </w:r>
          </w:p>
        </w:tc>
        <w:tc>
          <w:tcPr>
            <w:tcW w:w="1418" w:type="dxa"/>
            <w:shd w:val="clear" w:color="auto" w:fill="auto"/>
            <w:noWrap/>
            <w:vAlign w:val="center"/>
            <w:hideMark/>
          </w:tcPr>
          <w:p w14:paraId="3AB360AD" w14:textId="77777777" w:rsidR="00DD15FB" w:rsidRPr="00633EFC" w:rsidRDefault="00DD15FB" w:rsidP="008C3816">
            <w:pPr>
              <w:ind w:right="58"/>
              <w:jc w:val="right"/>
              <w:rPr>
                <w:b/>
                <w:bCs/>
                <w:sz w:val="20"/>
                <w:szCs w:val="20"/>
                <w:lang w:eastAsia="en-CA"/>
              </w:rPr>
            </w:pPr>
          </w:p>
        </w:tc>
        <w:tc>
          <w:tcPr>
            <w:tcW w:w="1418" w:type="dxa"/>
            <w:shd w:val="clear" w:color="auto" w:fill="auto"/>
            <w:noWrap/>
            <w:vAlign w:val="center"/>
            <w:hideMark/>
          </w:tcPr>
          <w:p w14:paraId="0E90A3D8" w14:textId="60B3D49A" w:rsidR="00DD15FB" w:rsidRPr="00633EFC" w:rsidRDefault="00DD15FB" w:rsidP="008C3816">
            <w:pPr>
              <w:ind w:right="58"/>
              <w:jc w:val="right"/>
              <w:rPr>
                <w:b/>
                <w:bCs/>
                <w:sz w:val="20"/>
                <w:szCs w:val="20"/>
                <w:lang w:eastAsia="en-CA"/>
              </w:rPr>
            </w:pPr>
            <w:r w:rsidRPr="00633EFC">
              <w:rPr>
                <w:b/>
                <w:bCs/>
                <w:sz w:val="20"/>
                <w:szCs w:val="20"/>
                <w:lang w:eastAsia="en-CA"/>
              </w:rPr>
              <w:t>109</w:t>
            </w:r>
            <w:r w:rsidR="00A25F03">
              <w:rPr>
                <w:b/>
                <w:bCs/>
                <w:sz w:val="20"/>
                <w:szCs w:val="20"/>
                <w:lang w:eastAsia="en-CA"/>
              </w:rPr>
              <w:t>,</w:t>
            </w:r>
            <w:r w:rsidRPr="00633EFC">
              <w:rPr>
                <w:b/>
                <w:bCs/>
                <w:sz w:val="20"/>
                <w:szCs w:val="20"/>
                <w:lang w:eastAsia="en-CA"/>
              </w:rPr>
              <w:t>77</w:t>
            </w:r>
          </w:p>
        </w:tc>
      </w:tr>
    </w:tbl>
    <w:p w14:paraId="063DED84" w14:textId="77777777" w:rsidR="00A25F03" w:rsidRDefault="00A25F03" w:rsidP="00DD15FB">
      <w:pPr>
        <w:pStyle w:val="Heading1"/>
        <w:numPr>
          <w:ilvl w:val="0"/>
          <w:numId w:val="0"/>
        </w:numPr>
        <w:rPr>
          <w:lang w:val="fr-CA"/>
        </w:rPr>
      </w:pPr>
    </w:p>
    <w:p w14:paraId="0401C871" w14:textId="34DF4F18" w:rsidR="00A25F03" w:rsidRDefault="003B77C8" w:rsidP="00A25F03">
      <w:pPr>
        <w:pStyle w:val="Heading1"/>
        <w:rPr>
          <w:lang w:val="fr-CA"/>
        </w:rPr>
      </w:pPr>
      <w:r>
        <w:rPr>
          <w:lang w:val="fr-CA"/>
        </w:rPr>
        <w:t>Étant donné</w:t>
      </w:r>
      <w:r w:rsidR="00A25F03">
        <w:rPr>
          <w:lang w:val="fr-CA"/>
        </w:rPr>
        <w:t xml:space="preserve"> les flottes de pêche internationales qui opèrent </w:t>
      </w:r>
      <w:r w:rsidR="0030783E">
        <w:rPr>
          <w:lang w:val="fr-CA"/>
        </w:rPr>
        <w:t>au larg</w:t>
      </w:r>
      <w:r w:rsidR="00A25F03">
        <w:rPr>
          <w:lang w:val="fr-CA"/>
        </w:rPr>
        <w:t>e</w:t>
      </w:r>
      <w:r w:rsidR="0030783E">
        <w:rPr>
          <w:lang w:val="fr-CA"/>
        </w:rPr>
        <w:t xml:space="preserve"> de la</w:t>
      </w:r>
      <w:r w:rsidR="00A25F03">
        <w:rPr>
          <w:lang w:val="fr-CA"/>
        </w:rPr>
        <w:t xml:space="preserve"> Mauritanie et les informations fournies par les autorités de la zone franche, l’expert du PNUE a attribué la différence </w:t>
      </w:r>
      <w:r>
        <w:rPr>
          <w:lang w:val="fr-CA"/>
        </w:rPr>
        <w:t xml:space="preserve">de 127,32 </w:t>
      </w:r>
      <w:proofErr w:type="spellStart"/>
      <w:r>
        <w:rPr>
          <w:lang w:val="fr-CA"/>
        </w:rPr>
        <w:t>tm</w:t>
      </w:r>
      <w:proofErr w:type="spellEnd"/>
      <w:r w:rsidR="00721F1F">
        <w:rPr>
          <w:lang w:val="fr-CA"/>
        </w:rPr>
        <w:t>,</w:t>
      </w:r>
      <w:r>
        <w:rPr>
          <w:lang w:val="fr-CA"/>
        </w:rPr>
        <w:t xml:space="preserve"> entre les données de l’article 7 et </w:t>
      </w:r>
      <w:r w:rsidR="00721F1F">
        <w:rPr>
          <w:lang w:val="fr-CA"/>
        </w:rPr>
        <w:t xml:space="preserve">l’étude, à l’entretien des bateaux étrangers </w:t>
      </w:r>
      <w:r w:rsidR="00502BEB">
        <w:rPr>
          <w:lang w:val="fr-CA"/>
        </w:rPr>
        <w:t>au</w:t>
      </w:r>
      <w:r w:rsidR="00721F1F">
        <w:rPr>
          <w:lang w:val="fr-CA"/>
        </w:rPr>
        <w:t xml:space="preserve"> port et à la vente de frigorigènes à ces bateaux pour l’entretien en haute mer.  À partir des informations fournies, le Secrétariat </w:t>
      </w:r>
      <w:r w:rsidR="002E7460">
        <w:rPr>
          <w:lang w:val="fr-CA"/>
        </w:rPr>
        <w:t xml:space="preserve">prend note qu’il </w:t>
      </w:r>
      <w:r w:rsidR="001D286E">
        <w:rPr>
          <w:lang w:val="fr-CA"/>
        </w:rPr>
        <w:t>y a peut-être</w:t>
      </w:r>
      <w:r w:rsidR="002E7460">
        <w:rPr>
          <w:lang w:val="fr-CA"/>
        </w:rPr>
        <w:t xml:space="preserve"> d’</w:t>
      </w:r>
      <w:r w:rsidR="00721F1F">
        <w:rPr>
          <w:lang w:val="fr-CA"/>
        </w:rPr>
        <w:t>autres facteurs susceptibles aussi de contribuer à la différence entre les importations enregistrées et les besoins réels, tels que la possibilité d’une utilisation incorrecte des codes douan</w:t>
      </w:r>
      <w:r w:rsidR="002A3112">
        <w:rPr>
          <w:lang w:val="fr-CA"/>
        </w:rPr>
        <w:t>i</w:t>
      </w:r>
      <w:r w:rsidR="00721F1F">
        <w:rPr>
          <w:lang w:val="fr-CA"/>
        </w:rPr>
        <w:t>e</w:t>
      </w:r>
      <w:r w:rsidR="002A3112">
        <w:rPr>
          <w:lang w:val="fr-CA"/>
        </w:rPr>
        <w:t>r</w:t>
      </w:r>
      <w:r w:rsidR="00721F1F">
        <w:rPr>
          <w:lang w:val="fr-CA"/>
        </w:rPr>
        <w:t>s (par ex. utiliser le code du HCFC-22 pour plusieurs frigorigènes) et autres déficiences dans l’application du système de permis et de quotas pour les importations et les exportations de HCFC.</w:t>
      </w:r>
    </w:p>
    <w:p w14:paraId="66D4F088" w14:textId="0F7F8624" w:rsidR="00721F1F" w:rsidRDefault="00721F1F" w:rsidP="00F75F02">
      <w:pPr>
        <w:pStyle w:val="Heading1"/>
        <w:rPr>
          <w:lang w:val="fr-CA"/>
        </w:rPr>
      </w:pPr>
      <w:r>
        <w:rPr>
          <w:lang w:val="fr-CA"/>
        </w:rPr>
        <w:t xml:space="preserve">Il a été conclu que la consommation de 109,77 </w:t>
      </w:r>
      <w:proofErr w:type="spellStart"/>
      <w:r>
        <w:rPr>
          <w:lang w:val="fr-CA"/>
        </w:rPr>
        <w:t>tm</w:t>
      </w:r>
      <w:proofErr w:type="spellEnd"/>
      <w:r>
        <w:rPr>
          <w:lang w:val="fr-CA"/>
        </w:rPr>
        <w:t xml:space="preserve"> de HCFC mentionnée dans le rapport révisé de l’étude correspond aux besoins locaux réels du pays pour le secteur de l’entretien RAC. Toutefois,</w:t>
      </w:r>
      <w:r w:rsidR="00F75F02">
        <w:rPr>
          <w:lang w:val="fr-CA"/>
        </w:rPr>
        <w:t xml:space="preserve"> reconnaissant également la possibilité d’un niveau d’incertitude concernant les indicateurs utilisés pour le taux de fuites et la charge moyenne de l’équipement, le Secrétariat et le PNUE ont convenu d’ajouter un facteur conservateur de 15 pour cent du montant de 109,77 </w:t>
      </w:r>
      <w:proofErr w:type="spellStart"/>
      <w:r w:rsidR="00F75F02">
        <w:rPr>
          <w:lang w:val="fr-CA"/>
        </w:rPr>
        <w:t>tm</w:t>
      </w:r>
      <w:proofErr w:type="spellEnd"/>
      <w:r w:rsidR="00F75F02">
        <w:rPr>
          <w:lang w:val="fr-CA"/>
        </w:rPr>
        <w:t>, pour obtenir une demande estim</w:t>
      </w:r>
      <w:r w:rsidR="0030783E">
        <w:rPr>
          <w:lang w:val="fr-CA"/>
        </w:rPr>
        <w:t>ée</w:t>
      </w:r>
      <w:r w:rsidR="00F75F02">
        <w:rPr>
          <w:lang w:val="fr-CA"/>
        </w:rPr>
        <w:t xml:space="preserve"> </w:t>
      </w:r>
      <w:r w:rsidR="0030783E">
        <w:rPr>
          <w:lang w:val="fr-CA"/>
        </w:rPr>
        <w:t>à</w:t>
      </w:r>
      <w:r w:rsidR="00F75F02">
        <w:rPr>
          <w:lang w:val="fr-CA"/>
        </w:rPr>
        <w:t xml:space="preserve"> 126,23 </w:t>
      </w:r>
      <w:proofErr w:type="spellStart"/>
      <w:r w:rsidR="00F75F02">
        <w:rPr>
          <w:lang w:val="fr-CA"/>
        </w:rPr>
        <w:t>tm</w:t>
      </w:r>
      <w:proofErr w:type="spellEnd"/>
      <w:r w:rsidR="00F75F02">
        <w:rPr>
          <w:lang w:val="fr-CA"/>
        </w:rPr>
        <w:t xml:space="preserve"> (6,94 tonnes PAO).  Ce chiffre est considéré comme la meilleure estimation des besoins de HCFC pour servir le marché local en Mauritanie.</w:t>
      </w:r>
    </w:p>
    <w:p w14:paraId="0AA912A6" w14:textId="7F819EBB" w:rsidR="00F75F02" w:rsidRDefault="00F75F02" w:rsidP="00F75F02">
      <w:pPr>
        <w:pStyle w:val="Heading1"/>
        <w:rPr>
          <w:lang w:val="fr-CA"/>
        </w:rPr>
      </w:pPr>
      <w:r>
        <w:rPr>
          <w:lang w:val="fr-CA"/>
        </w:rPr>
        <w:t xml:space="preserve">Prenant note de la différence encore importante entre la demande de HCFC </w:t>
      </w:r>
      <w:r w:rsidR="002E7460">
        <w:rPr>
          <w:lang w:val="fr-CA"/>
        </w:rPr>
        <w:t>pour</w:t>
      </w:r>
      <w:r>
        <w:rPr>
          <w:lang w:val="fr-CA"/>
        </w:rPr>
        <w:t xml:space="preserve"> le secteur de l’entretien et la consommation de HCFC déclarée en vertu de l’article 7, </w:t>
      </w:r>
      <w:r w:rsidR="00826A85">
        <w:rPr>
          <w:lang w:val="fr-CA"/>
        </w:rPr>
        <w:t xml:space="preserve">le Secrétariat, </w:t>
      </w:r>
      <w:r>
        <w:rPr>
          <w:lang w:val="fr-CA"/>
        </w:rPr>
        <w:t>conformément à la décision 63/17</w:t>
      </w:r>
      <w:r>
        <w:rPr>
          <w:rStyle w:val="FootnoteReference"/>
          <w:lang w:val="fr-CA"/>
        </w:rPr>
        <w:footnoteReference w:id="12"/>
      </w:r>
      <w:r w:rsidR="00826A85">
        <w:rPr>
          <w:lang w:val="fr-CA"/>
        </w:rPr>
        <w:t xml:space="preserve">, a recommandé au PNUE de continuer d’assister le gouvernement de la Mauritanie pour </w:t>
      </w:r>
      <w:r w:rsidR="00826A85">
        <w:rPr>
          <w:lang w:val="fr-CA"/>
        </w:rPr>
        <w:lastRenderedPageBreak/>
        <w:t xml:space="preserve">renforcer son système de permis et de quotas et ses systèmes d’enregistrement des importations et exportations de HCFC afin de pouvoir </w:t>
      </w:r>
      <w:r w:rsidR="002A3112">
        <w:rPr>
          <w:lang w:val="fr-CA"/>
        </w:rPr>
        <w:t xml:space="preserve">comptabiliser les exportations de HCFC utilisé par des bateaux étrangers </w:t>
      </w:r>
      <w:r w:rsidR="00C577D5">
        <w:rPr>
          <w:lang w:val="fr-CA"/>
        </w:rPr>
        <w:t>à partir d</w:t>
      </w:r>
      <w:r w:rsidR="002A3112">
        <w:rPr>
          <w:lang w:val="fr-CA"/>
        </w:rPr>
        <w:t>e 2023 et d’améliorer l’utilisation des codes douaniers.  Le Secrétariat a suggéré aussi que le PNUE fournisse un rapport sur les progrès dans ce domaine, à la 95</w:t>
      </w:r>
      <w:r w:rsidR="002A3112" w:rsidRPr="002A3112">
        <w:rPr>
          <w:vertAlign w:val="superscript"/>
          <w:lang w:val="fr-CA"/>
        </w:rPr>
        <w:t>e</w:t>
      </w:r>
      <w:r w:rsidR="002A3112">
        <w:rPr>
          <w:lang w:val="fr-CA"/>
        </w:rPr>
        <w:t xml:space="preserve"> réunion.</w:t>
      </w:r>
    </w:p>
    <w:p w14:paraId="28FCEF84" w14:textId="34CCA9C6" w:rsidR="002A3112" w:rsidRDefault="002A3112" w:rsidP="002A3112">
      <w:pPr>
        <w:rPr>
          <w:b/>
          <w:bCs/>
          <w:lang w:val="fr-CA"/>
        </w:rPr>
      </w:pPr>
      <w:r>
        <w:rPr>
          <w:b/>
          <w:bCs/>
          <w:lang w:val="fr-CA"/>
        </w:rPr>
        <w:t>Révision du point de départ et financement admissible</w:t>
      </w:r>
    </w:p>
    <w:p w14:paraId="6B7D6B02" w14:textId="77777777" w:rsidR="002A3112" w:rsidRDefault="002A3112" w:rsidP="002A3112">
      <w:pPr>
        <w:rPr>
          <w:b/>
          <w:bCs/>
          <w:lang w:val="fr-CA"/>
        </w:rPr>
      </w:pPr>
    </w:p>
    <w:p w14:paraId="6DD2DF32" w14:textId="516D6215" w:rsidR="002A3112" w:rsidRDefault="002A3112" w:rsidP="002A3112">
      <w:pPr>
        <w:pStyle w:val="Heading1"/>
        <w:rPr>
          <w:lang w:val="fr-CA"/>
        </w:rPr>
      </w:pPr>
      <w:r>
        <w:rPr>
          <w:lang w:val="fr-CA"/>
        </w:rPr>
        <w:t xml:space="preserve">Pour réviser le point de départ des réductions </w:t>
      </w:r>
      <w:r w:rsidR="002E7460">
        <w:rPr>
          <w:lang w:val="fr-CA"/>
        </w:rPr>
        <w:t>globales</w:t>
      </w:r>
      <w:r>
        <w:rPr>
          <w:lang w:val="fr-CA"/>
        </w:rPr>
        <w:t xml:space="preserve"> de la consommation de HCFC pour la Mauritanie, à partir de la demande actuelle </w:t>
      </w:r>
      <w:r w:rsidR="002E7460">
        <w:rPr>
          <w:lang w:val="fr-CA"/>
        </w:rPr>
        <w:t>estimée à</w:t>
      </w:r>
      <w:r>
        <w:rPr>
          <w:lang w:val="fr-CA"/>
        </w:rPr>
        <w:t xml:space="preserve"> 126,23 </w:t>
      </w:r>
      <w:proofErr w:type="spellStart"/>
      <w:r>
        <w:rPr>
          <w:lang w:val="fr-CA"/>
        </w:rPr>
        <w:t>tm</w:t>
      </w:r>
      <w:proofErr w:type="spellEnd"/>
      <w:r>
        <w:rPr>
          <w:lang w:val="fr-CA"/>
        </w:rPr>
        <w:t xml:space="preserve"> (6,94 tonnes PAO) de HCFC, le Secrétariat a fait une projection de ce qu’aurait été la demande de HCFC pour l’entretien durant la période 2009-2010 (années de référence utilisées pour le point de départ). En supposant que la Mauritanie a</w:t>
      </w:r>
      <w:r w:rsidR="002E7460">
        <w:rPr>
          <w:lang w:val="fr-CA"/>
        </w:rPr>
        <w:t>it</w:t>
      </w:r>
      <w:r>
        <w:rPr>
          <w:lang w:val="fr-CA"/>
        </w:rPr>
        <w:t xml:space="preserve"> réduit sa consommation de 35 pour cent par rapport aux années de référence, la demande estim</w:t>
      </w:r>
      <w:r w:rsidR="00EE4C24">
        <w:rPr>
          <w:lang w:val="fr-CA"/>
        </w:rPr>
        <w:t>é</w:t>
      </w:r>
      <w:r>
        <w:rPr>
          <w:lang w:val="fr-CA"/>
        </w:rPr>
        <w:t xml:space="preserve">e de HCFC pendant les années de référence </w:t>
      </w:r>
      <w:r w:rsidR="002E7460">
        <w:rPr>
          <w:lang w:val="fr-CA"/>
        </w:rPr>
        <w:t>aurait été</w:t>
      </w:r>
      <w:r>
        <w:rPr>
          <w:lang w:val="fr-CA"/>
        </w:rPr>
        <w:t xml:space="preserve"> d’environ 194 </w:t>
      </w:r>
      <w:proofErr w:type="spellStart"/>
      <w:r>
        <w:rPr>
          <w:lang w:val="fr-CA"/>
        </w:rPr>
        <w:t>tm</w:t>
      </w:r>
      <w:proofErr w:type="spellEnd"/>
      <w:r>
        <w:rPr>
          <w:lang w:val="fr-CA"/>
        </w:rPr>
        <w:t xml:space="preserve"> (10,67 tonnes PAO).  Ce chiffre correspond aux indicateurs socio-économiques du pays et au niveau de la demande de HCFC pour d’autres pays comparables dans cette région.</w:t>
      </w:r>
    </w:p>
    <w:p w14:paraId="39321E6B" w14:textId="18B998C7" w:rsidR="007E7823" w:rsidRDefault="002A3112" w:rsidP="002A3112">
      <w:pPr>
        <w:pStyle w:val="Heading1"/>
        <w:rPr>
          <w:lang w:val="fr-CA"/>
        </w:rPr>
      </w:pPr>
      <w:r>
        <w:rPr>
          <w:lang w:val="fr-CA"/>
        </w:rPr>
        <w:t xml:space="preserve">Par conséquent, le PNUE, au nom du gouvernement de la Mauritanie, a accepté d’ajuster le point de départ des réductions </w:t>
      </w:r>
      <w:r w:rsidR="002E7460">
        <w:rPr>
          <w:lang w:val="fr-CA"/>
        </w:rPr>
        <w:t xml:space="preserve">globales </w:t>
      </w:r>
      <w:r>
        <w:rPr>
          <w:lang w:val="fr-CA"/>
        </w:rPr>
        <w:t>de la consommation de HCFC</w:t>
      </w:r>
      <w:r w:rsidR="007E7823">
        <w:rPr>
          <w:lang w:val="fr-CA"/>
        </w:rPr>
        <w:t xml:space="preserve"> à 10,67 tonnes PAO (194 </w:t>
      </w:r>
      <w:proofErr w:type="spellStart"/>
      <w:r w:rsidR="007E7823">
        <w:rPr>
          <w:lang w:val="fr-CA"/>
        </w:rPr>
        <w:t>tm</w:t>
      </w:r>
      <w:proofErr w:type="spellEnd"/>
      <w:r w:rsidR="007E7823">
        <w:rPr>
          <w:lang w:val="fr-CA"/>
        </w:rPr>
        <w:t>). S</w:t>
      </w:r>
      <w:r>
        <w:rPr>
          <w:lang w:val="fr-CA"/>
        </w:rPr>
        <w:t>elon l</w:t>
      </w:r>
      <w:r w:rsidR="007E7823">
        <w:rPr>
          <w:lang w:val="fr-CA"/>
        </w:rPr>
        <w:t xml:space="preserve">es lignes directrices sur les coûts </w:t>
      </w:r>
      <w:r w:rsidR="002E7460">
        <w:rPr>
          <w:lang w:val="fr-CA"/>
        </w:rPr>
        <w:t>de</w:t>
      </w:r>
      <w:r w:rsidR="007E7823">
        <w:rPr>
          <w:lang w:val="fr-CA"/>
        </w:rPr>
        <w:t xml:space="preserve"> l</w:t>
      </w:r>
      <w:r>
        <w:rPr>
          <w:lang w:val="fr-CA"/>
        </w:rPr>
        <w:t>’</w:t>
      </w:r>
      <w:r w:rsidR="007E7823">
        <w:rPr>
          <w:lang w:val="fr-CA"/>
        </w:rPr>
        <w:t>él</w:t>
      </w:r>
      <w:r>
        <w:rPr>
          <w:lang w:val="fr-CA"/>
        </w:rPr>
        <w:t>im</w:t>
      </w:r>
      <w:r w:rsidR="007E7823">
        <w:rPr>
          <w:lang w:val="fr-CA"/>
        </w:rPr>
        <w:t>in</w:t>
      </w:r>
      <w:r>
        <w:rPr>
          <w:lang w:val="fr-CA"/>
        </w:rPr>
        <w:t>ation</w:t>
      </w:r>
      <w:r w:rsidR="007E7823">
        <w:rPr>
          <w:lang w:val="fr-CA"/>
        </w:rPr>
        <w:t xml:space="preserve"> des HCFC (décision 74/50), le financement de la consommation admissible en Mauritanie s’élève à 1 000 000 $US puisque sa consommation de HCFC dans le secteur de l’entretien RAC durant les années de référence se situe entre 160 et 200 </w:t>
      </w:r>
      <w:proofErr w:type="spellStart"/>
      <w:r w:rsidR="007E7823">
        <w:rPr>
          <w:lang w:val="fr-CA"/>
        </w:rPr>
        <w:t>tm</w:t>
      </w:r>
      <w:proofErr w:type="spellEnd"/>
      <w:r w:rsidR="007E7823">
        <w:rPr>
          <w:rStyle w:val="FootnoteReference"/>
          <w:lang w:val="fr-CA"/>
        </w:rPr>
        <w:footnoteReference w:id="13"/>
      </w:r>
      <w:r w:rsidR="007E7823">
        <w:rPr>
          <w:lang w:val="fr-CA"/>
        </w:rPr>
        <w:t>.</w:t>
      </w:r>
    </w:p>
    <w:p w14:paraId="79E37E95" w14:textId="1B8D5241" w:rsidR="00FD4A2E" w:rsidRDefault="007E7823" w:rsidP="007E7823">
      <w:pPr>
        <w:pStyle w:val="Heading1"/>
        <w:rPr>
          <w:lang w:val="fr-CA"/>
        </w:rPr>
      </w:pPr>
      <w:r w:rsidRPr="007E7823">
        <w:rPr>
          <w:lang w:val="fr-CA"/>
        </w:rPr>
        <w:t>Actuellement, le Comité exécutif a approuvé, en principe</w:t>
      </w:r>
      <w:r w:rsidR="002E7460">
        <w:rPr>
          <w:lang w:val="fr-CA"/>
        </w:rPr>
        <w:t>,</w:t>
      </w:r>
      <w:r>
        <w:rPr>
          <w:lang w:val="fr-CA"/>
        </w:rPr>
        <w:t xml:space="preserve"> pour la Mauritanie</w:t>
      </w:r>
      <w:r w:rsidRPr="007E7823">
        <w:rPr>
          <w:lang w:val="fr-CA"/>
        </w:rPr>
        <w:t xml:space="preserve"> la somme de 607 500 $US </w:t>
      </w:r>
      <w:r>
        <w:rPr>
          <w:lang w:val="fr-CA"/>
        </w:rPr>
        <w:t xml:space="preserve">pour mettre en œuvre la phase I du PGEH et parvenir à la réduction de 67,5 pour cent de la consommation de référence de HCFC d’ici 2025.  Avec le point de départ révisé, la Mauritanie serait admissible à un financement supplémentaire de 392 500 $US pour l’élimination </w:t>
      </w:r>
      <w:r w:rsidR="00F455C9">
        <w:rPr>
          <w:lang w:val="fr-CA"/>
        </w:rPr>
        <w:t>t</w:t>
      </w:r>
      <w:r>
        <w:rPr>
          <w:lang w:val="fr-CA"/>
        </w:rPr>
        <w:t>ot</w:t>
      </w:r>
      <w:r w:rsidR="00F455C9">
        <w:rPr>
          <w:lang w:val="fr-CA"/>
        </w:rPr>
        <w:t>al</w:t>
      </w:r>
      <w:r>
        <w:rPr>
          <w:lang w:val="fr-CA"/>
        </w:rPr>
        <w:t xml:space="preserve">e des HCFC, plutôt que le montant de 292 500 $US calculé à partir du point de départ </w:t>
      </w:r>
      <w:r w:rsidR="00FD4A2E">
        <w:rPr>
          <w:lang w:val="fr-CA"/>
        </w:rPr>
        <w:t xml:space="preserve">initial de 6,60 tonnes PAO (120 </w:t>
      </w:r>
      <w:proofErr w:type="spellStart"/>
      <w:r w:rsidR="00FD4A2E">
        <w:rPr>
          <w:lang w:val="fr-CA"/>
        </w:rPr>
        <w:t>tm</w:t>
      </w:r>
      <w:proofErr w:type="spellEnd"/>
      <w:r w:rsidR="00FD4A2E">
        <w:rPr>
          <w:lang w:val="fr-CA"/>
        </w:rPr>
        <w:t>).  Un résumé du montant des fonds admissibles pour le PGEH de la Mauritanie est présenté dans le tableau 4.</w:t>
      </w:r>
    </w:p>
    <w:p w14:paraId="625564E6" w14:textId="2178C040" w:rsidR="00F455C9" w:rsidRPr="00F455C9" w:rsidRDefault="00F455C9" w:rsidP="00F455C9">
      <w:pPr>
        <w:rPr>
          <w:b/>
          <w:bCs/>
          <w:lang w:val="fr-CA"/>
        </w:rPr>
      </w:pPr>
      <w:r w:rsidRPr="00445633">
        <w:rPr>
          <w:b/>
          <w:bCs/>
          <w:lang w:val="fr-CA"/>
        </w:rPr>
        <w:t xml:space="preserve">Tableau 4. </w:t>
      </w:r>
      <w:r w:rsidRPr="00F455C9">
        <w:rPr>
          <w:b/>
          <w:bCs/>
          <w:lang w:val="fr-CA"/>
        </w:rPr>
        <w:t>Niveau des fonds admissibles pour le PGEH de la Mauritanie</w:t>
      </w:r>
      <w:r>
        <w:rPr>
          <w:b/>
          <w:bCs/>
          <w:lang w:val="fr-CA"/>
        </w:rPr>
        <w:t>, d’après le point de départ initial et révisé</w:t>
      </w:r>
    </w:p>
    <w:tbl>
      <w:tblPr>
        <w:tblStyle w:val="TableGrid"/>
        <w:tblW w:w="5000" w:type="pct"/>
        <w:tblLook w:val="04A0" w:firstRow="1" w:lastRow="0" w:firstColumn="1" w:lastColumn="0" w:noHBand="0" w:noVBand="1"/>
      </w:tblPr>
      <w:tblGrid>
        <w:gridCol w:w="3113"/>
        <w:gridCol w:w="1844"/>
        <w:gridCol w:w="2063"/>
        <w:gridCol w:w="2330"/>
      </w:tblGrid>
      <w:tr w:rsidR="00F455C9" w:rsidRPr="004D3DD8" w14:paraId="2AF2E07D" w14:textId="77777777" w:rsidTr="00D53168">
        <w:tc>
          <w:tcPr>
            <w:tcW w:w="1665" w:type="pct"/>
          </w:tcPr>
          <w:p w14:paraId="010CBDD3" w14:textId="2F993430" w:rsidR="00F455C9" w:rsidRPr="004D3DD8" w:rsidRDefault="00F455C9" w:rsidP="00D53168">
            <w:pPr>
              <w:jc w:val="center"/>
              <w:rPr>
                <w:b/>
                <w:bCs/>
                <w:sz w:val="18"/>
                <w:szCs w:val="18"/>
                <w:lang w:eastAsia="en-CA"/>
              </w:rPr>
            </w:pPr>
            <w:r>
              <w:rPr>
                <w:b/>
                <w:bCs/>
                <w:sz w:val="18"/>
                <w:szCs w:val="18"/>
                <w:lang w:eastAsia="en-CA"/>
              </w:rPr>
              <w:t xml:space="preserve">Point de </w:t>
            </w:r>
            <w:r w:rsidR="001D286E">
              <w:rPr>
                <w:b/>
                <w:bCs/>
                <w:sz w:val="18"/>
                <w:szCs w:val="18"/>
                <w:lang w:eastAsia="en-CA"/>
              </w:rPr>
              <w:t>depart</w:t>
            </w:r>
          </w:p>
        </w:tc>
        <w:tc>
          <w:tcPr>
            <w:tcW w:w="986" w:type="pct"/>
          </w:tcPr>
          <w:p w14:paraId="4BE3D288" w14:textId="6D684C8B" w:rsidR="00F455C9" w:rsidRPr="00F455C9" w:rsidRDefault="00F455C9" w:rsidP="00F455C9">
            <w:pPr>
              <w:jc w:val="center"/>
              <w:rPr>
                <w:b/>
                <w:bCs/>
                <w:sz w:val="18"/>
                <w:szCs w:val="18"/>
                <w:lang w:val="fr-CA" w:eastAsia="en-CA"/>
              </w:rPr>
            </w:pPr>
            <w:r w:rsidRPr="00F455C9">
              <w:rPr>
                <w:b/>
                <w:bCs/>
                <w:sz w:val="18"/>
                <w:szCs w:val="18"/>
                <w:lang w:val="fr-CA" w:eastAsia="en-CA"/>
              </w:rPr>
              <w:t>Fonds admissibles pour l’élimination totale  ($ US)</w:t>
            </w:r>
          </w:p>
        </w:tc>
        <w:tc>
          <w:tcPr>
            <w:tcW w:w="1103" w:type="pct"/>
          </w:tcPr>
          <w:p w14:paraId="7E108C23" w14:textId="4ED05E79" w:rsidR="00F455C9" w:rsidRPr="00F455C9" w:rsidRDefault="00F455C9" w:rsidP="00D53168">
            <w:pPr>
              <w:jc w:val="center"/>
              <w:rPr>
                <w:b/>
                <w:bCs/>
                <w:sz w:val="18"/>
                <w:szCs w:val="18"/>
                <w:lang w:val="fr-CA" w:eastAsia="en-CA"/>
              </w:rPr>
            </w:pPr>
            <w:r w:rsidRPr="00F455C9">
              <w:rPr>
                <w:b/>
                <w:bCs/>
                <w:sz w:val="18"/>
                <w:szCs w:val="18"/>
                <w:lang w:val="fr-CA" w:eastAsia="en-CA"/>
              </w:rPr>
              <w:t>Fonds approuvés pour la phase I jusqu’en 2025 ($ US)</w:t>
            </w:r>
          </w:p>
        </w:tc>
        <w:tc>
          <w:tcPr>
            <w:tcW w:w="1246" w:type="pct"/>
          </w:tcPr>
          <w:p w14:paraId="5BDD07A9" w14:textId="70BB7B11" w:rsidR="00F455C9" w:rsidRPr="00F455C9" w:rsidRDefault="00F455C9" w:rsidP="00D53168">
            <w:pPr>
              <w:jc w:val="center"/>
              <w:rPr>
                <w:b/>
                <w:bCs/>
                <w:sz w:val="18"/>
                <w:szCs w:val="18"/>
                <w:lang w:val="fr-CA" w:eastAsia="en-CA"/>
              </w:rPr>
            </w:pPr>
            <w:r w:rsidRPr="00F455C9">
              <w:rPr>
                <w:b/>
                <w:bCs/>
                <w:sz w:val="18"/>
                <w:szCs w:val="18"/>
                <w:lang w:val="fr-CA" w:eastAsia="en-CA"/>
              </w:rPr>
              <w:t>Fonds restants à être approuv</w:t>
            </w:r>
            <w:r w:rsidR="007A44E9">
              <w:rPr>
                <w:b/>
                <w:bCs/>
                <w:sz w:val="18"/>
                <w:szCs w:val="18"/>
                <w:lang w:val="fr-CA" w:eastAsia="en-CA"/>
              </w:rPr>
              <w:t>és</w:t>
            </w:r>
            <w:r w:rsidRPr="00F455C9">
              <w:rPr>
                <w:b/>
                <w:bCs/>
                <w:sz w:val="18"/>
                <w:szCs w:val="18"/>
                <w:lang w:val="fr-CA" w:eastAsia="en-CA"/>
              </w:rPr>
              <w:t xml:space="preserve"> pour la phase II </w:t>
            </w:r>
          </w:p>
          <w:p w14:paraId="497BBC48" w14:textId="15317638" w:rsidR="00F455C9" w:rsidRPr="004D3DD8" w:rsidRDefault="00F455C9" w:rsidP="00D53168">
            <w:pPr>
              <w:jc w:val="center"/>
              <w:rPr>
                <w:b/>
                <w:bCs/>
                <w:sz w:val="18"/>
                <w:szCs w:val="18"/>
                <w:lang w:eastAsia="en-CA"/>
              </w:rPr>
            </w:pPr>
            <w:r>
              <w:rPr>
                <w:b/>
                <w:bCs/>
                <w:sz w:val="18"/>
                <w:szCs w:val="18"/>
                <w:lang w:eastAsia="en-CA"/>
              </w:rPr>
              <w:t>($ US)</w:t>
            </w:r>
          </w:p>
        </w:tc>
      </w:tr>
      <w:tr w:rsidR="00F455C9" w:rsidRPr="004D3DD8" w14:paraId="1E3F4841" w14:textId="77777777" w:rsidTr="00D53168">
        <w:tc>
          <w:tcPr>
            <w:tcW w:w="1665" w:type="pct"/>
          </w:tcPr>
          <w:p w14:paraId="49139FB9" w14:textId="64225E44" w:rsidR="00F455C9" w:rsidRPr="00967157" w:rsidRDefault="00F455C9" w:rsidP="00D53168">
            <w:pPr>
              <w:rPr>
                <w:sz w:val="18"/>
                <w:szCs w:val="18"/>
                <w:lang w:val="fr-CA" w:eastAsia="en-CA"/>
              </w:rPr>
            </w:pPr>
            <w:r w:rsidRPr="00967157">
              <w:rPr>
                <w:sz w:val="18"/>
                <w:szCs w:val="18"/>
                <w:lang w:val="fr-CA" w:eastAsia="en-CA"/>
              </w:rPr>
              <w:t>Tel qu’inclus da</w:t>
            </w:r>
            <w:r w:rsidR="00967157" w:rsidRPr="00967157">
              <w:rPr>
                <w:sz w:val="18"/>
                <w:szCs w:val="18"/>
                <w:lang w:val="fr-CA" w:eastAsia="en-CA"/>
              </w:rPr>
              <w:t>n</w:t>
            </w:r>
            <w:r w:rsidRPr="00967157">
              <w:rPr>
                <w:sz w:val="18"/>
                <w:szCs w:val="18"/>
                <w:lang w:val="fr-CA" w:eastAsia="en-CA"/>
              </w:rPr>
              <w:t>s la demande pour la phase I :</w:t>
            </w:r>
            <w:r w:rsidR="00967157">
              <w:rPr>
                <w:sz w:val="18"/>
                <w:szCs w:val="18"/>
                <w:lang w:val="fr-CA" w:eastAsia="en-CA"/>
              </w:rPr>
              <w:t xml:space="preserve"> </w:t>
            </w:r>
            <w:r w:rsidRPr="003420AC">
              <w:rPr>
                <w:sz w:val="18"/>
                <w:szCs w:val="18"/>
                <w:lang w:val="fr-FR" w:eastAsia="en-CA"/>
              </w:rPr>
              <w:t>20</w:t>
            </w:r>
            <w:r w:rsidR="00967157">
              <w:rPr>
                <w:sz w:val="18"/>
                <w:szCs w:val="18"/>
                <w:lang w:val="fr-FR" w:eastAsia="en-CA"/>
              </w:rPr>
              <w:t>,</w:t>
            </w:r>
            <w:r w:rsidRPr="003420AC">
              <w:rPr>
                <w:sz w:val="18"/>
                <w:szCs w:val="18"/>
                <w:lang w:val="fr-FR" w:eastAsia="en-CA"/>
              </w:rPr>
              <w:t xml:space="preserve">5 tonnes </w:t>
            </w:r>
            <w:r w:rsidR="00967157">
              <w:rPr>
                <w:sz w:val="18"/>
                <w:szCs w:val="18"/>
                <w:lang w:val="fr-FR" w:eastAsia="en-CA"/>
              </w:rPr>
              <w:t xml:space="preserve">PAO </w:t>
            </w:r>
            <w:r w:rsidRPr="003420AC">
              <w:rPr>
                <w:sz w:val="18"/>
                <w:szCs w:val="18"/>
                <w:lang w:val="fr-FR" w:eastAsia="en-CA"/>
              </w:rPr>
              <w:t>(372 mt) (</w:t>
            </w:r>
            <w:r w:rsidR="00967157">
              <w:rPr>
                <w:sz w:val="18"/>
                <w:szCs w:val="18"/>
                <w:lang w:val="fr-FR" w:eastAsia="en-CA"/>
              </w:rPr>
              <w:t>pays qui ne sont pas des PFV</w:t>
            </w:r>
            <w:r w:rsidRPr="003420AC">
              <w:rPr>
                <w:sz w:val="18"/>
                <w:szCs w:val="18"/>
                <w:lang w:val="fr-FR" w:eastAsia="en-CA"/>
              </w:rPr>
              <w:t>)</w:t>
            </w:r>
          </w:p>
        </w:tc>
        <w:tc>
          <w:tcPr>
            <w:tcW w:w="986" w:type="pct"/>
          </w:tcPr>
          <w:p w14:paraId="10E3499C" w14:textId="6DECC8E9" w:rsidR="00F455C9" w:rsidRPr="004D3DD8" w:rsidRDefault="00F455C9" w:rsidP="00D53168">
            <w:pPr>
              <w:jc w:val="right"/>
              <w:rPr>
                <w:sz w:val="18"/>
                <w:szCs w:val="18"/>
                <w:lang w:eastAsia="en-CA"/>
              </w:rPr>
            </w:pPr>
            <w:r>
              <w:rPr>
                <w:sz w:val="18"/>
                <w:szCs w:val="18"/>
                <w:lang w:eastAsia="en-CA"/>
              </w:rPr>
              <w:t>1 785 600</w:t>
            </w:r>
          </w:p>
        </w:tc>
        <w:tc>
          <w:tcPr>
            <w:tcW w:w="1103" w:type="pct"/>
          </w:tcPr>
          <w:p w14:paraId="7A8BB17F" w14:textId="56AC5315" w:rsidR="00F455C9" w:rsidRPr="004D3DD8" w:rsidRDefault="00F455C9" w:rsidP="00D53168">
            <w:pPr>
              <w:jc w:val="right"/>
              <w:rPr>
                <w:sz w:val="18"/>
                <w:szCs w:val="18"/>
                <w:lang w:eastAsia="en-CA"/>
              </w:rPr>
            </w:pPr>
            <w:proofErr w:type="spellStart"/>
            <w:r>
              <w:rPr>
                <w:sz w:val="18"/>
                <w:szCs w:val="18"/>
                <w:lang w:eastAsia="en-CA"/>
              </w:rPr>
              <w:t>s.o</w:t>
            </w:r>
            <w:proofErr w:type="spellEnd"/>
            <w:r>
              <w:rPr>
                <w:sz w:val="18"/>
                <w:szCs w:val="18"/>
                <w:lang w:eastAsia="en-CA"/>
              </w:rPr>
              <w:t>.</w:t>
            </w:r>
          </w:p>
        </w:tc>
        <w:tc>
          <w:tcPr>
            <w:tcW w:w="1246" w:type="pct"/>
          </w:tcPr>
          <w:p w14:paraId="5C254E72" w14:textId="7FC48CA8" w:rsidR="00F455C9" w:rsidRPr="004D3DD8" w:rsidRDefault="00F455C9" w:rsidP="00D53168">
            <w:pPr>
              <w:jc w:val="right"/>
              <w:rPr>
                <w:sz w:val="18"/>
                <w:szCs w:val="18"/>
                <w:lang w:eastAsia="en-CA"/>
              </w:rPr>
            </w:pPr>
            <w:proofErr w:type="spellStart"/>
            <w:r>
              <w:rPr>
                <w:sz w:val="18"/>
                <w:szCs w:val="18"/>
                <w:lang w:eastAsia="en-CA"/>
              </w:rPr>
              <w:t>s.o</w:t>
            </w:r>
            <w:proofErr w:type="spellEnd"/>
            <w:r>
              <w:rPr>
                <w:sz w:val="18"/>
                <w:szCs w:val="18"/>
                <w:lang w:eastAsia="en-CA"/>
              </w:rPr>
              <w:t>.</w:t>
            </w:r>
          </w:p>
        </w:tc>
      </w:tr>
      <w:tr w:rsidR="00F455C9" w:rsidRPr="004D3DD8" w14:paraId="7BDB69B0" w14:textId="77777777" w:rsidTr="00D53168">
        <w:tc>
          <w:tcPr>
            <w:tcW w:w="1665" w:type="pct"/>
          </w:tcPr>
          <w:p w14:paraId="7CC39B1C" w14:textId="203D4087" w:rsidR="00F455C9" w:rsidRPr="00967157" w:rsidRDefault="00967157" w:rsidP="00D53168">
            <w:pPr>
              <w:rPr>
                <w:sz w:val="18"/>
                <w:szCs w:val="18"/>
                <w:lang w:val="fr-CA" w:eastAsia="en-CA"/>
              </w:rPr>
            </w:pPr>
            <w:r w:rsidRPr="00967157">
              <w:rPr>
                <w:sz w:val="18"/>
                <w:szCs w:val="18"/>
                <w:lang w:val="fr-CA" w:eastAsia="en-CA"/>
              </w:rPr>
              <w:t>Tel qu’approuvé à la 80</w:t>
            </w:r>
            <w:r w:rsidRPr="00967157">
              <w:rPr>
                <w:sz w:val="18"/>
                <w:szCs w:val="18"/>
                <w:vertAlign w:val="superscript"/>
                <w:lang w:val="fr-CA" w:eastAsia="en-CA"/>
              </w:rPr>
              <w:t>e</w:t>
            </w:r>
            <w:r w:rsidRPr="00967157">
              <w:rPr>
                <w:sz w:val="18"/>
                <w:szCs w:val="18"/>
                <w:lang w:val="fr-CA" w:eastAsia="en-CA"/>
              </w:rPr>
              <w:t xml:space="preserve"> r</w:t>
            </w:r>
            <w:r>
              <w:rPr>
                <w:sz w:val="18"/>
                <w:szCs w:val="18"/>
                <w:lang w:val="fr-CA" w:eastAsia="en-CA"/>
              </w:rPr>
              <w:t>é</w:t>
            </w:r>
            <w:r w:rsidRPr="00967157">
              <w:rPr>
                <w:sz w:val="18"/>
                <w:szCs w:val="18"/>
                <w:lang w:val="fr-CA" w:eastAsia="en-CA"/>
              </w:rPr>
              <w:t xml:space="preserve">union </w:t>
            </w:r>
            <w:r w:rsidR="00F455C9" w:rsidRPr="00967157">
              <w:rPr>
                <w:sz w:val="18"/>
                <w:szCs w:val="18"/>
                <w:lang w:val="fr-CA" w:eastAsia="en-CA"/>
              </w:rPr>
              <w:t xml:space="preserve">: </w:t>
            </w:r>
          </w:p>
          <w:p w14:paraId="77227588" w14:textId="5D0E5A80" w:rsidR="00F455C9" w:rsidRPr="004D3DD8" w:rsidRDefault="00F455C9" w:rsidP="00D53168">
            <w:pPr>
              <w:rPr>
                <w:sz w:val="18"/>
                <w:szCs w:val="18"/>
                <w:lang w:eastAsia="en-CA"/>
              </w:rPr>
            </w:pPr>
            <w:r w:rsidRPr="004D3DD8">
              <w:rPr>
                <w:sz w:val="18"/>
                <w:szCs w:val="18"/>
                <w:lang w:eastAsia="en-CA"/>
              </w:rPr>
              <w:t>6</w:t>
            </w:r>
            <w:r w:rsidR="00967157">
              <w:rPr>
                <w:sz w:val="18"/>
                <w:szCs w:val="18"/>
                <w:lang w:eastAsia="en-CA"/>
              </w:rPr>
              <w:t>,</w:t>
            </w:r>
            <w:r w:rsidRPr="004D3DD8">
              <w:rPr>
                <w:sz w:val="18"/>
                <w:szCs w:val="18"/>
                <w:lang w:eastAsia="en-CA"/>
              </w:rPr>
              <w:t>60</w:t>
            </w:r>
            <w:r>
              <w:rPr>
                <w:sz w:val="18"/>
                <w:szCs w:val="18"/>
                <w:lang w:eastAsia="en-CA"/>
              </w:rPr>
              <w:t> tonnes</w:t>
            </w:r>
            <w:r w:rsidRPr="004D3DD8">
              <w:rPr>
                <w:sz w:val="18"/>
                <w:szCs w:val="18"/>
                <w:lang w:eastAsia="en-CA"/>
              </w:rPr>
              <w:t xml:space="preserve"> </w:t>
            </w:r>
            <w:r w:rsidR="00967157">
              <w:rPr>
                <w:sz w:val="18"/>
                <w:szCs w:val="18"/>
                <w:lang w:eastAsia="en-CA"/>
              </w:rPr>
              <w:t xml:space="preserve">PAO </w:t>
            </w:r>
            <w:r w:rsidRPr="004D3DD8">
              <w:rPr>
                <w:sz w:val="18"/>
                <w:szCs w:val="18"/>
                <w:lang w:eastAsia="en-CA"/>
              </w:rPr>
              <w:t>(120 t</w:t>
            </w:r>
            <w:r w:rsidR="00967157">
              <w:rPr>
                <w:sz w:val="18"/>
                <w:szCs w:val="18"/>
                <w:lang w:eastAsia="en-CA"/>
              </w:rPr>
              <w:t>m</w:t>
            </w:r>
            <w:r w:rsidRPr="004D3DD8">
              <w:rPr>
                <w:sz w:val="18"/>
                <w:szCs w:val="18"/>
                <w:lang w:eastAsia="en-CA"/>
              </w:rPr>
              <w:t>)</w:t>
            </w:r>
            <w:r>
              <w:rPr>
                <w:sz w:val="18"/>
                <w:szCs w:val="18"/>
                <w:lang w:eastAsia="en-CA"/>
              </w:rPr>
              <w:t xml:space="preserve"> (</w:t>
            </w:r>
            <w:r w:rsidR="00967157">
              <w:rPr>
                <w:sz w:val="18"/>
                <w:szCs w:val="18"/>
                <w:lang w:eastAsia="en-CA"/>
              </w:rPr>
              <w:t>PFV</w:t>
            </w:r>
            <w:r>
              <w:rPr>
                <w:sz w:val="18"/>
                <w:szCs w:val="18"/>
                <w:lang w:eastAsia="en-CA"/>
              </w:rPr>
              <w:t>)</w:t>
            </w:r>
          </w:p>
        </w:tc>
        <w:tc>
          <w:tcPr>
            <w:tcW w:w="986" w:type="pct"/>
          </w:tcPr>
          <w:p w14:paraId="0003E60F" w14:textId="42D7C880" w:rsidR="00F455C9" w:rsidRPr="004D3DD8" w:rsidRDefault="00F455C9" w:rsidP="00D53168">
            <w:pPr>
              <w:jc w:val="right"/>
              <w:rPr>
                <w:sz w:val="18"/>
                <w:szCs w:val="18"/>
                <w:lang w:eastAsia="en-CA"/>
              </w:rPr>
            </w:pPr>
            <w:r w:rsidRPr="004D3DD8">
              <w:rPr>
                <w:sz w:val="18"/>
                <w:szCs w:val="18"/>
                <w:lang w:eastAsia="en-CA"/>
              </w:rPr>
              <w:t>900</w:t>
            </w:r>
            <w:r>
              <w:rPr>
                <w:sz w:val="18"/>
                <w:szCs w:val="18"/>
                <w:lang w:eastAsia="en-CA"/>
              </w:rPr>
              <w:t xml:space="preserve"> </w:t>
            </w:r>
            <w:r w:rsidRPr="004D3DD8">
              <w:rPr>
                <w:sz w:val="18"/>
                <w:szCs w:val="18"/>
                <w:lang w:eastAsia="en-CA"/>
              </w:rPr>
              <w:t>000</w:t>
            </w:r>
          </w:p>
        </w:tc>
        <w:tc>
          <w:tcPr>
            <w:tcW w:w="1103" w:type="pct"/>
          </w:tcPr>
          <w:p w14:paraId="309D8679" w14:textId="06285B11" w:rsidR="00F455C9" w:rsidRPr="004D3DD8" w:rsidRDefault="00F455C9" w:rsidP="00D53168">
            <w:pPr>
              <w:jc w:val="right"/>
              <w:rPr>
                <w:sz w:val="18"/>
                <w:szCs w:val="18"/>
                <w:lang w:eastAsia="en-CA"/>
              </w:rPr>
            </w:pPr>
            <w:r w:rsidRPr="004D3DD8">
              <w:rPr>
                <w:sz w:val="18"/>
                <w:szCs w:val="18"/>
                <w:lang w:eastAsia="en-CA"/>
              </w:rPr>
              <w:t>607</w:t>
            </w:r>
            <w:r>
              <w:rPr>
                <w:sz w:val="18"/>
                <w:szCs w:val="18"/>
                <w:lang w:eastAsia="en-CA"/>
              </w:rPr>
              <w:t xml:space="preserve"> </w:t>
            </w:r>
            <w:r w:rsidRPr="004D3DD8">
              <w:rPr>
                <w:sz w:val="18"/>
                <w:szCs w:val="18"/>
                <w:lang w:eastAsia="en-CA"/>
              </w:rPr>
              <w:t>500</w:t>
            </w:r>
          </w:p>
        </w:tc>
        <w:tc>
          <w:tcPr>
            <w:tcW w:w="1246" w:type="pct"/>
          </w:tcPr>
          <w:p w14:paraId="263C8C34" w14:textId="02531FEE" w:rsidR="00F455C9" w:rsidRPr="004D3DD8" w:rsidRDefault="00F455C9" w:rsidP="00D53168">
            <w:pPr>
              <w:jc w:val="right"/>
              <w:rPr>
                <w:sz w:val="18"/>
                <w:szCs w:val="18"/>
                <w:lang w:eastAsia="en-CA"/>
              </w:rPr>
            </w:pPr>
            <w:r w:rsidRPr="004D3DD8">
              <w:rPr>
                <w:sz w:val="18"/>
                <w:szCs w:val="18"/>
                <w:lang w:eastAsia="en-CA"/>
              </w:rPr>
              <w:t>292</w:t>
            </w:r>
            <w:r>
              <w:rPr>
                <w:sz w:val="18"/>
                <w:szCs w:val="18"/>
                <w:lang w:eastAsia="en-CA"/>
              </w:rPr>
              <w:t xml:space="preserve"> </w:t>
            </w:r>
            <w:r w:rsidRPr="004D3DD8">
              <w:rPr>
                <w:sz w:val="18"/>
                <w:szCs w:val="18"/>
                <w:lang w:eastAsia="en-CA"/>
              </w:rPr>
              <w:t>500</w:t>
            </w:r>
          </w:p>
        </w:tc>
      </w:tr>
      <w:tr w:rsidR="00F455C9" w:rsidRPr="004D3DD8" w14:paraId="27444F54" w14:textId="77777777" w:rsidTr="00D53168">
        <w:tc>
          <w:tcPr>
            <w:tcW w:w="1665" w:type="pct"/>
          </w:tcPr>
          <w:p w14:paraId="60277D48" w14:textId="0919FD67" w:rsidR="00F455C9" w:rsidRPr="00967157" w:rsidRDefault="00967157" w:rsidP="00D53168">
            <w:pPr>
              <w:rPr>
                <w:sz w:val="18"/>
                <w:szCs w:val="18"/>
                <w:lang w:val="fr-CA" w:eastAsia="en-CA"/>
              </w:rPr>
            </w:pPr>
            <w:r w:rsidRPr="00967157">
              <w:rPr>
                <w:sz w:val="18"/>
                <w:szCs w:val="18"/>
                <w:lang w:val="fr-CA" w:eastAsia="en-CA"/>
              </w:rPr>
              <w:t xml:space="preserve">Tel que révisé d’après l’étude sur la demande de </w:t>
            </w:r>
            <w:r w:rsidR="00F455C9" w:rsidRPr="00967157">
              <w:rPr>
                <w:sz w:val="18"/>
                <w:szCs w:val="18"/>
                <w:lang w:val="fr-CA" w:eastAsia="en-CA"/>
              </w:rPr>
              <w:t xml:space="preserve">HCFC </w:t>
            </w:r>
            <w:r>
              <w:rPr>
                <w:sz w:val="18"/>
                <w:szCs w:val="18"/>
                <w:lang w:val="fr-CA" w:eastAsia="en-CA"/>
              </w:rPr>
              <w:t xml:space="preserve">pour des besoins d’entretien locaux </w:t>
            </w:r>
            <w:r w:rsidR="00F455C9" w:rsidRPr="00967157">
              <w:rPr>
                <w:sz w:val="18"/>
                <w:szCs w:val="18"/>
                <w:lang w:val="fr-CA" w:eastAsia="en-CA"/>
              </w:rPr>
              <w:t>: 10</w:t>
            </w:r>
            <w:r>
              <w:rPr>
                <w:sz w:val="18"/>
                <w:szCs w:val="18"/>
                <w:lang w:val="fr-CA" w:eastAsia="en-CA"/>
              </w:rPr>
              <w:t>,</w:t>
            </w:r>
            <w:r w:rsidR="00F455C9" w:rsidRPr="00967157">
              <w:rPr>
                <w:sz w:val="18"/>
                <w:szCs w:val="18"/>
                <w:lang w:val="fr-CA" w:eastAsia="en-CA"/>
              </w:rPr>
              <w:t>67 tonnes</w:t>
            </w:r>
            <w:r>
              <w:rPr>
                <w:sz w:val="18"/>
                <w:szCs w:val="18"/>
                <w:lang w:val="fr-CA" w:eastAsia="en-CA"/>
              </w:rPr>
              <w:t xml:space="preserve"> PAO</w:t>
            </w:r>
            <w:r w:rsidR="00F455C9" w:rsidRPr="00967157">
              <w:rPr>
                <w:sz w:val="18"/>
                <w:szCs w:val="18"/>
                <w:lang w:val="fr-CA" w:eastAsia="en-CA"/>
              </w:rPr>
              <w:t xml:space="preserve"> (194 </w:t>
            </w:r>
            <w:proofErr w:type="spellStart"/>
            <w:r w:rsidR="00F455C9" w:rsidRPr="00967157">
              <w:rPr>
                <w:sz w:val="18"/>
                <w:szCs w:val="18"/>
                <w:lang w:val="fr-CA" w:eastAsia="en-CA"/>
              </w:rPr>
              <w:t>t</w:t>
            </w:r>
            <w:r>
              <w:rPr>
                <w:sz w:val="18"/>
                <w:szCs w:val="18"/>
                <w:lang w:val="fr-CA" w:eastAsia="en-CA"/>
              </w:rPr>
              <w:t>m</w:t>
            </w:r>
            <w:proofErr w:type="spellEnd"/>
            <w:r w:rsidR="00F455C9" w:rsidRPr="00967157">
              <w:rPr>
                <w:sz w:val="18"/>
                <w:szCs w:val="18"/>
                <w:lang w:val="fr-CA" w:eastAsia="en-CA"/>
              </w:rPr>
              <w:t>) (</w:t>
            </w:r>
            <w:r>
              <w:rPr>
                <w:sz w:val="18"/>
                <w:szCs w:val="18"/>
                <w:lang w:val="fr-CA" w:eastAsia="en-CA"/>
              </w:rPr>
              <w:t>PF</w:t>
            </w:r>
            <w:r w:rsidR="00F455C9" w:rsidRPr="00967157">
              <w:rPr>
                <w:sz w:val="18"/>
                <w:szCs w:val="18"/>
                <w:lang w:val="fr-CA" w:eastAsia="en-CA"/>
              </w:rPr>
              <w:t>V)</w:t>
            </w:r>
          </w:p>
        </w:tc>
        <w:tc>
          <w:tcPr>
            <w:tcW w:w="986" w:type="pct"/>
          </w:tcPr>
          <w:p w14:paraId="65FE10F7" w14:textId="6BEB82B8" w:rsidR="00F455C9" w:rsidRPr="004D3DD8" w:rsidRDefault="00F455C9" w:rsidP="00D53168">
            <w:pPr>
              <w:jc w:val="right"/>
              <w:rPr>
                <w:sz w:val="18"/>
                <w:szCs w:val="18"/>
                <w:lang w:eastAsia="en-CA"/>
              </w:rPr>
            </w:pPr>
            <w:r w:rsidRPr="004D3DD8">
              <w:rPr>
                <w:sz w:val="18"/>
                <w:szCs w:val="18"/>
                <w:lang w:eastAsia="en-CA"/>
              </w:rPr>
              <w:t>1</w:t>
            </w:r>
            <w:r>
              <w:rPr>
                <w:sz w:val="18"/>
                <w:szCs w:val="18"/>
                <w:lang w:eastAsia="en-CA"/>
              </w:rPr>
              <w:t xml:space="preserve"> </w:t>
            </w:r>
            <w:r w:rsidRPr="004D3DD8">
              <w:rPr>
                <w:sz w:val="18"/>
                <w:szCs w:val="18"/>
                <w:lang w:eastAsia="en-CA"/>
              </w:rPr>
              <w:t>000</w:t>
            </w:r>
            <w:r>
              <w:rPr>
                <w:sz w:val="18"/>
                <w:szCs w:val="18"/>
                <w:lang w:eastAsia="en-CA"/>
              </w:rPr>
              <w:t xml:space="preserve"> </w:t>
            </w:r>
            <w:r w:rsidRPr="004D3DD8">
              <w:rPr>
                <w:sz w:val="18"/>
                <w:szCs w:val="18"/>
                <w:lang w:eastAsia="en-CA"/>
              </w:rPr>
              <w:t>000</w:t>
            </w:r>
          </w:p>
        </w:tc>
        <w:tc>
          <w:tcPr>
            <w:tcW w:w="1103" w:type="pct"/>
          </w:tcPr>
          <w:p w14:paraId="5EDDBD74" w14:textId="3A49BE6F" w:rsidR="00F455C9" w:rsidRPr="004D3DD8" w:rsidRDefault="00F455C9" w:rsidP="00D53168">
            <w:pPr>
              <w:jc w:val="right"/>
              <w:rPr>
                <w:sz w:val="18"/>
                <w:szCs w:val="18"/>
                <w:lang w:eastAsia="en-CA"/>
              </w:rPr>
            </w:pPr>
            <w:r w:rsidRPr="004D3DD8">
              <w:rPr>
                <w:sz w:val="18"/>
                <w:szCs w:val="18"/>
                <w:lang w:eastAsia="en-CA"/>
              </w:rPr>
              <w:t>607</w:t>
            </w:r>
            <w:r>
              <w:rPr>
                <w:sz w:val="18"/>
                <w:szCs w:val="18"/>
                <w:lang w:eastAsia="en-CA"/>
              </w:rPr>
              <w:t xml:space="preserve"> </w:t>
            </w:r>
            <w:r w:rsidRPr="004D3DD8">
              <w:rPr>
                <w:sz w:val="18"/>
                <w:szCs w:val="18"/>
                <w:lang w:eastAsia="en-CA"/>
              </w:rPr>
              <w:t>500</w:t>
            </w:r>
          </w:p>
        </w:tc>
        <w:tc>
          <w:tcPr>
            <w:tcW w:w="1246" w:type="pct"/>
          </w:tcPr>
          <w:p w14:paraId="7BB9F04A" w14:textId="798C21D2" w:rsidR="00F455C9" w:rsidRPr="004D3DD8" w:rsidRDefault="00F455C9" w:rsidP="00D53168">
            <w:pPr>
              <w:jc w:val="right"/>
              <w:rPr>
                <w:sz w:val="18"/>
                <w:szCs w:val="18"/>
                <w:lang w:eastAsia="en-CA"/>
              </w:rPr>
            </w:pPr>
            <w:r w:rsidRPr="004D3DD8">
              <w:rPr>
                <w:sz w:val="18"/>
                <w:szCs w:val="18"/>
                <w:lang w:eastAsia="en-CA"/>
              </w:rPr>
              <w:t>392</w:t>
            </w:r>
            <w:r>
              <w:rPr>
                <w:sz w:val="18"/>
                <w:szCs w:val="18"/>
                <w:lang w:eastAsia="en-CA"/>
              </w:rPr>
              <w:t xml:space="preserve"> </w:t>
            </w:r>
            <w:r w:rsidRPr="004D3DD8">
              <w:rPr>
                <w:sz w:val="18"/>
                <w:szCs w:val="18"/>
                <w:lang w:eastAsia="en-CA"/>
              </w:rPr>
              <w:t>500</w:t>
            </w:r>
          </w:p>
        </w:tc>
      </w:tr>
    </w:tbl>
    <w:p w14:paraId="2DEC6E6F" w14:textId="77777777" w:rsidR="00F455C9" w:rsidRPr="00F455C9" w:rsidRDefault="00F455C9" w:rsidP="00F455C9">
      <w:pPr>
        <w:rPr>
          <w:lang w:val="fr-CA"/>
        </w:rPr>
      </w:pPr>
    </w:p>
    <w:p w14:paraId="2FCA76CA" w14:textId="6B460569" w:rsidR="0037664A" w:rsidRPr="0037664A" w:rsidRDefault="0037664A" w:rsidP="0037664A">
      <w:pPr>
        <w:pStyle w:val="Heading1"/>
        <w:numPr>
          <w:ilvl w:val="0"/>
          <w:numId w:val="0"/>
        </w:numPr>
        <w:rPr>
          <w:b/>
          <w:bCs/>
          <w:lang w:val="fr-CA"/>
        </w:rPr>
      </w:pPr>
      <w:r>
        <w:rPr>
          <w:b/>
          <w:bCs/>
          <w:lang w:val="fr-CA"/>
        </w:rPr>
        <w:t>Exemption de la pénalité</w:t>
      </w:r>
    </w:p>
    <w:p w14:paraId="156702D1" w14:textId="78925AF5" w:rsidR="00F75F02" w:rsidRDefault="00FD4A2E" w:rsidP="007E7823">
      <w:pPr>
        <w:pStyle w:val="Heading1"/>
        <w:rPr>
          <w:lang w:val="fr-CA"/>
        </w:rPr>
      </w:pPr>
      <w:r>
        <w:rPr>
          <w:lang w:val="fr-CA"/>
        </w:rPr>
        <w:t xml:space="preserve">  </w:t>
      </w:r>
      <w:r w:rsidR="007E7823" w:rsidRPr="007E7823">
        <w:rPr>
          <w:lang w:val="fr-CA"/>
        </w:rPr>
        <w:t xml:space="preserve"> </w:t>
      </w:r>
      <w:r w:rsidR="0037664A">
        <w:rPr>
          <w:lang w:val="fr-CA"/>
        </w:rPr>
        <w:t>La décision 80/57 a approuvé l’Accord entre le gouvernement de la Mauritanie et le Comité exécutif</w:t>
      </w:r>
      <w:r w:rsidR="0037664A">
        <w:rPr>
          <w:rStyle w:val="FootnoteReference"/>
          <w:lang w:val="fr-CA"/>
        </w:rPr>
        <w:footnoteReference w:id="14"/>
      </w:r>
      <w:r w:rsidR="0037664A">
        <w:rPr>
          <w:lang w:val="fr-CA"/>
        </w:rPr>
        <w:t xml:space="preserve"> concernant la réduction de la consommation de HCFC, étant entendu que la disposition relative à la réduction du financement en cas de non-conformité (Appendice 7-A) ne serait pas appliquée au cas où le niveau vérifié de la consommation de HCFC serait supérieur au point de départ estimé de 6,60 tonnes </w:t>
      </w:r>
      <w:r w:rsidR="0037664A">
        <w:rPr>
          <w:lang w:val="fr-CA"/>
        </w:rPr>
        <w:lastRenderedPageBreak/>
        <w:t>PAO.  Avec l’accord sur le point de départ et la consommation maximale autorisée pour 2024 et 2025, l’exemption ne sera pas applicable pour la consommation pendant ces deux années.</w:t>
      </w:r>
    </w:p>
    <w:p w14:paraId="39F98FD1" w14:textId="3018B45B" w:rsidR="0037664A" w:rsidRDefault="0037664A" w:rsidP="0037664A">
      <w:pPr>
        <w:rPr>
          <w:b/>
          <w:bCs/>
          <w:lang w:val="fr-CA"/>
        </w:rPr>
      </w:pPr>
      <w:r>
        <w:rPr>
          <w:b/>
          <w:bCs/>
          <w:lang w:val="fr-CA"/>
        </w:rPr>
        <w:t>Révision de l’Accord</w:t>
      </w:r>
    </w:p>
    <w:p w14:paraId="2A8BD6C0" w14:textId="77777777" w:rsidR="0037664A" w:rsidRDefault="0037664A" w:rsidP="0037664A">
      <w:pPr>
        <w:rPr>
          <w:b/>
          <w:bCs/>
          <w:lang w:val="fr-CA"/>
        </w:rPr>
      </w:pPr>
    </w:p>
    <w:p w14:paraId="748008B7" w14:textId="55F3AFAA" w:rsidR="0037664A" w:rsidRDefault="0037664A" w:rsidP="0037664A">
      <w:pPr>
        <w:pStyle w:val="Heading1"/>
        <w:rPr>
          <w:lang w:val="fr-CA"/>
        </w:rPr>
      </w:pPr>
      <w:r>
        <w:rPr>
          <w:lang w:val="fr-CA"/>
        </w:rPr>
        <w:t>Le Secrétariat a révisé l’Accord entre le gouvernement de la Mauritanie et le Comité exécutif</w:t>
      </w:r>
      <w:r>
        <w:rPr>
          <w:rStyle w:val="FootnoteReference"/>
          <w:lang w:val="fr-CA"/>
        </w:rPr>
        <w:footnoteReference w:id="15"/>
      </w:r>
      <w:r>
        <w:rPr>
          <w:lang w:val="fr-CA"/>
        </w:rPr>
        <w:t>, tel qu’il figure à l’Annexe I, pour inclure les ajustements suivants :</w:t>
      </w:r>
    </w:p>
    <w:p w14:paraId="7F17429C" w14:textId="5EEE52C7" w:rsidR="00C65747" w:rsidRDefault="00C65747" w:rsidP="00C65747">
      <w:pPr>
        <w:pStyle w:val="Heading2"/>
        <w:rPr>
          <w:lang w:val="fr-CA"/>
        </w:rPr>
      </w:pPr>
      <w:r>
        <w:rPr>
          <w:lang w:val="fr-CA"/>
        </w:rPr>
        <w:t>Paragraphe 1, pour refléter le niveau maintenu de 6,66 tonnes PAO d’ici le 1</w:t>
      </w:r>
      <w:r w:rsidRPr="00C65747">
        <w:rPr>
          <w:vertAlign w:val="superscript"/>
          <w:lang w:val="fr-CA"/>
        </w:rPr>
        <w:t>er</w:t>
      </w:r>
      <w:r>
        <w:rPr>
          <w:lang w:val="fr-CA"/>
        </w:rPr>
        <w:t xml:space="preserve"> janvier 2025;</w:t>
      </w:r>
    </w:p>
    <w:p w14:paraId="039F684A" w14:textId="033608A0" w:rsidR="00C65747" w:rsidRDefault="00C65747" w:rsidP="00C65747">
      <w:pPr>
        <w:pStyle w:val="Heading2"/>
        <w:rPr>
          <w:lang w:val="fr-CA"/>
        </w:rPr>
      </w:pPr>
      <w:r>
        <w:rPr>
          <w:lang w:val="fr-CA"/>
        </w:rPr>
        <w:t xml:space="preserve">Appendice 1-A, pour refléter le point de départ de 10,67 tonnes PAO pour les réductions </w:t>
      </w:r>
      <w:r w:rsidR="007A44E9">
        <w:rPr>
          <w:lang w:val="fr-CA"/>
        </w:rPr>
        <w:t>global</w:t>
      </w:r>
      <w:r>
        <w:rPr>
          <w:lang w:val="fr-CA"/>
        </w:rPr>
        <w:t>es de la consommation de HCFC;</w:t>
      </w:r>
    </w:p>
    <w:p w14:paraId="23D73535" w14:textId="54FF1D3C" w:rsidR="00441083" w:rsidRPr="00C65747" w:rsidRDefault="00C65747" w:rsidP="00C65747">
      <w:pPr>
        <w:pStyle w:val="Heading2"/>
        <w:rPr>
          <w:lang w:val="fr-CA"/>
        </w:rPr>
      </w:pPr>
      <w:r>
        <w:rPr>
          <w:lang w:val="fr-CA"/>
        </w:rPr>
        <w:t xml:space="preserve">Appendice 2-A, pour inclure à la ligne 1.2 pour 2024 une valeur de 6,94 tonnes PAO, d’après l’utilisation de HCFC dans le marché local, et pour 2025 une valeur de 6,66 tonnes PAO (réduction de 67,5 pour cent de la valeur de référence des HCFC, </w:t>
      </w:r>
      <w:r w:rsidR="007A44E9">
        <w:rPr>
          <w:lang w:val="fr-CA"/>
        </w:rPr>
        <w:t xml:space="preserve">la même que pour </w:t>
      </w:r>
      <w:r>
        <w:rPr>
          <w:lang w:val="fr-CA"/>
        </w:rPr>
        <w:t xml:space="preserve"> les cibles du Protocole de Montréal);</w:t>
      </w:r>
    </w:p>
    <w:p w14:paraId="1220F159" w14:textId="79020C60" w:rsidR="00441083" w:rsidRDefault="00C65747">
      <w:pPr>
        <w:pStyle w:val="Heading2"/>
        <w:numPr>
          <w:ilvl w:val="1"/>
          <w:numId w:val="1"/>
        </w:numPr>
        <w:tabs>
          <w:tab w:val="clear" w:pos="0"/>
          <w:tab w:val="left" w:pos="720"/>
          <w:tab w:val="num" w:pos="1440"/>
        </w:tabs>
        <w:rPr>
          <w:lang w:val="fr-CA"/>
        </w:rPr>
      </w:pPr>
      <w:r>
        <w:rPr>
          <w:lang w:val="fr-CA"/>
        </w:rPr>
        <w:t>Appendice 7-A, pour ajouter "pour 2017-2023" à la fin de la dernière phrase qui se lira ainsi "étant entendu que cette disposition ne serait pas appliquée au cas où le niveau vérifié de la consommation de HCFC serait supérieur au point de départ estimé de 6,60 tonnes PAO pour 2017-2023"; et</w:t>
      </w:r>
    </w:p>
    <w:p w14:paraId="7C016CE5" w14:textId="23D9A3D6" w:rsidR="00C65747" w:rsidRDefault="00C65747" w:rsidP="00C65747">
      <w:pPr>
        <w:pStyle w:val="Heading2"/>
        <w:rPr>
          <w:lang w:val="fr-CA"/>
        </w:rPr>
      </w:pPr>
      <w:r>
        <w:rPr>
          <w:lang w:val="fr-CA"/>
        </w:rPr>
        <w:t>Mettre à jour le paragraphe 16 pour indiquer que l’Accord mis à jour révisé annule l’Accord mis à jour, conclu à la 88</w:t>
      </w:r>
      <w:r w:rsidRPr="00C65747">
        <w:rPr>
          <w:vertAlign w:val="superscript"/>
          <w:lang w:val="fr-CA"/>
        </w:rPr>
        <w:t>e</w:t>
      </w:r>
      <w:r>
        <w:rPr>
          <w:lang w:val="fr-CA"/>
        </w:rPr>
        <w:t xml:space="preserve"> réunion.</w:t>
      </w:r>
    </w:p>
    <w:p w14:paraId="10951918" w14:textId="69E36D90" w:rsidR="00C65747" w:rsidRDefault="00C65747" w:rsidP="00C65747">
      <w:pPr>
        <w:rPr>
          <w:b/>
          <w:bCs/>
          <w:lang w:val="fr-CA"/>
        </w:rPr>
      </w:pPr>
      <w:r>
        <w:rPr>
          <w:b/>
          <w:bCs/>
          <w:lang w:val="fr-CA"/>
        </w:rPr>
        <w:t>Recommandation</w:t>
      </w:r>
    </w:p>
    <w:p w14:paraId="75EB9B8C" w14:textId="77777777" w:rsidR="00C65747" w:rsidRDefault="00C65747" w:rsidP="00C65747">
      <w:pPr>
        <w:rPr>
          <w:b/>
          <w:bCs/>
          <w:lang w:val="fr-CA"/>
        </w:rPr>
      </w:pPr>
    </w:p>
    <w:p w14:paraId="2AA2A130" w14:textId="6FE1653A" w:rsidR="00C65747" w:rsidRDefault="00C65747" w:rsidP="00C65747">
      <w:pPr>
        <w:pStyle w:val="Heading1"/>
        <w:rPr>
          <w:lang w:val="fr-CA"/>
        </w:rPr>
      </w:pPr>
      <w:r>
        <w:rPr>
          <w:lang w:val="fr-CA"/>
        </w:rPr>
        <w:t xml:space="preserve">Le Comité </w:t>
      </w:r>
      <w:r w:rsidR="002424C2">
        <w:rPr>
          <w:lang w:val="fr-CA"/>
        </w:rPr>
        <w:t>exécutif pourrait souhaiter :</w:t>
      </w:r>
    </w:p>
    <w:p w14:paraId="6196E20C" w14:textId="1AFB2F6A" w:rsidR="002424C2" w:rsidRPr="002424C2" w:rsidRDefault="002424C2" w:rsidP="002424C2">
      <w:pPr>
        <w:pStyle w:val="Heading2"/>
        <w:rPr>
          <w:lang w:val="fr-CA"/>
        </w:rPr>
      </w:pPr>
      <w:r>
        <w:rPr>
          <w:lang w:val="fr-CA"/>
        </w:rPr>
        <w:t>Prendre note :</w:t>
      </w:r>
    </w:p>
    <w:p w14:paraId="025165A5" w14:textId="37D15494" w:rsidR="002424C2" w:rsidRPr="002424C2" w:rsidRDefault="002424C2" w:rsidP="002424C2">
      <w:pPr>
        <w:pStyle w:val="Heading3"/>
        <w:numPr>
          <w:ilvl w:val="2"/>
          <w:numId w:val="1"/>
        </w:numPr>
        <w:tabs>
          <w:tab w:val="clear" w:pos="0"/>
          <w:tab w:val="num" w:pos="360"/>
        </w:tabs>
        <w:rPr>
          <w:lang w:val="fr-CA"/>
        </w:rPr>
      </w:pPr>
      <w:r>
        <w:rPr>
          <w:lang w:val="fr-CA"/>
        </w:rPr>
        <w:t xml:space="preserve">De l’état de l’examen du rapport d’étude </w:t>
      </w:r>
      <w:r w:rsidR="00D562DB">
        <w:rPr>
          <w:lang w:val="fr-CA"/>
        </w:rPr>
        <w:t>sur l</w:t>
      </w:r>
      <w:r>
        <w:rPr>
          <w:lang w:val="fr-CA"/>
        </w:rPr>
        <w:t>es HCFC, des recommandations pour le point de départ révisé et de l’Accord révisé dans le contexte du plan de gestion de l’élimination des HCFC pour la Mauritanie, contenu dans le document UNEP/</w:t>
      </w:r>
      <w:proofErr w:type="spellStart"/>
      <w:r>
        <w:rPr>
          <w:lang w:val="fr-CA"/>
        </w:rPr>
        <w:t>OzL.Pro</w:t>
      </w:r>
      <w:proofErr w:type="spellEnd"/>
      <w:r>
        <w:rPr>
          <w:lang w:val="fr-CA"/>
        </w:rPr>
        <w:t>/</w:t>
      </w:r>
      <w:proofErr w:type="spellStart"/>
      <w:r>
        <w:rPr>
          <w:lang w:val="fr-CA"/>
        </w:rPr>
        <w:t>ExCom</w:t>
      </w:r>
      <w:proofErr w:type="spellEnd"/>
      <w:r>
        <w:rPr>
          <w:lang w:val="fr-CA"/>
        </w:rPr>
        <w:t>/93/21;</w:t>
      </w:r>
    </w:p>
    <w:p w14:paraId="05E6097D" w14:textId="5DDA28E9" w:rsidR="002424C2" w:rsidRPr="002424C2" w:rsidRDefault="002424C2" w:rsidP="002424C2">
      <w:pPr>
        <w:pStyle w:val="Heading3"/>
        <w:numPr>
          <w:ilvl w:val="2"/>
          <w:numId w:val="1"/>
        </w:numPr>
        <w:tabs>
          <w:tab w:val="clear" w:pos="0"/>
          <w:tab w:val="num" w:pos="360"/>
        </w:tabs>
        <w:rPr>
          <w:lang w:val="fr-CA"/>
        </w:rPr>
      </w:pPr>
      <w:r>
        <w:rPr>
          <w:lang w:val="fr-CA"/>
        </w:rPr>
        <w:t>Avec gratitude, des efforts du gouvernement de la Mauritanie, avec l’assistance du PNUE, pour mener l’étude visant à déterminer la consommation de HCFC;</w:t>
      </w:r>
    </w:p>
    <w:p w14:paraId="4FF74EAD" w14:textId="2373DD4C" w:rsidR="002424C2" w:rsidRDefault="002424C2">
      <w:pPr>
        <w:pStyle w:val="Heading3"/>
        <w:numPr>
          <w:ilvl w:val="2"/>
          <w:numId w:val="1"/>
        </w:numPr>
        <w:tabs>
          <w:tab w:val="clear" w:pos="0"/>
          <w:tab w:val="num" w:pos="360"/>
        </w:tabs>
        <w:rPr>
          <w:lang w:val="fr-CA"/>
        </w:rPr>
      </w:pPr>
      <w:r>
        <w:rPr>
          <w:lang w:val="fr-CA"/>
        </w:rPr>
        <w:t xml:space="preserve">Que le point de départ pour la réduction </w:t>
      </w:r>
      <w:r w:rsidR="00D562DB">
        <w:rPr>
          <w:lang w:val="fr-CA"/>
        </w:rPr>
        <w:t>global</w:t>
      </w:r>
      <w:r>
        <w:rPr>
          <w:lang w:val="fr-CA"/>
        </w:rPr>
        <w:t>e de la consommation de HCFC a été établi à 10,67 tonnes PAO, d’après les résultats de l’étude mentionnée à l’alinéa (b)(ii) et en tenant compte du degré d’incertitude lié aux indicateurs utilisés pour le</w:t>
      </w:r>
      <w:r w:rsidR="001D286E">
        <w:rPr>
          <w:lang w:val="fr-CA"/>
        </w:rPr>
        <w:t>s</w:t>
      </w:r>
      <w:r>
        <w:rPr>
          <w:lang w:val="fr-CA"/>
        </w:rPr>
        <w:t xml:space="preserve"> taux de fuites et la charge moyenne de l’équipement;</w:t>
      </w:r>
    </w:p>
    <w:p w14:paraId="14D79490" w14:textId="5377381E" w:rsidR="00441083" w:rsidRDefault="001E6A17">
      <w:pPr>
        <w:pStyle w:val="Heading3"/>
        <w:numPr>
          <w:ilvl w:val="2"/>
          <w:numId w:val="1"/>
        </w:numPr>
        <w:tabs>
          <w:tab w:val="clear" w:pos="0"/>
          <w:tab w:val="num" w:pos="360"/>
        </w:tabs>
        <w:rPr>
          <w:lang w:val="fr-CA"/>
        </w:rPr>
      </w:pPr>
      <w:r>
        <w:rPr>
          <w:lang w:val="fr-CA"/>
        </w:rPr>
        <w:t>Que le Secrétariat du Fonds a mis à jour l’Accord entre le gouvernement de la Mauritanie et le Comité exécutif, tel que contenu à l’Annexe I au présent document, notamment : le paragraphe 1, les Appendices 1-A, 2-A et 7-A suite à l’établissement du point de départ mentionné à l’alinéa (b)(iii) et le paragraphe 16 qui a été mis à jour pour indiquer que l’Accord mis à jour révisé annule celui conclu à la 88</w:t>
      </w:r>
      <w:r w:rsidRPr="001E6A17">
        <w:rPr>
          <w:vertAlign w:val="superscript"/>
          <w:lang w:val="fr-CA"/>
        </w:rPr>
        <w:t>e</w:t>
      </w:r>
      <w:r>
        <w:rPr>
          <w:lang w:val="fr-CA"/>
        </w:rPr>
        <w:t xml:space="preserve"> réunion;</w:t>
      </w:r>
    </w:p>
    <w:p w14:paraId="5987482D" w14:textId="63FE3889" w:rsidR="001E6A17" w:rsidRDefault="001E6A17" w:rsidP="001E6A17">
      <w:pPr>
        <w:pStyle w:val="Heading2"/>
        <w:rPr>
          <w:lang w:val="fr-CA"/>
        </w:rPr>
      </w:pPr>
      <w:r>
        <w:rPr>
          <w:lang w:val="fr-CA"/>
        </w:rPr>
        <w:lastRenderedPageBreak/>
        <w:t>Demander au PNUE :</w:t>
      </w:r>
    </w:p>
    <w:p w14:paraId="4581D811" w14:textId="7C2C7042" w:rsidR="00C577D5" w:rsidRDefault="001E6A17" w:rsidP="00C577D5">
      <w:pPr>
        <w:pStyle w:val="Heading3"/>
        <w:rPr>
          <w:lang w:val="fr-CA"/>
        </w:rPr>
      </w:pPr>
      <w:r>
        <w:rPr>
          <w:lang w:val="fr-CA"/>
        </w:rPr>
        <w:t xml:space="preserve">Conformément à la décision 63/17, de continuer d’assister le gouvernement de la Mauritanie pour renforcer son système de permis et de quotas et ses systèmes d’enregistrement des importations et </w:t>
      </w:r>
      <w:r w:rsidR="00D562DB">
        <w:rPr>
          <w:lang w:val="fr-CA"/>
        </w:rPr>
        <w:t xml:space="preserve">des </w:t>
      </w:r>
      <w:r>
        <w:rPr>
          <w:lang w:val="fr-CA"/>
        </w:rPr>
        <w:t xml:space="preserve">exportations de HCFC </w:t>
      </w:r>
      <w:r w:rsidR="00C577D5">
        <w:rPr>
          <w:lang w:val="fr-CA"/>
        </w:rPr>
        <w:t xml:space="preserve">afin de pouvoir comptabiliser les </w:t>
      </w:r>
      <w:r w:rsidRPr="00C577D5">
        <w:rPr>
          <w:lang w:val="fr-CA"/>
        </w:rPr>
        <w:t xml:space="preserve">exportations de HCFC utilisé par des bateaux étrangers </w:t>
      </w:r>
      <w:r w:rsidR="00C577D5">
        <w:rPr>
          <w:lang w:val="fr-CA"/>
        </w:rPr>
        <w:t xml:space="preserve">à partir de </w:t>
      </w:r>
      <w:r w:rsidRPr="00C577D5">
        <w:rPr>
          <w:lang w:val="fr-CA"/>
        </w:rPr>
        <w:t>2023 et d’améliorer l’utilisation des codes douaniers</w:t>
      </w:r>
      <w:r w:rsidR="00C577D5">
        <w:rPr>
          <w:lang w:val="fr-CA"/>
        </w:rPr>
        <w:t>;</w:t>
      </w:r>
    </w:p>
    <w:p w14:paraId="24DC234D" w14:textId="0E5A2F54" w:rsidR="001E6A17" w:rsidRDefault="00C577D5" w:rsidP="00C577D5">
      <w:pPr>
        <w:pStyle w:val="Heading3"/>
        <w:rPr>
          <w:lang w:val="fr-CA"/>
        </w:rPr>
      </w:pPr>
      <w:r>
        <w:rPr>
          <w:lang w:val="fr-CA"/>
        </w:rPr>
        <w:t xml:space="preserve">De faire rapport sur les mesures prises pour renforcer les systèmes de permis et de quotas pour les importations et </w:t>
      </w:r>
      <w:r w:rsidR="00D562DB">
        <w:rPr>
          <w:lang w:val="fr-CA"/>
        </w:rPr>
        <w:t xml:space="preserve">les </w:t>
      </w:r>
      <w:r>
        <w:rPr>
          <w:lang w:val="fr-CA"/>
        </w:rPr>
        <w:t>exportations de HCFC</w:t>
      </w:r>
      <w:r w:rsidR="001D286E">
        <w:rPr>
          <w:lang w:val="fr-CA"/>
        </w:rPr>
        <w:t xml:space="preserve"> </w:t>
      </w:r>
      <w:r w:rsidR="001E6A17" w:rsidRPr="00C577D5">
        <w:rPr>
          <w:lang w:val="fr-CA"/>
        </w:rPr>
        <w:t>à la 95</w:t>
      </w:r>
      <w:r w:rsidR="001E6A17" w:rsidRPr="00C577D5">
        <w:rPr>
          <w:vertAlign w:val="superscript"/>
          <w:lang w:val="fr-CA"/>
        </w:rPr>
        <w:t>e</w:t>
      </w:r>
      <w:r w:rsidR="001E6A17" w:rsidRPr="00C577D5">
        <w:rPr>
          <w:lang w:val="fr-CA"/>
        </w:rPr>
        <w:t xml:space="preserve"> réunion.</w:t>
      </w:r>
    </w:p>
    <w:p w14:paraId="17C12786" w14:textId="608C84C6" w:rsidR="00C577D5" w:rsidRDefault="00C577D5" w:rsidP="00C577D5">
      <w:pPr>
        <w:rPr>
          <w:b/>
          <w:bCs/>
          <w:lang w:val="fr-CA"/>
        </w:rPr>
      </w:pPr>
      <w:r>
        <w:rPr>
          <w:b/>
          <w:bCs/>
          <w:lang w:val="fr-CA"/>
        </w:rPr>
        <w:t>B.</w:t>
      </w:r>
      <w:r>
        <w:rPr>
          <w:b/>
          <w:bCs/>
          <w:lang w:val="fr-CA"/>
        </w:rPr>
        <w:tab/>
        <w:t xml:space="preserve">Rapports </w:t>
      </w:r>
      <w:r w:rsidR="00445633">
        <w:rPr>
          <w:b/>
          <w:bCs/>
          <w:lang w:val="fr-CA"/>
        </w:rPr>
        <w:t xml:space="preserve">reliés </w:t>
      </w:r>
      <w:r w:rsidR="00FB4914">
        <w:rPr>
          <w:b/>
          <w:bCs/>
          <w:lang w:val="fr-CA"/>
        </w:rPr>
        <w:t>à des</w:t>
      </w:r>
      <w:r w:rsidR="00445633">
        <w:rPr>
          <w:b/>
          <w:bCs/>
          <w:lang w:val="fr-CA"/>
        </w:rPr>
        <w:t xml:space="preserve"> projets </w:t>
      </w:r>
      <w:r w:rsidR="00EE4C24">
        <w:rPr>
          <w:b/>
          <w:bCs/>
          <w:lang w:val="fr-CA"/>
        </w:rPr>
        <w:t>s</w:t>
      </w:r>
      <w:r w:rsidR="00445633">
        <w:rPr>
          <w:b/>
          <w:bCs/>
          <w:lang w:val="fr-CA"/>
        </w:rPr>
        <w:t>ur les HFC</w:t>
      </w:r>
    </w:p>
    <w:p w14:paraId="0680F7D6" w14:textId="77777777" w:rsidR="00445633" w:rsidRPr="00C577D5" w:rsidRDefault="00445633" w:rsidP="00C577D5">
      <w:pPr>
        <w:rPr>
          <w:b/>
          <w:bCs/>
          <w:lang w:val="fr-CA"/>
        </w:rPr>
      </w:pPr>
    </w:p>
    <w:p w14:paraId="67C8FE99" w14:textId="6A1FCB23" w:rsidR="001E6A17" w:rsidRDefault="00445633" w:rsidP="00445633">
      <w:pPr>
        <w:ind w:left="720"/>
        <w:rPr>
          <w:b/>
          <w:bCs/>
          <w:lang w:val="fr-CA"/>
        </w:rPr>
      </w:pPr>
      <w:r>
        <w:rPr>
          <w:b/>
          <w:bCs/>
          <w:u w:val="single"/>
          <w:lang w:val="fr-CA"/>
        </w:rPr>
        <w:t xml:space="preserve">Argentine : Contrôle des émissions de HFC-23 générées </w:t>
      </w:r>
      <w:r w:rsidR="00FB4914">
        <w:rPr>
          <w:b/>
          <w:bCs/>
          <w:u w:val="single"/>
          <w:lang w:val="fr-CA"/>
        </w:rPr>
        <w:t>par</w:t>
      </w:r>
      <w:r>
        <w:rPr>
          <w:b/>
          <w:bCs/>
          <w:u w:val="single"/>
          <w:lang w:val="fr-CA"/>
        </w:rPr>
        <w:t xml:space="preserve"> la production de HCFC-22</w:t>
      </w:r>
      <w:r>
        <w:rPr>
          <w:b/>
          <w:bCs/>
          <w:lang w:val="fr-CA"/>
        </w:rPr>
        <w:t xml:space="preserve"> (ONUDI)</w:t>
      </w:r>
    </w:p>
    <w:p w14:paraId="04A51E80" w14:textId="77777777" w:rsidR="00445633" w:rsidRDefault="00445633" w:rsidP="00445633">
      <w:pPr>
        <w:ind w:left="720"/>
        <w:rPr>
          <w:b/>
          <w:bCs/>
          <w:lang w:val="fr-CA"/>
        </w:rPr>
      </w:pPr>
    </w:p>
    <w:p w14:paraId="2795E8A8" w14:textId="4FB59F05" w:rsidR="00445633" w:rsidRDefault="00445633" w:rsidP="00445633">
      <w:pPr>
        <w:ind w:left="720" w:hanging="720"/>
        <w:rPr>
          <w:b/>
          <w:bCs/>
          <w:lang w:val="fr-CA"/>
        </w:rPr>
      </w:pPr>
      <w:r>
        <w:rPr>
          <w:b/>
          <w:bCs/>
          <w:lang w:val="fr-CA"/>
        </w:rPr>
        <w:t>Contexte</w:t>
      </w:r>
    </w:p>
    <w:p w14:paraId="439DCA1D" w14:textId="77777777" w:rsidR="00445633" w:rsidRPr="00445633" w:rsidRDefault="00445633" w:rsidP="00445633">
      <w:pPr>
        <w:ind w:left="720" w:hanging="720"/>
        <w:rPr>
          <w:b/>
          <w:bCs/>
          <w:lang w:val="fr-CA"/>
        </w:rPr>
      </w:pPr>
    </w:p>
    <w:p w14:paraId="3869C610" w14:textId="47B27498" w:rsidR="00625141" w:rsidRDefault="00445633">
      <w:pPr>
        <w:pStyle w:val="StyleHeading1Para1Heading1CharHeading1Char3CharHeadin"/>
        <w:numPr>
          <w:ilvl w:val="0"/>
          <w:numId w:val="1"/>
        </w:numPr>
        <w:tabs>
          <w:tab w:val="clear" w:pos="0"/>
        </w:tabs>
        <w:rPr>
          <w:lang w:val="fr-CA"/>
        </w:rPr>
      </w:pPr>
      <w:r>
        <w:rPr>
          <w:lang w:val="fr-CA"/>
        </w:rPr>
        <w:t>À sa 87</w:t>
      </w:r>
      <w:r w:rsidRPr="00445633">
        <w:rPr>
          <w:vertAlign w:val="superscript"/>
          <w:lang w:val="fr-CA"/>
        </w:rPr>
        <w:t>e</w:t>
      </w:r>
      <w:r>
        <w:rPr>
          <w:lang w:val="fr-CA"/>
        </w:rPr>
        <w:t xml:space="preserve"> réunion, le Comité exécutif a approuvé le projet de contrôle des émissions de HFC-23 générées</w:t>
      </w:r>
      <w:r w:rsidR="00625141">
        <w:rPr>
          <w:lang w:val="fr-CA"/>
        </w:rPr>
        <w:t xml:space="preserve"> </w:t>
      </w:r>
      <w:r w:rsidR="00FB4914">
        <w:rPr>
          <w:lang w:val="fr-CA"/>
        </w:rPr>
        <w:t xml:space="preserve">par </w:t>
      </w:r>
      <w:r>
        <w:rPr>
          <w:lang w:val="fr-CA"/>
        </w:rPr>
        <w:t xml:space="preserve">la production de HCFC-22 pour Frio </w:t>
      </w:r>
      <w:proofErr w:type="spellStart"/>
      <w:r>
        <w:rPr>
          <w:lang w:val="fr-CA"/>
        </w:rPr>
        <w:t>Industrias</w:t>
      </w:r>
      <w:proofErr w:type="spellEnd"/>
      <w:r>
        <w:rPr>
          <w:lang w:val="fr-CA"/>
        </w:rPr>
        <w:t xml:space="preserve"> Argentina (décision 87/52(b)), suivi par l’approbation, à sa 88</w:t>
      </w:r>
      <w:r w:rsidRPr="00445633">
        <w:rPr>
          <w:vertAlign w:val="superscript"/>
          <w:lang w:val="fr-CA"/>
        </w:rPr>
        <w:t>e</w:t>
      </w:r>
      <w:r>
        <w:rPr>
          <w:lang w:val="fr-CA"/>
        </w:rPr>
        <w:t xml:space="preserve"> réunion, du projet d’Accord (décision 88/77(c)) et du plan </w:t>
      </w:r>
      <w:r w:rsidR="00625141">
        <w:rPr>
          <w:lang w:val="fr-CA"/>
        </w:rPr>
        <w:t xml:space="preserve">annuel </w:t>
      </w:r>
      <w:r>
        <w:rPr>
          <w:lang w:val="fr-CA"/>
        </w:rPr>
        <w:t>de mise en œuvre</w:t>
      </w:r>
      <w:r w:rsidR="00625141">
        <w:rPr>
          <w:lang w:val="fr-CA"/>
        </w:rPr>
        <w:t xml:space="preserve"> 2021-2022 (décision 87/52(f) et 88/77(b)).</w:t>
      </w:r>
      <w:r>
        <w:rPr>
          <w:lang w:val="fr-CA"/>
        </w:rPr>
        <w:t xml:space="preserve"> </w:t>
      </w:r>
    </w:p>
    <w:p w14:paraId="2D6B18C1" w14:textId="0655627D" w:rsidR="00441083" w:rsidRDefault="00625141">
      <w:pPr>
        <w:pStyle w:val="StyleHeading1Para1Heading1CharHeading1Char3CharHeadin"/>
        <w:numPr>
          <w:ilvl w:val="0"/>
          <w:numId w:val="1"/>
        </w:numPr>
        <w:tabs>
          <w:tab w:val="clear" w:pos="0"/>
        </w:tabs>
        <w:rPr>
          <w:lang w:val="fr-CA"/>
        </w:rPr>
      </w:pPr>
      <w:r>
        <w:rPr>
          <w:lang w:val="fr-CA"/>
        </w:rPr>
        <w:t>Le plan annuel 2021-2022 de mise en œuvre anticipait, entre autres, que toute production du sous-produit HFC-23 générée après le 1</w:t>
      </w:r>
      <w:r w:rsidRPr="00625141">
        <w:rPr>
          <w:vertAlign w:val="superscript"/>
          <w:lang w:val="fr-CA"/>
        </w:rPr>
        <w:t>er</w:t>
      </w:r>
      <w:r>
        <w:rPr>
          <w:lang w:val="fr-CA"/>
        </w:rPr>
        <w:t xml:space="preserve"> janvier 2022 et avant l’achèvement de la ré</w:t>
      </w:r>
      <w:r w:rsidR="001D286E">
        <w:rPr>
          <w:lang w:val="fr-CA"/>
        </w:rPr>
        <w:t>fec</w:t>
      </w:r>
      <w:r>
        <w:rPr>
          <w:lang w:val="fr-CA"/>
        </w:rPr>
        <w:t>tion de l’incinérateur sera</w:t>
      </w:r>
      <w:r w:rsidR="00994CD7">
        <w:rPr>
          <w:lang w:val="fr-CA"/>
        </w:rPr>
        <w:t>it stockée</w:t>
      </w:r>
      <w:r>
        <w:rPr>
          <w:lang w:val="fr-CA"/>
        </w:rPr>
        <w:t xml:space="preserve"> </w:t>
      </w:r>
      <w:r w:rsidR="00994CD7">
        <w:rPr>
          <w:lang w:val="fr-CA"/>
        </w:rPr>
        <w:t xml:space="preserve">sur place </w:t>
      </w:r>
      <w:r>
        <w:rPr>
          <w:lang w:val="fr-CA"/>
        </w:rPr>
        <w:t>dans l</w:t>
      </w:r>
      <w:r w:rsidR="00994CD7">
        <w:rPr>
          <w:lang w:val="fr-CA"/>
        </w:rPr>
        <w:t>a citerne</w:t>
      </w:r>
      <w:r>
        <w:rPr>
          <w:lang w:val="fr-CA"/>
        </w:rPr>
        <w:t xml:space="preserve"> cryogénique jusqu’à ce que la capacité maximale d</w:t>
      </w:r>
      <w:r w:rsidR="00994CD7">
        <w:rPr>
          <w:lang w:val="fr-CA"/>
        </w:rPr>
        <w:t>e la citerne cryogéniq</w:t>
      </w:r>
      <w:r>
        <w:rPr>
          <w:lang w:val="fr-CA"/>
        </w:rPr>
        <w:t>u</w:t>
      </w:r>
      <w:r w:rsidR="00994CD7">
        <w:rPr>
          <w:lang w:val="fr-CA"/>
        </w:rPr>
        <w:t>e</w:t>
      </w:r>
      <w:r>
        <w:rPr>
          <w:lang w:val="fr-CA"/>
        </w:rPr>
        <w:t xml:space="preserve"> soit atteinte. L’ONUDI a</w:t>
      </w:r>
      <w:r w:rsidR="00FB4914">
        <w:rPr>
          <w:lang w:val="fr-CA"/>
        </w:rPr>
        <w:t>vait</w:t>
      </w:r>
      <w:r>
        <w:rPr>
          <w:lang w:val="fr-CA"/>
        </w:rPr>
        <w:t xml:space="preserve"> not</w:t>
      </w:r>
      <w:r w:rsidR="00FB4914">
        <w:rPr>
          <w:lang w:val="fr-CA"/>
        </w:rPr>
        <w:t>é</w:t>
      </w:r>
      <w:r>
        <w:rPr>
          <w:lang w:val="fr-CA"/>
        </w:rPr>
        <w:t xml:space="preserve"> qu’en cas de retards imprévus causés par </w:t>
      </w:r>
      <w:r w:rsidR="00994CD7">
        <w:rPr>
          <w:lang w:val="fr-CA"/>
        </w:rPr>
        <w:t xml:space="preserve">un cas de </w:t>
      </w:r>
      <w:r>
        <w:rPr>
          <w:lang w:val="fr-CA"/>
        </w:rPr>
        <w:t xml:space="preserve">force majeure, </w:t>
      </w:r>
      <w:r w:rsidR="00994CD7">
        <w:rPr>
          <w:lang w:val="fr-CA"/>
        </w:rPr>
        <w:t>comme</w:t>
      </w:r>
      <w:r>
        <w:rPr>
          <w:lang w:val="fr-CA"/>
        </w:rPr>
        <w:t xml:space="preserve"> la pandémie de COVID-19, FIASA, le gouvernement de l’Argentine et l’ONUDI informer</w:t>
      </w:r>
      <w:r w:rsidR="00994CD7">
        <w:rPr>
          <w:lang w:val="fr-CA"/>
        </w:rPr>
        <w:t>aie</w:t>
      </w:r>
      <w:r>
        <w:rPr>
          <w:lang w:val="fr-CA"/>
        </w:rPr>
        <w:t xml:space="preserve">nt immédiatement le Comité </w:t>
      </w:r>
      <w:r w:rsidR="00994CD7">
        <w:rPr>
          <w:lang w:val="fr-CA"/>
        </w:rPr>
        <w:t>exécutif et</w:t>
      </w:r>
      <w:r>
        <w:rPr>
          <w:lang w:val="fr-CA"/>
        </w:rPr>
        <w:t xml:space="preserve"> proposer</w:t>
      </w:r>
      <w:r w:rsidR="00994CD7">
        <w:rPr>
          <w:lang w:val="fr-CA"/>
        </w:rPr>
        <w:t>aie</w:t>
      </w:r>
      <w:r>
        <w:rPr>
          <w:lang w:val="fr-CA"/>
        </w:rPr>
        <w:t>nt des mesures d’atténuation des émissions de HFC-23</w:t>
      </w:r>
      <w:r>
        <w:rPr>
          <w:rStyle w:val="FootnoteReference"/>
          <w:lang w:val="fr-CA"/>
        </w:rPr>
        <w:footnoteReference w:id="16"/>
      </w:r>
      <w:r w:rsidR="00994CD7">
        <w:rPr>
          <w:lang w:val="fr-CA"/>
        </w:rPr>
        <w:t>.</w:t>
      </w:r>
    </w:p>
    <w:p w14:paraId="20BEC1F6" w14:textId="504DFF24" w:rsidR="00994CD7" w:rsidRDefault="00994CD7">
      <w:pPr>
        <w:pStyle w:val="StyleHeading1Para1Heading1CharHeading1Char3CharHeadin"/>
        <w:numPr>
          <w:ilvl w:val="0"/>
          <w:numId w:val="1"/>
        </w:numPr>
        <w:tabs>
          <w:tab w:val="clear" w:pos="0"/>
        </w:tabs>
        <w:rPr>
          <w:lang w:val="fr-CA"/>
        </w:rPr>
      </w:pPr>
      <w:r>
        <w:rPr>
          <w:lang w:val="fr-CA"/>
        </w:rPr>
        <w:t>À la 90</w:t>
      </w:r>
      <w:r w:rsidRPr="00994CD7">
        <w:rPr>
          <w:vertAlign w:val="superscript"/>
          <w:lang w:val="fr-CA"/>
        </w:rPr>
        <w:t>e</w:t>
      </w:r>
      <w:r>
        <w:rPr>
          <w:lang w:val="fr-CA"/>
        </w:rPr>
        <w:t xml:space="preserve"> réunion, l’ONUDI a </w:t>
      </w:r>
      <w:r w:rsidR="00FB4914">
        <w:rPr>
          <w:lang w:val="fr-CA"/>
        </w:rPr>
        <w:t>sign</w:t>
      </w:r>
      <w:r>
        <w:rPr>
          <w:lang w:val="fr-CA"/>
        </w:rPr>
        <w:t>a</w:t>
      </w:r>
      <w:r w:rsidR="00FB4914">
        <w:rPr>
          <w:lang w:val="fr-CA"/>
        </w:rPr>
        <w:t>l</w:t>
      </w:r>
      <w:r>
        <w:rPr>
          <w:lang w:val="fr-CA"/>
        </w:rPr>
        <w:t>é des délais dans la finalisation d’un contrat pour la ré</w:t>
      </w:r>
      <w:r w:rsidR="00FB4914">
        <w:rPr>
          <w:lang w:val="fr-CA"/>
        </w:rPr>
        <w:t>fec</w:t>
      </w:r>
      <w:r>
        <w:rPr>
          <w:lang w:val="fr-CA"/>
        </w:rPr>
        <w:t>tion de l’incinérateur. La citerne cryogénique de stockage aurait pu servir à stocker le sous-produit HFC-23 pendant la ré</w:t>
      </w:r>
      <w:r w:rsidR="00FB4914">
        <w:rPr>
          <w:lang w:val="fr-CA"/>
        </w:rPr>
        <w:t>fec</w:t>
      </w:r>
      <w:r>
        <w:rPr>
          <w:lang w:val="fr-CA"/>
        </w:rPr>
        <w:t xml:space="preserve">tion de l’incinérateur chez FIASA; toutefois, le gouvernement craignant </w:t>
      </w:r>
      <w:r w:rsidR="007F0243">
        <w:rPr>
          <w:lang w:val="fr-CA"/>
        </w:rPr>
        <w:t>que la capacité maximale de la citerne cryogénique soit atteinte avant l’achèvement de la ré</w:t>
      </w:r>
      <w:r w:rsidR="00FB4914">
        <w:rPr>
          <w:lang w:val="fr-CA"/>
        </w:rPr>
        <w:t>fect</w:t>
      </w:r>
      <w:r w:rsidR="007F0243">
        <w:rPr>
          <w:lang w:val="fr-CA"/>
        </w:rPr>
        <w:t xml:space="preserve">ion, FIASA n’avait pas connecté la citerne cryogénique et </w:t>
      </w:r>
      <w:r w:rsidR="00FB4914">
        <w:rPr>
          <w:lang w:val="fr-CA"/>
        </w:rPr>
        <w:t>du</w:t>
      </w:r>
      <w:r w:rsidR="007F0243">
        <w:rPr>
          <w:lang w:val="fr-CA"/>
        </w:rPr>
        <w:t xml:space="preserve"> HFC-23 avait été rejeté dans l’atmosphère entre janvier 2022 et mars ou avril 2022</w:t>
      </w:r>
      <w:r w:rsidR="00FB4914">
        <w:rPr>
          <w:lang w:val="fr-CA"/>
        </w:rPr>
        <w:t>,</w:t>
      </w:r>
      <w:r w:rsidR="007F0243">
        <w:rPr>
          <w:lang w:val="fr-CA"/>
        </w:rPr>
        <w:t xml:space="preserve"> au moment de la reconnexion.  En mars 2022, FIASA avait aussi arrêté temporairement la production de HCFC-22 à cause de problèmes d’achat de matières premières dus aux perturbations de la chaine d’approvisionnement.  Il avait été convenu qu’à la reprise de la production de HCFC-22, l’entreprise stockerait le sous-produit HFC-23 généré dans la citerne cryogénique jusqu’à ce que la ré</w:t>
      </w:r>
      <w:r w:rsidR="00FB4914">
        <w:rPr>
          <w:lang w:val="fr-CA"/>
        </w:rPr>
        <w:t>fec</w:t>
      </w:r>
      <w:r w:rsidR="007F0243">
        <w:rPr>
          <w:lang w:val="fr-CA"/>
        </w:rPr>
        <w:t xml:space="preserve">tion de l’incinérateur soit achevée </w:t>
      </w:r>
      <w:r w:rsidR="00C73050">
        <w:rPr>
          <w:lang w:val="fr-CA"/>
        </w:rPr>
        <w:t xml:space="preserve">ou </w:t>
      </w:r>
      <w:r w:rsidR="007F0243">
        <w:rPr>
          <w:lang w:val="fr-CA"/>
        </w:rPr>
        <w:t xml:space="preserve">que la capacité maximale de la citerne soit atteinte, tel que prévu initialement. </w:t>
      </w:r>
    </w:p>
    <w:p w14:paraId="2CCC041A" w14:textId="15B09366" w:rsidR="00BC0368" w:rsidRDefault="007F0243">
      <w:pPr>
        <w:pStyle w:val="StyleHeading1Para1Heading1CharHeading1Char3CharHeadin"/>
        <w:numPr>
          <w:ilvl w:val="0"/>
          <w:numId w:val="1"/>
        </w:numPr>
        <w:tabs>
          <w:tab w:val="clear" w:pos="0"/>
        </w:tabs>
        <w:rPr>
          <w:lang w:val="fr-CA"/>
        </w:rPr>
      </w:pPr>
      <w:r>
        <w:rPr>
          <w:lang w:val="fr-CA"/>
        </w:rPr>
        <w:t>À la 91</w:t>
      </w:r>
      <w:r w:rsidRPr="007F0243">
        <w:rPr>
          <w:vertAlign w:val="superscript"/>
          <w:lang w:val="fr-CA"/>
        </w:rPr>
        <w:t>e</w:t>
      </w:r>
      <w:r>
        <w:rPr>
          <w:lang w:val="fr-CA"/>
        </w:rPr>
        <w:t xml:space="preserve"> réunion, l’ONUDI a </w:t>
      </w:r>
      <w:r w:rsidR="00C73050">
        <w:rPr>
          <w:lang w:val="fr-CA"/>
        </w:rPr>
        <w:t>indiqu</w:t>
      </w:r>
      <w:r>
        <w:rPr>
          <w:lang w:val="fr-CA"/>
        </w:rPr>
        <w:t>é que FIASA avait repris la production de HCFC-22 en juin 2022; que la production était intermittente en raison de retards dans la</w:t>
      </w:r>
      <w:r w:rsidR="00BC0368">
        <w:rPr>
          <w:lang w:val="fr-CA"/>
        </w:rPr>
        <w:t xml:space="preserve"> fourniture de</w:t>
      </w:r>
      <w:r>
        <w:rPr>
          <w:lang w:val="fr-CA"/>
        </w:rPr>
        <w:t xml:space="preserve"> fluorure d’hydrogène anhydride</w:t>
      </w:r>
      <w:r w:rsidR="00BC0368">
        <w:rPr>
          <w:lang w:val="fr-CA"/>
        </w:rPr>
        <w:t>, causés par les perturbations de la chaine d’approvisionnement; et qu’aucune autre émission de HFC-23 n’avait été rejetée dans l’atmosphère après celles rapportées à la 90</w:t>
      </w:r>
      <w:r w:rsidR="00BC0368" w:rsidRPr="00BC0368">
        <w:rPr>
          <w:vertAlign w:val="superscript"/>
          <w:lang w:val="fr-CA"/>
        </w:rPr>
        <w:t>e</w:t>
      </w:r>
      <w:r w:rsidR="00BC0368">
        <w:rPr>
          <w:lang w:val="fr-CA"/>
        </w:rPr>
        <w:t xml:space="preserve"> réunion, puisque le sous-produit HFC-23 généré avait été stocké </w:t>
      </w:r>
      <w:r w:rsidR="00C73050">
        <w:rPr>
          <w:lang w:val="fr-CA"/>
        </w:rPr>
        <w:t xml:space="preserve">sur place </w:t>
      </w:r>
      <w:r w:rsidR="00BC0368">
        <w:rPr>
          <w:lang w:val="fr-CA"/>
        </w:rPr>
        <w:t>dans la citerne cryogénique. Les pièces nécessaires pour la ré</w:t>
      </w:r>
      <w:r w:rsidR="00C73050">
        <w:rPr>
          <w:lang w:val="fr-CA"/>
        </w:rPr>
        <w:t>fec</w:t>
      </w:r>
      <w:r w:rsidR="00BC0368">
        <w:rPr>
          <w:lang w:val="fr-CA"/>
        </w:rPr>
        <w:t>tion de l’incinérateur avaient été livrées pour la plupart</w:t>
      </w:r>
      <w:r w:rsidR="00C73050">
        <w:rPr>
          <w:lang w:val="fr-CA"/>
        </w:rPr>
        <w:t>,</w:t>
      </w:r>
      <w:r w:rsidR="00BC0368">
        <w:rPr>
          <w:lang w:val="fr-CA"/>
        </w:rPr>
        <w:t xml:space="preserve"> mais pas en totalité</w:t>
      </w:r>
      <w:r w:rsidR="00C73050">
        <w:rPr>
          <w:lang w:val="fr-CA"/>
        </w:rPr>
        <w:t>,</w:t>
      </w:r>
      <w:r w:rsidR="00BC0368">
        <w:rPr>
          <w:lang w:val="fr-CA"/>
        </w:rPr>
        <w:t xml:space="preserve"> et par conséquent, l’incinérateur n’était pas encore opérationnel.</w:t>
      </w:r>
    </w:p>
    <w:p w14:paraId="0152A77E" w14:textId="263D32FE" w:rsidR="007F0243" w:rsidRDefault="00BC0368">
      <w:pPr>
        <w:pStyle w:val="StyleHeading1Para1Heading1CharHeading1Char3CharHeadin"/>
        <w:numPr>
          <w:ilvl w:val="0"/>
          <w:numId w:val="1"/>
        </w:numPr>
        <w:tabs>
          <w:tab w:val="clear" w:pos="0"/>
        </w:tabs>
        <w:rPr>
          <w:lang w:val="fr-CA"/>
        </w:rPr>
      </w:pPr>
      <w:r>
        <w:rPr>
          <w:lang w:val="fr-CA"/>
        </w:rPr>
        <w:lastRenderedPageBreak/>
        <w:t>À la 92</w:t>
      </w:r>
      <w:r w:rsidRPr="00BC0368">
        <w:rPr>
          <w:vertAlign w:val="superscript"/>
          <w:lang w:val="fr-CA"/>
        </w:rPr>
        <w:t>e</w:t>
      </w:r>
      <w:r>
        <w:rPr>
          <w:lang w:val="fr-CA"/>
        </w:rPr>
        <w:t xml:space="preserve"> réunion, l’ONUDI a </w:t>
      </w:r>
      <w:r w:rsidR="00C73050">
        <w:rPr>
          <w:lang w:val="fr-CA"/>
        </w:rPr>
        <w:t>indiqu</w:t>
      </w:r>
      <w:r>
        <w:rPr>
          <w:lang w:val="fr-CA"/>
        </w:rPr>
        <w:t xml:space="preserve">é que FIASA continuait de stocker le sous-produit HFC-23 généré </w:t>
      </w:r>
      <w:r w:rsidR="00C73050">
        <w:rPr>
          <w:lang w:val="fr-CA"/>
        </w:rPr>
        <w:t>par</w:t>
      </w:r>
      <w:r>
        <w:rPr>
          <w:lang w:val="fr-CA"/>
        </w:rPr>
        <w:t xml:space="preserve"> la production de HCFC-22 dans la citerne cryogénique et qu’aucune autre émission </w:t>
      </w:r>
      <w:r w:rsidR="007F0243">
        <w:rPr>
          <w:lang w:val="fr-CA"/>
        </w:rPr>
        <w:t xml:space="preserve">de </w:t>
      </w:r>
      <w:r>
        <w:rPr>
          <w:lang w:val="fr-CA"/>
        </w:rPr>
        <w:t>HFC-23 n’avait été rejetée dans l’atmosphère après celles rapportées à la 90</w:t>
      </w:r>
      <w:r w:rsidRPr="00BC0368">
        <w:rPr>
          <w:vertAlign w:val="superscript"/>
          <w:lang w:val="fr-CA"/>
        </w:rPr>
        <w:t>e</w:t>
      </w:r>
      <w:r>
        <w:rPr>
          <w:lang w:val="fr-CA"/>
        </w:rPr>
        <w:t xml:space="preserve"> réunion; toutefois, l’incinérateur n’était pas encore opérationnel car l’expédition des pièces par SGL Carbon Group de </w:t>
      </w:r>
      <w:proofErr w:type="spellStart"/>
      <w:r>
        <w:rPr>
          <w:lang w:val="fr-CA"/>
        </w:rPr>
        <w:t>Meitingen</w:t>
      </w:r>
      <w:proofErr w:type="spellEnd"/>
      <w:r>
        <w:rPr>
          <w:lang w:val="fr-CA"/>
        </w:rPr>
        <w:t xml:space="preserve"> en Allemagne (SGL), le fournisseur </w:t>
      </w:r>
      <w:r w:rsidR="00E97ED4">
        <w:rPr>
          <w:lang w:val="fr-CA"/>
        </w:rPr>
        <w:t xml:space="preserve">de la technologie pour l’incinérateur, </w:t>
      </w:r>
      <w:r w:rsidR="006C51D2">
        <w:rPr>
          <w:lang w:val="fr-CA"/>
        </w:rPr>
        <w:t xml:space="preserve">avait </w:t>
      </w:r>
      <w:r w:rsidR="00E97ED4">
        <w:rPr>
          <w:lang w:val="fr-CA"/>
        </w:rPr>
        <w:t>ét</w:t>
      </w:r>
      <w:r w:rsidR="006C51D2">
        <w:rPr>
          <w:lang w:val="fr-CA"/>
        </w:rPr>
        <w:t>é</w:t>
      </w:r>
      <w:r w:rsidR="00E97ED4">
        <w:rPr>
          <w:lang w:val="fr-CA"/>
        </w:rPr>
        <w:t xml:space="preserve"> retardée. On s’attendait à ce que l’incinérateur soit opérationnel d’ici la fin juin 2023.</w:t>
      </w:r>
      <w:r w:rsidR="007F0243">
        <w:rPr>
          <w:lang w:val="fr-CA"/>
        </w:rPr>
        <w:t xml:space="preserve"> </w:t>
      </w:r>
    </w:p>
    <w:p w14:paraId="4298677F" w14:textId="14DA09DA" w:rsidR="00E97ED4" w:rsidRDefault="00E97ED4">
      <w:pPr>
        <w:pStyle w:val="StyleHeading1Para1Heading1CharHeading1Char3CharHeadin"/>
        <w:numPr>
          <w:ilvl w:val="0"/>
          <w:numId w:val="1"/>
        </w:numPr>
        <w:tabs>
          <w:tab w:val="clear" w:pos="0"/>
        </w:tabs>
        <w:rPr>
          <w:lang w:val="fr-CA"/>
        </w:rPr>
      </w:pPr>
      <w:r>
        <w:rPr>
          <w:lang w:val="fr-CA"/>
        </w:rPr>
        <w:t xml:space="preserve">L’ONUDI a </w:t>
      </w:r>
      <w:r w:rsidR="00C73050">
        <w:rPr>
          <w:lang w:val="fr-CA"/>
        </w:rPr>
        <w:t>ajouté</w:t>
      </w:r>
      <w:r>
        <w:rPr>
          <w:lang w:val="fr-CA"/>
        </w:rPr>
        <w:t xml:space="preserve"> que l’entreprise avait augmenté la production de HCFC-22 entre novembre et janvier 2023, ce qui correspond à l’été argentin et à une augmentation de la demande; réduit le taux de production de HCFC-22 en février 2023 et cessé temporairement la production en mars 2023. </w:t>
      </w:r>
      <w:r w:rsidR="006C51D2">
        <w:rPr>
          <w:lang w:val="fr-CA"/>
        </w:rPr>
        <w:t xml:space="preserve"> </w:t>
      </w:r>
      <w:r>
        <w:rPr>
          <w:lang w:val="fr-CA"/>
        </w:rPr>
        <w:t xml:space="preserve">Avec une production de 964,93 </w:t>
      </w:r>
      <w:proofErr w:type="spellStart"/>
      <w:r>
        <w:rPr>
          <w:lang w:val="fr-CA"/>
        </w:rPr>
        <w:t>tm</w:t>
      </w:r>
      <w:proofErr w:type="spellEnd"/>
      <w:r>
        <w:rPr>
          <w:lang w:val="fr-CA"/>
        </w:rPr>
        <w:t xml:space="preserve"> de HCFC-22 depuis la reconnexion de la citerne cryogénique, la capacité maximale de la citerne de stockage n’avait pas été atteinte; en date de mars 2023, 29,87 </w:t>
      </w:r>
      <w:proofErr w:type="spellStart"/>
      <w:r>
        <w:rPr>
          <w:lang w:val="fr-CA"/>
        </w:rPr>
        <w:t>tm</w:t>
      </w:r>
      <w:proofErr w:type="spellEnd"/>
      <w:r>
        <w:rPr>
          <w:lang w:val="fr-CA"/>
        </w:rPr>
        <w:t xml:space="preserve"> du sous-produit HFC-23 étaient stockées dans la citerne cryogénique, avec une capacité restante estimée à 2,08 </w:t>
      </w:r>
      <w:proofErr w:type="spellStart"/>
      <w:r>
        <w:rPr>
          <w:lang w:val="fr-CA"/>
        </w:rPr>
        <w:t>tm</w:t>
      </w:r>
      <w:proofErr w:type="spellEnd"/>
      <w:r>
        <w:rPr>
          <w:lang w:val="fr-CA"/>
        </w:rPr>
        <w:t>.</w:t>
      </w:r>
    </w:p>
    <w:p w14:paraId="4BF20BFD" w14:textId="1FC2C05B" w:rsidR="00E97ED4" w:rsidRPr="00E97ED4" w:rsidRDefault="00E97ED4" w:rsidP="00E97ED4">
      <w:pPr>
        <w:pStyle w:val="StyleHeading1Para1Heading1CharHeading1Char3CharHeadin"/>
        <w:rPr>
          <w:b/>
          <w:bCs/>
          <w:lang w:val="fr-CA"/>
        </w:rPr>
      </w:pPr>
      <w:r>
        <w:rPr>
          <w:b/>
          <w:bCs/>
          <w:lang w:val="fr-CA"/>
        </w:rPr>
        <w:t>Rapport périodique soumis à la 93</w:t>
      </w:r>
      <w:r w:rsidRPr="00E97ED4">
        <w:rPr>
          <w:b/>
          <w:bCs/>
          <w:vertAlign w:val="superscript"/>
          <w:lang w:val="fr-CA"/>
        </w:rPr>
        <w:t>e</w:t>
      </w:r>
      <w:r>
        <w:rPr>
          <w:b/>
          <w:bCs/>
          <w:lang w:val="fr-CA"/>
        </w:rPr>
        <w:t xml:space="preserve"> réunion</w:t>
      </w:r>
    </w:p>
    <w:p w14:paraId="52DEC0C1" w14:textId="632AD296" w:rsidR="00E97ED4" w:rsidRDefault="00E97ED4" w:rsidP="00E97ED4">
      <w:pPr>
        <w:pStyle w:val="StyleHeading1Para1Heading1CharHeading1Char3CharHeadin"/>
        <w:numPr>
          <w:ilvl w:val="0"/>
          <w:numId w:val="1"/>
        </w:numPr>
        <w:tabs>
          <w:tab w:val="clear" w:pos="0"/>
        </w:tabs>
        <w:rPr>
          <w:lang w:val="fr-CA"/>
        </w:rPr>
      </w:pPr>
      <w:r>
        <w:rPr>
          <w:lang w:val="fr-CA"/>
        </w:rPr>
        <w:t xml:space="preserve">La livraison des </w:t>
      </w:r>
      <w:r w:rsidRPr="00E97ED4">
        <w:rPr>
          <w:lang w:val="fr-CA"/>
        </w:rPr>
        <w:t xml:space="preserve">pièces de SGL </w:t>
      </w:r>
      <w:r>
        <w:rPr>
          <w:lang w:val="fr-CA"/>
        </w:rPr>
        <w:t xml:space="preserve">chez FIASA s’est faite le 8 septembre 2023.  Étant donné le retard dans la livraison des pièces de SGL et la nécessité pour l’entreprise </w:t>
      </w:r>
      <w:r w:rsidR="00C7519D">
        <w:rPr>
          <w:lang w:val="fr-CA"/>
        </w:rPr>
        <w:t xml:space="preserve">d’honorer ses obligations contractuelles envers ses clients, FIASA a continué de produire du HCFC-22 avant l’arrivée des pièces. Pour s’assurer qu’il n’y ait aucune émission du sous-produit HFC-23 dans l’atmosphère, FIASA a acheté plusieurs disques de rupture et opéré l’incinérateur en mode de campagne, en démarrant et interrompant l’incinérateur neuf fois pour s’assurer que le disque de rupture, pièce d’équipement essentielle pour garantir le fonctionnement sécuritaire de l’incinérateur, était intact. </w:t>
      </w:r>
    </w:p>
    <w:p w14:paraId="60968BF1" w14:textId="1D1C162E" w:rsidR="00C7519D" w:rsidRDefault="00C7519D" w:rsidP="00E97ED4">
      <w:pPr>
        <w:pStyle w:val="StyleHeading1Para1Heading1CharHeading1Char3CharHeadin"/>
        <w:numPr>
          <w:ilvl w:val="0"/>
          <w:numId w:val="1"/>
        </w:numPr>
        <w:tabs>
          <w:tab w:val="clear" w:pos="0"/>
        </w:tabs>
        <w:rPr>
          <w:lang w:val="fr-CA"/>
        </w:rPr>
      </w:pPr>
      <w:r>
        <w:rPr>
          <w:lang w:val="fr-CA"/>
        </w:rPr>
        <w:t>Entre le 1</w:t>
      </w:r>
      <w:r w:rsidRPr="00C7519D">
        <w:rPr>
          <w:vertAlign w:val="superscript"/>
          <w:lang w:val="fr-CA"/>
        </w:rPr>
        <w:t>er</w:t>
      </w:r>
      <w:r>
        <w:rPr>
          <w:lang w:val="fr-CA"/>
        </w:rPr>
        <w:t xml:space="preserve"> janvier et le 1</w:t>
      </w:r>
      <w:r w:rsidRPr="00C7519D">
        <w:rPr>
          <w:vertAlign w:val="superscript"/>
          <w:lang w:val="fr-CA"/>
        </w:rPr>
        <w:t>er</w:t>
      </w:r>
      <w:r>
        <w:rPr>
          <w:lang w:val="fr-CA"/>
        </w:rPr>
        <w:t xml:space="preserve"> octobre 2023, l’entreprise a produit 1 169,51 </w:t>
      </w:r>
      <w:proofErr w:type="spellStart"/>
      <w:r>
        <w:rPr>
          <w:lang w:val="fr-CA"/>
        </w:rPr>
        <w:t>tm</w:t>
      </w:r>
      <w:proofErr w:type="spellEnd"/>
      <w:r>
        <w:rPr>
          <w:lang w:val="fr-CA"/>
        </w:rPr>
        <w:t xml:space="preserve"> de HCFC-22, généré 37,32 </w:t>
      </w:r>
      <w:proofErr w:type="spellStart"/>
      <w:r>
        <w:rPr>
          <w:lang w:val="fr-CA"/>
        </w:rPr>
        <w:t>tm</w:t>
      </w:r>
      <w:proofErr w:type="spellEnd"/>
      <w:r>
        <w:rPr>
          <w:lang w:val="fr-CA"/>
        </w:rPr>
        <w:t xml:space="preserve"> du sous-produit HFC-23</w:t>
      </w:r>
      <w:r>
        <w:rPr>
          <w:rStyle w:val="FootnoteReference"/>
          <w:lang w:val="fr-CA"/>
        </w:rPr>
        <w:footnoteReference w:id="17"/>
      </w:r>
      <w:r>
        <w:rPr>
          <w:lang w:val="fr-CA"/>
        </w:rPr>
        <w:t xml:space="preserve">et détruit 52,37 </w:t>
      </w:r>
      <w:proofErr w:type="spellStart"/>
      <w:r>
        <w:rPr>
          <w:lang w:val="fr-CA"/>
        </w:rPr>
        <w:t>tm</w:t>
      </w:r>
      <w:proofErr w:type="spellEnd"/>
      <w:r>
        <w:rPr>
          <w:lang w:val="fr-CA"/>
        </w:rPr>
        <w:t xml:space="preserve"> de HFC-23.  L’ONUDI a confirmé</w:t>
      </w:r>
      <w:r w:rsidR="00A046A5">
        <w:rPr>
          <w:lang w:val="fr-CA"/>
        </w:rPr>
        <w:t xml:space="preserve"> qu’en 2023 il n’y a eu aucune autre émission du sous-produit HFC-23, à l’exception de celles conformes au rendement de destruction et d’efficacité (RDE) de l’incinérateur (99,99 pour cent).  L’ONUDI a rapporté également que les pièces de SGL avaient été installées.  L’opération de l’incinérateur était arrêtée temporairement car l’entreprise souhaitait effectuer une vérification du compresseur d’absorption des variations de pression, qui devrait être terminée d’ici la fin novembre 2023.  La capacité de la citerne cryogénique est suffisante pour permettre à l’entreprise de continuer </w:t>
      </w:r>
      <w:r w:rsidR="00475E3B">
        <w:rPr>
          <w:lang w:val="fr-CA"/>
        </w:rPr>
        <w:t>à produire du HCFC-23 et à stocker le sous-produit HFC-23 additionnel, en continuant de s’assurer qu’il n’y ait aucune autre émission de HFC-23.</w:t>
      </w:r>
    </w:p>
    <w:p w14:paraId="5369C3BC" w14:textId="1B7EB43F" w:rsidR="00475E3B" w:rsidRPr="00475E3B" w:rsidRDefault="00475E3B" w:rsidP="00475E3B">
      <w:pPr>
        <w:pStyle w:val="StyleHeading1Para1Heading1CharHeading1Char3CharHeadin"/>
        <w:rPr>
          <w:b/>
          <w:bCs/>
          <w:lang w:val="fr-CA"/>
        </w:rPr>
      </w:pPr>
      <w:r>
        <w:rPr>
          <w:b/>
          <w:bCs/>
          <w:lang w:val="fr-CA"/>
        </w:rPr>
        <w:t>Observations du Secrétariat</w:t>
      </w:r>
    </w:p>
    <w:p w14:paraId="1F79062D" w14:textId="1E946FFD" w:rsidR="00475E3B" w:rsidRDefault="00475E3B" w:rsidP="00E97ED4">
      <w:pPr>
        <w:pStyle w:val="StyleHeading1Para1Heading1CharHeading1Char3CharHeadin"/>
        <w:numPr>
          <w:ilvl w:val="0"/>
          <w:numId w:val="1"/>
        </w:numPr>
        <w:tabs>
          <w:tab w:val="clear" w:pos="0"/>
        </w:tabs>
        <w:rPr>
          <w:lang w:val="fr-CA"/>
        </w:rPr>
      </w:pPr>
      <w:r>
        <w:rPr>
          <w:lang w:val="fr-CA"/>
        </w:rPr>
        <w:t xml:space="preserve">En dépit des défis rencontrés </w:t>
      </w:r>
      <w:r w:rsidR="00C73050">
        <w:rPr>
          <w:lang w:val="fr-CA"/>
        </w:rPr>
        <w:t>pour</w:t>
      </w:r>
      <w:r>
        <w:rPr>
          <w:lang w:val="fr-CA"/>
        </w:rPr>
        <w:t xml:space="preserve"> la mise en œuvre du projet, il n’y a eu aucune autre émission du sous-produit HFC-23 dans l’atmosphère, au-delà de celles conformes au RDE de l’incinérateur.  À ce</w:t>
      </w:r>
      <w:r w:rsidR="006C51D2">
        <w:rPr>
          <w:lang w:val="fr-CA"/>
        </w:rPr>
        <w:t xml:space="preserve"> propos</w:t>
      </w:r>
      <w:r>
        <w:rPr>
          <w:lang w:val="fr-CA"/>
        </w:rPr>
        <w:t>, le Secrétariat a pris note que l’incinérateur opère de manière optimale en mode constant; en revanche les démarrages et arrêts fréquents peuvent entraîner un RDE plus bas.</w:t>
      </w:r>
      <w:r w:rsidR="00C73050">
        <w:rPr>
          <w:lang w:val="fr-CA"/>
        </w:rPr>
        <w:t xml:space="preserve"> </w:t>
      </w:r>
      <w:r>
        <w:rPr>
          <w:lang w:val="fr-CA"/>
        </w:rPr>
        <w:t xml:space="preserve"> L’ONUDI a confirmé que l’entreprise surveillait les émissions de HFC-23 provenant de l’incinérateur et que ces émissions étaient conformes au RDE de l’incinérateur.</w:t>
      </w:r>
    </w:p>
    <w:p w14:paraId="755C0220" w14:textId="77777777" w:rsidR="0084351D" w:rsidRDefault="00475E3B" w:rsidP="00E97ED4">
      <w:pPr>
        <w:pStyle w:val="StyleHeading1Para1Heading1CharHeading1Char3CharHeadin"/>
        <w:numPr>
          <w:ilvl w:val="0"/>
          <w:numId w:val="1"/>
        </w:numPr>
        <w:tabs>
          <w:tab w:val="clear" w:pos="0"/>
        </w:tabs>
        <w:rPr>
          <w:lang w:val="fr-CA"/>
        </w:rPr>
      </w:pPr>
      <w:r>
        <w:rPr>
          <w:lang w:val="fr-CA"/>
        </w:rPr>
        <w:t xml:space="preserve">Conformément à la décision 92/18(b), le </w:t>
      </w:r>
      <w:r w:rsidR="009F7AFF">
        <w:rPr>
          <w:lang w:val="fr-CA"/>
        </w:rPr>
        <w:t xml:space="preserve">Secrétariat a demandé </w:t>
      </w:r>
      <w:r w:rsidR="0084351D">
        <w:rPr>
          <w:lang w:val="fr-CA"/>
        </w:rPr>
        <w:t>des précisions sur la quantité de sous-produit HFC-23 stockée dans la citerne cryogénique.  L’ONUDI a indiqué que la citerne cryogénique était pleine à 48,3 pour cent.  Au moment de finaliser le présent document, le Secrétariat ignorait comment cette valeur avait été déterminée; le Comité exécutif pourrait souhaiter demander à l’ONUDI des précisions à ce sujet.</w:t>
      </w:r>
    </w:p>
    <w:p w14:paraId="23C21F9A" w14:textId="34DCBE77" w:rsidR="0084351D" w:rsidRDefault="0084351D" w:rsidP="00E97ED4">
      <w:pPr>
        <w:pStyle w:val="StyleHeading1Para1Heading1CharHeading1Char3CharHeadin"/>
        <w:numPr>
          <w:ilvl w:val="0"/>
          <w:numId w:val="1"/>
        </w:numPr>
        <w:tabs>
          <w:tab w:val="clear" w:pos="0"/>
        </w:tabs>
        <w:rPr>
          <w:lang w:val="fr-CA"/>
        </w:rPr>
      </w:pPr>
      <w:r>
        <w:rPr>
          <w:lang w:val="fr-CA"/>
        </w:rPr>
        <w:t xml:space="preserve">Les pièces de SGL ont été installées et l’incinérateur pourra être remis en route après la vérification du compresseur d’absorption de variations de pression, attendue pour la fin novembre. L’entreprise reste </w:t>
      </w:r>
      <w:r>
        <w:rPr>
          <w:lang w:val="fr-CA"/>
        </w:rPr>
        <w:lastRenderedPageBreak/>
        <w:t>engagée à atteindre les cibles spécifiées dans l’Accord entre le gouvernement de l’Argentine et le Comité exécutif.  La deuxième tranche du projet devrait être soumise à la 94</w:t>
      </w:r>
      <w:r w:rsidRPr="0084351D">
        <w:rPr>
          <w:vertAlign w:val="superscript"/>
          <w:lang w:val="fr-CA"/>
        </w:rPr>
        <w:t>e</w:t>
      </w:r>
      <w:r>
        <w:rPr>
          <w:lang w:val="fr-CA"/>
        </w:rPr>
        <w:t xml:space="preserve"> réunion.  La demande sera accompagnée d’un rapport périodique sur la mise en œuvre de la première tranche, d’un plan d’action pour la deuxième tranche et du rapport de vérification pour les années 2022 et 2023.</w:t>
      </w:r>
    </w:p>
    <w:p w14:paraId="4F40BCE2" w14:textId="38B50E73" w:rsidR="0084351D" w:rsidRPr="0084351D" w:rsidRDefault="0084351D" w:rsidP="0084351D">
      <w:pPr>
        <w:pStyle w:val="StyleHeading1Para1Heading1CharHeading1Char3CharHeadin"/>
        <w:rPr>
          <w:b/>
          <w:bCs/>
          <w:lang w:val="fr-CA"/>
        </w:rPr>
      </w:pPr>
      <w:r>
        <w:rPr>
          <w:b/>
          <w:bCs/>
          <w:lang w:val="fr-CA"/>
        </w:rPr>
        <w:t>Recommandation</w:t>
      </w:r>
    </w:p>
    <w:p w14:paraId="5F1B326C" w14:textId="4BD7112E" w:rsidR="00475E3B" w:rsidRDefault="0084351D" w:rsidP="0084351D">
      <w:pPr>
        <w:pStyle w:val="Heading1"/>
        <w:tabs>
          <w:tab w:val="left" w:pos="709"/>
        </w:tabs>
        <w:rPr>
          <w:lang w:val="fr-CA"/>
        </w:rPr>
      </w:pPr>
      <w:r>
        <w:rPr>
          <w:lang w:val="fr-CA"/>
        </w:rPr>
        <w:t>Le Comité exécutif pourrait souhaiter prendre note :</w:t>
      </w:r>
    </w:p>
    <w:p w14:paraId="648913C2" w14:textId="7D319A8D" w:rsidR="0084351D" w:rsidRDefault="0084351D" w:rsidP="0084351D">
      <w:pPr>
        <w:pStyle w:val="Heading2"/>
        <w:rPr>
          <w:lang w:val="fr-CA"/>
        </w:rPr>
      </w:pPr>
      <w:r>
        <w:rPr>
          <w:lang w:val="fr-CA"/>
        </w:rPr>
        <w:t xml:space="preserve">Du rapport périodique sur la mise en œuvre du projet de contrôle des émissions </w:t>
      </w:r>
      <w:r w:rsidR="0031260D">
        <w:rPr>
          <w:lang w:val="fr-CA"/>
        </w:rPr>
        <w:t xml:space="preserve">de </w:t>
      </w:r>
      <w:r w:rsidR="000766FF">
        <w:rPr>
          <w:lang w:val="fr-CA"/>
        </w:rPr>
        <w:t xml:space="preserve">HFC-23 générées </w:t>
      </w:r>
      <w:r w:rsidR="00C73050">
        <w:rPr>
          <w:lang w:val="fr-CA"/>
        </w:rPr>
        <w:t>par</w:t>
      </w:r>
      <w:r w:rsidR="000766FF">
        <w:rPr>
          <w:lang w:val="fr-CA"/>
        </w:rPr>
        <w:t xml:space="preserve"> la production de HCFC-22 chez Frio </w:t>
      </w:r>
      <w:proofErr w:type="spellStart"/>
      <w:r w:rsidR="000766FF">
        <w:rPr>
          <w:lang w:val="fr-CA"/>
        </w:rPr>
        <w:t>Industrias</w:t>
      </w:r>
      <w:proofErr w:type="spellEnd"/>
      <w:r w:rsidR="000766FF">
        <w:rPr>
          <w:lang w:val="fr-CA"/>
        </w:rPr>
        <w:t xml:space="preserve"> Argentina, soumis par l’ONUDI et contenu dans le document UNEP/</w:t>
      </w:r>
      <w:proofErr w:type="spellStart"/>
      <w:r w:rsidR="000766FF">
        <w:rPr>
          <w:lang w:val="fr-CA"/>
        </w:rPr>
        <w:t>OzL.Pro</w:t>
      </w:r>
      <w:proofErr w:type="spellEnd"/>
      <w:r w:rsidR="000766FF">
        <w:rPr>
          <w:lang w:val="fr-CA"/>
        </w:rPr>
        <w:t>/</w:t>
      </w:r>
      <w:proofErr w:type="spellStart"/>
      <w:r w:rsidR="000766FF">
        <w:rPr>
          <w:lang w:val="fr-CA"/>
        </w:rPr>
        <w:t>ExCom</w:t>
      </w:r>
      <w:proofErr w:type="spellEnd"/>
      <w:r w:rsidR="000766FF">
        <w:rPr>
          <w:lang w:val="fr-CA"/>
        </w:rPr>
        <w:t xml:space="preserve">/93/21; et </w:t>
      </w:r>
    </w:p>
    <w:p w14:paraId="1AEEFE74" w14:textId="787BAC1C" w:rsidR="000766FF" w:rsidRPr="000766FF" w:rsidRDefault="000766FF" w:rsidP="000766FF">
      <w:pPr>
        <w:pStyle w:val="Heading2"/>
        <w:rPr>
          <w:lang w:val="fr-CA"/>
        </w:rPr>
      </w:pPr>
      <w:r>
        <w:rPr>
          <w:lang w:val="fr-CA"/>
        </w:rPr>
        <w:t xml:space="preserve">Que l’ONUDI fournira une mise à jour pour préciser la quantité du sous-produit HFC-23 stockée dans la citerne cryogénique, conformément à la décision 92/18(b), </w:t>
      </w:r>
      <w:r w:rsidR="00C73050">
        <w:rPr>
          <w:lang w:val="fr-CA"/>
        </w:rPr>
        <w:t>durant</w:t>
      </w:r>
      <w:r>
        <w:rPr>
          <w:lang w:val="fr-CA"/>
        </w:rPr>
        <w:t xml:space="preserve"> la 93</w:t>
      </w:r>
      <w:r w:rsidRPr="000766FF">
        <w:rPr>
          <w:vertAlign w:val="superscript"/>
          <w:lang w:val="fr-CA"/>
        </w:rPr>
        <w:t>e</w:t>
      </w:r>
      <w:r>
        <w:rPr>
          <w:lang w:val="fr-CA"/>
        </w:rPr>
        <w:t xml:space="preserve"> réunion.</w:t>
      </w:r>
    </w:p>
    <w:p w14:paraId="1E442FA9" w14:textId="77777777" w:rsidR="000766FF" w:rsidRDefault="000766FF" w:rsidP="000766FF">
      <w:pPr>
        <w:ind w:left="720"/>
        <w:rPr>
          <w:b/>
          <w:bCs/>
          <w:lang w:val="fr-CA"/>
        </w:rPr>
      </w:pPr>
    </w:p>
    <w:p w14:paraId="3FECF6F6" w14:textId="38E53645" w:rsidR="0084351D" w:rsidRPr="00E97ED4" w:rsidRDefault="0084351D" w:rsidP="0084351D">
      <w:pPr>
        <w:pStyle w:val="StyleHeading1Para1Heading1CharHeading1Char3CharHeadin"/>
        <w:rPr>
          <w:lang w:val="fr-CA"/>
        </w:rPr>
      </w:pPr>
    </w:p>
    <w:p w14:paraId="49E07F8F" w14:textId="77777777" w:rsidR="00441083" w:rsidRPr="00994CD7" w:rsidRDefault="00441083">
      <w:pPr>
        <w:pStyle w:val="StyleHeader4Para4Left0Firstline0"/>
        <w:numPr>
          <w:ilvl w:val="0"/>
          <w:numId w:val="0"/>
        </w:numPr>
        <w:rPr>
          <w:lang w:val="fr-CA"/>
        </w:rPr>
      </w:pPr>
    </w:p>
    <w:p w14:paraId="448A79A0" w14:textId="77777777" w:rsidR="00441083" w:rsidRDefault="00E60D9C">
      <w:pPr>
        <w:pStyle w:val="StyleHeader4Para4Left0Firstline0"/>
        <w:numPr>
          <w:ilvl w:val="0"/>
          <w:numId w:val="0"/>
        </w:numPr>
        <w:rPr>
          <w:lang w:val="fr-FR"/>
        </w:rPr>
      </w:pPr>
      <w:r>
        <w:rPr>
          <w:lang w:val="fr-FR"/>
        </w:rPr>
        <w:br w:type="page"/>
      </w:r>
    </w:p>
    <w:p w14:paraId="4C71A0F2" w14:textId="78A14B85" w:rsidR="00441083" w:rsidRPr="008018B1" w:rsidRDefault="00441083" w:rsidP="008018B1">
      <w:pPr>
        <w:jc w:val="left"/>
        <w:rPr>
          <w:sz w:val="20"/>
          <w:lang w:val="fr-FR"/>
        </w:rPr>
        <w:sectPr w:rsidR="00441083" w:rsidRPr="008018B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E38313E" w14:textId="77777777" w:rsidR="00441083" w:rsidRDefault="00E60D9C">
      <w:pPr>
        <w:jc w:val="center"/>
        <w:rPr>
          <w:b/>
          <w:lang w:val="fr-FR"/>
        </w:rPr>
      </w:pPr>
      <w:r>
        <w:rPr>
          <w:b/>
          <w:lang w:val="fr-FR"/>
        </w:rPr>
        <w:lastRenderedPageBreak/>
        <w:t>Annexe I</w:t>
      </w:r>
    </w:p>
    <w:p w14:paraId="68771335" w14:textId="77777777" w:rsidR="000766FF" w:rsidRDefault="000766FF">
      <w:pPr>
        <w:jc w:val="center"/>
        <w:rPr>
          <w:b/>
          <w:lang w:val="fr-FR"/>
        </w:rPr>
      </w:pPr>
    </w:p>
    <w:p w14:paraId="27BD20EC" w14:textId="349C66D9" w:rsidR="000766FF" w:rsidRDefault="000766FF">
      <w:pPr>
        <w:jc w:val="center"/>
        <w:rPr>
          <w:b/>
          <w:lang w:val="fr-FR"/>
        </w:rPr>
      </w:pPr>
      <w:r>
        <w:rPr>
          <w:b/>
          <w:lang w:val="fr-FR"/>
        </w:rPr>
        <w:t xml:space="preserve">TEXTE À INCLURE DANS L’ACCORD MIS À JOUR RÉVISÉ ENTRE </w:t>
      </w:r>
      <w:r w:rsidR="002A1609">
        <w:rPr>
          <w:b/>
          <w:lang w:val="fr-FR"/>
        </w:rPr>
        <w:t>LE GOUVERNEMENT DE LA MAURITANIE ET LE COMITÉ EXÉCUTIF DU FONDS MULTILATÉRAL POUR LA RÉDUCTION DE LA CONSOMMATION D</w:t>
      </w:r>
      <w:r w:rsidR="00206CF6">
        <w:rPr>
          <w:b/>
          <w:lang w:val="fr-FR"/>
        </w:rPr>
        <w:t xml:space="preserve">ES </w:t>
      </w:r>
      <w:r w:rsidR="002A1609">
        <w:rPr>
          <w:b/>
          <w:lang w:val="fr-FR"/>
        </w:rPr>
        <w:t>HYDROCHLOROFLUOROCARBURES CONFORMÉMENT À LA PHASE I DU PLAN DE GESTION DE L’ÉLIMINATION DES HCFC</w:t>
      </w:r>
    </w:p>
    <w:p w14:paraId="2AD90965" w14:textId="77777777" w:rsidR="002A1609" w:rsidRDefault="002A1609">
      <w:pPr>
        <w:jc w:val="center"/>
        <w:rPr>
          <w:b/>
          <w:lang w:val="fr-FR"/>
        </w:rPr>
      </w:pPr>
    </w:p>
    <w:p w14:paraId="59AA94CF" w14:textId="2B23CC3B" w:rsidR="002A1609" w:rsidRPr="002A1609" w:rsidRDefault="002A1609">
      <w:pPr>
        <w:jc w:val="center"/>
        <w:rPr>
          <w:bCs/>
          <w:lang w:val="fr-FR"/>
        </w:rPr>
      </w:pPr>
      <w:r>
        <w:rPr>
          <w:bCs/>
          <w:lang w:val="fr-FR"/>
        </w:rPr>
        <w:t>(les changements pertinents sont en caractère gras pour en faciliter la consultation)</w:t>
      </w:r>
    </w:p>
    <w:p w14:paraId="0CC5DC63" w14:textId="77777777" w:rsidR="00441083" w:rsidRDefault="00441083">
      <w:pPr>
        <w:rPr>
          <w:lang w:val="fr-FR"/>
        </w:rPr>
      </w:pPr>
    </w:p>
    <w:p w14:paraId="1DA472AC" w14:textId="4BB18F4E" w:rsidR="00441083" w:rsidRDefault="002A1609">
      <w:pPr>
        <w:rPr>
          <w:lang w:val="fr-FR"/>
        </w:rPr>
      </w:pPr>
      <w:r>
        <w:rPr>
          <w:lang w:val="fr-FR"/>
        </w:rPr>
        <w:t>1.</w:t>
      </w:r>
      <w:r w:rsidR="00B059A8">
        <w:rPr>
          <w:lang w:val="fr-FR"/>
        </w:rPr>
        <w:tab/>
      </w:r>
      <w:r w:rsidR="00206CF6">
        <w:rPr>
          <w:lang w:val="fr-FR"/>
        </w:rPr>
        <w:t xml:space="preserve">Le présent Accord représente l’entente conclue entre le gouvernement de la Mauritanie (le </w:t>
      </w:r>
      <w:r w:rsidR="00206CF6">
        <w:rPr>
          <w:rFonts w:ascii=".." w:hAnsi=".."/>
          <w:lang w:val="fr-FR"/>
        </w:rPr>
        <w:t>"</w:t>
      </w:r>
      <w:r w:rsidR="00206CF6">
        <w:rPr>
          <w:lang w:val="fr-FR"/>
        </w:rPr>
        <w:t>pays</w:t>
      </w:r>
      <w:r w:rsidR="00206CF6">
        <w:rPr>
          <w:rFonts w:ascii=".." w:hAnsi=".."/>
          <w:lang w:val="fr-FR"/>
        </w:rPr>
        <w:t xml:space="preserve">") </w:t>
      </w:r>
      <w:r w:rsidR="00206CF6">
        <w:rPr>
          <w:lang w:val="fr-FR"/>
        </w:rPr>
        <w:t>et le Comité exécutif visant la réduction de l’usage réglementé de</w:t>
      </w:r>
      <w:r w:rsidR="00A553C4">
        <w:rPr>
          <w:lang w:val="fr-FR"/>
        </w:rPr>
        <w:t>s</w:t>
      </w:r>
      <w:r w:rsidR="00206CF6">
        <w:rPr>
          <w:lang w:val="fr-FR"/>
        </w:rPr>
        <w:t xml:space="preserve"> substances appauvrissant la couche d’ozone (SAO) indiquées à l’Appendice 1-A ("les substances") à un niveau durable de </w:t>
      </w:r>
      <w:r w:rsidR="00206CF6">
        <w:rPr>
          <w:b/>
          <w:bCs/>
          <w:lang w:val="fr-FR"/>
        </w:rPr>
        <w:t xml:space="preserve">6,66 </w:t>
      </w:r>
      <w:r w:rsidR="00206CF6">
        <w:rPr>
          <w:lang w:val="fr-FR"/>
        </w:rPr>
        <w:t>tonnes PAO d’ici le 1</w:t>
      </w:r>
      <w:r w:rsidR="00206CF6" w:rsidRPr="00206CF6">
        <w:rPr>
          <w:vertAlign w:val="superscript"/>
          <w:lang w:val="fr-FR"/>
        </w:rPr>
        <w:t>er</w:t>
      </w:r>
      <w:r w:rsidR="00206CF6">
        <w:rPr>
          <w:lang w:val="fr-FR"/>
        </w:rPr>
        <w:t xml:space="preserve"> janvier 2025, conformément aux calendriers du Protocole de Montréal.</w:t>
      </w:r>
    </w:p>
    <w:p w14:paraId="6941E3F5" w14:textId="77777777" w:rsidR="00206CF6" w:rsidRDefault="00206CF6">
      <w:pPr>
        <w:rPr>
          <w:lang w:val="fr-FR"/>
        </w:rPr>
      </w:pPr>
    </w:p>
    <w:p w14:paraId="2E9BFF39" w14:textId="77777777" w:rsidR="00C748B1" w:rsidRDefault="00206CF6">
      <w:pPr>
        <w:rPr>
          <w:lang w:val="fr-FR"/>
        </w:rPr>
      </w:pPr>
      <w:r>
        <w:rPr>
          <w:lang w:val="fr-FR"/>
        </w:rPr>
        <w:t>16.</w:t>
      </w:r>
      <w:r>
        <w:rPr>
          <w:lang w:val="fr-FR"/>
        </w:rPr>
        <w:tab/>
        <w:t>À la 88</w:t>
      </w:r>
      <w:r w:rsidRPr="00206CF6">
        <w:rPr>
          <w:vertAlign w:val="superscript"/>
          <w:lang w:val="fr-FR"/>
        </w:rPr>
        <w:t>e</w:t>
      </w:r>
      <w:r>
        <w:rPr>
          <w:lang w:val="fr-FR"/>
        </w:rPr>
        <w:t xml:space="preserve"> réunion, le mandat du PNUD en tant qu’agence d</w:t>
      </w:r>
      <w:r w:rsidR="00C748B1">
        <w:rPr>
          <w:lang w:val="fr-FR"/>
        </w:rPr>
        <w:t xml:space="preserve">e coopération a pris fin pour ce qui concerne les activités déployées par le pays sous les auspices du présent </w:t>
      </w:r>
      <w:r>
        <w:rPr>
          <w:lang w:val="fr-FR"/>
        </w:rPr>
        <w:t>Accord.  Le présent Accord m</w:t>
      </w:r>
      <w:r w:rsidR="00C748B1">
        <w:rPr>
          <w:lang w:val="fr-FR"/>
        </w:rPr>
        <w:t xml:space="preserve">odifié remplace celui qui avait été conclu entre le gouvernement de la Mauritanie et le Comité exécutif à la </w:t>
      </w:r>
      <w:r w:rsidR="00C748B1">
        <w:rPr>
          <w:b/>
          <w:bCs/>
          <w:lang w:val="fr-FR"/>
        </w:rPr>
        <w:t>88</w:t>
      </w:r>
      <w:r w:rsidR="00C748B1" w:rsidRPr="00C748B1">
        <w:rPr>
          <w:b/>
          <w:bCs/>
          <w:vertAlign w:val="superscript"/>
          <w:lang w:val="fr-FR"/>
        </w:rPr>
        <w:t>e</w:t>
      </w:r>
      <w:r w:rsidR="00C748B1">
        <w:rPr>
          <w:b/>
          <w:bCs/>
          <w:lang w:val="fr-FR"/>
        </w:rPr>
        <w:t xml:space="preserve"> </w:t>
      </w:r>
      <w:r w:rsidR="00C748B1">
        <w:rPr>
          <w:lang w:val="fr-FR"/>
        </w:rPr>
        <w:t>réunion du Comité exécutif.</w:t>
      </w:r>
    </w:p>
    <w:p w14:paraId="10562218" w14:textId="77777777" w:rsidR="00B30344" w:rsidRDefault="00B30344">
      <w:pPr>
        <w:rPr>
          <w:lang w:val="fr-FR"/>
        </w:rPr>
      </w:pPr>
    </w:p>
    <w:p w14:paraId="5366AF09" w14:textId="5543A39F" w:rsidR="00B30344" w:rsidRPr="00633EFC" w:rsidRDefault="00B30344" w:rsidP="00B30344">
      <w:pPr>
        <w:keepNext/>
        <w:rPr>
          <w:b/>
        </w:rPr>
      </w:pPr>
      <w:r w:rsidRPr="00633EFC">
        <w:rPr>
          <w:b/>
        </w:rPr>
        <w:t>APPENDI</w:t>
      </w:r>
      <w:r>
        <w:rPr>
          <w:b/>
        </w:rPr>
        <w:t>CE</w:t>
      </w:r>
      <w:r w:rsidRPr="00633EFC">
        <w:rPr>
          <w:b/>
        </w:rPr>
        <w:t xml:space="preserve"> 1-A: </w:t>
      </w:r>
      <w:r>
        <w:rPr>
          <w:b/>
        </w:rPr>
        <w:t>L</w:t>
      </w:r>
      <w:r w:rsidRPr="00633EFC">
        <w:rPr>
          <w:b/>
        </w:rPr>
        <w:t>E</w:t>
      </w:r>
      <w:r>
        <w:rPr>
          <w:b/>
        </w:rPr>
        <w:t>S</w:t>
      </w:r>
      <w:r w:rsidRPr="00633EFC">
        <w:rPr>
          <w:b/>
        </w:rPr>
        <w:t xml:space="preserve"> SUBSTANCES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4671"/>
      </w:tblGrid>
      <w:tr w:rsidR="00B30344" w:rsidRPr="00D94D3B" w14:paraId="236C80DC" w14:textId="77777777" w:rsidTr="00B30344">
        <w:trPr>
          <w:trHeight w:val="487"/>
        </w:trPr>
        <w:tc>
          <w:tcPr>
            <w:tcW w:w="2880" w:type="dxa"/>
          </w:tcPr>
          <w:p w14:paraId="2555CE94" w14:textId="77777777" w:rsidR="00B30344" w:rsidRPr="00633EFC" w:rsidRDefault="00B30344" w:rsidP="00D53168">
            <w:pPr>
              <w:keepNext/>
              <w:rPr>
                <w:sz w:val="20"/>
                <w:szCs w:val="20"/>
              </w:rPr>
            </w:pPr>
            <w:r w:rsidRPr="00633EFC">
              <w:rPr>
                <w:sz w:val="20"/>
                <w:szCs w:val="20"/>
              </w:rPr>
              <w:t>Substance</w:t>
            </w:r>
          </w:p>
        </w:tc>
        <w:tc>
          <w:tcPr>
            <w:tcW w:w="900" w:type="dxa"/>
          </w:tcPr>
          <w:p w14:paraId="67E2C33A" w14:textId="1EE8E49A" w:rsidR="00B30344" w:rsidRPr="00633EFC" w:rsidRDefault="00B30344" w:rsidP="00D53168">
            <w:pPr>
              <w:keepNext/>
              <w:rPr>
                <w:sz w:val="20"/>
                <w:szCs w:val="20"/>
              </w:rPr>
            </w:pPr>
            <w:r w:rsidRPr="00633EFC">
              <w:rPr>
                <w:sz w:val="20"/>
                <w:szCs w:val="20"/>
              </w:rPr>
              <w:t>Annex</w:t>
            </w:r>
            <w:r>
              <w:rPr>
                <w:sz w:val="20"/>
                <w:szCs w:val="20"/>
              </w:rPr>
              <w:t>e</w:t>
            </w:r>
          </w:p>
        </w:tc>
        <w:tc>
          <w:tcPr>
            <w:tcW w:w="900" w:type="dxa"/>
          </w:tcPr>
          <w:p w14:paraId="01688282" w14:textId="6796B99D" w:rsidR="00B30344" w:rsidRPr="00633EFC" w:rsidRDefault="00B30344" w:rsidP="00D53168">
            <w:pPr>
              <w:keepNext/>
              <w:rPr>
                <w:sz w:val="20"/>
                <w:szCs w:val="20"/>
              </w:rPr>
            </w:pPr>
            <w:r w:rsidRPr="00633EFC">
              <w:rPr>
                <w:sz w:val="20"/>
                <w:szCs w:val="20"/>
              </w:rPr>
              <w:t>Group</w:t>
            </w:r>
            <w:r>
              <w:rPr>
                <w:sz w:val="20"/>
                <w:szCs w:val="20"/>
              </w:rPr>
              <w:t>e</w:t>
            </w:r>
          </w:p>
        </w:tc>
        <w:tc>
          <w:tcPr>
            <w:tcW w:w="4671" w:type="dxa"/>
          </w:tcPr>
          <w:p w14:paraId="7C8F6040" w14:textId="09A909D6" w:rsidR="00B30344" w:rsidRPr="00B30344" w:rsidRDefault="00B30344" w:rsidP="00B30344">
            <w:pPr>
              <w:keepNext/>
              <w:jc w:val="center"/>
              <w:rPr>
                <w:sz w:val="20"/>
                <w:szCs w:val="20"/>
                <w:lang w:val="fr-CA"/>
              </w:rPr>
            </w:pPr>
            <w:r w:rsidRPr="00B30344">
              <w:rPr>
                <w:sz w:val="20"/>
                <w:szCs w:val="20"/>
                <w:lang w:val="fr-CA"/>
              </w:rPr>
              <w:t>Point de d</w:t>
            </w:r>
            <w:r>
              <w:rPr>
                <w:sz w:val="20"/>
                <w:szCs w:val="20"/>
                <w:lang w:val="fr-CA"/>
              </w:rPr>
              <w:t>é</w:t>
            </w:r>
            <w:r w:rsidRPr="00B30344">
              <w:rPr>
                <w:sz w:val="20"/>
                <w:szCs w:val="20"/>
                <w:lang w:val="fr-CA"/>
              </w:rPr>
              <w:t>part des réductions globales de la</w:t>
            </w:r>
            <w:r>
              <w:rPr>
                <w:sz w:val="20"/>
                <w:szCs w:val="20"/>
                <w:lang w:val="fr-CA"/>
              </w:rPr>
              <w:t xml:space="preserve"> </w:t>
            </w:r>
            <w:r w:rsidRPr="00B30344">
              <w:rPr>
                <w:sz w:val="20"/>
                <w:szCs w:val="20"/>
                <w:lang w:val="fr-CA"/>
              </w:rPr>
              <w:t>consommation</w:t>
            </w:r>
            <w:r>
              <w:rPr>
                <w:sz w:val="20"/>
                <w:szCs w:val="20"/>
                <w:lang w:val="fr-CA"/>
              </w:rPr>
              <w:t xml:space="preserve"> </w:t>
            </w:r>
            <w:r w:rsidRPr="00B30344">
              <w:rPr>
                <w:sz w:val="20"/>
                <w:szCs w:val="20"/>
                <w:lang w:val="fr-CA"/>
              </w:rPr>
              <w:t>(tonnes</w:t>
            </w:r>
            <w:r>
              <w:rPr>
                <w:sz w:val="20"/>
                <w:szCs w:val="20"/>
                <w:lang w:val="fr-CA"/>
              </w:rPr>
              <w:t xml:space="preserve"> PAO</w:t>
            </w:r>
            <w:r w:rsidRPr="00B30344">
              <w:rPr>
                <w:sz w:val="20"/>
                <w:szCs w:val="20"/>
                <w:lang w:val="fr-CA"/>
              </w:rPr>
              <w:t>)</w:t>
            </w:r>
          </w:p>
        </w:tc>
      </w:tr>
      <w:tr w:rsidR="00B30344" w:rsidRPr="00633EFC" w14:paraId="70291C77" w14:textId="77777777" w:rsidTr="00B30344">
        <w:tc>
          <w:tcPr>
            <w:tcW w:w="2880" w:type="dxa"/>
          </w:tcPr>
          <w:p w14:paraId="14982E8C" w14:textId="77777777" w:rsidR="00B30344" w:rsidRPr="00633EFC" w:rsidRDefault="00B30344" w:rsidP="00D53168">
            <w:pPr>
              <w:keepNext/>
              <w:rPr>
                <w:sz w:val="20"/>
                <w:szCs w:val="20"/>
              </w:rPr>
            </w:pPr>
            <w:r w:rsidRPr="00633EFC">
              <w:rPr>
                <w:sz w:val="20"/>
                <w:szCs w:val="20"/>
              </w:rPr>
              <w:t>HCFC-22</w:t>
            </w:r>
          </w:p>
        </w:tc>
        <w:tc>
          <w:tcPr>
            <w:tcW w:w="900" w:type="dxa"/>
          </w:tcPr>
          <w:p w14:paraId="2D3E744C" w14:textId="77777777" w:rsidR="00B30344" w:rsidRPr="00633EFC" w:rsidRDefault="00B30344" w:rsidP="00D53168">
            <w:pPr>
              <w:keepNext/>
              <w:rPr>
                <w:sz w:val="20"/>
                <w:szCs w:val="20"/>
              </w:rPr>
            </w:pPr>
            <w:r w:rsidRPr="00633EFC">
              <w:rPr>
                <w:sz w:val="20"/>
                <w:szCs w:val="20"/>
              </w:rPr>
              <w:t>C</w:t>
            </w:r>
          </w:p>
        </w:tc>
        <w:tc>
          <w:tcPr>
            <w:tcW w:w="900" w:type="dxa"/>
          </w:tcPr>
          <w:p w14:paraId="50004D5E" w14:textId="77777777" w:rsidR="00B30344" w:rsidRPr="00633EFC" w:rsidRDefault="00B30344" w:rsidP="00D53168">
            <w:pPr>
              <w:keepNext/>
              <w:autoSpaceDE w:val="0"/>
              <w:autoSpaceDN w:val="0"/>
              <w:adjustRightInd w:val="0"/>
              <w:rPr>
                <w:sz w:val="20"/>
                <w:szCs w:val="20"/>
              </w:rPr>
            </w:pPr>
            <w:r w:rsidRPr="00633EFC">
              <w:rPr>
                <w:sz w:val="20"/>
                <w:szCs w:val="20"/>
              </w:rPr>
              <w:t xml:space="preserve">I </w:t>
            </w:r>
          </w:p>
        </w:tc>
        <w:tc>
          <w:tcPr>
            <w:tcW w:w="4671" w:type="dxa"/>
            <w:vAlign w:val="center"/>
          </w:tcPr>
          <w:p w14:paraId="36A4ED1C" w14:textId="35841415" w:rsidR="00B30344" w:rsidRPr="00633EFC" w:rsidRDefault="00B30344" w:rsidP="00D53168">
            <w:pPr>
              <w:pStyle w:val="Default"/>
              <w:keepNext/>
              <w:widowControl/>
              <w:jc w:val="right"/>
              <w:rPr>
                <w:b/>
                <w:bCs/>
                <w:sz w:val="20"/>
                <w:szCs w:val="20"/>
                <w:highlight w:val="cyan"/>
                <w:lang w:val="en-GB"/>
              </w:rPr>
            </w:pPr>
            <w:r w:rsidRPr="00633EFC">
              <w:rPr>
                <w:b/>
                <w:bCs/>
                <w:sz w:val="20"/>
                <w:szCs w:val="20"/>
                <w:lang w:val="en-GB"/>
              </w:rPr>
              <w:t>10</w:t>
            </w:r>
            <w:r>
              <w:rPr>
                <w:b/>
                <w:bCs/>
                <w:sz w:val="20"/>
                <w:szCs w:val="20"/>
                <w:lang w:val="en-GB"/>
              </w:rPr>
              <w:t>,</w:t>
            </w:r>
            <w:r w:rsidRPr="00633EFC">
              <w:rPr>
                <w:b/>
                <w:bCs/>
                <w:sz w:val="20"/>
                <w:szCs w:val="20"/>
                <w:lang w:val="en-GB"/>
              </w:rPr>
              <w:t>67</w:t>
            </w:r>
          </w:p>
        </w:tc>
      </w:tr>
    </w:tbl>
    <w:p w14:paraId="74360481" w14:textId="77777777" w:rsidR="00B30344" w:rsidRPr="00633EFC" w:rsidRDefault="00B30344" w:rsidP="00B30344">
      <w:pPr>
        <w:pStyle w:val="NoSpacing"/>
        <w:spacing w:after="120"/>
        <w:rPr>
          <w:rFonts w:ascii="Times New Roman" w:eastAsia="Calibri" w:hAnsi="Times New Roman" w:cs="Times New Roman"/>
          <w:b/>
          <w:bCs/>
          <w:lang w:val="en-GB"/>
        </w:rPr>
      </w:pPr>
    </w:p>
    <w:p w14:paraId="5757ABB1" w14:textId="02FEE88F" w:rsidR="00B30344" w:rsidRPr="00902682" w:rsidRDefault="00B30344" w:rsidP="00B30344">
      <w:pPr>
        <w:pStyle w:val="NoSpacing"/>
        <w:spacing w:after="120"/>
        <w:rPr>
          <w:rFonts w:ascii="Times New Roman" w:eastAsia="Calibri" w:hAnsi="Times New Roman" w:cs="Times New Roman"/>
          <w:b/>
          <w:bCs/>
          <w:lang w:val="fr-CA"/>
        </w:rPr>
      </w:pPr>
      <w:r w:rsidRPr="00902682">
        <w:rPr>
          <w:rFonts w:ascii="Times New Roman" w:eastAsia="Calibri" w:hAnsi="Times New Roman" w:cs="Times New Roman"/>
          <w:b/>
          <w:bCs/>
          <w:lang w:val="fr-CA"/>
        </w:rPr>
        <w:t>APPENDICE 2-A: LES OBJECTIFS ET LE FINANCEMENT</w:t>
      </w:r>
    </w:p>
    <w:tbl>
      <w:tblPr>
        <w:tblW w:w="5000" w:type="pct"/>
        <w:tblLayout w:type="fixed"/>
        <w:tblLook w:val="04A0" w:firstRow="1" w:lastRow="0" w:firstColumn="1" w:lastColumn="0" w:noHBand="0" w:noVBand="1"/>
      </w:tblPr>
      <w:tblGrid>
        <w:gridCol w:w="704"/>
        <w:gridCol w:w="2516"/>
        <w:gridCol w:w="681"/>
        <w:gridCol w:w="681"/>
        <w:gridCol w:w="681"/>
        <w:gridCol w:w="681"/>
        <w:gridCol w:w="681"/>
        <w:gridCol w:w="681"/>
        <w:gridCol w:w="681"/>
        <w:gridCol w:w="681"/>
        <w:gridCol w:w="682"/>
      </w:tblGrid>
      <w:tr w:rsidR="00B30344" w:rsidRPr="00633EFC" w14:paraId="24E2EABC" w14:textId="77777777" w:rsidTr="00D53168">
        <w:trPr>
          <w:trHeight w:val="285"/>
          <w:tblHeader/>
        </w:trPr>
        <w:tc>
          <w:tcPr>
            <w:tcW w:w="704" w:type="dxa"/>
            <w:tcBorders>
              <w:top w:val="single" w:sz="4" w:space="0" w:color="auto"/>
              <w:left w:val="single" w:sz="4" w:space="0" w:color="auto"/>
              <w:bottom w:val="single" w:sz="4" w:space="0" w:color="auto"/>
              <w:right w:val="single" w:sz="4" w:space="0" w:color="auto"/>
            </w:tcBorders>
            <w:vAlign w:val="center"/>
          </w:tcPr>
          <w:p w14:paraId="5962959E" w14:textId="71C9B328" w:rsidR="00B30344" w:rsidRPr="00633EFC" w:rsidRDefault="00B30344" w:rsidP="00D53168">
            <w:pPr>
              <w:jc w:val="left"/>
              <w:rPr>
                <w:b/>
                <w:bCs/>
                <w:color w:val="000000"/>
                <w:sz w:val="20"/>
                <w:szCs w:val="20"/>
                <w:lang w:eastAsia="en-CA"/>
              </w:rPr>
            </w:pPr>
            <w:r>
              <w:rPr>
                <w:b/>
                <w:spacing w:val="-5"/>
                <w:sz w:val="20"/>
                <w:szCs w:val="20"/>
              </w:rPr>
              <w:t>Ligne</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2B2F4" w14:textId="3AED1B79" w:rsidR="00B30344" w:rsidRPr="00633EFC" w:rsidRDefault="00A553C4" w:rsidP="00D53168">
            <w:pPr>
              <w:jc w:val="left"/>
              <w:rPr>
                <w:b/>
                <w:bCs/>
                <w:color w:val="000000"/>
                <w:sz w:val="20"/>
                <w:szCs w:val="20"/>
                <w:lang w:eastAsia="en-CA"/>
              </w:rPr>
            </w:pPr>
            <w:proofErr w:type="spellStart"/>
            <w:r>
              <w:rPr>
                <w:b/>
                <w:spacing w:val="-2"/>
                <w:sz w:val="20"/>
                <w:szCs w:val="20"/>
              </w:rPr>
              <w:t>Paramètres</w:t>
            </w:r>
            <w:proofErr w:type="spellEnd"/>
          </w:p>
        </w:tc>
        <w:tc>
          <w:tcPr>
            <w:tcW w:w="681" w:type="dxa"/>
            <w:tcBorders>
              <w:top w:val="single" w:sz="4" w:space="0" w:color="auto"/>
              <w:left w:val="nil"/>
              <w:bottom w:val="single" w:sz="4" w:space="0" w:color="auto"/>
              <w:right w:val="single" w:sz="4" w:space="0" w:color="auto"/>
            </w:tcBorders>
            <w:shd w:val="clear" w:color="auto" w:fill="auto"/>
            <w:hideMark/>
          </w:tcPr>
          <w:p w14:paraId="06680B58" w14:textId="77777777" w:rsidR="00B30344" w:rsidRPr="00633EFC" w:rsidRDefault="00B30344" w:rsidP="00D53168">
            <w:pPr>
              <w:jc w:val="center"/>
              <w:rPr>
                <w:b/>
                <w:bCs/>
                <w:color w:val="000000"/>
                <w:sz w:val="20"/>
                <w:szCs w:val="20"/>
                <w:lang w:eastAsia="en-CA"/>
              </w:rPr>
            </w:pPr>
            <w:r w:rsidRPr="00633EFC">
              <w:rPr>
                <w:b/>
                <w:bCs/>
                <w:color w:val="000000"/>
                <w:sz w:val="20"/>
                <w:szCs w:val="20"/>
                <w:lang w:eastAsia="en-CA"/>
              </w:rPr>
              <w:t>2017</w:t>
            </w:r>
          </w:p>
        </w:tc>
        <w:tc>
          <w:tcPr>
            <w:tcW w:w="681" w:type="dxa"/>
            <w:tcBorders>
              <w:top w:val="single" w:sz="4" w:space="0" w:color="auto"/>
              <w:left w:val="nil"/>
              <w:bottom w:val="single" w:sz="4" w:space="0" w:color="auto"/>
              <w:right w:val="single" w:sz="4" w:space="0" w:color="auto"/>
            </w:tcBorders>
            <w:shd w:val="clear" w:color="auto" w:fill="auto"/>
            <w:hideMark/>
          </w:tcPr>
          <w:p w14:paraId="6087D422" w14:textId="77777777" w:rsidR="00B30344" w:rsidRPr="00633EFC" w:rsidRDefault="00B30344" w:rsidP="00D53168">
            <w:pPr>
              <w:jc w:val="center"/>
              <w:rPr>
                <w:b/>
                <w:bCs/>
                <w:color w:val="000000"/>
                <w:sz w:val="20"/>
                <w:szCs w:val="20"/>
                <w:lang w:eastAsia="en-CA"/>
              </w:rPr>
            </w:pPr>
            <w:r w:rsidRPr="00633EFC">
              <w:rPr>
                <w:b/>
                <w:bCs/>
                <w:color w:val="000000"/>
                <w:sz w:val="20"/>
                <w:szCs w:val="20"/>
                <w:lang w:eastAsia="en-CA"/>
              </w:rPr>
              <w:t>2018</w:t>
            </w:r>
          </w:p>
        </w:tc>
        <w:tc>
          <w:tcPr>
            <w:tcW w:w="681" w:type="dxa"/>
            <w:tcBorders>
              <w:top w:val="single" w:sz="4" w:space="0" w:color="auto"/>
              <w:left w:val="nil"/>
              <w:bottom w:val="single" w:sz="4" w:space="0" w:color="auto"/>
              <w:right w:val="single" w:sz="4" w:space="0" w:color="auto"/>
            </w:tcBorders>
            <w:shd w:val="clear" w:color="auto" w:fill="auto"/>
            <w:hideMark/>
          </w:tcPr>
          <w:p w14:paraId="55E1F9C9" w14:textId="77777777" w:rsidR="00B30344" w:rsidRPr="00633EFC" w:rsidRDefault="00B30344" w:rsidP="00D53168">
            <w:pPr>
              <w:jc w:val="center"/>
              <w:rPr>
                <w:b/>
                <w:bCs/>
                <w:color w:val="000000"/>
                <w:sz w:val="20"/>
                <w:szCs w:val="20"/>
                <w:lang w:eastAsia="en-CA"/>
              </w:rPr>
            </w:pPr>
            <w:r w:rsidRPr="00633EFC">
              <w:rPr>
                <w:b/>
                <w:bCs/>
                <w:color w:val="000000"/>
                <w:sz w:val="20"/>
                <w:szCs w:val="20"/>
                <w:lang w:eastAsia="en-CA"/>
              </w:rPr>
              <w:t>2019</w:t>
            </w:r>
          </w:p>
        </w:tc>
        <w:tc>
          <w:tcPr>
            <w:tcW w:w="681" w:type="dxa"/>
            <w:tcBorders>
              <w:top w:val="single" w:sz="4" w:space="0" w:color="auto"/>
              <w:left w:val="nil"/>
              <w:bottom w:val="single" w:sz="4" w:space="0" w:color="auto"/>
              <w:right w:val="single" w:sz="4" w:space="0" w:color="auto"/>
            </w:tcBorders>
            <w:shd w:val="clear" w:color="auto" w:fill="auto"/>
            <w:hideMark/>
          </w:tcPr>
          <w:p w14:paraId="59388144" w14:textId="77777777" w:rsidR="00B30344" w:rsidRPr="00633EFC" w:rsidRDefault="00B30344" w:rsidP="00D53168">
            <w:pPr>
              <w:jc w:val="center"/>
              <w:rPr>
                <w:b/>
                <w:bCs/>
                <w:color w:val="000000"/>
                <w:sz w:val="20"/>
                <w:szCs w:val="20"/>
                <w:lang w:eastAsia="en-CA"/>
              </w:rPr>
            </w:pPr>
            <w:r w:rsidRPr="00633EFC">
              <w:rPr>
                <w:b/>
                <w:bCs/>
                <w:color w:val="000000"/>
                <w:sz w:val="20"/>
                <w:szCs w:val="20"/>
                <w:lang w:eastAsia="en-CA"/>
              </w:rPr>
              <w:t>2020</w:t>
            </w:r>
          </w:p>
        </w:tc>
        <w:tc>
          <w:tcPr>
            <w:tcW w:w="681" w:type="dxa"/>
            <w:tcBorders>
              <w:top w:val="single" w:sz="4" w:space="0" w:color="auto"/>
              <w:left w:val="nil"/>
              <w:bottom w:val="single" w:sz="4" w:space="0" w:color="auto"/>
              <w:right w:val="single" w:sz="4" w:space="0" w:color="auto"/>
            </w:tcBorders>
            <w:shd w:val="clear" w:color="auto" w:fill="auto"/>
            <w:hideMark/>
          </w:tcPr>
          <w:p w14:paraId="67C3E119" w14:textId="77777777" w:rsidR="00B30344" w:rsidRPr="00633EFC" w:rsidRDefault="00B30344" w:rsidP="00D53168">
            <w:pPr>
              <w:jc w:val="center"/>
              <w:rPr>
                <w:b/>
                <w:bCs/>
                <w:color w:val="000000"/>
                <w:sz w:val="20"/>
                <w:szCs w:val="20"/>
                <w:lang w:eastAsia="en-CA"/>
              </w:rPr>
            </w:pPr>
            <w:r w:rsidRPr="00633EFC">
              <w:rPr>
                <w:b/>
                <w:bCs/>
                <w:color w:val="000000"/>
                <w:sz w:val="20"/>
                <w:szCs w:val="20"/>
                <w:lang w:eastAsia="en-CA"/>
              </w:rPr>
              <w:t>2021</w:t>
            </w:r>
          </w:p>
        </w:tc>
        <w:tc>
          <w:tcPr>
            <w:tcW w:w="681" w:type="dxa"/>
            <w:tcBorders>
              <w:top w:val="single" w:sz="4" w:space="0" w:color="auto"/>
              <w:left w:val="nil"/>
              <w:bottom w:val="single" w:sz="4" w:space="0" w:color="auto"/>
              <w:right w:val="single" w:sz="4" w:space="0" w:color="auto"/>
            </w:tcBorders>
            <w:shd w:val="clear" w:color="auto" w:fill="auto"/>
            <w:hideMark/>
          </w:tcPr>
          <w:p w14:paraId="609F5C4A" w14:textId="77777777" w:rsidR="00B30344" w:rsidRPr="00633EFC" w:rsidRDefault="00B30344" w:rsidP="00D53168">
            <w:pPr>
              <w:jc w:val="center"/>
              <w:rPr>
                <w:b/>
                <w:bCs/>
                <w:color w:val="000000"/>
                <w:sz w:val="20"/>
                <w:szCs w:val="20"/>
                <w:lang w:eastAsia="en-CA"/>
              </w:rPr>
            </w:pPr>
            <w:r w:rsidRPr="00633EFC">
              <w:rPr>
                <w:b/>
                <w:bCs/>
                <w:color w:val="000000"/>
                <w:sz w:val="20"/>
                <w:szCs w:val="20"/>
                <w:lang w:eastAsia="en-CA"/>
              </w:rPr>
              <w:t>2022</w:t>
            </w:r>
          </w:p>
        </w:tc>
        <w:tc>
          <w:tcPr>
            <w:tcW w:w="681" w:type="dxa"/>
            <w:tcBorders>
              <w:top w:val="single" w:sz="4" w:space="0" w:color="auto"/>
              <w:left w:val="nil"/>
              <w:bottom w:val="single" w:sz="4" w:space="0" w:color="auto"/>
              <w:right w:val="single" w:sz="4" w:space="0" w:color="auto"/>
            </w:tcBorders>
            <w:shd w:val="clear" w:color="auto" w:fill="auto"/>
            <w:hideMark/>
          </w:tcPr>
          <w:p w14:paraId="5CA46569" w14:textId="77777777" w:rsidR="00B30344" w:rsidRPr="00633EFC" w:rsidRDefault="00B30344" w:rsidP="00D53168">
            <w:pPr>
              <w:jc w:val="center"/>
              <w:rPr>
                <w:b/>
                <w:bCs/>
                <w:color w:val="000000"/>
                <w:sz w:val="20"/>
                <w:szCs w:val="20"/>
                <w:lang w:eastAsia="en-CA"/>
              </w:rPr>
            </w:pPr>
            <w:r w:rsidRPr="00633EFC">
              <w:rPr>
                <w:b/>
                <w:bCs/>
                <w:color w:val="000000"/>
                <w:sz w:val="20"/>
                <w:szCs w:val="20"/>
                <w:lang w:eastAsia="en-CA"/>
              </w:rPr>
              <w:t>2023</w:t>
            </w:r>
          </w:p>
        </w:tc>
        <w:tc>
          <w:tcPr>
            <w:tcW w:w="681" w:type="dxa"/>
            <w:tcBorders>
              <w:top w:val="single" w:sz="4" w:space="0" w:color="auto"/>
              <w:left w:val="nil"/>
              <w:bottom w:val="single" w:sz="4" w:space="0" w:color="auto"/>
              <w:right w:val="single" w:sz="4" w:space="0" w:color="auto"/>
            </w:tcBorders>
            <w:shd w:val="clear" w:color="auto" w:fill="auto"/>
            <w:hideMark/>
          </w:tcPr>
          <w:p w14:paraId="29D367E1" w14:textId="77777777" w:rsidR="00B30344" w:rsidRPr="00633EFC" w:rsidRDefault="00B30344" w:rsidP="00D53168">
            <w:pPr>
              <w:jc w:val="center"/>
              <w:rPr>
                <w:b/>
                <w:bCs/>
                <w:color w:val="000000"/>
                <w:sz w:val="20"/>
                <w:szCs w:val="20"/>
                <w:lang w:eastAsia="en-CA"/>
              </w:rPr>
            </w:pPr>
            <w:r w:rsidRPr="00633EFC">
              <w:rPr>
                <w:b/>
                <w:bCs/>
                <w:color w:val="000000"/>
                <w:sz w:val="20"/>
                <w:szCs w:val="20"/>
                <w:lang w:eastAsia="en-CA"/>
              </w:rPr>
              <w:t>2024</w:t>
            </w:r>
          </w:p>
        </w:tc>
        <w:tc>
          <w:tcPr>
            <w:tcW w:w="682" w:type="dxa"/>
            <w:tcBorders>
              <w:top w:val="single" w:sz="4" w:space="0" w:color="auto"/>
              <w:left w:val="nil"/>
              <w:bottom w:val="single" w:sz="4" w:space="0" w:color="auto"/>
              <w:right w:val="single" w:sz="4" w:space="0" w:color="auto"/>
            </w:tcBorders>
            <w:shd w:val="clear" w:color="auto" w:fill="auto"/>
            <w:hideMark/>
          </w:tcPr>
          <w:p w14:paraId="2E44EA72" w14:textId="77777777" w:rsidR="00B30344" w:rsidRPr="00633EFC" w:rsidRDefault="00B30344" w:rsidP="00D53168">
            <w:pPr>
              <w:jc w:val="center"/>
              <w:rPr>
                <w:b/>
                <w:bCs/>
                <w:color w:val="000000"/>
                <w:sz w:val="20"/>
                <w:szCs w:val="20"/>
                <w:lang w:eastAsia="en-CA"/>
              </w:rPr>
            </w:pPr>
            <w:r w:rsidRPr="00633EFC">
              <w:rPr>
                <w:b/>
                <w:bCs/>
                <w:color w:val="000000"/>
                <w:sz w:val="20"/>
                <w:szCs w:val="20"/>
                <w:lang w:eastAsia="en-CA"/>
              </w:rPr>
              <w:t>2025</w:t>
            </w:r>
          </w:p>
        </w:tc>
      </w:tr>
      <w:tr w:rsidR="00B30344" w:rsidRPr="00633EFC" w14:paraId="350F0672" w14:textId="77777777" w:rsidTr="00D53168">
        <w:trPr>
          <w:trHeight w:val="693"/>
        </w:trPr>
        <w:tc>
          <w:tcPr>
            <w:tcW w:w="704" w:type="dxa"/>
            <w:tcBorders>
              <w:top w:val="nil"/>
              <w:left w:val="single" w:sz="4" w:space="0" w:color="auto"/>
              <w:bottom w:val="single" w:sz="4" w:space="0" w:color="auto"/>
              <w:right w:val="single" w:sz="4" w:space="0" w:color="auto"/>
            </w:tcBorders>
          </w:tcPr>
          <w:p w14:paraId="3054078A" w14:textId="77777777" w:rsidR="00B30344" w:rsidRPr="00633EFC" w:rsidRDefault="00B30344" w:rsidP="00D53168">
            <w:pPr>
              <w:jc w:val="left"/>
              <w:rPr>
                <w:color w:val="000000"/>
                <w:sz w:val="20"/>
                <w:szCs w:val="20"/>
                <w:lang w:eastAsia="en-CA"/>
              </w:rPr>
            </w:pPr>
            <w:r w:rsidRPr="00633EFC">
              <w:rPr>
                <w:spacing w:val="-5"/>
                <w:sz w:val="20"/>
                <w:szCs w:val="20"/>
              </w:rPr>
              <w:t>1.1</w:t>
            </w:r>
          </w:p>
        </w:tc>
        <w:tc>
          <w:tcPr>
            <w:tcW w:w="2516" w:type="dxa"/>
            <w:tcBorders>
              <w:top w:val="nil"/>
              <w:left w:val="single" w:sz="4" w:space="0" w:color="auto"/>
              <w:bottom w:val="single" w:sz="4" w:space="0" w:color="auto"/>
              <w:right w:val="single" w:sz="4" w:space="0" w:color="auto"/>
            </w:tcBorders>
            <w:shd w:val="clear" w:color="auto" w:fill="auto"/>
            <w:hideMark/>
          </w:tcPr>
          <w:p w14:paraId="22B1F96C" w14:textId="0DBB0285" w:rsidR="00B30344" w:rsidRPr="00B30344" w:rsidRDefault="00B30344" w:rsidP="00D53168">
            <w:pPr>
              <w:jc w:val="left"/>
              <w:rPr>
                <w:color w:val="000000"/>
                <w:sz w:val="20"/>
                <w:szCs w:val="20"/>
                <w:lang w:val="fr-CA" w:eastAsia="en-CA"/>
              </w:rPr>
            </w:pPr>
            <w:r w:rsidRPr="00B30344">
              <w:rPr>
                <w:sz w:val="20"/>
                <w:szCs w:val="20"/>
                <w:lang w:val="fr-CA"/>
              </w:rPr>
              <w:t xml:space="preserve">Calendrier de réduction du Protocole de Montréal </w:t>
            </w:r>
            <w:r>
              <w:rPr>
                <w:sz w:val="20"/>
                <w:szCs w:val="20"/>
                <w:lang w:val="fr-CA"/>
              </w:rPr>
              <w:t xml:space="preserve">des substances du Groupe I de l’Annexe C </w:t>
            </w:r>
            <w:r w:rsidRPr="00B30344">
              <w:rPr>
                <w:sz w:val="20"/>
                <w:szCs w:val="20"/>
                <w:lang w:val="fr-CA"/>
              </w:rPr>
              <w:t>(</w:t>
            </w:r>
            <w:r w:rsidRPr="00B30344">
              <w:rPr>
                <w:spacing w:val="-2"/>
                <w:sz w:val="20"/>
                <w:szCs w:val="20"/>
                <w:lang w:val="fr-CA"/>
              </w:rPr>
              <w:t>tonnes</w:t>
            </w:r>
            <w:r>
              <w:rPr>
                <w:spacing w:val="-2"/>
                <w:sz w:val="20"/>
                <w:szCs w:val="20"/>
                <w:lang w:val="fr-CA"/>
              </w:rPr>
              <w:t xml:space="preserve"> PAO</w:t>
            </w:r>
            <w:r w:rsidRPr="00B30344">
              <w:rPr>
                <w:spacing w:val="-2"/>
                <w:sz w:val="20"/>
                <w:szCs w:val="20"/>
                <w:lang w:val="fr-CA"/>
              </w:rPr>
              <w:t>)</w:t>
            </w:r>
          </w:p>
        </w:tc>
        <w:tc>
          <w:tcPr>
            <w:tcW w:w="681" w:type="dxa"/>
            <w:tcBorders>
              <w:top w:val="nil"/>
              <w:left w:val="nil"/>
              <w:bottom w:val="single" w:sz="4" w:space="0" w:color="auto"/>
              <w:right w:val="single" w:sz="4" w:space="0" w:color="auto"/>
            </w:tcBorders>
            <w:shd w:val="clear" w:color="auto" w:fill="auto"/>
            <w:vAlign w:val="center"/>
            <w:hideMark/>
          </w:tcPr>
          <w:p w14:paraId="20BA783B" w14:textId="12EEF790" w:rsidR="00B30344" w:rsidRPr="00633EFC" w:rsidRDefault="00B30344" w:rsidP="00D53168">
            <w:pPr>
              <w:jc w:val="center"/>
              <w:rPr>
                <w:color w:val="000000"/>
                <w:sz w:val="20"/>
                <w:szCs w:val="20"/>
                <w:lang w:eastAsia="en-CA"/>
              </w:rPr>
            </w:pPr>
            <w:r w:rsidRPr="00633EFC">
              <w:rPr>
                <w:color w:val="000000"/>
                <w:sz w:val="20"/>
                <w:szCs w:val="20"/>
                <w:lang w:eastAsia="en-CA"/>
              </w:rPr>
              <w:t>18</w:t>
            </w:r>
            <w:r w:rsidR="00BA73CF">
              <w:rPr>
                <w:color w:val="000000"/>
                <w:sz w:val="20"/>
                <w:szCs w:val="20"/>
                <w:lang w:eastAsia="en-CA"/>
              </w:rPr>
              <w:t>,</w:t>
            </w:r>
            <w:r w:rsidRPr="00633EFC">
              <w:rPr>
                <w:color w:val="000000"/>
                <w:sz w:val="20"/>
                <w:szCs w:val="20"/>
                <w:lang w:eastAsia="en-CA"/>
              </w:rPr>
              <w:t>45</w:t>
            </w:r>
          </w:p>
        </w:tc>
        <w:tc>
          <w:tcPr>
            <w:tcW w:w="681" w:type="dxa"/>
            <w:tcBorders>
              <w:top w:val="nil"/>
              <w:left w:val="nil"/>
              <w:bottom w:val="single" w:sz="4" w:space="0" w:color="auto"/>
              <w:right w:val="single" w:sz="4" w:space="0" w:color="auto"/>
            </w:tcBorders>
            <w:shd w:val="clear" w:color="auto" w:fill="auto"/>
            <w:vAlign w:val="center"/>
            <w:hideMark/>
          </w:tcPr>
          <w:p w14:paraId="2CA33AAA" w14:textId="6D41F53C" w:rsidR="00B30344" w:rsidRPr="00633EFC" w:rsidRDefault="00B30344" w:rsidP="00D53168">
            <w:pPr>
              <w:jc w:val="center"/>
              <w:rPr>
                <w:color w:val="000000"/>
                <w:sz w:val="20"/>
                <w:szCs w:val="20"/>
                <w:lang w:eastAsia="en-CA"/>
              </w:rPr>
            </w:pPr>
            <w:r w:rsidRPr="00633EFC">
              <w:rPr>
                <w:color w:val="000000"/>
                <w:sz w:val="20"/>
                <w:szCs w:val="20"/>
                <w:lang w:eastAsia="en-CA"/>
              </w:rPr>
              <w:t>18</w:t>
            </w:r>
            <w:r w:rsidR="00BA73CF">
              <w:rPr>
                <w:color w:val="000000"/>
                <w:sz w:val="20"/>
                <w:szCs w:val="20"/>
                <w:lang w:eastAsia="en-CA"/>
              </w:rPr>
              <w:t>,</w:t>
            </w:r>
            <w:r w:rsidRPr="00633EFC">
              <w:rPr>
                <w:color w:val="000000"/>
                <w:sz w:val="20"/>
                <w:szCs w:val="20"/>
                <w:lang w:eastAsia="en-CA"/>
              </w:rPr>
              <w:t>45</w:t>
            </w:r>
          </w:p>
        </w:tc>
        <w:tc>
          <w:tcPr>
            <w:tcW w:w="681" w:type="dxa"/>
            <w:tcBorders>
              <w:top w:val="nil"/>
              <w:left w:val="nil"/>
              <w:bottom w:val="single" w:sz="4" w:space="0" w:color="auto"/>
              <w:right w:val="single" w:sz="4" w:space="0" w:color="auto"/>
            </w:tcBorders>
            <w:shd w:val="clear" w:color="auto" w:fill="auto"/>
            <w:vAlign w:val="center"/>
            <w:hideMark/>
          </w:tcPr>
          <w:p w14:paraId="0D0E4D53" w14:textId="7B5CF543" w:rsidR="00B30344" w:rsidRPr="00633EFC" w:rsidRDefault="00B30344" w:rsidP="00D53168">
            <w:pPr>
              <w:jc w:val="center"/>
              <w:rPr>
                <w:color w:val="000000"/>
                <w:sz w:val="20"/>
                <w:szCs w:val="20"/>
                <w:lang w:eastAsia="en-CA"/>
              </w:rPr>
            </w:pPr>
            <w:r w:rsidRPr="00633EFC">
              <w:rPr>
                <w:color w:val="000000"/>
                <w:sz w:val="20"/>
                <w:szCs w:val="20"/>
                <w:lang w:eastAsia="en-CA"/>
              </w:rPr>
              <w:t>18</w:t>
            </w:r>
            <w:r w:rsidR="00BA73CF">
              <w:rPr>
                <w:color w:val="000000"/>
                <w:sz w:val="20"/>
                <w:szCs w:val="20"/>
                <w:lang w:eastAsia="en-CA"/>
              </w:rPr>
              <w:t>,</w:t>
            </w:r>
            <w:r w:rsidRPr="00633EFC">
              <w:rPr>
                <w:color w:val="000000"/>
                <w:sz w:val="20"/>
                <w:szCs w:val="20"/>
                <w:lang w:eastAsia="en-CA"/>
              </w:rPr>
              <w:t>45</w:t>
            </w:r>
          </w:p>
        </w:tc>
        <w:tc>
          <w:tcPr>
            <w:tcW w:w="681" w:type="dxa"/>
            <w:tcBorders>
              <w:top w:val="nil"/>
              <w:left w:val="nil"/>
              <w:bottom w:val="single" w:sz="4" w:space="0" w:color="auto"/>
              <w:right w:val="single" w:sz="4" w:space="0" w:color="auto"/>
            </w:tcBorders>
            <w:shd w:val="clear" w:color="auto" w:fill="auto"/>
            <w:vAlign w:val="center"/>
            <w:hideMark/>
          </w:tcPr>
          <w:p w14:paraId="78B91A27" w14:textId="352924DE" w:rsidR="00B30344" w:rsidRPr="00633EFC" w:rsidRDefault="00B30344" w:rsidP="00D53168">
            <w:pPr>
              <w:jc w:val="center"/>
              <w:rPr>
                <w:color w:val="000000"/>
                <w:sz w:val="20"/>
                <w:szCs w:val="20"/>
                <w:lang w:eastAsia="en-CA"/>
              </w:rPr>
            </w:pPr>
            <w:r w:rsidRPr="00633EFC">
              <w:rPr>
                <w:color w:val="000000"/>
                <w:sz w:val="20"/>
                <w:szCs w:val="20"/>
                <w:lang w:eastAsia="en-CA"/>
              </w:rPr>
              <w:t>13</w:t>
            </w:r>
            <w:r w:rsidR="00BA73CF">
              <w:rPr>
                <w:color w:val="000000"/>
                <w:sz w:val="20"/>
                <w:szCs w:val="20"/>
                <w:lang w:eastAsia="en-CA"/>
              </w:rPr>
              <w:t>,</w:t>
            </w:r>
            <w:r w:rsidRPr="00633EFC">
              <w:rPr>
                <w:color w:val="000000"/>
                <w:sz w:val="20"/>
                <w:szCs w:val="20"/>
                <w:lang w:eastAsia="en-CA"/>
              </w:rPr>
              <w:t>33</w:t>
            </w:r>
          </w:p>
        </w:tc>
        <w:tc>
          <w:tcPr>
            <w:tcW w:w="681" w:type="dxa"/>
            <w:tcBorders>
              <w:top w:val="nil"/>
              <w:left w:val="nil"/>
              <w:bottom w:val="single" w:sz="4" w:space="0" w:color="auto"/>
              <w:right w:val="single" w:sz="4" w:space="0" w:color="auto"/>
            </w:tcBorders>
            <w:shd w:val="clear" w:color="auto" w:fill="auto"/>
            <w:vAlign w:val="center"/>
            <w:hideMark/>
          </w:tcPr>
          <w:p w14:paraId="702D426D" w14:textId="4D358B92" w:rsidR="00B30344" w:rsidRPr="00633EFC" w:rsidRDefault="00B30344" w:rsidP="00D53168">
            <w:pPr>
              <w:jc w:val="center"/>
              <w:rPr>
                <w:color w:val="000000"/>
                <w:sz w:val="20"/>
                <w:szCs w:val="20"/>
                <w:lang w:eastAsia="en-CA"/>
              </w:rPr>
            </w:pPr>
            <w:r w:rsidRPr="00633EFC">
              <w:rPr>
                <w:color w:val="000000"/>
                <w:sz w:val="20"/>
                <w:szCs w:val="20"/>
                <w:lang w:eastAsia="en-CA"/>
              </w:rPr>
              <w:t>13</w:t>
            </w:r>
            <w:r w:rsidR="00BA73CF">
              <w:rPr>
                <w:color w:val="000000"/>
                <w:sz w:val="20"/>
                <w:szCs w:val="20"/>
                <w:lang w:eastAsia="en-CA"/>
              </w:rPr>
              <w:t>,</w:t>
            </w:r>
            <w:r w:rsidRPr="00633EFC">
              <w:rPr>
                <w:color w:val="000000"/>
                <w:sz w:val="20"/>
                <w:szCs w:val="20"/>
                <w:lang w:eastAsia="en-CA"/>
              </w:rPr>
              <w:t>33</w:t>
            </w:r>
          </w:p>
        </w:tc>
        <w:tc>
          <w:tcPr>
            <w:tcW w:w="681" w:type="dxa"/>
            <w:tcBorders>
              <w:top w:val="nil"/>
              <w:left w:val="nil"/>
              <w:bottom w:val="single" w:sz="4" w:space="0" w:color="auto"/>
              <w:right w:val="single" w:sz="4" w:space="0" w:color="auto"/>
            </w:tcBorders>
            <w:shd w:val="clear" w:color="auto" w:fill="auto"/>
            <w:vAlign w:val="center"/>
            <w:hideMark/>
          </w:tcPr>
          <w:p w14:paraId="135A3DF8" w14:textId="555402D1" w:rsidR="00B30344" w:rsidRPr="00633EFC" w:rsidRDefault="00B30344" w:rsidP="00D53168">
            <w:pPr>
              <w:jc w:val="center"/>
              <w:rPr>
                <w:color w:val="000000"/>
                <w:sz w:val="20"/>
                <w:szCs w:val="20"/>
                <w:lang w:eastAsia="en-CA"/>
              </w:rPr>
            </w:pPr>
            <w:r w:rsidRPr="00633EFC">
              <w:rPr>
                <w:color w:val="000000"/>
                <w:sz w:val="20"/>
                <w:szCs w:val="20"/>
                <w:lang w:eastAsia="en-CA"/>
              </w:rPr>
              <w:t>13</w:t>
            </w:r>
            <w:r w:rsidR="00BA73CF">
              <w:rPr>
                <w:color w:val="000000"/>
                <w:sz w:val="20"/>
                <w:szCs w:val="20"/>
                <w:lang w:eastAsia="en-CA"/>
              </w:rPr>
              <w:t>,</w:t>
            </w:r>
            <w:r w:rsidRPr="00633EFC">
              <w:rPr>
                <w:color w:val="000000"/>
                <w:sz w:val="20"/>
                <w:szCs w:val="20"/>
                <w:lang w:eastAsia="en-CA"/>
              </w:rPr>
              <w:t>33</w:t>
            </w:r>
          </w:p>
        </w:tc>
        <w:tc>
          <w:tcPr>
            <w:tcW w:w="681" w:type="dxa"/>
            <w:tcBorders>
              <w:top w:val="nil"/>
              <w:left w:val="nil"/>
              <w:bottom w:val="single" w:sz="4" w:space="0" w:color="auto"/>
              <w:right w:val="single" w:sz="4" w:space="0" w:color="auto"/>
            </w:tcBorders>
            <w:shd w:val="clear" w:color="auto" w:fill="auto"/>
            <w:vAlign w:val="center"/>
            <w:hideMark/>
          </w:tcPr>
          <w:p w14:paraId="08081C01" w14:textId="0A524A07" w:rsidR="00B30344" w:rsidRPr="00633EFC" w:rsidRDefault="00B30344" w:rsidP="00D53168">
            <w:pPr>
              <w:jc w:val="center"/>
              <w:rPr>
                <w:color w:val="000000"/>
                <w:sz w:val="20"/>
                <w:szCs w:val="20"/>
                <w:lang w:eastAsia="en-CA"/>
              </w:rPr>
            </w:pPr>
            <w:r w:rsidRPr="00633EFC">
              <w:rPr>
                <w:color w:val="000000"/>
                <w:sz w:val="20"/>
                <w:szCs w:val="20"/>
                <w:lang w:eastAsia="en-CA"/>
              </w:rPr>
              <w:t>13</w:t>
            </w:r>
            <w:r w:rsidR="00BA73CF">
              <w:rPr>
                <w:color w:val="000000"/>
                <w:sz w:val="20"/>
                <w:szCs w:val="20"/>
                <w:lang w:eastAsia="en-CA"/>
              </w:rPr>
              <w:t>,</w:t>
            </w:r>
            <w:r w:rsidRPr="00633EFC">
              <w:rPr>
                <w:color w:val="000000"/>
                <w:sz w:val="20"/>
                <w:szCs w:val="20"/>
                <w:lang w:eastAsia="en-CA"/>
              </w:rPr>
              <w:t>33</w:t>
            </w:r>
          </w:p>
        </w:tc>
        <w:tc>
          <w:tcPr>
            <w:tcW w:w="681" w:type="dxa"/>
            <w:tcBorders>
              <w:top w:val="nil"/>
              <w:left w:val="nil"/>
              <w:bottom w:val="single" w:sz="4" w:space="0" w:color="auto"/>
              <w:right w:val="single" w:sz="4" w:space="0" w:color="auto"/>
            </w:tcBorders>
            <w:shd w:val="clear" w:color="auto" w:fill="auto"/>
            <w:vAlign w:val="center"/>
            <w:hideMark/>
          </w:tcPr>
          <w:p w14:paraId="3A26FBB9" w14:textId="40BAF454" w:rsidR="00B30344" w:rsidRPr="00633EFC" w:rsidRDefault="00B30344" w:rsidP="00D53168">
            <w:pPr>
              <w:jc w:val="center"/>
              <w:rPr>
                <w:color w:val="000000"/>
                <w:sz w:val="20"/>
                <w:szCs w:val="20"/>
                <w:lang w:eastAsia="en-CA"/>
              </w:rPr>
            </w:pPr>
            <w:r w:rsidRPr="00633EFC">
              <w:rPr>
                <w:color w:val="000000"/>
                <w:sz w:val="20"/>
                <w:szCs w:val="20"/>
                <w:lang w:eastAsia="en-CA"/>
              </w:rPr>
              <w:t>13</w:t>
            </w:r>
            <w:r w:rsidR="00BA73CF">
              <w:rPr>
                <w:color w:val="000000"/>
                <w:sz w:val="20"/>
                <w:szCs w:val="20"/>
                <w:lang w:eastAsia="en-CA"/>
              </w:rPr>
              <w:t>,</w:t>
            </w:r>
            <w:r w:rsidRPr="00633EFC">
              <w:rPr>
                <w:color w:val="000000"/>
                <w:sz w:val="20"/>
                <w:szCs w:val="20"/>
                <w:lang w:eastAsia="en-CA"/>
              </w:rPr>
              <w:t>33</w:t>
            </w:r>
          </w:p>
        </w:tc>
        <w:tc>
          <w:tcPr>
            <w:tcW w:w="682" w:type="dxa"/>
            <w:tcBorders>
              <w:top w:val="nil"/>
              <w:left w:val="nil"/>
              <w:bottom w:val="single" w:sz="4" w:space="0" w:color="auto"/>
              <w:right w:val="single" w:sz="4" w:space="0" w:color="auto"/>
            </w:tcBorders>
            <w:shd w:val="clear" w:color="auto" w:fill="auto"/>
            <w:vAlign w:val="center"/>
            <w:hideMark/>
          </w:tcPr>
          <w:p w14:paraId="0493CC3E" w14:textId="1F5B936E" w:rsidR="00B30344" w:rsidRPr="00633EFC" w:rsidRDefault="00B30344" w:rsidP="00D53168">
            <w:pPr>
              <w:jc w:val="center"/>
              <w:rPr>
                <w:color w:val="000000"/>
                <w:sz w:val="20"/>
                <w:szCs w:val="20"/>
                <w:lang w:eastAsia="en-CA"/>
              </w:rPr>
            </w:pPr>
            <w:r w:rsidRPr="00633EFC">
              <w:rPr>
                <w:color w:val="000000"/>
                <w:sz w:val="20"/>
                <w:szCs w:val="20"/>
                <w:lang w:eastAsia="en-CA"/>
              </w:rPr>
              <w:t>6</w:t>
            </w:r>
            <w:r w:rsidR="00BA73CF">
              <w:rPr>
                <w:color w:val="000000"/>
                <w:sz w:val="20"/>
                <w:szCs w:val="20"/>
                <w:lang w:eastAsia="en-CA"/>
              </w:rPr>
              <w:t>,</w:t>
            </w:r>
            <w:r w:rsidRPr="00633EFC">
              <w:rPr>
                <w:color w:val="000000"/>
                <w:sz w:val="20"/>
                <w:szCs w:val="20"/>
                <w:lang w:eastAsia="en-CA"/>
              </w:rPr>
              <w:t>66</w:t>
            </w:r>
          </w:p>
        </w:tc>
      </w:tr>
      <w:tr w:rsidR="00B30344" w:rsidRPr="00633EFC" w14:paraId="6E3D4739" w14:textId="77777777" w:rsidTr="00D53168">
        <w:trPr>
          <w:trHeight w:val="983"/>
        </w:trPr>
        <w:tc>
          <w:tcPr>
            <w:tcW w:w="704" w:type="dxa"/>
            <w:tcBorders>
              <w:top w:val="nil"/>
              <w:left w:val="single" w:sz="4" w:space="0" w:color="auto"/>
              <w:bottom w:val="single" w:sz="4" w:space="0" w:color="auto"/>
              <w:right w:val="single" w:sz="4" w:space="0" w:color="auto"/>
            </w:tcBorders>
          </w:tcPr>
          <w:p w14:paraId="1C77056E" w14:textId="77777777" w:rsidR="00B30344" w:rsidRPr="00633EFC" w:rsidRDefault="00B30344" w:rsidP="00D53168">
            <w:pPr>
              <w:jc w:val="left"/>
              <w:rPr>
                <w:color w:val="000000"/>
                <w:sz w:val="20"/>
                <w:szCs w:val="20"/>
                <w:lang w:eastAsia="en-CA"/>
              </w:rPr>
            </w:pPr>
            <w:r w:rsidRPr="00633EFC">
              <w:rPr>
                <w:spacing w:val="-5"/>
                <w:sz w:val="20"/>
                <w:szCs w:val="20"/>
              </w:rPr>
              <w:t>1.2</w:t>
            </w:r>
          </w:p>
        </w:tc>
        <w:tc>
          <w:tcPr>
            <w:tcW w:w="2516" w:type="dxa"/>
            <w:tcBorders>
              <w:top w:val="nil"/>
              <w:left w:val="single" w:sz="4" w:space="0" w:color="auto"/>
              <w:bottom w:val="single" w:sz="4" w:space="0" w:color="auto"/>
              <w:right w:val="single" w:sz="4" w:space="0" w:color="auto"/>
            </w:tcBorders>
            <w:shd w:val="clear" w:color="auto" w:fill="auto"/>
            <w:hideMark/>
          </w:tcPr>
          <w:p w14:paraId="1D18016A" w14:textId="5D11EDC6" w:rsidR="00B30344" w:rsidRPr="00B30344" w:rsidRDefault="00B30344" w:rsidP="00D53168">
            <w:pPr>
              <w:jc w:val="left"/>
              <w:rPr>
                <w:color w:val="000000"/>
                <w:sz w:val="20"/>
                <w:szCs w:val="20"/>
                <w:lang w:val="fr-CA" w:eastAsia="en-CA"/>
              </w:rPr>
            </w:pPr>
            <w:r w:rsidRPr="00B30344">
              <w:rPr>
                <w:sz w:val="20"/>
                <w:szCs w:val="20"/>
                <w:lang w:val="fr-CA"/>
              </w:rPr>
              <w:t xml:space="preserve">Consommation totale maximale autorisée de </w:t>
            </w:r>
            <w:r w:rsidRPr="00B30344">
              <w:rPr>
                <w:spacing w:val="-2"/>
                <w:sz w:val="20"/>
                <w:szCs w:val="20"/>
                <w:lang w:val="fr-CA"/>
              </w:rPr>
              <w:t xml:space="preserve">substances du </w:t>
            </w:r>
            <w:r>
              <w:rPr>
                <w:spacing w:val="-2"/>
                <w:sz w:val="20"/>
                <w:szCs w:val="20"/>
                <w:lang w:val="fr-CA"/>
              </w:rPr>
              <w:t xml:space="preserve">Groupe I de l’Annexe C </w:t>
            </w:r>
            <w:r w:rsidRPr="00B30344">
              <w:rPr>
                <w:sz w:val="20"/>
                <w:szCs w:val="20"/>
                <w:lang w:val="fr-CA"/>
              </w:rPr>
              <w:t>(</w:t>
            </w:r>
            <w:r w:rsidRPr="00B30344">
              <w:rPr>
                <w:spacing w:val="-2"/>
                <w:sz w:val="20"/>
                <w:szCs w:val="20"/>
                <w:lang w:val="fr-CA"/>
              </w:rPr>
              <w:t>tonnes</w:t>
            </w:r>
            <w:r>
              <w:rPr>
                <w:spacing w:val="-2"/>
                <w:sz w:val="20"/>
                <w:szCs w:val="20"/>
                <w:lang w:val="fr-CA"/>
              </w:rPr>
              <w:t xml:space="preserve"> PAO</w:t>
            </w:r>
            <w:r w:rsidRPr="00B30344">
              <w:rPr>
                <w:spacing w:val="-2"/>
                <w:sz w:val="20"/>
                <w:szCs w:val="20"/>
                <w:lang w:val="fr-CA"/>
              </w:rPr>
              <w:t>)</w:t>
            </w:r>
          </w:p>
        </w:tc>
        <w:tc>
          <w:tcPr>
            <w:tcW w:w="681" w:type="dxa"/>
            <w:tcBorders>
              <w:top w:val="nil"/>
              <w:left w:val="nil"/>
              <w:bottom w:val="single" w:sz="4" w:space="0" w:color="auto"/>
              <w:right w:val="single" w:sz="4" w:space="0" w:color="auto"/>
            </w:tcBorders>
            <w:shd w:val="clear" w:color="auto" w:fill="auto"/>
            <w:vAlign w:val="center"/>
            <w:hideMark/>
          </w:tcPr>
          <w:p w14:paraId="3CFAF8AE" w14:textId="1FA8369E" w:rsidR="00B30344" w:rsidRPr="00633EFC" w:rsidRDefault="00B30344" w:rsidP="00D53168">
            <w:pPr>
              <w:jc w:val="center"/>
              <w:rPr>
                <w:color w:val="000000"/>
                <w:sz w:val="20"/>
                <w:szCs w:val="20"/>
                <w:lang w:eastAsia="en-CA"/>
              </w:rPr>
            </w:pPr>
            <w:r w:rsidRPr="00633EFC">
              <w:rPr>
                <w:color w:val="000000"/>
                <w:sz w:val="20"/>
                <w:szCs w:val="20"/>
                <w:lang w:eastAsia="en-CA"/>
              </w:rPr>
              <w:t>6</w:t>
            </w:r>
            <w:r w:rsidR="00BA73CF">
              <w:rPr>
                <w:color w:val="000000"/>
                <w:sz w:val="20"/>
                <w:szCs w:val="20"/>
                <w:lang w:eastAsia="en-CA"/>
              </w:rPr>
              <w:t>,</w:t>
            </w:r>
            <w:r w:rsidRPr="00633EFC">
              <w:rPr>
                <w:color w:val="000000"/>
                <w:sz w:val="20"/>
                <w:szCs w:val="20"/>
                <w:lang w:eastAsia="en-CA"/>
              </w:rPr>
              <w:t>6</w:t>
            </w:r>
          </w:p>
        </w:tc>
        <w:tc>
          <w:tcPr>
            <w:tcW w:w="681" w:type="dxa"/>
            <w:tcBorders>
              <w:top w:val="nil"/>
              <w:left w:val="nil"/>
              <w:bottom w:val="single" w:sz="4" w:space="0" w:color="auto"/>
              <w:right w:val="single" w:sz="4" w:space="0" w:color="auto"/>
            </w:tcBorders>
            <w:shd w:val="clear" w:color="auto" w:fill="auto"/>
            <w:vAlign w:val="center"/>
            <w:hideMark/>
          </w:tcPr>
          <w:p w14:paraId="0322F565" w14:textId="361680B3" w:rsidR="00B30344" w:rsidRPr="00633EFC" w:rsidRDefault="00B30344" w:rsidP="00D53168">
            <w:pPr>
              <w:jc w:val="center"/>
              <w:rPr>
                <w:color w:val="000000"/>
                <w:sz w:val="20"/>
                <w:szCs w:val="20"/>
                <w:lang w:eastAsia="en-CA"/>
              </w:rPr>
            </w:pPr>
            <w:r w:rsidRPr="00633EFC">
              <w:rPr>
                <w:color w:val="000000"/>
                <w:sz w:val="20"/>
                <w:szCs w:val="20"/>
                <w:lang w:eastAsia="en-CA"/>
              </w:rPr>
              <w:t>6</w:t>
            </w:r>
            <w:r w:rsidR="00BA73CF">
              <w:rPr>
                <w:color w:val="000000"/>
                <w:sz w:val="20"/>
                <w:szCs w:val="20"/>
                <w:lang w:eastAsia="en-CA"/>
              </w:rPr>
              <w:t>,</w:t>
            </w:r>
            <w:r w:rsidRPr="00633EFC">
              <w:rPr>
                <w:color w:val="000000"/>
                <w:sz w:val="20"/>
                <w:szCs w:val="20"/>
                <w:lang w:eastAsia="en-CA"/>
              </w:rPr>
              <w:t>6</w:t>
            </w:r>
          </w:p>
        </w:tc>
        <w:tc>
          <w:tcPr>
            <w:tcW w:w="681" w:type="dxa"/>
            <w:tcBorders>
              <w:top w:val="nil"/>
              <w:left w:val="nil"/>
              <w:bottom w:val="single" w:sz="4" w:space="0" w:color="auto"/>
              <w:right w:val="single" w:sz="4" w:space="0" w:color="auto"/>
            </w:tcBorders>
            <w:shd w:val="clear" w:color="auto" w:fill="auto"/>
            <w:vAlign w:val="center"/>
            <w:hideMark/>
          </w:tcPr>
          <w:p w14:paraId="6F2CD06C" w14:textId="238C5FAF" w:rsidR="00B30344" w:rsidRPr="00633EFC" w:rsidRDefault="00B30344" w:rsidP="00D53168">
            <w:pPr>
              <w:jc w:val="center"/>
              <w:rPr>
                <w:color w:val="000000"/>
                <w:sz w:val="20"/>
                <w:szCs w:val="20"/>
                <w:lang w:eastAsia="en-CA"/>
              </w:rPr>
            </w:pPr>
            <w:r w:rsidRPr="00633EFC">
              <w:rPr>
                <w:color w:val="000000"/>
                <w:sz w:val="20"/>
                <w:szCs w:val="20"/>
                <w:lang w:eastAsia="en-CA"/>
              </w:rPr>
              <w:t>6</w:t>
            </w:r>
            <w:r w:rsidR="00BA73CF">
              <w:rPr>
                <w:color w:val="000000"/>
                <w:sz w:val="20"/>
                <w:szCs w:val="20"/>
                <w:lang w:eastAsia="en-CA"/>
              </w:rPr>
              <w:t>,</w:t>
            </w:r>
            <w:r w:rsidRPr="00633EFC">
              <w:rPr>
                <w:color w:val="000000"/>
                <w:sz w:val="20"/>
                <w:szCs w:val="20"/>
                <w:lang w:eastAsia="en-CA"/>
              </w:rPr>
              <w:t>6</w:t>
            </w:r>
          </w:p>
        </w:tc>
        <w:tc>
          <w:tcPr>
            <w:tcW w:w="681" w:type="dxa"/>
            <w:tcBorders>
              <w:top w:val="nil"/>
              <w:left w:val="nil"/>
              <w:bottom w:val="single" w:sz="4" w:space="0" w:color="auto"/>
              <w:right w:val="single" w:sz="4" w:space="0" w:color="auto"/>
            </w:tcBorders>
            <w:shd w:val="clear" w:color="auto" w:fill="auto"/>
            <w:vAlign w:val="center"/>
            <w:hideMark/>
          </w:tcPr>
          <w:p w14:paraId="2544A9F0" w14:textId="2BC8D3C0" w:rsidR="00B30344" w:rsidRPr="00633EFC" w:rsidRDefault="00B30344" w:rsidP="00D53168">
            <w:pPr>
              <w:jc w:val="center"/>
              <w:rPr>
                <w:color w:val="000000"/>
                <w:sz w:val="20"/>
                <w:szCs w:val="20"/>
                <w:lang w:eastAsia="en-CA"/>
              </w:rPr>
            </w:pPr>
            <w:r w:rsidRPr="00633EFC">
              <w:rPr>
                <w:color w:val="000000"/>
                <w:sz w:val="20"/>
                <w:szCs w:val="20"/>
                <w:lang w:eastAsia="en-CA"/>
              </w:rPr>
              <w:t>5</w:t>
            </w:r>
            <w:r w:rsidR="00BA73CF">
              <w:rPr>
                <w:color w:val="000000"/>
                <w:sz w:val="20"/>
                <w:szCs w:val="20"/>
                <w:lang w:eastAsia="en-CA"/>
              </w:rPr>
              <w:t>,</w:t>
            </w:r>
            <w:r w:rsidRPr="00633EFC">
              <w:rPr>
                <w:color w:val="000000"/>
                <w:sz w:val="20"/>
                <w:szCs w:val="20"/>
                <w:lang w:eastAsia="en-CA"/>
              </w:rPr>
              <w:t>94</w:t>
            </w:r>
          </w:p>
        </w:tc>
        <w:tc>
          <w:tcPr>
            <w:tcW w:w="681" w:type="dxa"/>
            <w:tcBorders>
              <w:top w:val="nil"/>
              <w:left w:val="nil"/>
              <w:bottom w:val="single" w:sz="4" w:space="0" w:color="auto"/>
              <w:right w:val="single" w:sz="4" w:space="0" w:color="auto"/>
            </w:tcBorders>
            <w:shd w:val="clear" w:color="auto" w:fill="auto"/>
            <w:vAlign w:val="center"/>
            <w:hideMark/>
          </w:tcPr>
          <w:p w14:paraId="56381967" w14:textId="7C86C216" w:rsidR="00B30344" w:rsidRPr="00633EFC" w:rsidRDefault="00B30344" w:rsidP="00D53168">
            <w:pPr>
              <w:jc w:val="center"/>
              <w:rPr>
                <w:color w:val="000000"/>
                <w:sz w:val="20"/>
                <w:szCs w:val="20"/>
                <w:lang w:eastAsia="en-CA"/>
              </w:rPr>
            </w:pPr>
            <w:r w:rsidRPr="00633EFC">
              <w:rPr>
                <w:color w:val="000000"/>
                <w:sz w:val="20"/>
                <w:szCs w:val="20"/>
                <w:lang w:eastAsia="en-CA"/>
              </w:rPr>
              <w:t>5</w:t>
            </w:r>
            <w:r w:rsidR="00BA73CF">
              <w:rPr>
                <w:color w:val="000000"/>
                <w:sz w:val="20"/>
                <w:szCs w:val="20"/>
                <w:lang w:eastAsia="en-CA"/>
              </w:rPr>
              <w:t>,</w:t>
            </w:r>
            <w:r w:rsidRPr="00633EFC">
              <w:rPr>
                <w:color w:val="000000"/>
                <w:sz w:val="20"/>
                <w:szCs w:val="20"/>
                <w:lang w:eastAsia="en-CA"/>
              </w:rPr>
              <w:t>94</w:t>
            </w:r>
          </w:p>
        </w:tc>
        <w:tc>
          <w:tcPr>
            <w:tcW w:w="681" w:type="dxa"/>
            <w:tcBorders>
              <w:top w:val="nil"/>
              <w:left w:val="nil"/>
              <w:bottom w:val="single" w:sz="4" w:space="0" w:color="auto"/>
              <w:right w:val="single" w:sz="4" w:space="0" w:color="auto"/>
            </w:tcBorders>
            <w:shd w:val="clear" w:color="auto" w:fill="auto"/>
            <w:vAlign w:val="center"/>
            <w:hideMark/>
          </w:tcPr>
          <w:p w14:paraId="41336D9E" w14:textId="5939C166" w:rsidR="00B30344" w:rsidRPr="00633EFC" w:rsidRDefault="00B30344" w:rsidP="00D53168">
            <w:pPr>
              <w:jc w:val="center"/>
              <w:rPr>
                <w:color w:val="000000"/>
                <w:sz w:val="20"/>
                <w:szCs w:val="20"/>
                <w:lang w:eastAsia="en-CA"/>
              </w:rPr>
            </w:pPr>
            <w:r w:rsidRPr="00633EFC">
              <w:rPr>
                <w:color w:val="000000"/>
                <w:sz w:val="20"/>
                <w:szCs w:val="20"/>
                <w:lang w:eastAsia="en-CA"/>
              </w:rPr>
              <w:t>5</w:t>
            </w:r>
            <w:r w:rsidR="00BA73CF">
              <w:rPr>
                <w:color w:val="000000"/>
                <w:sz w:val="20"/>
                <w:szCs w:val="20"/>
                <w:lang w:eastAsia="en-CA"/>
              </w:rPr>
              <w:t>,</w:t>
            </w:r>
            <w:r w:rsidRPr="00633EFC">
              <w:rPr>
                <w:color w:val="000000"/>
                <w:sz w:val="20"/>
                <w:szCs w:val="20"/>
                <w:lang w:eastAsia="en-CA"/>
              </w:rPr>
              <w:t>94</w:t>
            </w:r>
          </w:p>
        </w:tc>
        <w:tc>
          <w:tcPr>
            <w:tcW w:w="681" w:type="dxa"/>
            <w:tcBorders>
              <w:top w:val="nil"/>
              <w:left w:val="nil"/>
              <w:bottom w:val="single" w:sz="4" w:space="0" w:color="auto"/>
              <w:right w:val="single" w:sz="4" w:space="0" w:color="auto"/>
            </w:tcBorders>
            <w:shd w:val="clear" w:color="auto" w:fill="auto"/>
            <w:vAlign w:val="center"/>
            <w:hideMark/>
          </w:tcPr>
          <w:p w14:paraId="6D012122" w14:textId="09631BA8" w:rsidR="00B30344" w:rsidRPr="00633EFC" w:rsidRDefault="00B30344" w:rsidP="00D53168">
            <w:pPr>
              <w:jc w:val="center"/>
              <w:rPr>
                <w:color w:val="000000"/>
                <w:sz w:val="20"/>
                <w:szCs w:val="20"/>
                <w:lang w:eastAsia="en-CA"/>
              </w:rPr>
            </w:pPr>
            <w:r w:rsidRPr="00633EFC">
              <w:rPr>
                <w:color w:val="000000"/>
                <w:sz w:val="20"/>
                <w:szCs w:val="20"/>
                <w:lang w:eastAsia="en-CA"/>
              </w:rPr>
              <w:t>5</w:t>
            </w:r>
            <w:r w:rsidR="00BA73CF">
              <w:rPr>
                <w:color w:val="000000"/>
                <w:sz w:val="20"/>
                <w:szCs w:val="20"/>
                <w:lang w:eastAsia="en-CA"/>
              </w:rPr>
              <w:t>,</w:t>
            </w:r>
            <w:r w:rsidRPr="00633EFC">
              <w:rPr>
                <w:color w:val="000000"/>
                <w:sz w:val="20"/>
                <w:szCs w:val="20"/>
                <w:lang w:eastAsia="en-CA"/>
              </w:rPr>
              <w:t>94</w:t>
            </w:r>
          </w:p>
        </w:tc>
        <w:tc>
          <w:tcPr>
            <w:tcW w:w="681" w:type="dxa"/>
            <w:tcBorders>
              <w:top w:val="nil"/>
              <w:left w:val="nil"/>
              <w:bottom w:val="single" w:sz="4" w:space="0" w:color="auto"/>
              <w:right w:val="single" w:sz="4" w:space="0" w:color="auto"/>
            </w:tcBorders>
            <w:shd w:val="clear" w:color="auto" w:fill="auto"/>
            <w:vAlign w:val="center"/>
          </w:tcPr>
          <w:p w14:paraId="5F611447" w14:textId="4846245A" w:rsidR="00B30344" w:rsidRPr="00633EFC" w:rsidRDefault="00B30344" w:rsidP="00D53168">
            <w:pPr>
              <w:jc w:val="center"/>
              <w:rPr>
                <w:b/>
                <w:bCs/>
                <w:color w:val="000000"/>
                <w:sz w:val="20"/>
                <w:szCs w:val="20"/>
                <w:lang w:eastAsia="en-CA"/>
              </w:rPr>
            </w:pPr>
            <w:r w:rsidRPr="00633EFC">
              <w:rPr>
                <w:b/>
                <w:bCs/>
                <w:color w:val="000000"/>
                <w:sz w:val="20"/>
                <w:szCs w:val="20"/>
                <w:lang w:eastAsia="en-CA"/>
              </w:rPr>
              <w:t>6</w:t>
            </w:r>
            <w:r w:rsidR="00BA73CF">
              <w:rPr>
                <w:b/>
                <w:bCs/>
                <w:color w:val="000000"/>
                <w:sz w:val="20"/>
                <w:szCs w:val="20"/>
                <w:lang w:eastAsia="en-CA"/>
              </w:rPr>
              <w:t>,</w:t>
            </w:r>
            <w:r w:rsidRPr="00633EFC">
              <w:rPr>
                <w:b/>
                <w:bCs/>
                <w:color w:val="000000"/>
                <w:sz w:val="20"/>
                <w:szCs w:val="20"/>
                <w:lang w:eastAsia="en-CA"/>
              </w:rPr>
              <w:t>94</w:t>
            </w:r>
          </w:p>
        </w:tc>
        <w:tc>
          <w:tcPr>
            <w:tcW w:w="682" w:type="dxa"/>
            <w:tcBorders>
              <w:top w:val="nil"/>
              <w:left w:val="nil"/>
              <w:bottom w:val="single" w:sz="4" w:space="0" w:color="auto"/>
              <w:right w:val="single" w:sz="4" w:space="0" w:color="auto"/>
            </w:tcBorders>
            <w:shd w:val="clear" w:color="auto" w:fill="auto"/>
            <w:vAlign w:val="center"/>
          </w:tcPr>
          <w:p w14:paraId="2A53DC75" w14:textId="347A91B1" w:rsidR="00B30344" w:rsidRPr="00633EFC" w:rsidRDefault="00B30344" w:rsidP="00D53168">
            <w:pPr>
              <w:jc w:val="center"/>
              <w:rPr>
                <w:b/>
                <w:bCs/>
                <w:color w:val="000000"/>
                <w:sz w:val="20"/>
                <w:szCs w:val="20"/>
                <w:lang w:eastAsia="en-CA"/>
              </w:rPr>
            </w:pPr>
            <w:r>
              <w:rPr>
                <w:b/>
                <w:bCs/>
                <w:color w:val="000000"/>
                <w:sz w:val="20"/>
                <w:szCs w:val="20"/>
                <w:lang w:eastAsia="en-CA"/>
              </w:rPr>
              <w:t>6</w:t>
            </w:r>
            <w:r w:rsidR="00BA73CF">
              <w:rPr>
                <w:b/>
                <w:bCs/>
                <w:color w:val="000000"/>
                <w:sz w:val="20"/>
                <w:szCs w:val="20"/>
                <w:lang w:eastAsia="en-CA"/>
              </w:rPr>
              <w:t>,</w:t>
            </w:r>
            <w:r>
              <w:rPr>
                <w:b/>
                <w:bCs/>
                <w:color w:val="000000"/>
                <w:sz w:val="20"/>
                <w:szCs w:val="20"/>
                <w:lang w:eastAsia="en-CA"/>
              </w:rPr>
              <w:t>66</w:t>
            </w:r>
          </w:p>
        </w:tc>
      </w:tr>
    </w:tbl>
    <w:p w14:paraId="3FE243ED" w14:textId="77777777" w:rsidR="00B30344" w:rsidRDefault="00B30344" w:rsidP="00B30344">
      <w:pPr>
        <w:pStyle w:val="Heading2"/>
        <w:widowControl/>
        <w:numPr>
          <w:ilvl w:val="0"/>
          <w:numId w:val="0"/>
        </w:numPr>
        <w:ind w:left="1440" w:hanging="720"/>
      </w:pPr>
    </w:p>
    <w:p w14:paraId="7A289FB7" w14:textId="728AF3C2" w:rsidR="00BA73CF" w:rsidRDefault="00BA73CF" w:rsidP="00BA73CF">
      <w:pPr>
        <w:rPr>
          <w:b/>
          <w:bCs/>
          <w:lang w:val="fr-CA"/>
        </w:rPr>
      </w:pPr>
      <w:r w:rsidRPr="00BA73CF">
        <w:rPr>
          <w:b/>
          <w:bCs/>
          <w:lang w:val="fr-CA"/>
        </w:rPr>
        <w:t>APPENDICE 7-A: RÉDUCTIONS DU F</w:t>
      </w:r>
      <w:r>
        <w:rPr>
          <w:b/>
          <w:bCs/>
          <w:lang w:val="fr-CA"/>
        </w:rPr>
        <w:t>INANCEMENT EN CAS DE NON-CONFORMITÉ</w:t>
      </w:r>
    </w:p>
    <w:p w14:paraId="07621391" w14:textId="77777777" w:rsidR="00BA73CF" w:rsidRDefault="00BA73CF" w:rsidP="00BA73CF">
      <w:pPr>
        <w:rPr>
          <w:b/>
          <w:bCs/>
          <w:lang w:val="fr-CA"/>
        </w:rPr>
      </w:pPr>
    </w:p>
    <w:p w14:paraId="76774DBD" w14:textId="1E866D3A" w:rsidR="00BA73CF" w:rsidRDefault="00BA73CF" w:rsidP="00BA73CF">
      <w:pPr>
        <w:rPr>
          <w:b/>
          <w:bCs/>
          <w:lang w:val="fr-CA"/>
        </w:rPr>
      </w:pPr>
      <w:r>
        <w:rPr>
          <w:lang w:val="fr-CA"/>
        </w:rPr>
        <w:t>1.</w:t>
      </w:r>
      <w:r>
        <w:rPr>
          <w:lang w:val="fr-CA"/>
        </w:rPr>
        <w:tab/>
        <w:t xml:space="preserve">Conformément au paragraphe 11 de l’Accord, il pourra être déduit du total final du financement accordé un montant de 180 $US par kilogramme de PAO consommé au-delà de la quantité précisée à la ligne 1.2. de l’Appendice 2-A pour chaque année de non-conformité à l’objectif précisé à la ligne 1.2 de l’Appendice 2-A, en étant entendu que cette clause ne serait pas appliquée si la consommation vérifiée de HCFC est supérieure au point de départ estimatif de 6,60 tonnes PAO </w:t>
      </w:r>
      <w:r>
        <w:rPr>
          <w:b/>
          <w:bCs/>
          <w:lang w:val="fr-CA"/>
        </w:rPr>
        <w:t>pour la période 2017-2023.</w:t>
      </w:r>
    </w:p>
    <w:p w14:paraId="29DA5D7A" w14:textId="77777777" w:rsidR="00BA73CF" w:rsidRDefault="00BA73CF" w:rsidP="00BA73CF">
      <w:pPr>
        <w:rPr>
          <w:b/>
          <w:bCs/>
          <w:lang w:val="fr-CA"/>
        </w:rPr>
      </w:pPr>
    </w:p>
    <w:p w14:paraId="0A95D50D" w14:textId="191A341A" w:rsidR="00BA73CF" w:rsidRPr="00BA73CF" w:rsidRDefault="00BA73CF" w:rsidP="00BA73CF">
      <w:pPr>
        <w:jc w:val="center"/>
        <w:rPr>
          <w:lang w:val="fr-CA"/>
        </w:rPr>
      </w:pPr>
      <w:r>
        <w:rPr>
          <w:lang w:val="fr-CA"/>
        </w:rPr>
        <w:t>_______________</w:t>
      </w:r>
    </w:p>
    <w:p w14:paraId="3028586B" w14:textId="77777777" w:rsidR="00BA73CF" w:rsidRPr="00BA73CF" w:rsidRDefault="00BA73CF" w:rsidP="00BA73CF">
      <w:pPr>
        <w:rPr>
          <w:lang w:val="fr-CA"/>
        </w:rPr>
      </w:pPr>
    </w:p>
    <w:p w14:paraId="0036A03F" w14:textId="70F20927" w:rsidR="00206CF6" w:rsidRPr="00206CF6" w:rsidRDefault="00206CF6">
      <w:pPr>
        <w:rPr>
          <w:lang w:val="fr-FR"/>
        </w:rPr>
      </w:pPr>
      <w:r>
        <w:rPr>
          <w:lang w:val="fr-FR"/>
        </w:rPr>
        <w:t xml:space="preserve"> </w:t>
      </w:r>
    </w:p>
    <w:p w14:paraId="48CFE682" w14:textId="77777777" w:rsidR="00441083" w:rsidRDefault="00441083">
      <w:pPr>
        <w:rPr>
          <w:lang w:val="fr-FR"/>
        </w:rPr>
      </w:pPr>
    </w:p>
    <w:p w14:paraId="6ACAE1A4" w14:textId="77777777" w:rsidR="00441083" w:rsidRDefault="00441083">
      <w:pPr>
        <w:rPr>
          <w:lang w:val="fr-FR"/>
        </w:rPr>
      </w:pPr>
    </w:p>
    <w:p w14:paraId="043F374F" w14:textId="77777777" w:rsidR="00441083" w:rsidRDefault="00441083">
      <w:pPr>
        <w:rPr>
          <w:lang w:val="fr-FR"/>
        </w:rPr>
      </w:pPr>
    </w:p>
    <w:p w14:paraId="08398661" w14:textId="77777777" w:rsidR="00441083" w:rsidRDefault="00441083">
      <w:pPr>
        <w:rPr>
          <w:lang w:val="fr-FR"/>
        </w:rPr>
      </w:pPr>
    </w:p>
    <w:p w14:paraId="17497A68" w14:textId="77777777" w:rsidR="00441083" w:rsidRDefault="00441083">
      <w:pPr>
        <w:rPr>
          <w:lang w:val="fr-FR"/>
        </w:rPr>
      </w:pPr>
    </w:p>
    <w:sectPr w:rsidR="00441083">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56C70" w14:textId="77777777" w:rsidR="002A307D" w:rsidRDefault="002A307D">
      <w:r>
        <w:separator/>
      </w:r>
    </w:p>
  </w:endnote>
  <w:endnote w:type="continuationSeparator" w:id="0">
    <w:p w14:paraId="34617BF5" w14:textId="77777777" w:rsidR="002A307D" w:rsidRDefault="002A3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AF0E63F" w14:textId="77777777" w:rsidR="0069494B" w:rsidRDefault="0069494B">
    <w:pPr>
      <w:pBdr>
        <w:top w:val="single" w:sz="4" w:space="1" w:color="auto"/>
        <w:left w:val="single" w:sz="4" w:space="4" w:color="auto"/>
        <w:bottom w:val="single" w:sz="4" w:space="1" w:color="auto"/>
        <w:right w:val="single" w:sz="4" w:space="4" w:color="auto"/>
      </w:pBdr>
      <w:jc w:val="center"/>
      <w:rPr>
        <w:rFonts w:cs="MS Serif"/>
        <w:sz w:val="20"/>
        <w:lang w:val="fr-FR"/>
      </w:rPr>
    </w:pP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AF03F" w14:textId="77777777" w:rsidR="002A307D" w:rsidRDefault="002A307D">
      <w:r>
        <w:separator/>
      </w:r>
    </w:p>
  </w:footnote>
  <w:footnote w:type="continuationSeparator" w:id="0">
    <w:p w14:paraId="69AB5D7A" w14:textId="77777777" w:rsidR="002A307D" w:rsidRDefault="002A307D">
      <w:r>
        <w:continuationSeparator/>
      </w:r>
    </w:p>
  </w:footnote>
  <w:footnote w:id="1">
    <w:p w14:paraId="269F5C4A" w14:textId="52F85EAC" w:rsidR="00C024F9" w:rsidRDefault="00C024F9">
      <w:pPr>
        <w:pStyle w:val="FootnoteText"/>
        <w:rPr>
          <w:lang w:val="fr-CA"/>
        </w:rPr>
      </w:pPr>
      <w:r>
        <w:rPr>
          <w:rStyle w:val="FootnoteReference"/>
        </w:rPr>
        <w:footnoteRef/>
      </w:r>
      <w:r w:rsidRPr="00B6618D">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/93/1</w:t>
      </w:r>
    </w:p>
    <w:p w14:paraId="09F702DA" w14:textId="77777777" w:rsidR="0069494B" w:rsidRPr="00C024F9" w:rsidRDefault="0069494B">
      <w:pPr>
        <w:pStyle w:val="FootnoteText"/>
        <w:rPr>
          <w:lang w:val="fr-CA"/>
        </w:rPr>
      </w:pPr>
    </w:p>
  </w:footnote>
  <w:footnote w:id="2">
    <w:p w14:paraId="33913B26" w14:textId="41AE0F18" w:rsidR="004B6630" w:rsidRPr="004B6630" w:rsidRDefault="004B6630">
      <w:pPr>
        <w:pStyle w:val="FootnoteText"/>
        <w:rPr>
          <w:lang w:val="fr-CA"/>
        </w:rPr>
      </w:pPr>
      <w:r>
        <w:rPr>
          <w:rStyle w:val="FootnoteReference"/>
        </w:rPr>
        <w:footnoteRef/>
      </w:r>
      <w:r w:rsidRPr="004B6630">
        <w:rPr>
          <w:lang w:val="fr-CA"/>
        </w:rPr>
        <w:t xml:space="preserve"> </w:t>
      </w:r>
      <w:r>
        <w:rPr>
          <w:lang w:val="fr-CA"/>
        </w:rPr>
        <w:t>Décision 75/50 et documents UNEP/</w:t>
      </w:r>
      <w:proofErr w:type="spellStart"/>
      <w:r>
        <w:rPr>
          <w:lang w:val="fr-CA"/>
        </w:rPr>
        <w:t>OzL.Pro</w:t>
      </w:r>
      <w:proofErr w:type="spellEnd"/>
      <w:r>
        <w:rPr>
          <w:lang w:val="fr-CA"/>
        </w:rPr>
        <w:t>/</w:t>
      </w:r>
      <w:proofErr w:type="spellStart"/>
      <w:r>
        <w:rPr>
          <w:lang w:val="fr-CA"/>
        </w:rPr>
        <w:t>ExCom</w:t>
      </w:r>
      <w:proofErr w:type="spellEnd"/>
      <w:r>
        <w:rPr>
          <w:lang w:val="fr-CA"/>
        </w:rPr>
        <w:t>/75/53 et Add.1</w:t>
      </w:r>
    </w:p>
  </w:footnote>
  <w:footnote w:id="3">
    <w:p w14:paraId="4450C014" w14:textId="7A412DB6" w:rsidR="00975B0F" w:rsidRPr="00975B0F" w:rsidRDefault="00975B0F">
      <w:pPr>
        <w:pStyle w:val="FootnoteText"/>
        <w:rPr>
          <w:lang w:val="fr-CA"/>
        </w:rPr>
      </w:pPr>
      <w:r>
        <w:rPr>
          <w:rStyle w:val="FootnoteReference"/>
        </w:rPr>
        <w:footnoteRef/>
      </w:r>
      <w:r w:rsidRPr="00975B0F">
        <w:rPr>
          <w:lang w:val="fr-CA"/>
        </w:rPr>
        <w:t xml:space="preserve"> </w:t>
      </w:r>
      <w:r>
        <w:rPr>
          <w:lang w:val="fr-CA"/>
        </w:rPr>
        <w:t>Paragraphes 95-109 du document UNEP/</w:t>
      </w:r>
      <w:proofErr w:type="spellStart"/>
      <w:r>
        <w:rPr>
          <w:lang w:val="fr-CA"/>
        </w:rPr>
        <w:t>OzL.Pro</w:t>
      </w:r>
      <w:proofErr w:type="spellEnd"/>
      <w:r>
        <w:rPr>
          <w:lang w:val="fr-CA"/>
        </w:rPr>
        <w:t>/</w:t>
      </w:r>
      <w:proofErr w:type="spellStart"/>
      <w:r>
        <w:rPr>
          <w:lang w:val="fr-CA"/>
        </w:rPr>
        <w:t>ExCom</w:t>
      </w:r>
      <w:proofErr w:type="spellEnd"/>
      <w:r>
        <w:rPr>
          <w:lang w:val="fr-CA"/>
        </w:rPr>
        <w:t>/86/21</w:t>
      </w:r>
    </w:p>
  </w:footnote>
  <w:footnote w:id="4">
    <w:p w14:paraId="3F41AF67" w14:textId="024B03C5" w:rsidR="00975B0F" w:rsidRPr="00975B0F" w:rsidRDefault="00B6618D" w:rsidP="00975B0F">
      <w:pPr>
        <w:pStyle w:val="FootnoteText"/>
        <w:rPr>
          <w:lang w:val="fr-CA"/>
        </w:rPr>
      </w:pPr>
      <w:r>
        <w:rPr>
          <w:rStyle w:val="FootnoteReference"/>
        </w:rPr>
        <w:footnoteRef/>
      </w:r>
      <w:r w:rsidRPr="00B6618D">
        <w:rPr>
          <w:lang w:val="fr-CA"/>
        </w:rPr>
        <w:t xml:space="preserve"> </w:t>
      </w:r>
      <w:r w:rsidR="00975B0F">
        <w:rPr>
          <w:lang w:val="fr-CA"/>
        </w:rPr>
        <w:t>Annexe VIII du document UNEP/</w:t>
      </w:r>
      <w:proofErr w:type="spellStart"/>
      <w:r w:rsidR="00975B0F">
        <w:rPr>
          <w:lang w:val="fr-CA"/>
        </w:rPr>
        <w:t>OzL.Pro</w:t>
      </w:r>
      <w:proofErr w:type="spellEnd"/>
      <w:r w:rsidR="00975B0F">
        <w:rPr>
          <w:lang w:val="fr-CA"/>
        </w:rPr>
        <w:t>/</w:t>
      </w:r>
      <w:proofErr w:type="spellStart"/>
      <w:r w:rsidR="00975B0F">
        <w:rPr>
          <w:lang w:val="fr-CA"/>
        </w:rPr>
        <w:t>ExCom</w:t>
      </w:r>
      <w:proofErr w:type="spellEnd"/>
      <w:r w:rsidR="00975B0F">
        <w:rPr>
          <w:lang w:val="fr-CA"/>
        </w:rPr>
        <w:t>/86/100</w:t>
      </w:r>
    </w:p>
    <w:p w14:paraId="010AEA91" w14:textId="55F2C8A0" w:rsidR="00B6618D" w:rsidRPr="00B6618D" w:rsidRDefault="00B6618D">
      <w:pPr>
        <w:pStyle w:val="FootnoteText"/>
        <w:rPr>
          <w:lang w:val="fr-CA"/>
        </w:rPr>
      </w:pPr>
    </w:p>
  </w:footnote>
  <w:footnote w:id="5">
    <w:p w14:paraId="64D95B68" w14:textId="68C44383" w:rsidR="00F8144E" w:rsidRPr="00F8144E" w:rsidRDefault="00F8144E">
      <w:pPr>
        <w:pStyle w:val="FootnoteText"/>
        <w:rPr>
          <w:lang w:val="fr-CA"/>
        </w:rPr>
      </w:pPr>
      <w:r>
        <w:rPr>
          <w:rStyle w:val="FootnoteReference"/>
        </w:rPr>
        <w:footnoteRef/>
      </w:r>
      <w:r w:rsidRPr="00F8144E">
        <w:rPr>
          <w:lang w:val="fr-CA"/>
        </w:rPr>
        <w:t xml:space="preserve"> </w:t>
      </w:r>
      <w:r>
        <w:rPr>
          <w:lang w:val="fr-CA"/>
        </w:rPr>
        <w:t>Selon le document UNEP/</w:t>
      </w:r>
      <w:proofErr w:type="spellStart"/>
      <w:r>
        <w:rPr>
          <w:lang w:val="fr-CA"/>
        </w:rPr>
        <w:t>OzL.Pro</w:t>
      </w:r>
      <w:proofErr w:type="spellEnd"/>
      <w:r>
        <w:rPr>
          <w:lang w:val="fr-CA"/>
        </w:rPr>
        <w:t>/</w:t>
      </w:r>
      <w:proofErr w:type="spellStart"/>
      <w:r>
        <w:rPr>
          <w:lang w:val="fr-CA"/>
        </w:rPr>
        <w:t>ExCom</w:t>
      </w:r>
      <w:proofErr w:type="spellEnd"/>
      <w:r>
        <w:rPr>
          <w:lang w:val="fr-CA"/>
        </w:rPr>
        <w:t>/82/53.</w:t>
      </w:r>
    </w:p>
  </w:footnote>
  <w:footnote w:id="6">
    <w:p w14:paraId="3A7F5A5A" w14:textId="0F031E6A" w:rsidR="00975B0F" w:rsidRPr="00975B0F" w:rsidRDefault="00975B0F">
      <w:pPr>
        <w:pStyle w:val="FootnoteText"/>
        <w:rPr>
          <w:lang w:val="fr-CA"/>
        </w:rPr>
      </w:pPr>
      <w:r>
        <w:rPr>
          <w:rStyle w:val="FootnoteReference"/>
        </w:rPr>
        <w:footnoteRef/>
      </w:r>
      <w:r w:rsidRPr="00975B0F">
        <w:rPr>
          <w:lang w:val="fr-CA"/>
        </w:rPr>
        <w:t xml:space="preserve"> Trente unités portatives de récupération des fri</w:t>
      </w:r>
      <w:r>
        <w:rPr>
          <w:lang w:val="fr-CA"/>
        </w:rPr>
        <w:t>gorigènes ont été livrées en 2019.</w:t>
      </w:r>
    </w:p>
  </w:footnote>
  <w:footnote w:id="7">
    <w:p w14:paraId="27E6CBEB" w14:textId="707376BD" w:rsidR="0062089F" w:rsidRPr="0062089F" w:rsidRDefault="0062089F">
      <w:pPr>
        <w:pStyle w:val="FootnoteText"/>
        <w:rPr>
          <w:lang w:val="fr-CA"/>
        </w:rPr>
      </w:pPr>
      <w:r>
        <w:rPr>
          <w:rStyle w:val="FootnoteReference"/>
        </w:rPr>
        <w:footnoteRef/>
      </w:r>
      <w:r w:rsidRPr="0062089F">
        <w:rPr>
          <w:lang w:val="fr-CA"/>
        </w:rPr>
        <w:t xml:space="preserve"> </w:t>
      </w:r>
      <w:r>
        <w:rPr>
          <w:lang w:val="fr-CA"/>
        </w:rPr>
        <w:t>La tranche de financement a été ajustée après déduction du montant de 747 533 $US, associé à l’annulation de la conversion d’une entreprise dans le secteur des mousses (</w:t>
      </w:r>
      <w:proofErr w:type="spellStart"/>
      <w:r>
        <w:rPr>
          <w:lang w:val="fr-CA"/>
        </w:rPr>
        <w:t>Alyem</w:t>
      </w:r>
      <w:proofErr w:type="spellEnd"/>
      <w:r>
        <w:rPr>
          <w:lang w:val="fr-CA"/>
        </w:rPr>
        <w:t xml:space="preserve"> Engineering); ces fonds ont été restitués au Fonds multilatéral.</w:t>
      </w:r>
    </w:p>
  </w:footnote>
  <w:footnote w:id="8">
    <w:p w14:paraId="3014DB04" w14:textId="71F7A9DE" w:rsidR="007D3BF0" w:rsidRPr="007D3BF0" w:rsidRDefault="007D3BF0">
      <w:pPr>
        <w:pStyle w:val="FootnoteText"/>
        <w:rPr>
          <w:lang w:val="fr-CA"/>
        </w:rPr>
      </w:pPr>
      <w:r>
        <w:rPr>
          <w:rStyle w:val="FootnoteReference"/>
        </w:rPr>
        <w:footnoteRef/>
      </w:r>
      <w:r w:rsidRPr="007D3BF0">
        <w:rPr>
          <w:lang w:val="fr-CA"/>
        </w:rPr>
        <w:t xml:space="preserve"> </w:t>
      </w:r>
      <w:r>
        <w:rPr>
          <w:lang w:val="fr-CA"/>
        </w:rPr>
        <w:t>L’</w:t>
      </w:r>
      <w:r w:rsidR="008F7D10">
        <w:rPr>
          <w:lang w:val="fr-CA"/>
        </w:rPr>
        <w:t>étude</w:t>
      </w:r>
      <w:r>
        <w:rPr>
          <w:lang w:val="fr-CA"/>
        </w:rPr>
        <w:t xml:space="preserve"> a recueilli les données de consommation de HCFC, des détails sur les équipements et leur âge, notamment dans les grandes applications de climatisation et a recoupé ces informations avec les données vérifiées sur les importations.</w:t>
      </w:r>
    </w:p>
  </w:footnote>
  <w:footnote w:id="9">
    <w:p w14:paraId="121AC769" w14:textId="5EC3C6B4" w:rsidR="007D3BF0" w:rsidRPr="007D3BF0" w:rsidRDefault="007D3BF0">
      <w:pPr>
        <w:pStyle w:val="FootnoteText"/>
        <w:rPr>
          <w:lang w:val="fr-CA"/>
        </w:rPr>
      </w:pPr>
      <w:r>
        <w:rPr>
          <w:rStyle w:val="FootnoteReference"/>
        </w:rPr>
        <w:footnoteRef/>
      </w:r>
      <w:r w:rsidRPr="007D3BF0">
        <w:rPr>
          <w:lang w:val="fr-CA"/>
        </w:rPr>
        <w:t xml:space="preserve"> </w:t>
      </w:r>
      <w:r>
        <w:rPr>
          <w:lang w:val="fr-CA"/>
        </w:rPr>
        <w:t>Le rapport de vérification indiquait une consommation de HCFC en tonnes PAO, de 15,80 pour 2017; 15,05 pour 2018; 13,91 pour 2019; 13,19 pour 2020; et 13,12 pour 2021qui correspondait aux résultats de l’</w:t>
      </w:r>
      <w:r w:rsidR="00502BEB">
        <w:rPr>
          <w:lang w:val="fr-CA"/>
        </w:rPr>
        <w:t>étud</w:t>
      </w:r>
      <w:r>
        <w:rPr>
          <w:lang w:val="fr-CA"/>
        </w:rPr>
        <w:t>e.</w:t>
      </w:r>
    </w:p>
  </w:footnote>
  <w:footnote w:id="10">
    <w:p w14:paraId="3D1E16FD" w14:textId="2C00DDBA" w:rsidR="007D1D7E" w:rsidRPr="007D1D7E" w:rsidRDefault="007D1D7E">
      <w:pPr>
        <w:pStyle w:val="FootnoteText"/>
        <w:rPr>
          <w:lang w:val="fr-CA"/>
        </w:rPr>
      </w:pPr>
      <w:r>
        <w:rPr>
          <w:rStyle w:val="FootnoteReference"/>
        </w:rPr>
        <w:footnoteRef/>
      </w:r>
      <w:r w:rsidRPr="007D1D7E">
        <w:rPr>
          <w:lang w:val="fr-CA"/>
        </w:rPr>
        <w:t xml:space="preserve"> </w:t>
      </w:r>
      <w:r>
        <w:rPr>
          <w:lang w:val="fr-CA"/>
        </w:rPr>
        <w:t>Disposition contenue dans l’Annexe XVI de UNEP/</w:t>
      </w:r>
      <w:proofErr w:type="spellStart"/>
      <w:r>
        <w:rPr>
          <w:lang w:val="fr-CA"/>
        </w:rPr>
        <w:t>OzL.Pro</w:t>
      </w:r>
      <w:proofErr w:type="spellEnd"/>
      <w:r>
        <w:rPr>
          <w:lang w:val="fr-CA"/>
        </w:rPr>
        <w:t>/</w:t>
      </w:r>
      <w:proofErr w:type="spellStart"/>
      <w:r>
        <w:rPr>
          <w:lang w:val="fr-CA"/>
        </w:rPr>
        <w:t>ExCom</w:t>
      </w:r>
      <w:proofErr w:type="spellEnd"/>
      <w:r>
        <w:rPr>
          <w:lang w:val="fr-CA"/>
        </w:rPr>
        <w:t>/</w:t>
      </w:r>
      <w:r w:rsidR="00B37379">
        <w:rPr>
          <w:lang w:val="fr-CA"/>
        </w:rPr>
        <w:t>91/72.</w:t>
      </w:r>
    </w:p>
  </w:footnote>
  <w:footnote w:id="11">
    <w:p w14:paraId="53AE420A" w14:textId="74D1BE08" w:rsidR="00FB2C22" w:rsidRPr="00FB2C22" w:rsidRDefault="00FB2C22">
      <w:pPr>
        <w:pStyle w:val="FootnoteText"/>
        <w:rPr>
          <w:lang w:val="fr-CA"/>
        </w:rPr>
      </w:pPr>
      <w:r>
        <w:rPr>
          <w:rStyle w:val="FootnoteReference"/>
        </w:rPr>
        <w:footnoteRef/>
      </w:r>
      <w:r w:rsidRPr="00445633">
        <w:rPr>
          <w:lang w:val="fr-CA"/>
        </w:rPr>
        <w:t xml:space="preserve"> </w:t>
      </w:r>
      <w:r>
        <w:rPr>
          <w:lang w:val="fr-CA"/>
        </w:rPr>
        <w:t>Décision 92/14.</w:t>
      </w:r>
    </w:p>
  </w:footnote>
  <w:footnote w:id="12">
    <w:p w14:paraId="7939571B" w14:textId="24CD2C2A" w:rsidR="00F75F02" w:rsidRPr="00F75F02" w:rsidRDefault="00F75F02">
      <w:pPr>
        <w:pStyle w:val="FootnoteText"/>
        <w:rPr>
          <w:lang w:val="fr-CA"/>
        </w:rPr>
      </w:pPr>
      <w:r>
        <w:rPr>
          <w:rStyle w:val="FootnoteReference"/>
        </w:rPr>
        <w:footnoteRef/>
      </w:r>
      <w:r w:rsidRPr="00F75F02">
        <w:rPr>
          <w:lang w:val="fr-CA"/>
        </w:rPr>
        <w:t xml:space="preserve"> </w:t>
      </w:r>
      <w:r>
        <w:rPr>
          <w:lang w:val="fr-CA"/>
        </w:rPr>
        <w:t xml:space="preserve">Les gouvernements doivent confirmer qu’un système national exécutoire d’octroi de permis et de quotas pour les importations de HCFC et, le cas échéant la production et les exportations, est en place </w:t>
      </w:r>
      <w:r w:rsidR="00826A85">
        <w:rPr>
          <w:lang w:val="fr-CA"/>
        </w:rPr>
        <w:t>et que ce système est en mesure d’assurer la conformité du pays au calendrier du Protocole de Montréal sur l’élimination des HCFC pour la durée de cet Accord.</w:t>
      </w:r>
    </w:p>
  </w:footnote>
  <w:footnote w:id="13">
    <w:p w14:paraId="1141F109" w14:textId="5F267F7F" w:rsidR="007E7823" w:rsidRPr="007E7823" w:rsidRDefault="007E7823">
      <w:pPr>
        <w:pStyle w:val="FootnoteText"/>
        <w:rPr>
          <w:lang w:val="fr-CA"/>
        </w:rPr>
      </w:pPr>
      <w:r>
        <w:rPr>
          <w:rStyle w:val="FootnoteReference"/>
        </w:rPr>
        <w:footnoteRef/>
      </w:r>
      <w:r w:rsidRPr="007E7823">
        <w:rPr>
          <w:lang w:val="fr-CA"/>
        </w:rPr>
        <w:t xml:space="preserve"> </w:t>
      </w:r>
      <w:r>
        <w:rPr>
          <w:lang w:val="fr-CA"/>
        </w:rPr>
        <w:t xml:space="preserve">Sans l’ajout du facteur d’incertitude de 15 pour cent, la consommation de HCFC durant les années de référence serait de 169 </w:t>
      </w:r>
      <w:proofErr w:type="spellStart"/>
      <w:r>
        <w:rPr>
          <w:lang w:val="fr-CA"/>
        </w:rPr>
        <w:t>tm</w:t>
      </w:r>
      <w:proofErr w:type="spellEnd"/>
      <w:r>
        <w:rPr>
          <w:lang w:val="fr-CA"/>
        </w:rPr>
        <w:t xml:space="preserve">, donc encore entre 160 </w:t>
      </w:r>
      <w:proofErr w:type="spellStart"/>
      <w:r>
        <w:rPr>
          <w:lang w:val="fr-CA"/>
        </w:rPr>
        <w:t>tm</w:t>
      </w:r>
      <w:proofErr w:type="spellEnd"/>
      <w:r>
        <w:rPr>
          <w:lang w:val="fr-CA"/>
        </w:rPr>
        <w:t xml:space="preserve"> et 200 </w:t>
      </w:r>
      <w:proofErr w:type="spellStart"/>
      <w:r>
        <w:rPr>
          <w:lang w:val="fr-CA"/>
        </w:rPr>
        <w:t>tm</w:t>
      </w:r>
      <w:proofErr w:type="spellEnd"/>
      <w:r>
        <w:rPr>
          <w:lang w:val="fr-CA"/>
        </w:rPr>
        <w:t>.</w:t>
      </w:r>
    </w:p>
  </w:footnote>
  <w:footnote w:id="14">
    <w:p w14:paraId="668B0494" w14:textId="636D3AED" w:rsidR="0037664A" w:rsidRPr="0037664A" w:rsidRDefault="0037664A">
      <w:pPr>
        <w:pStyle w:val="FootnoteText"/>
        <w:rPr>
          <w:lang w:val="fr-CA"/>
        </w:rPr>
      </w:pPr>
      <w:r>
        <w:rPr>
          <w:rStyle w:val="FootnoteReference"/>
        </w:rPr>
        <w:footnoteRef/>
      </w:r>
      <w:r w:rsidRPr="0037664A">
        <w:rPr>
          <w:lang w:val="fr-CA"/>
        </w:rPr>
        <w:t xml:space="preserve"> </w:t>
      </w:r>
      <w:r>
        <w:rPr>
          <w:lang w:val="fr-CA"/>
        </w:rPr>
        <w:t>Contenu à l’Annexe XV de UNEP/</w:t>
      </w:r>
      <w:proofErr w:type="spellStart"/>
      <w:r>
        <w:rPr>
          <w:lang w:val="fr-CA"/>
        </w:rPr>
        <w:t>OzL.Pro</w:t>
      </w:r>
      <w:proofErr w:type="spellEnd"/>
      <w:r>
        <w:rPr>
          <w:lang w:val="fr-CA"/>
        </w:rPr>
        <w:t>/</w:t>
      </w:r>
      <w:proofErr w:type="spellStart"/>
      <w:r>
        <w:rPr>
          <w:lang w:val="fr-CA"/>
        </w:rPr>
        <w:t>ExCom</w:t>
      </w:r>
      <w:proofErr w:type="spellEnd"/>
      <w:r>
        <w:rPr>
          <w:lang w:val="fr-CA"/>
        </w:rPr>
        <w:t>/80/59</w:t>
      </w:r>
    </w:p>
  </w:footnote>
  <w:footnote w:id="15">
    <w:p w14:paraId="3166FE49" w14:textId="24A36CD3" w:rsidR="0037664A" w:rsidRPr="0037664A" w:rsidRDefault="0037664A">
      <w:pPr>
        <w:pStyle w:val="FootnoteText"/>
        <w:rPr>
          <w:lang w:val="fr-CA"/>
        </w:rPr>
      </w:pPr>
      <w:r>
        <w:rPr>
          <w:rStyle w:val="FootnoteReference"/>
        </w:rPr>
        <w:footnoteRef/>
      </w:r>
      <w:r w:rsidRPr="0037664A">
        <w:rPr>
          <w:lang w:val="fr-CA"/>
        </w:rPr>
        <w:t xml:space="preserve"> </w:t>
      </w:r>
      <w:r>
        <w:rPr>
          <w:lang w:val="fr-CA"/>
        </w:rPr>
        <w:t>Contenu à l’Annexe XV de UNEP/</w:t>
      </w:r>
      <w:proofErr w:type="spellStart"/>
      <w:r>
        <w:rPr>
          <w:lang w:val="fr-CA"/>
        </w:rPr>
        <w:t>OzL.Pro</w:t>
      </w:r>
      <w:proofErr w:type="spellEnd"/>
      <w:r>
        <w:rPr>
          <w:lang w:val="fr-CA"/>
        </w:rPr>
        <w:t>/</w:t>
      </w:r>
      <w:proofErr w:type="spellStart"/>
      <w:r>
        <w:rPr>
          <w:lang w:val="fr-CA"/>
        </w:rPr>
        <w:t>ExCom</w:t>
      </w:r>
      <w:proofErr w:type="spellEnd"/>
      <w:r>
        <w:rPr>
          <w:lang w:val="fr-CA"/>
        </w:rPr>
        <w:t>/80/59</w:t>
      </w:r>
    </w:p>
  </w:footnote>
  <w:footnote w:id="16">
    <w:p w14:paraId="7703CC8F" w14:textId="5AA3B49F" w:rsidR="00625141" w:rsidRPr="00625141" w:rsidRDefault="00625141">
      <w:pPr>
        <w:pStyle w:val="FootnoteText"/>
        <w:rPr>
          <w:lang w:val="fr-CA"/>
        </w:rPr>
      </w:pPr>
      <w:r>
        <w:rPr>
          <w:rStyle w:val="FootnoteReference"/>
        </w:rPr>
        <w:footnoteRef/>
      </w:r>
      <w:r w:rsidRPr="00625141">
        <w:rPr>
          <w:lang w:val="fr-CA"/>
        </w:rPr>
        <w:t xml:space="preserve"> </w:t>
      </w:r>
      <w:r>
        <w:rPr>
          <w:lang w:val="fr-CA"/>
        </w:rPr>
        <w:t>Paragraphe 5 du document UNEP/</w:t>
      </w:r>
      <w:proofErr w:type="spellStart"/>
      <w:r>
        <w:rPr>
          <w:lang w:val="fr-CA"/>
        </w:rPr>
        <w:t>OzL.Pro</w:t>
      </w:r>
      <w:proofErr w:type="spellEnd"/>
      <w:r>
        <w:rPr>
          <w:lang w:val="fr-CA"/>
        </w:rPr>
        <w:t>/</w:t>
      </w:r>
      <w:proofErr w:type="spellStart"/>
      <w:r>
        <w:rPr>
          <w:lang w:val="fr-CA"/>
        </w:rPr>
        <w:t>ExCom</w:t>
      </w:r>
      <w:proofErr w:type="spellEnd"/>
      <w:r>
        <w:rPr>
          <w:lang w:val="fr-CA"/>
        </w:rPr>
        <w:t>/88/77.</w:t>
      </w:r>
    </w:p>
  </w:footnote>
  <w:footnote w:id="17">
    <w:p w14:paraId="370F1404" w14:textId="363BCAFA" w:rsidR="00C7519D" w:rsidRPr="00C7519D" w:rsidRDefault="00C7519D">
      <w:pPr>
        <w:pStyle w:val="FootnoteText"/>
        <w:rPr>
          <w:lang w:val="fr-CA"/>
        </w:rPr>
      </w:pPr>
      <w:r>
        <w:rPr>
          <w:rStyle w:val="FootnoteReference"/>
        </w:rPr>
        <w:footnoteRef/>
      </w:r>
      <w:r w:rsidRPr="00C7519D">
        <w:rPr>
          <w:lang w:val="fr-CA"/>
        </w:rPr>
        <w:t xml:space="preserve"> </w:t>
      </w:r>
      <w:r>
        <w:rPr>
          <w:lang w:val="fr-CA"/>
        </w:rPr>
        <w:t>Le taux moyen de génération du sous-produit HFC-23 était de 3,19 pour cent, de janvier à octobre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116F5C4C" w:rsidR="00441083" w:rsidRDefault="000313BC">
    <w:r>
      <w:fldChar w:fldCharType="begin"/>
    </w:r>
    <w:r>
      <w:instrText xml:space="preserve"> DOCPROPERTY "Document number"  \* MERGEFORMAT </w:instrText>
    </w:r>
    <w:r>
      <w:fldChar w:fldCharType="separate"/>
    </w:r>
    <w:r w:rsidR="007A44E9">
      <w:t>UNEP/</w:t>
    </w:r>
    <w:proofErr w:type="spellStart"/>
    <w:r w:rsidR="007A44E9">
      <w:t>OzL.Pro</w:t>
    </w:r>
    <w:proofErr w:type="spellEnd"/>
    <w:r w:rsidR="007A44E9">
      <w:t>/ExCom/93/</w:t>
    </w:r>
    <w:r w:rsidR="002F0571">
      <w:t>2</w:t>
    </w:r>
    <w:r w:rsidR="007A44E9">
      <w:t>1</w:t>
    </w:r>
    <w:r>
      <w:fldChar w:fldCharType="end"/>
    </w:r>
  </w:p>
  <w:p w14:paraId="30D2253C" w14:textId="77777777"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2EE86F8F" w:rsidR="00441083" w:rsidRDefault="000313BC">
    <w:pPr>
      <w:jc w:val="right"/>
    </w:pPr>
    <w:r>
      <w:fldChar w:fldCharType="begin"/>
    </w:r>
    <w:r>
      <w:instrText xml:space="preserve"> DOCPROPERTY "Document number"  \* MERGEFORMAT </w:instrText>
    </w:r>
    <w:r>
      <w:fldChar w:fldCharType="separate"/>
    </w:r>
    <w:r w:rsidR="007A44E9">
      <w:t>UNEP/OzL.Pro/ExCom/93/</w:t>
    </w:r>
    <w:r w:rsidR="0030783E">
      <w:t>2</w:t>
    </w:r>
    <w:r w:rsidR="007A44E9">
      <w:t>1</w:t>
    </w:r>
    <w:r>
      <w:fldChar w:fldCharType="end"/>
    </w:r>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A9B" w14:textId="2F7DE712" w:rsidR="00441083" w:rsidRDefault="000313BC">
    <w:pPr>
      <w:jc w:val="right"/>
    </w:pPr>
    <w:r>
      <w:fldChar w:fldCharType="begin"/>
    </w:r>
    <w:r>
      <w:instrText xml:space="preserve"> DOCPROPERTY "Document number"  \* MERGEFORMAT </w:instrText>
    </w:r>
    <w:r>
      <w:fldChar w:fldCharType="separate"/>
    </w:r>
    <w:r w:rsidR="003A68A8">
      <w:t>UNEP/</w:t>
    </w:r>
    <w:proofErr w:type="spellStart"/>
    <w:r w:rsidR="003A68A8">
      <w:t>OzL.Pro</w:t>
    </w:r>
    <w:proofErr w:type="spellEnd"/>
    <w:r w:rsidR="003A68A8">
      <w:t>/ExCom/93/21</w:t>
    </w:r>
    <w:r>
      <w:fldChar w:fldCharType="end"/>
    </w:r>
  </w:p>
  <w:p w14:paraId="3495ABB0" w14:textId="77777777" w:rsidR="00441083" w:rsidRDefault="00B55AA4">
    <w:pPr>
      <w:jc w:val="right"/>
    </w:pPr>
    <w:r>
      <w:t>Annexe I</w:t>
    </w:r>
  </w:p>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EF6695"/>
    <w:multiLevelType w:val="hybridMultilevel"/>
    <w:tmpl w:val="3A6E0BFE"/>
    <w:lvl w:ilvl="0" w:tplc="214E166A">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19"/>
  </w:num>
  <w:num w:numId="20" w16cid:durableId="364864071">
    <w:abstractNumId w:val="14"/>
  </w:num>
  <w:num w:numId="21" w16cid:durableId="965038582">
    <w:abstractNumId w:val="11"/>
  </w:num>
  <w:num w:numId="22" w16cid:durableId="2050958227">
    <w:abstractNumId w:val="12"/>
  </w:num>
  <w:num w:numId="23" w16cid:durableId="342047548">
    <w:abstractNumId w:val="18"/>
  </w:num>
  <w:num w:numId="24" w16cid:durableId="114002770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313BC"/>
    <w:rsid w:val="0005110A"/>
    <w:rsid w:val="000766FF"/>
    <w:rsid w:val="000F6C8E"/>
    <w:rsid w:val="001217C0"/>
    <w:rsid w:val="00134081"/>
    <w:rsid w:val="0015712F"/>
    <w:rsid w:val="00177D11"/>
    <w:rsid w:val="0019226C"/>
    <w:rsid w:val="001958CA"/>
    <w:rsid w:val="001A7720"/>
    <w:rsid w:val="001B7045"/>
    <w:rsid w:val="001C3D0C"/>
    <w:rsid w:val="001D286E"/>
    <w:rsid w:val="001D4CE7"/>
    <w:rsid w:val="001E6A17"/>
    <w:rsid w:val="00206CF6"/>
    <w:rsid w:val="00212A08"/>
    <w:rsid w:val="002424C2"/>
    <w:rsid w:val="00265AF0"/>
    <w:rsid w:val="002A1609"/>
    <w:rsid w:val="002A307D"/>
    <w:rsid w:val="002A3112"/>
    <w:rsid w:val="002C06D4"/>
    <w:rsid w:val="002E7460"/>
    <w:rsid w:val="002F0571"/>
    <w:rsid w:val="002F0B57"/>
    <w:rsid w:val="003029F8"/>
    <w:rsid w:val="0030783E"/>
    <w:rsid w:val="0031260D"/>
    <w:rsid w:val="0037353A"/>
    <w:rsid w:val="0037664A"/>
    <w:rsid w:val="003A0CA4"/>
    <w:rsid w:val="003A68A8"/>
    <w:rsid w:val="003B2A5D"/>
    <w:rsid w:val="003B77C8"/>
    <w:rsid w:val="003D539A"/>
    <w:rsid w:val="003E149F"/>
    <w:rsid w:val="00403EDF"/>
    <w:rsid w:val="004332FF"/>
    <w:rsid w:val="00441083"/>
    <w:rsid w:val="00444619"/>
    <w:rsid w:val="00445633"/>
    <w:rsid w:val="004644A5"/>
    <w:rsid w:val="00475E3B"/>
    <w:rsid w:val="00490B5D"/>
    <w:rsid w:val="004B1B59"/>
    <w:rsid w:val="004B4D47"/>
    <w:rsid w:val="004B6630"/>
    <w:rsid w:val="004C2C87"/>
    <w:rsid w:val="004C5BD5"/>
    <w:rsid w:val="004E3A36"/>
    <w:rsid w:val="00502BEB"/>
    <w:rsid w:val="005A7F28"/>
    <w:rsid w:val="005B3CAD"/>
    <w:rsid w:val="005B4809"/>
    <w:rsid w:val="005C278F"/>
    <w:rsid w:val="005C4E43"/>
    <w:rsid w:val="005E315A"/>
    <w:rsid w:val="005F4BF0"/>
    <w:rsid w:val="00605093"/>
    <w:rsid w:val="006133C0"/>
    <w:rsid w:val="00615765"/>
    <w:rsid w:val="0062089F"/>
    <w:rsid w:val="00625141"/>
    <w:rsid w:val="0069494B"/>
    <w:rsid w:val="006C51D2"/>
    <w:rsid w:val="006E435D"/>
    <w:rsid w:val="006E75DA"/>
    <w:rsid w:val="007034FA"/>
    <w:rsid w:val="00721F1F"/>
    <w:rsid w:val="0075750B"/>
    <w:rsid w:val="00775FBB"/>
    <w:rsid w:val="007A44E9"/>
    <w:rsid w:val="007D1D7E"/>
    <w:rsid w:val="007D3BF0"/>
    <w:rsid w:val="007E7823"/>
    <w:rsid w:val="007F0243"/>
    <w:rsid w:val="0080137D"/>
    <w:rsid w:val="008018B1"/>
    <w:rsid w:val="00826A85"/>
    <w:rsid w:val="00843511"/>
    <w:rsid w:val="0084351D"/>
    <w:rsid w:val="00843B6D"/>
    <w:rsid w:val="00845351"/>
    <w:rsid w:val="00847BDB"/>
    <w:rsid w:val="008E770E"/>
    <w:rsid w:val="008F7D10"/>
    <w:rsid w:val="00902682"/>
    <w:rsid w:val="0091161A"/>
    <w:rsid w:val="009271F5"/>
    <w:rsid w:val="00956C5C"/>
    <w:rsid w:val="00967157"/>
    <w:rsid w:val="00972E99"/>
    <w:rsid w:val="00975B0F"/>
    <w:rsid w:val="00994CD7"/>
    <w:rsid w:val="009A5180"/>
    <w:rsid w:val="009B6DF9"/>
    <w:rsid w:val="009F6617"/>
    <w:rsid w:val="009F709E"/>
    <w:rsid w:val="009F7AFF"/>
    <w:rsid w:val="00A046A5"/>
    <w:rsid w:val="00A229D0"/>
    <w:rsid w:val="00A25F03"/>
    <w:rsid w:val="00A553C4"/>
    <w:rsid w:val="00A93453"/>
    <w:rsid w:val="00A97E14"/>
    <w:rsid w:val="00AB41B3"/>
    <w:rsid w:val="00AC013C"/>
    <w:rsid w:val="00AE63D8"/>
    <w:rsid w:val="00B059A8"/>
    <w:rsid w:val="00B30344"/>
    <w:rsid w:val="00B30BAE"/>
    <w:rsid w:val="00B37379"/>
    <w:rsid w:val="00B55AA4"/>
    <w:rsid w:val="00B6618D"/>
    <w:rsid w:val="00B811F2"/>
    <w:rsid w:val="00BA3251"/>
    <w:rsid w:val="00BA73CF"/>
    <w:rsid w:val="00BC0368"/>
    <w:rsid w:val="00BC3C7D"/>
    <w:rsid w:val="00BF26B4"/>
    <w:rsid w:val="00C004D8"/>
    <w:rsid w:val="00C024F9"/>
    <w:rsid w:val="00C054BD"/>
    <w:rsid w:val="00C16E3F"/>
    <w:rsid w:val="00C34C3E"/>
    <w:rsid w:val="00C54491"/>
    <w:rsid w:val="00C577D5"/>
    <w:rsid w:val="00C6443E"/>
    <w:rsid w:val="00C65747"/>
    <w:rsid w:val="00C73050"/>
    <w:rsid w:val="00C748B1"/>
    <w:rsid w:val="00C7519D"/>
    <w:rsid w:val="00C9547D"/>
    <w:rsid w:val="00CA14A0"/>
    <w:rsid w:val="00CC2AD5"/>
    <w:rsid w:val="00CC2B33"/>
    <w:rsid w:val="00CF515A"/>
    <w:rsid w:val="00D562DB"/>
    <w:rsid w:val="00D7654A"/>
    <w:rsid w:val="00D94D3B"/>
    <w:rsid w:val="00DB2922"/>
    <w:rsid w:val="00DB4E64"/>
    <w:rsid w:val="00DD15FB"/>
    <w:rsid w:val="00DD3433"/>
    <w:rsid w:val="00E331B7"/>
    <w:rsid w:val="00E348C6"/>
    <w:rsid w:val="00E54871"/>
    <w:rsid w:val="00E60D9C"/>
    <w:rsid w:val="00E66E4F"/>
    <w:rsid w:val="00E76277"/>
    <w:rsid w:val="00E860C1"/>
    <w:rsid w:val="00E930FD"/>
    <w:rsid w:val="00E97ED4"/>
    <w:rsid w:val="00EB2067"/>
    <w:rsid w:val="00EE4C24"/>
    <w:rsid w:val="00F143BC"/>
    <w:rsid w:val="00F218B0"/>
    <w:rsid w:val="00F37A42"/>
    <w:rsid w:val="00F455C9"/>
    <w:rsid w:val="00F557F5"/>
    <w:rsid w:val="00F6769C"/>
    <w:rsid w:val="00F73062"/>
    <w:rsid w:val="00F75F02"/>
    <w:rsid w:val="00F8144E"/>
    <w:rsid w:val="00F9464C"/>
    <w:rsid w:val="00FA099B"/>
    <w:rsid w:val="00FB2C22"/>
    <w:rsid w:val="00FB4914"/>
    <w:rsid w:val="00FC0D87"/>
    <w:rsid w:val="00FC5578"/>
    <w:rsid w:val="00FD22FE"/>
    <w:rsid w:val="00FD4A2E"/>
    <w:rsid w:val="00FE431D"/>
    <w:rsid w:val="00FF31C0"/>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34"/>
    <w:qFormat/>
    <w:rsid w:val="001958CA"/>
    <w:pPr>
      <w:ind w:left="720"/>
      <w:contextualSpacing/>
    </w:pPr>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30344"/>
    <w:rPr>
      <w:sz w:val="22"/>
      <w:szCs w:val="22"/>
      <w:lang w:val="en-GB"/>
    </w:rPr>
  </w:style>
  <w:style w:type="paragraph" w:styleId="NoSpacing">
    <w:name w:val="No Spacing"/>
    <w:link w:val="NoSpacingChar"/>
    <w:uiPriority w:val="1"/>
    <w:qFormat/>
    <w:rsid w:val="00B3034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B30344"/>
    <w:rPr>
      <w:rFonts w:asciiTheme="minorHAnsi" w:eastAsiaTheme="minorEastAsia" w:hAnsiTheme="minorHAnsi" w:cstheme="minorBidi"/>
      <w:sz w:val="22"/>
      <w:szCs w:val="22"/>
      <w:lang w:eastAsia="ja-JP"/>
    </w:rPr>
  </w:style>
  <w:style w:type="paragraph" w:customStyle="1" w:styleId="Default">
    <w:name w:val="Default"/>
    <w:rsid w:val="00B30344"/>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UNEP/OzL.Pro/ExCom/93/21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30D2DE71CB9C14283217B15196F66D5" ma:contentTypeVersion="5" ma:contentTypeDescription="Create a new document." ma:contentTypeScope="" ma:versionID="e82a66449d57c06f98d3c8aeee24a83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2842C007-268A-49A8-BD04-FB4C9C909266}"/>
</file>

<file path=docProps/app.xml><?xml version="1.0" encoding="utf-8"?>
<Properties xmlns="http://schemas.openxmlformats.org/officeDocument/2006/extended-properties" xmlns:vt="http://schemas.openxmlformats.org/officeDocument/2006/docPropsVTypes">
  <Template>F93-Template</Template>
  <TotalTime>21</TotalTime>
  <Pages>13</Pages>
  <Words>6315</Words>
  <Characters>32564</Characters>
  <Application>Microsoft Office Word</Application>
  <DocSecurity>0</DocSecurity>
  <Lines>271</Lines>
  <Paragraphs>77</Paragraphs>
  <ScaleCrop>false</ScaleCrop>
  <HeadingPairs>
    <vt:vector size="2" baseType="variant">
      <vt:variant>
        <vt:lpstr>Title</vt:lpstr>
      </vt:variant>
      <vt:variant>
        <vt:i4>1</vt:i4>
      </vt:variant>
    </vt:vector>
  </HeadingPairs>
  <TitlesOfParts>
    <vt:vector size="1" baseType="lpstr">
      <vt:lpstr>Rapports sur les projets comportant des exigences particulières</vt:lpstr>
    </vt:vector>
  </TitlesOfParts>
  <Company>UNMFS</Company>
  <LinksUpToDate>false</LinksUpToDate>
  <CharactersWithSpaces>38802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 de remise de rapports: rapports comportant des questions en instance</dc:title>
  <dc:creator>HBE</dc:creator>
  <cp:keywords>93rd Excom</cp:keywords>
  <cp:lastModifiedBy>HBE</cp:lastModifiedBy>
  <cp:revision>9</cp:revision>
  <cp:lastPrinted>2023-12-11T14:40:00Z</cp:lastPrinted>
  <dcterms:created xsi:type="dcterms:W3CDTF">2023-12-11T16:26:00Z</dcterms:created>
  <dcterms:modified xsi:type="dcterms:W3CDTF">2023-12-12T14:16:00Z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UNEP/OzL.Pro/ExCom/93/21</vt:lpwstr>
  </property>
  <property fmtid="{D5CDD505-2E9C-101B-9397-08002B2CF9AE}" pid="3" name="Revision date">
    <vt:lpwstr>12/4/2023</vt:lpwstr>
  </property>
  <property fmtid="{D5CDD505-2E9C-101B-9397-08002B2CF9AE}" pid="4" name="ContentTypeId">
    <vt:lpwstr>0x010100230D2DE71CB9C14283217B15196F66D5</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