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394925" w14:paraId="5EF8F550" w14:textId="77777777" w:rsidTr="001531D1">
        <w:trPr>
          <w:trHeight w:val="720"/>
        </w:trPr>
        <w:tc>
          <w:tcPr>
            <w:tcW w:w="4410" w:type="dxa"/>
            <w:gridSpan w:val="2"/>
            <w:tcBorders>
              <w:bottom w:val="single" w:sz="18" w:space="0" w:color="auto"/>
            </w:tcBorders>
          </w:tcPr>
          <w:p w14:paraId="23DB3917" w14:textId="77777777" w:rsidR="00394925" w:rsidRPr="00B64779" w:rsidRDefault="00394925" w:rsidP="0002378F">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2C29E9BE" w14:textId="77777777" w:rsidR="00394925" w:rsidRDefault="00394925" w:rsidP="0002378F">
            <w:pPr>
              <w:pStyle w:val="Heading3"/>
              <w:numPr>
                <w:ilvl w:val="0"/>
                <w:numId w:val="0"/>
              </w:numPr>
              <w:bidi/>
              <w:ind w:left="270" w:right="1384"/>
              <w:rPr>
                <w:b/>
                <w:bCs/>
                <w:sz w:val="48"/>
                <w:szCs w:val="48"/>
              </w:rPr>
            </w:pPr>
            <w:r>
              <w:rPr>
                <w:b/>
                <w:bCs/>
                <w:sz w:val="48"/>
                <w:szCs w:val="48"/>
                <w:rtl/>
              </w:rPr>
              <w:t>الأمم المتحدة</w:t>
            </w:r>
          </w:p>
        </w:tc>
      </w:tr>
      <w:tr w:rsidR="00394925" w14:paraId="155BE11E" w14:textId="77777777" w:rsidTr="001531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FE7EF5B" w14:textId="77777777" w:rsidR="00394925" w:rsidRPr="00394925" w:rsidRDefault="00394925" w:rsidP="0002378F">
            <w:pPr>
              <w:jc w:val="left"/>
              <w:rPr>
                <w:sz w:val="24"/>
                <w:szCs w:val="24"/>
                <w:lang w:val="en-US"/>
              </w:rPr>
            </w:pPr>
            <w:r w:rsidRPr="00394925">
              <w:rPr>
                <w:sz w:val="24"/>
                <w:szCs w:val="24"/>
                <w:lang w:val="en-US"/>
              </w:rPr>
              <w:t>Distr.</w:t>
            </w:r>
          </w:p>
          <w:p w14:paraId="4FD6421C" w14:textId="77777777" w:rsidR="00394925" w:rsidRPr="00394925" w:rsidRDefault="00394925" w:rsidP="0002378F">
            <w:pPr>
              <w:jc w:val="left"/>
              <w:rPr>
                <w:sz w:val="24"/>
                <w:szCs w:val="24"/>
                <w:lang w:val="en-US"/>
              </w:rPr>
            </w:pPr>
            <w:r w:rsidRPr="00394925">
              <w:rPr>
                <w:sz w:val="24"/>
                <w:szCs w:val="24"/>
                <w:lang w:val="en-US"/>
              </w:rPr>
              <w:t>GENERAL</w:t>
            </w:r>
          </w:p>
          <w:p w14:paraId="69B31405" w14:textId="77777777" w:rsidR="00394925" w:rsidRPr="00394925" w:rsidRDefault="00394925" w:rsidP="0002378F">
            <w:pPr>
              <w:jc w:val="left"/>
              <w:rPr>
                <w:sz w:val="24"/>
                <w:szCs w:val="24"/>
                <w:lang w:val="en-US"/>
              </w:rPr>
            </w:pPr>
          </w:p>
          <w:p w14:paraId="1613FA95" w14:textId="7EBBAC47" w:rsidR="00394925" w:rsidRPr="00394925" w:rsidRDefault="00394925" w:rsidP="0002378F">
            <w:pPr>
              <w:rPr>
                <w:sz w:val="24"/>
                <w:szCs w:val="24"/>
                <w:rtl/>
              </w:rPr>
            </w:pPr>
            <w:r w:rsidRPr="00394925">
              <w:rPr>
                <w:sz w:val="24"/>
                <w:szCs w:val="24"/>
              </w:rPr>
              <w:fldChar w:fldCharType="begin"/>
            </w:r>
            <w:r w:rsidRPr="00394925">
              <w:rPr>
                <w:sz w:val="24"/>
                <w:szCs w:val="24"/>
              </w:rPr>
              <w:instrText xml:space="preserve"> DOCPROPERTY "Document number"  \* MERGEFORMAT </w:instrText>
            </w:r>
            <w:r w:rsidRPr="00394925">
              <w:rPr>
                <w:sz w:val="24"/>
                <w:szCs w:val="24"/>
              </w:rPr>
              <w:fldChar w:fldCharType="separate"/>
            </w:r>
            <w:r w:rsidRPr="00394925">
              <w:rPr>
                <w:sz w:val="24"/>
                <w:szCs w:val="24"/>
              </w:rPr>
              <w:t>UNEP/OzL.Pro/ExCom/99/10</w:t>
            </w:r>
            <w:r w:rsidRPr="00394925">
              <w:rPr>
                <w:sz w:val="24"/>
                <w:szCs w:val="24"/>
              </w:rPr>
              <w:fldChar w:fldCharType="end"/>
            </w:r>
          </w:p>
          <w:p w14:paraId="1780D5C9" w14:textId="16EE30A5" w:rsidR="00394925" w:rsidRPr="00394925" w:rsidRDefault="00394925" w:rsidP="0002378F">
            <w:pPr>
              <w:rPr>
                <w:sz w:val="24"/>
                <w:szCs w:val="24"/>
              </w:rPr>
            </w:pPr>
            <w:r w:rsidRPr="00394925">
              <w:rPr>
                <w:sz w:val="24"/>
                <w:szCs w:val="24"/>
              </w:rPr>
              <w:fldChar w:fldCharType="begin"/>
            </w:r>
            <w:r w:rsidRPr="00394925">
              <w:rPr>
                <w:sz w:val="24"/>
                <w:szCs w:val="24"/>
              </w:rPr>
              <w:instrText xml:space="preserve"> DOCPROPERTY "Revision date" \@ "d MMMM YYYY"  \* MERGEFORMAT </w:instrText>
            </w:r>
            <w:r w:rsidRPr="00394925">
              <w:rPr>
                <w:sz w:val="24"/>
                <w:szCs w:val="24"/>
              </w:rPr>
              <w:fldChar w:fldCharType="separate"/>
            </w:r>
            <w:r w:rsidRPr="00394925">
              <w:rPr>
                <w:sz w:val="24"/>
                <w:szCs w:val="24"/>
              </w:rPr>
              <w:t>29 October 2026</w:t>
            </w:r>
            <w:r w:rsidRPr="00394925">
              <w:rPr>
                <w:sz w:val="24"/>
                <w:szCs w:val="24"/>
              </w:rPr>
              <w:fldChar w:fldCharType="end"/>
            </w:r>
          </w:p>
          <w:p w14:paraId="44964793" w14:textId="77777777" w:rsidR="00394925" w:rsidRPr="00394925" w:rsidRDefault="00394925" w:rsidP="0002378F">
            <w:pPr>
              <w:jc w:val="left"/>
              <w:rPr>
                <w:sz w:val="24"/>
                <w:szCs w:val="24"/>
                <w:rtl/>
                <w:lang w:val="en-US"/>
              </w:rPr>
            </w:pPr>
          </w:p>
          <w:p w14:paraId="5444BE26" w14:textId="77777777" w:rsidR="00394925" w:rsidRPr="00394925" w:rsidRDefault="00394925" w:rsidP="0002378F">
            <w:pPr>
              <w:jc w:val="left"/>
              <w:rPr>
                <w:sz w:val="24"/>
                <w:szCs w:val="24"/>
                <w:lang w:val="en-US"/>
              </w:rPr>
            </w:pPr>
            <w:r w:rsidRPr="00394925">
              <w:rPr>
                <w:sz w:val="24"/>
                <w:szCs w:val="24"/>
                <w:lang w:val="en-US"/>
              </w:rPr>
              <w:t>ARABIC</w:t>
            </w:r>
          </w:p>
          <w:p w14:paraId="6C3F9949" w14:textId="77777777" w:rsidR="00394925" w:rsidRDefault="00394925" w:rsidP="0002378F">
            <w:pPr>
              <w:jc w:val="left"/>
              <w:rPr>
                <w:lang w:val="en-US"/>
              </w:rPr>
            </w:pPr>
            <w:r w:rsidRPr="00394925">
              <w:rPr>
                <w:sz w:val="24"/>
                <w:szCs w:val="24"/>
                <w:lang w:val="en-US"/>
              </w:rPr>
              <w:t>ORIGINAL: ENGLISH</w:t>
            </w:r>
          </w:p>
        </w:tc>
        <w:tc>
          <w:tcPr>
            <w:tcW w:w="3402" w:type="dxa"/>
            <w:gridSpan w:val="2"/>
            <w:tcBorders>
              <w:top w:val="nil"/>
              <w:left w:val="nil"/>
              <w:bottom w:val="single" w:sz="36" w:space="0" w:color="auto"/>
              <w:right w:val="nil"/>
            </w:tcBorders>
          </w:tcPr>
          <w:p w14:paraId="5EE86B6C" w14:textId="77777777" w:rsidR="00394925" w:rsidRDefault="00394925" w:rsidP="00161016">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56DE946" w14:textId="77777777" w:rsidR="00394925" w:rsidRDefault="00394925" w:rsidP="00161016">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49AF082" w14:textId="77777777" w:rsidR="00394925" w:rsidRDefault="00394925" w:rsidP="00161016">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709690B" w14:textId="77777777" w:rsidR="00394925" w:rsidRDefault="00394925" w:rsidP="0002378F">
            <w:pPr>
              <w:rPr>
                <w:caps/>
                <w:lang w:val="en-US"/>
              </w:rPr>
            </w:pPr>
            <w:r>
              <w:rPr>
                <w:noProof/>
                <w:lang w:eastAsia="en-CA"/>
              </w:rPr>
              <w:drawing>
                <wp:anchor distT="0" distB="0" distL="114300" distR="114300" simplePos="0" relativeHeight="251659264" behindDoc="1" locked="0" layoutInCell="0" allowOverlap="1" wp14:anchorId="2B62EC80" wp14:editId="0D17C75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0F9F36" w14:textId="77777777" w:rsidR="00394925" w:rsidRDefault="00394925" w:rsidP="0002378F">
            <w:pPr>
              <w:rPr>
                <w:lang w:val="en-US"/>
              </w:rPr>
            </w:pPr>
            <w:r>
              <w:rPr>
                <w:noProof/>
                <w:lang w:eastAsia="en-CA"/>
              </w:rPr>
              <w:drawing>
                <wp:anchor distT="0" distB="0" distL="114300" distR="114300" simplePos="0" relativeHeight="251660288" behindDoc="0" locked="0" layoutInCell="0" allowOverlap="1" wp14:anchorId="64470A1A" wp14:editId="145B7BD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0D7F12D" w14:textId="77777777" w:rsidR="00394925" w:rsidRDefault="00394925" w:rsidP="00394925">
      <w:pPr>
        <w:pStyle w:val="Caption"/>
        <w:spacing w:line="200" w:lineRule="exact"/>
        <w:ind w:left="187" w:right="187" w:hanging="187"/>
        <w:jc w:val="both"/>
        <w:rPr>
          <w:rFonts w:cs="Akhbar MT"/>
          <w:b/>
          <w:bCs/>
          <w:sz w:val="28"/>
          <w:szCs w:val="28"/>
          <w:rtl/>
        </w:rPr>
      </w:pPr>
    </w:p>
    <w:p w14:paraId="774C0471" w14:textId="77777777" w:rsidR="00394925" w:rsidRPr="009E4D1E" w:rsidRDefault="00394925" w:rsidP="00394925">
      <w:pPr>
        <w:pStyle w:val="Caption"/>
        <w:ind w:right="180"/>
        <w:jc w:val="both"/>
        <w:rPr>
          <w:rFonts w:cs="Times New Roman"/>
          <w:b/>
          <w:sz w:val="28"/>
          <w:szCs w:val="28"/>
          <w:rtl/>
          <w:lang w:val="en-CA" w:eastAsia="en-US"/>
        </w:rPr>
      </w:pPr>
      <w:r w:rsidRPr="009E4D1E">
        <w:rPr>
          <w:rFonts w:cs="Times New Roman"/>
          <w:b/>
          <w:sz w:val="28"/>
          <w:szCs w:val="28"/>
          <w:rtl/>
          <w:lang w:val="en-CA" w:eastAsia="en-US"/>
        </w:rPr>
        <w:t>اللجنــة التنفيـذيــــة للصنــدوق المــتعــدد الأطـــراف</w:t>
      </w:r>
    </w:p>
    <w:p w14:paraId="3A534CA0" w14:textId="77777777" w:rsidR="00394925" w:rsidRPr="009E4D1E" w:rsidRDefault="00394925" w:rsidP="00394925">
      <w:pPr>
        <w:bidi/>
        <w:ind w:left="180" w:hanging="180"/>
        <w:rPr>
          <w:b/>
          <w:sz w:val="28"/>
          <w:szCs w:val="28"/>
          <w:lang w:val="en-US"/>
        </w:rPr>
      </w:pPr>
      <w:r w:rsidRPr="009E4D1E">
        <w:rPr>
          <w:b/>
          <w:sz w:val="28"/>
          <w:szCs w:val="28"/>
          <w:rtl/>
        </w:rPr>
        <w:t xml:space="preserve">لتنفيـــذ بروتوكـول مونتريــال </w:t>
      </w:r>
    </w:p>
    <w:p w14:paraId="28AF78F5" w14:textId="77777777" w:rsidR="00394925" w:rsidRPr="009E4D1E" w:rsidRDefault="00394925" w:rsidP="00394925">
      <w:pPr>
        <w:bidi/>
        <w:ind w:left="180" w:hanging="180"/>
        <w:rPr>
          <w:sz w:val="28"/>
          <w:szCs w:val="28"/>
        </w:rPr>
      </w:pPr>
      <w:r w:rsidRPr="009E4D1E">
        <w:rPr>
          <w:sz w:val="28"/>
          <w:szCs w:val="28"/>
          <w:rtl/>
        </w:rPr>
        <w:t xml:space="preserve">الاجتماع التاسع والتسعون </w:t>
      </w:r>
    </w:p>
    <w:p w14:paraId="4F505A7A" w14:textId="77777777" w:rsidR="00394925" w:rsidRPr="0002642B" w:rsidRDefault="00394925" w:rsidP="00394925">
      <w:pPr>
        <w:bidi/>
        <w:ind w:left="180" w:hanging="180"/>
        <w:jc w:val="lowKashida"/>
        <w:rPr>
          <w:sz w:val="28"/>
          <w:szCs w:val="28"/>
          <w:lang w:val="en-US"/>
        </w:rPr>
      </w:pPr>
      <w:r>
        <w:rPr>
          <w:sz w:val="28"/>
          <w:szCs w:val="28"/>
          <w:rtl/>
        </w:rPr>
        <w:t>مونتريال،</w:t>
      </w:r>
      <w:r>
        <w:rPr>
          <w:rFonts w:hint="cs"/>
          <w:sz w:val="28"/>
          <w:szCs w:val="28"/>
          <w:rtl/>
        </w:rPr>
        <w:t xml:space="preserve"> </w:t>
      </w:r>
      <w:r>
        <w:rPr>
          <w:sz w:val="28"/>
          <w:szCs w:val="28"/>
        </w:rPr>
        <w:t>7</w:t>
      </w:r>
      <w:r>
        <w:rPr>
          <w:rFonts w:hint="cs"/>
          <w:sz w:val="28"/>
          <w:szCs w:val="28"/>
          <w:rtl/>
        </w:rPr>
        <w:t>-</w:t>
      </w:r>
      <w:r>
        <w:rPr>
          <w:sz w:val="28"/>
          <w:szCs w:val="28"/>
        </w:rPr>
        <w:t>11</w:t>
      </w:r>
      <w:r>
        <w:rPr>
          <w:rFonts w:hint="cs"/>
          <w:sz w:val="28"/>
          <w:szCs w:val="28"/>
          <w:rtl/>
          <w:lang w:val="en-US" w:bidi="ar-AE"/>
        </w:rPr>
        <w:t xml:space="preserve"> ديسمبر/كانون الأول </w:t>
      </w:r>
      <w:r>
        <w:rPr>
          <w:sz w:val="28"/>
          <w:szCs w:val="28"/>
          <w:lang w:val="en-US" w:bidi="ar-AE"/>
        </w:rPr>
        <w:t>2026</w:t>
      </w:r>
    </w:p>
    <w:p w14:paraId="5A8773B0" w14:textId="7BC0BC99" w:rsidR="00394925" w:rsidRPr="001D0BBC" w:rsidRDefault="00394925" w:rsidP="000C35A2">
      <w:pPr>
        <w:bidi/>
        <w:spacing w:after="360"/>
        <w:jc w:val="left"/>
        <w:rPr>
          <w:sz w:val="28"/>
          <w:szCs w:val="28"/>
          <w:rtl/>
          <w:lang w:val="en-US" w:bidi="ar-AE"/>
        </w:rPr>
      </w:pPr>
      <w:r w:rsidRPr="006106BD">
        <w:rPr>
          <w:sz w:val="28"/>
          <w:szCs w:val="28"/>
          <w:rtl/>
        </w:rPr>
        <w:t xml:space="preserve">البند </w:t>
      </w:r>
      <w:r>
        <w:rPr>
          <w:sz w:val="28"/>
          <w:szCs w:val="28"/>
        </w:rPr>
        <w:t>6</w:t>
      </w:r>
      <w:r w:rsidRPr="0044628C">
        <w:rPr>
          <w:sz w:val="28"/>
          <w:szCs w:val="28"/>
          <w:rtl/>
        </w:rPr>
        <w:t>(</w:t>
      </w:r>
      <w:r>
        <w:rPr>
          <w:rFonts w:hint="cs"/>
          <w:sz w:val="28"/>
          <w:szCs w:val="28"/>
          <w:rtl/>
        </w:rPr>
        <w:t>ب</w:t>
      </w:r>
      <w:r w:rsidRPr="0044628C">
        <w:rPr>
          <w:sz w:val="28"/>
          <w:szCs w:val="28"/>
          <w:rtl/>
        </w:rPr>
        <w:t>)</w:t>
      </w:r>
      <w:r>
        <w:rPr>
          <w:rtl/>
        </w:rPr>
        <w:t xml:space="preserve"> </w:t>
      </w:r>
      <w:r w:rsidRPr="006106BD">
        <w:rPr>
          <w:sz w:val="28"/>
          <w:szCs w:val="28"/>
          <w:rtl/>
        </w:rPr>
        <w:t xml:space="preserve">من جدول الأعمال </w:t>
      </w:r>
      <w:r>
        <w:rPr>
          <w:rFonts w:hint="cs"/>
          <w:sz w:val="28"/>
          <w:szCs w:val="28"/>
          <w:rtl/>
          <w:lang w:bidi="ar-AE"/>
        </w:rPr>
        <w:t>المؤقت</w:t>
      </w:r>
      <w:r w:rsidR="0072665A">
        <w:rPr>
          <w:rStyle w:val="FootnoteReference"/>
          <w:sz w:val="28"/>
          <w:szCs w:val="28"/>
          <w:lang w:val="en-US" w:bidi="ar-AE"/>
        </w:rPr>
        <w:footnoteReference w:id="1"/>
      </w:r>
    </w:p>
    <w:p w14:paraId="4E8F1562" w14:textId="34345B49" w:rsidR="001531D1" w:rsidRPr="001531D1" w:rsidRDefault="001531D1" w:rsidP="001531D1">
      <w:pPr>
        <w:pStyle w:val="MLFSection"/>
        <w:bidi/>
        <w:spacing w:after="240" w:line="240" w:lineRule="auto"/>
        <w:jc w:val="center"/>
        <w:rPr>
          <w:rFonts w:cs="Times New Roman"/>
          <w:b w:val="0"/>
          <w:bCs/>
          <w:sz w:val="28"/>
          <w:szCs w:val="28"/>
          <w:rtl/>
          <w:lang w:bidi="ar-AE"/>
        </w:rPr>
      </w:pPr>
      <w:r w:rsidRPr="001531D1">
        <w:rPr>
          <w:rFonts w:cs="Times New Roman"/>
          <w:b w:val="0"/>
          <w:bCs/>
          <w:sz w:val="28"/>
          <w:szCs w:val="28"/>
          <w:rtl/>
          <w:lang w:bidi="ar-AE"/>
        </w:rPr>
        <w:t>الاختصاصات المحدثة لتقييم شامل متعمق لبرنامج المساعدة على الامتثال</w:t>
      </w:r>
    </w:p>
    <w:p w14:paraId="254853E9" w14:textId="08A1AB8F" w:rsidR="001531D1" w:rsidRPr="001531D1" w:rsidRDefault="001531D1" w:rsidP="001531D1">
      <w:pPr>
        <w:pStyle w:val="MLFSection"/>
        <w:bidi/>
        <w:spacing w:before="0" w:after="240" w:line="240" w:lineRule="auto"/>
        <w:rPr>
          <w:rFonts w:asciiTheme="majorBidi" w:hAnsiTheme="majorBidi" w:cstheme="majorBidi"/>
          <w:b w:val="0"/>
          <w:bCs/>
          <w:sz w:val="26"/>
          <w:szCs w:val="26"/>
          <w:rtl/>
          <w:lang w:bidi="ar-AE"/>
        </w:rPr>
      </w:pPr>
      <w:r>
        <w:rPr>
          <w:rFonts w:asciiTheme="majorBidi" w:hAnsiTheme="majorBidi" w:cstheme="majorBidi" w:hint="cs"/>
          <w:b w:val="0"/>
          <w:bCs/>
          <w:sz w:val="26"/>
          <w:szCs w:val="26"/>
          <w:rtl/>
          <w:lang w:bidi="ar-AE"/>
        </w:rPr>
        <w:t>مقدمة</w:t>
      </w:r>
    </w:p>
    <w:p w14:paraId="3D471667" w14:textId="411EFD80" w:rsidR="001531D1" w:rsidRPr="001531D1" w:rsidRDefault="00850F6A" w:rsidP="00161016">
      <w:pPr>
        <w:pStyle w:val="ListParagraph"/>
        <w:numPr>
          <w:ilvl w:val="0"/>
          <w:numId w:val="31"/>
        </w:numPr>
        <w:bidi/>
        <w:spacing w:after="240" w:line="264" w:lineRule="auto"/>
        <w:ind w:left="0" w:firstLine="0"/>
        <w:contextualSpacing w:val="0"/>
        <w:rPr>
          <w:sz w:val="26"/>
          <w:szCs w:val="26"/>
          <w:lang w:val="en-US"/>
        </w:rPr>
      </w:pPr>
      <w:r w:rsidRPr="00850F6A">
        <w:rPr>
          <w:sz w:val="26"/>
          <w:szCs w:val="26"/>
          <w:rtl/>
          <w:lang w:val="en-US"/>
        </w:rPr>
        <w:t xml:space="preserve">في اجتماعها الثالث والتسعين، وافقت اللجنة التنفيذية على اختصاصات دراسة </w:t>
      </w:r>
      <w:r>
        <w:rPr>
          <w:rFonts w:hint="cs"/>
          <w:sz w:val="26"/>
          <w:szCs w:val="26"/>
          <w:rtl/>
          <w:lang w:val="en-US"/>
        </w:rPr>
        <w:t>نظرية</w:t>
      </w:r>
      <w:r w:rsidRPr="00850F6A">
        <w:rPr>
          <w:sz w:val="26"/>
          <w:szCs w:val="26"/>
          <w:rtl/>
          <w:lang w:val="en-US"/>
        </w:rPr>
        <w:t xml:space="preserve"> لتقييم برنامج المساعدة على الامتثال التابع لبرنامج الأمم المتحدة للبيئة (اليونيب)، الواردة في الوثيقة </w:t>
      </w:r>
      <w:r w:rsidRPr="00850F6A">
        <w:rPr>
          <w:sz w:val="26"/>
          <w:szCs w:val="26"/>
          <w:lang w:val="en-US"/>
        </w:rPr>
        <w:t>UNEP/OzL.Pro/ExCom/93/12/Rev.1</w:t>
      </w:r>
      <w:r w:rsidRPr="00850F6A">
        <w:rPr>
          <w:sz w:val="26"/>
          <w:szCs w:val="26"/>
          <w:rtl/>
          <w:lang w:val="en-US"/>
        </w:rPr>
        <w:t xml:space="preserve">. وقد شكّلت الدراسة </w:t>
      </w:r>
      <w:r>
        <w:rPr>
          <w:rFonts w:hint="cs"/>
          <w:sz w:val="26"/>
          <w:szCs w:val="26"/>
          <w:rtl/>
          <w:lang w:val="en-US"/>
        </w:rPr>
        <w:t>النظرية</w:t>
      </w:r>
      <w:r w:rsidRPr="00850F6A">
        <w:rPr>
          <w:sz w:val="26"/>
          <w:szCs w:val="26"/>
          <w:rtl/>
          <w:lang w:val="en-US"/>
        </w:rPr>
        <w:t xml:space="preserve"> المرحلة الأولى من التقييم، الذي هدَف إلى الوقوف على تطور برنامج المساعدة على الامتثال وإنجازاته منذ التقييم السابق المنجز في عام </w:t>
      </w:r>
      <w:r>
        <w:rPr>
          <w:sz w:val="26"/>
          <w:szCs w:val="26"/>
          <w:lang w:val="en-US"/>
        </w:rPr>
        <w:t>2007</w:t>
      </w:r>
      <w:r w:rsidRPr="00850F6A">
        <w:rPr>
          <w:sz w:val="26"/>
          <w:szCs w:val="26"/>
          <w:rtl/>
          <w:lang w:val="en-US"/>
        </w:rPr>
        <w:t>.</w:t>
      </w:r>
      <w:r>
        <w:rPr>
          <w:rStyle w:val="FootnoteReference"/>
          <w:sz w:val="26"/>
          <w:szCs w:val="26"/>
          <w:lang w:val="en-US" w:bidi="ar-AE"/>
        </w:rPr>
        <w:footnoteReference w:id="2"/>
      </w:r>
    </w:p>
    <w:p w14:paraId="2F9BD348" w14:textId="5A673D5B" w:rsidR="00850F6A" w:rsidRPr="00850F6A" w:rsidRDefault="00850F6A" w:rsidP="00161016">
      <w:pPr>
        <w:pStyle w:val="ListParagraph"/>
        <w:numPr>
          <w:ilvl w:val="0"/>
          <w:numId w:val="31"/>
        </w:numPr>
        <w:bidi/>
        <w:spacing w:after="240" w:line="264" w:lineRule="auto"/>
        <w:ind w:left="0" w:firstLine="0"/>
        <w:contextualSpacing w:val="0"/>
        <w:rPr>
          <w:sz w:val="26"/>
          <w:szCs w:val="26"/>
          <w:lang w:val="en-US"/>
        </w:rPr>
      </w:pPr>
      <w:r w:rsidRPr="00850F6A">
        <w:rPr>
          <w:sz w:val="26"/>
          <w:szCs w:val="26"/>
          <w:rtl/>
          <w:lang w:val="en-US"/>
        </w:rPr>
        <w:t xml:space="preserve">عُرضت الدراسة النظرية في الاجتماع الخامس والتسعين في الوثيقة </w:t>
      </w:r>
      <w:r w:rsidRPr="00850F6A">
        <w:rPr>
          <w:sz w:val="26"/>
          <w:szCs w:val="26"/>
          <w:lang w:val="en-US"/>
        </w:rPr>
        <w:t>UNEP/OzL.Pro/ExCom/95/11</w:t>
      </w:r>
      <w:r w:rsidRPr="00850F6A">
        <w:rPr>
          <w:sz w:val="26"/>
          <w:szCs w:val="26"/>
          <w:rtl/>
          <w:lang w:val="en-US"/>
        </w:rPr>
        <w:t>. وأكدت اللجنة التنفيذية مجدداً أهمية برنامج المساعدة على الامتثال، ولا سيما في سياق التخفيض التدريجي للمواد الهيدروفلوروكربونية، وأيدت إجراء تقييم أشمل للمرحلة الثانية يركز على أثر برنامج المساعدة على الامتثال وفعاليته بوصفه برنامجاً عالمياً.</w:t>
      </w:r>
    </w:p>
    <w:p w14:paraId="05CF5C89" w14:textId="2AB68C2C" w:rsidR="00186BA7" w:rsidRPr="00186BA7" w:rsidRDefault="00186BA7" w:rsidP="009E7F40">
      <w:pPr>
        <w:pStyle w:val="ListParagraph"/>
        <w:numPr>
          <w:ilvl w:val="0"/>
          <w:numId w:val="31"/>
        </w:numPr>
        <w:bidi/>
        <w:spacing w:after="240" w:line="264" w:lineRule="auto"/>
        <w:ind w:left="0" w:firstLine="0"/>
        <w:contextualSpacing w:val="0"/>
        <w:rPr>
          <w:sz w:val="26"/>
          <w:szCs w:val="26"/>
          <w:lang w:val="en-US"/>
        </w:rPr>
      </w:pPr>
      <w:r w:rsidRPr="00186BA7">
        <w:rPr>
          <w:sz w:val="26"/>
          <w:szCs w:val="26"/>
          <w:rtl/>
          <w:lang w:val="en-US"/>
        </w:rPr>
        <w:t xml:space="preserve">وأثناء المناقشة، لاحظ أعضاء اللجنة التنفيذية أن الدراسة النظرية استعرضت، بحكم </w:t>
      </w:r>
      <w:r>
        <w:rPr>
          <w:rFonts w:hint="cs"/>
          <w:sz w:val="26"/>
          <w:szCs w:val="26"/>
          <w:rtl/>
          <w:lang w:val="en-US"/>
        </w:rPr>
        <w:t xml:space="preserve">طبيعة </w:t>
      </w:r>
      <w:r w:rsidRPr="00186BA7">
        <w:rPr>
          <w:sz w:val="26"/>
          <w:szCs w:val="26"/>
          <w:rtl/>
          <w:lang w:val="en-US"/>
        </w:rPr>
        <w:t xml:space="preserve">تصميمها، الوثائق المتاحة لوضع نتائج أولية، وأن أبعاداً أكثر تفصيلاً، مثل أثر برنامج المساعدة على الامتثال وفعاليته، ينبغي تناولها في المرحلة الثانية من التقييم. واقترح الأعضاء أن تقيّم المرحلة الثانية برنامج المساعدة على الامتثال بوصفه برنامجاً عالمياً، وهو ما لا يستلزم بالضرورة بعثات ميدانية. كما اقترحوا أن تشمل الاختصاصات دعم البلدان العاملة بموجب المادة </w:t>
      </w:r>
      <w:r>
        <w:rPr>
          <w:sz w:val="26"/>
          <w:szCs w:val="26"/>
          <w:lang w:val="en-US"/>
        </w:rPr>
        <w:t>5</w:t>
      </w:r>
      <w:r w:rsidRPr="00186BA7">
        <w:rPr>
          <w:sz w:val="26"/>
          <w:szCs w:val="26"/>
          <w:rtl/>
          <w:lang w:val="en-US"/>
        </w:rPr>
        <w:t xml:space="preserve"> في</w:t>
      </w:r>
      <w:r w:rsidR="00646587">
        <w:rPr>
          <w:rFonts w:hint="cs"/>
          <w:sz w:val="26"/>
          <w:szCs w:val="26"/>
          <w:rtl/>
          <w:lang w:val="en-US"/>
        </w:rPr>
        <w:t>ما يتعلق</w:t>
      </w:r>
      <w:r w:rsidRPr="00186BA7">
        <w:rPr>
          <w:sz w:val="26"/>
          <w:szCs w:val="26"/>
          <w:rtl/>
          <w:lang w:val="en-US"/>
        </w:rPr>
        <w:t xml:space="preserve"> </w:t>
      </w:r>
      <w:r w:rsidR="00646587">
        <w:rPr>
          <w:rFonts w:hint="cs"/>
          <w:sz w:val="26"/>
          <w:szCs w:val="26"/>
          <w:rtl/>
          <w:lang w:val="en-US"/>
        </w:rPr>
        <w:t>ب</w:t>
      </w:r>
      <w:r w:rsidRPr="00186BA7">
        <w:rPr>
          <w:sz w:val="26"/>
          <w:szCs w:val="26"/>
          <w:rtl/>
          <w:lang w:val="en-US"/>
        </w:rPr>
        <w:t xml:space="preserve">مشروعات كفاءة استخدام الطاقة، وتحليلاً أعمق للعوائق والتحديات التي تؤثر على التنفيذ، </w:t>
      </w:r>
      <w:r w:rsidR="00A84864">
        <w:rPr>
          <w:rFonts w:hint="cs"/>
          <w:sz w:val="26"/>
          <w:szCs w:val="26"/>
          <w:rtl/>
          <w:lang w:val="en-US"/>
        </w:rPr>
        <w:t>والشواغل</w:t>
      </w:r>
      <w:r w:rsidRPr="00186BA7">
        <w:rPr>
          <w:sz w:val="26"/>
          <w:szCs w:val="26"/>
          <w:rtl/>
          <w:lang w:val="en-US"/>
        </w:rPr>
        <w:t xml:space="preserve"> التي أبلغت عنها البلدان العاملة بموجب المادة </w:t>
      </w:r>
      <w:r>
        <w:rPr>
          <w:sz w:val="26"/>
          <w:szCs w:val="26"/>
          <w:lang w:val="en-US"/>
        </w:rPr>
        <w:t>5</w:t>
      </w:r>
      <w:r w:rsidRPr="00186BA7">
        <w:rPr>
          <w:sz w:val="26"/>
          <w:szCs w:val="26"/>
          <w:rtl/>
          <w:lang w:val="en-US"/>
        </w:rPr>
        <w:t xml:space="preserve"> إلى الاجتماع السادس والثلاثين للأطراف، من خلال التركيز على المسائل الشاملة والمقابلات مع وحدات الأوزون الوطنية. </w:t>
      </w:r>
      <w:r>
        <w:rPr>
          <w:rFonts w:hint="cs"/>
          <w:sz w:val="26"/>
          <w:szCs w:val="26"/>
          <w:rtl/>
          <w:lang w:val="en-US"/>
        </w:rPr>
        <w:t>وسلط</w:t>
      </w:r>
      <w:r w:rsidRPr="00186BA7">
        <w:rPr>
          <w:sz w:val="26"/>
          <w:szCs w:val="26"/>
          <w:rtl/>
          <w:lang w:val="en-US"/>
        </w:rPr>
        <w:t xml:space="preserve"> الأعضاء</w:t>
      </w:r>
      <w:r>
        <w:rPr>
          <w:rFonts w:hint="cs"/>
          <w:sz w:val="26"/>
          <w:szCs w:val="26"/>
          <w:rtl/>
          <w:lang w:val="en-US"/>
        </w:rPr>
        <w:t xml:space="preserve"> الضوء على</w:t>
      </w:r>
      <w:r w:rsidRPr="00186BA7">
        <w:rPr>
          <w:sz w:val="26"/>
          <w:szCs w:val="26"/>
          <w:rtl/>
          <w:lang w:val="en-US"/>
        </w:rPr>
        <w:t xml:space="preserve"> مجالات تركيز محتملة، شملت الشبكات الإقليمية، والتحديات المتعلقة بسلاسل الإمداد، والإنفاذ والتجارة غير المشروعة، وتقديم البيانات، ودراسات الحالة، </w:t>
      </w:r>
      <w:r w:rsidR="007F25B5">
        <w:rPr>
          <w:rFonts w:hint="cs"/>
          <w:sz w:val="26"/>
          <w:szCs w:val="26"/>
          <w:rtl/>
          <w:lang w:val="en-US"/>
        </w:rPr>
        <w:t>وإرشادات التنفيذ</w:t>
      </w:r>
      <w:r w:rsidR="00D234CA">
        <w:rPr>
          <w:rFonts w:hint="cs"/>
          <w:sz w:val="26"/>
          <w:szCs w:val="26"/>
          <w:rtl/>
          <w:lang w:val="en-US"/>
        </w:rPr>
        <w:t xml:space="preserve"> القياسية</w:t>
      </w:r>
      <w:r w:rsidR="007F25B5">
        <w:rPr>
          <w:rFonts w:hint="cs"/>
          <w:sz w:val="26"/>
          <w:szCs w:val="26"/>
          <w:rtl/>
          <w:lang w:val="en-US"/>
        </w:rPr>
        <w:t>، والتوعية بالتكنولوجيات ذات القدرة المنخفضة على إحداث الاحترار العالمي في البلدان ذات الاستهلاك المنخفض</w:t>
      </w:r>
      <w:r w:rsidRPr="00186BA7">
        <w:rPr>
          <w:sz w:val="26"/>
          <w:szCs w:val="26"/>
          <w:rtl/>
          <w:lang w:val="en-US"/>
        </w:rPr>
        <w:t xml:space="preserve">. </w:t>
      </w:r>
      <w:r w:rsidR="007F25B5">
        <w:rPr>
          <w:rFonts w:hint="cs"/>
          <w:sz w:val="26"/>
          <w:szCs w:val="26"/>
          <w:rtl/>
          <w:lang w:val="en-US"/>
        </w:rPr>
        <w:t xml:space="preserve">كما تم التشديد على ضرورة أن يكون دور برنامج المساعدة على الامتثال متميزاً عن </w:t>
      </w:r>
      <w:r w:rsidR="007F25B5">
        <w:rPr>
          <w:rFonts w:hint="cs"/>
          <w:sz w:val="26"/>
          <w:szCs w:val="26"/>
          <w:rtl/>
          <w:lang w:val="en-US"/>
        </w:rPr>
        <w:lastRenderedPageBreak/>
        <w:t xml:space="preserve">دور اليونيب بوصفها وكالة منفذة، لا سيما بالنظر إلى الوظيفة التي يضطلع بها البرنامج بوصفه غرفة تبادل المعلومات، وأن يكون تركيز البرنامج على مساعدة البلدان العاملة بموجب المادة </w:t>
      </w:r>
      <w:r w:rsidR="007F25B5">
        <w:rPr>
          <w:sz w:val="26"/>
          <w:szCs w:val="26"/>
          <w:lang w:val="en-US"/>
        </w:rPr>
        <w:t>5</w:t>
      </w:r>
      <w:r w:rsidR="007F25B5">
        <w:rPr>
          <w:rFonts w:hint="cs"/>
          <w:sz w:val="26"/>
          <w:szCs w:val="26"/>
          <w:rtl/>
          <w:lang w:val="en-US" w:bidi="ar-AE"/>
        </w:rPr>
        <w:t xml:space="preserve"> في تعزيز الآليات والأطر الوطنية لتحقيق الامتثال </w:t>
      </w:r>
      <w:r w:rsidR="00D234CA">
        <w:rPr>
          <w:rFonts w:hint="cs"/>
          <w:sz w:val="26"/>
          <w:szCs w:val="26"/>
          <w:rtl/>
          <w:lang w:val="en-US" w:bidi="ar-AE"/>
        </w:rPr>
        <w:t>واستدامته</w:t>
      </w:r>
      <w:r w:rsidR="007F25B5">
        <w:rPr>
          <w:rFonts w:hint="cs"/>
          <w:sz w:val="26"/>
          <w:szCs w:val="26"/>
          <w:rtl/>
          <w:lang w:val="en-US" w:bidi="ar-AE"/>
        </w:rPr>
        <w:t xml:space="preserve"> أثناء التخفيض التدريجي للمواد الهيدروفلوروكربونية.</w:t>
      </w:r>
      <w:r w:rsidR="007F25B5">
        <w:rPr>
          <w:rFonts w:hint="cs"/>
          <w:sz w:val="26"/>
          <w:szCs w:val="26"/>
          <w:rtl/>
          <w:lang w:val="en-US"/>
        </w:rPr>
        <w:t xml:space="preserve"> </w:t>
      </w:r>
      <w:r w:rsidRPr="00186BA7">
        <w:rPr>
          <w:sz w:val="26"/>
          <w:szCs w:val="26"/>
          <w:rtl/>
          <w:lang w:val="en-US"/>
        </w:rPr>
        <w:t>وأخيراً، أشار الأعضاء إلى أن أي تنقيح لمؤشرات أداء برنامج المساعدة على الامتثال ينبغي أن يبقى منفصلاً عن التقييم</w:t>
      </w:r>
      <w:r w:rsidR="00A84864">
        <w:rPr>
          <w:rStyle w:val="FootnoteReference"/>
          <w:sz w:val="26"/>
          <w:szCs w:val="26"/>
          <w:lang w:val="en-US"/>
        </w:rPr>
        <w:footnoteReference w:id="3"/>
      </w:r>
      <w:r w:rsidRPr="00186BA7">
        <w:rPr>
          <w:sz w:val="26"/>
          <w:szCs w:val="26"/>
          <w:rtl/>
          <w:lang w:val="en-US"/>
        </w:rPr>
        <w:t>.</w:t>
      </w:r>
    </w:p>
    <w:p w14:paraId="2B7D35AA" w14:textId="4863D9B5" w:rsidR="00A200C7" w:rsidRPr="00A200C7" w:rsidRDefault="00A200C7" w:rsidP="00657B08">
      <w:pPr>
        <w:pStyle w:val="ListParagraph"/>
        <w:numPr>
          <w:ilvl w:val="0"/>
          <w:numId w:val="31"/>
        </w:numPr>
        <w:bidi/>
        <w:spacing w:after="240" w:line="264" w:lineRule="auto"/>
        <w:ind w:left="0" w:firstLine="0"/>
        <w:contextualSpacing w:val="0"/>
        <w:rPr>
          <w:sz w:val="26"/>
          <w:szCs w:val="26"/>
          <w:lang w:val="en-US"/>
        </w:rPr>
      </w:pPr>
      <w:r w:rsidRPr="00A200C7">
        <w:rPr>
          <w:sz w:val="26"/>
          <w:szCs w:val="26"/>
          <w:rtl/>
          <w:lang w:val="en-US"/>
        </w:rPr>
        <w:t>وعقب ذلك، طلبت اللجنة التنفيذية من كبير موظفي الرصد والتقييم حينذاك أن يقدم إلى الاجتماع السابع والتسعين</w:t>
      </w:r>
      <w:r>
        <w:rPr>
          <w:rStyle w:val="FootnoteReference"/>
          <w:sz w:val="26"/>
          <w:szCs w:val="26"/>
          <w:lang w:val="en-US"/>
        </w:rPr>
        <w:footnoteReference w:id="4"/>
      </w:r>
      <w:r w:rsidR="00882D1C">
        <w:rPr>
          <w:rFonts w:hint="cs"/>
          <w:sz w:val="26"/>
          <w:szCs w:val="26"/>
          <w:rtl/>
          <w:lang w:val="en-US"/>
        </w:rPr>
        <w:t xml:space="preserve"> </w:t>
      </w:r>
      <w:r w:rsidRPr="00A200C7">
        <w:rPr>
          <w:sz w:val="26"/>
          <w:szCs w:val="26"/>
          <w:rtl/>
          <w:lang w:val="en-US"/>
        </w:rPr>
        <w:t>الاختصاصات المحدثة لتقييم شامل متعمق لبرنامج المساعدة على الامتثال، مع مراعاة الاقتراحات التي قدمها الأعضاء في الاجتماع الخامس والتسعين بشأن الدراسة النظرية، ومتابعة تقييم الشبكات الإقليمية لوحدات الأوزون الوطنية بموجب المقرر</w:t>
      </w:r>
      <w:r w:rsidR="000020BD">
        <w:rPr>
          <w:rFonts w:hint="cs"/>
          <w:sz w:val="26"/>
          <w:szCs w:val="26"/>
          <w:rtl/>
          <w:lang w:val="en-US"/>
        </w:rPr>
        <w:t xml:space="preserve"> </w:t>
      </w:r>
      <w:r w:rsidR="000020BD">
        <w:rPr>
          <w:sz w:val="26"/>
          <w:szCs w:val="26"/>
          <w:lang w:val="en-US"/>
        </w:rPr>
        <w:t>92</w:t>
      </w:r>
      <w:r w:rsidR="000020BD">
        <w:rPr>
          <w:rFonts w:hint="cs"/>
          <w:sz w:val="26"/>
          <w:szCs w:val="26"/>
          <w:rtl/>
          <w:lang w:val="en-US" w:bidi="ar-AE"/>
        </w:rPr>
        <w:t>/</w:t>
      </w:r>
      <w:r w:rsidR="000020BD">
        <w:rPr>
          <w:sz w:val="26"/>
          <w:szCs w:val="26"/>
          <w:lang w:val="en-US" w:bidi="ar-AE"/>
        </w:rPr>
        <w:t>5</w:t>
      </w:r>
      <w:r w:rsidRPr="00A200C7">
        <w:rPr>
          <w:sz w:val="26"/>
          <w:szCs w:val="26"/>
          <w:rtl/>
          <w:lang w:val="en-US"/>
        </w:rPr>
        <w:t>، بما في ذلك التقرير الذي قدمه برنامج عمل الأوزون التابع لليونيب إلى الاجتماع السادس والتسعين</w:t>
      </w:r>
      <w:r w:rsidR="00882D1C">
        <w:rPr>
          <w:rStyle w:val="FootnoteReference"/>
          <w:sz w:val="26"/>
          <w:szCs w:val="26"/>
          <w:lang w:val="en-US" w:bidi="ar-AE"/>
        </w:rPr>
        <w:footnoteReference w:id="5"/>
      </w:r>
      <w:r w:rsidRPr="00A200C7">
        <w:rPr>
          <w:sz w:val="26"/>
          <w:szCs w:val="26"/>
          <w:rtl/>
          <w:lang w:val="en-US"/>
        </w:rPr>
        <w:t>، وإمكانية أن يقدم التقييم رؤى لمواصلة تنقيح مؤشرات أداء برنامج المساعدة على الامتثال (المقرر</w:t>
      </w:r>
      <w:r w:rsidR="000020BD">
        <w:rPr>
          <w:rFonts w:hint="cs"/>
          <w:sz w:val="26"/>
          <w:szCs w:val="26"/>
          <w:rtl/>
          <w:lang w:val="en-US"/>
        </w:rPr>
        <w:t xml:space="preserve"> </w:t>
      </w:r>
      <w:r w:rsidR="000020BD">
        <w:rPr>
          <w:sz w:val="26"/>
          <w:szCs w:val="26"/>
          <w:lang w:val="en-US"/>
        </w:rPr>
        <w:t>95</w:t>
      </w:r>
      <w:r w:rsidR="000020BD">
        <w:rPr>
          <w:rFonts w:hint="cs"/>
          <w:sz w:val="26"/>
          <w:szCs w:val="26"/>
          <w:rtl/>
          <w:lang w:val="en-US" w:bidi="ar-AE"/>
        </w:rPr>
        <w:t>/</w:t>
      </w:r>
      <w:r w:rsidR="000020BD">
        <w:rPr>
          <w:sz w:val="26"/>
          <w:szCs w:val="26"/>
          <w:lang w:val="en-US" w:bidi="ar-AE"/>
        </w:rPr>
        <w:t>9</w:t>
      </w:r>
      <w:r w:rsidRPr="00A200C7">
        <w:rPr>
          <w:sz w:val="26"/>
          <w:szCs w:val="26"/>
          <w:rtl/>
          <w:lang w:val="en-US"/>
        </w:rPr>
        <w:t>).</w:t>
      </w:r>
    </w:p>
    <w:p w14:paraId="5B76CE9A" w14:textId="37B03D39" w:rsidR="00D535F1" w:rsidRPr="003A3880" w:rsidRDefault="00D535F1" w:rsidP="00D535F1">
      <w:pPr>
        <w:pStyle w:val="MLFSection"/>
        <w:keepNext/>
        <w:bidi/>
        <w:spacing w:after="240"/>
        <w:rPr>
          <w:rFonts w:asciiTheme="majorBidi" w:hAnsiTheme="majorBidi" w:cstheme="majorBidi"/>
          <w:b w:val="0"/>
          <w:bCs/>
          <w:sz w:val="26"/>
          <w:szCs w:val="26"/>
        </w:rPr>
      </w:pPr>
      <w:r w:rsidRPr="003A3880">
        <w:rPr>
          <w:rFonts w:asciiTheme="majorBidi" w:hAnsiTheme="majorBidi" w:cstheme="majorBidi"/>
          <w:b w:val="0"/>
          <w:bCs/>
          <w:sz w:val="26"/>
          <w:szCs w:val="26"/>
          <w:rtl/>
        </w:rPr>
        <w:t>النتائج الرئيسية والدروس المستفادة من المرحلة الأولى</w:t>
      </w:r>
    </w:p>
    <w:p w14:paraId="2D294110" w14:textId="1347B902" w:rsidR="00D535F1" w:rsidRPr="00D535F1" w:rsidRDefault="00F80C12" w:rsidP="00D535F1">
      <w:pPr>
        <w:pStyle w:val="ListParagraph"/>
        <w:numPr>
          <w:ilvl w:val="0"/>
          <w:numId w:val="31"/>
        </w:numPr>
        <w:bidi/>
        <w:spacing w:after="240" w:line="264" w:lineRule="auto"/>
        <w:ind w:left="0" w:firstLine="0"/>
        <w:contextualSpacing w:val="0"/>
        <w:rPr>
          <w:sz w:val="26"/>
          <w:szCs w:val="26"/>
          <w:lang w:val="en-US"/>
        </w:rPr>
      </w:pPr>
      <w:r>
        <w:rPr>
          <w:rFonts w:hint="cs"/>
          <w:sz w:val="26"/>
          <w:szCs w:val="26"/>
          <w:rtl/>
          <w:lang w:val="en-US"/>
        </w:rPr>
        <w:t>استعرضت</w:t>
      </w:r>
      <w:r w:rsidRPr="00F80C12">
        <w:rPr>
          <w:sz w:val="26"/>
          <w:szCs w:val="26"/>
          <w:rtl/>
          <w:lang w:val="en-US"/>
        </w:rPr>
        <w:t xml:space="preserve"> المرحلة الأولى ترتيبات الحوكمة والأنشطة وأسلوب عمل برنامج المساعدة على الامتثال خلال الفترة </w:t>
      </w:r>
      <w:r>
        <w:rPr>
          <w:sz w:val="26"/>
          <w:szCs w:val="26"/>
          <w:lang w:val="en-US"/>
        </w:rPr>
        <w:t>2007</w:t>
      </w:r>
      <w:r w:rsidRPr="00F80C12">
        <w:rPr>
          <w:sz w:val="26"/>
          <w:szCs w:val="26"/>
          <w:rtl/>
          <w:lang w:val="en-US"/>
        </w:rPr>
        <w:t>-</w:t>
      </w:r>
      <w:r>
        <w:rPr>
          <w:sz w:val="26"/>
          <w:szCs w:val="26"/>
          <w:lang w:val="en-US"/>
        </w:rPr>
        <w:t>2023</w:t>
      </w:r>
      <w:r w:rsidRPr="00F80C12">
        <w:rPr>
          <w:sz w:val="26"/>
          <w:szCs w:val="26"/>
          <w:rtl/>
          <w:lang w:val="en-US"/>
        </w:rPr>
        <w:t xml:space="preserve">، وذلك بصورة رئيسية من خلال مراجعة وثائقية </w:t>
      </w:r>
      <w:r>
        <w:rPr>
          <w:rFonts w:hint="cs"/>
          <w:sz w:val="26"/>
          <w:szCs w:val="26"/>
          <w:rtl/>
          <w:lang w:val="en-US"/>
        </w:rPr>
        <w:t>تم تعزيزها بإجراء</w:t>
      </w:r>
      <w:r w:rsidRPr="00F80C12">
        <w:rPr>
          <w:sz w:val="26"/>
          <w:szCs w:val="26"/>
          <w:rtl/>
          <w:lang w:val="en-US"/>
        </w:rPr>
        <w:t xml:space="preserve"> مقابلات مختارة. وقدمت الدراسة النظرية تقييماً إيجابياً بشكل عام لبرنامج المساعدة على الامتثال، وخلصت إلى أن البرنامج يحظى بتقدير كبير وأنه فعّال في تعزيز الامتثال في البلدان العاملة بموجب المادة </w:t>
      </w:r>
      <w:r>
        <w:rPr>
          <w:sz w:val="26"/>
          <w:szCs w:val="26"/>
          <w:lang w:val="en-US"/>
        </w:rPr>
        <w:t>5</w:t>
      </w:r>
      <w:r w:rsidRPr="00F80C12">
        <w:rPr>
          <w:sz w:val="26"/>
          <w:szCs w:val="26"/>
          <w:rtl/>
          <w:lang w:val="en-US"/>
        </w:rPr>
        <w:t xml:space="preserve">، كما أنه يمثل حلقة وصل مهمة بين الواقع على المستوى القطري والمؤسسات المشاركة في تنفيذ بروتوكول مونتريال. وخلصت الدراسة أيضاً إلى أن خدمات البرنامج تطورت استجابةً لاحتياجات البلدان المتغيرة، بما في ذلك </w:t>
      </w:r>
      <w:r>
        <w:rPr>
          <w:rFonts w:hint="cs"/>
          <w:sz w:val="26"/>
          <w:szCs w:val="26"/>
          <w:rtl/>
          <w:lang w:val="en-US"/>
        </w:rPr>
        <w:t>تعزيز النهج</w:t>
      </w:r>
      <w:r w:rsidRPr="00F80C12">
        <w:rPr>
          <w:sz w:val="26"/>
          <w:szCs w:val="26"/>
          <w:rtl/>
          <w:lang w:val="en-US"/>
        </w:rPr>
        <w:t xml:space="preserve"> </w:t>
      </w:r>
      <w:r>
        <w:rPr>
          <w:rFonts w:hint="cs"/>
          <w:sz w:val="26"/>
          <w:szCs w:val="26"/>
          <w:rtl/>
          <w:lang w:val="en-US"/>
        </w:rPr>
        <w:t>الإقليمي</w:t>
      </w:r>
      <w:r w:rsidRPr="00F80C12">
        <w:rPr>
          <w:sz w:val="26"/>
          <w:szCs w:val="26"/>
          <w:rtl/>
          <w:lang w:val="en-US"/>
        </w:rPr>
        <w:t>، والتحول في التركيز من إزالة المواد الكلوروفلوروكربونية إلى إزالة المواد الهيدروكلوروفلوروكربونية والتخفيض التدريجي للمواد الهيدروفلوروكربونية، واعتماد نهج لبناء القدرات تقوده البلدان بقدر أكبر، وزيادة استخدام خدمات المعرفة الرقمية، وتعزيز التعاون بين البلدان، والمشاركة مع الشركاء المعنيين.</w:t>
      </w:r>
    </w:p>
    <w:p w14:paraId="5AADB4BF" w14:textId="60885034" w:rsidR="000E2CDF" w:rsidRPr="000E2CDF" w:rsidRDefault="000E2CDF" w:rsidP="00412579">
      <w:pPr>
        <w:pStyle w:val="ListParagraph"/>
        <w:numPr>
          <w:ilvl w:val="0"/>
          <w:numId w:val="31"/>
        </w:numPr>
        <w:bidi/>
        <w:spacing w:after="240" w:line="264" w:lineRule="auto"/>
        <w:ind w:left="0" w:firstLine="0"/>
        <w:contextualSpacing w:val="0"/>
        <w:rPr>
          <w:sz w:val="26"/>
          <w:szCs w:val="26"/>
          <w:lang w:val="en-US"/>
        </w:rPr>
      </w:pPr>
      <w:r w:rsidRPr="000E2CDF">
        <w:rPr>
          <w:sz w:val="26"/>
          <w:szCs w:val="26"/>
          <w:rtl/>
          <w:lang w:val="en-US"/>
        </w:rPr>
        <w:t xml:space="preserve">حددت الدراسة النظرية عدداً من الدروس المستفادة والممارسات الجيدة التي يمكن أن تفيد المرحلة الثانية. وقد تبين أن التبادلات المنظمة بين البلدان، </w:t>
      </w:r>
      <w:r>
        <w:rPr>
          <w:rFonts w:hint="cs"/>
          <w:sz w:val="26"/>
          <w:szCs w:val="26"/>
          <w:rtl/>
          <w:lang w:val="en-US"/>
        </w:rPr>
        <w:t>و</w:t>
      </w:r>
      <w:r w:rsidRPr="000E2CDF">
        <w:rPr>
          <w:sz w:val="26"/>
          <w:szCs w:val="26"/>
          <w:rtl/>
          <w:lang w:val="en-US"/>
        </w:rPr>
        <w:t>ترتيبات التوأمة بين البلدان، وقوائم الخبرات الإقليمية، وتبادل دراسات الحالة، والتعاون الإقليمي بشأن المعايير والتدريب الجمركي والإنفاذ، تدعم نقل الخبرات وحل المشكلات العملية. كما أظهرت التجربة خلال جائحة كوفيد-</w:t>
      </w:r>
      <w:r>
        <w:rPr>
          <w:sz w:val="26"/>
          <w:szCs w:val="26"/>
          <w:lang w:val="en-US"/>
        </w:rPr>
        <w:t>19</w:t>
      </w:r>
      <w:r w:rsidRPr="000E2CDF">
        <w:rPr>
          <w:sz w:val="26"/>
          <w:szCs w:val="26"/>
          <w:rtl/>
          <w:lang w:val="en-US"/>
        </w:rPr>
        <w:t xml:space="preserve"> أن الأدوات الافتراضية يمكن أن تُكمل الأنشطة الحضورية وتساعد في الحفاظ على استمرارية دعم برنامج المساعدة على الامتثال.</w:t>
      </w:r>
    </w:p>
    <w:p w14:paraId="079F8D86" w14:textId="08EF0D18" w:rsidR="00417CE9" w:rsidRPr="00417CE9" w:rsidRDefault="00417CE9" w:rsidP="00412579">
      <w:pPr>
        <w:pStyle w:val="ListParagraph"/>
        <w:numPr>
          <w:ilvl w:val="0"/>
          <w:numId w:val="31"/>
        </w:numPr>
        <w:bidi/>
        <w:spacing w:after="240" w:line="264" w:lineRule="auto"/>
        <w:ind w:left="0" w:firstLine="0"/>
        <w:contextualSpacing w:val="0"/>
        <w:rPr>
          <w:sz w:val="26"/>
          <w:szCs w:val="26"/>
          <w:lang w:val="en-US"/>
        </w:rPr>
      </w:pPr>
      <w:r w:rsidRPr="00417CE9">
        <w:rPr>
          <w:sz w:val="26"/>
          <w:szCs w:val="26"/>
          <w:rtl/>
          <w:lang w:val="en-US"/>
        </w:rPr>
        <w:t xml:space="preserve">وحددت الدراسة النظرية أيضاً مسائل تستلزم مزيداً من الدراسة. </w:t>
      </w:r>
      <w:r>
        <w:rPr>
          <w:rFonts w:hint="cs"/>
          <w:sz w:val="26"/>
          <w:szCs w:val="26"/>
          <w:rtl/>
          <w:lang w:val="en-US"/>
        </w:rPr>
        <w:t>وخلصت إلى</w:t>
      </w:r>
      <w:r w:rsidRPr="00417CE9">
        <w:rPr>
          <w:sz w:val="26"/>
          <w:szCs w:val="26"/>
          <w:rtl/>
          <w:lang w:val="en-US"/>
        </w:rPr>
        <w:t xml:space="preserve"> أن مؤشرات الأداء الحالية لبرنامج المساعدة على الامتثال لم تعد كافية لتقديم </w:t>
      </w:r>
      <w:r w:rsidR="00A06C92">
        <w:rPr>
          <w:rFonts w:hint="cs"/>
          <w:sz w:val="26"/>
          <w:szCs w:val="26"/>
          <w:rtl/>
          <w:lang w:val="en-US"/>
        </w:rPr>
        <w:t>سرد</w:t>
      </w:r>
      <w:r w:rsidRPr="00417CE9">
        <w:rPr>
          <w:sz w:val="26"/>
          <w:szCs w:val="26"/>
          <w:rtl/>
          <w:lang w:val="en-US"/>
        </w:rPr>
        <w:t xml:space="preserve"> ذي معنى عن أداء البرنامج؛ واعتُبر </w:t>
      </w:r>
      <w:r w:rsidR="00412579">
        <w:rPr>
          <w:rFonts w:hint="cs"/>
          <w:sz w:val="26"/>
          <w:szCs w:val="26"/>
          <w:rtl/>
          <w:lang w:val="en-US"/>
        </w:rPr>
        <w:t xml:space="preserve">أن </w:t>
      </w:r>
      <w:r w:rsidRPr="00417CE9">
        <w:rPr>
          <w:sz w:val="26"/>
          <w:szCs w:val="26"/>
          <w:rtl/>
          <w:lang w:val="en-US"/>
        </w:rPr>
        <w:t xml:space="preserve">من الضروري </w:t>
      </w:r>
      <w:r w:rsidR="00412579">
        <w:rPr>
          <w:rFonts w:hint="cs"/>
          <w:sz w:val="26"/>
          <w:szCs w:val="26"/>
          <w:rtl/>
          <w:lang w:val="en-US"/>
        </w:rPr>
        <w:t xml:space="preserve">تقديم </w:t>
      </w:r>
      <w:r w:rsidRPr="00417CE9">
        <w:rPr>
          <w:sz w:val="26"/>
          <w:szCs w:val="26"/>
          <w:rtl/>
          <w:lang w:val="en-US"/>
        </w:rPr>
        <w:t>مزيد من التوضيح بشأن أدوار برنامج المساعدة على الامتثال</w:t>
      </w:r>
      <w:r>
        <w:rPr>
          <w:rFonts w:hint="cs"/>
          <w:sz w:val="26"/>
          <w:szCs w:val="26"/>
          <w:rtl/>
          <w:lang w:val="en-US"/>
        </w:rPr>
        <w:t xml:space="preserve"> وأنشطته </w:t>
      </w:r>
      <w:r w:rsidR="00A06C92">
        <w:rPr>
          <w:rFonts w:hint="cs"/>
          <w:sz w:val="26"/>
          <w:szCs w:val="26"/>
          <w:rtl/>
          <w:lang w:val="en-US"/>
        </w:rPr>
        <w:t>المنفصلة</w:t>
      </w:r>
      <w:r>
        <w:rPr>
          <w:rFonts w:hint="cs"/>
          <w:sz w:val="26"/>
          <w:szCs w:val="26"/>
          <w:rtl/>
          <w:lang w:val="en-US"/>
        </w:rPr>
        <w:t xml:space="preserve">، وأدوار </w:t>
      </w:r>
      <w:r w:rsidRPr="00417CE9">
        <w:rPr>
          <w:sz w:val="26"/>
          <w:szCs w:val="26"/>
          <w:rtl/>
          <w:lang w:val="en-US"/>
        </w:rPr>
        <w:t xml:space="preserve">اليونيب </w:t>
      </w:r>
      <w:r>
        <w:rPr>
          <w:rFonts w:hint="cs"/>
          <w:sz w:val="26"/>
          <w:szCs w:val="26"/>
          <w:rtl/>
          <w:lang w:val="en-US"/>
        </w:rPr>
        <w:t>بوصفها</w:t>
      </w:r>
      <w:r w:rsidRPr="00417CE9">
        <w:rPr>
          <w:sz w:val="26"/>
          <w:szCs w:val="26"/>
          <w:rtl/>
          <w:lang w:val="en-US"/>
        </w:rPr>
        <w:t xml:space="preserve"> وكالة منفذة</w:t>
      </w:r>
      <w:r>
        <w:rPr>
          <w:rFonts w:hint="cs"/>
          <w:sz w:val="26"/>
          <w:szCs w:val="26"/>
          <w:rtl/>
          <w:lang w:val="en-US"/>
        </w:rPr>
        <w:t xml:space="preserve"> وأنشطتها </w:t>
      </w:r>
      <w:r w:rsidR="00A06C92">
        <w:rPr>
          <w:rFonts w:hint="cs"/>
          <w:sz w:val="26"/>
          <w:szCs w:val="26"/>
          <w:rtl/>
          <w:lang w:val="en-US"/>
        </w:rPr>
        <w:t>المنفصلة</w:t>
      </w:r>
      <w:r w:rsidRPr="00417CE9">
        <w:rPr>
          <w:sz w:val="26"/>
          <w:szCs w:val="26"/>
          <w:rtl/>
          <w:lang w:val="en-US"/>
        </w:rPr>
        <w:t xml:space="preserve">؛ كما </w:t>
      </w:r>
      <w:r>
        <w:rPr>
          <w:rFonts w:hint="cs"/>
          <w:sz w:val="26"/>
          <w:szCs w:val="26"/>
          <w:rtl/>
          <w:lang w:val="en-US"/>
        </w:rPr>
        <w:t>اعتُبر</w:t>
      </w:r>
      <w:r w:rsidRPr="00417CE9">
        <w:rPr>
          <w:sz w:val="26"/>
          <w:szCs w:val="26"/>
          <w:rtl/>
          <w:lang w:val="en-US"/>
        </w:rPr>
        <w:t xml:space="preserve"> أن متطلبات الإبلاغ السارية على البرنامج معقدة ويُحتمل أن تكون مرهقة.</w:t>
      </w:r>
    </w:p>
    <w:p w14:paraId="0662C602" w14:textId="58B37CDB" w:rsidR="00A06C92" w:rsidRPr="003A3880" w:rsidRDefault="00A06C92" w:rsidP="00A06C92">
      <w:pPr>
        <w:pStyle w:val="MLFSection"/>
        <w:keepNext/>
        <w:bidi/>
        <w:spacing w:after="240"/>
        <w:rPr>
          <w:rFonts w:cs="Times New Roman"/>
          <w:b w:val="0"/>
          <w:bCs/>
          <w:sz w:val="26"/>
          <w:szCs w:val="26"/>
        </w:rPr>
      </w:pPr>
      <w:r w:rsidRPr="003A3880">
        <w:rPr>
          <w:rFonts w:cs="Times New Roman"/>
          <w:b w:val="0"/>
          <w:bCs/>
          <w:sz w:val="26"/>
          <w:szCs w:val="26"/>
          <w:rtl/>
        </w:rPr>
        <w:t>مبررات المرحلة الثانية</w:t>
      </w:r>
    </w:p>
    <w:p w14:paraId="6CE11D7C" w14:textId="0FF1B620" w:rsidR="00A06C92" w:rsidRPr="00A06C92" w:rsidRDefault="00A06C92" w:rsidP="00F30587">
      <w:pPr>
        <w:pStyle w:val="ListParagraph"/>
        <w:numPr>
          <w:ilvl w:val="0"/>
          <w:numId w:val="31"/>
        </w:numPr>
        <w:bidi/>
        <w:spacing w:after="240" w:line="264" w:lineRule="auto"/>
        <w:ind w:left="0" w:firstLine="0"/>
        <w:contextualSpacing w:val="0"/>
        <w:rPr>
          <w:sz w:val="26"/>
          <w:szCs w:val="26"/>
          <w:lang w:val="en-US"/>
        </w:rPr>
      </w:pPr>
      <w:r w:rsidRPr="00A06C92">
        <w:rPr>
          <w:sz w:val="26"/>
          <w:szCs w:val="26"/>
          <w:rtl/>
          <w:lang w:val="en-US"/>
        </w:rPr>
        <w:t xml:space="preserve">تأتي المرحلة الثانية في وقت مناسب بالنظر إلى تزايد أهمية برنامج المساعدة على الامتثال أثناء التخفيض التدريجي للمواد الهيدروفلوروكربونية. وتقوم البلدان العاملة بموجب المادة </w:t>
      </w:r>
      <w:r>
        <w:rPr>
          <w:sz w:val="26"/>
          <w:szCs w:val="26"/>
          <w:lang w:val="en-US"/>
        </w:rPr>
        <w:t>5</w:t>
      </w:r>
      <w:r w:rsidRPr="00A06C92">
        <w:rPr>
          <w:sz w:val="26"/>
          <w:szCs w:val="26"/>
          <w:rtl/>
          <w:lang w:val="en-US"/>
        </w:rPr>
        <w:t xml:space="preserve"> بتنفيذ المراحل النهائية من خطط إدارة إزالة المواد الهيدروكلوروفلوروكربونية، بينما تُعِدّ خطط تنفيذ كيغالي للمواد الهيدروفلوروكربونية وتنفذها وتعالج </w:t>
      </w:r>
      <w:r w:rsidRPr="00A06C92">
        <w:rPr>
          <w:sz w:val="26"/>
          <w:szCs w:val="26"/>
          <w:rtl/>
          <w:lang w:val="en-US"/>
        </w:rPr>
        <w:lastRenderedPageBreak/>
        <w:t xml:space="preserve">المسائل المرتبطة بها، بما في ذلك كفاءة استخدام الطاقة، وإدارة غازات التبريد على مدى دورة حياتها، وقيود سلسلة التوريد، والإنفاذ، والإبلاغ عن البيانات، واستدامة التخفيضات المتحققة. وعليه، ينبغي للتقييم أن يقدّر مدى استجابة خدمات برنامج المساعدة على الامتثال بفعالية لاحتياجات الامتثال والاحتياجات المتطورة المرتبطة به، وللظروف المختلفة للبلدان العاملة بموجب المادة </w:t>
      </w:r>
      <w:r>
        <w:rPr>
          <w:sz w:val="26"/>
          <w:szCs w:val="26"/>
          <w:lang w:val="en-US"/>
        </w:rPr>
        <w:t>5</w:t>
      </w:r>
      <w:r w:rsidRPr="00A06C92">
        <w:rPr>
          <w:sz w:val="26"/>
          <w:szCs w:val="26"/>
          <w:rtl/>
          <w:lang w:val="en-US"/>
        </w:rPr>
        <w:t>.</w:t>
      </w:r>
    </w:p>
    <w:p w14:paraId="436FB845" w14:textId="22CC8FD5" w:rsidR="0031727E" w:rsidRPr="0031727E" w:rsidDel="00D879DA" w:rsidRDefault="0031727E" w:rsidP="00E926F6">
      <w:pPr>
        <w:pStyle w:val="ListParagraph"/>
        <w:numPr>
          <w:ilvl w:val="0"/>
          <w:numId w:val="31"/>
        </w:numPr>
        <w:bidi/>
        <w:spacing w:after="240" w:line="264" w:lineRule="auto"/>
        <w:ind w:left="0" w:firstLine="0"/>
        <w:contextualSpacing w:val="0"/>
        <w:rPr>
          <w:sz w:val="26"/>
          <w:szCs w:val="26"/>
          <w:lang w:val="en-US"/>
        </w:rPr>
      </w:pPr>
      <w:r w:rsidRPr="0031727E">
        <w:rPr>
          <w:sz w:val="26"/>
          <w:szCs w:val="26"/>
          <w:rtl/>
          <w:lang w:val="en-US"/>
        </w:rPr>
        <w:t>وينبغي</w:t>
      </w:r>
      <w:r w:rsidR="00682741">
        <w:rPr>
          <w:rFonts w:hint="cs"/>
          <w:sz w:val="26"/>
          <w:szCs w:val="26"/>
          <w:rtl/>
          <w:lang w:val="en-US"/>
        </w:rPr>
        <w:t xml:space="preserve"> أن ينظُر التقييم أيضاً </w:t>
      </w:r>
      <w:r w:rsidRPr="0031727E">
        <w:rPr>
          <w:sz w:val="26"/>
          <w:szCs w:val="26"/>
          <w:rtl/>
          <w:lang w:val="en-US"/>
        </w:rPr>
        <w:t>فيما إذا كان دعم برنامج المساعدة على الامتثال يمكّن البلدان من التصدي للقيود التي قد تؤثر على اعتماد البدائل، بما في ذلك الحصول على معلومات موثوقة عن التكنولوجيات الملائمة والاتجاهات العالمية، وآليات الإنفاذ، والتجارة غير المشروعة، أينما كانت تلك المسائل تندرج في إطار ولاية برنامج المساعدة على الامتثال.</w:t>
      </w:r>
    </w:p>
    <w:p w14:paraId="005730B6" w14:textId="35483D48" w:rsidR="00BD6CF7" w:rsidRPr="00BD6CF7" w:rsidRDefault="00BD6CF7" w:rsidP="002E72FD">
      <w:pPr>
        <w:pStyle w:val="ListParagraph"/>
        <w:numPr>
          <w:ilvl w:val="0"/>
          <w:numId w:val="31"/>
        </w:numPr>
        <w:bidi/>
        <w:spacing w:after="240" w:line="264" w:lineRule="auto"/>
        <w:ind w:left="0" w:firstLine="0"/>
        <w:contextualSpacing w:val="0"/>
        <w:rPr>
          <w:sz w:val="26"/>
          <w:szCs w:val="26"/>
          <w:lang w:val="en-US"/>
        </w:rPr>
      </w:pPr>
      <w:r w:rsidRPr="00BD6CF7">
        <w:rPr>
          <w:sz w:val="26"/>
          <w:szCs w:val="26"/>
          <w:rtl/>
          <w:lang w:val="en-US"/>
        </w:rPr>
        <w:t>وخلص تقييم الشبكات الإقليمية لوحدات الأوزون الوطنية إلى أن الشبكات أدت أداءً جيداً، وحدد خارطة طريق لمزيد من التحسين. ووفقاً للمقرر</w:t>
      </w:r>
      <w:r>
        <w:rPr>
          <w:rFonts w:hint="cs"/>
          <w:sz w:val="26"/>
          <w:szCs w:val="26"/>
          <w:rtl/>
          <w:lang w:val="en-US"/>
        </w:rPr>
        <w:t xml:space="preserve"> </w:t>
      </w:r>
      <w:r>
        <w:rPr>
          <w:sz w:val="26"/>
          <w:szCs w:val="26"/>
          <w:lang w:val="en-US"/>
        </w:rPr>
        <w:t>92</w:t>
      </w:r>
      <w:r>
        <w:rPr>
          <w:rFonts w:hint="cs"/>
          <w:sz w:val="26"/>
          <w:szCs w:val="26"/>
          <w:rtl/>
          <w:lang w:val="en-US" w:bidi="ar-AE"/>
        </w:rPr>
        <w:t>/</w:t>
      </w:r>
      <w:r>
        <w:rPr>
          <w:sz w:val="26"/>
          <w:szCs w:val="26"/>
          <w:lang w:val="en-US" w:bidi="ar-AE"/>
        </w:rPr>
        <w:t>5</w:t>
      </w:r>
      <w:r w:rsidRPr="00BD6CF7">
        <w:rPr>
          <w:sz w:val="26"/>
          <w:szCs w:val="26"/>
          <w:rtl/>
          <w:lang w:val="en-US"/>
        </w:rPr>
        <w:t>، أبلغ برنامج عمل الأوزون التابع لليونيب الاجتماع السادس والتسعين بالإجراءات المتخذة فيما يتعلق بتخطيط اجتماعات الشبكات وتنظيمها، والإبلاغ والمتابعة، والتبادلات بين الأقاليم، ومشاركة أصحاب المصلحة المعنيين، وتعزيز مشاركة المرأة وتمكينها، ومشاركة الوكالات المنفذة والثنائية، ومواصلة استخدام الوسائط الافتراضية. وستقيّم المرحلة الثانية من الدراسة النظرية مساهمة هذه الإجراءات في الفعالية الشاملة لتنفيذ برنامج المساعدة على الامتثال.</w:t>
      </w:r>
    </w:p>
    <w:p w14:paraId="220CD7B3" w14:textId="0C2EA837" w:rsidR="00BD6CF7" w:rsidRPr="00BD6CF7" w:rsidRDefault="00BD6CF7" w:rsidP="00C40DE9">
      <w:pPr>
        <w:pStyle w:val="ListParagraph"/>
        <w:numPr>
          <w:ilvl w:val="0"/>
          <w:numId w:val="31"/>
        </w:numPr>
        <w:bidi/>
        <w:spacing w:after="240" w:line="264" w:lineRule="auto"/>
        <w:ind w:left="0" w:firstLine="0"/>
        <w:contextualSpacing w:val="0"/>
        <w:rPr>
          <w:sz w:val="26"/>
          <w:szCs w:val="26"/>
          <w:lang w:val="en-US"/>
        </w:rPr>
      </w:pPr>
      <w:r w:rsidRPr="00BD6CF7">
        <w:rPr>
          <w:sz w:val="26"/>
          <w:szCs w:val="26"/>
          <w:rtl/>
          <w:lang w:val="en-US"/>
        </w:rPr>
        <w:t>وسلّطت المناقشة في الاجتماع السادس والتسعين الضوء أيضاً على مسائل ذات صلة بالمرحلة الثانية من الدراسة النظرية لبرنامج المساعدة على الامتثال، بما في ذلك الإبقاء على الامتثال لبروتوكول مونتريال بوصفه الغرض الأساسي للأنشطة الممولة من الصندوق المتعدد الأطراف؛ وقيمة الإعداد المبكر لاجتماعات الشبكات؛ وضرورة بقاء مشاركة أصحاب المصلحة وثيقة الصلة باحتياجات وحدات الأوزون الوطنية.</w:t>
      </w:r>
    </w:p>
    <w:p w14:paraId="2FB5EE6C" w14:textId="18F4FF58" w:rsidR="000C7C01" w:rsidRPr="000C7C01" w:rsidRDefault="00487DEB" w:rsidP="00A412F7">
      <w:pPr>
        <w:pStyle w:val="ListParagraph"/>
        <w:numPr>
          <w:ilvl w:val="0"/>
          <w:numId w:val="31"/>
        </w:numPr>
        <w:bidi/>
        <w:spacing w:after="240" w:line="264" w:lineRule="auto"/>
        <w:ind w:left="0" w:firstLine="0"/>
        <w:contextualSpacing w:val="0"/>
        <w:rPr>
          <w:sz w:val="26"/>
          <w:szCs w:val="26"/>
          <w:lang w:val="en-US"/>
        </w:rPr>
      </w:pPr>
      <w:r w:rsidRPr="00487DEB">
        <w:rPr>
          <w:sz w:val="26"/>
          <w:szCs w:val="26"/>
          <w:rtl/>
          <w:lang w:val="en-US"/>
        </w:rPr>
        <w:t xml:space="preserve">وأخيراً، يوفر تقييم عام </w:t>
      </w:r>
      <w:r>
        <w:rPr>
          <w:sz w:val="26"/>
          <w:szCs w:val="26"/>
          <w:lang w:val="en-US"/>
        </w:rPr>
        <w:t>2007</w:t>
      </w:r>
      <w:r w:rsidRPr="00487DEB">
        <w:rPr>
          <w:sz w:val="26"/>
          <w:szCs w:val="26"/>
          <w:rtl/>
          <w:lang w:val="en-US"/>
        </w:rPr>
        <w:t xml:space="preserve"> لبرنامج المساعدة على الامتثال، الوارد في الوثيقة </w:t>
      </w:r>
      <w:r w:rsidRPr="00487DEB">
        <w:rPr>
          <w:sz w:val="26"/>
          <w:szCs w:val="26"/>
          <w:lang w:val="en-US"/>
        </w:rPr>
        <w:t>UNEP/OzL.Pro/ExCom/52/9</w:t>
      </w:r>
      <w:r w:rsidRPr="00487DEB">
        <w:rPr>
          <w:sz w:val="26"/>
          <w:szCs w:val="26"/>
          <w:rtl/>
          <w:lang w:val="en-US"/>
        </w:rPr>
        <w:t xml:space="preserve">، نقطة مرجعية إضافية لتقييم تطور البرنامج. وقد شدد ذلك التقييم، </w:t>
      </w:r>
      <w:r w:rsidR="00A412F7">
        <w:rPr>
          <w:rFonts w:hint="cs"/>
          <w:sz w:val="26"/>
          <w:szCs w:val="26"/>
          <w:rtl/>
          <w:lang w:val="en-US"/>
        </w:rPr>
        <w:t>ضمن</w:t>
      </w:r>
      <w:r w:rsidRPr="00487DEB">
        <w:rPr>
          <w:sz w:val="26"/>
          <w:szCs w:val="26"/>
          <w:rtl/>
          <w:lang w:val="en-US"/>
        </w:rPr>
        <w:t xml:space="preserve"> جملة أمور</w:t>
      </w:r>
      <w:r w:rsidR="00A412F7">
        <w:rPr>
          <w:rFonts w:hint="cs"/>
          <w:sz w:val="26"/>
          <w:szCs w:val="26"/>
          <w:rtl/>
          <w:lang w:val="en-US"/>
        </w:rPr>
        <w:t xml:space="preserve"> أخرى</w:t>
      </w:r>
      <w:r w:rsidRPr="00487DEB">
        <w:rPr>
          <w:sz w:val="26"/>
          <w:szCs w:val="26"/>
          <w:rtl/>
          <w:lang w:val="en-US"/>
        </w:rPr>
        <w:t>، على تقديم المساعدة إلى البلدان التي تعاني من عدم امتثال فعلي أو محتمل، وتعزيز القدرات الوطنية والأطر التنظيمية، والمساعدة بين البلدان، والقدرة التدريبية المستدامة، والتعاون بين سلطات الجمارك والبيئة، والتعاون الإقليمي في مجال الإنفاذ، والتنسيق الوثيق بين الوكالات المنفذة والثنائية. وينبغي للمرحلة الثانية أن تبحث في استمرار أهمية تلك النتائج، ومدى تكييف برنامج المساعدة على الامتثال لتلك النهج.</w:t>
      </w:r>
    </w:p>
    <w:p w14:paraId="3D43BCD1" w14:textId="141E90B9" w:rsidR="003A3880" w:rsidRPr="003A3880" w:rsidRDefault="003A3880" w:rsidP="003A3880">
      <w:pPr>
        <w:pStyle w:val="MLFSection"/>
        <w:keepNext/>
        <w:bidi/>
        <w:spacing w:after="240"/>
        <w:rPr>
          <w:rFonts w:cs="Times New Roman"/>
          <w:b w:val="0"/>
          <w:bCs/>
          <w:sz w:val="26"/>
          <w:szCs w:val="26"/>
        </w:rPr>
      </w:pPr>
      <w:r w:rsidRPr="003A3880">
        <w:rPr>
          <w:rFonts w:cs="Times New Roman"/>
          <w:b w:val="0"/>
          <w:bCs/>
          <w:sz w:val="26"/>
          <w:szCs w:val="26"/>
          <w:rtl/>
        </w:rPr>
        <w:t>الهدف والنطاق</w:t>
      </w:r>
    </w:p>
    <w:p w14:paraId="491E49DA" w14:textId="0680B488" w:rsidR="003A3880" w:rsidRPr="003A3880" w:rsidRDefault="00583F7A" w:rsidP="00A412F7">
      <w:pPr>
        <w:pStyle w:val="ListParagraph"/>
        <w:numPr>
          <w:ilvl w:val="0"/>
          <w:numId w:val="31"/>
        </w:numPr>
        <w:bidi/>
        <w:spacing w:after="240" w:line="264" w:lineRule="auto"/>
        <w:ind w:left="0" w:firstLine="0"/>
        <w:contextualSpacing w:val="0"/>
        <w:rPr>
          <w:sz w:val="26"/>
          <w:szCs w:val="26"/>
          <w:lang w:val="en-US"/>
        </w:rPr>
      </w:pPr>
      <w:r w:rsidRPr="00583F7A">
        <w:rPr>
          <w:sz w:val="26"/>
          <w:szCs w:val="26"/>
          <w:rtl/>
          <w:lang w:val="en-US"/>
        </w:rPr>
        <w:t xml:space="preserve">يتمثل هدف المرحلة الثانية في تقييم مدى ملاءمة برنامج المساعدة على الامتثال، بوصفه برنامجاً عالمياً، وفعاليته وأثره وكفاءته، بمزيد من التعمق، في مساعدة البلدان العاملة بموجب المادة </w:t>
      </w:r>
      <w:r>
        <w:rPr>
          <w:sz w:val="26"/>
          <w:szCs w:val="26"/>
          <w:lang w:val="en-US"/>
        </w:rPr>
        <w:t>5</w:t>
      </w:r>
      <w:r w:rsidRPr="00583F7A">
        <w:rPr>
          <w:sz w:val="26"/>
          <w:szCs w:val="26"/>
          <w:rtl/>
          <w:lang w:val="en-US"/>
        </w:rPr>
        <w:t xml:space="preserve"> على تحقيق الامتثال لبروتوكول مونتريال وتعديلاته </w:t>
      </w:r>
      <w:r>
        <w:rPr>
          <w:rFonts w:hint="cs"/>
          <w:sz w:val="26"/>
          <w:szCs w:val="26"/>
          <w:rtl/>
          <w:lang w:val="en-US"/>
        </w:rPr>
        <w:t>واستمراريته</w:t>
      </w:r>
      <w:r w:rsidRPr="00583F7A">
        <w:rPr>
          <w:sz w:val="26"/>
          <w:szCs w:val="26"/>
          <w:rtl/>
          <w:lang w:val="en-US"/>
        </w:rPr>
        <w:t>. وسيستند التقييم إلى المراجعة الوثائقية التي أُجريت خلال المرحلة الأولى دون تكرارها، وسيستخدم أدلة محدّثة ومدخلات مباشرة من وحدات الأوزون الوطنية ومن الوكالات المنفذة والثنائية.</w:t>
      </w:r>
    </w:p>
    <w:p w14:paraId="4D0AB187" w14:textId="45800BE0" w:rsidR="00583F7A" w:rsidRPr="00583F7A" w:rsidRDefault="00583F7A" w:rsidP="00A412F7">
      <w:pPr>
        <w:pStyle w:val="ListParagraph"/>
        <w:numPr>
          <w:ilvl w:val="0"/>
          <w:numId w:val="31"/>
        </w:numPr>
        <w:bidi/>
        <w:spacing w:after="240" w:line="264" w:lineRule="auto"/>
        <w:ind w:left="0" w:firstLine="0"/>
        <w:contextualSpacing w:val="0"/>
        <w:rPr>
          <w:sz w:val="26"/>
          <w:szCs w:val="26"/>
          <w:lang w:val="en-US"/>
        </w:rPr>
      </w:pPr>
      <w:r w:rsidRPr="00583F7A">
        <w:rPr>
          <w:sz w:val="26"/>
          <w:szCs w:val="26"/>
          <w:rtl/>
          <w:lang w:val="en-US"/>
        </w:rPr>
        <w:t>سيشمل التقييم جميع مكونات برنامج المساعدة على الامتثال ومساهمتها في النتائج الإجمالية للبرنامج. وسينظر، حيثما ينطبق، في المساعدة القطرية المباشرة وبناء القدرات؛ وتبادل المعلومات ووظيفة غرفة تبادل المعلومات؛ والتعاون بين البلدان؛ والدعم الإقليمي والأقاليمي؛ والتعاون مع أمانتي الصندوق والأوزون، والوكالات الثنائية والمنفذة وغيرها من أصحاب المصلحة المعنيين؛ والعلاقة بين خدمات برنامج المساعدة على الامتثال وتنفيذ المشاريع المدعومة من الصندوق المتعدد الأطراف.</w:t>
      </w:r>
    </w:p>
    <w:p w14:paraId="2ABB5157" w14:textId="13467275" w:rsidR="00583F7A" w:rsidRPr="00583F7A" w:rsidRDefault="00583F7A" w:rsidP="00A412F7">
      <w:pPr>
        <w:pStyle w:val="ListParagraph"/>
        <w:numPr>
          <w:ilvl w:val="0"/>
          <w:numId w:val="31"/>
        </w:numPr>
        <w:bidi/>
        <w:spacing w:after="240" w:line="264" w:lineRule="auto"/>
        <w:ind w:left="0" w:firstLine="0"/>
        <w:contextualSpacing w:val="0"/>
        <w:rPr>
          <w:sz w:val="26"/>
          <w:szCs w:val="26"/>
          <w:lang w:val="en-US"/>
        </w:rPr>
      </w:pPr>
      <w:r w:rsidRPr="00583F7A">
        <w:rPr>
          <w:sz w:val="26"/>
          <w:szCs w:val="26"/>
          <w:rtl/>
          <w:lang w:val="en-US"/>
        </w:rPr>
        <w:lastRenderedPageBreak/>
        <w:t>سيولي التقييم اهتماماً خاصاً للاحتياجات المحددة للبلدان ذات الاستهلاك المنخفض، التي كثيراً ما تواجه قيوداً تختلف عن تلك التي تواجهها البلدان ذات الاستهلاك الأعلى، بما في ذلك محدودية القدرات المؤسسية والتقنية، وصغر الأسواق الوطنية، ومحدودية توافر الفنيين المدربين والبنية التحتية للخدمات، من بين أمور أخرى. وفي هذا السياق، يضطلع برنامج المساعدة على الامتثال بدور مهم في دعم البلدان ذات الاستهلاك المنخفض من خلال توفير المشورة السياساتية والتقنية المستمرة، وتعزيز قدرات وحدات الأوزون الوطنية، وتيسير الوصول إلى الخبرات الإقليمية، ومساعدة البلدان على معالجة التحديات الناشئة. ولذلك سيقيّم التحليل مدى استجابة دعم برنامج المساعدة على الامتثال للظروف المحددة للبلدان ذات الاستهلاك المنخفض، بما في ذلك الاختلافات بين الأقاليم، وسيحدد ما إذا كانت هناك حاجة إلى نهج مصممة خصيصاً، أو دعم إقليمي معزز، أو بناء قدرات مستهدف، أو أشكال أخرى من المساعدة، لتعزيز التنفيذ واستدامة النتائج.</w:t>
      </w:r>
    </w:p>
    <w:p w14:paraId="6CAB4E5E" w14:textId="6D6A9C7F" w:rsidR="005B5200" w:rsidRPr="005B5200" w:rsidRDefault="005B5200" w:rsidP="00A412F7">
      <w:pPr>
        <w:pStyle w:val="ListParagraph"/>
        <w:numPr>
          <w:ilvl w:val="0"/>
          <w:numId w:val="31"/>
        </w:numPr>
        <w:bidi/>
        <w:spacing w:after="240" w:line="264" w:lineRule="auto"/>
        <w:ind w:left="0" w:firstLine="0"/>
        <w:contextualSpacing w:val="0"/>
        <w:rPr>
          <w:sz w:val="26"/>
          <w:szCs w:val="26"/>
          <w:lang w:val="en-US"/>
        </w:rPr>
      </w:pPr>
      <w:r w:rsidRPr="005B5200">
        <w:rPr>
          <w:sz w:val="26"/>
          <w:szCs w:val="26"/>
          <w:rtl/>
          <w:lang w:val="en-US"/>
        </w:rPr>
        <w:t xml:space="preserve">سينظر التحليل أيضاً في التوزيع الجغرافي للبلدان العاملة بموجب المادة </w:t>
      </w:r>
      <w:r>
        <w:rPr>
          <w:sz w:val="26"/>
          <w:szCs w:val="26"/>
          <w:lang w:val="en-US"/>
        </w:rPr>
        <w:t>5</w:t>
      </w:r>
      <w:r w:rsidRPr="005B5200">
        <w:rPr>
          <w:sz w:val="26"/>
          <w:szCs w:val="26"/>
          <w:rtl/>
          <w:lang w:val="en-US"/>
        </w:rPr>
        <w:t xml:space="preserve">، وفي مدى تفاوت الاحتياجات </w:t>
      </w:r>
      <w:r>
        <w:rPr>
          <w:rFonts w:hint="cs"/>
          <w:sz w:val="26"/>
          <w:szCs w:val="26"/>
          <w:rtl/>
          <w:lang w:val="en-US"/>
        </w:rPr>
        <w:t>والحواجز</w:t>
      </w:r>
      <w:r w:rsidRPr="005B5200">
        <w:rPr>
          <w:sz w:val="26"/>
          <w:szCs w:val="26"/>
          <w:rtl/>
          <w:lang w:val="en-US"/>
        </w:rPr>
        <w:t xml:space="preserve"> وفعالية دعم برنامج المساعدة على الامتثال بين الأقاليم. فالسياق الإقليمي يمكن أن يؤثر تأثيراً كبيراً في التنفيذ، إذ قد تواجه البلدان قدرات مؤسسية وظروفاً سوقية وبنية تحتية تقنية متفاوتة، فضلاً عن تفاوت في الحصول على معدات الخدمة وغازات التبريد، وفي توافر فنيين مدربين، وفي قيود النقل والقيود اللوجستية، وفي فرص التعاون الإقليمي. ولذلك </w:t>
      </w:r>
      <w:r>
        <w:rPr>
          <w:rFonts w:hint="cs"/>
          <w:sz w:val="26"/>
          <w:szCs w:val="26"/>
          <w:rtl/>
          <w:lang w:val="en-US"/>
        </w:rPr>
        <w:t>سيدرس التقييم الأنماط</w:t>
      </w:r>
      <w:r w:rsidRPr="005B5200">
        <w:rPr>
          <w:sz w:val="26"/>
          <w:szCs w:val="26"/>
          <w:rtl/>
          <w:lang w:val="en-US"/>
        </w:rPr>
        <w:t xml:space="preserve"> والاختلافات الإقليمية في فعالية المساعدة التي يقدمها برنامج المساعدة على الامتثال، وسيحدد، حيثما كان ذلك مناسباً، الحواجز الخاصة بكل منطقة، والدروس المستفادة، والتوصيات اللازمة لضمان أن يكون الدعم مصمماً بشكل مناسب لظروف كل منطقة.</w:t>
      </w:r>
    </w:p>
    <w:p w14:paraId="345812C5" w14:textId="1AD0DCDB" w:rsidR="005B5200" w:rsidRPr="005B5200" w:rsidRDefault="005B5200" w:rsidP="00A412F7">
      <w:pPr>
        <w:pStyle w:val="ListParagraph"/>
        <w:numPr>
          <w:ilvl w:val="0"/>
          <w:numId w:val="31"/>
        </w:numPr>
        <w:bidi/>
        <w:spacing w:after="240" w:line="264" w:lineRule="auto"/>
        <w:ind w:left="0" w:firstLine="0"/>
        <w:contextualSpacing w:val="0"/>
        <w:rPr>
          <w:sz w:val="26"/>
          <w:szCs w:val="26"/>
          <w:lang w:val="en-US"/>
        </w:rPr>
      </w:pPr>
      <w:r w:rsidRPr="005B5200">
        <w:rPr>
          <w:sz w:val="26"/>
          <w:szCs w:val="26"/>
          <w:rtl/>
          <w:lang w:val="en-US"/>
        </w:rPr>
        <w:t>لن تُعتبر الشبكات الإقليمية جزءاً لا يتجزأ من برنامج المساعدة على الامتثال إلا بالقدر الضروري للتقييم العالمي للبرنامج، ولمتابعة المقرر</w:t>
      </w:r>
      <w:r>
        <w:rPr>
          <w:rFonts w:hint="cs"/>
          <w:sz w:val="26"/>
          <w:szCs w:val="26"/>
          <w:rtl/>
          <w:lang w:val="en-US"/>
        </w:rPr>
        <w:t xml:space="preserve"> </w:t>
      </w:r>
      <w:r>
        <w:rPr>
          <w:sz w:val="26"/>
          <w:szCs w:val="26"/>
          <w:lang w:val="en-US"/>
        </w:rPr>
        <w:t>92</w:t>
      </w:r>
      <w:r>
        <w:rPr>
          <w:rFonts w:hint="cs"/>
          <w:sz w:val="26"/>
          <w:szCs w:val="26"/>
          <w:rtl/>
          <w:lang w:val="en-US" w:bidi="ar-AE"/>
        </w:rPr>
        <w:t>/</w:t>
      </w:r>
      <w:r>
        <w:rPr>
          <w:sz w:val="26"/>
          <w:szCs w:val="26"/>
          <w:lang w:val="en-US" w:bidi="ar-AE"/>
        </w:rPr>
        <w:t>5</w:t>
      </w:r>
      <w:r w:rsidRPr="005B5200">
        <w:rPr>
          <w:sz w:val="26"/>
          <w:szCs w:val="26"/>
          <w:rtl/>
          <w:lang w:val="en-US"/>
        </w:rPr>
        <w:t xml:space="preserve">، وتنفيذ تقرير خارطة الطريق المقدم في الوثيقة </w:t>
      </w:r>
      <w:r w:rsidRPr="005B5200">
        <w:rPr>
          <w:sz w:val="26"/>
          <w:szCs w:val="26"/>
          <w:lang w:val="en-US"/>
        </w:rPr>
        <w:t>UNEP/OzL.Pro/ExCom/96/10</w:t>
      </w:r>
      <w:r w:rsidRPr="005B5200">
        <w:rPr>
          <w:sz w:val="26"/>
          <w:szCs w:val="26"/>
          <w:rtl/>
          <w:lang w:val="en-US"/>
        </w:rPr>
        <w:t xml:space="preserve">. ولن يكرر التقييم تقييم الشبكات الإقليمية المنجز في عام </w:t>
      </w:r>
      <w:r>
        <w:rPr>
          <w:sz w:val="26"/>
          <w:szCs w:val="26"/>
          <w:lang w:val="en-US"/>
        </w:rPr>
        <w:t>2023</w:t>
      </w:r>
      <w:r w:rsidRPr="005B5200">
        <w:rPr>
          <w:sz w:val="26"/>
          <w:szCs w:val="26"/>
          <w:rtl/>
          <w:lang w:val="en-US"/>
        </w:rPr>
        <w:t>.</w:t>
      </w:r>
    </w:p>
    <w:p w14:paraId="23E313BB" w14:textId="6F6351EA" w:rsidR="005B5200" w:rsidRPr="005B5200" w:rsidRDefault="00811D4E" w:rsidP="00A412F7">
      <w:pPr>
        <w:pStyle w:val="ListParagraph"/>
        <w:numPr>
          <w:ilvl w:val="0"/>
          <w:numId w:val="31"/>
        </w:numPr>
        <w:bidi/>
        <w:spacing w:after="240" w:line="264" w:lineRule="auto"/>
        <w:ind w:left="0" w:firstLine="0"/>
        <w:contextualSpacing w:val="0"/>
        <w:rPr>
          <w:sz w:val="26"/>
          <w:szCs w:val="26"/>
          <w:lang w:val="en-US"/>
        </w:rPr>
      </w:pPr>
      <w:r>
        <w:rPr>
          <w:rFonts w:hint="cs"/>
          <w:sz w:val="26"/>
          <w:szCs w:val="26"/>
          <w:rtl/>
          <w:lang w:val="en-US"/>
        </w:rPr>
        <w:t>سيفحص</w:t>
      </w:r>
      <w:r w:rsidRPr="00811D4E">
        <w:rPr>
          <w:sz w:val="26"/>
          <w:szCs w:val="26"/>
          <w:rtl/>
          <w:lang w:val="en-US"/>
        </w:rPr>
        <w:t xml:space="preserve"> التقييم الأدوار والوظائف والأنشطة الخاصة بكل من برنامج المساعدة على الامتثال واليونيب</w:t>
      </w:r>
      <w:r>
        <w:rPr>
          <w:rFonts w:hint="cs"/>
          <w:sz w:val="26"/>
          <w:szCs w:val="26"/>
          <w:rtl/>
          <w:lang w:val="en-US"/>
        </w:rPr>
        <w:t>،</w:t>
      </w:r>
      <w:r w:rsidRPr="00811D4E">
        <w:rPr>
          <w:sz w:val="26"/>
          <w:szCs w:val="26"/>
          <w:rtl/>
          <w:lang w:val="en-US"/>
        </w:rPr>
        <w:t xml:space="preserve"> بوصفها وكالة منفذة في إطار الصندوق المتعدد الأطراف، بما في ذلك وظيفة غرفة تبادل المعلومات، بهدف تقييم ما إذا كانت المسؤوليات واضحة بما فيه الكفاية، وما إذا كانت الازدواجية أو الثغرات تنشأ في تنفيذ البرنامج.</w:t>
      </w:r>
    </w:p>
    <w:p w14:paraId="1B2B8FAD" w14:textId="24586D3C" w:rsidR="00811D4E" w:rsidRPr="00811D4E" w:rsidRDefault="00811D4E" w:rsidP="00A412F7">
      <w:pPr>
        <w:pStyle w:val="ListParagraph"/>
        <w:numPr>
          <w:ilvl w:val="0"/>
          <w:numId w:val="31"/>
        </w:numPr>
        <w:bidi/>
        <w:spacing w:after="240" w:line="264" w:lineRule="auto"/>
        <w:ind w:left="0" w:firstLine="0"/>
        <w:contextualSpacing w:val="0"/>
        <w:rPr>
          <w:sz w:val="26"/>
          <w:szCs w:val="26"/>
          <w:lang w:val="en-US"/>
        </w:rPr>
      </w:pPr>
      <w:r w:rsidRPr="00811D4E">
        <w:rPr>
          <w:sz w:val="26"/>
          <w:szCs w:val="26"/>
          <w:rtl/>
          <w:lang w:val="en-US"/>
        </w:rPr>
        <w:t>وسيفحص التقييم متطلبات الإبلاغ والمتطلبات الإدارية السارية على برنامج المساعدة على الامتثال، بما في ذلك الإبلاغ إلى اليونيب وإلى اللجنة التنفيذية، وسيقيّم ما إذا كانت الترتيبات القائمة تدعم تنفيذ البرنامج بكفاءة والاستخدام الفعّال للموارد البشرية.</w:t>
      </w:r>
    </w:p>
    <w:p w14:paraId="50E7BCAF" w14:textId="62F492FD" w:rsidR="00811D4E" w:rsidRPr="00811D4E" w:rsidRDefault="00811D4E" w:rsidP="00A412F7">
      <w:pPr>
        <w:pStyle w:val="ListParagraph"/>
        <w:numPr>
          <w:ilvl w:val="0"/>
          <w:numId w:val="31"/>
        </w:numPr>
        <w:bidi/>
        <w:spacing w:after="240" w:line="264" w:lineRule="auto"/>
        <w:ind w:left="0" w:firstLine="0"/>
        <w:contextualSpacing w:val="0"/>
        <w:rPr>
          <w:sz w:val="26"/>
          <w:szCs w:val="26"/>
          <w:lang w:val="en-US"/>
        </w:rPr>
      </w:pPr>
      <w:r w:rsidRPr="00811D4E">
        <w:rPr>
          <w:sz w:val="26"/>
          <w:szCs w:val="26"/>
          <w:rtl/>
          <w:lang w:val="en-US"/>
        </w:rPr>
        <w:t>اتساقاً مع المناقشة التي جرت في الاجتماع الخامس والتسعين، لن تقوم المرحلة الثانية من الدراسة التقييمية بتنقيح مجموعة جديدة من مؤشرات الأداء أو اقتراحها. غير أن التقييم قد يوفر أدلة ورؤى ذات صلة بأي تنقيح مستقبلي لمؤشرات أداء برنامج المساعدة على الامتثال.</w:t>
      </w:r>
    </w:p>
    <w:p w14:paraId="3A36D88E" w14:textId="6F9F66CE" w:rsidR="00811D4E" w:rsidRPr="00811D4E" w:rsidRDefault="00811D4E" w:rsidP="00811D4E">
      <w:pPr>
        <w:pStyle w:val="MLFSection"/>
        <w:keepNext/>
        <w:bidi/>
        <w:spacing w:after="240"/>
        <w:rPr>
          <w:rFonts w:cs="Times New Roman"/>
          <w:b w:val="0"/>
          <w:bCs/>
          <w:sz w:val="26"/>
          <w:szCs w:val="26"/>
        </w:rPr>
      </w:pPr>
      <w:r w:rsidRPr="00811D4E">
        <w:rPr>
          <w:rFonts w:cs="Times New Roman"/>
          <w:b w:val="0"/>
          <w:bCs/>
          <w:sz w:val="26"/>
          <w:szCs w:val="26"/>
          <w:rtl/>
        </w:rPr>
        <w:t>المنهجية</w:t>
      </w:r>
    </w:p>
    <w:p w14:paraId="69F205ED" w14:textId="4026BA47" w:rsidR="00811D4E" w:rsidRPr="00811D4E" w:rsidRDefault="00E1055F" w:rsidP="006F1F85">
      <w:pPr>
        <w:pStyle w:val="ListParagraph"/>
        <w:numPr>
          <w:ilvl w:val="0"/>
          <w:numId w:val="31"/>
        </w:numPr>
        <w:bidi/>
        <w:spacing w:after="240" w:line="264" w:lineRule="auto"/>
        <w:ind w:left="0" w:firstLine="0"/>
        <w:contextualSpacing w:val="0"/>
        <w:rPr>
          <w:sz w:val="26"/>
          <w:szCs w:val="26"/>
          <w:lang w:val="en-US"/>
        </w:rPr>
      </w:pPr>
      <w:r>
        <w:rPr>
          <w:rFonts w:hint="cs"/>
          <w:sz w:val="26"/>
          <w:szCs w:val="26"/>
          <w:rtl/>
          <w:lang w:val="en-US"/>
        </w:rPr>
        <w:t xml:space="preserve">سيقوم </w:t>
      </w:r>
      <w:r w:rsidR="001D4AAE" w:rsidRPr="00E1055F">
        <w:rPr>
          <w:sz w:val="26"/>
          <w:szCs w:val="26"/>
          <w:rtl/>
          <w:lang w:val="en-US"/>
        </w:rPr>
        <w:t xml:space="preserve">مستشار مستقل </w:t>
      </w:r>
      <w:r>
        <w:rPr>
          <w:rFonts w:hint="cs"/>
          <w:sz w:val="26"/>
          <w:szCs w:val="26"/>
          <w:rtl/>
          <w:lang w:val="en-US"/>
        </w:rPr>
        <w:t>بإجراء</w:t>
      </w:r>
      <w:r w:rsidRPr="00E1055F">
        <w:rPr>
          <w:sz w:val="26"/>
          <w:szCs w:val="26"/>
          <w:rtl/>
          <w:lang w:val="en-US"/>
        </w:rPr>
        <w:t xml:space="preserve"> التقييم تحت إشراف كبير موظفي التقييم، </w:t>
      </w:r>
      <w:r>
        <w:rPr>
          <w:rFonts w:hint="cs"/>
          <w:sz w:val="26"/>
          <w:szCs w:val="26"/>
          <w:rtl/>
          <w:lang w:val="en-US"/>
        </w:rPr>
        <w:t>و</w:t>
      </w:r>
      <w:r w:rsidRPr="00E1055F">
        <w:rPr>
          <w:sz w:val="26"/>
          <w:szCs w:val="26"/>
          <w:rtl/>
          <w:lang w:val="en-US"/>
        </w:rPr>
        <w:t xml:space="preserve">وفقاً لقواعد ومعايير التقييم المعمول بها. </w:t>
      </w:r>
      <w:r>
        <w:rPr>
          <w:rFonts w:hint="cs"/>
          <w:sz w:val="26"/>
          <w:szCs w:val="26"/>
          <w:rtl/>
          <w:lang w:val="en-US"/>
        </w:rPr>
        <w:t xml:space="preserve">وسيتفق </w:t>
      </w:r>
      <w:r w:rsidRPr="00E1055F">
        <w:rPr>
          <w:sz w:val="26"/>
          <w:szCs w:val="26"/>
          <w:rtl/>
          <w:lang w:val="en-US"/>
        </w:rPr>
        <w:t>مع كبير موظفي التقييم</w:t>
      </w:r>
      <w:r>
        <w:rPr>
          <w:rFonts w:hint="cs"/>
          <w:sz w:val="26"/>
          <w:szCs w:val="26"/>
          <w:rtl/>
          <w:lang w:val="en-US"/>
        </w:rPr>
        <w:t xml:space="preserve"> على </w:t>
      </w:r>
      <w:r w:rsidRPr="00E1055F">
        <w:rPr>
          <w:sz w:val="26"/>
          <w:szCs w:val="26"/>
          <w:rtl/>
          <w:lang w:val="en-US"/>
        </w:rPr>
        <w:t>منهجية تُصمم لتقييم البرنامج كبرنامج عالمي، وتقديم أدلة كافية عن النتائج والأثر، مع الحرص في الوقت نفسه على تجنب الازدواجية مع الدراسة النظرية للمرحلة الأولى وتقييم الشبكات الإقليمية المنجز.</w:t>
      </w:r>
    </w:p>
    <w:p w14:paraId="6B07EB8F" w14:textId="160E64E8" w:rsidR="00811D4E" w:rsidRPr="00811D4E" w:rsidRDefault="00551CF2" w:rsidP="006F1F85">
      <w:pPr>
        <w:pStyle w:val="ListParagraph"/>
        <w:numPr>
          <w:ilvl w:val="0"/>
          <w:numId w:val="31"/>
        </w:numPr>
        <w:bidi/>
        <w:spacing w:after="240" w:line="264" w:lineRule="auto"/>
        <w:ind w:left="0" w:firstLine="0"/>
        <w:contextualSpacing w:val="0"/>
        <w:rPr>
          <w:sz w:val="26"/>
          <w:szCs w:val="26"/>
          <w:lang w:val="en-US"/>
        </w:rPr>
      </w:pPr>
      <w:r>
        <w:rPr>
          <w:rFonts w:hint="cs"/>
          <w:sz w:val="26"/>
          <w:szCs w:val="26"/>
          <w:rtl/>
          <w:lang w:val="en-US"/>
        </w:rPr>
        <w:t>سيتم تجميع</w:t>
      </w:r>
      <w:r w:rsidRPr="00551CF2">
        <w:rPr>
          <w:sz w:val="26"/>
          <w:szCs w:val="26"/>
          <w:rtl/>
          <w:lang w:val="en-US"/>
        </w:rPr>
        <w:t xml:space="preserve"> الأدلة من خلال استعراض وثائق البرنامج، بما في ذلك استراتيجيات برنامج المساعدة على الامتثال </w:t>
      </w:r>
      <w:r>
        <w:rPr>
          <w:rFonts w:hint="cs"/>
          <w:sz w:val="26"/>
          <w:szCs w:val="26"/>
          <w:rtl/>
          <w:lang w:val="en-US"/>
        </w:rPr>
        <w:t>لفترة الثلاث سنوات</w:t>
      </w:r>
      <w:r w:rsidRPr="00551CF2">
        <w:rPr>
          <w:sz w:val="26"/>
          <w:szCs w:val="26"/>
          <w:rtl/>
          <w:lang w:val="en-US"/>
        </w:rPr>
        <w:t xml:space="preserve">، وخطط العمل والميزانيات السنوية، والتقارير المرحلية والمالية، والإطار المنطقي ونظرية التغيير </w:t>
      </w:r>
      <w:r w:rsidRPr="00551CF2">
        <w:rPr>
          <w:sz w:val="26"/>
          <w:szCs w:val="26"/>
          <w:rtl/>
          <w:lang w:val="en-US"/>
        </w:rPr>
        <w:lastRenderedPageBreak/>
        <w:t>الخاصة بالبرنامج، وتقارير اجتماعات الشبكات والاجتماعات المواضيعية، والمقررات ذات الصلة الصادرة عن اجتماعات اللجنة التنفيذية، والمناقشات ذات الصلة التي تجري في اجتماعات التنسيق المشترك بين الوكالات، والتقييمات السابقة، فضلاً عن الأدلة التي جُمعت خلال المرحلة الأولى.</w:t>
      </w:r>
    </w:p>
    <w:p w14:paraId="49D8A054" w14:textId="60A7DCBB" w:rsidR="00811D4E" w:rsidRPr="00811D4E" w:rsidRDefault="00551CF2" w:rsidP="006F1F85">
      <w:pPr>
        <w:pStyle w:val="ListParagraph"/>
        <w:numPr>
          <w:ilvl w:val="0"/>
          <w:numId w:val="31"/>
        </w:numPr>
        <w:bidi/>
        <w:spacing w:after="240" w:line="264" w:lineRule="auto"/>
        <w:ind w:left="0" w:firstLine="0"/>
        <w:contextualSpacing w:val="0"/>
        <w:rPr>
          <w:sz w:val="26"/>
          <w:szCs w:val="26"/>
          <w:lang w:val="en-US"/>
        </w:rPr>
      </w:pPr>
      <w:r>
        <w:rPr>
          <w:rFonts w:hint="cs"/>
          <w:sz w:val="26"/>
          <w:szCs w:val="26"/>
          <w:rtl/>
          <w:lang w:val="en-US"/>
        </w:rPr>
        <w:t>كما سيتم إجراء</w:t>
      </w:r>
      <w:r w:rsidRPr="00551CF2">
        <w:rPr>
          <w:sz w:val="26"/>
          <w:szCs w:val="26"/>
          <w:rtl/>
          <w:lang w:val="en-US"/>
        </w:rPr>
        <w:t xml:space="preserve"> مجموعة من المقابلات الرئيسية لجمع المعلومات مع: إدارة برنامج المساعدة على الامتثال وفرق موظفيه على الصعيدين العالمي والإقليمي؛ وموظفي أمانة الصندوق المتعدد الأطراف وأمانة الأوزون؛ وموظفي الوكالات المنفذة والثنائية؛ وأعضاء اللجنة التنفيذية؛ ووحدات الأوزون الوطنية المستهدفة؛ </w:t>
      </w:r>
      <w:r>
        <w:rPr>
          <w:rFonts w:hint="cs"/>
          <w:sz w:val="26"/>
          <w:szCs w:val="26"/>
          <w:rtl/>
          <w:lang w:val="en-US"/>
        </w:rPr>
        <w:t>وأشخاص يتم اختيارهم</w:t>
      </w:r>
      <w:r w:rsidRPr="00551CF2">
        <w:rPr>
          <w:sz w:val="26"/>
          <w:szCs w:val="26"/>
          <w:rtl/>
          <w:lang w:val="en-US"/>
        </w:rPr>
        <w:t xml:space="preserve"> من أصحاب المصلحة التقنيين أو غيرهم، حيثما كانت مشاركتهم وثيقة الصلة مباشرة بالمسائل موضع التقييم. بالإضافة إلى ذلك، سيُوجَّه استبيان إلى وحدات الأوزون الوطنية في جميع الأقاليم، وسيُصمَّم بما يلائم الأولويات والظروف الإقليمية. وقد صُمم التقييم بوصفه تقييماً لبرنامج المساعدة على الامتثال كبرنامج عالمي، ولا يتطلب زيارات ميدانية.</w:t>
      </w:r>
    </w:p>
    <w:p w14:paraId="034D6350" w14:textId="1FFA91D4" w:rsidR="00811D4E" w:rsidRPr="00811D4E" w:rsidRDefault="00551CF2" w:rsidP="006F1F85">
      <w:pPr>
        <w:pStyle w:val="ListParagraph"/>
        <w:numPr>
          <w:ilvl w:val="0"/>
          <w:numId w:val="31"/>
        </w:numPr>
        <w:bidi/>
        <w:spacing w:after="240" w:line="264" w:lineRule="auto"/>
        <w:ind w:left="0" w:firstLine="0"/>
        <w:contextualSpacing w:val="0"/>
        <w:rPr>
          <w:sz w:val="26"/>
          <w:szCs w:val="26"/>
          <w:lang w:val="en-US"/>
        </w:rPr>
      </w:pPr>
      <w:r w:rsidRPr="00551CF2">
        <w:rPr>
          <w:sz w:val="26"/>
          <w:szCs w:val="26"/>
          <w:rtl/>
          <w:lang w:val="en-US"/>
        </w:rPr>
        <w:t xml:space="preserve">وستجمع المنهجية بين المعلومات الكمية والنوعية، </w:t>
      </w:r>
      <w:r w:rsidR="00844BA4">
        <w:rPr>
          <w:rFonts w:hint="cs"/>
          <w:sz w:val="26"/>
          <w:szCs w:val="26"/>
          <w:rtl/>
          <w:lang w:val="en-US"/>
        </w:rPr>
        <w:t>مع التحقق</w:t>
      </w:r>
      <w:r w:rsidRPr="00551CF2">
        <w:rPr>
          <w:sz w:val="26"/>
          <w:szCs w:val="26"/>
          <w:rtl/>
          <w:lang w:val="en-US"/>
        </w:rPr>
        <w:t xml:space="preserve"> </w:t>
      </w:r>
      <w:r w:rsidR="00844BA4">
        <w:rPr>
          <w:rFonts w:hint="cs"/>
          <w:sz w:val="26"/>
          <w:szCs w:val="26"/>
          <w:rtl/>
          <w:lang w:val="en-US"/>
        </w:rPr>
        <w:t>ال</w:t>
      </w:r>
      <w:r w:rsidRPr="00551CF2">
        <w:rPr>
          <w:sz w:val="26"/>
          <w:szCs w:val="26"/>
          <w:rtl/>
          <w:lang w:val="en-US"/>
        </w:rPr>
        <w:t xml:space="preserve">متقاطع من الأدلة المستمدة من مصادر مختلفة. </w:t>
      </w:r>
      <w:r w:rsidR="00844BA4">
        <w:rPr>
          <w:rFonts w:hint="cs"/>
          <w:sz w:val="26"/>
          <w:szCs w:val="26"/>
          <w:rtl/>
          <w:lang w:val="en-US"/>
        </w:rPr>
        <w:t>وسيتم تقييم</w:t>
      </w:r>
      <w:r w:rsidRPr="00551CF2">
        <w:rPr>
          <w:sz w:val="26"/>
          <w:szCs w:val="26"/>
          <w:rtl/>
          <w:lang w:val="en-US"/>
        </w:rPr>
        <w:t xml:space="preserve"> النتائج على ضوء ولاية برنامج المساعدة على الامتثال، والنتائج المتوقعة، وإطار الأداء المعمول به. </w:t>
      </w:r>
      <w:r w:rsidR="00844BA4">
        <w:rPr>
          <w:rFonts w:hint="cs"/>
          <w:sz w:val="26"/>
          <w:szCs w:val="26"/>
          <w:rtl/>
          <w:lang w:val="en-US"/>
        </w:rPr>
        <w:t>وسيحرص</w:t>
      </w:r>
      <w:r w:rsidRPr="00551CF2">
        <w:rPr>
          <w:sz w:val="26"/>
          <w:szCs w:val="26"/>
          <w:rtl/>
          <w:lang w:val="en-US"/>
        </w:rPr>
        <w:t xml:space="preserve"> تقييم الأثر والفعالية</w:t>
      </w:r>
      <w:r w:rsidR="00844BA4">
        <w:rPr>
          <w:rFonts w:hint="cs"/>
          <w:sz w:val="26"/>
          <w:szCs w:val="26"/>
          <w:rtl/>
          <w:lang w:val="en-US"/>
        </w:rPr>
        <w:t xml:space="preserve"> على التمييز</w:t>
      </w:r>
      <w:r w:rsidRPr="00551CF2">
        <w:rPr>
          <w:sz w:val="26"/>
          <w:szCs w:val="26"/>
          <w:rtl/>
          <w:lang w:val="en-US"/>
        </w:rPr>
        <w:t xml:space="preserve">، إلى أقصى حد ممكن، بين مساهمة خدمات برنامج المساعدة على الامتثال ومساهمة المشاريع التي </w:t>
      </w:r>
      <w:r w:rsidR="00844BA4">
        <w:rPr>
          <w:rFonts w:hint="cs"/>
          <w:sz w:val="26"/>
          <w:szCs w:val="26"/>
          <w:rtl/>
          <w:lang w:val="en-US"/>
        </w:rPr>
        <w:t>تنفذها</w:t>
      </w:r>
      <w:r w:rsidRPr="00551CF2">
        <w:rPr>
          <w:sz w:val="26"/>
          <w:szCs w:val="26"/>
          <w:rtl/>
          <w:lang w:val="en-US"/>
        </w:rPr>
        <w:t xml:space="preserve"> اليونيب أو وكالات أخرى.</w:t>
      </w:r>
    </w:p>
    <w:p w14:paraId="32F6979D" w14:textId="4395B9C9" w:rsidR="00811D4E" w:rsidRPr="00811D4E" w:rsidRDefault="005D3D97" w:rsidP="006F1F85">
      <w:pPr>
        <w:pStyle w:val="ListParagraph"/>
        <w:numPr>
          <w:ilvl w:val="0"/>
          <w:numId w:val="31"/>
        </w:numPr>
        <w:bidi/>
        <w:spacing w:after="240" w:line="264" w:lineRule="auto"/>
        <w:ind w:left="0" w:firstLine="0"/>
        <w:contextualSpacing w:val="0"/>
        <w:rPr>
          <w:sz w:val="26"/>
          <w:szCs w:val="26"/>
          <w:lang w:val="en-US"/>
        </w:rPr>
      </w:pPr>
      <w:r w:rsidRPr="005D3D97">
        <w:rPr>
          <w:sz w:val="26"/>
          <w:szCs w:val="26"/>
          <w:rtl/>
          <w:lang w:val="en-US"/>
        </w:rPr>
        <w:t>وسيُعِدّ المستشار تقريراً أولياً، وفقاً للمبادئ التوجيهية الصادرة عن وحدة تقييم الصندوق المتعدد الأطراف، يبيّن مصفوفة التقييم، واختيار أصحاب المصلحة الذين ستُجرى معهم المشاورات، وأساليب جمع البيانات، بما في ذلك إعداد الاستبيان الذي سيُوجَّه إلى وحدات الأوزون الوطنية، والجدول الزمني المفصّل. وتُعدّ القائمة الإرشادية المقترحة لأسئلة التقييم، الواردة في المرفق الأول لهذه الوثيقة، جزءاً لا يتجزأ من هذه الاختصاصات، ويتعيّن على التقييم أن يتناولها؛ ويمكن تحديد أسئلة إضافية أثناء إعداد التقرير، حسب الحاجة.</w:t>
      </w:r>
    </w:p>
    <w:p w14:paraId="1344C586" w14:textId="264A81E3" w:rsidR="00811D4E" w:rsidRPr="00811D4E" w:rsidRDefault="005D3D97" w:rsidP="006F1F85">
      <w:pPr>
        <w:pStyle w:val="ListParagraph"/>
        <w:numPr>
          <w:ilvl w:val="0"/>
          <w:numId w:val="31"/>
        </w:numPr>
        <w:bidi/>
        <w:spacing w:after="240" w:line="264" w:lineRule="auto"/>
        <w:ind w:left="0" w:firstLine="0"/>
        <w:contextualSpacing w:val="0"/>
        <w:rPr>
          <w:sz w:val="26"/>
          <w:szCs w:val="26"/>
          <w:lang w:val="en-US"/>
        </w:rPr>
      </w:pPr>
      <w:r w:rsidRPr="005D3D97">
        <w:rPr>
          <w:sz w:val="26"/>
          <w:szCs w:val="26"/>
          <w:rtl/>
          <w:lang w:val="en-US"/>
        </w:rPr>
        <w:t>وستكون المهام والإجراءات المطلوبة من المستشار متناسبة مع هدف التقييم ونطاقه على النحو المبين في هذه الاختصاصات.</w:t>
      </w:r>
    </w:p>
    <w:p w14:paraId="037B5B1A" w14:textId="23601C5B" w:rsidR="00811D4E" w:rsidRPr="00811D4E" w:rsidRDefault="005D3D97" w:rsidP="00811D4E">
      <w:pPr>
        <w:pStyle w:val="MLFSection"/>
        <w:keepNext/>
        <w:bidi/>
        <w:spacing w:after="240"/>
        <w:rPr>
          <w:rFonts w:cs="Times New Roman"/>
          <w:b w:val="0"/>
          <w:bCs/>
          <w:sz w:val="26"/>
          <w:szCs w:val="26"/>
        </w:rPr>
      </w:pPr>
      <w:r w:rsidRPr="005D3D97">
        <w:rPr>
          <w:rFonts w:cs="Times New Roman"/>
          <w:b w:val="0"/>
          <w:bCs/>
          <w:sz w:val="26"/>
          <w:szCs w:val="26"/>
          <w:rtl/>
        </w:rPr>
        <w:t>النتائج المتوقعة</w:t>
      </w:r>
    </w:p>
    <w:p w14:paraId="339FB646" w14:textId="26B735FD" w:rsidR="00811D4E" w:rsidRPr="00811D4E" w:rsidRDefault="00A83526" w:rsidP="006F1F85">
      <w:pPr>
        <w:pStyle w:val="ListParagraph"/>
        <w:numPr>
          <w:ilvl w:val="0"/>
          <w:numId w:val="31"/>
        </w:numPr>
        <w:bidi/>
        <w:spacing w:after="240" w:line="264" w:lineRule="auto"/>
        <w:ind w:left="0" w:firstLine="0"/>
        <w:contextualSpacing w:val="0"/>
        <w:rPr>
          <w:sz w:val="26"/>
          <w:szCs w:val="26"/>
          <w:lang w:val="en-US"/>
        </w:rPr>
      </w:pPr>
      <w:r w:rsidRPr="00A83526">
        <w:rPr>
          <w:sz w:val="26"/>
          <w:szCs w:val="26"/>
          <w:rtl/>
          <w:lang w:val="en-US"/>
        </w:rPr>
        <w:t xml:space="preserve">سيقدّم التقرير النهائي تقييماً تحليلياً لبرنامج المساعدة على الامتثال بوصفه برنامجاً عالمياً، يتناول مدى ملاءمته وفعاليته وأثره وكفاءته. وسيتضمن النتائج الرئيسية والدروس المستفادة، ويقترح توصيات محددة وقابلة للقياس وقابلة للتحقيق وذات صلة ومحددة زمنياً </w:t>
      </w:r>
      <w:r w:rsidR="00646587">
        <w:rPr>
          <w:rFonts w:hint="cs"/>
          <w:sz w:val="26"/>
          <w:szCs w:val="26"/>
          <w:rtl/>
          <w:lang w:val="en-US"/>
        </w:rPr>
        <w:t>لتنظر فيها اللجنة التنفيذية</w:t>
      </w:r>
      <w:r w:rsidRPr="00A83526">
        <w:rPr>
          <w:sz w:val="26"/>
          <w:szCs w:val="26"/>
          <w:rtl/>
          <w:lang w:val="en-US"/>
        </w:rPr>
        <w:t>. وسيتضمن التقرير تحليلاً مخصصاً لما يلي: (أ) أثر دعم برنامج المساعدة على الامتثال وفعاليته بوصفه برنامجاً عالمياً والنتائج على المستوى القطري؛ (ب) الحواجز والتحديات المتكررة التي تؤثر على التنفيذ، ومساهمة برنامج المساعدة على الامتثال في معالجتها؛ (ج) متابعة تقييم الشبكات الإقليمية والمقرر</w:t>
      </w:r>
      <w:r>
        <w:rPr>
          <w:rFonts w:hint="cs"/>
          <w:sz w:val="26"/>
          <w:szCs w:val="26"/>
          <w:rtl/>
          <w:lang w:val="en-US"/>
        </w:rPr>
        <w:t xml:space="preserve"> </w:t>
      </w:r>
      <w:r>
        <w:rPr>
          <w:sz w:val="26"/>
          <w:szCs w:val="26"/>
          <w:lang w:val="en-US"/>
        </w:rPr>
        <w:t>92</w:t>
      </w:r>
      <w:r>
        <w:rPr>
          <w:rFonts w:hint="cs"/>
          <w:sz w:val="26"/>
          <w:szCs w:val="26"/>
          <w:rtl/>
          <w:lang w:val="en-US" w:bidi="ar-AE"/>
        </w:rPr>
        <w:t>/</w:t>
      </w:r>
      <w:r>
        <w:rPr>
          <w:sz w:val="26"/>
          <w:szCs w:val="26"/>
          <w:lang w:val="en-US" w:bidi="ar-AE"/>
        </w:rPr>
        <w:t>5</w:t>
      </w:r>
      <w:r w:rsidRPr="00A83526">
        <w:rPr>
          <w:sz w:val="26"/>
          <w:szCs w:val="26"/>
          <w:rtl/>
          <w:lang w:val="en-US"/>
        </w:rPr>
        <w:t>؛ (د) ترتيبات الإبلاغ والترتيبات الإدارية؛ (هـ) الأدلة والرؤى ذات الصلة بأي تنقيح مستقبلي منفصل لمؤشرات أداء برنامج المساعدة على الامتثال.</w:t>
      </w:r>
    </w:p>
    <w:p w14:paraId="015AD74A" w14:textId="11D2E7CF" w:rsidR="00811D4E" w:rsidRPr="00811D4E" w:rsidRDefault="002350FD" w:rsidP="00811D4E">
      <w:pPr>
        <w:pStyle w:val="MLFSection"/>
        <w:keepNext/>
        <w:bidi/>
        <w:spacing w:after="240"/>
        <w:rPr>
          <w:rFonts w:cs="Times New Roman"/>
          <w:b w:val="0"/>
          <w:bCs/>
          <w:sz w:val="26"/>
          <w:szCs w:val="26"/>
        </w:rPr>
      </w:pPr>
      <w:r w:rsidRPr="002350FD">
        <w:rPr>
          <w:rFonts w:cs="Times New Roman"/>
          <w:b w:val="0"/>
          <w:bCs/>
          <w:sz w:val="26"/>
          <w:szCs w:val="26"/>
          <w:rtl/>
        </w:rPr>
        <w:t>الميزانية والجدول الزمني</w:t>
      </w:r>
    </w:p>
    <w:p w14:paraId="2636DE9E" w14:textId="47A0919E" w:rsidR="00811D4E" w:rsidRPr="00811D4E" w:rsidRDefault="002350FD" w:rsidP="006F1F85">
      <w:pPr>
        <w:pStyle w:val="ListParagraph"/>
        <w:numPr>
          <w:ilvl w:val="0"/>
          <w:numId w:val="31"/>
        </w:numPr>
        <w:bidi/>
        <w:spacing w:after="240" w:line="264" w:lineRule="auto"/>
        <w:ind w:left="0" w:firstLine="0"/>
        <w:contextualSpacing w:val="0"/>
        <w:rPr>
          <w:sz w:val="26"/>
          <w:szCs w:val="26"/>
          <w:lang w:val="en-US"/>
        </w:rPr>
      </w:pPr>
      <w:r w:rsidRPr="002350FD">
        <w:rPr>
          <w:sz w:val="26"/>
          <w:szCs w:val="26"/>
          <w:rtl/>
          <w:lang w:val="en-US"/>
        </w:rPr>
        <w:t xml:space="preserve">ستعتمد </w:t>
      </w:r>
      <w:r w:rsidR="00646587">
        <w:rPr>
          <w:rFonts w:hint="cs"/>
          <w:sz w:val="26"/>
          <w:szCs w:val="26"/>
          <w:rtl/>
          <w:lang w:val="en-US"/>
        </w:rPr>
        <w:t>الاحتياجات</w:t>
      </w:r>
      <w:r w:rsidRPr="002350FD">
        <w:rPr>
          <w:sz w:val="26"/>
          <w:szCs w:val="26"/>
          <w:rtl/>
          <w:lang w:val="en-US"/>
        </w:rPr>
        <w:t xml:space="preserve"> من الميزانية على برنامج عمل التقييم المقترح المعتمد لعام </w:t>
      </w:r>
      <w:r>
        <w:rPr>
          <w:sz w:val="26"/>
          <w:szCs w:val="26"/>
          <w:lang w:val="en-US"/>
        </w:rPr>
        <w:t>2027</w:t>
      </w:r>
      <w:r w:rsidRPr="002350FD">
        <w:rPr>
          <w:sz w:val="26"/>
          <w:szCs w:val="26"/>
          <w:rtl/>
          <w:lang w:val="en-US"/>
        </w:rPr>
        <w:t xml:space="preserve"> الوارد في الوثيقة </w:t>
      </w:r>
      <w:r w:rsidRPr="002350FD">
        <w:rPr>
          <w:sz w:val="26"/>
          <w:szCs w:val="26"/>
          <w:lang w:val="en-US"/>
        </w:rPr>
        <w:t>UNEP/OzL.Pro/ExCom/99/12</w:t>
      </w:r>
      <w:r w:rsidRPr="002350FD">
        <w:rPr>
          <w:sz w:val="26"/>
          <w:szCs w:val="26"/>
          <w:rtl/>
          <w:lang w:val="en-US"/>
        </w:rPr>
        <w:t xml:space="preserve"> المقدمة إلى هذا الاجتماع. ويُطلب مبلغ </w:t>
      </w:r>
      <w:r w:rsidRPr="002350FD">
        <w:rPr>
          <w:sz w:val="26"/>
          <w:szCs w:val="26"/>
        </w:rPr>
        <w:t>30,000</w:t>
      </w:r>
      <w:r w:rsidRPr="002350FD">
        <w:rPr>
          <w:sz w:val="26"/>
          <w:szCs w:val="26"/>
          <w:rtl/>
          <w:lang w:val="en-US"/>
        </w:rPr>
        <w:t xml:space="preserve"> دولار أمريكي لإجراء التقييم. ومن المقرر تقديم التقرير النهائي إلى الاجتماع الحادي بعد المائة.</w:t>
      </w:r>
    </w:p>
    <w:p w14:paraId="1AC7ABD7" w14:textId="2ABF18AF" w:rsidR="00811D4E" w:rsidRPr="00811D4E" w:rsidRDefault="002350FD" w:rsidP="00811D4E">
      <w:pPr>
        <w:pStyle w:val="MLFSection"/>
        <w:keepNext/>
        <w:bidi/>
        <w:spacing w:after="240"/>
        <w:rPr>
          <w:rFonts w:cs="Times New Roman"/>
          <w:b w:val="0"/>
          <w:bCs/>
          <w:sz w:val="26"/>
          <w:szCs w:val="26"/>
        </w:rPr>
      </w:pPr>
      <w:r>
        <w:rPr>
          <w:rFonts w:cs="Times New Roman" w:hint="cs"/>
          <w:b w:val="0"/>
          <w:bCs/>
          <w:sz w:val="26"/>
          <w:szCs w:val="26"/>
          <w:rtl/>
        </w:rPr>
        <w:lastRenderedPageBreak/>
        <w:t>التوصية</w:t>
      </w:r>
    </w:p>
    <w:p w14:paraId="06EF5F64" w14:textId="7846A137" w:rsidR="00811D4E" w:rsidRPr="00811D4E" w:rsidRDefault="002350FD" w:rsidP="006F1F85">
      <w:pPr>
        <w:pStyle w:val="ListParagraph"/>
        <w:numPr>
          <w:ilvl w:val="0"/>
          <w:numId w:val="31"/>
        </w:numPr>
        <w:bidi/>
        <w:spacing w:after="240" w:line="264" w:lineRule="auto"/>
        <w:ind w:left="0" w:firstLine="0"/>
        <w:contextualSpacing w:val="0"/>
        <w:rPr>
          <w:sz w:val="26"/>
          <w:szCs w:val="26"/>
          <w:lang w:val="en-US"/>
        </w:rPr>
      </w:pPr>
      <w:r w:rsidRPr="002350FD">
        <w:rPr>
          <w:sz w:val="26"/>
          <w:szCs w:val="26"/>
          <w:rtl/>
          <w:lang w:val="en-US"/>
        </w:rPr>
        <w:t xml:space="preserve">قد ترغب اللجنة التنفيذية في الموافقة على اختصاصات المرحلة الثانية من تقييم برنامج المساعدة على الامتثال التابع لليونيب، الواردة في الوثيقة </w:t>
      </w:r>
      <w:r w:rsidRPr="002350FD">
        <w:rPr>
          <w:sz w:val="26"/>
          <w:szCs w:val="26"/>
          <w:lang w:val="en-US"/>
        </w:rPr>
        <w:t>UNEP/OzL.Pro/ExCom/99/10</w:t>
      </w:r>
      <w:r w:rsidRPr="002350FD">
        <w:rPr>
          <w:sz w:val="26"/>
          <w:szCs w:val="26"/>
          <w:rtl/>
          <w:lang w:val="en-US"/>
        </w:rPr>
        <w:t>.</w:t>
      </w:r>
    </w:p>
    <w:p w14:paraId="47123D3E" w14:textId="5C02DBAA" w:rsidR="006D2D8D" w:rsidRPr="002350FD" w:rsidRDefault="006D2D8D" w:rsidP="002350FD">
      <w:pPr>
        <w:pStyle w:val="Heading2"/>
        <w:numPr>
          <w:ilvl w:val="0"/>
          <w:numId w:val="0"/>
        </w:numPr>
        <w:bidi/>
        <w:ind w:left="1440"/>
        <w:rPr>
          <w:sz w:val="26"/>
          <w:szCs w:val="26"/>
          <w:lang w:bidi="ar-AE"/>
        </w:rPr>
      </w:pPr>
    </w:p>
    <w:p w14:paraId="09864BF0" w14:textId="7D5BC0DA" w:rsidR="00683D1D" w:rsidRPr="002350FD" w:rsidRDefault="00683D1D" w:rsidP="002350FD">
      <w:pPr>
        <w:pStyle w:val="Heading2"/>
        <w:numPr>
          <w:ilvl w:val="0"/>
          <w:numId w:val="0"/>
        </w:numPr>
        <w:bidi/>
        <w:ind w:left="720"/>
        <w:rPr>
          <w:sz w:val="26"/>
          <w:szCs w:val="26"/>
        </w:rPr>
        <w:sectPr w:rsidR="00683D1D" w:rsidRPr="002350FD" w:rsidSect="0005078F">
          <w:headerReference w:type="even" r:id="rId13"/>
          <w:headerReference w:type="default" r:id="rId14"/>
          <w:footerReference w:type="even" r:id="rId15"/>
          <w:footerReference w:type="default" r:id="rId16"/>
          <w:footerReference w:type="first" r:id="rId17"/>
          <w:pgSz w:w="12240" w:h="15840" w:code="1"/>
          <w:pgMar w:top="720" w:right="1354" w:bottom="864" w:left="1440" w:header="720" w:footer="475" w:gutter="0"/>
          <w:cols w:space="720"/>
          <w:titlePg/>
          <w:docGrid w:linePitch="299"/>
        </w:sectPr>
      </w:pPr>
    </w:p>
    <w:p w14:paraId="587ABA35" w14:textId="5693287F" w:rsidR="00650113" w:rsidRPr="003476CB" w:rsidRDefault="00650113" w:rsidP="003476CB">
      <w:pPr>
        <w:pStyle w:val="Heading2"/>
        <w:numPr>
          <w:ilvl w:val="0"/>
          <w:numId w:val="0"/>
        </w:numPr>
        <w:bidi/>
        <w:rPr>
          <w:sz w:val="26"/>
          <w:szCs w:val="26"/>
          <w:lang w:bidi="ar-AE"/>
        </w:rPr>
      </w:pPr>
    </w:p>
    <w:p w14:paraId="350FB191" w14:textId="06149405" w:rsidR="003476CB" w:rsidRPr="003476CB" w:rsidRDefault="003476CB" w:rsidP="003476CB">
      <w:pPr>
        <w:bidi/>
        <w:spacing w:after="240"/>
        <w:jc w:val="center"/>
        <w:rPr>
          <w:b/>
          <w:bCs/>
          <w:sz w:val="26"/>
          <w:szCs w:val="26"/>
        </w:rPr>
      </w:pPr>
      <w:r>
        <w:rPr>
          <w:rFonts w:hint="cs"/>
          <w:b/>
          <w:bCs/>
          <w:sz w:val="26"/>
          <w:szCs w:val="26"/>
          <w:rtl/>
        </w:rPr>
        <w:t>المُرفق الأول</w:t>
      </w:r>
    </w:p>
    <w:p w14:paraId="650551FF" w14:textId="51EFFA1C" w:rsidR="003476CB" w:rsidRPr="003476CB" w:rsidRDefault="003476CB" w:rsidP="003476CB">
      <w:pPr>
        <w:bidi/>
        <w:jc w:val="center"/>
        <w:rPr>
          <w:bCs/>
          <w:sz w:val="26"/>
          <w:szCs w:val="26"/>
        </w:rPr>
      </w:pPr>
      <w:r>
        <w:rPr>
          <w:rFonts w:hint="cs"/>
          <w:bCs/>
          <w:sz w:val="26"/>
          <w:szCs w:val="26"/>
          <w:rtl/>
        </w:rPr>
        <w:t>أسئلة التقييم</w:t>
      </w:r>
    </w:p>
    <w:p w14:paraId="74213AD4" w14:textId="77777777" w:rsidR="006550BC" w:rsidRPr="003476CB" w:rsidRDefault="006550BC" w:rsidP="003476CB">
      <w:pPr>
        <w:bidi/>
        <w:jc w:val="center"/>
        <w:rPr>
          <w:bCs/>
          <w:sz w:val="26"/>
          <w:szCs w:val="26"/>
        </w:rPr>
      </w:pPr>
    </w:p>
    <w:p w14:paraId="50F5051F" w14:textId="4AA364E7" w:rsidR="003D6277" w:rsidRPr="003D6277" w:rsidRDefault="00C400C6" w:rsidP="00492DD6">
      <w:pPr>
        <w:bidi/>
        <w:spacing w:after="240"/>
        <w:ind w:left="144"/>
        <w:rPr>
          <w:sz w:val="26"/>
          <w:szCs w:val="26"/>
          <w:rtl/>
          <w:lang w:val="en-US" w:bidi="ar-AE"/>
        </w:rPr>
      </w:pPr>
      <w:r w:rsidRPr="00C400C6">
        <w:rPr>
          <w:sz w:val="26"/>
          <w:szCs w:val="26"/>
          <w:rtl/>
          <w:lang w:val="en-US" w:bidi="ar-AE"/>
        </w:rPr>
        <w:t>تتناول الأسئلة الإرشادية المقترحة المدرجة أدناه المرحلة الثانية من الدراسة النظرية. وهي مصنفة في ثلاثة مجالات مواضيعية، ولا ينطوي ترتيب عرضها على أي تدرج هرمي.</w:t>
      </w:r>
    </w:p>
    <w:p w14:paraId="5F9CB2B9" w14:textId="7B232FBC" w:rsidR="00C400C6" w:rsidRPr="00C400C6" w:rsidRDefault="00C400C6" w:rsidP="00C400C6">
      <w:pPr>
        <w:bidi/>
        <w:spacing w:after="240"/>
        <w:ind w:left="432" w:hanging="259"/>
        <w:rPr>
          <w:b/>
          <w:bCs/>
          <w:sz w:val="26"/>
          <w:szCs w:val="26"/>
          <w:rtl/>
          <w:lang w:val="en-US" w:bidi="ar-AE"/>
        </w:rPr>
      </w:pPr>
      <w:r w:rsidRPr="00C400C6">
        <w:rPr>
          <w:b/>
          <w:bCs/>
          <w:sz w:val="26"/>
          <w:szCs w:val="26"/>
          <w:rtl/>
          <w:lang w:val="en-US" w:bidi="ar-AE"/>
        </w:rPr>
        <w:t>المجال المواضيعي الأول: الأثر والفعالية لبرنامج المساعدة على الامتثال</w:t>
      </w:r>
    </w:p>
    <w:p w14:paraId="4D9CB282" w14:textId="3CC62AB6" w:rsidR="00C400C6" w:rsidRPr="00C400C6" w:rsidRDefault="00C400C6" w:rsidP="00CC1850">
      <w:pPr>
        <w:pStyle w:val="ListParagraph"/>
        <w:numPr>
          <w:ilvl w:val="0"/>
          <w:numId w:val="32"/>
        </w:numPr>
        <w:bidi/>
        <w:spacing w:after="240" w:line="264" w:lineRule="auto"/>
        <w:ind w:left="1440" w:hanging="720"/>
        <w:contextualSpacing w:val="0"/>
        <w:rPr>
          <w:sz w:val="26"/>
          <w:szCs w:val="26"/>
          <w:lang w:val="en-US"/>
        </w:rPr>
      </w:pPr>
      <w:r w:rsidRPr="00C400C6">
        <w:rPr>
          <w:b/>
          <w:bCs/>
          <w:sz w:val="26"/>
          <w:szCs w:val="26"/>
          <w:rtl/>
          <w:lang w:val="en-US"/>
        </w:rPr>
        <w:t>الأثر والملاءمة والفعالية:</w:t>
      </w:r>
      <w:r w:rsidRPr="00C400C6">
        <w:rPr>
          <w:sz w:val="26"/>
          <w:szCs w:val="26"/>
          <w:rtl/>
          <w:lang w:val="en-US"/>
        </w:rPr>
        <w:t xml:space="preserve"> إلى أي مدى أسهم برنامج المساعدة على الامتثال في تحقيق</w:t>
      </w:r>
      <w:r>
        <w:rPr>
          <w:rFonts w:hint="cs"/>
          <w:sz w:val="26"/>
          <w:szCs w:val="26"/>
          <w:rtl/>
          <w:lang w:val="en-US" w:bidi="ar-AE"/>
        </w:rPr>
        <w:t xml:space="preserve"> امتثال</w:t>
      </w:r>
      <w:r w:rsidRPr="00C400C6">
        <w:rPr>
          <w:sz w:val="26"/>
          <w:szCs w:val="26"/>
          <w:rtl/>
          <w:lang w:val="en-US"/>
        </w:rPr>
        <w:t xml:space="preserve"> البلدان العاملة بموجب المادة </w:t>
      </w:r>
      <w:r>
        <w:rPr>
          <w:sz w:val="26"/>
          <w:szCs w:val="26"/>
          <w:lang w:val="en-US"/>
        </w:rPr>
        <w:t>5</w:t>
      </w:r>
      <w:r w:rsidRPr="00C400C6">
        <w:rPr>
          <w:sz w:val="26"/>
          <w:szCs w:val="26"/>
          <w:rtl/>
          <w:lang w:val="en-US"/>
        </w:rPr>
        <w:t xml:space="preserve"> ومواصلته، وما مدى ملاءمة مكوناته وخدماته وفعاليتها وكفاءتها في الاستجابة لاحتياجات البلدان وأولويات اللجنة التنفيذية؟</w:t>
      </w:r>
    </w:p>
    <w:p w14:paraId="47F205EF" w14:textId="3D0F1D9C" w:rsidR="00C400C6" w:rsidRPr="00C400C6" w:rsidRDefault="00C400C6" w:rsidP="00C400C6">
      <w:pPr>
        <w:pStyle w:val="ListParagraph"/>
        <w:numPr>
          <w:ilvl w:val="0"/>
          <w:numId w:val="32"/>
        </w:numPr>
        <w:bidi/>
        <w:spacing w:after="240" w:line="264" w:lineRule="auto"/>
        <w:ind w:left="1440" w:hanging="720"/>
        <w:contextualSpacing w:val="0"/>
        <w:rPr>
          <w:sz w:val="26"/>
          <w:szCs w:val="26"/>
          <w:lang w:val="en-US"/>
        </w:rPr>
      </w:pPr>
      <w:r w:rsidRPr="00C400C6">
        <w:rPr>
          <w:b/>
          <w:bCs/>
          <w:sz w:val="26"/>
          <w:szCs w:val="26"/>
          <w:rtl/>
          <w:lang w:val="en-US"/>
        </w:rPr>
        <w:t>بناء القدرات واستدامتها:</w:t>
      </w:r>
      <w:r w:rsidRPr="00C400C6">
        <w:rPr>
          <w:sz w:val="26"/>
          <w:szCs w:val="26"/>
          <w:rtl/>
          <w:lang w:val="en-US"/>
        </w:rPr>
        <w:t xml:space="preserve"> كيف عزز برنامج المساعدة على الامتثال قدرات وحدات الأوزون الوطنية والمؤسسات الوطنية المعنية، بما في ذلك من خلال تدريب المدربين، وترتيبات التدريب الوطنية، والتعاون مع الرابطات المهنية والسلطات المعنية، وكيف دعم استمرار الوصول إلى الخبرات في المجالات ذات الصلة، بما في ذلك نظم إصدار التراخيص، والإبلاغ عن البيانات، والتجارة غير المشروعة، وما القدرات الإضافية اللازمة لاستدامة النتائج؟</w:t>
      </w:r>
    </w:p>
    <w:p w14:paraId="54169CF9" w14:textId="3F107B44" w:rsidR="00C400C6" w:rsidRPr="00C400C6" w:rsidRDefault="00AB1718" w:rsidP="00C400C6">
      <w:pPr>
        <w:pStyle w:val="ListParagraph"/>
        <w:numPr>
          <w:ilvl w:val="0"/>
          <w:numId w:val="32"/>
        </w:numPr>
        <w:bidi/>
        <w:spacing w:after="240" w:line="264" w:lineRule="auto"/>
        <w:ind w:left="1440" w:hanging="720"/>
        <w:contextualSpacing w:val="0"/>
        <w:rPr>
          <w:sz w:val="26"/>
          <w:szCs w:val="26"/>
          <w:lang w:val="en-US"/>
        </w:rPr>
      </w:pPr>
      <w:r w:rsidRPr="00AB1718">
        <w:rPr>
          <w:b/>
          <w:bCs/>
          <w:sz w:val="26"/>
          <w:szCs w:val="26"/>
          <w:rtl/>
          <w:lang w:val="en-US"/>
        </w:rPr>
        <w:t>دعم تنفيذ المشاريع والإبلاغ عن البيانات:</w:t>
      </w:r>
      <w:r w:rsidRPr="00AB1718">
        <w:rPr>
          <w:sz w:val="26"/>
          <w:szCs w:val="26"/>
          <w:rtl/>
          <w:lang w:val="en-US"/>
        </w:rPr>
        <w:t xml:space="preserve"> ما مدى فعالية دعم برنامج المساعدة على الامتثال للمشاريع، بما في ذلك خطط التنفيذ المتعلقة بالمواد الهيدروفلوروكربونية بموجب تعديل كيغالي، التي تنفذها اليونيب وغيرها من الوكالات المنفذة والثنائية؟ وما مدى فعالية دعم برنامج المساعدة على الامتثال لجمع بيانات المادة </w:t>
      </w:r>
      <w:r>
        <w:rPr>
          <w:sz w:val="26"/>
          <w:szCs w:val="26"/>
          <w:lang w:val="en-US"/>
        </w:rPr>
        <w:t>7</w:t>
      </w:r>
      <w:r w:rsidRPr="00AB1718">
        <w:rPr>
          <w:sz w:val="26"/>
          <w:szCs w:val="26"/>
          <w:rtl/>
          <w:lang w:val="en-US"/>
        </w:rPr>
        <w:t xml:space="preserve"> وبيانات البرامج القطرية والإبلاغ عنها؟</w:t>
      </w:r>
    </w:p>
    <w:p w14:paraId="709765EC" w14:textId="3A81D8C7" w:rsidR="00C400C6" w:rsidRPr="00AB1718" w:rsidRDefault="00AB1718" w:rsidP="00C400C6">
      <w:pPr>
        <w:pStyle w:val="ListParagraph"/>
        <w:numPr>
          <w:ilvl w:val="0"/>
          <w:numId w:val="32"/>
        </w:numPr>
        <w:bidi/>
        <w:spacing w:after="240" w:line="264" w:lineRule="auto"/>
        <w:ind w:left="1440" w:hanging="720"/>
        <w:contextualSpacing w:val="0"/>
        <w:rPr>
          <w:b/>
          <w:bCs/>
          <w:sz w:val="26"/>
          <w:szCs w:val="26"/>
          <w:lang w:val="en-US"/>
        </w:rPr>
      </w:pPr>
      <w:r w:rsidRPr="00AB1718">
        <w:rPr>
          <w:rFonts w:hint="cs"/>
          <w:b/>
          <w:bCs/>
          <w:sz w:val="26"/>
          <w:szCs w:val="26"/>
          <w:rtl/>
          <w:lang w:val="en-US" w:bidi="ar-AE"/>
        </w:rPr>
        <w:t>ا</w:t>
      </w:r>
      <w:r w:rsidRPr="00AB1718">
        <w:rPr>
          <w:b/>
          <w:bCs/>
          <w:sz w:val="26"/>
          <w:szCs w:val="26"/>
          <w:rtl/>
          <w:lang w:val="en-US"/>
        </w:rPr>
        <w:t>لعلاقات مع الوكالات والمؤسسات الدولية</w:t>
      </w:r>
      <w:r w:rsidR="004406F1" w:rsidRPr="00AB1718">
        <w:rPr>
          <w:b/>
          <w:bCs/>
          <w:sz w:val="26"/>
          <w:szCs w:val="26"/>
          <w:rtl/>
          <w:lang w:val="en-US"/>
        </w:rPr>
        <w:t>:</w:t>
      </w:r>
    </w:p>
    <w:p w14:paraId="1ABC9EFA" w14:textId="00B22FCE" w:rsidR="00AB1718" w:rsidRPr="00AB1718" w:rsidRDefault="00C75341" w:rsidP="00AB1718">
      <w:pPr>
        <w:pStyle w:val="ListParagraph"/>
        <w:numPr>
          <w:ilvl w:val="0"/>
          <w:numId w:val="33"/>
        </w:numPr>
        <w:bidi/>
        <w:spacing w:after="240" w:line="264" w:lineRule="auto"/>
        <w:ind w:left="2160" w:hanging="720"/>
        <w:contextualSpacing w:val="0"/>
        <w:rPr>
          <w:sz w:val="26"/>
          <w:szCs w:val="26"/>
        </w:rPr>
      </w:pPr>
      <w:r w:rsidRPr="00C75341">
        <w:rPr>
          <w:sz w:val="26"/>
          <w:szCs w:val="26"/>
          <w:rtl/>
        </w:rPr>
        <w:t>إلى أي مدى تعاون برنامج المساعدة على الامتثال ونسّق بفعالية مع الوكالات المنفذة، وما مدى فعالية دعمه في الاستجابة لاحتياجاتها وتوقعاتها المتطورة؟</w:t>
      </w:r>
    </w:p>
    <w:p w14:paraId="5CCB1A08" w14:textId="1FD0EE6F" w:rsidR="00AB1718" w:rsidRPr="00AB1718" w:rsidRDefault="00C75341" w:rsidP="00AB1718">
      <w:pPr>
        <w:pStyle w:val="ListParagraph"/>
        <w:numPr>
          <w:ilvl w:val="0"/>
          <w:numId w:val="33"/>
        </w:numPr>
        <w:bidi/>
        <w:spacing w:after="240" w:line="264" w:lineRule="auto"/>
        <w:ind w:left="2160" w:hanging="720"/>
        <w:contextualSpacing w:val="0"/>
        <w:rPr>
          <w:sz w:val="26"/>
          <w:szCs w:val="26"/>
        </w:rPr>
      </w:pPr>
      <w:r w:rsidRPr="00C75341">
        <w:rPr>
          <w:sz w:val="26"/>
          <w:szCs w:val="26"/>
          <w:rtl/>
        </w:rPr>
        <w:t>إلى أي مدى أقام برنامج المساعدة على الامتثال شراكات مع المؤسسات الدولية المعنية والشبكات المهنية، مثل الجمعية الأمريكية لمهندسي التدفئة والتبريد وتكييف الهواء، والمنظمة الدولية للتوحيد القياسي، وغيرها، واستفاد منها، وكيف يمكن زيادة تعزيز هذه العلاقات لترجمة الخبرات التقنية والمعارف الدولية إلى توجيهات ومساعدة عملية على المستوى القطري؟</w:t>
      </w:r>
    </w:p>
    <w:p w14:paraId="3FFAD78D" w14:textId="47058348" w:rsidR="00AB1718" w:rsidRPr="00190DD2" w:rsidRDefault="00190DD2" w:rsidP="00AB1718">
      <w:pPr>
        <w:pStyle w:val="ListParagraph"/>
        <w:numPr>
          <w:ilvl w:val="0"/>
          <w:numId w:val="32"/>
        </w:numPr>
        <w:bidi/>
        <w:spacing w:after="240" w:line="264" w:lineRule="auto"/>
        <w:ind w:left="1440" w:hanging="720"/>
        <w:contextualSpacing w:val="0"/>
        <w:rPr>
          <w:sz w:val="26"/>
          <w:szCs w:val="26"/>
          <w:lang w:val="en-US"/>
        </w:rPr>
      </w:pPr>
      <w:r w:rsidRPr="00190DD2">
        <w:rPr>
          <w:b/>
          <w:bCs/>
          <w:sz w:val="26"/>
          <w:szCs w:val="26"/>
          <w:rtl/>
          <w:lang w:val="en-US"/>
        </w:rPr>
        <w:t>الشبكات الإقليمية والتعاون بين البلدان:</w:t>
      </w:r>
      <w:r w:rsidRPr="00190DD2">
        <w:rPr>
          <w:sz w:val="26"/>
          <w:szCs w:val="26"/>
          <w:rtl/>
          <w:lang w:val="en-US"/>
        </w:rPr>
        <w:t xml:space="preserve"> إلى أي مدى عززت </w:t>
      </w:r>
      <w:r>
        <w:rPr>
          <w:rFonts w:hint="cs"/>
          <w:sz w:val="26"/>
          <w:szCs w:val="26"/>
          <w:rtl/>
          <w:lang w:val="en-US"/>
        </w:rPr>
        <w:t>ودعمت</w:t>
      </w:r>
      <w:r w:rsidRPr="00190DD2">
        <w:rPr>
          <w:sz w:val="26"/>
          <w:szCs w:val="26"/>
          <w:rtl/>
          <w:lang w:val="en-US"/>
        </w:rPr>
        <w:t xml:space="preserve"> الإجراءات المنفذة في إطار خارطة طريق الشبكات الإقليمية الخدمات التي يقدمها برنامج المساعدة على الامتثال؟</w:t>
      </w:r>
    </w:p>
    <w:p w14:paraId="05BE690E" w14:textId="650FB807" w:rsidR="00190DD2" w:rsidRPr="00190DD2" w:rsidRDefault="00190DD2" w:rsidP="00190DD2">
      <w:pPr>
        <w:bidi/>
        <w:spacing w:after="240"/>
        <w:ind w:left="432" w:hanging="259"/>
        <w:rPr>
          <w:b/>
          <w:bCs/>
          <w:sz w:val="26"/>
          <w:szCs w:val="26"/>
          <w:lang w:val="en-US" w:bidi="ar-AE"/>
        </w:rPr>
      </w:pPr>
      <w:r w:rsidRPr="00190DD2">
        <w:rPr>
          <w:b/>
          <w:bCs/>
          <w:sz w:val="26"/>
          <w:szCs w:val="26"/>
          <w:rtl/>
          <w:lang w:val="en-US" w:bidi="ar-AE"/>
        </w:rPr>
        <w:t>المجال المواضيعي الثاني: ولاية برنامج المساعدة على الامتثال وهيكله وآلياته</w:t>
      </w:r>
    </w:p>
    <w:p w14:paraId="3BF721B7" w14:textId="1D4BC48F" w:rsidR="00190DD2" w:rsidRPr="00190DD2" w:rsidRDefault="004837D3" w:rsidP="00190DD2">
      <w:pPr>
        <w:pStyle w:val="ListParagraph"/>
        <w:numPr>
          <w:ilvl w:val="0"/>
          <w:numId w:val="32"/>
        </w:numPr>
        <w:bidi/>
        <w:spacing w:after="240" w:line="264" w:lineRule="auto"/>
        <w:ind w:left="1440" w:hanging="720"/>
        <w:contextualSpacing w:val="0"/>
        <w:rPr>
          <w:sz w:val="26"/>
          <w:szCs w:val="26"/>
          <w:lang w:val="en-US"/>
        </w:rPr>
      </w:pPr>
      <w:r w:rsidRPr="0072665A">
        <w:rPr>
          <w:b/>
          <w:bCs/>
          <w:sz w:val="26"/>
          <w:szCs w:val="26"/>
          <w:rtl/>
          <w:lang w:val="en-US"/>
        </w:rPr>
        <w:t>الولاية ووظيفة</w:t>
      </w:r>
      <w:r w:rsidRPr="004837D3">
        <w:rPr>
          <w:b/>
          <w:bCs/>
          <w:sz w:val="26"/>
          <w:szCs w:val="26"/>
          <w:rtl/>
          <w:lang w:val="en-US"/>
        </w:rPr>
        <w:t xml:space="preserve"> غرفة تبادل المعلومات:</w:t>
      </w:r>
      <w:r w:rsidRPr="004837D3">
        <w:rPr>
          <w:sz w:val="26"/>
          <w:szCs w:val="26"/>
          <w:rtl/>
          <w:lang w:val="en-US"/>
        </w:rPr>
        <w:t xml:space="preserve"> ما مدى وضوح تعريف وظائف برنامج المساعدة على الامتثال وتنفيذها، ولا سيما وظيفة غرفة تبادل المعلومات، وهل توجد ثغرات أو ازدواجية تؤثر على تنفيذ البرنامج أو الإبلاغ أو التمويل؟</w:t>
      </w:r>
    </w:p>
    <w:p w14:paraId="16E3FC3C" w14:textId="7BEDB2A9" w:rsidR="00190DD2" w:rsidRPr="00190DD2" w:rsidRDefault="004837D3" w:rsidP="00190DD2">
      <w:pPr>
        <w:pStyle w:val="ListParagraph"/>
        <w:numPr>
          <w:ilvl w:val="0"/>
          <w:numId w:val="32"/>
        </w:numPr>
        <w:bidi/>
        <w:spacing w:after="240" w:line="264" w:lineRule="auto"/>
        <w:ind w:left="1440" w:hanging="720"/>
        <w:contextualSpacing w:val="0"/>
        <w:rPr>
          <w:sz w:val="26"/>
          <w:szCs w:val="26"/>
          <w:lang w:val="en-US"/>
        </w:rPr>
      </w:pPr>
      <w:r w:rsidRPr="004837D3">
        <w:rPr>
          <w:b/>
          <w:bCs/>
          <w:sz w:val="26"/>
          <w:szCs w:val="26"/>
          <w:rtl/>
          <w:lang w:val="en-US"/>
        </w:rPr>
        <w:lastRenderedPageBreak/>
        <w:t>الاستراتيجية والهيكل والموارد والتخطيط:</w:t>
      </w:r>
      <w:r w:rsidRPr="004837D3">
        <w:rPr>
          <w:sz w:val="26"/>
          <w:szCs w:val="26"/>
          <w:rtl/>
          <w:lang w:val="en-US"/>
        </w:rPr>
        <w:t xml:space="preserve"> كيف تُستخدم استراتيجية برنامج المساعدة على الامتثال </w:t>
      </w:r>
      <w:r>
        <w:rPr>
          <w:rFonts w:hint="cs"/>
          <w:sz w:val="26"/>
          <w:szCs w:val="26"/>
          <w:rtl/>
          <w:lang w:val="en-US"/>
        </w:rPr>
        <w:t>لفترة الثلاث سنوات</w:t>
      </w:r>
      <w:r w:rsidRPr="004837D3">
        <w:rPr>
          <w:sz w:val="26"/>
          <w:szCs w:val="26"/>
          <w:rtl/>
          <w:lang w:val="en-US"/>
        </w:rPr>
        <w:t xml:space="preserve"> استخداماً فعالاً لتحديد الأولويات الاستراتيجية القابلة للتنفيذ وخطط عمل البرنامج؟ وكيف يتوافق هيكل برنامج المساعدة على الامتثال وموارده وتخطيطه مع الاستراتيجية ويكفل تنفيذها تنفيذاً فعالاً؟</w:t>
      </w:r>
    </w:p>
    <w:p w14:paraId="7C3C6AB4" w14:textId="469A531C" w:rsidR="00190DD2" w:rsidRPr="00190DD2" w:rsidRDefault="00B65D39" w:rsidP="00190DD2">
      <w:pPr>
        <w:pStyle w:val="ListParagraph"/>
        <w:numPr>
          <w:ilvl w:val="0"/>
          <w:numId w:val="32"/>
        </w:numPr>
        <w:bidi/>
        <w:spacing w:after="240" w:line="264" w:lineRule="auto"/>
        <w:ind w:left="1440" w:hanging="720"/>
        <w:contextualSpacing w:val="0"/>
        <w:rPr>
          <w:sz w:val="26"/>
          <w:szCs w:val="26"/>
          <w:lang w:val="en-US"/>
        </w:rPr>
      </w:pPr>
      <w:r w:rsidRPr="00B65D39">
        <w:rPr>
          <w:b/>
          <w:bCs/>
          <w:sz w:val="26"/>
          <w:szCs w:val="26"/>
          <w:rtl/>
          <w:lang w:val="en-US"/>
        </w:rPr>
        <w:t>الإبلاغ ومؤشرات الأداء:</w:t>
      </w:r>
      <w:r w:rsidRPr="00B65D39">
        <w:rPr>
          <w:sz w:val="26"/>
          <w:szCs w:val="26"/>
          <w:rtl/>
          <w:lang w:val="en-US"/>
        </w:rPr>
        <w:t xml:space="preserve"> كيف يمكن تبسيط متطلبات الإبلاغ والمتطلبات الإدارية لبرنامج المساعدة على الامتثال </w:t>
      </w:r>
      <w:r>
        <w:rPr>
          <w:rFonts w:hint="cs"/>
          <w:sz w:val="26"/>
          <w:szCs w:val="26"/>
          <w:rtl/>
          <w:lang w:val="en-US"/>
        </w:rPr>
        <w:t>لتركّز على نحو</w:t>
      </w:r>
      <w:r w:rsidRPr="00B65D39">
        <w:rPr>
          <w:sz w:val="26"/>
          <w:szCs w:val="26"/>
          <w:rtl/>
          <w:lang w:val="en-US"/>
        </w:rPr>
        <w:t xml:space="preserve"> أفضل على النتائج والأثر، وما الأدلة التي يمكن </w:t>
      </w:r>
      <w:r w:rsidR="003004B7">
        <w:rPr>
          <w:rFonts w:hint="cs"/>
          <w:sz w:val="26"/>
          <w:szCs w:val="26"/>
          <w:rtl/>
          <w:lang w:val="en-US"/>
        </w:rPr>
        <w:t>الاستناد إليها</w:t>
      </w:r>
      <w:r w:rsidRPr="00B65D39">
        <w:rPr>
          <w:sz w:val="26"/>
          <w:szCs w:val="26"/>
          <w:rtl/>
          <w:lang w:val="en-US"/>
        </w:rPr>
        <w:t xml:space="preserve"> في أي استعراض مستقبلي منفصل لمؤشرات الأداء، ولا سيما ما يتعلق ببناء القدرات واستدامتها؟</w:t>
      </w:r>
    </w:p>
    <w:p w14:paraId="24F11524" w14:textId="728311F4" w:rsidR="00190DD2" w:rsidRPr="00190DD2" w:rsidRDefault="00FB1348" w:rsidP="00190DD2">
      <w:pPr>
        <w:bidi/>
        <w:spacing w:after="240"/>
        <w:ind w:left="432" w:hanging="259"/>
        <w:rPr>
          <w:b/>
          <w:bCs/>
          <w:sz w:val="26"/>
          <w:szCs w:val="26"/>
          <w:lang w:val="en-US" w:bidi="ar-AE"/>
        </w:rPr>
      </w:pPr>
      <w:r w:rsidRPr="0072665A">
        <w:rPr>
          <w:b/>
          <w:bCs/>
          <w:sz w:val="26"/>
          <w:szCs w:val="26"/>
          <w:rtl/>
          <w:lang w:val="en-US" w:bidi="ar-AE"/>
        </w:rPr>
        <w:t>المجال المواضيعي</w:t>
      </w:r>
      <w:r w:rsidRPr="00FB1348">
        <w:rPr>
          <w:b/>
          <w:bCs/>
          <w:sz w:val="26"/>
          <w:szCs w:val="26"/>
          <w:rtl/>
          <w:lang w:val="en-US" w:bidi="ar-AE"/>
        </w:rPr>
        <w:t xml:space="preserve"> الثالث: القيود وسبل المضي قدماً</w:t>
      </w:r>
    </w:p>
    <w:p w14:paraId="7FD50854" w14:textId="6FDFF58D" w:rsidR="00FD60F9" w:rsidRPr="00190DD2" w:rsidRDefault="00122AF1" w:rsidP="00190DD2">
      <w:pPr>
        <w:pStyle w:val="ListParagraph"/>
        <w:numPr>
          <w:ilvl w:val="0"/>
          <w:numId w:val="32"/>
        </w:numPr>
        <w:bidi/>
        <w:spacing w:after="240" w:line="264" w:lineRule="auto"/>
        <w:ind w:left="1440" w:hanging="720"/>
        <w:contextualSpacing w:val="0"/>
        <w:rPr>
          <w:sz w:val="26"/>
          <w:szCs w:val="26"/>
          <w:lang w:val="en-US"/>
        </w:rPr>
      </w:pPr>
      <w:r w:rsidRPr="00122AF1">
        <w:rPr>
          <w:b/>
          <w:bCs/>
          <w:sz w:val="26"/>
          <w:szCs w:val="26"/>
          <w:rtl/>
          <w:lang w:val="en-US"/>
        </w:rPr>
        <w:t>القيود النظامية وسلاسل التوريد والإنفاذ:</w:t>
      </w:r>
      <w:r w:rsidRPr="00122AF1">
        <w:rPr>
          <w:sz w:val="26"/>
          <w:szCs w:val="26"/>
          <w:rtl/>
          <w:lang w:val="en-US"/>
        </w:rPr>
        <w:t xml:space="preserve"> ما القيود المتكررة التي تؤثر على تنفيذ البلدان العاملة بموجب المادة </w:t>
      </w:r>
      <w:r>
        <w:rPr>
          <w:sz w:val="26"/>
          <w:szCs w:val="26"/>
          <w:lang w:val="en-US"/>
        </w:rPr>
        <w:t>5</w:t>
      </w:r>
      <w:r w:rsidRPr="00122AF1">
        <w:rPr>
          <w:sz w:val="26"/>
          <w:szCs w:val="26"/>
          <w:rtl/>
          <w:lang w:val="en-US"/>
        </w:rPr>
        <w:t xml:space="preserve"> لالتزاماتها بموجب بروتوكول مونتريال، بما في ذلك الحصول على المعلومات المتعلقة بالتكنولوجيات، وقيود </w:t>
      </w:r>
      <w:r>
        <w:rPr>
          <w:rFonts w:hint="cs"/>
          <w:sz w:val="26"/>
          <w:szCs w:val="26"/>
          <w:rtl/>
          <w:lang w:val="en-US"/>
        </w:rPr>
        <w:t>سلاسل</w:t>
      </w:r>
      <w:r w:rsidRPr="00122AF1">
        <w:rPr>
          <w:sz w:val="26"/>
          <w:szCs w:val="26"/>
          <w:rtl/>
          <w:lang w:val="en-US"/>
        </w:rPr>
        <w:t xml:space="preserve"> التوريد، وتوافر الخبرة التقنية، وأطر السياسات والأطر التنظيمية، والإنفاذ والتجارة غير المشروعة، وما مدى فعالية مساعدة برنامج المساعدة على الامتثال للبلدان، في إطار ولايته، على معالجتها؟</w:t>
      </w:r>
    </w:p>
    <w:p w14:paraId="3E1BE224" w14:textId="06FFBDE2" w:rsidR="00190DD2" w:rsidRPr="00190DD2" w:rsidRDefault="00C961AE" w:rsidP="00190DD2">
      <w:pPr>
        <w:pStyle w:val="ListParagraph"/>
        <w:numPr>
          <w:ilvl w:val="0"/>
          <w:numId w:val="32"/>
        </w:numPr>
        <w:bidi/>
        <w:spacing w:after="240" w:line="264" w:lineRule="auto"/>
        <w:ind w:left="1440" w:hanging="720"/>
        <w:contextualSpacing w:val="0"/>
        <w:rPr>
          <w:sz w:val="26"/>
          <w:szCs w:val="26"/>
          <w:lang w:val="en-US"/>
        </w:rPr>
      </w:pPr>
      <w:r w:rsidRPr="00C961AE">
        <w:rPr>
          <w:b/>
          <w:bCs/>
          <w:sz w:val="26"/>
          <w:szCs w:val="26"/>
          <w:rtl/>
          <w:lang w:val="en-US"/>
        </w:rPr>
        <w:t>التوجيهات والامتثال والتواصل التكنولوجي والمجالات الناشئة:</w:t>
      </w:r>
      <w:r w:rsidRPr="00C961AE">
        <w:rPr>
          <w:sz w:val="26"/>
          <w:szCs w:val="26"/>
          <w:rtl/>
          <w:lang w:val="en-US"/>
        </w:rPr>
        <w:t xml:space="preserve"> إلى أي مدى تكون التوجيهات ودراسات الحالة وأنشطة التواصل التي يقدمها برنامج المساعدة على الامتثال فعالة في مساعدة البلدان، ولا سيما البلدان ذات الاستهلاك المنخفض، على الوفاء بالجداول الزمنية للامتثال، ومعالجة مسائل كفاءة استخدام الطاقة، والتحول التكنولوجي، والتخلص، </w:t>
      </w:r>
      <w:r w:rsidRPr="00C961AE">
        <w:rPr>
          <w:rFonts w:hint="cs"/>
          <w:sz w:val="26"/>
          <w:szCs w:val="26"/>
          <w:rtl/>
          <w:lang w:val="en-US"/>
        </w:rPr>
        <w:t>والمعايير</w:t>
      </w:r>
      <w:r w:rsidRPr="00C961AE">
        <w:rPr>
          <w:rFonts w:hint="eastAsia"/>
          <w:sz w:val="26"/>
          <w:szCs w:val="26"/>
          <w:rtl/>
          <w:lang w:val="en-US"/>
        </w:rPr>
        <w:t>،</w:t>
      </w:r>
      <w:r w:rsidRPr="00C961AE">
        <w:rPr>
          <w:sz w:val="26"/>
          <w:szCs w:val="26"/>
          <w:rtl/>
          <w:lang w:val="en-US"/>
        </w:rPr>
        <w:t xml:space="preserve"> والسلامة؟</w:t>
      </w:r>
    </w:p>
    <w:p w14:paraId="1FEAE837" w14:textId="40F916F7" w:rsidR="00190DD2" w:rsidRPr="00C961AE" w:rsidRDefault="00C961AE" w:rsidP="00190DD2">
      <w:pPr>
        <w:pStyle w:val="ListParagraph"/>
        <w:numPr>
          <w:ilvl w:val="0"/>
          <w:numId w:val="32"/>
        </w:numPr>
        <w:bidi/>
        <w:spacing w:after="240" w:line="264" w:lineRule="auto"/>
        <w:ind w:left="1440" w:hanging="720"/>
        <w:contextualSpacing w:val="0"/>
        <w:rPr>
          <w:b/>
          <w:bCs/>
          <w:sz w:val="26"/>
          <w:szCs w:val="26"/>
          <w:lang w:val="en-US"/>
        </w:rPr>
      </w:pPr>
      <w:r w:rsidRPr="00C961AE">
        <w:rPr>
          <w:b/>
          <w:bCs/>
          <w:sz w:val="26"/>
          <w:szCs w:val="26"/>
          <w:rtl/>
          <w:lang w:val="en-US"/>
        </w:rPr>
        <w:t>التحديات والممارسات الجيدة والدروس المستفادة والتنفيذ في المستقبل:</w:t>
      </w:r>
    </w:p>
    <w:p w14:paraId="70B4463F" w14:textId="072E860D" w:rsidR="00190DD2" w:rsidRPr="00190DD2" w:rsidRDefault="00045CE7" w:rsidP="00190DD2">
      <w:pPr>
        <w:pStyle w:val="ListParagraph"/>
        <w:numPr>
          <w:ilvl w:val="0"/>
          <w:numId w:val="34"/>
        </w:numPr>
        <w:bidi/>
        <w:spacing w:after="240" w:line="264" w:lineRule="auto"/>
        <w:ind w:left="2160" w:hanging="720"/>
        <w:contextualSpacing w:val="0"/>
        <w:rPr>
          <w:sz w:val="26"/>
          <w:szCs w:val="26"/>
        </w:rPr>
      </w:pPr>
      <w:r w:rsidRPr="00045CE7">
        <w:rPr>
          <w:sz w:val="26"/>
          <w:szCs w:val="26"/>
          <w:rtl/>
        </w:rPr>
        <w:t>إلى أي مدى تطور برنامج المساعدة على الامتثال، وكيف ينبغي أن يتكيف دوره بقدر أكبر استجابةً لأولويات السياسات والتنفيذ الناشئة، بما في ذلك التحول من إزالة المواد الهيدروكلوروفلوروكربونية إلى التخفيض التدريجي للمواد الهيدروفلوروكربونية، والدمج المتزايد لكفاءة استخدام الطاقة، وإدارة غازات التبريد على مدى دورة حياتها، وغيرها من الأولويات المتطورة بموجب بروتوكول مونتريال؟</w:t>
      </w:r>
    </w:p>
    <w:p w14:paraId="15D48B81" w14:textId="68ACEED8" w:rsidR="00190DD2" w:rsidRPr="00190DD2" w:rsidRDefault="00045CE7" w:rsidP="00190DD2">
      <w:pPr>
        <w:pStyle w:val="ListParagraph"/>
        <w:numPr>
          <w:ilvl w:val="0"/>
          <w:numId w:val="34"/>
        </w:numPr>
        <w:bidi/>
        <w:spacing w:after="240" w:line="264" w:lineRule="auto"/>
        <w:ind w:left="2160" w:hanging="720"/>
        <w:contextualSpacing w:val="0"/>
        <w:rPr>
          <w:sz w:val="26"/>
          <w:szCs w:val="26"/>
        </w:rPr>
      </w:pPr>
      <w:r w:rsidRPr="00045CE7">
        <w:rPr>
          <w:sz w:val="26"/>
          <w:szCs w:val="26"/>
          <w:rtl/>
        </w:rPr>
        <w:t>ما الدروس المستفادة من التقرير النهائي بشأن تقييم برنامج المساعدة على الامتثال (</w:t>
      </w:r>
      <w:r>
        <w:rPr>
          <w:sz w:val="26"/>
          <w:szCs w:val="26"/>
        </w:rPr>
        <w:t>2007</w:t>
      </w:r>
      <w:r w:rsidRPr="00045CE7">
        <w:rPr>
          <w:sz w:val="26"/>
          <w:szCs w:val="26"/>
          <w:rtl/>
        </w:rPr>
        <w:t>)</w:t>
      </w:r>
      <w:r>
        <w:rPr>
          <w:rStyle w:val="FootnoteReference"/>
          <w:sz w:val="26"/>
          <w:szCs w:val="26"/>
          <w:lang w:val="en-US"/>
        </w:rPr>
        <w:footnoteReference w:id="6"/>
      </w:r>
      <w:r w:rsidRPr="00045CE7">
        <w:rPr>
          <w:sz w:val="26"/>
          <w:szCs w:val="26"/>
          <w:rtl/>
        </w:rPr>
        <w:t>، والدراسة النظرية لتقييم برنامج المساعدة على الامتثال (</w:t>
      </w:r>
      <w:r>
        <w:rPr>
          <w:sz w:val="26"/>
          <w:szCs w:val="26"/>
        </w:rPr>
        <w:t>2024</w:t>
      </w:r>
      <w:r w:rsidRPr="00045CE7">
        <w:rPr>
          <w:sz w:val="26"/>
          <w:szCs w:val="26"/>
          <w:rtl/>
        </w:rPr>
        <w:t>)</w:t>
      </w:r>
      <w:r>
        <w:rPr>
          <w:rStyle w:val="FootnoteReference"/>
          <w:sz w:val="26"/>
          <w:szCs w:val="26"/>
          <w:lang w:val="en-US"/>
        </w:rPr>
        <w:footnoteReference w:id="7"/>
      </w:r>
      <w:r w:rsidRPr="00045CE7">
        <w:rPr>
          <w:sz w:val="26"/>
          <w:szCs w:val="26"/>
          <w:rtl/>
        </w:rPr>
        <w:t>، والتقرير النهائي بشأن تقييم الشبكات الإقليمية لموظفي وحدات الأوزون الوطنية</w:t>
      </w:r>
      <w:r>
        <w:rPr>
          <w:rStyle w:val="FootnoteReference"/>
          <w:sz w:val="26"/>
          <w:szCs w:val="26"/>
          <w:lang w:val="en-US"/>
        </w:rPr>
        <w:footnoteReference w:id="8"/>
      </w:r>
      <w:r w:rsidRPr="00045CE7">
        <w:rPr>
          <w:sz w:val="26"/>
          <w:szCs w:val="26"/>
          <w:rtl/>
        </w:rPr>
        <w:t xml:space="preserve">، والتقييم المقترح، التي ينبغي </w:t>
      </w:r>
      <w:r>
        <w:rPr>
          <w:rFonts w:hint="cs"/>
          <w:sz w:val="26"/>
          <w:szCs w:val="26"/>
          <w:rtl/>
        </w:rPr>
        <w:t>الاسترشاد</w:t>
      </w:r>
      <w:r w:rsidRPr="00045CE7">
        <w:rPr>
          <w:sz w:val="26"/>
          <w:szCs w:val="26"/>
          <w:rtl/>
        </w:rPr>
        <w:t xml:space="preserve"> بها في تنفيذ خدمات برنامج المساعدة على الامتثال في المستقبل؟</w:t>
      </w:r>
    </w:p>
    <w:p w14:paraId="5A5A8C15" w14:textId="77777777" w:rsidR="00C67A87" w:rsidRPr="003476CB" w:rsidRDefault="00C67A87" w:rsidP="003476CB">
      <w:pPr>
        <w:bidi/>
        <w:spacing w:after="240"/>
        <w:rPr>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3476CB" w14:paraId="34C98C38" w14:textId="77777777" w:rsidTr="00CC4AE5">
        <w:tc>
          <w:tcPr>
            <w:tcW w:w="999" w:type="pct"/>
          </w:tcPr>
          <w:p w14:paraId="237E1BBA" w14:textId="77777777" w:rsidR="00720EE7" w:rsidRPr="003476CB" w:rsidRDefault="00720EE7" w:rsidP="003476CB">
            <w:pPr>
              <w:bidi/>
              <w:rPr>
                <w:sz w:val="26"/>
                <w:szCs w:val="26"/>
              </w:rPr>
            </w:pPr>
          </w:p>
        </w:tc>
        <w:tc>
          <w:tcPr>
            <w:tcW w:w="1000" w:type="pct"/>
          </w:tcPr>
          <w:p w14:paraId="37FA6711" w14:textId="77777777" w:rsidR="00720EE7" w:rsidRPr="003476CB" w:rsidRDefault="00720EE7" w:rsidP="003476CB">
            <w:pPr>
              <w:bidi/>
              <w:rPr>
                <w:sz w:val="26"/>
                <w:szCs w:val="26"/>
              </w:rPr>
            </w:pPr>
          </w:p>
        </w:tc>
        <w:tc>
          <w:tcPr>
            <w:tcW w:w="1000" w:type="pct"/>
            <w:tcBorders>
              <w:bottom w:val="single" w:sz="4" w:space="0" w:color="auto"/>
            </w:tcBorders>
          </w:tcPr>
          <w:p w14:paraId="1C50CF5E" w14:textId="77777777" w:rsidR="00720EE7" w:rsidRPr="003476CB" w:rsidRDefault="00720EE7" w:rsidP="003476CB">
            <w:pPr>
              <w:bidi/>
              <w:rPr>
                <w:sz w:val="26"/>
                <w:szCs w:val="26"/>
              </w:rPr>
            </w:pPr>
          </w:p>
        </w:tc>
        <w:tc>
          <w:tcPr>
            <w:tcW w:w="1000" w:type="pct"/>
          </w:tcPr>
          <w:p w14:paraId="63301AF8" w14:textId="77777777" w:rsidR="00720EE7" w:rsidRPr="003476CB" w:rsidRDefault="00720EE7" w:rsidP="003476CB">
            <w:pPr>
              <w:bidi/>
              <w:rPr>
                <w:sz w:val="26"/>
                <w:szCs w:val="26"/>
              </w:rPr>
            </w:pPr>
          </w:p>
        </w:tc>
        <w:tc>
          <w:tcPr>
            <w:tcW w:w="1001" w:type="pct"/>
          </w:tcPr>
          <w:p w14:paraId="4787836B" w14:textId="77777777" w:rsidR="00720EE7" w:rsidRPr="003476CB" w:rsidRDefault="00720EE7" w:rsidP="003476CB">
            <w:pPr>
              <w:bidi/>
              <w:rPr>
                <w:sz w:val="26"/>
                <w:szCs w:val="26"/>
              </w:rPr>
            </w:pPr>
          </w:p>
        </w:tc>
      </w:tr>
    </w:tbl>
    <w:p w14:paraId="33150CD9" w14:textId="77777777" w:rsidR="00720EE7" w:rsidRPr="003476CB" w:rsidRDefault="00720EE7" w:rsidP="003476CB">
      <w:pPr>
        <w:bidi/>
        <w:jc w:val="center"/>
        <w:rPr>
          <w:sz w:val="26"/>
          <w:szCs w:val="26"/>
        </w:rPr>
      </w:pPr>
    </w:p>
    <w:sectPr w:rsidR="00720EE7" w:rsidRPr="003476CB" w:rsidSect="006F49A1">
      <w:headerReference w:type="even" r:id="rId18"/>
      <w:headerReference w:type="default" r:id="rId19"/>
      <w:headerReference w:type="first" r:id="rId20"/>
      <w:footerReference w:type="first" r:id="rId21"/>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4C63F" w14:textId="77777777" w:rsidR="00026795" w:rsidRDefault="00026795" w:rsidP="004A504B">
      <w:r>
        <w:separator/>
      </w:r>
    </w:p>
  </w:endnote>
  <w:endnote w:type="continuationSeparator" w:id="0">
    <w:p w14:paraId="5DCF62A6" w14:textId="77777777" w:rsidR="00026795" w:rsidRDefault="000267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0C62" w14:textId="77777777" w:rsidR="00DC6A10" w:rsidRPr="00BD6CF7" w:rsidRDefault="005A68C5" w:rsidP="00BD6CF7">
    <w:pPr>
      <w:bidi/>
      <w:jc w:val="center"/>
      <w:rPr>
        <w:sz w:val="24"/>
        <w:szCs w:val="24"/>
      </w:rPr>
    </w:pPr>
    <w:r w:rsidRPr="00BD6CF7">
      <w:rPr>
        <w:sz w:val="24"/>
        <w:szCs w:val="24"/>
      </w:rPr>
      <w:fldChar w:fldCharType="begin"/>
    </w:r>
    <w:r w:rsidR="00FF1B8E" w:rsidRPr="00BD6CF7">
      <w:rPr>
        <w:sz w:val="24"/>
        <w:szCs w:val="24"/>
      </w:rPr>
      <w:instrText xml:space="preserve"> PAGE </w:instrText>
    </w:r>
    <w:r w:rsidRPr="00BD6CF7">
      <w:rPr>
        <w:sz w:val="24"/>
        <w:szCs w:val="24"/>
      </w:rPr>
      <w:fldChar w:fldCharType="separate"/>
    </w:r>
    <w:r w:rsidR="00FA6349" w:rsidRPr="00BD6CF7">
      <w:rPr>
        <w:noProof/>
        <w:sz w:val="24"/>
        <w:szCs w:val="24"/>
      </w:rPr>
      <w:t>2</w:t>
    </w:r>
    <w:r w:rsidRPr="00BD6CF7">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D1A6" w14:textId="77777777" w:rsidR="00DC6A10" w:rsidRPr="00316EF9" w:rsidRDefault="005A68C5" w:rsidP="00316EF9">
    <w:pPr>
      <w:bidi/>
      <w:jc w:val="center"/>
      <w:rPr>
        <w:sz w:val="24"/>
        <w:szCs w:val="24"/>
        <w:rtl/>
        <w:lang w:bidi="ar-AE"/>
      </w:rPr>
    </w:pPr>
    <w:r w:rsidRPr="00316EF9">
      <w:rPr>
        <w:sz w:val="24"/>
        <w:szCs w:val="24"/>
      </w:rPr>
      <w:fldChar w:fldCharType="begin"/>
    </w:r>
    <w:r w:rsidR="00FF1B8E" w:rsidRPr="00316EF9">
      <w:rPr>
        <w:sz w:val="24"/>
        <w:szCs w:val="24"/>
      </w:rPr>
      <w:instrText xml:space="preserve"> PAGE </w:instrText>
    </w:r>
    <w:r w:rsidRPr="00316EF9">
      <w:rPr>
        <w:sz w:val="24"/>
        <w:szCs w:val="24"/>
      </w:rPr>
      <w:fldChar w:fldCharType="separate"/>
    </w:r>
    <w:r w:rsidR="00FA6349" w:rsidRPr="00316EF9">
      <w:rPr>
        <w:noProof/>
        <w:sz w:val="24"/>
        <w:szCs w:val="24"/>
      </w:rPr>
      <w:t>3</w:t>
    </w:r>
    <w:r w:rsidRPr="00316EF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98A81" w14:textId="77777777" w:rsidR="007145FA" w:rsidRPr="00AD7BE9" w:rsidRDefault="007145FA" w:rsidP="007145FA">
    <w:pPr>
      <w:pBdr>
        <w:top w:val="single" w:sz="4" w:space="2" w:color="auto"/>
        <w:left w:val="single" w:sz="4" w:space="0" w:color="auto"/>
        <w:bottom w:val="single" w:sz="4" w:space="1" w:color="auto"/>
        <w:right w:val="single" w:sz="4" w:space="0" w:color="auto"/>
      </w:pBdr>
      <w:bidi/>
      <w:spacing w:after="60"/>
      <w:jc w:val="center"/>
      <w:textAlignment w:val="center"/>
      <w:rPr>
        <w:sz w:val="20"/>
        <w:szCs w:val="20"/>
        <w:rtl/>
      </w:rPr>
    </w:pPr>
    <w:r w:rsidRPr="00AD7BE9">
      <w:rPr>
        <w:sz w:val="20"/>
        <w:szCs w:val="20"/>
        <w:rtl/>
      </w:rPr>
      <w:t>إن وثائق ما قبل دورات اللجنة التنفيذية للصندوق المتعدد الأطراف لتنفيذ بروتوكول مونتريال</w:t>
    </w:r>
    <w:r w:rsidRPr="00AD7BE9">
      <w:rPr>
        <w:sz w:val="20"/>
        <w:szCs w:val="20"/>
      </w:rPr>
      <w:t xml:space="preserve"> </w:t>
    </w:r>
  </w:p>
  <w:p w14:paraId="33A32A0A" w14:textId="77777777" w:rsidR="007145FA" w:rsidRPr="00AD7BE9" w:rsidRDefault="007145FA" w:rsidP="007145FA">
    <w:pPr>
      <w:pBdr>
        <w:top w:val="single" w:sz="4" w:space="2" w:color="auto"/>
        <w:left w:val="single" w:sz="4" w:space="0" w:color="auto"/>
        <w:bottom w:val="single" w:sz="4" w:space="1" w:color="auto"/>
        <w:right w:val="single" w:sz="4" w:space="0" w:color="auto"/>
      </w:pBdr>
      <w:bidi/>
      <w:jc w:val="center"/>
      <w:textAlignment w:val="center"/>
      <w:rPr>
        <w:sz w:val="20"/>
        <w:szCs w:val="20"/>
        <w:lang w:val="en-US"/>
      </w:rPr>
    </w:pPr>
    <w:r w:rsidRPr="00AD7BE9">
      <w:rPr>
        <w:sz w:val="20"/>
        <w:szCs w:val="20"/>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tl/>
      </w:rPr>
      <w:id w:val="-1873839356"/>
      <w:docPartObj>
        <w:docPartGallery w:val="Page Numbers (Bottom of Page)"/>
        <w:docPartUnique/>
      </w:docPartObj>
    </w:sdtPr>
    <w:sdtEndPr>
      <w:rPr>
        <w:noProof/>
      </w:rPr>
    </w:sdtEndPr>
    <w:sdtContent>
      <w:p w14:paraId="12434AA3" w14:textId="7C363F50" w:rsidR="006F49A1" w:rsidRPr="003476CB" w:rsidRDefault="006F49A1" w:rsidP="003476CB">
        <w:pPr>
          <w:pStyle w:val="Footer"/>
          <w:bidi/>
          <w:jc w:val="center"/>
          <w:rPr>
            <w:sz w:val="24"/>
            <w:szCs w:val="24"/>
          </w:rPr>
        </w:pPr>
        <w:r w:rsidRPr="003476CB">
          <w:rPr>
            <w:sz w:val="24"/>
            <w:szCs w:val="24"/>
          </w:rPr>
          <w:fldChar w:fldCharType="begin"/>
        </w:r>
        <w:r w:rsidRPr="003476CB">
          <w:rPr>
            <w:sz w:val="24"/>
            <w:szCs w:val="24"/>
          </w:rPr>
          <w:instrText xml:space="preserve"> PAGE   \* MERGEFORMAT </w:instrText>
        </w:r>
        <w:r w:rsidRPr="003476CB">
          <w:rPr>
            <w:sz w:val="24"/>
            <w:szCs w:val="24"/>
          </w:rPr>
          <w:fldChar w:fldCharType="separate"/>
        </w:r>
        <w:r w:rsidRPr="003476CB">
          <w:rPr>
            <w:noProof/>
            <w:sz w:val="24"/>
            <w:szCs w:val="24"/>
          </w:rPr>
          <w:t>2</w:t>
        </w:r>
        <w:r w:rsidRPr="003476CB">
          <w:rPr>
            <w:noProof/>
            <w:sz w:val="24"/>
            <w:szCs w:val="24"/>
          </w:rPr>
          <w:fldChar w:fldCharType="end"/>
        </w:r>
      </w:p>
    </w:sdtContent>
  </w:sdt>
  <w:p w14:paraId="39C18961" w14:textId="77777777" w:rsidR="006F49A1" w:rsidRPr="00F435B3" w:rsidRDefault="006F49A1" w:rsidP="006F49A1">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0EBE1" w14:textId="77777777" w:rsidR="00026795" w:rsidRDefault="00026795" w:rsidP="00394925">
      <w:pPr>
        <w:bidi/>
      </w:pPr>
      <w:r>
        <w:separator/>
      </w:r>
    </w:p>
  </w:footnote>
  <w:footnote w:type="continuationSeparator" w:id="0">
    <w:p w14:paraId="3DD29C21" w14:textId="77777777" w:rsidR="00026795" w:rsidRDefault="00026795" w:rsidP="004A504B">
      <w:r>
        <w:continuationSeparator/>
      </w:r>
    </w:p>
  </w:footnote>
  <w:footnote w:id="1">
    <w:p w14:paraId="7E720BFD" w14:textId="050F617B" w:rsidR="0072665A" w:rsidRPr="0072665A" w:rsidRDefault="0072665A" w:rsidP="00350D93">
      <w:pPr>
        <w:pStyle w:val="FootnoteText"/>
        <w:bidi/>
        <w:spacing w:after="60"/>
        <w:rPr>
          <w:rtl/>
          <w:lang w:val="en-US" w:bidi="ar-AE"/>
        </w:rPr>
      </w:pPr>
      <w:r>
        <w:rPr>
          <w:rStyle w:val="FootnoteReference"/>
        </w:rPr>
        <w:footnoteRef/>
      </w:r>
      <w:r>
        <w:t xml:space="preserve"> </w:t>
      </w:r>
      <w:r>
        <w:rPr>
          <w:rFonts w:hint="cs"/>
          <w:rtl/>
          <w:lang w:val="en-US" w:bidi="ar-AE"/>
        </w:rPr>
        <w:t xml:space="preserve">الوثيقة </w:t>
      </w:r>
      <w:r w:rsidRPr="0072665A">
        <w:rPr>
          <w:lang w:val="en-US" w:bidi="ar-AE"/>
        </w:rPr>
        <w:t>UNEP/OzL.Pro/ExCom/99/1</w:t>
      </w:r>
      <w:r>
        <w:rPr>
          <w:rFonts w:hint="cs"/>
          <w:rtl/>
          <w:lang w:val="en-US" w:bidi="ar-AE"/>
        </w:rPr>
        <w:t>.</w:t>
      </w:r>
    </w:p>
  </w:footnote>
  <w:footnote w:id="2">
    <w:p w14:paraId="72E7BC67" w14:textId="3E129D69" w:rsidR="00850F6A" w:rsidRPr="00850F6A" w:rsidRDefault="00850F6A" w:rsidP="00350D93">
      <w:pPr>
        <w:pStyle w:val="FootnoteText"/>
        <w:bidi/>
        <w:spacing w:after="60"/>
        <w:rPr>
          <w:rtl/>
          <w:lang w:bidi="ar-AE"/>
        </w:rPr>
      </w:pPr>
      <w:r>
        <w:rPr>
          <w:rStyle w:val="FootnoteReference"/>
        </w:rPr>
        <w:footnoteRef/>
      </w:r>
      <w:r>
        <w:t xml:space="preserve"> </w:t>
      </w:r>
      <w:r>
        <w:rPr>
          <w:rFonts w:hint="cs"/>
          <w:rtl/>
          <w:lang w:bidi="ar-AE"/>
        </w:rPr>
        <w:t xml:space="preserve">الوثيقة </w:t>
      </w:r>
      <w:r w:rsidRPr="00850F6A">
        <w:rPr>
          <w:lang w:bidi="ar-AE"/>
        </w:rPr>
        <w:t>UNEP/OzL.Pro/ExCom/52/9</w:t>
      </w:r>
      <w:r>
        <w:rPr>
          <w:rFonts w:hint="cs"/>
          <w:rtl/>
          <w:lang w:bidi="ar-AE"/>
        </w:rPr>
        <w:t>.</w:t>
      </w:r>
    </w:p>
  </w:footnote>
  <w:footnote w:id="3">
    <w:p w14:paraId="33EE1525" w14:textId="3D9DE286" w:rsidR="00A84864" w:rsidRPr="00A84864" w:rsidRDefault="00A84864" w:rsidP="00350D93">
      <w:pPr>
        <w:pStyle w:val="FootnoteText"/>
        <w:bidi/>
        <w:spacing w:after="60"/>
        <w:rPr>
          <w:rtl/>
          <w:lang w:val="en-US" w:bidi="ar-AE"/>
        </w:rPr>
      </w:pPr>
      <w:r>
        <w:rPr>
          <w:rStyle w:val="FootnoteReference"/>
        </w:rPr>
        <w:footnoteRef/>
      </w:r>
      <w:r>
        <w:t xml:space="preserve"> </w:t>
      </w:r>
      <w:r>
        <w:rPr>
          <w:rFonts w:hint="cs"/>
          <w:rtl/>
          <w:lang w:bidi="ar-AE"/>
        </w:rPr>
        <w:t xml:space="preserve">الوثيقة </w:t>
      </w:r>
      <w:r w:rsidRPr="00A84864">
        <w:rPr>
          <w:lang w:bidi="ar-AE"/>
        </w:rPr>
        <w:t>UNEP/OzL.Pro/ExCom/95/94</w:t>
      </w:r>
      <w:r>
        <w:rPr>
          <w:rFonts w:hint="cs"/>
          <w:rtl/>
          <w:lang w:bidi="ar-AE"/>
        </w:rPr>
        <w:t xml:space="preserve">، الفقرات من </w:t>
      </w:r>
      <w:r>
        <w:rPr>
          <w:lang w:val="en-US" w:bidi="ar-AE"/>
        </w:rPr>
        <w:t>54</w:t>
      </w:r>
      <w:r>
        <w:rPr>
          <w:rFonts w:hint="cs"/>
          <w:rtl/>
          <w:lang w:val="en-US" w:bidi="ar-AE"/>
        </w:rPr>
        <w:t xml:space="preserve"> إلى </w:t>
      </w:r>
      <w:r>
        <w:rPr>
          <w:lang w:val="en-US" w:bidi="ar-AE"/>
        </w:rPr>
        <w:t>59</w:t>
      </w:r>
      <w:r>
        <w:rPr>
          <w:rFonts w:hint="cs"/>
          <w:rtl/>
          <w:lang w:val="en-US" w:bidi="ar-AE"/>
        </w:rPr>
        <w:t>.</w:t>
      </w:r>
    </w:p>
  </w:footnote>
  <w:footnote w:id="4">
    <w:p w14:paraId="1A725D7B" w14:textId="189C7FBF" w:rsidR="00A200C7" w:rsidRPr="00A200C7" w:rsidRDefault="00A200C7" w:rsidP="00350D93">
      <w:pPr>
        <w:pStyle w:val="FootnoteText"/>
        <w:bidi/>
        <w:spacing w:after="60"/>
        <w:rPr>
          <w:rtl/>
          <w:lang w:val="en-US" w:bidi="ar-AE"/>
        </w:rPr>
      </w:pPr>
      <w:r>
        <w:rPr>
          <w:rStyle w:val="FootnoteReference"/>
        </w:rPr>
        <w:footnoteRef/>
      </w:r>
      <w:r>
        <w:t xml:space="preserve"> </w:t>
      </w:r>
      <w:r w:rsidRPr="00A200C7">
        <w:rPr>
          <w:rtl/>
          <w:lang w:val="en-US" w:bidi="ar-AE"/>
        </w:rPr>
        <w:t xml:space="preserve">نظراً لتقاعد كبير موظفي الرصد والتقييم، تأجل تقديم الاختصاصات إلى الاجتماع التاسع والتسعين، </w:t>
      </w:r>
      <w:r w:rsidR="006A29E1" w:rsidRPr="006A29E1">
        <w:rPr>
          <w:rtl/>
          <w:lang w:val="en-US" w:bidi="ar-AE"/>
        </w:rPr>
        <w:t>وتولّى مسؤولية ذلك كبير موظفي التقييم المعيَّن حديثاً</w:t>
      </w:r>
      <w:r w:rsidRPr="00A200C7">
        <w:rPr>
          <w:rtl/>
          <w:lang w:val="en-US" w:bidi="ar-AE"/>
        </w:rPr>
        <w:t>.</w:t>
      </w:r>
    </w:p>
  </w:footnote>
  <w:footnote w:id="5">
    <w:p w14:paraId="14FC8071" w14:textId="32884453" w:rsidR="00882D1C" w:rsidRPr="00882D1C" w:rsidRDefault="00882D1C" w:rsidP="00350D93">
      <w:pPr>
        <w:pStyle w:val="FootnoteText"/>
        <w:bidi/>
        <w:spacing w:after="60"/>
        <w:rPr>
          <w:rtl/>
          <w:lang w:val="en-US" w:bidi="ar-AE"/>
        </w:rPr>
      </w:pPr>
      <w:r>
        <w:rPr>
          <w:rStyle w:val="FootnoteReference"/>
        </w:rPr>
        <w:footnoteRef/>
      </w:r>
      <w:r>
        <w:t xml:space="preserve"> </w:t>
      </w:r>
      <w:r>
        <w:rPr>
          <w:rFonts w:hint="cs"/>
          <w:rtl/>
          <w:lang w:val="en-US" w:bidi="ar-AE"/>
        </w:rPr>
        <w:t xml:space="preserve">الوثيقة </w:t>
      </w:r>
      <w:r w:rsidRPr="00882D1C">
        <w:rPr>
          <w:lang w:val="en-US" w:bidi="ar-AE"/>
        </w:rPr>
        <w:t>UNEP/OzL.Pro/ExCom/96/10</w:t>
      </w:r>
      <w:r>
        <w:rPr>
          <w:rFonts w:hint="cs"/>
          <w:rtl/>
          <w:lang w:val="en-US" w:bidi="ar-AE"/>
        </w:rPr>
        <w:t>.</w:t>
      </w:r>
    </w:p>
  </w:footnote>
  <w:footnote w:id="6">
    <w:p w14:paraId="54056882" w14:textId="6A40ADBD" w:rsidR="00045CE7" w:rsidRPr="00045CE7" w:rsidRDefault="00045CE7" w:rsidP="00350D93">
      <w:pPr>
        <w:pStyle w:val="FootnoteText"/>
        <w:bidi/>
        <w:spacing w:after="60"/>
        <w:rPr>
          <w:rtl/>
          <w:lang w:val="en-US" w:bidi="ar-AE"/>
        </w:rPr>
      </w:pPr>
      <w:r>
        <w:rPr>
          <w:rStyle w:val="FootnoteReference"/>
        </w:rPr>
        <w:footnoteRef/>
      </w:r>
      <w:r>
        <w:t xml:space="preserve"> </w:t>
      </w:r>
      <w:r>
        <w:rPr>
          <w:rFonts w:hint="cs"/>
          <w:rtl/>
          <w:lang w:val="en-US" w:bidi="ar-AE"/>
        </w:rPr>
        <w:t xml:space="preserve">الوثيقة </w:t>
      </w:r>
      <w:r w:rsidRPr="00045CE7">
        <w:rPr>
          <w:lang w:val="en-US" w:bidi="ar-AE"/>
        </w:rPr>
        <w:t>UNEP/OzL.Pro/ExCom/52/9</w:t>
      </w:r>
      <w:r>
        <w:rPr>
          <w:rFonts w:hint="cs"/>
          <w:rtl/>
          <w:lang w:val="en-US" w:bidi="ar-AE"/>
        </w:rPr>
        <w:t>.</w:t>
      </w:r>
    </w:p>
  </w:footnote>
  <w:footnote w:id="7">
    <w:p w14:paraId="2C0EE69B" w14:textId="039EB4BA" w:rsidR="00045CE7" w:rsidRPr="00045CE7" w:rsidRDefault="00045CE7" w:rsidP="00350D93">
      <w:pPr>
        <w:pStyle w:val="FootnoteText"/>
        <w:bidi/>
        <w:spacing w:after="60"/>
        <w:rPr>
          <w:rtl/>
          <w:lang w:val="en-US" w:bidi="ar-AE"/>
        </w:rPr>
      </w:pPr>
      <w:r>
        <w:rPr>
          <w:rStyle w:val="FootnoteReference"/>
        </w:rPr>
        <w:footnoteRef/>
      </w:r>
      <w:r>
        <w:t xml:space="preserve"> </w:t>
      </w:r>
      <w:r>
        <w:rPr>
          <w:rFonts w:hint="cs"/>
          <w:rtl/>
          <w:lang w:val="en-US" w:bidi="ar-AE"/>
        </w:rPr>
        <w:t xml:space="preserve">الوثيقة </w:t>
      </w:r>
      <w:r w:rsidRPr="00045CE7">
        <w:rPr>
          <w:lang w:val="en-US" w:bidi="ar-AE"/>
        </w:rPr>
        <w:t>UNEP/OzL.Pro/ExCom/95/11</w:t>
      </w:r>
      <w:r>
        <w:rPr>
          <w:rFonts w:hint="cs"/>
          <w:rtl/>
          <w:lang w:val="en-US" w:bidi="ar-AE"/>
        </w:rPr>
        <w:t>.</w:t>
      </w:r>
    </w:p>
  </w:footnote>
  <w:footnote w:id="8">
    <w:p w14:paraId="05865C00" w14:textId="2DB71F81" w:rsidR="00045CE7" w:rsidRPr="00045CE7" w:rsidRDefault="00045CE7" w:rsidP="00350D93">
      <w:pPr>
        <w:pStyle w:val="FootnoteText"/>
        <w:bidi/>
        <w:spacing w:after="60"/>
        <w:rPr>
          <w:rtl/>
          <w:lang w:val="en-US" w:bidi="ar-AE"/>
        </w:rPr>
      </w:pPr>
      <w:r>
        <w:rPr>
          <w:rStyle w:val="FootnoteReference"/>
        </w:rPr>
        <w:footnoteRef/>
      </w:r>
      <w:r>
        <w:t xml:space="preserve"> </w:t>
      </w:r>
      <w:r>
        <w:rPr>
          <w:rFonts w:hint="cs"/>
          <w:rtl/>
          <w:lang w:val="en-US" w:bidi="ar-AE"/>
        </w:rPr>
        <w:t xml:space="preserve">الوثيقة </w:t>
      </w:r>
      <w:r w:rsidRPr="00045CE7">
        <w:rPr>
          <w:lang w:val="en-US" w:bidi="ar-AE"/>
        </w:rPr>
        <w:t>UNEP/OzL.Pro/ExCom/92/6</w:t>
      </w:r>
      <w:r>
        <w:rPr>
          <w:rFonts w:hint="cs"/>
          <w:rtl/>
          <w:lang w:val="en-US"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A1E4" w14:textId="09368123" w:rsidR="00DC6A10" w:rsidRPr="00BD6CF7" w:rsidRDefault="00634A0D" w:rsidP="004406F1">
    <w:pPr>
      <w:jc w:val="left"/>
      <w:rPr>
        <w:sz w:val="24"/>
        <w:szCs w:val="24"/>
      </w:rPr>
    </w:pPr>
    <w:r w:rsidRPr="00BD6CF7">
      <w:rPr>
        <w:sz w:val="24"/>
        <w:szCs w:val="24"/>
      </w:rPr>
      <w:fldChar w:fldCharType="begin"/>
    </w:r>
    <w:r w:rsidRPr="00BD6CF7">
      <w:rPr>
        <w:sz w:val="24"/>
        <w:szCs w:val="24"/>
      </w:rPr>
      <w:instrText>DOCPROPERTY "Document number"  \* MERGEFORMAT</w:instrText>
    </w:r>
    <w:r w:rsidRPr="00BD6CF7">
      <w:rPr>
        <w:sz w:val="24"/>
        <w:szCs w:val="24"/>
      </w:rPr>
      <w:fldChar w:fldCharType="separate"/>
    </w:r>
    <w:r w:rsidR="004406F1">
      <w:rPr>
        <w:sz w:val="24"/>
        <w:szCs w:val="24"/>
      </w:rPr>
      <w:t>UNEP/OzL.Pro/ExCom/99/10</w:t>
    </w:r>
    <w:r w:rsidRPr="00BD6CF7">
      <w:rPr>
        <w:sz w:val="24"/>
        <w:szCs w:val="24"/>
      </w:rPr>
      <w:fldChar w:fldCharType="end"/>
    </w:r>
  </w:p>
  <w:p w14:paraId="2A4A7EA9" w14:textId="77777777" w:rsidR="0070672E" w:rsidRDefault="0070672E" w:rsidP="0005078F">
    <w:pPr>
      <w:jc w:val="right"/>
    </w:pPr>
  </w:p>
  <w:p w14:paraId="1AC5B454" w14:textId="77777777" w:rsidR="00CE4682" w:rsidRPr="0033525D" w:rsidRDefault="00CE4682" w:rsidP="0005078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EE57" w14:textId="3FA7A834" w:rsidR="00DC6A10" w:rsidRPr="00BD6CF7" w:rsidRDefault="00AF414E" w:rsidP="004406F1">
    <w:pPr>
      <w:jc w:val="right"/>
      <w:rPr>
        <w:sz w:val="24"/>
        <w:szCs w:val="24"/>
        <w:lang w:val="pt-PT"/>
      </w:rPr>
    </w:pPr>
    <w:r w:rsidRPr="00BD6CF7">
      <w:rPr>
        <w:sz w:val="24"/>
        <w:szCs w:val="24"/>
      </w:rPr>
      <w:fldChar w:fldCharType="begin"/>
    </w:r>
    <w:r w:rsidRPr="00BD6CF7">
      <w:rPr>
        <w:sz w:val="24"/>
        <w:szCs w:val="24"/>
        <w:lang w:val="pt-PT"/>
      </w:rPr>
      <w:instrText xml:space="preserve"> DOCPROPERTY "Document number"  \* MERGEFORMAT </w:instrText>
    </w:r>
    <w:r w:rsidRPr="00BD6CF7">
      <w:rPr>
        <w:sz w:val="24"/>
        <w:szCs w:val="24"/>
      </w:rPr>
      <w:fldChar w:fldCharType="separate"/>
    </w:r>
    <w:r w:rsidR="000C35A2">
      <w:rPr>
        <w:sz w:val="24"/>
        <w:szCs w:val="24"/>
        <w:lang w:val="pt-PT"/>
      </w:rPr>
      <w:t>UNEP/OzL.Pro/ExCom/99/10</w:t>
    </w:r>
    <w:r w:rsidRPr="00BD6CF7">
      <w:rPr>
        <w:sz w:val="24"/>
        <w:szCs w:val="24"/>
      </w:rPr>
      <w:fldChar w:fldCharType="end"/>
    </w:r>
  </w:p>
  <w:p w14:paraId="56CF3208" w14:textId="77777777" w:rsidR="00DC6A10" w:rsidRPr="00704CC9" w:rsidRDefault="00DC6A10" w:rsidP="0005078F">
    <w:pPr>
      <w:jc w:val="left"/>
      <w:rPr>
        <w:lang w:val="pt-PT"/>
      </w:rPr>
    </w:pPr>
  </w:p>
  <w:p w14:paraId="65BF401C" w14:textId="77777777" w:rsidR="00DC6A10" w:rsidRPr="00704CC9" w:rsidRDefault="00DC6A10" w:rsidP="0005078F">
    <w:pPr>
      <w:pStyle w:val="Header"/>
      <w:jc w:val="lef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CA2D" w14:textId="18BD155D" w:rsidR="00C70110" w:rsidRPr="003476CB" w:rsidRDefault="00C70110" w:rsidP="0012719B">
    <w:pPr>
      <w:jc w:val="left"/>
      <w:rPr>
        <w:sz w:val="24"/>
        <w:szCs w:val="24"/>
        <w:lang w:val="pt-PT"/>
      </w:rPr>
    </w:pPr>
    <w:r w:rsidRPr="003476CB">
      <w:rPr>
        <w:sz w:val="24"/>
        <w:szCs w:val="24"/>
      </w:rPr>
      <w:fldChar w:fldCharType="begin"/>
    </w:r>
    <w:r w:rsidRPr="003476CB">
      <w:rPr>
        <w:sz w:val="24"/>
        <w:szCs w:val="24"/>
        <w:lang w:val="pt-PT"/>
      </w:rPr>
      <w:instrText>DOCPROPERTY "Document number"  \* MERGEFORMAT</w:instrText>
    </w:r>
    <w:r w:rsidRPr="003476CB">
      <w:rPr>
        <w:sz w:val="24"/>
        <w:szCs w:val="24"/>
      </w:rPr>
      <w:fldChar w:fldCharType="separate"/>
    </w:r>
    <w:r w:rsidR="000C35A2" w:rsidRPr="000C35A2">
      <w:rPr>
        <w:sz w:val="24"/>
        <w:szCs w:val="24"/>
        <w:lang w:val="pt-PT"/>
      </w:rPr>
      <w:t>UNEP/OzL.Pro/ExCom/99/10</w:t>
    </w:r>
    <w:r w:rsidRPr="003476CB">
      <w:rPr>
        <w:sz w:val="24"/>
        <w:szCs w:val="24"/>
      </w:rPr>
      <w:fldChar w:fldCharType="end"/>
    </w:r>
  </w:p>
  <w:p w14:paraId="2E05E535" w14:textId="79005752" w:rsidR="00C70110" w:rsidRPr="003476CB" w:rsidRDefault="00C70110">
    <w:pPr>
      <w:rPr>
        <w:sz w:val="24"/>
        <w:szCs w:val="24"/>
        <w:lang w:val="pt-PT"/>
      </w:rPr>
    </w:pPr>
    <w:r w:rsidRPr="003476CB">
      <w:rPr>
        <w:sz w:val="24"/>
        <w:szCs w:val="24"/>
        <w:lang w:val="pt-PT"/>
      </w:rPr>
      <w:t>Annex I</w:t>
    </w:r>
  </w:p>
  <w:p w14:paraId="3336F953" w14:textId="77777777" w:rsidR="00C70110" w:rsidRPr="003476CB" w:rsidRDefault="00C70110">
    <w:pPr>
      <w:rPr>
        <w:sz w:val="24"/>
        <w:szCs w:val="24"/>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8DB4" w14:textId="77777777" w:rsidR="00BD0409" w:rsidRPr="00BD6CF7" w:rsidRDefault="00BD0409" w:rsidP="00BD0409">
    <w:pPr>
      <w:jc w:val="left"/>
      <w:rPr>
        <w:sz w:val="24"/>
        <w:szCs w:val="24"/>
        <w:rtl/>
        <w:lang w:val="pt-PT" w:bidi="ar-AE"/>
      </w:rPr>
    </w:pPr>
    <w:r w:rsidRPr="00BD6CF7">
      <w:rPr>
        <w:sz w:val="24"/>
        <w:szCs w:val="24"/>
      </w:rPr>
      <w:fldChar w:fldCharType="begin"/>
    </w:r>
    <w:r w:rsidRPr="00BD6CF7">
      <w:rPr>
        <w:sz w:val="24"/>
        <w:szCs w:val="24"/>
        <w:lang w:val="pt-PT"/>
      </w:rPr>
      <w:instrText xml:space="preserve"> DOCPROPERTY "Document number"  \* MERGEFORMAT </w:instrText>
    </w:r>
    <w:r w:rsidRPr="00BD6CF7">
      <w:rPr>
        <w:sz w:val="24"/>
        <w:szCs w:val="24"/>
      </w:rPr>
      <w:fldChar w:fldCharType="separate"/>
    </w:r>
    <w:r>
      <w:rPr>
        <w:sz w:val="24"/>
        <w:szCs w:val="24"/>
        <w:lang w:val="pt-PT"/>
      </w:rPr>
      <w:t>UNEP/OzL.Pro/ExCom/99/10</w:t>
    </w:r>
    <w:r w:rsidRPr="00BD6CF7">
      <w:rPr>
        <w:sz w:val="24"/>
        <w:szCs w:val="24"/>
      </w:rPr>
      <w:fldChar w:fldCharType="end"/>
    </w:r>
  </w:p>
  <w:p w14:paraId="1E003AEA" w14:textId="342B07B7" w:rsidR="00BD0409" w:rsidRPr="00BD0409" w:rsidRDefault="00BD0409" w:rsidP="00BD0409">
    <w:pPr>
      <w:pStyle w:val="Header"/>
      <w:jc w:val="left"/>
      <w:rPr>
        <w:sz w:val="24"/>
        <w:szCs w:val="24"/>
      </w:rPr>
    </w:pPr>
    <w:r w:rsidRPr="003476CB">
      <w:rPr>
        <w:sz w:val="24"/>
        <w:szCs w:val="24"/>
      </w:rPr>
      <w:t>Annex I</w:t>
    </w:r>
  </w:p>
  <w:p w14:paraId="09E0D4B0" w14:textId="77777777" w:rsidR="00BD0409" w:rsidRPr="00704CC9" w:rsidRDefault="00BD0409" w:rsidP="00BD0409">
    <w:pPr>
      <w:pStyle w:val="Header"/>
      <w:jc w:val="lef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84ED" w14:textId="1AAB23D0" w:rsidR="00683D1D" w:rsidRPr="003476CB" w:rsidRDefault="00683D1D" w:rsidP="00683D1D">
    <w:pPr>
      <w:pStyle w:val="Header"/>
      <w:jc w:val="right"/>
      <w:rPr>
        <w:sz w:val="24"/>
        <w:szCs w:val="24"/>
      </w:rPr>
    </w:pPr>
    <w:r w:rsidRPr="003476CB">
      <w:rPr>
        <w:sz w:val="24"/>
        <w:szCs w:val="24"/>
      </w:rPr>
      <w:t>UNEP/OzL.Pro/ExCom/99/</w:t>
    </w:r>
    <w:r w:rsidR="00032499" w:rsidRPr="003476CB">
      <w:rPr>
        <w:sz w:val="24"/>
        <w:szCs w:val="24"/>
      </w:rPr>
      <w:t>10</w:t>
    </w:r>
  </w:p>
  <w:p w14:paraId="5BC038E9" w14:textId="77777777" w:rsidR="00683D1D" w:rsidRPr="003476CB" w:rsidRDefault="00683D1D" w:rsidP="00683D1D">
    <w:pPr>
      <w:pStyle w:val="Header"/>
      <w:jc w:val="right"/>
      <w:rPr>
        <w:sz w:val="24"/>
        <w:szCs w:val="24"/>
      </w:rPr>
    </w:pPr>
    <w:r w:rsidRPr="003476CB">
      <w:rPr>
        <w:sz w:val="24"/>
        <w:szCs w:val="24"/>
      </w:rP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7F96D93"/>
    <w:multiLevelType w:val="hybridMultilevel"/>
    <w:tmpl w:val="D09A46AA"/>
    <w:lvl w:ilvl="0" w:tplc="55A28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FD50FE"/>
    <w:multiLevelType w:val="hybridMultilevel"/>
    <w:tmpl w:val="C0B8F938"/>
    <w:lvl w:ilvl="0" w:tplc="9D74156E">
      <w:start w:val="1"/>
      <w:numFmt w:val="arabicAbjad"/>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2E12EA"/>
    <w:multiLevelType w:val="hybridMultilevel"/>
    <w:tmpl w:val="9DB266FA"/>
    <w:lvl w:ilvl="0" w:tplc="FCEE0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7F18FE"/>
    <w:multiLevelType w:val="hybridMultilevel"/>
    <w:tmpl w:val="D09A46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364CA4"/>
    <w:multiLevelType w:val="hybridMultilevel"/>
    <w:tmpl w:val="C458F0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8"/>
  </w:num>
  <w:num w:numId="18" w16cid:durableId="671107749">
    <w:abstractNumId w:val="19"/>
  </w:num>
  <w:num w:numId="19" w16cid:durableId="1526870837">
    <w:abstractNumId w:val="26"/>
  </w:num>
  <w:num w:numId="20" w16cid:durableId="1070348511">
    <w:abstractNumId w:val="14"/>
  </w:num>
  <w:num w:numId="21" w16cid:durableId="1201548317">
    <w:abstractNumId w:val="14"/>
    <w:lvlOverride w:ilvl="0">
      <w:startOverride w:val="1"/>
    </w:lvlOverride>
  </w:num>
  <w:num w:numId="22" w16cid:durableId="759643789">
    <w:abstractNumId w:val="20"/>
  </w:num>
  <w:num w:numId="23" w16cid:durableId="1397825505">
    <w:abstractNumId w:val="16"/>
  </w:num>
  <w:num w:numId="24" w16cid:durableId="1051735893">
    <w:abstractNumId w:val="21"/>
  </w:num>
  <w:num w:numId="25" w16cid:durableId="1791509857">
    <w:abstractNumId w:val="15"/>
  </w:num>
  <w:num w:numId="26" w16cid:durableId="2039770994">
    <w:abstractNumId w:val="17"/>
  </w:num>
  <w:num w:numId="27" w16cid:durableId="993341946">
    <w:abstractNumId w:val="11"/>
  </w:num>
  <w:num w:numId="28" w16cid:durableId="1750273954">
    <w:abstractNumId w:val="25"/>
  </w:num>
  <w:num w:numId="29" w16cid:durableId="773787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11895127">
    <w:abstractNumId w:val="10"/>
  </w:num>
  <w:num w:numId="31" w16cid:durableId="1246660">
    <w:abstractNumId w:val="23"/>
  </w:num>
  <w:num w:numId="32" w16cid:durableId="912817172">
    <w:abstractNumId w:val="22"/>
  </w:num>
  <w:num w:numId="33" w16cid:durableId="1492218227">
    <w:abstractNumId w:val="12"/>
  </w:num>
  <w:num w:numId="34" w16cid:durableId="151528165">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F414E"/>
    <w:rsid w:val="00000D95"/>
    <w:rsid w:val="00000EB3"/>
    <w:rsid w:val="00000FED"/>
    <w:rsid w:val="000020BD"/>
    <w:rsid w:val="0000434E"/>
    <w:rsid w:val="0000570A"/>
    <w:rsid w:val="00005B47"/>
    <w:rsid w:val="000065AE"/>
    <w:rsid w:val="0001268C"/>
    <w:rsid w:val="000128B8"/>
    <w:rsid w:val="000130F4"/>
    <w:rsid w:val="000164D3"/>
    <w:rsid w:val="00020B69"/>
    <w:rsid w:val="000219FC"/>
    <w:rsid w:val="00022B48"/>
    <w:rsid w:val="000233F1"/>
    <w:rsid w:val="00023BB5"/>
    <w:rsid w:val="00026795"/>
    <w:rsid w:val="00027178"/>
    <w:rsid w:val="000306E2"/>
    <w:rsid w:val="00031260"/>
    <w:rsid w:val="00031872"/>
    <w:rsid w:val="00031C35"/>
    <w:rsid w:val="000323E0"/>
    <w:rsid w:val="00032499"/>
    <w:rsid w:val="00033F9F"/>
    <w:rsid w:val="0003681A"/>
    <w:rsid w:val="00042139"/>
    <w:rsid w:val="00042929"/>
    <w:rsid w:val="00045CE7"/>
    <w:rsid w:val="0005078F"/>
    <w:rsid w:val="000554FD"/>
    <w:rsid w:val="000565EB"/>
    <w:rsid w:val="00056D6E"/>
    <w:rsid w:val="00056F60"/>
    <w:rsid w:val="0006122C"/>
    <w:rsid w:val="00065D34"/>
    <w:rsid w:val="000667AD"/>
    <w:rsid w:val="00072B13"/>
    <w:rsid w:val="0007501E"/>
    <w:rsid w:val="00076CEE"/>
    <w:rsid w:val="00080ED0"/>
    <w:rsid w:val="000810C5"/>
    <w:rsid w:val="00081555"/>
    <w:rsid w:val="00085B8F"/>
    <w:rsid w:val="0008614F"/>
    <w:rsid w:val="000877FB"/>
    <w:rsid w:val="0008795D"/>
    <w:rsid w:val="00087AFC"/>
    <w:rsid w:val="00090481"/>
    <w:rsid w:val="00091057"/>
    <w:rsid w:val="00091A22"/>
    <w:rsid w:val="00092DFB"/>
    <w:rsid w:val="00093272"/>
    <w:rsid w:val="00095367"/>
    <w:rsid w:val="000A0781"/>
    <w:rsid w:val="000A2140"/>
    <w:rsid w:val="000A3DFC"/>
    <w:rsid w:val="000A7437"/>
    <w:rsid w:val="000B0479"/>
    <w:rsid w:val="000B1D39"/>
    <w:rsid w:val="000B324E"/>
    <w:rsid w:val="000B4411"/>
    <w:rsid w:val="000B4FBB"/>
    <w:rsid w:val="000B74DE"/>
    <w:rsid w:val="000C02E2"/>
    <w:rsid w:val="000C35A2"/>
    <w:rsid w:val="000C7C01"/>
    <w:rsid w:val="000C7EF8"/>
    <w:rsid w:val="000D1B4A"/>
    <w:rsid w:val="000D5F58"/>
    <w:rsid w:val="000D6CB6"/>
    <w:rsid w:val="000D7890"/>
    <w:rsid w:val="000D7DCA"/>
    <w:rsid w:val="000E07BC"/>
    <w:rsid w:val="000E1B7D"/>
    <w:rsid w:val="000E2313"/>
    <w:rsid w:val="000E2CDF"/>
    <w:rsid w:val="000E2E0D"/>
    <w:rsid w:val="000E3086"/>
    <w:rsid w:val="000E45E1"/>
    <w:rsid w:val="000F0490"/>
    <w:rsid w:val="000F1CD4"/>
    <w:rsid w:val="000F4103"/>
    <w:rsid w:val="000F5EA3"/>
    <w:rsid w:val="000F70A7"/>
    <w:rsid w:val="00100218"/>
    <w:rsid w:val="0010432D"/>
    <w:rsid w:val="00104568"/>
    <w:rsid w:val="001049B8"/>
    <w:rsid w:val="00110BD8"/>
    <w:rsid w:val="0011159F"/>
    <w:rsid w:val="001139D2"/>
    <w:rsid w:val="0012175A"/>
    <w:rsid w:val="00122AF1"/>
    <w:rsid w:val="00123EA2"/>
    <w:rsid w:val="00126967"/>
    <w:rsid w:val="0012719B"/>
    <w:rsid w:val="001325BF"/>
    <w:rsid w:val="00132C4F"/>
    <w:rsid w:val="00135980"/>
    <w:rsid w:val="001372BA"/>
    <w:rsid w:val="001413D2"/>
    <w:rsid w:val="001429EC"/>
    <w:rsid w:val="00143436"/>
    <w:rsid w:val="0014393C"/>
    <w:rsid w:val="00150343"/>
    <w:rsid w:val="00151A79"/>
    <w:rsid w:val="001531D1"/>
    <w:rsid w:val="00154357"/>
    <w:rsid w:val="00154B7D"/>
    <w:rsid w:val="00160F72"/>
    <w:rsid w:val="00161016"/>
    <w:rsid w:val="00164719"/>
    <w:rsid w:val="001653B8"/>
    <w:rsid w:val="00165AAD"/>
    <w:rsid w:val="00166D6E"/>
    <w:rsid w:val="00166FC4"/>
    <w:rsid w:val="001677AC"/>
    <w:rsid w:val="001734A8"/>
    <w:rsid w:val="001765E3"/>
    <w:rsid w:val="00176960"/>
    <w:rsid w:val="001809EA"/>
    <w:rsid w:val="00181951"/>
    <w:rsid w:val="00181D76"/>
    <w:rsid w:val="00183B6A"/>
    <w:rsid w:val="0018418D"/>
    <w:rsid w:val="00186BA7"/>
    <w:rsid w:val="00190A61"/>
    <w:rsid w:val="00190DD2"/>
    <w:rsid w:val="001912B4"/>
    <w:rsid w:val="0019266B"/>
    <w:rsid w:val="00192AA0"/>
    <w:rsid w:val="00192F3C"/>
    <w:rsid w:val="00197C0C"/>
    <w:rsid w:val="001A113A"/>
    <w:rsid w:val="001A13FA"/>
    <w:rsid w:val="001A3342"/>
    <w:rsid w:val="001A3E3D"/>
    <w:rsid w:val="001A6D5F"/>
    <w:rsid w:val="001B1E40"/>
    <w:rsid w:val="001B28A1"/>
    <w:rsid w:val="001B36BA"/>
    <w:rsid w:val="001B592F"/>
    <w:rsid w:val="001C2B2F"/>
    <w:rsid w:val="001C592B"/>
    <w:rsid w:val="001C679E"/>
    <w:rsid w:val="001C68B5"/>
    <w:rsid w:val="001C764E"/>
    <w:rsid w:val="001C7B9B"/>
    <w:rsid w:val="001D0BBC"/>
    <w:rsid w:val="001D0FAD"/>
    <w:rsid w:val="001D3EAD"/>
    <w:rsid w:val="001D4AAE"/>
    <w:rsid w:val="001D4ADA"/>
    <w:rsid w:val="001D6539"/>
    <w:rsid w:val="001D6C6A"/>
    <w:rsid w:val="001D7F12"/>
    <w:rsid w:val="001E0D0C"/>
    <w:rsid w:val="001E1052"/>
    <w:rsid w:val="001E13E3"/>
    <w:rsid w:val="001E21B1"/>
    <w:rsid w:val="001E2CEB"/>
    <w:rsid w:val="001E2F93"/>
    <w:rsid w:val="001E55D8"/>
    <w:rsid w:val="001E61E5"/>
    <w:rsid w:val="001E70B9"/>
    <w:rsid w:val="001E7274"/>
    <w:rsid w:val="001F2159"/>
    <w:rsid w:val="001F3E8D"/>
    <w:rsid w:val="001F66C6"/>
    <w:rsid w:val="001F7E2F"/>
    <w:rsid w:val="00203CA8"/>
    <w:rsid w:val="002055D0"/>
    <w:rsid w:val="00211B3B"/>
    <w:rsid w:val="0022026D"/>
    <w:rsid w:val="00221BED"/>
    <w:rsid w:val="00227A63"/>
    <w:rsid w:val="00227F4F"/>
    <w:rsid w:val="002336A0"/>
    <w:rsid w:val="00234DEE"/>
    <w:rsid w:val="002350FD"/>
    <w:rsid w:val="002363D3"/>
    <w:rsid w:val="0024191C"/>
    <w:rsid w:val="002424C7"/>
    <w:rsid w:val="00247D29"/>
    <w:rsid w:val="0025039D"/>
    <w:rsid w:val="00251DFF"/>
    <w:rsid w:val="00252329"/>
    <w:rsid w:val="00252E55"/>
    <w:rsid w:val="00253222"/>
    <w:rsid w:val="00257CA4"/>
    <w:rsid w:val="00257CAC"/>
    <w:rsid w:val="0025A68B"/>
    <w:rsid w:val="0026117A"/>
    <w:rsid w:val="00261DCC"/>
    <w:rsid w:val="00262E06"/>
    <w:rsid w:val="00265886"/>
    <w:rsid w:val="00273C8C"/>
    <w:rsid w:val="0027567B"/>
    <w:rsid w:val="00276392"/>
    <w:rsid w:val="00284D4B"/>
    <w:rsid w:val="00285FF9"/>
    <w:rsid w:val="00290135"/>
    <w:rsid w:val="00290552"/>
    <w:rsid w:val="00291880"/>
    <w:rsid w:val="0029539F"/>
    <w:rsid w:val="002A2001"/>
    <w:rsid w:val="002A2B42"/>
    <w:rsid w:val="002A363C"/>
    <w:rsid w:val="002A3FA5"/>
    <w:rsid w:val="002A439C"/>
    <w:rsid w:val="002A58C6"/>
    <w:rsid w:val="002A5C99"/>
    <w:rsid w:val="002B20C2"/>
    <w:rsid w:val="002B6726"/>
    <w:rsid w:val="002B72E9"/>
    <w:rsid w:val="002C15AB"/>
    <w:rsid w:val="002D3367"/>
    <w:rsid w:val="002D3D73"/>
    <w:rsid w:val="002E1D44"/>
    <w:rsid w:val="002E36BE"/>
    <w:rsid w:val="002E3935"/>
    <w:rsid w:val="002E45F3"/>
    <w:rsid w:val="002E46E3"/>
    <w:rsid w:val="002E51A5"/>
    <w:rsid w:val="002E5B06"/>
    <w:rsid w:val="002E6248"/>
    <w:rsid w:val="002E6B5A"/>
    <w:rsid w:val="002E716A"/>
    <w:rsid w:val="002E72FD"/>
    <w:rsid w:val="002F0CCD"/>
    <w:rsid w:val="002F6E3D"/>
    <w:rsid w:val="003004B7"/>
    <w:rsid w:val="0030065C"/>
    <w:rsid w:val="00311465"/>
    <w:rsid w:val="00316EF9"/>
    <w:rsid w:val="0031727E"/>
    <w:rsid w:val="0032051F"/>
    <w:rsid w:val="003235DB"/>
    <w:rsid w:val="00324F9D"/>
    <w:rsid w:val="00327910"/>
    <w:rsid w:val="003306E1"/>
    <w:rsid w:val="003320E4"/>
    <w:rsid w:val="00333678"/>
    <w:rsid w:val="0033525D"/>
    <w:rsid w:val="00335DBC"/>
    <w:rsid w:val="003414F3"/>
    <w:rsid w:val="00343F16"/>
    <w:rsid w:val="003446E4"/>
    <w:rsid w:val="00344B52"/>
    <w:rsid w:val="003476CB"/>
    <w:rsid w:val="00350D93"/>
    <w:rsid w:val="0035613E"/>
    <w:rsid w:val="00363EE9"/>
    <w:rsid w:val="003667CB"/>
    <w:rsid w:val="003725DB"/>
    <w:rsid w:val="00373063"/>
    <w:rsid w:val="0037522B"/>
    <w:rsid w:val="00375886"/>
    <w:rsid w:val="00376128"/>
    <w:rsid w:val="00376868"/>
    <w:rsid w:val="0037742E"/>
    <w:rsid w:val="0038245A"/>
    <w:rsid w:val="003843DB"/>
    <w:rsid w:val="0038734F"/>
    <w:rsid w:val="00387F5E"/>
    <w:rsid w:val="0039337A"/>
    <w:rsid w:val="003948CB"/>
    <w:rsid w:val="00394925"/>
    <w:rsid w:val="00396605"/>
    <w:rsid w:val="00396FD5"/>
    <w:rsid w:val="003A2ABC"/>
    <w:rsid w:val="003A3189"/>
    <w:rsid w:val="003A33B0"/>
    <w:rsid w:val="003A3880"/>
    <w:rsid w:val="003A50D6"/>
    <w:rsid w:val="003B3973"/>
    <w:rsid w:val="003B3AB8"/>
    <w:rsid w:val="003B569D"/>
    <w:rsid w:val="003C0058"/>
    <w:rsid w:val="003C0D80"/>
    <w:rsid w:val="003C3C0E"/>
    <w:rsid w:val="003C7B21"/>
    <w:rsid w:val="003D0472"/>
    <w:rsid w:val="003D0C07"/>
    <w:rsid w:val="003D0E2C"/>
    <w:rsid w:val="003D1324"/>
    <w:rsid w:val="003D4FAC"/>
    <w:rsid w:val="003D6277"/>
    <w:rsid w:val="003D66D9"/>
    <w:rsid w:val="003D6CAD"/>
    <w:rsid w:val="003D6F6F"/>
    <w:rsid w:val="003E76AD"/>
    <w:rsid w:val="003E7906"/>
    <w:rsid w:val="003F1D01"/>
    <w:rsid w:val="003F315D"/>
    <w:rsid w:val="003F3C50"/>
    <w:rsid w:val="003F5902"/>
    <w:rsid w:val="0040042A"/>
    <w:rsid w:val="00400980"/>
    <w:rsid w:val="0040502F"/>
    <w:rsid w:val="00406A6A"/>
    <w:rsid w:val="00406B22"/>
    <w:rsid w:val="00412579"/>
    <w:rsid w:val="00414094"/>
    <w:rsid w:val="004145EC"/>
    <w:rsid w:val="00415E03"/>
    <w:rsid w:val="004176EC"/>
    <w:rsid w:val="00417CE9"/>
    <w:rsid w:val="00420DEF"/>
    <w:rsid w:val="0042285F"/>
    <w:rsid w:val="00423275"/>
    <w:rsid w:val="00424066"/>
    <w:rsid w:val="00432279"/>
    <w:rsid w:val="004328A7"/>
    <w:rsid w:val="00434C74"/>
    <w:rsid w:val="0043609E"/>
    <w:rsid w:val="0043743E"/>
    <w:rsid w:val="004406F1"/>
    <w:rsid w:val="00442E7C"/>
    <w:rsid w:val="00450AA6"/>
    <w:rsid w:val="004553F8"/>
    <w:rsid w:val="0045623A"/>
    <w:rsid w:val="00456915"/>
    <w:rsid w:val="00456EB4"/>
    <w:rsid w:val="004627AB"/>
    <w:rsid w:val="00463879"/>
    <w:rsid w:val="004669D1"/>
    <w:rsid w:val="00470584"/>
    <w:rsid w:val="00471151"/>
    <w:rsid w:val="004718F3"/>
    <w:rsid w:val="00475040"/>
    <w:rsid w:val="004777CC"/>
    <w:rsid w:val="0048151C"/>
    <w:rsid w:val="004823DC"/>
    <w:rsid w:val="004837D3"/>
    <w:rsid w:val="00483C32"/>
    <w:rsid w:val="004845B3"/>
    <w:rsid w:val="00485597"/>
    <w:rsid w:val="0048686F"/>
    <w:rsid w:val="00487DEB"/>
    <w:rsid w:val="00490EEF"/>
    <w:rsid w:val="0049259F"/>
    <w:rsid w:val="00492DD6"/>
    <w:rsid w:val="00493D40"/>
    <w:rsid w:val="00495071"/>
    <w:rsid w:val="00495369"/>
    <w:rsid w:val="00497217"/>
    <w:rsid w:val="004972A5"/>
    <w:rsid w:val="004A28A5"/>
    <w:rsid w:val="004A34F6"/>
    <w:rsid w:val="004A504B"/>
    <w:rsid w:val="004A5D9A"/>
    <w:rsid w:val="004A6911"/>
    <w:rsid w:val="004A7C27"/>
    <w:rsid w:val="004B54E0"/>
    <w:rsid w:val="004B6A54"/>
    <w:rsid w:val="004B7384"/>
    <w:rsid w:val="004C4269"/>
    <w:rsid w:val="004C4A51"/>
    <w:rsid w:val="004C548F"/>
    <w:rsid w:val="004C686E"/>
    <w:rsid w:val="004D3EBC"/>
    <w:rsid w:val="004D4D70"/>
    <w:rsid w:val="004D50B8"/>
    <w:rsid w:val="004D6236"/>
    <w:rsid w:val="004D7C74"/>
    <w:rsid w:val="004E1A58"/>
    <w:rsid w:val="004E2F62"/>
    <w:rsid w:val="004E364B"/>
    <w:rsid w:val="004E4C07"/>
    <w:rsid w:val="004E4DBB"/>
    <w:rsid w:val="004E602B"/>
    <w:rsid w:val="004E7F9C"/>
    <w:rsid w:val="004F3493"/>
    <w:rsid w:val="004F471A"/>
    <w:rsid w:val="004F6FA8"/>
    <w:rsid w:val="0050075C"/>
    <w:rsid w:val="00500D2A"/>
    <w:rsid w:val="005044E4"/>
    <w:rsid w:val="00504518"/>
    <w:rsid w:val="00506F8B"/>
    <w:rsid w:val="00507E37"/>
    <w:rsid w:val="00512B09"/>
    <w:rsid w:val="00513FD5"/>
    <w:rsid w:val="00516716"/>
    <w:rsid w:val="005167EF"/>
    <w:rsid w:val="00520A94"/>
    <w:rsid w:val="00521A49"/>
    <w:rsid w:val="00521E9F"/>
    <w:rsid w:val="00522C75"/>
    <w:rsid w:val="00523FD3"/>
    <w:rsid w:val="00527D4D"/>
    <w:rsid w:val="005341D0"/>
    <w:rsid w:val="005402E3"/>
    <w:rsid w:val="00544596"/>
    <w:rsid w:val="00545699"/>
    <w:rsid w:val="005467FC"/>
    <w:rsid w:val="00547B69"/>
    <w:rsid w:val="00551CF2"/>
    <w:rsid w:val="00553A00"/>
    <w:rsid w:val="00555047"/>
    <w:rsid w:val="00555D75"/>
    <w:rsid w:val="00557286"/>
    <w:rsid w:val="00560DF0"/>
    <w:rsid w:val="00561D15"/>
    <w:rsid w:val="00563CD9"/>
    <w:rsid w:val="00574427"/>
    <w:rsid w:val="0057742D"/>
    <w:rsid w:val="00577DA8"/>
    <w:rsid w:val="00577E82"/>
    <w:rsid w:val="005814EB"/>
    <w:rsid w:val="005823D5"/>
    <w:rsid w:val="005830D3"/>
    <w:rsid w:val="00583F44"/>
    <w:rsid w:val="00583F7A"/>
    <w:rsid w:val="005862E3"/>
    <w:rsid w:val="0059116C"/>
    <w:rsid w:val="00594599"/>
    <w:rsid w:val="005947FE"/>
    <w:rsid w:val="00595E27"/>
    <w:rsid w:val="00597523"/>
    <w:rsid w:val="005975E7"/>
    <w:rsid w:val="005A1B26"/>
    <w:rsid w:val="005A37CC"/>
    <w:rsid w:val="005A4F3E"/>
    <w:rsid w:val="005A50E1"/>
    <w:rsid w:val="005A68C5"/>
    <w:rsid w:val="005A6BE7"/>
    <w:rsid w:val="005B01EC"/>
    <w:rsid w:val="005B1044"/>
    <w:rsid w:val="005B48FF"/>
    <w:rsid w:val="005B5200"/>
    <w:rsid w:val="005B5207"/>
    <w:rsid w:val="005B63C9"/>
    <w:rsid w:val="005B758F"/>
    <w:rsid w:val="005C1071"/>
    <w:rsid w:val="005C10B8"/>
    <w:rsid w:val="005C30EC"/>
    <w:rsid w:val="005C474B"/>
    <w:rsid w:val="005C687B"/>
    <w:rsid w:val="005C7764"/>
    <w:rsid w:val="005C7A40"/>
    <w:rsid w:val="005D1A3F"/>
    <w:rsid w:val="005D1E4E"/>
    <w:rsid w:val="005D26B1"/>
    <w:rsid w:val="005D3D97"/>
    <w:rsid w:val="005E34A6"/>
    <w:rsid w:val="005E3665"/>
    <w:rsid w:val="005E5117"/>
    <w:rsid w:val="005F0CC0"/>
    <w:rsid w:val="005F2713"/>
    <w:rsid w:val="005F4C5B"/>
    <w:rsid w:val="005F4D14"/>
    <w:rsid w:val="005F54F5"/>
    <w:rsid w:val="005F70B4"/>
    <w:rsid w:val="00600A67"/>
    <w:rsid w:val="006012A7"/>
    <w:rsid w:val="00601BFD"/>
    <w:rsid w:val="006141C1"/>
    <w:rsid w:val="00614482"/>
    <w:rsid w:val="006158D5"/>
    <w:rsid w:val="006177A4"/>
    <w:rsid w:val="00617F96"/>
    <w:rsid w:val="006256F1"/>
    <w:rsid w:val="00625D83"/>
    <w:rsid w:val="00631776"/>
    <w:rsid w:val="0063249F"/>
    <w:rsid w:val="00633F92"/>
    <w:rsid w:val="00634A0D"/>
    <w:rsid w:val="00643292"/>
    <w:rsid w:val="00645D3D"/>
    <w:rsid w:val="00646587"/>
    <w:rsid w:val="00650113"/>
    <w:rsid w:val="006550BC"/>
    <w:rsid w:val="00657B08"/>
    <w:rsid w:val="006623E7"/>
    <w:rsid w:val="00662B80"/>
    <w:rsid w:val="00663E83"/>
    <w:rsid w:val="006642F8"/>
    <w:rsid w:val="0067238E"/>
    <w:rsid w:val="006733E2"/>
    <w:rsid w:val="00674B86"/>
    <w:rsid w:val="00680E9F"/>
    <w:rsid w:val="00682720"/>
    <w:rsid w:val="00682741"/>
    <w:rsid w:val="00682DFA"/>
    <w:rsid w:val="006833F6"/>
    <w:rsid w:val="00683606"/>
    <w:rsid w:val="00683D1D"/>
    <w:rsid w:val="006852C7"/>
    <w:rsid w:val="00685937"/>
    <w:rsid w:val="00686131"/>
    <w:rsid w:val="00686DB3"/>
    <w:rsid w:val="00687328"/>
    <w:rsid w:val="00694ACA"/>
    <w:rsid w:val="006A29E1"/>
    <w:rsid w:val="006A4F1B"/>
    <w:rsid w:val="006A7948"/>
    <w:rsid w:val="006B697B"/>
    <w:rsid w:val="006C0A77"/>
    <w:rsid w:val="006C0D56"/>
    <w:rsid w:val="006C1727"/>
    <w:rsid w:val="006C32FD"/>
    <w:rsid w:val="006C6079"/>
    <w:rsid w:val="006D0FCC"/>
    <w:rsid w:val="006D2D8D"/>
    <w:rsid w:val="006D48B4"/>
    <w:rsid w:val="006D50A0"/>
    <w:rsid w:val="006E0063"/>
    <w:rsid w:val="006E00F3"/>
    <w:rsid w:val="006E0D57"/>
    <w:rsid w:val="006E1977"/>
    <w:rsid w:val="006E44BF"/>
    <w:rsid w:val="006E48BF"/>
    <w:rsid w:val="006E4A67"/>
    <w:rsid w:val="006E6C3A"/>
    <w:rsid w:val="006F1F85"/>
    <w:rsid w:val="006F3F86"/>
    <w:rsid w:val="006F49A1"/>
    <w:rsid w:val="006F54DA"/>
    <w:rsid w:val="006F6061"/>
    <w:rsid w:val="006F69A2"/>
    <w:rsid w:val="006F737F"/>
    <w:rsid w:val="006F7E21"/>
    <w:rsid w:val="007030C5"/>
    <w:rsid w:val="007048E2"/>
    <w:rsid w:val="00704CC9"/>
    <w:rsid w:val="0070616B"/>
    <w:rsid w:val="0070672E"/>
    <w:rsid w:val="00706FDA"/>
    <w:rsid w:val="00711F9A"/>
    <w:rsid w:val="00712303"/>
    <w:rsid w:val="00712BCC"/>
    <w:rsid w:val="007130CB"/>
    <w:rsid w:val="00713810"/>
    <w:rsid w:val="007145FA"/>
    <w:rsid w:val="007159B8"/>
    <w:rsid w:val="00716558"/>
    <w:rsid w:val="00716A17"/>
    <w:rsid w:val="007205A6"/>
    <w:rsid w:val="00720EE7"/>
    <w:rsid w:val="00724C69"/>
    <w:rsid w:val="0072665A"/>
    <w:rsid w:val="00727019"/>
    <w:rsid w:val="007303A5"/>
    <w:rsid w:val="00730B3E"/>
    <w:rsid w:val="0073420B"/>
    <w:rsid w:val="007357BE"/>
    <w:rsid w:val="00737C8B"/>
    <w:rsid w:val="00741B70"/>
    <w:rsid w:val="0074268D"/>
    <w:rsid w:val="00743855"/>
    <w:rsid w:val="0074402F"/>
    <w:rsid w:val="00746FB9"/>
    <w:rsid w:val="0074760E"/>
    <w:rsid w:val="007501FF"/>
    <w:rsid w:val="0075079F"/>
    <w:rsid w:val="00754ABA"/>
    <w:rsid w:val="00755089"/>
    <w:rsid w:val="00755C80"/>
    <w:rsid w:val="007564F9"/>
    <w:rsid w:val="00760F9F"/>
    <w:rsid w:val="0076279E"/>
    <w:rsid w:val="00762FAF"/>
    <w:rsid w:val="007648EA"/>
    <w:rsid w:val="00770B71"/>
    <w:rsid w:val="007715DA"/>
    <w:rsid w:val="00771E69"/>
    <w:rsid w:val="00772373"/>
    <w:rsid w:val="00772C82"/>
    <w:rsid w:val="007734A1"/>
    <w:rsid w:val="00773D16"/>
    <w:rsid w:val="0078184A"/>
    <w:rsid w:val="007822DA"/>
    <w:rsid w:val="007932E6"/>
    <w:rsid w:val="00794509"/>
    <w:rsid w:val="00795F88"/>
    <w:rsid w:val="007A1546"/>
    <w:rsid w:val="007A228C"/>
    <w:rsid w:val="007A368E"/>
    <w:rsid w:val="007A4B68"/>
    <w:rsid w:val="007A4E20"/>
    <w:rsid w:val="007A5868"/>
    <w:rsid w:val="007A60F4"/>
    <w:rsid w:val="007B04CE"/>
    <w:rsid w:val="007B1CF3"/>
    <w:rsid w:val="007B1DE2"/>
    <w:rsid w:val="007B3B02"/>
    <w:rsid w:val="007B3D87"/>
    <w:rsid w:val="007B5418"/>
    <w:rsid w:val="007B598C"/>
    <w:rsid w:val="007B6871"/>
    <w:rsid w:val="007B6D2B"/>
    <w:rsid w:val="007C1C13"/>
    <w:rsid w:val="007C3D33"/>
    <w:rsid w:val="007C4332"/>
    <w:rsid w:val="007C4C10"/>
    <w:rsid w:val="007D0590"/>
    <w:rsid w:val="007D294A"/>
    <w:rsid w:val="007D35D9"/>
    <w:rsid w:val="007D47D2"/>
    <w:rsid w:val="007D4ED2"/>
    <w:rsid w:val="007D53DC"/>
    <w:rsid w:val="007D66AB"/>
    <w:rsid w:val="007D6820"/>
    <w:rsid w:val="007D6EC0"/>
    <w:rsid w:val="007D721E"/>
    <w:rsid w:val="007D7E1D"/>
    <w:rsid w:val="007E0C00"/>
    <w:rsid w:val="007E2FDD"/>
    <w:rsid w:val="007E4AD1"/>
    <w:rsid w:val="007E4AF2"/>
    <w:rsid w:val="007F0DB8"/>
    <w:rsid w:val="007F1D8C"/>
    <w:rsid w:val="007F2069"/>
    <w:rsid w:val="007F25B5"/>
    <w:rsid w:val="007F2B68"/>
    <w:rsid w:val="007F407D"/>
    <w:rsid w:val="007F567F"/>
    <w:rsid w:val="007F616E"/>
    <w:rsid w:val="007F6E46"/>
    <w:rsid w:val="008013AA"/>
    <w:rsid w:val="008063BA"/>
    <w:rsid w:val="00807653"/>
    <w:rsid w:val="008076EE"/>
    <w:rsid w:val="00810B7E"/>
    <w:rsid w:val="0081133E"/>
    <w:rsid w:val="008115E8"/>
    <w:rsid w:val="00811D4E"/>
    <w:rsid w:val="00812DAF"/>
    <w:rsid w:val="00813B1D"/>
    <w:rsid w:val="00815049"/>
    <w:rsid w:val="00816E2F"/>
    <w:rsid w:val="0081727F"/>
    <w:rsid w:val="00821DFA"/>
    <w:rsid w:val="00822854"/>
    <w:rsid w:val="008254D3"/>
    <w:rsid w:val="00825503"/>
    <w:rsid w:val="008260B5"/>
    <w:rsid w:val="00830E5B"/>
    <w:rsid w:val="008315FD"/>
    <w:rsid w:val="00831CCE"/>
    <w:rsid w:val="008330A0"/>
    <w:rsid w:val="00833E9B"/>
    <w:rsid w:val="008356D5"/>
    <w:rsid w:val="00843664"/>
    <w:rsid w:val="00844BA4"/>
    <w:rsid w:val="00845DA8"/>
    <w:rsid w:val="008468EA"/>
    <w:rsid w:val="00846DD2"/>
    <w:rsid w:val="0084718E"/>
    <w:rsid w:val="00850F6A"/>
    <w:rsid w:val="008516DD"/>
    <w:rsid w:val="00854B68"/>
    <w:rsid w:val="00855890"/>
    <w:rsid w:val="00856FC1"/>
    <w:rsid w:val="0085787D"/>
    <w:rsid w:val="00863230"/>
    <w:rsid w:val="0086646E"/>
    <w:rsid w:val="0087007C"/>
    <w:rsid w:val="008717D8"/>
    <w:rsid w:val="0087215C"/>
    <w:rsid w:val="00872901"/>
    <w:rsid w:val="00881950"/>
    <w:rsid w:val="00882931"/>
    <w:rsid w:val="00882D1C"/>
    <w:rsid w:val="00883969"/>
    <w:rsid w:val="008875FE"/>
    <w:rsid w:val="00887E05"/>
    <w:rsid w:val="00887F8E"/>
    <w:rsid w:val="00890195"/>
    <w:rsid w:val="00893B54"/>
    <w:rsid w:val="00896234"/>
    <w:rsid w:val="00897E43"/>
    <w:rsid w:val="008A153C"/>
    <w:rsid w:val="008A1D50"/>
    <w:rsid w:val="008A20D8"/>
    <w:rsid w:val="008A233A"/>
    <w:rsid w:val="008A4F6D"/>
    <w:rsid w:val="008A7A0E"/>
    <w:rsid w:val="008B2ED4"/>
    <w:rsid w:val="008B690C"/>
    <w:rsid w:val="008C158D"/>
    <w:rsid w:val="008C244D"/>
    <w:rsid w:val="008C2559"/>
    <w:rsid w:val="008C354F"/>
    <w:rsid w:val="008C4731"/>
    <w:rsid w:val="008C5738"/>
    <w:rsid w:val="008C736A"/>
    <w:rsid w:val="008C7EAD"/>
    <w:rsid w:val="008D0583"/>
    <w:rsid w:val="008D3AC7"/>
    <w:rsid w:val="008D4ABE"/>
    <w:rsid w:val="008D50C5"/>
    <w:rsid w:val="008D6152"/>
    <w:rsid w:val="008E0FF5"/>
    <w:rsid w:val="008E66BF"/>
    <w:rsid w:val="008E6BF3"/>
    <w:rsid w:val="008F0F81"/>
    <w:rsid w:val="008F2395"/>
    <w:rsid w:val="008F5DF4"/>
    <w:rsid w:val="009000EB"/>
    <w:rsid w:val="0090364B"/>
    <w:rsid w:val="009063E3"/>
    <w:rsid w:val="00912AA5"/>
    <w:rsid w:val="0091377A"/>
    <w:rsid w:val="009153F1"/>
    <w:rsid w:val="0091557C"/>
    <w:rsid w:val="00915677"/>
    <w:rsid w:val="00923289"/>
    <w:rsid w:val="00923540"/>
    <w:rsid w:val="00926767"/>
    <w:rsid w:val="00927DDD"/>
    <w:rsid w:val="00931AB6"/>
    <w:rsid w:val="00931D86"/>
    <w:rsid w:val="009361D5"/>
    <w:rsid w:val="0094057F"/>
    <w:rsid w:val="00943014"/>
    <w:rsid w:val="0094377F"/>
    <w:rsid w:val="00950C99"/>
    <w:rsid w:val="00950D82"/>
    <w:rsid w:val="00952595"/>
    <w:rsid w:val="00952A41"/>
    <w:rsid w:val="009557A0"/>
    <w:rsid w:val="009560B4"/>
    <w:rsid w:val="00961CBE"/>
    <w:rsid w:val="00963668"/>
    <w:rsid w:val="009659F4"/>
    <w:rsid w:val="00967149"/>
    <w:rsid w:val="00967514"/>
    <w:rsid w:val="00967662"/>
    <w:rsid w:val="00970D60"/>
    <w:rsid w:val="00971F8C"/>
    <w:rsid w:val="00973AEA"/>
    <w:rsid w:val="00975942"/>
    <w:rsid w:val="0097626B"/>
    <w:rsid w:val="009767F3"/>
    <w:rsid w:val="00980F55"/>
    <w:rsid w:val="00983DC2"/>
    <w:rsid w:val="0098608C"/>
    <w:rsid w:val="00987078"/>
    <w:rsid w:val="009875F7"/>
    <w:rsid w:val="00991408"/>
    <w:rsid w:val="00995259"/>
    <w:rsid w:val="009958DC"/>
    <w:rsid w:val="00995C28"/>
    <w:rsid w:val="00997F0E"/>
    <w:rsid w:val="009A180F"/>
    <w:rsid w:val="009A5900"/>
    <w:rsid w:val="009A7994"/>
    <w:rsid w:val="009A7ADC"/>
    <w:rsid w:val="009B151B"/>
    <w:rsid w:val="009B1CB9"/>
    <w:rsid w:val="009B1E48"/>
    <w:rsid w:val="009B54A8"/>
    <w:rsid w:val="009B5E24"/>
    <w:rsid w:val="009B7913"/>
    <w:rsid w:val="009C19B7"/>
    <w:rsid w:val="009C401F"/>
    <w:rsid w:val="009C4097"/>
    <w:rsid w:val="009C4B37"/>
    <w:rsid w:val="009C7BAB"/>
    <w:rsid w:val="009D119B"/>
    <w:rsid w:val="009D157D"/>
    <w:rsid w:val="009D53F2"/>
    <w:rsid w:val="009D7C51"/>
    <w:rsid w:val="009E2EB0"/>
    <w:rsid w:val="009E7DD5"/>
    <w:rsid w:val="009E7F40"/>
    <w:rsid w:val="009F0096"/>
    <w:rsid w:val="009F0D7A"/>
    <w:rsid w:val="009F1897"/>
    <w:rsid w:val="009F36BF"/>
    <w:rsid w:val="009F3980"/>
    <w:rsid w:val="009F577E"/>
    <w:rsid w:val="00A017AD"/>
    <w:rsid w:val="00A022E5"/>
    <w:rsid w:val="00A02716"/>
    <w:rsid w:val="00A0320A"/>
    <w:rsid w:val="00A069E5"/>
    <w:rsid w:val="00A06C92"/>
    <w:rsid w:val="00A111B6"/>
    <w:rsid w:val="00A131EA"/>
    <w:rsid w:val="00A15E62"/>
    <w:rsid w:val="00A16C41"/>
    <w:rsid w:val="00A200C7"/>
    <w:rsid w:val="00A201A6"/>
    <w:rsid w:val="00A2703D"/>
    <w:rsid w:val="00A35591"/>
    <w:rsid w:val="00A40928"/>
    <w:rsid w:val="00A412F7"/>
    <w:rsid w:val="00A42A99"/>
    <w:rsid w:val="00A42EFE"/>
    <w:rsid w:val="00A4422E"/>
    <w:rsid w:val="00A4489A"/>
    <w:rsid w:val="00A4561D"/>
    <w:rsid w:val="00A46850"/>
    <w:rsid w:val="00A469BC"/>
    <w:rsid w:val="00A47530"/>
    <w:rsid w:val="00A5151A"/>
    <w:rsid w:val="00A52DEF"/>
    <w:rsid w:val="00A548FA"/>
    <w:rsid w:val="00A55836"/>
    <w:rsid w:val="00A55F52"/>
    <w:rsid w:val="00A57E4C"/>
    <w:rsid w:val="00A60410"/>
    <w:rsid w:val="00A61F17"/>
    <w:rsid w:val="00A64957"/>
    <w:rsid w:val="00A6632B"/>
    <w:rsid w:val="00A72D4F"/>
    <w:rsid w:val="00A73A67"/>
    <w:rsid w:val="00A776C7"/>
    <w:rsid w:val="00A80DF0"/>
    <w:rsid w:val="00A823F6"/>
    <w:rsid w:val="00A83526"/>
    <w:rsid w:val="00A84864"/>
    <w:rsid w:val="00A852F9"/>
    <w:rsid w:val="00A90299"/>
    <w:rsid w:val="00A91A3E"/>
    <w:rsid w:val="00A924A5"/>
    <w:rsid w:val="00A924D8"/>
    <w:rsid w:val="00A92663"/>
    <w:rsid w:val="00A97ECE"/>
    <w:rsid w:val="00AA0A89"/>
    <w:rsid w:val="00AA29D8"/>
    <w:rsid w:val="00AA7C21"/>
    <w:rsid w:val="00AB1718"/>
    <w:rsid w:val="00AB394C"/>
    <w:rsid w:val="00AB4982"/>
    <w:rsid w:val="00AB4FEC"/>
    <w:rsid w:val="00AB72C0"/>
    <w:rsid w:val="00AB7364"/>
    <w:rsid w:val="00AC01AA"/>
    <w:rsid w:val="00AC1B9C"/>
    <w:rsid w:val="00AC3935"/>
    <w:rsid w:val="00AC3D18"/>
    <w:rsid w:val="00AC4C1E"/>
    <w:rsid w:val="00AC4F72"/>
    <w:rsid w:val="00AC7DCD"/>
    <w:rsid w:val="00AD01EC"/>
    <w:rsid w:val="00AD3816"/>
    <w:rsid w:val="00AD50AA"/>
    <w:rsid w:val="00AD56BF"/>
    <w:rsid w:val="00AD74D4"/>
    <w:rsid w:val="00AD7BE9"/>
    <w:rsid w:val="00AE0665"/>
    <w:rsid w:val="00AE3D20"/>
    <w:rsid w:val="00AE655C"/>
    <w:rsid w:val="00AF10A1"/>
    <w:rsid w:val="00AF2B21"/>
    <w:rsid w:val="00AF414E"/>
    <w:rsid w:val="00AF5905"/>
    <w:rsid w:val="00AF741A"/>
    <w:rsid w:val="00B03603"/>
    <w:rsid w:val="00B04161"/>
    <w:rsid w:val="00B056F9"/>
    <w:rsid w:val="00B07707"/>
    <w:rsid w:val="00B10142"/>
    <w:rsid w:val="00B10BA2"/>
    <w:rsid w:val="00B1185F"/>
    <w:rsid w:val="00B11E3D"/>
    <w:rsid w:val="00B13355"/>
    <w:rsid w:val="00B13D67"/>
    <w:rsid w:val="00B1647A"/>
    <w:rsid w:val="00B17E82"/>
    <w:rsid w:val="00B20E1A"/>
    <w:rsid w:val="00B2250E"/>
    <w:rsid w:val="00B26F3A"/>
    <w:rsid w:val="00B27C19"/>
    <w:rsid w:val="00B31580"/>
    <w:rsid w:val="00B40021"/>
    <w:rsid w:val="00B4057A"/>
    <w:rsid w:val="00B4287A"/>
    <w:rsid w:val="00B454C4"/>
    <w:rsid w:val="00B4734F"/>
    <w:rsid w:val="00B47D6B"/>
    <w:rsid w:val="00B5113F"/>
    <w:rsid w:val="00B55263"/>
    <w:rsid w:val="00B575BA"/>
    <w:rsid w:val="00B57DFB"/>
    <w:rsid w:val="00B60878"/>
    <w:rsid w:val="00B63224"/>
    <w:rsid w:val="00B656B3"/>
    <w:rsid w:val="00B65D39"/>
    <w:rsid w:val="00B66D73"/>
    <w:rsid w:val="00B6763B"/>
    <w:rsid w:val="00B6765A"/>
    <w:rsid w:val="00B67711"/>
    <w:rsid w:val="00B6794F"/>
    <w:rsid w:val="00B72C4A"/>
    <w:rsid w:val="00B73EEA"/>
    <w:rsid w:val="00B758AB"/>
    <w:rsid w:val="00B76429"/>
    <w:rsid w:val="00B80B5F"/>
    <w:rsid w:val="00B8181F"/>
    <w:rsid w:val="00B83B40"/>
    <w:rsid w:val="00B84735"/>
    <w:rsid w:val="00B84E8E"/>
    <w:rsid w:val="00B86702"/>
    <w:rsid w:val="00B86E30"/>
    <w:rsid w:val="00B87B58"/>
    <w:rsid w:val="00B87F83"/>
    <w:rsid w:val="00B87FD8"/>
    <w:rsid w:val="00B956D4"/>
    <w:rsid w:val="00BA0D38"/>
    <w:rsid w:val="00BA229B"/>
    <w:rsid w:val="00BA2A48"/>
    <w:rsid w:val="00BA6996"/>
    <w:rsid w:val="00BA7432"/>
    <w:rsid w:val="00BA7B45"/>
    <w:rsid w:val="00BA7BEF"/>
    <w:rsid w:val="00BB1782"/>
    <w:rsid w:val="00BB7C1F"/>
    <w:rsid w:val="00BC008D"/>
    <w:rsid w:val="00BC1AA0"/>
    <w:rsid w:val="00BC3835"/>
    <w:rsid w:val="00BC429B"/>
    <w:rsid w:val="00BC7EB9"/>
    <w:rsid w:val="00BD0409"/>
    <w:rsid w:val="00BD1458"/>
    <w:rsid w:val="00BD2643"/>
    <w:rsid w:val="00BD32EA"/>
    <w:rsid w:val="00BD42C2"/>
    <w:rsid w:val="00BD59F5"/>
    <w:rsid w:val="00BD6464"/>
    <w:rsid w:val="00BD6558"/>
    <w:rsid w:val="00BD6CF7"/>
    <w:rsid w:val="00BD7F9C"/>
    <w:rsid w:val="00BE08BF"/>
    <w:rsid w:val="00BE0C7F"/>
    <w:rsid w:val="00BE3710"/>
    <w:rsid w:val="00BE3C0E"/>
    <w:rsid w:val="00BF00F4"/>
    <w:rsid w:val="00BF3214"/>
    <w:rsid w:val="00BF4A86"/>
    <w:rsid w:val="00BF661D"/>
    <w:rsid w:val="00BF71DE"/>
    <w:rsid w:val="00BF7892"/>
    <w:rsid w:val="00BF7E5F"/>
    <w:rsid w:val="00C00DB1"/>
    <w:rsid w:val="00C01F83"/>
    <w:rsid w:val="00C0497F"/>
    <w:rsid w:val="00C11E44"/>
    <w:rsid w:val="00C15867"/>
    <w:rsid w:val="00C200D2"/>
    <w:rsid w:val="00C201E5"/>
    <w:rsid w:val="00C2176D"/>
    <w:rsid w:val="00C2296D"/>
    <w:rsid w:val="00C23155"/>
    <w:rsid w:val="00C2435F"/>
    <w:rsid w:val="00C27057"/>
    <w:rsid w:val="00C27A89"/>
    <w:rsid w:val="00C310CD"/>
    <w:rsid w:val="00C315E1"/>
    <w:rsid w:val="00C33528"/>
    <w:rsid w:val="00C400C6"/>
    <w:rsid w:val="00C401C2"/>
    <w:rsid w:val="00C40C41"/>
    <w:rsid w:val="00C40DE9"/>
    <w:rsid w:val="00C41C2E"/>
    <w:rsid w:val="00C43175"/>
    <w:rsid w:val="00C45885"/>
    <w:rsid w:val="00C45B10"/>
    <w:rsid w:val="00C4641F"/>
    <w:rsid w:val="00C50F22"/>
    <w:rsid w:val="00C51CC8"/>
    <w:rsid w:val="00C541D4"/>
    <w:rsid w:val="00C57971"/>
    <w:rsid w:val="00C621E5"/>
    <w:rsid w:val="00C6263C"/>
    <w:rsid w:val="00C634E7"/>
    <w:rsid w:val="00C63C4D"/>
    <w:rsid w:val="00C67A87"/>
    <w:rsid w:val="00C67F83"/>
    <w:rsid w:val="00C70110"/>
    <w:rsid w:val="00C7159E"/>
    <w:rsid w:val="00C72F46"/>
    <w:rsid w:val="00C730F9"/>
    <w:rsid w:val="00C73E3A"/>
    <w:rsid w:val="00C73EFF"/>
    <w:rsid w:val="00C74AE4"/>
    <w:rsid w:val="00C75341"/>
    <w:rsid w:val="00C75846"/>
    <w:rsid w:val="00C76BA4"/>
    <w:rsid w:val="00C77030"/>
    <w:rsid w:val="00C83A48"/>
    <w:rsid w:val="00C85865"/>
    <w:rsid w:val="00C85E85"/>
    <w:rsid w:val="00C91ECD"/>
    <w:rsid w:val="00C961AE"/>
    <w:rsid w:val="00C967D8"/>
    <w:rsid w:val="00CA102C"/>
    <w:rsid w:val="00CA2EAE"/>
    <w:rsid w:val="00CA4AC1"/>
    <w:rsid w:val="00CA612A"/>
    <w:rsid w:val="00CB0316"/>
    <w:rsid w:val="00CB0317"/>
    <w:rsid w:val="00CB0B11"/>
    <w:rsid w:val="00CB0CCA"/>
    <w:rsid w:val="00CB38D3"/>
    <w:rsid w:val="00CB5354"/>
    <w:rsid w:val="00CB6CA4"/>
    <w:rsid w:val="00CC14A1"/>
    <w:rsid w:val="00CC1850"/>
    <w:rsid w:val="00CC23FB"/>
    <w:rsid w:val="00CC2CA3"/>
    <w:rsid w:val="00CC4AE5"/>
    <w:rsid w:val="00CC6A14"/>
    <w:rsid w:val="00CC6E10"/>
    <w:rsid w:val="00CC70A3"/>
    <w:rsid w:val="00CC7A1F"/>
    <w:rsid w:val="00CC7B84"/>
    <w:rsid w:val="00CC7F83"/>
    <w:rsid w:val="00CD53C3"/>
    <w:rsid w:val="00CD55DA"/>
    <w:rsid w:val="00CD574E"/>
    <w:rsid w:val="00CE060D"/>
    <w:rsid w:val="00CE2FB9"/>
    <w:rsid w:val="00CE3493"/>
    <w:rsid w:val="00CE4682"/>
    <w:rsid w:val="00CE491B"/>
    <w:rsid w:val="00CE4C22"/>
    <w:rsid w:val="00CE4D57"/>
    <w:rsid w:val="00CE63CC"/>
    <w:rsid w:val="00CF007C"/>
    <w:rsid w:val="00CF2563"/>
    <w:rsid w:val="00CF2B3C"/>
    <w:rsid w:val="00CF41EC"/>
    <w:rsid w:val="00CF5D04"/>
    <w:rsid w:val="00CF613E"/>
    <w:rsid w:val="00D01244"/>
    <w:rsid w:val="00D039B1"/>
    <w:rsid w:val="00D04DE4"/>
    <w:rsid w:val="00D05173"/>
    <w:rsid w:val="00D05518"/>
    <w:rsid w:val="00D063F1"/>
    <w:rsid w:val="00D11D45"/>
    <w:rsid w:val="00D13D91"/>
    <w:rsid w:val="00D14400"/>
    <w:rsid w:val="00D14EEA"/>
    <w:rsid w:val="00D14F22"/>
    <w:rsid w:val="00D174D9"/>
    <w:rsid w:val="00D20A56"/>
    <w:rsid w:val="00D20F34"/>
    <w:rsid w:val="00D216C2"/>
    <w:rsid w:val="00D21861"/>
    <w:rsid w:val="00D21F30"/>
    <w:rsid w:val="00D234CA"/>
    <w:rsid w:val="00D24723"/>
    <w:rsid w:val="00D249C4"/>
    <w:rsid w:val="00D24F49"/>
    <w:rsid w:val="00D26289"/>
    <w:rsid w:val="00D33AB9"/>
    <w:rsid w:val="00D33D81"/>
    <w:rsid w:val="00D42237"/>
    <w:rsid w:val="00D43A32"/>
    <w:rsid w:val="00D45004"/>
    <w:rsid w:val="00D4614E"/>
    <w:rsid w:val="00D4718A"/>
    <w:rsid w:val="00D50D20"/>
    <w:rsid w:val="00D535F1"/>
    <w:rsid w:val="00D53AAC"/>
    <w:rsid w:val="00D56137"/>
    <w:rsid w:val="00D57918"/>
    <w:rsid w:val="00D603D0"/>
    <w:rsid w:val="00D61440"/>
    <w:rsid w:val="00D620FF"/>
    <w:rsid w:val="00D62853"/>
    <w:rsid w:val="00D63779"/>
    <w:rsid w:val="00D70CEB"/>
    <w:rsid w:val="00D731B5"/>
    <w:rsid w:val="00D73DC6"/>
    <w:rsid w:val="00D74C1A"/>
    <w:rsid w:val="00D75205"/>
    <w:rsid w:val="00D754C1"/>
    <w:rsid w:val="00D76A7C"/>
    <w:rsid w:val="00D77A35"/>
    <w:rsid w:val="00D77C90"/>
    <w:rsid w:val="00D80DF9"/>
    <w:rsid w:val="00D81B3E"/>
    <w:rsid w:val="00D879DA"/>
    <w:rsid w:val="00D90C70"/>
    <w:rsid w:val="00D90E49"/>
    <w:rsid w:val="00D90F25"/>
    <w:rsid w:val="00D9448F"/>
    <w:rsid w:val="00D95C39"/>
    <w:rsid w:val="00D97E7C"/>
    <w:rsid w:val="00DA166F"/>
    <w:rsid w:val="00DA1C0A"/>
    <w:rsid w:val="00DB5FFE"/>
    <w:rsid w:val="00DB7EBA"/>
    <w:rsid w:val="00DC2A72"/>
    <w:rsid w:val="00DC2ABD"/>
    <w:rsid w:val="00DC3F08"/>
    <w:rsid w:val="00DC59D0"/>
    <w:rsid w:val="00DC692A"/>
    <w:rsid w:val="00DC6A10"/>
    <w:rsid w:val="00DC6D65"/>
    <w:rsid w:val="00DD502B"/>
    <w:rsid w:val="00DD55EF"/>
    <w:rsid w:val="00DD5D24"/>
    <w:rsid w:val="00DE13F5"/>
    <w:rsid w:val="00DE1D5E"/>
    <w:rsid w:val="00DE3546"/>
    <w:rsid w:val="00DE3F39"/>
    <w:rsid w:val="00DE657E"/>
    <w:rsid w:val="00DF1D98"/>
    <w:rsid w:val="00DF265D"/>
    <w:rsid w:val="00DF4704"/>
    <w:rsid w:val="00DF60AC"/>
    <w:rsid w:val="00DF6528"/>
    <w:rsid w:val="00E013D5"/>
    <w:rsid w:val="00E01BC1"/>
    <w:rsid w:val="00E024AA"/>
    <w:rsid w:val="00E06673"/>
    <w:rsid w:val="00E0764B"/>
    <w:rsid w:val="00E1002A"/>
    <w:rsid w:val="00E10501"/>
    <w:rsid w:val="00E1055F"/>
    <w:rsid w:val="00E112A8"/>
    <w:rsid w:val="00E125FB"/>
    <w:rsid w:val="00E152B2"/>
    <w:rsid w:val="00E156A8"/>
    <w:rsid w:val="00E15711"/>
    <w:rsid w:val="00E1693E"/>
    <w:rsid w:val="00E16D12"/>
    <w:rsid w:val="00E176A1"/>
    <w:rsid w:val="00E20584"/>
    <w:rsid w:val="00E20BF2"/>
    <w:rsid w:val="00E21B90"/>
    <w:rsid w:val="00E24118"/>
    <w:rsid w:val="00E250F1"/>
    <w:rsid w:val="00E26B1A"/>
    <w:rsid w:val="00E32A9B"/>
    <w:rsid w:val="00E32E6B"/>
    <w:rsid w:val="00E33106"/>
    <w:rsid w:val="00E34BF6"/>
    <w:rsid w:val="00E3550D"/>
    <w:rsid w:val="00E40379"/>
    <w:rsid w:val="00E41FA6"/>
    <w:rsid w:val="00E446C6"/>
    <w:rsid w:val="00E46057"/>
    <w:rsid w:val="00E50035"/>
    <w:rsid w:val="00E51CBE"/>
    <w:rsid w:val="00E52D89"/>
    <w:rsid w:val="00E53435"/>
    <w:rsid w:val="00E53A29"/>
    <w:rsid w:val="00E5531A"/>
    <w:rsid w:val="00E57BA4"/>
    <w:rsid w:val="00E60012"/>
    <w:rsid w:val="00E60040"/>
    <w:rsid w:val="00E614E0"/>
    <w:rsid w:val="00E632D7"/>
    <w:rsid w:val="00E6341B"/>
    <w:rsid w:val="00E63587"/>
    <w:rsid w:val="00E6376B"/>
    <w:rsid w:val="00E676DD"/>
    <w:rsid w:val="00E677CC"/>
    <w:rsid w:val="00E721ED"/>
    <w:rsid w:val="00E73A0F"/>
    <w:rsid w:val="00E73F7F"/>
    <w:rsid w:val="00E746D5"/>
    <w:rsid w:val="00E8070B"/>
    <w:rsid w:val="00E8528C"/>
    <w:rsid w:val="00E86729"/>
    <w:rsid w:val="00E90557"/>
    <w:rsid w:val="00E926F6"/>
    <w:rsid w:val="00E945C5"/>
    <w:rsid w:val="00E95183"/>
    <w:rsid w:val="00E96994"/>
    <w:rsid w:val="00E971D0"/>
    <w:rsid w:val="00EA2887"/>
    <w:rsid w:val="00EA429F"/>
    <w:rsid w:val="00EA4F9E"/>
    <w:rsid w:val="00EA61EA"/>
    <w:rsid w:val="00EA6D3B"/>
    <w:rsid w:val="00EB00AD"/>
    <w:rsid w:val="00EB03E7"/>
    <w:rsid w:val="00EB136C"/>
    <w:rsid w:val="00EB3978"/>
    <w:rsid w:val="00EB4271"/>
    <w:rsid w:val="00EB434B"/>
    <w:rsid w:val="00EB480E"/>
    <w:rsid w:val="00EB4E2A"/>
    <w:rsid w:val="00EB5EC6"/>
    <w:rsid w:val="00EB7FC9"/>
    <w:rsid w:val="00EC3317"/>
    <w:rsid w:val="00ED408D"/>
    <w:rsid w:val="00ED4DD3"/>
    <w:rsid w:val="00ED4EF0"/>
    <w:rsid w:val="00ED7137"/>
    <w:rsid w:val="00EE191C"/>
    <w:rsid w:val="00EE673C"/>
    <w:rsid w:val="00EE70A1"/>
    <w:rsid w:val="00EF0A86"/>
    <w:rsid w:val="00EF65CE"/>
    <w:rsid w:val="00EF76E7"/>
    <w:rsid w:val="00EF780F"/>
    <w:rsid w:val="00EF7C58"/>
    <w:rsid w:val="00F010AE"/>
    <w:rsid w:val="00F01611"/>
    <w:rsid w:val="00F036EB"/>
    <w:rsid w:val="00F036FF"/>
    <w:rsid w:val="00F04EEC"/>
    <w:rsid w:val="00F05A05"/>
    <w:rsid w:val="00F121AB"/>
    <w:rsid w:val="00F1248E"/>
    <w:rsid w:val="00F13546"/>
    <w:rsid w:val="00F14041"/>
    <w:rsid w:val="00F1613C"/>
    <w:rsid w:val="00F21088"/>
    <w:rsid w:val="00F2351E"/>
    <w:rsid w:val="00F26DFC"/>
    <w:rsid w:val="00F27C68"/>
    <w:rsid w:val="00F30587"/>
    <w:rsid w:val="00F3156D"/>
    <w:rsid w:val="00F31DD8"/>
    <w:rsid w:val="00F327E7"/>
    <w:rsid w:val="00F32A5F"/>
    <w:rsid w:val="00F34966"/>
    <w:rsid w:val="00F35284"/>
    <w:rsid w:val="00F35746"/>
    <w:rsid w:val="00F36371"/>
    <w:rsid w:val="00F37C68"/>
    <w:rsid w:val="00F41649"/>
    <w:rsid w:val="00F42253"/>
    <w:rsid w:val="00F435B3"/>
    <w:rsid w:val="00F447C7"/>
    <w:rsid w:val="00F44826"/>
    <w:rsid w:val="00F469EF"/>
    <w:rsid w:val="00F46B63"/>
    <w:rsid w:val="00F50479"/>
    <w:rsid w:val="00F50A34"/>
    <w:rsid w:val="00F5425D"/>
    <w:rsid w:val="00F54319"/>
    <w:rsid w:val="00F554A9"/>
    <w:rsid w:val="00F55984"/>
    <w:rsid w:val="00F60598"/>
    <w:rsid w:val="00F60CC4"/>
    <w:rsid w:val="00F60EC5"/>
    <w:rsid w:val="00F633E7"/>
    <w:rsid w:val="00F64303"/>
    <w:rsid w:val="00F716FD"/>
    <w:rsid w:val="00F721B6"/>
    <w:rsid w:val="00F75C5F"/>
    <w:rsid w:val="00F80355"/>
    <w:rsid w:val="00F80496"/>
    <w:rsid w:val="00F80C12"/>
    <w:rsid w:val="00F82343"/>
    <w:rsid w:val="00F87C53"/>
    <w:rsid w:val="00F91589"/>
    <w:rsid w:val="00F924A5"/>
    <w:rsid w:val="00F9314E"/>
    <w:rsid w:val="00F94A41"/>
    <w:rsid w:val="00F95E7C"/>
    <w:rsid w:val="00F9608A"/>
    <w:rsid w:val="00F97969"/>
    <w:rsid w:val="00FA1ADA"/>
    <w:rsid w:val="00FA2652"/>
    <w:rsid w:val="00FA31C1"/>
    <w:rsid w:val="00FA55F7"/>
    <w:rsid w:val="00FA6349"/>
    <w:rsid w:val="00FA6A32"/>
    <w:rsid w:val="00FA7D58"/>
    <w:rsid w:val="00FB0157"/>
    <w:rsid w:val="00FB0C81"/>
    <w:rsid w:val="00FB1348"/>
    <w:rsid w:val="00FB337F"/>
    <w:rsid w:val="00FB5C64"/>
    <w:rsid w:val="00FB65D1"/>
    <w:rsid w:val="00FC2200"/>
    <w:rsid w:val="00FC2540"/>
    <w:rsid w:val="00FC3888"/>
    <w:rsid w:val="00FC3BC8"/>
    <w:rsid w:val="00FD1BF9"/>
    <w:rsid w:val="00FD2D05"/>
    <w:rsid w:val="00FD3DCC"/>
    <w:rsid w:val="00FD5606"/>
    <w:rsid w:val="00FD60F9"/>
    <w:rsid w:val="00FE3364"/>
    <w:rsid w:val="00FE615C"/>
    <w:rsid w:val="00FE7106"/>
    <w:rsid w:val="00FE7BB6"/>
    <w:rsid w:val="00FF0204"/>
    <w:rsid w:val="00FF0B73"/>
    <w:rsid w:val="00FF1B8E"/>
    <w:rsid w:val="00FF20CC"/>
    <w:rsid w:val="00FF27D6"/>
    <w:rsid w:val="00FF3AED"/>
    <w:rsid w:val="00FF5867"/>
    <w:rsid w:val="00FF664E"/>
    <w:rsid w:val="01111276"/>
    <w:rsid w:val="0138F874"/>
    <w:rsid w:val="0190E1DE"/>
    <w:rsid w:val="01F0D4ED"/>
    <w:rsid w:val="03E60FBE"/>
    <w:rsid w:val="045064C1"/>
    <w:rsid w:val="045EC980"/>
    <w:rsid w:val="04A5F24B"/>
    <w:rsid w:val="04F0C1FB"/>
    <w:rsid w:val="052BD2DC"/>
    <w:rsid w:val="07564511"/>
    <w:rsid w:val="081D0B40"/>
    <w:rsid w:val="0822B65F"/>
    <w:rsid w:val="08CFEEE8"/>
    <w:rsid w:val="0A1CD8B5"/>
    <w:rsid w:val="0B34F409"/>
    <w:rsid w:val="0B40A752"/>
    <w:rsid w:val="0C2F1E8F"/>
    <w:rsid w:val="10269309"/>
    <w:rsid w:val="11D0D202"/>
    <w:rsid w:val="12339439"/>
    <w:rsid w:val="1339D6E5"/>
    <w:rsid w:val="144643C3"/>
    <w:rsid w:val="15CF5DB1"/>
    <w:rsid w:val="165F7326"/>
    <w:rsid w:val="16BFACF7"/>
    <w:rsid w:val="16CD2552"/>
    <w:rsid w:val="16EA9BFE"/>
    <w:rsid w:val="173352FF"/>
    <w:rsid w:val="187D93F2"/>
    <w:rsid w:val="1A6167A3"/>
    <w:rsid w:val="1B740859"/>
    <w:rsid w:val="1C7D9225"/>
    <w:rsid w:val="1D0A704D"/>
    <w:rsid w:val="1D9CBFDC"/>
    <w:rsid w:val="1E879965"/>
    <w:rsid w:val="1FB1A087"/>
    <w:rsid w:val="1FE1E9ED"/>
    <w:rsid w:val="203FADBD"/>
    <w:rsid w:val="206667E1"/>
    <w:rsid w:val="20E9CE2C"/>
    <w:rsid w:val="2309CC56"/>
    <w:rsid w:val="23C5135C"/>
    <w:rsid w:val="2560D0FF"/>
    <w:rsid w:val="25DD1E4C"/>
    <w:rsid w:val="25EA8E81"/>
    <w:rsid w:val="260049FD"/>
    <w:rsid w:val="2613E3B5"/>
    <w:rsid w:val="26A74C1B"/>
    <w:rsid w:val="26C8A9E5"/>
    <w:rsid w:val="26EAAFDB"/>
    <w:rsid w:val="27401A80"/>
    <w:rsid w:val="294B35BF"/>
    <w:rsid w:val="295C772E"/>
    <w:rsid w:val="298B015B"/>
    <w:rsid w:val="29F92B1B"/>
    <w:rsid w:val="2B196177"/>
    <w:rsid w:val="2CB55E97"/>
    <w:rsid w:val="2D14F47F"/>
    <w:rsid w:val="2D152002"/>
    <w:rsid w:val="2DDD06BB"/>
    <w:rsid w:val="2F16525F"/>
    <w:rsid w:val="2F802540"/>
    <w:rsid w:val="2FFEB3BC"/>
    <w:rsid w:val="305D6EB1"/>
    <w:rsid w:val="30A3CAF8"/>
    <w:rsid w:val="3106B5BC"/>
    <w:rsid w:val="312CCE81"/>
    <w:rsid w:val="313A0FA8"/>
    <w:rsid w:val="316292EB"/>
    <w:rsid w:val="34154E9C"/>
    <w:rsid w:val="346DE4ED"/>
    <w:rsid w:val="348A4688"/>
    <w:rsid w:val="34E5AF59"/>
    <w:rsid w:val="3594C00B"/>
    <w:rsid w:val="3599BB57"/>
    <w:rsid w:val="36002D74"/>
    <w:rsid w:val="3679F687"/>
    <w:rsid w:val="36F297F7"/>
    <w:rsid w:val="37DAC015"/>
    <w:rsid w:val="37EDBE40"/>
    <w:rsid w:val="39B9CB82"/>
    <w:rsid w:val="39DBEE07"/>
    <w:rsid w:val="3B11FF30"/>
    <w:rsid w:val="3B88F662"/>
    <w:rsid w:val="3C50A7AF"/>
    <w:rsid w:val="3CD2BC9A"/>
    <w:rsid w:val="3D006389"/>
    <w:rsid w:val="3D23B09E"/>
    <w:rsid w:val="3D41899E"/>
    <w:rsid w:val="3DAA33A3"/>
    <w:rsid w:val="3DF258C7"/>
    <w:rsid w:val="3E7B03CF"/>
    <w:rsid w:val="3F4677D2"/>
    <w:rsid w:val="40793F78"/>
    <w:rsid w:val="41FCF3FB"/>
    <w:rsid w:val="42E16E52"/>
    <w:rsid w:val="4413316C"/>
    <w:rsid w:val="45627312"/>
    <w:rsid w:val="4729DEF4"/>
    <w:rsid w:val="473624D0"/>
    <w:rsid w:val="4A71295D"/>
    <w:rsid w:val="4A959ACB"/>
    <w:rsid w:val="4BDDDC5E"/>
    <w:rsid w:val="4C95B16A"/>
    <w:rsid w:val="4DC9372E"/>
    <w:rsid w:val="4E0A23A5"/>
    <w:rsid w:val="4E983978"/>
    <w:rsid w:val="4EB73C68"/>
    <w:rsid w:val="4ECC90B0"/>
    <w:rsid w:val="4F68DA88"/>
    <w:rsid w:val="5063943E"/>
    <w:rsid w:val="508093DE"/>
    <w:rsid w:val="518FC5FC"/>
    <w:rsid w:val="52092A35"/>
    <w:rsid w:val="522F5C57"/>
    <w:rsid w:val="52320A45"/>
    <w:rsid w:val="525EC9E8"/>
    <w:rsid w:val="532CB923"/>
    <w:rsid w:val="5408DD58"/>
    <w:rsid w:val="54371067"/>
    <w:rsid w:val="54F46923"/>
    <w:rsid w:val="55295E54"/>
    <w:rsid w:val="55D8966F"/>
    <w:rsid w:val="5600189C"/>
    <w:rsid w:val="562CFEF2"/>
    <w:rsid w:val="566E8C79"/>
    <w:rsid w:val="56A1FFC6"/>
    <w:rsid w:val="57D8F1E5"/>
    <w:rsid w:val="582B2DB6"/>
    <w:rsid w:val="59FE1031"/>
    <w:rsid w:val="5A81182C"/>
    <w:rsid w:val="5A8230CA"/>
    <w:rsid w:val="5AA6F41E"/>
    <w:rsid w:val="5AFA9464"/>
    <w:rsid w:val="5B7ADA43"/>
    <w:rsid w:val="5C493B71"/>
    <w:rsid w:val="5C78A409"/>
    <w:rsid w:val="5D078212"/>
    <w:rsid w:val="5D104110"/>
    <w:rsid w:val="5D2F8452"/>
    <w:rsid w:val="5DCA6F38"/>
    <w:rsid w:val="5E48CE77"/>
    <w:rsid w:val="60380F41"/>
    <w:rsid w:val="611D44AE"/>
    <w:rsid w:val="61871F13"/>
    <w:rsid w:val="621B74A5"/>
    <w:rsid w:val="62363B0E"/>
    <w:rsid w:val="6254140B"/>
    <w:rsid w:val="62597FF2"/>
    <w:rsid w:val="62A92438"/>
    <w:rsid w:val="630521F9"/>
    <w:rsid w:val="6324AA22"/>
    <w:rsid w:val="63932C26"/>
    <w:rsid w:val="63C07A1B"/>
    <w:rsid w:val="64150698"/>
    <w:rsid w:val="65C170BF"/>
    <w:rsid w:val="6675473A"/>
    <w:rsid w:val="6757A8CD"/>
    <w:rsid w:val="67D5903D"/>
    <w:rsid w:val="685598FF"/>
    <w:rsid w:val="6866AD94"/>
    <w:rsid w:val="68BBFED4"/>
    <w:rsid w:val="68FCE5A8"/>
    <w:rsid w:val="69D7BCA2"/>
    <w:rsid w:val="6BBAB9FB"/>
    <w:rsid w:val="6C0AA804"/>
    <w:rsid w:val="6C341A65"/>
    <w:rsid w:val="6C6F2CBA"/>
    <w:rsid w:val="6CCFE7A2"/>
    <w:rsid w:val="6D5F3249"/>
    <w:rsid w:val="6D9B8026"/>
    <w:rsid w:val="6E15185E"/>
    <w:rsid w:val="6E17AA5A"/>
    <w:rsid w:val="6E3A6D81"/>
    <w:rsid w:val="6E82E6AE"/>
    <w:rsid w:val="6F73B959"/>
    <w:rsid w:val="6F88724F"/>
    <w:rsid w:val="6FB1D0E9"/>
    <w:rsid w:val="6FEF1E9E"/>
    <w:rsid w:val="70B7C5B1"/>
    <w:rsid w:val="722B1B34"/>
    <w:rsid w:val="726D8E5E"/>
    <w:rsid w:val="7475F91E"/>
    <w:rsid w:val="74FEEB2A"/>
    <w:rsid w:val="7506A7C0"/>
    <w:rsid w:val="75607BD3"/>
    <w:rsid w:val="762061E0"/>
    <w:rsid w:val="76ACEFA6"/>
    <w:rsid w:val="776C6AA1"/>
    <w:rsid w:val="78C231B7"/>
    <w:rsid w:val="7A439457"/>
    <w:rsid w:val="7A66BF67"/>
    <w:rsid w:val="7A67B06D"/>
    <w:rsid w:val="7A84F3B0"/>
    <w:rsid w:val="7A87B931"/>
    <w:rsid w:val="7AD85158"/>
    <w:rsid w:val="7B14C172"/>
    <w:rsid w:val="7B69FBF2"/>
    <w:rsid w:val="7B799F17"/>
    <w:rsid w:val="7B9333CE"/>
    <w:rsid w:val="7D45F0E0"/>
    <w:rsid w:val="7D887A59"/>
    <w:rsid w:val="7E8BDADE"/>
    <w:rsid w:val="7E99502B"/>
    <w:rsid w:val="7F40DB23"/>
    <w:rsid w:val="7F8974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79A73"/>
  <w15:chartTrackingRefBased/>
  <w15:docId w15:val="{170E8727-17B0-4532-B88D-065118C6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MLFSection">
    <w:name w:val="MLF Section"/>
    <w:rsid w:val="00650113"/>
    <w:pPr>
      <w:spacing w:before="160" w:after="100" w:line="276" w:lineRule="auto"/>
      <w:jc w:val="left"/>
    </w:pPr>
    <w:rPr>
      <w:rFonts w:eastAsia="Times New Roman" w:cstheme="minorBidi"/>
      <w:b/>
      <w:szCs w:val="22"/>
      <w:lang w:eastAsia="en-US"/>
    </w:rPr>
  </w:style>
  <w:style w:type="paragraph" w:styleId="EndnoteText">
    <w:name w:val="endnote text"/>
    <w:basedOn w:val="Normal"/>
    <w:link w:val="EndnoteTextChar"/>
    <w:uiPriority w:val="99"/>
    <w:semiHidden/>
    <w:unhideWhenUsed/>
    <w:rsid w:val="00C91ECD"/>
    <w:rPr>
      <w:sz w:val="20"/>
      <w:szCs w:val="20"/>
    </w:rPr>
  </w:style>
  <w:style w:type="character" w:customStyle="1" w:styleId="EndnoteTextChar">
    <w:name w:val="Endnote Text Char"/>
    <w:basedOn w:val="DefaultParagraphFont"/>
    <w:link w:val="EndnoteText"/>
    <w:uiPriority w:val="99"/>
    <w:semiHidden/>
    <w:rsid w:val="00C91ECD"/>
    <w:rPr>
      <w:lang w:val="en-CA"/>
    </w:rPr>
  </w:style>
  <w:style w:type="character" w:styleId="EndnoteReference">
    <w:name w:val="endnote reference"/>
    <w:basedOn w:val="DefaultParagraphFont"/>
    <w:uiPriority w:val="99"/>
    <w:semiHidden/>
    <w:unhideWhenUsed/>
    <w:rsid w:val="00C91ECD"/>
    <w:rPr>
      <w:vertAlign w:val="superscript"/>
    </w:rPr>
  </w:style>
  <w:style w:type="paragraph" w:styleId="Caption">
    <w:name w:val="caption"/>
    <w:basedOn w:val="Normal"/>
    <w:next w:val="Normal"/>
    <w:qFormat/>
    <w:rsid w:val="00394925"/>
    <w:pPr>
      <w:bidi/>
      <w:ind w:left="180" w:hanging="180"/>
      <w:jc w:val="lowKashida"/>
    </w:pPr>
    <w:rPr>
      <w:rFonts w:eastAsia="Times New Roman"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9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00F7D555-898E-43DC-89E2-C81483555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 (1)</Template>
  <TotalTime>18</TotalTime>
  <Pages>8</Pages>
  <Words>2858</Words>
  <Characters>16293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UPDATED TERMS OF REFERENCE FOR AN IN-DEPTH COMPREHENSIVE EVALUATION OF THE COMPLIANCE ASSISTANCE PROGRAMME</vt:lpstr>
    </vt:vector>
  </TitlesOfParts>
  <Company>UNMFS</Company>
  <LinksUpToDate>false</LinksUpToDate>
  <CharactersWithSpaces>19113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TERMS OF REFERENCE FOR AN IN-DEPTH COMPREHENSIVE EVALUATION OF THE COMPLIANCE ASSISTANCE PROGRAMME</dc:title>
  <dc:subject/>
  <dc:creator>Pamela El Kortbawi</dc:creator>
  <cp:keywords/>
  <cp:lastModifiedBy>Angela Xue He Yan</cp:lastModifiedBy>
  <cp:revision>6</cp:revision>
  <cp:lastPrinted>2026-10-30T16:34:00Z</cp:lastPrinted>
  <dcterms:created xsi:type="dcterms:W3CDTF">2026-10-30T18:36:00Z</dcterms:created>
  <dcterms:modified xsi:type="dcterms:W3CDTF">2026-10-31T18:34:00Z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UNEP/OzL.Pro/ExCom/99/10</vt:lpwstr>
  </property>
  <property fmtid="{D5CDD505-2E9C-101B-9397-08002B2CF9AE}" pid="3" name="Revision date">
    <vt:lpwstr>29/10/2026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