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2F9DD62E" w14:textId="77777777" w:rsidTr="00C503FA">
        <w:trPr>
          <w:trHeight w:val="720"/>
        </w:trPr>
        <w:tc>
          <w:tcPr>
            <w:tcW w:w="6494" w:type="dxa"/>
            <w:gridSpan w:val="2"/>
            <w:tcBorders>
              <w:bottom w:val="single" w:sz="18" w:space="0" w:color="auto"/>
            </w:tcBorders>
          </w:tcPr>
          <w:p w14:paraId="3066615C"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62B1D83E"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5BC1A9D9"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EF00C7" w14:paraId="410D6F19"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52E6F36"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2E20A589" wp14:editId="357B518F">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6F4BE27" wp14:editId="062FCAE5">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DFD95C9" w14:textId="77777777" w:rsidR="00EF00C7" w:rsidRDefault="00EF00C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A85D00C" w14:textId="42BB1411"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A8B0E56"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3B1D900"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68DEB415"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473C4F89" w14:textId="77777777" w:rsidR="00EF00C7" w:rsidRDefault="00EF00C7" w:rsidP="00C503FA">
            <w:pPr>
              <w:rPr>
                <w:lang w:val="es-ES"/>
              </w:rPr>
            </w:pPr>
          </w:p>
          <w:p w14:paraId="606A8307" w14:textId="2468100C" w:rsidR="006A24A7" w:rsidRDefault="006A24A7" w:rsidP="00C503FA">
            <w:pPr>
              <w:rPr>
                <w:lang w:val="es-ES"/>
              </w:rPr>
            </w:pPr>
            <w:proofErr w:type="spellStart"/>
            <w:r>
              <w:rPr>
                <w:lang w:val="es-ES"/>
              </w:rPr>
              <w:t>Distr</w:t>
            </w:r>
            <w:proofErr w:type="spellEnd"/>
            <w:r>
              <w:rPr>
                <w:lang w:val="es-ES"/>
              </w:rPr>
              <w:t>.</w:t>
            </w:r>
          </w:p>
          <w:p w14:paraId="71318BFE" w14:textId="77777777" w:rsidR="006A24A7" w:rsidRDefault="006A24A7" w:rsidP="00C503FA">
            <w:pPr>
              <w:rPr>
                <w:lang w:val="es-ES"/>
              </w:rPr>
            </w:pPr>
            <w:r>
              <w:rPr>
                <w:lang w:val="es-ES"/>
              </w:rPr>
              <w:t>GENERAL</w:t>
            </w:r>
          </w:p>
          <w:p w14:paraId="14D4710F" w14:textId="77777777" w:rsidR="006A24A7" w:rsidRDefault="006A24A7" w:rsidP="00C503FA">
            <w:pPr>
              <w:rPr>
                <w:lang w:val="es-ES"/>
              </w:rPr>
            </w:pPr>
          </w:p>
          <w:p w14:paraId="35020193" w14:textId="241BD750"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6A3FE0">
              <w:rPr>
                <w:lang w:val="es-AR"/>
              </w:rPr>
              <w:t>UNEP/</w:t>
            </w:r>
            <w:proofErr w:type="spellStart"/>
            <w:r w:rsidR="006A3FE0">
              <w:rPr>
                <w:lang w:val="es-AR"/>
              </w:rPr>
              <w:t>OzL.Pro</w:t>
            </w:r>
            <w:proofErr w:type="spellEnd"/>
            <w:r w:rsidR="006A3FE0">
              <w:rPr>
                <w:lang w:val="es-AR"/>
              </w:rPr>
              <w:t>/</w:t>
            </w:r>
            <w:proofErr w:type="spellStart"/>
            <w:r w:rsidR="006A3FE0">
              <w:rPr>
                <w:lang w:val="es-AR"/>
              </w:rPr>
              <w:t>ExCom</w:t>
            </w:r>
            <w:proofErr w:type="spellEnd"/>
            <w:r w:rsidR="006A3FE0">
              <w:rPr>
                <w:lang w:val="es-AR"/>
              </w:rPr>
              <w:t>/95/3</w:t>
            </w:r>
            <w:r>
              <w:fldChar w:fldCharType="end"/>
            </w:r>
          </w:p>
          <w:p w14:paraId="290335ED" w14:textId="1415E192" w:rsidR="006A24A7" w:rsidRPr="006A3FE0" w:rsidRDefault="006A3FE0" w:rsidP="00C503FA">
            <w:pPr>
              <w:rPr>
                <w:lang w:val="es-ES"/>
              </w:rPr>
            </w:pPr>
            <w:r>
              <w:rPr>
                <w:lang w:val="es-ES"/>
              </w:rPr>
              <w:t>24</w:t>
            </w:r>
            <w:r w:rsidR="006A24A7" w:rsidRPr="006A3FE0">
              <w:rPr>
                <w:lang w:val="es-ES"/>
              </w:rPr>
              <w:t xml:space="preserve"> de octubre de 2024</w:t>
            </w:r>
          </w:p>
          <w:p w14:paraId="7B38908C" w14:textId="77777777" w:rsidR="006A24A7" w:rsidRPr="006A3FE0" w:rsidRDefault="006A24A7" w:rsidP="00C503FA">
            <w:pPr>
              <w:rPr>
                <w:caps/>
                <w:lang w:val="es-ES"/>
              </w:rPr>
            </w:pPr>
          </w:p>
          <w:p w14:paraId="440E47B1" w14:textId="77777777" w:rsidR="006A24A7" w:rsidRDefault="006A24A7" w:rsidP="00C503FA">
            <w:pPr>
              <w:rPr>
                <w:lang w:val="es-MX"/>
              </w:rPr>
            </w:pPr>
            <w:r>
              <w:rPr>
                <w:lang w:val="es-MX"/>
              </w:rPr>
              <w:t xml:space="preserve">ESPAÑOL </w:t>
            </w:r>
          </w:p>
          <w:p w14:paraId="72E11C73" w14:textId="77777777" w:rsidR="006A24A7" w:rsidRDefault="006A24A7" w:rsidP="00C503FA">
            <w:pPr>
              <w:rPr>
                <w:lang w:val="es-ES"/>
              </w:rPr>
            </w:pPr>
            <w:r>
              <w:rPr>
                <w:lang w:val="es-ES"/>
              </w:rPr>
              <w:t xml:space="preserve">ORIGINAL: </w:t>
            </w:r>
            <w:r>
              <w:rPr>
                <w:lang w:val="es-MX"/>
              </w:rPr>
              <w:t>INGLÉS</w:t>
            </w:r>
          </w:p>
        </w:tc>
      </w:tr>
    </w:tbl>
    <w:p w14:paraId="3B6BEDB8"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368B8B4E"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226BF28C" w14:textId="639FA8A9" w:rsidR="006A24A7" w:rsidRPr="006A3FE0" w:rsidRDefault="006A24A7" w:rsidP="006A24A7">
      <w:pPr>
        <w:jc w:val="left"/>
        <w:rPr>
          <w:lang w:val="es-ES"/>
        </w:rPr>
      </w:pPr>
      <w:r w:rsidRPr="006A3FE0">
        <w:rPr>
          <w:lang w:val="es-ES"/>
        </w:rPr>
        <w:t>Cuestión</w:t>
      </w:r>
      <w:r w:rsidR="006A3FE0">
        <w:rPr>
          <w:lang w:val="es-ES"/>
        </w:rPr>
        <w:t xml:space="preserve"> 4 a)</w:t>
      </w:r>
      <w:r w:rsidRPr="006A3FE0">
        <w:rPr>
          <w:lang w:val="es-ES"/>
        </w:rPr>
        <w:t xml:space="preserve"> del orden del día provisional</w:t>
      </w:r>
      <w:r w:rsidRPr="00512BEF">
        <w:rPr>
          <w:rStyle w:val="FootnoteReference"/>
        </w:rPr>
        <w:footnoteReference w:id="1"/>
      </w:r>
    </w:p>
    <w:p w14:paraId="2244BC14" w14:textId="77777777" w:rsidR="00C15867" w:rsidRPr="006A3FE0" w:rsidRDefault="00C15867" w:rsidP="00CA59FB">
      <w:pPr>
        <w:jc w:val="left"/>
        <w:rPr>
          <w:lang w:val="es-ES"/>
        </w:rPr>
      </w:pPr>
    </w:p>
    <w:p w14:paraId="41F00F3A" w14:textId="77777777" w:rsidR="00BF0D67" w:rsidRDefault="00BF0D67" w:rsidP="004A4734">
      <w:pPr>
        <w:pStyle w:val="Title1"/>
        <w:rPr>
          <w:lang w:val="es-ES"/>
        </w:rPr>
      </w:pPr>
    </w:p>
    <w:p w14:paraId="05D98F17" w14:textId="2F752E21" w:rsidR="006A3FE0" w:rsidRPr="001E151B" w:rsidRDefault="006A3FE0" w:rsidP="006A3FE0">
      <w:pPr>
        <w:pStyle w:val="0Heading0"/>
        <w:jc w:val="center"/>
        <w:rPr>
          <w:b/>
          <w:bCs/>
          <w:sz w:val="24"/>
          <w:szCs w:val="24"/>
          <w:lang w:val="es-ES"/>
        </w:rPr>
      </w:pPr>
      <w:r w:rsidRPr="001E151B">
        <w:rPr>
          <w:b/>
          <w:sz w:val="24"/>
          <w:lang w:val="es-ES"/>
        </w:rPr>
        <w:t>SITUACIÓN DE LAS CONTRIBUCIONES Y LOS DESEMBOLSOS</w:t>
      </w:r>
    </w:p>
    <w:p w14:paraId="06530DF8" w14:textId="77777777" w:rsidR="006A3FE0" w:rsidRPr="001E151B" w:rsidRDefault="006A3FE0" w:rsidP="006A3FE0">
      <w:pPr>
        <w:pStyle w:val="0Heading0"/>
        <w:jc w:val="center"/>
        <w:rPr>
          <w:b/>
          <w:bCs/>
          <w:lang w:val="es-ES"/>
        </w:rPr>
      </w:pPr>
      <w:r>
        <w:rPr>
          <w:b/>
          <w:sz w:val="24"/>
          <w:lang w:val="es-ES"/>
        </w:rPr>
        <w:t>I</w:t>
      </w:r>
      <w:r w:rsidRPr="001E151B">
        <w:rPr>
          <w:b/>
          <w:sz w:val="24"/>
          <w:lang w:val="es-ES"/>
        </w:rPr>
        <w:t xml:space="preserve">nforme del </w:t>
      </w:r>
      <w:r>
        <w:rPr>
          <w:b/>
          <w:sz w:val="24"/>
          <w:lang w:val="es-ES"/>
        </w:rPr>
        <w:t>T</w:t>
      </w:r>
      <w:r w:rsidRPr="001E151B">
        <w:rPr>
          <w:b/>
          <w:sz w:val="24"/>
          <w:lang w:val="es-ES"/>
        </w:rPr>
        <w:t>esorero</w:t>
      </w:r>
    </w:p>
    <w:p w14:paraId="3B4BA7CE" w14:textId="77777777" w:rsidR="006A3FE0" w:rsidRPr="001E151B" w:rsidRDefault="006A3FE0" w:rsidP="006A3FE0">
      <w:pPr>
        <w:pStyle w:val="0Heading0"/>
        <w:jc w:val="center"/>
        <w:rPr>
          <w:b/>
          <w:bCs/>
          <w:lang w:val="es-ES"/>
        </w:rPr>
      </w:pPr>
    </w:p>
    <w:p w14:paraId="607152F7" w14:textId="77777777" w:rsidR="006A3FE0" w:rsidRPr="001E151B" w:rsidRDefault="006A3FE0" w:rsidP="006A3FE0">
      <w:pPr>
        <w:pStyle w:val="0Heading0"/>
        <w:jc w:val="center"/>
        <w:rPr>
          <w:b/>
          <w:bCs/>
          <w:lang w:val="es-ES"/>
        </w:rPr>
      </w:pPr>
    </w:p>
    <w:p w14:paraId="7688B25B" w14:textId="77777777" w:rsidR="006A3FE0" w:rsidRPr="001E151B" w:rsidRDefault="006A3FE0" w:rsidP="006A3FE0">
      <w:pPr>
        <w:pStyle w:val="0Heading0"/>
        <w:rPr>
          <w:b/>
          <w:bCs/>
          <w:sz w:val="24"/>
          <w:szCs w:val="24"/>
          <w:lang w:val="es-ES"/>
        </w:rPr>
      </w:pPr>
      <w:r w:rsidRPr="001E151B">
        <w:rPr>
          <w:b/>
          <w:sz w:val="24"/>
          <w:lang w:val="es-ES"/>
        </w:rPr>
        <w:t xml:space="preserve">Introducción </w:t>
      </w:r>
    </w:p>
    <w:p w14:paraId="752F4B16" w14:textId="77777777" w:rsidR="006A3FE0" w:rsidRPr="001E151B" w:rsidRDefault="006A3FE0" w:rsidP="006A3FE0">
      <w:pPr>
        <w:pStyle w:val="0Heading0"/>
        <w:jc w:val="center"/>
        <w:rPr>
          <w:b/>
          <w:bCs/>
          <w:lang w:val="es-ES"/>
        </w:rPr>
      </w:pPr>
    </w:p>
    <w:p w14:paraId="326078EA" w14:textId="30BB0C87" w:rsidR="006A3FE0" w:rsidRPr="001E151B" w:rsidRDefault="006A3FE0" w:rsidP="006A3FE0">
      <w:pPr>
        <w:pStyle w:val="Heading1"/>
        <w:rPr>
          <w:lang w:val="es-ES"/>
        </w:rPr>
      </w:pPr>
      <w:r w:rsidRPr="001E151B">
        <w:rPr>
          <w:lang w:val="es-ES"/>
        </w:rPr>
        <w:t>El presente documento contiene información sobre la situación del Fondo Multilateral</w:t>
      </w:r>
      <w:r w:rsidRPr="001E151B">
        <w:rPr>
          <w:rStyle w:val="FootnoteReference"/>
          <w:lang w:val="es-ES"/>
        </w:rPr>
        <w:footnoteReference w:id="2"/>
      </w:r>
      <w:r w:rsidRPr="001E151B">
        <w:rPr>
          <w:lang w:val="es-ES"/>
        </w:rPr>
        <w:t xml:space="preserve"> registrada en el PNUMA al 2</w:t>
      </w:r>
      <w:r>
        <w:rPr>
          <w:lang w:val="es-ES"/>
        </w:rPr>
        <w:t>3</w:t>
      </w:r>
      <w:r w:rsidRPr="001E151B">
        <w:rPr>
          <w:lang w:val="es-ES"/>
        </w:rPr>
        <w:t xml:space="preserve"> de </w:t>
      </w:r>
      <w:r>
        <w:rPr>
          <w:lang w:val="es-ES"/>
        </w:rPr>
        <w:t>octubre</w:t>
      </w:r>
      <w:r w:rsidRPr="001E151B">
        <w:rPr>
          <w:lang w:val="es-ES"/>
        </w:rPr>
        <w:t xml:space="preserve"> de 2024.</w:t>
      </w:r>
    </w:p>
    <w:p w14:paraId="3A0B6E78" w14:textId="77777777" w:rsidR="006A3FE0" w:rsidRPr="001E151B" w:rsidRDefault="006A3FE0" w:rsidP="006A3FE0">
      <w:pPr>
        <w:pStyle w:val="Heading1"/>
        <w:rPr>
          <w:lang w:val="es-ES"/>
        </w:rPr>
      </w:pPr>
      <w:r w:rsidRPr="001E151B">
        <w:rPr>
          <w:lang w:val="es-ES"/>
        </w:rPr>
        <w:t>El Anexo I de este documento contiene los cuadros siguientes:</w:t>
      </w:r>
    </w:p>
    <w:p w14:paraId="6399B3AE" w14:textId="77777777" w:rsidR="006A3FE0" w:rsidRPr="001E151B" w:rsidRDefault="006A3FE0" w:rsidP="006A3FE0">
      <w:pPr>
        <w:pStyle w:val="0Heading0"/>
        <w:numPr>
          <w:ilvl w:val="0"/>
          <w:numId w:val="21"/>
        </w:numPr>
        <w:tabs>
          <w:tab w:val="clear" w:pos="2500"/>
        </w:tabs>
        <w:ind w:left="1440" w:hanging="720"/>
        <w:rPr>
          <w:lang w:val="es-ES"/>
        </w:rPr>
      </w:pPr>
      <w:r w:rsidRPr="001E151B">
        <w:rPr>
          <w:lang w:val="es-ES"/>
        </w:rPr>
        <w:t>Cuadro 1: Situación del Fondo entre 1991 y 2024</w:t>
      </w:r>
    </w:p>
    <w:p w14:paraId="1A8EFBFF"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2: Resumen de la situación de las contribuciones y otros ingresos, 1991 – 2024</w:t>
      </w:r>
    </w:p>
    <w:p w14:paraId="7A661AAF" w14:textId="77777777" w:rsidR="006A3FE0" w:rsidRPr="001E151B" w:rsidRDefault="006A3FE0" w:rsidP="006A3FE0">
      <w:pPr>
        <w:pStyle w:val="0Heading0"/>
        <w:numPr>
          <w:ilvl w:val="0"/>
          <w:numId w:val="21"/>
        </w:numPr>
        <w:tabs>
          <w:tab w:val="clear" w:pos="2500"/>
        </w:tabs>
        <w:ind w:left="1440" w:hanging="720"/>
        <w:rPr>
          <w:lang w:val="es-ES"/>
        </w:rPr>
      </w:pPr>
      <w:r w:rsidRPr="001E151B">
        <w:rPr>
          <w:lang w:val="es-ES"/>
        </w:rPr>
        <w:t>Cuadro 3: Resumen de la situación de las contribuciones, 1991 – 2024</w:t>
      </w:r>
    </w:p>
    <w:p w14:paraId="3A1A9C7E"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4: Situación de las contribuciones, 2024 – 2026</w:t>
      </w:r>
    </w:p>
    <w:p w14:paraId="29F25D6D"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5: Situación de las contribuciones para 2024</w:t>
      </w:r>
    </w:p>
    <w:p w14:paraId="51F6D54B"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6: Situación de las contribuciones, 2021 – 2023</w:t>
      </w:r>
    </w:p>
    <w:p w14:paraId="05618F04"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7: Situación de las contribuciones para 2023</w:t>
      </w:r>
    </w:p>
    <w:p w14:paraId="0AB84E18"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8: Situación de las contribuciones para 2022</w:t>
      </w:r>
    </w:p>
    <w:p w14:paraId="5B98A6B0"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9: Situación de las contribuciones para 2021</w:t>
      </w:r>
    </w:p>
    <w:p w14:paraId="0A3FA214"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10: Situación de las contribuciones, 2018 – 2020</w:t>
      </w:r>
    </w:p>
    <w:p w14:paraId="4639A192"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11: Situación de las contribuciones para 2020</w:t>
      </w:r>
    </w:p>
    <w:p w14:paraId="2BF842BF"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12: Situación de las contribuciones para 2019</w:t>
      </w:r>
    </w:p>
    <w:p w14:paraId="6E2551A8" w14:textId="77777777" w:rsidR="006A3FE0" w:rsidRPr="001E151B" w:rsidRDefault="006A3FE0" w:rsidP="006A3FE0">
      <w:pPr>
        <w:pStyle w:val="0Heading0"/>
        <w:numPr>
          <w:ilvl w:val="0"/>
          <w:numId w:val="21"/>
        </w:numPr>
        <w:tabs>
          <w:tab w:val="clear" w:pos="2500"/>
        </w:tabs>
        <w:ind w:left="1440" w:hanging="720"/>
        <w:jc w:val="both"/>
        <w:rPr>
          <w:lang w:val="es-ES"/>
        </w:rPr>
      </w:pPr>
      <w:r w:rsidRPr="001E151B">
        <w:rPr>
          <w:lang w:val="es-ES"/>
        </w:rPr>
        <w:t>Cuadro 13: Situación de las contribuciones para 2018</w:t>
      </w:r>
    </w:p>
    <w:p w14:paraId="28BA83AF" w14:textId="77777777" w:rsidR="006A3FE0" w:rsidRPr="001E151B" w:rsidRDefault="006A3FE0" w:rsidP="006A3FE0">
      <w:pPr>
        <w:pStyle w:val="0Heading0"/>
        <w:ind w:left="1440"/>
        <w:jc w:val="both"/>
        <w:rPr>
          <w:lang w:val="es-ES"/>
        </w:rPr>
      </w:pPr>
    </w:p>
    <w:p w14:paraId="165A888C" w14:textId="658D5849" w:rsidR="006A3FE0" w:rsidRPr="001E151B" w:rsidRDefault="006A3FE0" w:rsidP="006A3FE0">
      <w:pPr>
        <w:pStyle w:val="Heading1"/>
        <w:spacing w:after="0"/>
        <w:rPr>
          <w:lang w:val="es-ES"/>
        </w:rPr>
      </w:pPr>
      <w:r w:rsidRPr="001E151B">
        <w:rPr>
          <w:lang w:val="es-ES"/>
        </w:rPr>
        <w:lastRenderedPageBreak/>
        <w:t xml:space="preserve">El documento también contiene el anexo II, en el que se enumeran los </w:t>
      </w:r>
      <w:r>
        <w:rPr>
          <w:lang w:val="es-ES"/>
        </w:rPr>
        <w:t>20</w:t>
      </w:r>
      <w:r w:rsidRPr="001E151B">
        <w:rPr>
          <w:lang w:val="es-ES"/>
        </w:rPr>
        <w:t xml:space="preserve"> países que no están al amparo del Artículo 5 y que utilizan el mecanismo de tipo de cambio fijo (FERM, por sus siglas en inglés)</w:t>
      </w:r>
      <w:r w:rsidRPr="001E151B">
        <w:rPr>
          <w:rStyle w:val="FootnoteReference"/>
          <w:lang w:val="es-ES"/>
        </w:rPr>
        <w:footnoteReference w:id="3"/>
      </w:r>
      <w:r w:rsidRPr="001E151B">
        <w:rPr>
          <w:lang w:val="es-ES"/>
        </w:rPr>
        <w:t xml:space="preserve"> durante el trienio 2024–2026.</w:t>
      </w:r>
    </w:p>
    <w:p w14:paraId="2A3530A3" w14:textId="77777777" w:rsidR="006A3FE0" w:rsidRPr="001E151B" w:rsidRDefault="006A3FE0" w:rsidP="006A3FE0">
      <w:pPr>
        <w:rPr>
          <w:sz w:val="20"/>
          <w:szCs w:val="20"/>
          <w:lang w:val="es-ES"/>
        </w:rPr>
      </w:pPr>
    </w:p>
    <w:p w14:paraId="5597A585" w14:textId="77777777" w:rsidR="006A3FE0" w:rsidRPr="001E151B" w:rsidRDefault="006A3FE0" w:rsidP="006A3FE0">
      <w:pPr>
        <w:pStyle w:val="0Heading0"/>
        <w:tabs>
          <w:tab w:val="left" w:pos="0"/>
        </w:tabs>
        <w:jc w:val="both"/>
        <w:rPr>
          <w:b/>
          <w:bCs/>
          <w:sz w:val="24"/>
          <w:szCs w:val="24"/>
          <w:lang w:val="es-ES"/>
        </w:rPr>
      </w:pPr>
      <w:r w:rsidRPr="001E151B">
        <w:rPr>
          <w:b/>
          <w:sz w:val="24"/>
          <w:lang w:val="es-ES"/>
        </w:rPr>
        <w:t>Situación del Fondo</w:t>
      </w:r>
    </w:p>
    <w:p w14:paraId="35B5C405" w14:textId="77777777" w:rsidR="006A3FE0" w:rsidRPr="001E151B" w:rsidRDefault="006A3FE0" w:rsidP="006A3FE0">
      <w:pPr>
        <w:pStyle w:val="0Heading0"/>
        <w:tabs>
          <w:tab w:val="left" w:pos="0"/>
        </w:tabs>
        <w:jc w:val="both"/>
        <w:rPr>
          <w:b/>
          <w:bCs/>
          <w:sz w:val="20"/>
          <w:szCs w:val="20"/>
          <w:lang w:val="es-ES"/>
        </w:rPr>
      </w:pPr>
    </w:p>
    <w:p w14:paraId="192DD274" w14:textId="0E3C3E2A" w:rsidR="006A3FE0" w:rsidRPr="001E151B" w:rsidRDefault="006A3FE0" w:rsidP="006A3FE0">
      <w:pPr>
        <w:pStyle w:val="Heading1"/>
        <w:rPr>
          <w:lang w:val="es-ES"/>
        </w:rPr>
      </w:pPr>
      <w:r w:rsidRPr="001E151B">
        <w:rPr>
          <w:lang w:val="es-ES"/>
        </w:rPr>
        <w:t>A día de 2</w:t>
      </w:r>
      <w:r>
        <w:rPr>
          <w:lang w:val="es-ES"/>
        </w:rPr>
        <w:t>3</w:t>
      </w:r>
      <w:r w:rsidRPr="001E151B">
        <w:rPr>
          <w:lang w:val="es-ES"/>
        </w:rPr>
        <w:t xml:space="preserve"> de </w:t>
      </w:r>
      <w:r>
        <w:rPr>
          <w:lang w:val="es-ES"/>
        </w:rPr>
        <w:t>octubre</w:t>
      </w:r>
      <w:r w:rsidRPr="001E151B">
        <w:rPr>
          <w:lang w:val="es-ES"/>
        </w:rPr>
        <w:t xml:space="preserve"> de 2024, el saldo de fondos ascendía a </w:t>
      </w:r>
      <w:r w:rsidR="00820BE3">
        <w:rPr>
          <w:lang w:val="es-ES"/>
        </w:rPr>
        <w:t>USD</w:t>
      </w:r>
      <w:r w:rsidR="00820BE3" w:rsidRPr="001E151B">
        <w:rPr>
          <w:lang w:val="es-ES"/>
        </w:rPr>
        <w:t xml:space="preserve"> </w:t>
      </w:r>
      <w:r w:rsidRPr="001E151B">
        <w:rPr>
          <w:lang w:val="es-ES"/>
        </w:rPr>
        <w:t>5</w:t>
      </w:r>
      <w:r>
        <w:rPr>
          <w:lang w:val="es-ES"/>
        </w:rPr>
        <w:t>77</w:t>
      </w:r>
      <w:r w:rsidRPr="001E151B">
        <w:rPr>
          <w:lang w:val="es-ES"/>
        </w:rPr>
        <w:t>.3</w:t>
      </w:r>
      <w:r>
        <w:rPr>
          <w:lang w:val="es-ES"/>
        </w:rPr>
        <w:t>36</w:t>
      </w:r>
      <w:r w:rsidRPr="001E151B">
        <w:rPr>
          <w:lang w:val="es-ES"/>
        </w:rPr>
        <w:t>.</w:t>
      </w:r>
      <w:r>
        <w:rPr>
          <w:lang w:val="es-ES"/>
        </w:rPr>
        <w:t>286</w:t>
      </w:r>
      <w:r w:rsidRPr="001E151B">
        <w:rPr>
          <w:lang w:val="es-ES"/>
        </w:rPr>
        <w:t> en efectivo, una vez considerados todos los fondos aprobados por el Comité Ejecutivo hasta la 9</w:t>
      </w:r>
      <w:r>
        <w:rPr>
          <w:lang w:val="es-ES"/>
        </w:rPr>
        <w:t>4</w:t>
      </w:r>
      <w:r w:rsidRPr="001E151B">
        <w:rPr>
          <w:lang w:val="es-ES"/>
        </w:rPr>
        <w:t>ª reunión (inclusive) del Comité Ejecutivo.</w:t>
      </w:r>
    </w:p>
    <w:p w14:paraId="0DEF6F6E" w14:textId="4B879888" w:rsidR="006A3FE0" w:rsidRPr="001E151B" w:rsidRDefault="006A3FE0" w:rsidP="006A3FE0">
      <w:pPr>
        <w:pStyle w:val="Heading1"/>
        <w:rPr>
          <w:lang w:val="es-ES"/>
        </w:rPr>
      </w:pPr>
      <w:r w:rsidRPr="001E151B">
        <w:rPr>
          <w:lang w:val="es-ES"/>
        </w:rPr>
        <w:t xml:space="preserve">Tras la decisión XXXV/1 de las Partes, y su anexo sobre la escala de contribuciones, </w:t>
      </w:r>
      <w:r>
        <w:rPr>
          <w:lang w:val="es-ES"/>
        </w:rPr>
        <w:t>34</w:t>
      </w:r>
      <w:r w:rsidRPr="001E151B">
        <w:rPr>
          <w:lang w:val="es-ES"/>
        </w:rPr>
        <w:t xml:space="preserve"> Partes han realizado sus contribuciones para 2024. La contribución total recibida es el </w:t>
      </w:r>
      <w:r>
        <w:rPr>
          <w:lang w:val="es-ES"/>
        </w:rPr>
        <w:t>79</w:t>
      </w:r>
      <w:r w:rsidRPr="001E151B">
        <w:rPr>
          <w:lang w:val="es-ES"/>
        </w:rPr>
        <w:t xml:space="preserve"> por ciento del total comprometido para el año 2024.</w:t>
      </w:r>
      <w:r w:rsidRPr="001E151B">
        <w:rPr>
          <w:rStyle w:val="FootnoteReference"/>
          <w:lang w:val="es-ES"/>
        </w:rPr>
        <w:footnoteReference w:id="4"/>
      </w:r>
      <w:r w:rsidRPr="001E151B">
        <w:rPr>
          <w:lang w:val="es-ES"/>
        </w:rPr>
        <w:t xml:space="preserve"> </w:t>
      </w:r>
    </w:p>
    <w:p w14:paraId="359286C9" w14:textId="506A29F3" w:rsidR="006A3FE0" w:rsidRPr="001E151B" w:rsidRDefault="006A3FE0" w:rsidP="006A3FE0">
      <w:pPr>
        <w:pStyle w:val="Heading1"/>
        <w:rPr>
          <w:lang w:val="es-ES"/>
        </w:rPr>
      </w:pPr>
      <w:r w:rsidRPr="001E151B">
        <w:rPr>
          <w:lang w:val="es-ES"/>
        </w:rPr>
        <w:t xml:space="preserve">Tras la decisión XXXV/2 de las Partes, se aprobó la prórroga del FERM hasta la reposición de </w:t>
      </w:r>
      <w:r w:rsidRPr="006A3FE0">
        <w:rPr>
          <w:lang w:val="es-ES"/>
        </w:rPr>
        <w:t>2024</w:t>
      </w:r>
      <w:r w:rsidRPr="006A3FE0">
        <w:rPr>
          <w:lang w:val="es-ES"/>
        </w:rPr>
        <w:softHyphen/>
        <w:t>2026</w:t>
      </w:r>
      <w:r w:rsidRPr="001E151B">
        <w:rPr>
          <w:lang w:val="es-ES"/>
        </w:rPr>
        <w:t xml:space="preserve">. Hasta el momento, </w:t>
      </w:r>
      <w:r>
        <w:rPr>
          <w:lang w:val="es-ES"/>
        </w:rPr>
        <w:t>20</w:t>
      </w:r>
      <w:r w:rsidRPr="001E151B">
        <w:rPr>
          <w:lang w:val="es-ES"/>
        </w:rPr>
        <w:t xml:space="preserve"> Partes han notificado al Tesorero que optarían por el FERM para el trienio en curso. </w:t>
      </w:r>
      <w:r w:rsidRPr="006A3FE0">
        <w:rPr>
          <w:lang w:val="es-ES"/>
        </w:rPr>
        <w:t>La pérdida acumulada de FERM al 23 de octubre de 2024 es de</w:t>
      </w:r>
      <w:r>
        <w:rPr>
          <w:lang w:val="es-ES"/>
        </w:rPr>
        <w:t xml:space="preserve"> </w:t>
      </w:r>
      <w:r w:rsidR="00820BE3">
        <w:rPr>
          <w:lang w:val="es-ES"/>
        </w:rPr>
        <w:t>USD</w:t>
      </w:r>
      <w:r w:rsidR="00820BE3" w:rsidRPr="006A3FE0">
        <w:rPr>
          <w:lang w:val="es-ES"/>
        </w:rPr>
        <w:t xml:space="preserve"> </w:t>
      </w:r>
      <w:r w:rsidRPr="006A3FE0">
        <w:rPr>
          <w:lang w:val="es-ES"/>
        </w:rPr>
        <w:t>30.322.954</w:t>
      </w:r>
      <w:r w:rsidRPr="001E151B">
        <w:rPr>
          <w:lang w:val="es-ES"/>
        </w:rPr>
        <w:t>.</w:t>
      </w:r>
    </w:p>
    <w:p w14:paraId="51498CDC" w14:textId="77777777" w:rsidR="006A3FE0" w:rsidRPr="001E151B" w:rsidRDefault="006A3FE0" w:rsidP="006A3FE0">
      <w:pPr>
        <w:pStyle w:val="Heading1"/>
        <w:numPr>
          <w:ilvl w:val="0"/>
          <w:numId w:val="0"/>
        </w:numPr>
        <w:autoSpaceDE w:val="0"/>
        <w:autoSpaceDN w:val="0"/>
        <w:adjustRightInd w:val="0"/>
        <w:spacing w:after="0"/>
        <w:rPr>
          <w:b/>
          <w:bCs/>
          <w:sz w:val="24"/>
          <w:szCs w:val="24"/>
          <w:lang w:val="es-ES"/>
        </w:rPr>
      </w:pPr>
      <w:r w:rsidRPr="001E151B">
        <w:rPr>
          <w:b/>
          <w:sz w:val="24"/>
          <w:lang w:val="es-ES"/>
        </w:rPr>
        <w:t>Medidas relativas a las contribuciones</w:t>
      </w:r>
    </w:p>
    <w:p w14:paraId="0DADA479" w14:textId="77777777" w:rsidR="006A3FE0" w:rsidRPr="001E151B" w:rsidRDefault="006A3FE0" w:rsidP="006A3FE0">
      <w:pPr>
        <w:rPr>
          <w:sz w:val="20"/>
          <w:szCs w:val="20"/>
          <w:lang w:val="es-ES" w:bidi="hi-IN"/>
        </w:rPr>
      </w:pPr>
    </w:p>
    <w:p w14:paraId="598B738C" w14:textId="77777777" w:rsidR="006A3FE0" w:rsidRPr="001E151B" w:rsidRDefault="006A3FE0" w:rsidP="006A3FE0">
      <w:pPr>
        <w:pStyle w:val="Heading1"/>
        <w:spacing w:after="0"/>
        <w:rPr>
          <w:lang w:val="es-ES"/>
        </w:rPr>
      </w:pPr>
      <w:r w:rsidRPr="001E151B">
        <w:rPr>
          <w:lang w:val="es-ES"/>
        </w:rPr>
        <w:t>De conformidad con las decisiones de las Partes, el Tesorero envió facturas relacionadas con las contribuciones de 2024 al Fondo Multilateral, así como recordatorios sobre las contribuciones a las partes en mora. Proseguirán los esfuerzos de seguimiento con las Partes que tenían contribuciones pendientes para un trienio o más.</w:t>
      </w:r>
    </w:p>
    <w:p w14:paraId="55DCA789" w14:textId="77777777" w:rsidR="006A3FE0" w:rsidRPr="001E151B" w:rsidRDefault="006A3FE0" w:rsidP="006A3FE0">
      <w:pPr>
        <w:rPr>
          <w:lang w:val="es-ES" w:bidi="hi-IN"/>
        </w:rPr>
      </w:pPr>
    </w:p>
    <w:p w14:paraId="0D141F45" w14:textId="77777777" w:rsidR="006A3FE0" w:rsidRPr="001E151B" w:rsidRDefault="006A3FE0" w:rsidP="006A3FE0">
      <w:pPr>
        <w:pStyle w:val="0Heading0"/>
        <w:autoSpaceDE w:val="0"/>
        <w:autoSpaceDN w:val="0"/>
        <w:adjustRightInd w:val="0"/>
        <w:spacing w:after="240"/>
        <w:jc w:val="both"/>
        <w:rPr>
          <w:b/>
          <w:bCs/>
          <w:sz w:val="24"/>
          <w:szCs w:val="24"/>
          <w:lang w:val="es-ES"/>
        </w:rPr>
      </w:pPr>
      <w:r w:rsidRPr="001E151B">
        <w:rPr>
          <w:b/>
          <w:sz w:val="24"/>
          <w:lang w:val="es-ES"/>
        </w:rPr>
        <w:t>Recomendación</w:t>
      </w:r>
    </w:p>
    <w:p w14:paraId="58004E24" w14:textId="77777777" w:rsidR="006A3FE0" w:rsidRPr="001E151B" w:rsidRDefault="006A3FE0" w:rsidP="006A3FE0">
      <w:pPr>
        <w:pStyle w:val="Heading1"/>
        <w:rPr>
          <w:sz w:val="20"/>
          <w:szCs w:val="20"/>
          <w:lang w:val="es-ES"/>
        </w:rPr>
      </w:pPr>
      <w:r w:rsidRPr="001E151B">
        <w:rPr>
          <w:lang w:val="es-ES"/>
        </w:rPr>
        <w:t>El Comité Ejecutivo puede estimar oportuno:</w:t>
      </w:r>
    </w:p>
    <w:p w14:paraId="1EC29E23" w14:textId="77777777" w:rsidR="006A3FE0" w:rsidRPr="001E151B" w:rsidRDefault="006A3FE0" w:rsidP="006A3FE0">
      <w:pPr>
        <w:pStyle w:val="Heading2"/>
        <w:numPr>
          <w:ilvl w:val="1"/>
          <w:numId w:val="1"/>
        </w:numPr>
        <w:rPr>
          <w:lang w:val="es-ES"/>
        </w:rPr>
      </w:pPr>
      <w:r w:rsidRPr="001E151B">
        <w:rPr>
          <w:lang w:val="es-ES"/>
        </w:rPr>
        <w:t>Tomar nota del informe del Tesorero sobre la situación de las contribuciones y los desembolsos que figura en el anexo I del presente documento.</w:t>
      </w:r>
    </w:p>
    <w:p w14:paraId="2B395D23" w14:textId="58CFAA35" w:rsidR="006A3FE0" w:rsidRPr="001E151B" w:rsidRDefault="006A3FE0" w:rsidP="006A3FE0">
      <w:pPr>
        <w:pStyle w:val="Heading2"/>
        <w:numPr>
          <w:ilvl w:val="1"/>
          <w:numId w:val="1"/>
        </w:numPr>
        <w:rPr>
          <w:lang w:val="es-ES"/>
        </w:rPr>
      </w:pPr>
      <w:r w:rsidRPr="001E151B">
        <w:rPr>
          <w:lang w:val="es-ES"/>
        </w:rPr>
        <w:t>Pedir al Director y al Tesorero que sigan en contacto con las Partes que tenían contribuciones pendientes para un trienio o más, y que informen al respecto en la 9</w:t>
      </w:r>
      <w:r>
        <w:rPr>
          <w:lang w:val="es-ES"/>
        </w:rPr>
        <w:t>6</w:t>
      </w:r>
      <w:r w:rsidRPr="001E151B">
        <w:rPr>
          <w:vertAlign w:val="superscript"/>
          <w:lang w:val="es-ES"/>
        </w:rPr>
        <w:t>a</w:t>
      </w:r>
      <w:r w:rsidRPr="001E151B">
        <w:rPr>
          <w:lang w:val="es-ES"/>
        </w:rPr>
        <w:t> reunión.</w:t>
      </w:r>
    </w:p>
    <w:p w14:paraId="52B6D8F0" w14:textId="77777777" w:rsidR="006A3FE0" w:rsidRPr="001E151B" w:rsidRDefault="006A3FE0" w:rsidP="006A3FE0">
      <w:pPr>
        <w:pStyle w:val="Heading2"/>
        <w:numPr>
          <w:ilvl w:val="1"/>
          <w:numId w:val="1"/>
        </w:numPr>
        <w:rPr>
          <w:lang w:val="es-ES"/>
        </w:rPr>
      </w:pPr>
      <w:r w:rsidRPr="001E151B">
        <w:rPr>
          <w:lang w:val="es-ES"/>
        </w:rPr>
        <w:t>Instar a todas las Partes a pagar sus contribuciones al Fondo Multilateral íntegramente y lo antes posible.</w:t>
      </w:r>
    </w:p>
    <w:p w14:paraId="4BAD4521" w14:textId="77777777" w:rsidR="006A3FE0" w:rsidRPr="001E151B" w:rsidRDefault="006A3FE0" w:rsidP="006A3FE0">
      <w:pPr>
        <w:pStyle w:val="Heading3"/>
        <w:numPr>
          <w:ilvl w:val="0"/>
          <w:numId w:val="0"/>
        </w:numPr>
        <w:spacing w:after="0"/>
        <w:rPr>
          <w:b/>
          <w:bCs/>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820BE3" w14:paraId="7624DF9A" w14:textId="77777777" w:rsidTr="00FB077C">
        <w:tc>
          <w:tcPr>
            <w:tcW w:w="1915" w:type="dxa"/>
          </w:tcPr>
          <w:p w14:paraId="50711EFF" w14:textId="77777777" w:rsidR="00E85409" w:rsidRPr="006A3FE0" w:rsidRDefault="00E85409" w:rsidP="00FB077C">
            <w:pPr>
              <w:rPr>
                <w:lang w:val="es-ES"/>
              </w:rPr>
            </w:pPr>
          </w:p>
        </w:tc>
        <w:tc>
          <w:tcPr>
            <w:tcW w:w="1915" w:type="dxa"/>
          </w:tcPr>
          <w:p w14:paraId="1EBEFC06" w14:textId="77777777" w:rsidR="00E85409" w:rsidRPr="006A3FE0" w:rsidRDefault="00E85409" w:rsidP="00FB077C">
            <w:pPr>
              <w:rPr>
                <w:lang w:val="es-ES"/>
              </w:rPr>
            </w:pPr>
          </w:p>
        </w:tc>
        <w:tc>
          <w:tcPr>
            <w:tcW w:w="1915" w:type="dxa"/>
            <w:tcBorders>
              <w:bottom w:val="single" w:sz="4" w:space="0" w:color="auto"/>
            </w:tcBorders>
          </w:tcPr>
          <w:p w14:paraId="1FD72E6D" w14:textId="77777777" w:rsidR="00E85409" w:rsidRPr="006A3FE0" w:rsidRDefault="00E85409" w:rsidP="00FB077C">
            <w:pPr>
              <w:rPr>
                <w:lang w:val="es-ES"/>
              </w:rPr>
            </w:pPr>
          </w:p>
        </w:tc>
        <w:tc>
          <w:tcPr>
            <w:tcW w:w="1915" w:type="dxa"/>
          </w:tcPr>
          <w:p w14:paraId="1D1CC093" w14:textId="77777777" w:rsidR="00E85409" w:rsidRPr="006A3FE0" w:rsidRDefault="00E85409" w:rsidP="00FB077C">
            <w:pPr>
              <w:rPr>
                <w:lang w:val="es-ES"/>
              </w:rPr>
            </w:pPr>
          </w:p>
        </w:tc>
        <w:tc>
          <w:tcPr>
            <w:tcW w:w="1916" w:type="dxa"/>
          </w:tcPr>
          <w:p w14:paraId="73148AFC" w14:textId="77777777" w:rsidR="00E85409" w:rsidRPr="006A3FE0" w:rsidRDefault="00E85409" w:rsidP="00FB077C">
            <w:pPr>
              <w:rPr>
                <w:lang w:val="es-ES"/>
              </w:rPr>
            </w:pPr>
          </w:p>
        </w:tc>
      </w:tr>
    </w:tbl>
    <w:p w14:paraId="7FA31319" w14:textId="77777777" w:rsidR="00E85409" w:rsidRPr="006A3FE0" w:rsidRDefault="00E85409" w:rsidP="004E7F9C">
      <w:pPr>
        <w:rPr>
          <w:lang w:val="es-ES"/>
        </w:rPr>
      </w:pPr>
    </w:p>
    <w:sectPr w:rsidR="00E85409" w:rsidRPr="006A3FE0"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9C3616" w14:textId="77777777" w:rsidR="0041185B" w:rsidRDefault="0041185B" w:rsidP="004A504B">
      <w:r>
        <w:separator/>
      </w:r>
    </w:p>
  </w:endnote>
  <w:endnote w:type="continuationSeparator" w:id="0">
    <w:p w14:paraId="50DD9122" w14:textId="77777777" w:rsidR="0041185B" w:rsidRDefault="0041185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5A49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43847"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24BE5" w14:textId="77777777" w:rsidR="006A24A7" w:rsidRPr="006A3FE0"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6A3FE0">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0B655A6" w14:textId="77777777" w:rsidR="00D8111D" w:rsidRPr="006A3FE0"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2E00A9C2" w14:textId="77777777" w:rsidR="004E7F9C" w:rsidRPr="006A3FE0"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A31D78" w14:textId="77777777" w:rsidR="0041185B" w:rsidRDefault="0041185B" w:rsidP="004A504B">
      <w:r>
        <w:separator/>
      </w:r>
    </w:p>
  </w:footnote>
  <w:footnote w:type="continuationSeparator" w:id="0">
    <w:p w14:paraId="5C8FA65A" w14:textId="77777777" w:rsidR="0041185B" w:rsidRDefault="0041185B" w:rsidP="004A504B">
      <w:r>
        <w:continuationSeparator/>
      </w:r>
    </w:p>
  </w:footnote>
  <w:footnote w:id="1">
    <w:p w14:paraId="540542DD" w14:textId="77777777" w:rsidR="006A24A7" w:rsidRPr="00820BE3" w:rsidRDefault="006A24A7" w:rsidP="006A3FE0">
      <w:pPr>
        <w:pStyle w:val="FootnoteText"/>
        <w:rPr>
          <w:lang w:val="es-ES"/>
        </w:rPr>
      </w:pPr>
      <w:r>
        <w:rPr>
          <w:rStyle w:val="FootnoteReference"/>
        </w:rPr>
        <w:footnoteRef/>
      </w:r>
      <w:r w:rsidRPr="00820BE3">
        <w:rPr>
          <w:lang w:val="es-ES"/>
        </w:rPr>
        <w:t xml:space="preserve"> UNEP/</w:t>
      </w:r>
      <w:proofErr w:type="spellStart"/>
      <w:r w:rsidRPr="00820BE3">
        <w:rPr>
          <w:lang w:val="es-ES"/>
        </w:rPr>
        <w:t>OzL.Pro</w:t>
      </w:r>
      <w:proofErr w:type="spellEnd"/>
      <w:r w:rsidRPr="00820BE3">
        <w:rPr>
          <w:lang w:val="es-ES"/>
        </w:rPr>
        <w:t>/</w:t>
      </w:r>
      <w:proofErr w:type="spellStart"/>
      <w:r w:rsidRPr="00820BE3">
        <w:rPr>
          <w:lang w:val="es-ES"/>
        </w:rPr>
        <w:t>ExCom</w:t>
      </w:r>
      <w:proofErr w:type="spellEnd"/>
      <w:r w:rsidRPr="00820BE3">
        <w:rPr>
          <w:lang w:val="es-ES"/>
        </w:rPr>
        <w:t>/95/1</w:t>
      </w:r>
    </w:p>
  </w:footnote>
  <w:footnote w:id="2">
    <w:p w14:paraId="68B88C0E" w14:textId="77777777" w:rsidR="006A3FE0" w:rsidRPr="001E151B" w:rsidRDefault="006A3FE0" w:rsidP="006A3FE0">
      <w:pPr>
        <w:pStyle w:val="FootnoteText"/>
        <w:rPr>
          <w:lang w:val="es-ES"/>
        </w:rPr>
      </w:pPr>
      <w:r w:rsidRPr="001E151B">
        <w:rPr>
          <w:rStyle w:val="FootnoteReference"/>
          <w:lang w:val="es-ES"/>
        </w:rPr>
        <w:footnoteRef/>
      </w:r>
      <w:r w:rsidRPr="001E151B">
        <w:rPr>
          <w:lang w:val="es-ES"/>
        </w:rPr>
        <w:t xml:space="preserve"> El Comité Ejecutivo pidió que la explicación de la metodología y los supuestos utilizados por el Tesorero se pusieran a disposición en la intranet (decisión 40/2 b) i)). Este registro de los supuestos y la metodología, publicado por primera vez en el informe del Tesorero UNEP/</w:t>
      </w:r>
      <w:proofErr w:type="spellStart"/>
      <w:r w:rsidRPr="001E151B">
        <w:rPr>
          <w:lang w:val="es-ES"/>
        </w:rPr>
        <w:t>OzL.Pro</w:t>
      </w:r>
      <w:proofErr w:type="spellEnd"/>
      <w:r w:rsidRPr="001E151B">
        <w:rPr>
          <w:lang w:val="es-ES"/>
        </w:rPr>
        <w:t>/</w:t>
      </w:r>
      <w:proofErr w:type="spellStart"/>
      <w:r w:rsidRPr="001E151B">
        <w:rPr>
          <w:lang w:val="es-ES"/>
        </w:rPr>
        <w:t>ExCom</w:t>
      </w:r>
      <w:proofErr w:type="spellEnd"/>
      <w:r w:rsidRPr="001E151B">
        <w:rPr>
          <w:lang w:val="es-ES"/>
        </w:rPr>
        <w:t>/39/3/Rev.1, sigue estando disponible para su consulta por los miembros del Comité Ejecutivo en el área restringida de la página web del Fondo Multilateral.</w:t>
      </w:r>
    </w:p>
  </w:footnote>
  <w:footnote w:id="3">
    <w:p w14:paraId="0AE1D632" w14:textId="77777777" w:rsidR="006A3FE0" w:rsidRPr="001E151B" w:rsidRDefault="006A3FE0" w:rsidP="006A3FE0">
      <w:pPr>
        <w:autoSpaceDE w:val="0"/>
        <w:autoSpaceDN w:val="0"/>
        <w:adjustRightInd w:val="0"/>
        <w:rPr>
          <w:sz w:val="20"/>
          <w:szCs w:val="20"/>
          <w:lang w:val="es-ES"/>
        </w:rPr>
      </w:pPr>
      <w:r w:rsidRPr="001E151B">
        <w:rPr>
          <w:rStyle w:val="FootnoteReference"/>
          <w:lang w:val="es-ES"/>
        </w:rPr>
        <w:footnoteRef/>
      </w:r>
      <w:r w:rsidRPr="001E151B">
        <w:rPr>
          <w:lang w:val="es-ES"/>
        </w:rPr>
        <w:t xml:space="preserve"> </w:t>
      </w:r>
      <w:r w:rsidRPr="001E151B">
        <w:rPr>
          <w:sz w:val="20"/>
          <w:lang w:val="es-ES"/>
        </w:rPr>
        <w:t>Las Partes solicitaron al Tesorero prorrogar el FERM hasta el período 2024–2026 (decisión XXXV/2).</w:t>
      </w:r>
    </w:p>
  </w:footnote>
  <w:footnote w:id="4">
    <w:p w14:paraId="14E2FF3A" w14:textId="77777777" w:rsidR="006A3FE0" w:rsidRPr="001E151B" w:rsidRDefault="006A3FE0" w:rsidP="006A3FE0">
      <w:pPr>
        <w:pStyle w:val="FootnoteText"/>
        <w:rPr>
          <w:lang w:val="es-ES"/>
        </w:rPr>
      </w:pPr>
      <w:r w:rsidRPr="001E151B">
        <w:rPr>
          <w:rStyle w:val="FootnoteReference"/>
          <w:lang w:val="es-ES"/>
        </w:rPr>
        <w:footnoteRef/>
      </w:r>
      <w:r w:rsidRPr="001E151B">
        <w:rPr>
          <w:lang w:val="es-ES"/>
        </w:rPr>
        <w:t xml:space="preserve"> En respuesta a la decisión 41/2, se podrá disponer de la lista de contribuciones pendientes para ciertos países con economías en transición si se solicita.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AF421" w14:textId="44F59C49" w:rsidR="00DC6A10" w:rsidRPr="0033525D" w:rsidRDefault="005D6918">
    <w:r>
      <w:fldChar w:fldCharType="begin"/>
    </w:r>
    <w:r>
      <w:instrText xml:space="preserve"> DOCPROPERTY "Document number"  \* MERGEFORMAT </w:instrText>
    </w:r>
    <w:r>
      <w:fldChar w:fldCharType="separate"/>
    </w:r>
    <w:r>
      <w:t>UNEP/</w:t>
    </w:r>
    <w:proofErr w:type="spellStart"/>
    <w:r>
      <w:t>OzL.Pro</w:t>
    </w:r>
    <w:proofErr w:type="spellEnd"/>
    <w:r>
      <w:t>/ExCom/95/3</w:t>
    </w:r>
    <w:r>
      <w:fldChar w:fldCharType="end"/>
    </w:r>
  </w:p>
  <w:p w14:paraId="33646364" w14:textId="77777777" w:rsidR="00DC6A10" w:rsidRPr="0033525D" w:rsidRDefault="00DC6A10"/>
  <w:p w14:paraId="2D45BF2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10915" w14:textId="77777777" w:rsidR="00DC6A10" w:rsidRPr="0033525D" w:rsidRDefault="006A3FE0">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76863F85" w14:textId="77777777" w:rsidR="006A24A7" w:rsidRPr="00D82B4B" w:rsidRDefault="006A24A7" w:rsidP="006A24A7">
    <w:pPr>
      <w:pStyle w:val="Header"/>
      <w:jc w:val="right"/>
    </w:pPr>
    <w:r w:rsidRPr="00D82B4B">
      <w:t>Anexo I</w:t>
    </w:r>
  </w:p>
  <w:p w14:paraId="173FC9C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5"/>
  </w:num>
  <w:num w:numId="19" w16cid:durableId="1488010068">
    <w:abstractNumId w:val="16"/>
  </w:num>
  <w:num w:numId="20" w16cid:durableId="444007775">
    <w:abstractNumId w:val="12"/>
  </w:num>
  <w:num w:numId="21" w16cid:durableId="1095247905">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3FE0"/>
    <w:rsid w:val="00000FED"/>
    <w:rsid w:val="0000434E"/>
    <w:rsid w:val="00011FE5"/>
    <w:rsid w:val="00012911"/>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2A94"/>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185B"/>
    <w:rsid w:val="00415668"/>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D6918"/>
    <w:rsid w:val="00604C15"/>
    <w:rsid w:val="006158D5"/>
    <w:rsid w:val="00625D83"/>
    <w:rsid w:val="00651984"/>
    <w:rsid w:val="006623E7"/>
    <w:rsid w:val="00662B80"/>
    <w:rsid w:val="0066768F"/>
    <w:rsid w:val="00670F6C"/>
    <w:rsid w:val="00676E58"/>
    <w:rsid w:val="006852C7"/>
    <w:rsid w:val="006852CE"/>
    <w:rsid w:val="00692D14"/>
    <w:rsid w:val="006A24A7"/>
    <w:rsid w:val="006A3FE0"/>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0BE3"/>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1563"/>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6471"/>
    <w:rsid w:val="00B956D4"/>
    <w:rsid w:val="00B97446"/>
    <w:rsid w:val="00BA7432"/>
    <w:rsid w:val="00BB2764"/>
    <w:rsid w:val="00BC1AA0"/>
    <w:rsid w:val="00BC2495"/>
    <w:rsid w:val="00BC314A"/>
    <w:rsid w:val="00BC7EB9"/>
    <w:rsid w:val="00BD20BF"/>
    <w:rsid w:val="00BD2643"/>
    <w:rsid w:val="00BD56B1"/>
    <w:rsid w:val="00BD6558"/>
    <w:rsid w:val="00BE01DC"/>
    <w:rsid w:val="00BF0D67"/>
    <w:rsid w:val="00BF2AD7"/>
    <w:rsid w:val="00BF2F76"/>
    <w:rsid w:val="00BF3022"/>
    <w:rsid w:val="00BF3214"/>
    <w:rsid w:val="00BF46EE"/>
    <w:rsid w:val="00BF5573"/>
    <w:rsid w:val="00C15867"/>
    <w:rsid w:val="00C22398"/>
    <w:rsid w:val="00C2296D"/>
    <w:rsid w:val="00C23155"/>
    <w:rsid w:val="00C40C41"/>
    <w:rsid w:val="00C45885"/>
    <w:rsid w:val="00C50F22"/>
    <w:rsid w:val="00C57971"/>
    <w:rsid w:val="00C631DE"/>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7C20"/>
    <w:rsid w:val="00ED27E8"/>
    <w:rsid w:val="00ED7137"/>
    <w:rsid w:val="00EE2FA2"/>
    <w:rsid w:val="00EF00C7"/>
    <w:rsid w:val="00EF00F4"/>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F79CF9"/>
  <w15:docId w15:val="{89D154FB-DB2A-4358-9484-98C834CA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1859a2c9-b1cd-4e27-9643-f363d09aa479_Z_95th%20Excom-General%20templates.zip.479\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12</TotalTime>
  <Pages>2</Pages>
  <Words>529</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Situación de las contribuciones y los desembolsos Informe del Tesorero</vt:lpstr>
    </vt:vector>
  </TitlesOfParts>
  <Company>UNMFS</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 Informe del Tesorero</dc:title>
  <dc:creator>Martine Chery</dc:creator>
  <cp:lastModifiedBy>Angela Xue He Yan</cp:lastModifiedBy>
  <cp:revision>5</cp:revision>
  <cp:lastPrinted>2001-05-26T16:40:00Z</cp:lastPrinted>
  <dcterms:created xsi:type="dcterms:W3CDTF">2024-11-05T20:42:00Z</dcterms:created>
  <dcterms:modified xsi:type="dcterms:W3CDTF">2024-11-05T22:09:00Z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vt:lpwstr>
  </property>
  <property fmtid="{D5CDD505-2E9C-101B-9397-08002B2CF9AE}" pid="3" name="Revision date">
    <vt:lpwstr>10/24/2024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