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9F5EC9">
        <w:trPr>
          <w:trHeight w:val="720"/>
        </w:trPr>
        <w:tc>
          <w:tcPr>
            <w:tcW w:w="6494" w:type="dxa"/>
            <w:gridSpan w:val="2"/>
            <w:tcBorders>
              <w:bottom w:val="single" w:sz="18" w:space="0" w:color="auto"/>
            </w:tcBorders>
          </w:tcPr>
          <w:p w:rsidR="0087455A" w:rsidRPr="009F5EC9" w:rsidRDefault="0024162E">
            <w:pPr>
              <w:rPr>
                <w:rFonts w:ascii="Univers" w:hAnsi="Univers"/>
                <w:b/>
                <w:sz w:val="28"/>
                <w:szCs w:val="28"/>
                <w:lang w:val="es-MX"/>
              </w:rPr>
            </w:pPr>
            <w:r w:rsidRPr="009F5EC9">
              <w:rPr>
                <w:rFonts w:ascii="Univers" w:hAnsi="Univers"/>
                <w:b/>
                <w:sz w:val="28"/>
                <w:szCs w:val="28"/>
                <w:lang w:val="es-MX"/>
              </w:rPr>
              <w:t>NACIONES</w:t>
            </w:r>
          </w:p>
          <w:p w:rsidR="0087455A" w:rsidRPr="009F5EC9" w:rsidRDefault="0024162E">
            <w:pPr>
              <w:rPr>
                <w:rFonts w:ascii="Univers" w:hAnsi="Univers"/>
                <w:b/>
                <w:sz w:val="28"/>
                <w:szCs w:val="28"/>
                <w:lang w:val="es-MX"/>
              </w:rPr>
            </w:pPr>
            <w:r w:rsidRPr="009F5EC9">
              <w:rPr>
                <w:rFonts w:ascii="Univers" w:hAnsi="Univers"/>
                <w:b/>
                <w:sz w:val="28"/>
                <w:szCs w:val="28"/>
                <w:lang w:val="es-MX"/>
              </w:rPr>
              <w:t>UNIDAS</w:t>
            </w:r>
          </w:p>
        </w:tc>
        <w:tc>
          <w:tcPr>
            <w:tcW w:w="4590" w:type="dxa"/>
            <w:tcBorders>
              <w:bottom w:val="single" w:sz="18" w:space="0" w:color="auto"/>
            </w:tcBorders>
          </w:tcPr>
          <w:p w:rsidR="0087455A" w:rsidRPr="009F5EC9" w:rsidRDefault="0024162E">
            <w:pPr>
              <w:jc w:val="right"/>
              <w:rPr>
                <w:rFonts w:asciiTheme="minorBidi" w:hAnsiTheme="minorBidi" w:cstheme="minorBidi"/>
                <w:sz w:val="52"/>
                <w:szCs w:val="52"/>
                <w:lang w:val="es-MX"/>
              </w:rPr>
            </w:pPr>
            <w:r w:rsidRPr="009F5EC9">
              <w:rPr>
                <w:rFonts w:asciiTheme="minorBidi" w:hAnsiTheme="minorBidi" w:cstheme="minorBidi"/>
                <w:b/>
                <w:sz w:val="72"/>
                <w:lang w:val="es-MX"/>
              </w:rPr>
              <w:t>EP</w:t>
            </w:r>
          </w:p>
        </w:tc>
      </w:tr>
      <w:tr w:rsidR="0087455A" w:rsidRPr="009F5E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9F5EC9" w:rsidRDefault="0024162E">
            <w:pPr>
              <w:spacing w:before="120"/>
              <w:rPr>
                <w:lang w:val="es-MX"/>
              </w:rPr>
            </w:pPr>
            <w:bookmarkStart w:id="0" w:name="_GoBack"/>
            <w:r w:rsidRPr="009F5EC9">
              <w:rPr>
                <w:noProof/>
                <w:lang w:val="en-CA" w:eastAsia="en-CA"/>
              </w:rPr>
              <w:drawing>
                <wp:anchor distT="0" distB="0" distL="114300" distR="114300" simplePos="0" relativeHeight="251660288" behindDoc="0" locked="0" layoutInCell="1" allowOverlap="1">
                  <wp:simplePos x="0" y="0"/>
                  <wp:positionH relativeFrom="column">
                    <wp:posOffset>12438</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9F5EC9">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9F5EC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9F5EC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F5EC9">
              <w:rPr>
                <w:rFonts w:ascii="Univers" w:hAnsi="Univers"/>
                <w:b/>
                <w:sz w:val="32"/>
                <w:lang w:val="es-MX"/>
              </w:rPr>
              <w:t>Programa de las</w:t>
            </w:r>
          </w:p>
          <w:p w:rsidR="0087455A" w:rsidRPr="009F5EC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F5EC9">
              <w:rPr>
                <w:rFonts w:ascii="Univers" w:hAnsi="Univers"/>
                <w:b/>
                <w:sz w:val="32"/>
                <w:lang w:val="es-MX"/>
              </w:rPr>
              <w:t>Naciones Unidas</w:t>
            </w:r>
          </w:p>
          <w:p w:rsidR="0087455A" w:rsidRPr="009F5EC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F5EC9">
              <w:rPr>
                <w:rFonts w:ascii="Univers" w:hAnsi="Univers"/>
                <w:b/>
                <w:sz w:val="32"/>
                <w:lang w:val="es-MX"/>
              </w:rPr>
              <w:t>para el Medio Ambiente</w:t>
            </w:r>
          </w:p>
          <w:p w:rsidR="0087455A" w:rsidRPr="009F5EC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9F5EC9" w:rsidRDefault="0087455A">
            <w:pPr>
              <w:spacing w:before="720"/>
              <w:ind w:left="158"/>
              <w:rPr>
                <w:lang w:val="es-MX"/>
              </w:rPr>
            </w:pPr>
          </w:p>
        </w:tc>
        <w:tc>
          <w:tcPr>
            <w:tcW w:w="4590" w:type="dxa"/>
            <w:tcBorders>
              <w:top w:val="nil"/>
              <w:left w:val="nil"/>
              <w:bottom w:val="single" w:sz="36" w:space="0" w:color="auto"/>
              <w:right w:val="nil"/>
            </w:tcBorders>
          </w:tcPr>
          <w:p w:rsidR="0087455A" w:rsidRPr="009F5EC9" w:rsidRDefault="0087455A">
            <w:pPr>
              <w:rPr>
                <w:lang w:val="es-MX"/>
              </w:rPr>
            </w:pPr>
          </w:p>
          <w:p w:rsidR="0087455A" w:rsidRPr="009F5EC9" w:rsidRDefault="0024162E">
            <w:pPr>
              <w:rPr>
                <w:lang w:val="es-MX"/>
              </w:rPr>
            </w:pPr>
            <w:r w:rsidRPr="009F5EC9">
              <w:rPr>
                <w:lang w:val="es-MX"/>
              </w:rPr>
              <w:t>Distr.</w:t>
            </w:r>
          </w:p>
          <w:p w:rsidR="0087455A" w:rsidRPr="009F5EC9" w:rsidRDefault="0024162E">
            <w:pPr>
              <w:rPr>
                <w:lang w:val="es-MX"/>
              </w:rPr>
            </w:pPr>
            <w:r w:rsidRPr="009F5EC9">
              <w:rPr>
                <w:lang w:val="es-MX"/>
              </w:rPr>
              <w:t>GENERAL</w:t>
            </w:r>
          </w:p>
          <w:p w:rsidR="0087455A" w:rsidRPr="009F5EC9" w:rsidRDefault="0087455A">
            <w:pPr>
              <w:rPr>
                <w:lang w:val="es-MX"/>
              </w:rPr>
            </w:pPr>
          </w:p>
          <w:p w:rsidR="0087455A" w:rsidRPr="009F5EC9" w:rsidRDefault="0024162E">
            <w:pPr>
              <w:rPr>
                <w:lang w:val="es-MX"/>
              </w:rPr>
            </w:pPr>
            <w:r w:rsidRPr="009F5EC9">
              <w:rPr>
                <w:lang w:val="es-MX"/>
              </w:rPr>
              <w:fldChar w:fldCharType="begin"/>
            </w:r>
            <w:r w:rsidRPr="009F5EC9">
              <w:rPr>
                <w:lang w:val="es-MX"/>
              </w:rPr>
              <w:instrText xml:space="preserve"> DOCPROPERTY "Document number"  \* MERGEFORMAT </w:instrText>
            </w:r>
            <w:r w:rsidRPr="009F5EC9">
              <w:rPr>
                <w:lang w:val="es-MX"/>
              </w:rPr>
              <w:fldChar w:fldCharType="separate"/>
            </w:r>
            <w:r w:rsidR="006D7A93">
              <w:rPr>
                <w:lang w:val="es-MX"/>
              </w:rPr>
              <w:t>UNEP/OzL.Pro/ExCom/84/59</w:t>
            </w:r>
            <w:r w:rsidRPr="009F5EC9">
              <w:rPr>
                <w:lang w:val="es-MX"/>
              </w:rPr>
              <w:fldChar w:fldCharType="end"/>
            </w:r>
          </w:p>
          <w:p w:rsidR="0087455A" w:rsidRPr="009F5EC9" w:rsidRDefault="002E7BBF" w:rsidP="00F10CD9">
            <w:pPr>
              <w:rPr>
                <w:caps/>
                <w:lang w:val="es-MX"/>
              </w:rPr>
            </w:pPr>
            <w:r w:rsidRPr="009F5EC9">
              <w:rPr>
                <w:caps/>
                <w:lang w:val="es-MX"/>
              </w:rPr>
              <w:t>22</w:t>
            </w:r>
            <w:r w:rsidR="00114CAA" w:rsidRPr="009F5EC9">
              <w:rPr>
                <w:caps/>
                <w:lang w:val="es-MX"/>
              </w:rPr>
              <w:t xml:space="preserve"> </w:t>
            </w:r>
            <w:r w:rsidR="00114CAA" w:rsidRPr="009F5EC9">
              <w:rPr>
                <w:lang w:val="es-MX"/>
              </w:rPr>
              <w:t xml:space="preserve">de </w:t>
            </w:r>
            <w:r w:rsidRPr="009F5EC9">
              <w:rPr>
                <w:lang w:val="es-MX"/>
              </w:rPr>
              <w:t xml:space="preserve">noviembre </w:t>
            </w:r>
            <w:r w:rsidR="00114CAA" w:rsidRPr="009F5EC9">
              <w:rPr>
                <w:lang w:val="es-MX"/>
              </w:rPr>
              <w:t xml:space="preserve">de </w:t>
            </w:r>
            <w:r w:rsidR="001C2D22" w:rsidRPr="009F5EC9">
              <w:rPr>
                <w:caps/>
                <w:lang w:val="es-MX"/>
              </w:rPr>
              <w:t>2019</w:t>
            </w:r>
          </w:p>
          <w:p w:rsidR="00114CAA" w:rsidRPr="009F5EC9" w:rsidRDefault="00114CAA">
            <w:pPr>
              <w:rPr>
                <w:caps/>
                <w:lang w:val="es-MX"/>
              </w:rPr>
            </w:pPr>
          </w:p>
          <w:p w:rsidR="0087455A" w:rsidRPr="009F5EC9" w:rsidRDefault="0024162E">
            <w:pPr>
              <w:rPr>
                <w:lang w:val="es-MX"/>
              </w:rPr>
            </w:pPr>
            <w:r w:rsidRPr="009F5EC9">
              <w:rPr>
                <w:lang w:val="es-MX"/>
              </w:rPr>
              <w:t xml:space="preserve">ESPAÑOL </w:t>
            </w:r>
          </w:p>
          <w:p w:rsidR="0087455A" w:rsidRPr="009F5EC9" w:rsidRDefault="0024162E">
            <w:pPr>
              <w:rPr>
                <w:lang w:val="es-MX"/>
              </w:rPr>
            </w:pPr>
            <w:r w:rsidRPr="009F5EC9">
              <w:rPr>
                <w:lang w:val="es-MX"/>
              </w:rPr>
              <w:t>ORIGINAL: INGLÉS</w:t>
            </w:r>
          </w:p>
        </w:tc>
      </w:tr>
    </w:tbl>
    <w:p w:rsidR="0087455A" w:rsidRPr="009F5EC9" w:rsidRDefault="0087455A">
      <w:pPr>
        <w:jc w:val="left"/>
        <w:rPr>
          <w:lang w:val="es-MX"/>
        </w:rPr>
      </w:pPr>
    </w:p>
    <w:p w:rsidR="0087455A" w:rsidRPr="009F5EC9" w:rsidRDefault="0024162E">
      <w:pPr>
        <w:jc w:val="left"/>
        <w:rPr>
          <w:lang w:val="es-MX"/>
        </w:rPr>
      </w:pPr>
      <w:r w:rsidRPr="009F5EC9">
        <w:rPr>
          <w:lang w:val="es-MX"/>
        </w:rPr>
        <w:t>COMITÉ EJECUTIVO DEL FONDO MULTILATERAL</w:t>
      </w:r>
      <w:r w:rsidRPr="009F5EC9">
        <w:rPr>
          <w:lang w:val="es-MX"/>
        </w:rPr>
        <w:br/>
        <w:t xml:space="preserve">  PARA LA APLICACIÓN DEL</w:t>
      </w:r>
      <w:r w:rsidRPr="009F5EC9">
        <w:rPr>
          <w:lang w:val="es-MX"/>
        </w:rPr>
        <w:br/>
        <w:t xml:space="preserve">  PROTOCOLO DE MONTREAL</w:t>
      </w:r>
    </w:p>
    <w:p w:rsidR="00106F6E" w:rsidRPr="009F5EC9" w:rsidRDefault="00106F6E" w:rsidP="001F4047">
      <w:pPr>
        <w:jc w:val="left"/>
        <w:rPr>
          <w:lang w:val="es-MX"/>
        </w:rPr>
      </w:pPr>
      <w:r w:rsidRPr="009F5EC9">
        <w:rPr>
          <w:lang w:val="es-MX"/>
        </w:rPr>
        <w:t xml:space="preserve">Octogésima </w:t>
      </w:r>
      <w:r w:rsidR="003863A4" w:rsidRPr="009F5EC9">
        <w:rPr>
          <w:lang w:val="es-MX"/>
        </w:rPr>
        <w:t>cuarta Reunión</w:t>
      </w:r>
      <w:r w:rsidR="003863A4" w:rsidRPr="009F5EC9">
        <w:rPr>
          <w:lang w:val="es-MX"/>
        </w:rPr>
        <w:br/>
        <w:t xml:space="preserve">Montreal, 16 </w:t>
      </w:r>
      <w:r w:rsidRPr="009F5EC9">
        <w:rPr>
          <w:lang w:val="es-MX"/>
        </w:rPr>
        <w:t xml:space="preserve">– </w:t>
      </w:r>
      <w:r w:rsidR="003863A4" w:rsidRPr="009F5EC9">
        <w:rPr>
          <w:lang w:val="es-MX"/>
        </w:rPr>
        <w:t>20</w:t>
      </w:r>
      <w:r w:rsidRPr="009F5EC9">
        <w:rPr>
          <w:lang w:val="es-MX"/>
        </w:rPr>
        <w:t xml:space="preserve"> de </w:t>
      </w:r>
      <w:r w:rsidR="001F4047" w:rsidRPr="009F5EC9">
        <w:rPr>
          <w:lang w:val="es-MX"/>
        </w:rPr>
        <w:t>diciembre</w:t>
      </w:r>
      <w:r w:rsidR="001C2D22" w:rsidRPr="009F5EC9">
        <w:rPr>
          <w:lang w:val="es-MX"/>
        </w:rPr>
        <w:t xml:space="preserve"> de 2019</w:t>
      </w:r>
    </w:p>
    <w:p w:rsidR="00106F6E" w:rsidRPr="009F5EC9" w:rsidRDefault="00106F6E" w:rsidP="00106F6E">
      <w:pPr>
        <w:jc w:val="left"/>
        <w:rPr>
          <w:lang w:val="es-MX"/>
        </w:rPr>
      </w:pPr>
    </w:p>
    <w:p w:rsidR="0087455A" w:rsidRPr="009F5EC9" w:rsidRDefault="0087455A">
      <w:pPr>
        <w:jc w:val="left"/>
        <w:rPr>
          <w:lang w:val="es-MX"/>
        </w:rPr>
      </w:pPr>
    </w:p>
    <w:p w:rsidR="0087455A" w:rsidRDefault="0087455A">
      <w:pPr>
        <w:pStyle w:val="Heading3"/>
        <w:numPr>
          <w:ilvl w:val="0"/>
          <w:numId w:val="0"/>
        </w:numPr>
        <w:spacing w:after="0"/>
        <w:rPr>
          <w:lang w:val="es-MX"/>
        </w:rPr>
      </w:pPr>
    </w:p>
    <w:p w:rsidR="002E7BBF" w:rsidRPr="009F5EC9" w:rsidRDefault="002E7BBF" w:rsidP="002E7BBF">
      <w:pPr>
        <w:jc w:val="center"/>
        <w:rPr>
          <w:b/>
          <w:lang w:val="es-MX"/>
        </w:rPr>
      </w:pPr>
      <w:r w:rsidRPr="009F5EC9">
        <w:rPr>
          <w:b/>
          <w:lang w:val="es-MX"/>
        </w:rPr>
        <w:t>PROPUESTA DE PROYECTO: SERBIA</w:t>
      </w:r>
    </w:p>
    <w:p w:rsidR="002E7BBF" w:rsidRDefault="002E7BBF" w:rsidP="002E7BBF">
      <w:pPr>
        <w:rPr>
          <w:lang w:val="es-MX"/>
        </w:rPr>
      </w:pPr>
    </w:p>
    <w:p w:rsidR="00FC260B" w:rsidRPr="009F5EC9" w:rsidRDefault="00FC260B" w:rsidP="002E7BBF">
      <w:pPr>
        <w:rPr>
          <w:lang w:val="es-MX"/>
        </w:rPr>
      </w:pPr>
    </w:p>
    <w:p w:rsidR="002E7BBF" w:rsidRPr="009F5EC9" w:rsidRDefault="002E7BBF" w:rsidP="002E7BBF">
      <w:pPr>
        <w:ind w:firstLine="720"/>
        <w:rPr>
          <w:lang w:val="es-MX"/>
        </w:rPr>
      </w:pPr>
      <w:r w:rsidRPr="009F5EC9">
        <w:rPr>
          <w:lang w:val="es-MX"/>
        </w:rPr>
        <w:t>Este documento consta de los comentarios y la recomendación de l</w:t>
      </w:r>
      <w:r w:rsidR="00486D8A">
        <w:rPr>
          <w:lang w:val="es-MX"/>
        </w:rPr>
        <w:t>a Secretaría de la siguiente pro</w:t>
      </w:r>
      <w:r w:rsidRPr="009F5EC9">
        <w:rPr>
          <w:lang w:val="es-MX"/>
        </w:rPr>
        <w:t xml:space="preserve">puesta de proyecto: </w:t>
      </w:r>
    </w:p>
    <w:p w:rsidR="002E7BBF" w:rsidRPr="009F5EC9" w:rsidRDefault="002E7BBF" w:rsidP="002E7BBF">
      <w:pPr>
        <w:rPr>
          <w:lang w:val="es-MX"/>
        </w:rPr>
      </w:pPr>
    </w:p>
    <w:p w:rsidR="002E7BBF" w:rsidRPr="009F5EC9" w:rsidRDefault="002E7BBF" w:rsidP="002E7BBF">
      <w:pPr>
        <w:rPr>
          <w:u w:val="single"/>
          <w:lang w:val="es-MX"/>
        </w:rPr>
      </w:pPr>
      <w:r w:rsidRPr="009F5EC9">
        <w:rPr>
          <w:u w:val="single"/>
          <w:lang w:val="es-MX"/>
        </w:rPr>
        <w:t>Eliminación</w:t>
      </w:r>
    </w:p>
    <w:p w:rsidR="002E7BBF" w:rsidRPr="009F5EC9" w:rsidRDefault="002E7BBF" w:rsidP="002E7BBF">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E7BBF" w:rsidRPr="009F5EC9" w:rsidTr="002E7BBF">
        <w:tc>
          <w:tcPr>
            <w:tcW w:w="6941" w:type="dxa"/>
          </w:tcPr>
          <w:p w:rsidR="002E7BBF" w:rsidRPr="009F5EC9" w:rsidRDefault="002E7BBF" w:rsidP="002E7BBF">
            <w:pPr>
              <w:pStyle w:val="ListParagraph"/>
              <w:numPr>
                <w:ilvl w:val="0"/>
                <w:numId w:val="21"/>
              </w:numPr>
              <w:ind w:hanging="830"/>
              <w:rPr>
                <w:lang w:val="es-MX"/>
              </w:rPr>
            </w:pPr>
            <w:r w:rsidRPr="009F5EC9">
              <w:rPr>
                <w:lang w:val="es-MX"/>
              </w:rPr>
              <w:t>Plan de gestión de eliminación de HCFC (etapa I, cuarto tramo)</w:t>
            </w:r>
          </w:p>
        </w:tc>
        <w:tc>
          <w:tcPr>
            <w:tcW w:w="2409" w:type="dxa"/>
          </w:tcPr>
          <w:p w:rsidR="002E7BBF" w:rsidRPr="009F5EC9" w:rsidRDefault="002E7BBF" w:rsidP="002E7BBF">
            <w:pPr>
              <w:jc w:val="right"/>
              <w:rPr>
                <w:lang w:val="es-MX"/>
              </w:rPr>
            </w:pPr>
            <w:r w:rsidRPr="009F5EC9">
              <w:rPr>
                <w:lang w:val="es-MX"/>
              </w:rPr>
              <w:t>UNIDO y UNEP</w:t>
            </w:r>
          </w:p>
        </w:tc>
      </w:tr>
    </w:tbl>
    <w:p w:rsidR="002E7BBF" w:rsidRPr="009F5EC9" w:rsidRDefault="002E7BBF" w:rsidP="002E7BBF">
      <w:pPr>
        <w:rPr>
          <w:lang w:val="es-MX"/>
        </w:rPr>
      </w:pPr>
    </w:p>
    <w:p w:rsidR="002E7BBF" w:rsidRPr="009F5EC9" w:rsidRDefault="002E7BBF" w:rsidP="002E7BBF">
      <w:pPr>
        <w:rPr>
          <w:lang w:val="es-MX"/>
        </w:rPr>
      </w:pPr>
    </w:p>
    <w:p w:rsidR="002E7BBF" w:rsidRPr="009F5EC9" w:rsidRDefault="002E7BBF" w:rsidP="002E7BBF">
      <w:pPr>
        <w:rPr>
          <w:lang w:val="es-MX"/>
        </w:rPr>
      </w:pPr>
    </w:p>
    <w:p w:rsidR="002E7BBF" w:rsidRPr="009F5EC9" w:rsidRDefault="002E7BBF" w:rsidP="002E7BBF">
      <w:pPr>
        <w:rPr>
          <w:lang w:val="es-MX"/>
        </w:rPr>
      </w:pPr>
      <w:r w:rsidRPr="009F5EC9">
        <w:rPr>
          <w:lang w:val="es-MX"/>
        </w:rPr>
        <w:br w:type="page"/>
      </w:r>
    </w:p>
    <w:p w:rsidR="002E7BBF" w:rsidRPr="009F5EC9" w:rsidRDefault="002E7BBF" w:rsidP="002E7BBF">
      <w:pPr>
        <w:jc w:val="center"/>
        <w:rPr>
          <w:b/>
          <w:lang w:val="es-MX"/>
        </w:rPr>
      </w:pPr>
      <w:r w:rsidRPr="009F5EC9">
        <w:rPr>
          <w:b/>
          <w:lang w:val="es-MX"/>
        </w:rPr>
        <w:lastRenderedPageBreak/>
        <w:t>HOJA DE EVALUACIÓN DE PROYECTO – PROYECTOS PLURIANUALES</w:t>
      </w:r>
    </w:p>
    <w:p w:rsidR="002E7BBF" w:rsidRPr="009F5EC9" w:rsidRDefault="002E7BBF" w:rsidP="002E7BBF">
      <w:pPr>
        <w:jc w:val="center"/>
        <w:rPr>
          <w:b/>
          <w:lang w:val="es-MX"/>
        </w:rPr>
      </w:pPr>
      <w:r w:rsidRPr="009F5EC9">
        <w:rPr>
          <w:b/>
          <w:lang w:val="es-MX"/>
        </w:rPr>
        <w:t>Serbia</w:t>
      </w:r>
    </w:p>
    <w:p w:rsidR="002E7BBF" w:rsidRPr="009F5EC9" w:rsidRDefault="002E7BBF" w:rsidP="002E7BBF">
      <w:pPr>
        <w:spacing w:after="80"/>
        <w:jc w:val="center"/>
        <w:rPr>
          <w:sz w:val="16"/>
          <w:szCs w:val="16"/>
          <w:lang w:val="es-MX"/>
        </w:rPr>
      </w:pPr>
    </w:p>
    <w:tbl>
      <w:tblPr>
        <w:tblStyle w:val="TableGrid"/>
        <w:tblW w:w="10058"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48"/>
        <w:gridCol w:w="2605"/>
        <w:gridCol w:w="2063"/>
        <w:gridCol w:w="2642"/>
      </w:tblGrid>
      <w:tr w:rsidR="002E7BBF" w:rsidRPr="009F5EC9" w:rsidTr="007A1B13">
        <w:trPr>
          <w:trHeight w:val="215"/>
        </w:trPr>
        <w:tc>
          <w:tcPr>
            <w:tcW w:w="2748" w:type="dxa"/>
            <w:shd w:val="clear" w:color="auto" w:fill="auto"/>
          </w:tcPr>
          <w:p w:rsidR="002E7BBF" w:rsidRPr="009F5EC9" w:rsidRDefault="002E7BBF" w:rsidP="002E7BBF">
            <w:pPr>
              <w:spacing w:after="80"/>
              <w:jc w:val="left"/>
              <w:rPr>
                <w:b/>
                <w:sz w:val="18"/>
                <w:lang w:val="es-MX"/>
              </w:rPr>
            </w:pPr>
            <w:r w:rsidRPr="009F5EC9">
              <w:rPr>
                <w:b/>
                <w:sz w:val="18"/>
                <w:lang w:val="es-MX"/>
              </w:rPr>
              <w:t>I) TÍTULO DEL PROYECTO</w:t>
            </w:r>
          </w:p>
        </w:tc>
        <w:tc>
          <w:tcPr>
            <w:tcW w:w="2605" w:type="dxa"/>
            <w:shd w:val="clear" w:color="auto" w:fill="auto"/>
          </w:tcPr>
          <w:p w:rsidR="002E7BBF" w:rsidRPr="009F5EC9" w:rsidRDefault="002E7BBF" w:rsidP="002E7BBF">
            <w:pPr>
              <w:spacing w:after="80"/>
              <w:jc w:val="center"/>
              <w:rPr>
                <w:b/>
                <w:sz w:val="18"/>
                <w:lang w:val="es-MX"/>
              </w:rPr>
            </w:pPr>
            <w:r w:rsidRPr="009F5EC9">
              <w:rPr>
                <w:b/>
                <w:sz w:val="18"/>
                <w:lang w:val="es-MX"/>
              </w:rPr>
              <w:t>ORGANISMO</w:t>
            </w:r>
          </w:p>
        </w:tc>
        <w:tc>
          <w:tcPr>
            <w:tcW w:w="2063" w:type="dxa"/>
            <w:shd w:val="clear" w:color="auto" w:fill="auto"/>
          </w:tcPr>
          <w:p w:rsidR="002E7BBF" w:rsidRPr="009F5EC9" w:rsidRDefault="002E7BBF" w:rsidP="002E7BBF">
            <w:pPr>
              <w:spacing w:after="80"/>
              <w:jc w:val="center"/>
              <w:rPr>
                <w:b/>
                <w:sz w:val="18"/>
                <w:lang w:val="es-MX"/>
              </w:rPr>
            </w:pPr>
            <w:r w:rsidRPr="009F5EC9">
              <w:rPr>
                <w:b/>
                <w:sz w:val="18"/>
                <w:lang w:val="es-MX"/>
              </w:rPr>
              <w:t>REUNIÓN EN QUE SE APROBÓ</w:t>
            </w:r>
          </w:p>
        </w:tc>
        <w:tc>
          <w:tcPr>
            <w:tcW w:w="2642" w:type="dxa"/>
            <w:shd w:val="clear" w:color="auto" w:fill="auto"/>
          </w:tcPr>
          <w:p w:rsidR="002E7BBF" w:rsidRPr="009F5EC9" w:rsidRDefault="002E7BBF" w:rsidP="002E7BBF">
            <w:pPr>
              <w:spacing w:after="80"/>
              <w:jc w:val="center"/>
              <w:rPr>
                <w:b/>
                <w:sz w:val="18"/>
                <w:lang w:val="es-MX"/>
              </w:rPr>
            </w:pPr>
            <w:r w:rsidRPr="009F5EC9">
              <w:rPr>
                <w:b/>
                <w:sz w:val="18"/>
                <w:lang w:val="es-MX"/>
              </w:rPr>
              <w:t>MEDIDA DE CONTROL</w:t>
            </w:r>
          </w:p>
        </w:tc>
      </w:tr>
      <w:tr w:rsidR="002E7BBF" w:rsidRPr="009F5EC9" w:rsidTr="007A1B13">
        <w:trPr>
          <w:trHeight w:val="215"/>
        </w:trPr>
        <w:tc>
          <w:tcPr>
            <w:tcW w:w="2748" w:type="dxa"/>
            <w:shd w:val="clear" w:color="auto" w:fill="auto"/>
          </w:tcPr>
          <w:p w:rsidR="002E7BBF" w:rsidRPr="009F5EC9" w:rsidRDefault="002E7BBF" w:rsidP="002E7BBF">
            <w:pPr>
              <w:spacing w:after="80"/>
              <w:jc w:val="center"/>
              <w:rPr>
                <w:sz w:val="18"/>
                <w:lang w:val="es-MX"/>
              </w:rPr>
            </w:pPr>
            <w:r w:rsidRPr="009F5EC9">
              <w:rPr>
                <w:sz w:val="18"/>
                <w:lang w:val="es-MX"/>
              </w:rPr>
              <w:t>Plan de gestión de la eliminación de los HCFC (etapa I)</w:t>
            </w:r>
          </w:p>
        </w:tc>
        <w:tc>
          <w:tcPr>
            <w:tcW w:w="2605" w:type="dxa"/>
            <w:shd w:val="clear" w:color="auto" w:fill="auto"/>
          </w:tcPr>
          <w:p w:rsidR="002E7BBF" w:rsidRPr="009F5EC9" w:rsidRDefault="002E7BBF" w:rsidP="002E7BBF">
            <w:pPr>
              <w:spacing w:after="80"/>
              <w:jc w:val="center"/>
              <w:rPr>
                <w:sz w:val="18"/>
                <w:lang w:val="es-MX"/>
              </w:rPr>
            </w:pPr>
            <w:r w:rsidRPr="009F5EC9">
              <w:rPr>
                <w:sz w:val="18"/>
                <w:lang w:val="es-MX"/>
              </w:rPr>
              <w:t>PNUMA, ONUDI (principal)</w:t>
            </w:r>
          </w:p>
        </w:tc>
        <w:tc>
          <w:tcPr>
            <w:tcW w:w="2063" w:type="dxa"/>
            <w:shd w:val="clear" w:color="auto" w:fill="auto"/>
          </w:tcPr>
          <w:p w:rsidR="002E7BBF" w:rsidRPr="009F5EC9" w:rsidRDefault="002E7BBF" w:rsidP="002E7BBF">
            <w:pPr>
              <w:spacing w:after="80"/>
              <w:jc w:val="center"/>
              <w:rPr>
                <w:sz w:val="18"/>
                <w:lang w:val="es-MX"/>
              </w:rPr>
            </w:pPr>
            <w:r w:rsidRPr="009F5EC9">
              <w:rPr>
                <w:sz w:val="18"/>
                <w:lang w:val="es-MX"/>
              </w:rPr>
              <w:t>62ª</w:t>
            </w:r>
          </w:p>
        </w:tc>
        <w:tc>
          <w:tcPr>
            <w:tcW w:w="2642" w:type="dxa"/>
            <w:shd w:val="clear" w:color="auto" w:fill="auto"/>
          </w:tcPr>
          <w:p w:rsidR="002E7BBF" w:rsidRPr="009F5EC9" w:rsidRDefault="002E7BBF" w:rsidP="002E7BBF">
            <w:pPr>
              <w:spacing w:after="80"/>
              <w:jc w:val="center"/>
              <w:rPr>
                <w:sz w:val="18"/>
                <w:lang w:val="es-MX"/>
              </w:rPr>
            </w:pPr>
            <w:r w:rsidRPr="009F5EC9">
              <w:rPr>
                <w:sz w:val="18"/>
                <w:lang w:val="es-MX"/>
              </w:rPr>
              <w:t>35% en 2020</w:t>
            </w:r>
          </w:p>
        </w:tc>
      </w:tr>
    </w:tbl>
    <w:p w:rsidR="002E7BBF" w:rsidRPr="009F5EC9" w:rsidRDefault="002E7BBF" w:rsidP="002E7BBF">
      <w:pPr>
        <w:spacing w:after="60"/>
        <w:jc w:val="center"/>
        <w:rPr>
          <w:sz w:val="16"/>
          <w:szCs w:val="16"/>
          <w:lang w:val="es-MX"/>
        </w:rPr>
      </w:pPr>
    </w:p>
    <w:tbl>
      <w:tblPr>
        <w:tblStyle w:val="TableGrid"/>
        <w:tblW w:w="10066"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9"/>
        <w:gridCol w:w="1275"/>
        <w:gridCol w:w="1702"/>
      </w:tblGrid>
      <w:tr w:rsidR="002E7BBF" w:rsidRPr="009F5EC9" w:rsidTr="007A1B13">
        <w:trPr>
          <w:trHeight w:val="112"/>
        </w:trPr>
        <w:tc>
          <w:tcPr>
            <w:tcW w:w="7089" w:type="dxa"/>
            <w:shd w:val="clear" w:color="auto" w:fill="auto"/>
            <w:tcMar>
              <w:left w:w="28" w:type="dxa"/>
              <w:right w:w="28" w:type="dxa"/>
            </w:tcMar>
          </w:tcPr>
          <w:p w:rsidR="002E7BBF" w:rsidRPr="009F5EC9" w:rsidRDefault="002E7BBF" w:rsidP="002E7BBF">
            <w:pPr>
              <w:spacing w:after="60"/>
              <w:jc w:val="left"/>
              <w:rPr>
                <w:b/>
                <w:sz w:val="18"/>
                <w:lang w:val="es-MX"/>
              </w:rPr>
            </w:pPr>
            <w:r w:rsidRPr="009F5EC9">
              <w:rPr>
                <w:b/>
                <w:sz w:val="18"/>
                <w:lang w:val="es-MX"/>
              </w:rPr>
              <w:t>II) DATOS MÁS RECIENTES CON ARREGLO AL ARTÍCULO 7 (Grupo I del Anexo C)</w:t>
            </w:r>
          </w:p>
        </w:tc>
        <w:tc>
          <w:tcPr>
            <w:tcW w:w="1275"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Año: 2018</w:t>
            </w:r>
          </w:p>
        </w:tc>
        <w:tc>
          <w:tcPr>
            <w:tcW w:w="1702"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6,61 (toneladas PAO)</w:t>
            </w:r>
          </w:p>
        </w:tc>
      </w:tr>
    </w:tbl>
    <w:p w:rsidR="002E7BBF" w:rsidRPr="009F5EC9" w:rsidRDefault="002E7BBF" w:rsidP="002E7BBF">
      <w:pPr>
        <w:spacing w:after="60"/>
        <w:jc w:val="center"/>
        <w:rPr>
          <w:sz w:val="16"/>
          <w:szCs w:val="16"/>
          <w:lang w:val="es-MX"/>
        </w:rPr>
      </w:pPr>
    </w:p>
    <w:tbl>
      <w:tblPr>
        <w:tblStyle w:val="TableGrid"/>
        <w:tblW w:w="10065"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9"/>
        <w:gridCol w:w="656"/>
        <w:gridCol w:w="610"/>
        <w:gridCol w:w="1373"/>
        <w:gridCol w:w="762"/>
        <w:gridCol w:w="996"/>
        <w:gridCol w:w="732"/>
        <w:gridCol w:w="1228"/>
        <w:gridCol w:w="731"/>
        <w:gridCol w:w="1348"/>
      </w:tblGrid>
      <w:tr w:rsidR="002E7BBF" w:rsidRPr="009F5EC9" w:rsidTr="007A1B13">
        <w:trPr>
          <w:trHeight w:val="240"/>
        </w:trPr>
        <w:tc>
          <w:tcPr>
            <w:tcW w:w="7986" w:type="dxa"/>
            <w:gridSpan w:val="8"/>
            <w:shd w:val="clear" w:color="auto" w:fill="auto"/>
            <w:tcMar>
              <w:left w:w="28" w:type="dxa"/>
              <w:right w:w="28" w:type="dxa"/>
            </w:tcMar>
          </w:tcPr>
          <w:p w:rsidR="002E7BBF" w:rsidRPr="009F5EC9" w:rsidRDefault="002E7BBF" w:rsidP="002E7BBF">
            <w:pPr>
              <w:spacing w:after="60"/>
              <w:jc w:val="left"/>
              <w:rPr>
                <w:b/>
                <w:sz w:val="18"/>
                <w:lang w:val="es-MX"/>
              </w:rPr>
            </w:pPr>
            <w:r w:rsidRPr="009F5EC9">
              <w:rPr>
                <w:b/>
                <w:sz w:val="18"/>
                <w:lang w:val="es-MX"/>
              </w:rPr>
              <w:t>III) DATOS SECTORIALES MÁS RECIENTES DEL PROGRAMA DE PAÍS (toneladas PAO)</w:t>
            </w:r>
          </w:p>
        </w:tc>
        <w:tc>
          <w:tcPr>
            <w:tcW w:w="2079" w:type="dxa"/>
            <w:gridSpan w:val="2"/>
            <w:shd w:val="clear" w:color="auto" w:fill="auto"/>
            <w:tcMar>
              <w:left w:w="28" w:type="dxa"/>
              <w:right w:w="28" w:type="dxa"/>
            </w:tcMar>
          </w:tcPr>
          <w:p w:rsidR="002E7BBF" w:rsidRPr="009F5EC9" w:rsidRDefault="002E7BBF" w:rsidP="002E7BBF">
            <w:pPr>
              <w:spacing w:after="60"/>
              <w:jc w:val="right"/>
              <w:rPr>
                <w:b/>
                <w:sz w:val="18"/>
                <w:lang w:val="es-MX"/>
              </w:rPr>
            </w:pPr>
            <w:r w:rsidRPr="009F5EC9">
              <w:rPr>
                <w:b/>
                <w:sz w:val="18"/>
                <w:lang w:val="es-MX"/>
              </w:rPr>
              <w:t>Año: 2018</w:t>
            </w:r>
          </w:p>
        </w:tc>
      </w:tr>
      <w:tr w:rsidR="002E7BBF" w:rsidRPr="009F5EC9" w:rsidTr="007A1B13">
        <w:trPr>
          <w:trHeight w:val="240"/>
        </w:trPr>
        <w:tc>
          <w:tcPr>
            <w:tcW w:w="1629"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Sustancia química</w:t>
            </w:r>
          </w:p>
        </w:tc>
        <w:tc>
          <w:tcPr>
            <w:tcW w:w="0" w:type="auto"/>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Aerosoles</w:t>
            </w:r>
          </w:p>
        </w:tc>
        <w:tc>
          <w:tcPr>
            <w:tcW w:w="0" w:type="auto"/>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Espumas</w:t>
            </w:r>
          </w:p>
        </w:tc>
        <w:tc>
          <w:tcPr>
            <w:tcW w:w="0" w:type="auto"/>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Lucha contra incendios</w:t>
            </w:r>
          </w:p>
        </w:tc>
        <w:tc>
          <w:tcPr>
            <w:tcW w:w="0" w:type="auto"/>
            <w:gridSpan w:val="2"/>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Refrigeración</w:t>
            </w:r>
          </w:p>
        </w:tc>
        <w:tc>
          <w:tcPr>
            <w:tcW w:w="0" w:type="auto"/>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Disolvente</w:t>
            </w:r>
          </w:p>
        </w:tc>
        <w:tc>
          <w:tcPr>
            <w:tcW w:w="0" w:type="auto"/>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Agente de procesos</w:t>
            </w:r>
          </w:p>
        </w:tc>
        <w:tc>
          <w:tcPr>
            <w:tcW w:w="0" w:type="auto"/>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Uso en lab.</w:t>
            </w:r>
          </w:p>
        </w:tc>
        <w:tc>
          <w:tcPr>
            <w:tcW w:w="1348"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Consumo total del sector</w:t>
            </w:r>
          </w:p>
        </w:tc>
      </w:tr>
      <w:tr w:rsidR="002E7BBF" w:rsidRPr="009F5EC9" w:rsidTr="007A1B13">
        <w:trPr>
          <w:trHeight w:val="240"/>
        </w:trPr>
        <w:tc>
          <w:tcPr>
            <w:tcW w:w="4268" w:type="dxa"/>
            <w:gridSpan w:val="4"/>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 xml:space="preserve"> </w:t>
            </w:r>
          </w:p>
        </w:tc>
        <w:tc>
          <w:tcPr>
            <w:tcW w:w="0" w:type="auto"/>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Fabricación</w:t>
            </w:r>
          </w:p>
        </w:tc>
        <w:tc>
          <w:tcPr>
            <w:tcW w:w="0" w:type="auto"/>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Mantenimiento</w:t>
            </w:r>
          </w:p>
        </w:tc>
        <w:tc>
          <w:tcPr>
            <w:tcW w:w="4039" w:type="dxa"/>
            <w:gridSpan w:val="4"/>
            <w:shd w:val="clear" w:color="auto" w:fill="auto"/>
            <w:tcMar>
              <w:left w:w="28" w:type="dxa"/>
              <w:right w:w="28" w:type="dxa"/>
            </w:tcMar>
          </w:tcPr>
          <w:p w:rsidR="002E7BBF" w:rsidRPr="009F5EC9" w:rsidRDefault="002E7BBF" w:rsidP="002E7BBF">
            <w:pPr>
              <w:spacing w:after="60"/>
              <w:jc w:val="center"/>
              <w:rPr>
                <w:sz w:val="18"/>
                <w:lang w:val="es-MX"/>
              </w:rPr>
            </w:pPr>
          </w:p>
        </w:tc>
      </w:tr>
      <w:tr w:rsidR="002E7BBF" w:rsidRPr="009F5EC9" w:rsidTr="007A1B13">
        <w:trPr>
          <w:trHeight w:val="240"/>
        </w:trPr>
        <w:tc>
          <w:tcPr>
            <w:tcW w:w="1629"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HCFC-22</w:t>
            </w: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6,26</w:t>
            </w: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1348" w:type="dxa"/>
            <w:shd w:val="clear" w:color="auto" w:fill="auto"/>
            <w:tcMar>
              <w:left w:w="28" w:type="dxa"/>
              <w:right w:w="28" w:type="dxa"/>
            </w:tcMar>
          </w:tcPr>
          <w:p w:rsidR="002E7BBF" w:rsidRPr="009F5EC9" w:rsidRDefault="002E7BBF" w:rsidP="002E7BBF">
            <w:pPr>
              <w:jc w:val="right"/>
              <w:rPr>
                <w:sz w:val="18"/>
                <w:szCs w:val="18"/>
                <w:lang w:val="es-MX"/>
              </w:rPr>
            </w:pPr>
            <w:r w:rsidRPr="009F5EC9">
              <w:rPr>
                <w:sz w:val="18"/>
                <w:szCs w:val="18"/>
                <w:lang w:val="es-MX"/>
              </w:rPr>
              <w:t>6,26</w:t>
            </w:r>
          </w:p>
        </w:tc>
      </w:tr>
      <w:tr w:rsidR="002E7BBF" w:rsidRPr="009F5EC9" w:rsidTr="007A1B13">
        <w:trPr>
          <w:trHeight w:val="240"/>
        </w:trPr>
        <w:tc>
          <w:tcPr>
            <w:tcW w:w="1629"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HCFC-141b</w:t>
            </w: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0,24</w:t>
            </w: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1348" w:type="dxa"/>
            <w:shd w:val="clear" w:color="auto" w:fill="auto"/>
            <w:tcMar>
              <w:left w:w="28" w:type="dxa"/>
              <w:right w:w="28" w:type="dxa"/>
            </w:tcMar>
          </w:tcPr>
          <w:p w:rsidR="002E7BBF" w:rsidRPr="009F5EC9" w:rsidRDefault="002E7BBF" w:rsidP="002E7BBF">
            <w:pPr>
              <w:jc w:val="right"/>
              <w:rPr>
                <w:sz w:val="18"/>
                <w:szCs w:val="18"/>
                <w:lang w:val="es-MX"/>
              </w:rPr>
            </w:pPr>
            <w:r w:rsidRPr="009F5EC9">
              <w:rPr>
                <w:sz w:val="18"/>
                <w:szCs w:val="18"/>
                <w:lang w:val="es-MX"/>
              </w:rPr>
              <w:t>0,24</w:t>
            </w:r>
          </w:p>
        </w:tc>
      </w:tr>
      <w:tr w:rsidR="002E7BBF" w:rsidRPr="009F5EC9" w:rsidTr="007A1B13">
        <w:trPr>
          <w:trHeight w:val="240"/>
        </w:trPr>
        <w:tc>
          <w:tcPr>
            <w:tcW w:w="1629"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HCFC-142</w:t>
            </w: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0,11</w:t>
            </w: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0" w:type="auto"/>
            <w:shd w:val="clear" w:color="auto" w:fill="auto"/>
            <w:tcMar>
              <w:left w:w="28" w:type="dxa"/>
              <w:right w:w="28" w:type="dxa"/>
            </w:tcMar>
          </w:tcPr>
          <w:p w:rsidR="002E7BBF" w:rsidRPr="009F5EC9" w:rsidRDefault="002E7BBF" w:rsidP="002E7BBF">
            <w:pPr>
              <w:spacing w:after="60"/>
              <w:jc w:val="right"/>
              <w:rPr>
                <w:sz w:val="18"/>
                <w:lang w:val="es-MX"/>
              </w:rPr>
            </w:pPr>
          </w:p>
        </w:tc>
        <w:tc>
          <w:tcPr>
            <w:tcW w:w="1348" w:type="dxa"/>
            <w:shd w:val="clear" w:color="auto" w:fill="auto"/>
            <w:tcMar>
              <w:left w:w="28" w:type="dxa"/>
              <w:right w:w="28" w:type="dxa"/>
            </w:tcMar>
          </w:tcPr>
          <w:p w:rsidR="002E7BBF" w:rsidRPr="009F5EC9" w:rsidRDefault="002E7BBF" w:rsidP="002E7BBF">
            <w:pPr>
              <w:jc w:val="right"/>
              <w:rPr>
                <w:sz w:val="18"/>
                <w:szCs w:val="18"/>
                <w:lang w:val="es-MX"/>
              </w:rPr>
            </w:pPr>
            <w:r w:rsidRPr="009F5EC9">
              <w:rPr>
                <w:sz w:val="18"/>
                <w:szCs w:val="18"/>
                <w:lang w:val="es-MX"/>
              </w:rPr>
              <w:t>0,11</w:t>
            </w:r>
          </w:p>
        </w:tc>
      </w:tr>
    </w:tbl>
    <w:p w:rsidR="002E7BBF" w:rsidRPr="009F5EC9" w:rsidRDefault="002E7BBF" w:rsidP="002E7BBF">
      <w:pPr>
        <w:spacing w:after="60"/>
        <w:jc w:val="center"/>
        <w:rPr>
          <w:sz w:val="16"/>
          <w:szCs w:val="16"/>
          <w:lang w:val="es-MX"/>
        </w:rPr>
      </w:pPr>
    </w:p>
    <w:tbl>
      <w:tblPr>
        <w:tblStyle w:val="TableGrid"/>
        <w:tblW w:w="1009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3"/>
        <w:gridCol w:w="851"/>
        <w:gridCol w:w="4792"/>
        <w:gridCol w:w="1051"/>
      </w:tblGrid>
      <w:tr w:rsidR="002E7BBF" w:rsidRPr="00FC260B" w:rsidTr="007A1B13">
        <w:trPr>
          <w:trHeight w:val="220"/>
        </w:trPr>
        <w:tc>
          <w:tcPr>
            <w:tcW w:w="10097" w:type="dxa"/>
            <w:gridSpan w:val="4"/>
            <w:shd w:val="clear" w:color="auto" w:fill="auto"/>
            <w:tcMar>
              <w:left w:w="28" w:type="dxa"/>
              <w:right w:w="28" w:type="dxa"/>
            </w:tcMar>
          </w:tcPr>
          <w:p w:rsidR="002E7BBF" w:rsidRPr="009F5EC9" w:rsidRDefault="002E7BBF" w:rsidP="002E7BBF">
            <w:pPr>
              <w:spacing w:after="60"/>
              <w:jc w:val="left"/>
              <w:rPr>
                <w:b/>
                <w:sz w:val="18"/>
                <w:lang w:val="es-MX"/>
              </w:rPr>
            </w:pPr>
            <w:r w:rsidRPr="009F5EC9">
              <w:rPr>
                <w:b/>
                <w:sz w:val="18"/>
                <w:lang w:val="es-MX"/>
              </w:rPr>
              <w:t>IV) DATOS SOBRE EL CONSUMO (toneladas PAO)</w:t>
            </w:r>
          </w:p>
        </w:tc>
      </w:tr>
      <w:tr w:rsidR="002E7BBF" w:rsidRPr="009F5EC9" w:rsidTr="007A1B13">
        <w:trPr>
          <w:trHeight w:val="220"/>
        </w:trPr>
        <w:tc>
          <w:tcPr>
            <w:tcW w:w="3403"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Nivel básico 2009-2010:</w:t>
            </w:r>
          </w:p>
        </w:tc>
        <w:tc>
          <w:tcPr>
            <w:tcW w:w="851"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8,4</w:t>
            </w:r>
          </w:p>
        </w:tc>
        <w:tc>
          <w:tcPr>
            <w:tcW w:w="4792"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Punto de partida para las reducciones acumulativas sostenidas:</w:t>
            </w:r>
          </w:p>
        </w:tc>
        <w:tc>
          <w:tcPr>
            <w:tcW w:w="1051"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8,37</w:t>
            </w:r>
          </w:p>
        </w:tc>
      </w:tr>
      <w:tr w:rsidR="002E7BBF" w:rsidRPr="00FC260B" w:rsidTr="007A1B13">
        <w:trPr>
          <w:trHeight w:val="220"/>
        </w:trPr>
        <w:tc>
          <w:tcPr>
            <w:tcW w:w="10097" w:type="dxa"/>
            <w:gridSpan w:val="4"/>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CONSUMO ADMISIBLE PARA LA FINANCIACIÓN (toneladas PAO)</w:t>
            </w:r>
          </w:p>
        </w:tc>
      </w:tr>
      <w:tr w:rsidR="002E7BBF" w:rsidRPr="009F5EC9" w:rsidTr="007A1B13">
        <w:trPr>
          <w:trHeight w:val="220"/>
        </w:trPr>
        <w:tc>
          <w:tcPr>
            <w:tcW w:w="3403"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Ya aprobado:</w:t>
            </w:r>
          </w:p>
        </w:tc>
        <w:tc>
          <w:tcPr>
            <w:tcW w:w="851"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2,94</w:t>
            </w:r>
          </w:p>
        </w:tc>
        <w:tc>
          <w:tcPr>
            <w:tcW w:w="4792"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Restante:</w:t>
            </w:r>
          </w:p>
        </w:tc>
        <w:tc>
          <w:tcPr>
            <w:tcW w:w="1051"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5,43</w:t>
            </w:r>
          </w:p>
        </w:tc>
      </w:tr>
    </w:tbl>
    <w:p w:rsidR="002E7BBF" w:rsidRPr="009F5EC9" w:rsidRDefault="002E7BBF" w:rsidP="002E7BBF">
      <w:pPr>
        <w:spacing w:after="60"/>
        <w:jc w:val="center"/>
        <w:rPr>
          <w:sz w:val="16"/>
          <w:szCs w:val="16"/>
          <w:lang w:val="es-MX"/>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0"/>
        <w:gridCol w:w="3761"/>
        <w:gridCol w:w="2101"/>
        <w:gridCol w:w="1681"/>
        <w:gridCol w:w="1367"/>
      </w:tblGrid>
      <w:tr w:rsidR="002E7BBF" w:rsidRPr="009F5EC9" w:rsidTr="007A1B13">
        <w:trPr>
          <w:trHeight w:val="215"/>
          <w:jc w:val="center"/>
        </w:trPr>
        <w:tc>
          <w:tcPr>
            <w:tcW w:w="4911" w:type="dxa"/>
            <w:gridSpan w:val="2"/>
            <w:shd w:val="clear" w:color="auto" w:fill="auto"/>
          </w:tcPr>
          <w:p w:rsidR="002E7BBF" w:rsidRPr="009F5EC9" w:rsidRDefault="002E7BBF" w:rsidP="002E7BBF">
            <w:pPr>
              <w:spacing w:after="60"/>
              <w:jc w:val="left"/>
              <w:rPr>
                <w:b/>
                <w:sz w:val="18"/>
                <w:lang w:val="es-MX"/>
              </w:rPr>
            </w:pPr>
            <w:r w:rsidRPr="009F5EC9">
              <w:rPr>
                <w:b/>
                <w:sz w:val="18"/>
                <w:lang w:val="es-MX"/>
              </w:rPr>
              <w:t>V) PLAN ADMINISTRATIVO</w:t>
            </w:r>
          </w:p>
        </w:tc>
        <w:tc>
          <w:tcPr>
            <w:tcW w:w="2101" w:type="dxa"/>
            <w:shd w:val="clear" w:color="auto" w:fill="auto"/>
          </w:tcPr>
          <w:p w:rsidR="002E7BBF" w:rsidRPr="009F5EC9" w:rsidRDefault="002E7BBF" w:rsidP="002E7BBF">
            <w:pPr>
              <w:spacing w:after="60"/>
              <w:jc w:val="center"/>
              <w:rPr>
                <w:b/>
                <w:sz w:val="18"/>
                <w:lang w:val="es-MX"/>
              </w:rPr>
            </w:pPr>
            <w:r w:rsidRPr="009F5EC9">
              <w:rPr>
                <w:b/>
                <w:sz w:val="18"/>
                <w:lang w:val="es-MX"/>
              </w:rPr>
              <w:t>2019</w:t>
            </w:r>
          </w:p>
        </w:tc>
        <w:tc>
          <w:tcPr>
            <w:tcW w:w="1681" w:type="dxa"/>
            <w:shd w:val="clear" w:color="auto" w:fill="auto"/>
          </w:tcPr>
          <w:p w:rsidR="002E7BBF" w:rsidRPr="009F5EC9" w:rsidRDefault="002E7BBF" w:rsidP="002E7BBF">
            <w:pPr>
              <w:spacing w:after="60"/>
              <w:jc w:val="center"/>
              <w:rPr>
                <w:b/>
                <w:sz w:val="18"/>
                <w:lang w:val="es-MX"/>
              </w:rPr>
            </w:pPr>
            <w:r w:rsidRPr="009F5EC9">
              <w:rPr>
                <w:b/>
                <w:sz w:val="18"/>
                <w:lang w:val="es-MX"/>
              </w:rPr>
              <w:t>2020</w:t>
            </w:r>
          </w:p>
        </w:tc>
        <w:tc>
          <w:tcPr>
            <w:tcW w:w="1367" w:type="dxa"/>
            <w:shd w:val="clear" w:color="auto" w:fill="auto"/>
          </w:tcPr>
          <w:p w:rsidR="002E7BBF" w:rsidRPr="009F5EC9" w:rsidRDefault="002E7BBF" w:rsidP="002E7BBF">
            <w:pPr>
              <w:spacing w:after="60"/>
              <w:jc w:val="center"/>
              <w:rPr>
                <w:b/>
                <w:sz w:val="18"/>
                <w:lang w:val="es-MX"/>
              </w:rPr>
            </w:pPr>
            <w:r w:rsidRPr="009F5EC9">
              <w:rPr>
                <w:b/>
                <w:sz w:val="18"/>
                <w:lang w:val="es-MX"/>
              </w:rPr>
              <w:t>Total</w:t>
            </w:r>
          </w:p>
        </w:tc>
      </w:tr>
      <w:tr w:rsidR="002E7BBF" w:rsidRPr="009F5EC9" w:rsidTr="007A1B13">
        <w:trPr>
          <w:trHeight w:val="215"/>
          <w:jc w:val="center"/>
        </w:trPr>
        <w:tc>
          <w:tcPr>
            <w:tcW w:w="1150" w:type="dxa"/>
            <w:vMerge w:val="restart"/>
            <w:shd w:val="clear" w:color="auto" w:fill="auto"/>
          </w:tcPr>
          <w:p w:rsidR="002E7BBF" w:rsidRPr="009F5EC9" w:rsidRDefault="002E7BBF" w:rsidP="002E7BBF">
            <w:pPr>
              <w:spacing w:after="60"/>
              <w:jc w:val="center"/>
              <w:rPr>
                <w:sz w:val="18"/>
                <w:lang w:val="es-MX"/>
              </w:rPr>
            </w:pPr>
            <w:r w:rsidRPr="009F5EC9">
              <w:rPr>
                <w:sz w:val="18"/>
                <w:lang w:val="es-MX"/>
              </w:rPr>
              <w:t>PNUMA</w:t>
            </w:r>
          </w:p>
        </w:tc>
        <w:tc>
          <w:tcPr>
            <w:tcW w:w="3761" w:type="dxa"/>
            <w:shd w:val="clear" w:color="auto" w:fill="auto"/>
          </w:tcPr>
          <w:p w:rsidR="002E7BBF" w:rsidRPr="009F5EC9" w:rsidRDefault="002E7BBF" w:rsidP="002E7BBF">
            <w:pPr>
              <w:spacing w:after="60"/>
              <w:jc w:val="left"/>
              <w:rPr>
                <w:sz w:val="18"/>
                <w:lang w:val="es-MX"/>
              </w:rPr>
            </w:pPr>
            <w:r w:rsidRPr="009F5EC9">
              <w:rPr>
                <w:sz w:val="18"/>
                <w:lang w:val="es-MX"/>
              </w:rPr>
              <w:t>Eliminación de SAO (toneladas PAO)</w:t>
            </w:r>
          </w:p>
        </w:tc>
        <w:tc>
          <w:tcPr>
            <w:tcW w:w="2101" w:type="dxa"/>
            <w:shd w:val="clear" w:color="auto" w:fill="auto"/>
          </w:tcPr>
          <w:p w:rsidR="002E7BBF" w:rsidRPr="009F5EC9" w:rsidRDefault="002E7BBF" w:rsidP="002E7BBF">
            <w:pPr>
              <w:spacing w:after="60"/>
              <w:jc w:val="right"/>
              <w:rPr>
                <w:sz w:val="18"/>
                <w:lang w:val="es-MX"/>
              </w:rPr>
            </w:pPr>
            <w:r w:rsidRPr="009F5EC9">
              <w:rPr>
                <w:sz w:val="18"/>
                <w:lang w:val="es-MX"/>
              </w:rPr>
              <w:t>0</w:t>
            </w:r>
          </w:p>
        </w:tc>
        <w:tc>
          <w:tcPr>
            <w:tcW w:w="1681" w:type="dxa"/>
            <w:shd w:val="clear" w:color="auto" w:fill="auto"/>
          </w:tcPr>
          <w:p w:rsidR="002E7BBF" w:rsidRPr="009F5EC9" w:rsidRDefault="002E7BBF" w:rsidP="002E7BBF">
            <w:pPr>
              <w:spacing w:after="60"/>
              <w:jc w:val="right"/>
              <w:rPr>
                <w:sz w:val="18"/>
                <w:lang w:val="es-MX"/>
              </w:rPr>
            </w:pPr>
            <w:r w:rsidRPr="009F5EC9">
              <w:rPr>
                <w:sz w:val="18"/>
                <w:lang w:val="es-MX"/>
              </w:rPr>
              <w:t>0,02</w:t>
            </w:r>
          </w:p>
        </w:tc>
        <w:tc>
          <w:tcPr>
            <w:tcW w:w="1367" w:type="dxa"/>
            <w:shd w:val="clear" w:color="auto" w:fill="auto"/>
          </w:tcPr>
          <w:p w:rsidR="002E7BBF" w:rsidRPr="009F5EC9" w:rsidRDefault="002E7BBF" w:rsidP="002E7BBF">
            <w:pPr>
              <w:spacing w:after="60"/>
              <w:jc w:val="right"/>
              <w:rPr>
                <w:sz w:val="18"/>
                <w:lang w:val="es-MX"/>
              </w:rPr>
            </w:pPr>
            <w:r w:rsidRPr="009F5EC9">
              <w:rPr>
                <w:sz w:val="18"/>
                <w:lang w:val="es-MX"/>
              </w:rPr>
              <w:t>0,02</w:t>
            </w:r>
          </w:p>
        </w:tc>
      </w:tr>
      <w:tr w:rsidR="002E7BBF" w:rsidRPr="009F5EC9" w:rsidTr="007A1B13">
        <w:trPr>
          <w:trHeight w:val="215"/>
          <w:jc w:val="center"/>
        </w:trPr>
        <w:tc>
          <w:tcPr>
            <w:tcW w:w="1150" w:type="dxa"/>
            <w:vMerge/>
            <w:shd w:val="clear" w:color="auto" w:fill="auto"/>
          </w:tcPr>
          <w:p w:rsidR="002E7BBF" w:rsidRPr="009F5EC9" w:rsidRDefault="002E7BBF" w:rsidP="002E7BBF">
            <w:pPr>
              <w:spacing w:after="60"/>
              <w:jc w:val="center"/>
              <w:rPr>
                <w:sz w:val="18"/>
                <w:lang w:val="es-MX"/>
              </w:rPr>
            </w:pPr>
          </w:p>
        </w:tc>
        <w:tc>
          <w:tcPr>
            <w:tcW w:w="3761" w:type="dxa"/>
            <w:shd w:val="clear" w:color="auto" w:fill="auto"/>
          </w:tcPr>
          <w:p w:rsidR="002E7BBF" w:rsidRPr="009F5EC9" w:rsidRDefault="002E7BBF" w:rsidP="002E7BBF">
            <w:pPr>
              <w:spacing w:after="60"/>
              <w:jc w:val="left"/>
              <w:rPr>
                <w:sz w:val="18"/>
                <w:lang w:val="es-MX"/>
              </w:rPr>
            </w:pPr>
            <w:r w:rsidRPr="009F5EC9">
              <w:rPr>
                <w:sz w:val="18"/>
                <w:lang w:val="es-MX"/>
              </w:rPr>
              <w:t>Financiación ($EUA)</w:t>
            </w:r>
          </w:p>
        </w:tc>
        <w:tc>
          <w:tcPr>
            <w:tcW w:w="2101" w:type="dxa"/>
            <w:shd w:val="clear" w:color="auto" w:fill="auto"/>
          </w:tcPr>
          <w:p w:rsidR="002E7BBF" w:rsidRPr="009F5EC9" w:rsidRDefault="002E7BBF" w:rsidP="002E7BBF">
            <w:pPr>
              <w:spacing w:after="60"/>
              <w:jc w:val="right"/>
              <w:rPr>
                <w:sz w:val="18"/>
                <w:lang w:val="es-MX"/>
              </w:rPr>
            </w:pPr>
            <w:r w:rsidRPr="009F5EC9">
              <w:rPr>
                <w:sz w:val="18"/>
                <w:lang w:val="es-MX"/>
              </w:rPr>
              <w:t>0</w:t>
            </w:r>
          </w:p>
        </w:tc>
        <w:tc>
          <w:tcPr>
            <w:tcW w:w="1681" w:type="dxa"/>
            <w:shd w:val="clear" w:color="auto" w:fill="auto"/>
          </w:tcPr>
          <w:p w:rsidR="002E7BBF" w:rsidRPr="009F5EC9" w:rsidRDefault="002E7BBF" w:rsidP="002E7BBF">
            <w:pPr>
              <w:spacing w:after="60"/>
              <w:jc w:val="right"/>
              <w:rPr>
                <w:sz w:val="18"/>
                <w:lang w:val="es-MX"/>
              </w:rPr>
            </w:pPr>
            <w:r w:rsidRPr="009F5EC9">
              <w:rPr>
                <w:sz w:val="18"/>
                <w:lang w:val="es-MX"/>
              </w:rPr>
              <w:t>8.531</w:t>
            </w:r>
          </w:p>
        </w:tc>
        <w:tc>
          <w:tcPr>
            <w:tcW w:w="1367" w:type="dxa"/>
            <w:shd w:val="clear" w:color="auto" w:fill="auto"/>
          </w:tcPr>
          <w:p w:rsidR="002E7BBF" w:rsidRPr="009F5EC9" w:rsidRDefault="002E7BBF" w:rsidP="002E7BBF">
            <w:pPr>
              <w:spacing w:after="60"/>
              <w:jc w:val="right"/>
              <w:rPr>
                <w:sz w:val="18"/>
                <w:lang w:val="es-MX"/>
              </w:rPr>
            </w:pPr>
            <w:r w:rsidRPr="009F5EC9">
              <w:rPr>
                <w:sz w:val="18"/>
                <w:lang w:val="es-MX"/>
              </w:rPr>
              <w:t>8.531</w:t>
            </w:r>
          </w:p>
        </w:tc>
      </w:tr>
      <w:tr w:rsidR="002E7BBF" w:rsidRPr="009F5EC9" w:rsidTr="007A1B13">
        <w:trPr>
          <w:trHeight w:val="215"/>
          <w:jc w:val="center"/>
        </w:trPr>
        <w:tc>
          <w:tcPr>
            <w:tcW w:w="1150" w:type="dxa"/>
            <w:vMerge w:val="restart"/>
            <w:shd w:val="clear" w:color="auto" w:fill="auto"/>
          </w:tcPr>
          <w:p w:rsidR="002E7BBF" w:rsidRPr="009F5EC9" w:rsidRDefault="002E7BBF" w:rsidP="002E7BBF">
            <w:pPr>
              <w:spacing w:after="60"/>
              <w:jc w:val="center"/>
              <w:rPr>
                <w:sz w:val="18"/>
                <w:lang w:val="es-MX"/>
              </w:rPr>
            </w:pPr>
            <w:r w:rsidRPr="009F5EC9">
              <w:rPr>
                <w:sz w:val="18"/>
                <w:lang w:val="es-MX"/>
              </w:rPr>
              <w:t>ONUDI</w:t>
            </w:r>
          </w:p>
        </w:tc>
        <w:tc>
          <w:tcPr>
            <w:tcW w:w="3761" w:type="dxa"/>
            <w:shd w:val="clear" w:color="auto" w:fill="auto"/>
          </w:tcPr>
          <w:p w:rsidR="002E7BBF" w:rsidRPr="009F5EC9" w:rsidRDefault="002E7BBF" w:rsidP="002E7BBF">
            <w:pPr>
              <w:spacing w:after="60"/>
              <w:jc w:val="left"/>
              <w:rPr>
                <w:sz w:val="18"/>
                <w:lang w:val="es-MX"/>
              </w:rPr>
            </w:pPr>
            <w:r w:rsidRPr="009F5EC9">
              <w:rPr>
                <w:sz w:val="18"/>
                <w:lang w:val="es-MX"/>
              </w:rPr>
              <w:t>Eliminación de SAO (toneladas PAO)</w:t>
            </w:r>
          </w:p>
        </w:tc>
        <w:tc>
          <w:tcPr>
            <w:tcW w:w="2101" w:type="dxa"/>
            <w:shd w:val="clear" w:color="auto" w:fill="auto"/>
          </w:tcPr>
          <w:p w:rsidR="002E7BBF" w:rsidRPr="009F5EC9" w:rsidRDefault="002E7BBF" w:rsidP="002E7BBF">
            <w:pPr>
              <w:spacing w:after="60"/>
              <w:jc w:val="right"/>
              <w:rPr>
                <w:sz w:val="18"/>
                <w:lang w:val="es-MX"/>
              </w:rPr>
            </w:pPr>
            <w:r w:rsidRPr="009F5EC9">
              <w:rPr>
                <w:sz w:val="18"/>
                <w:lang w:val="es-MX"/>
              </w:rPr>
              <w:t>0</w:t>
            </w:r>
          </w:p>
        </w:tc>
        <w:tc>
          <w:tcPr>
            <w:tcW w:w="1681" w:type="dxa"/>
            <w:shd w:val="clear" w:color="auto" w:fill="auto"/>
          </w:tcPr>
          <w:p w:rsidR="002E7BBF" w:rsidRPr="009F5EC9" w:rsidRDefault="002E7BBF" w:rsidP="002E7BBF">
            <w:pPr>
              <w:spacing w:after="60"/>
              <w:jc w:val="right"/>
              <w:rPr>
                <w:sz w:val="18"/>
                <w:lang w:val="es-MX"/>
              </w:rPr>
            </w:pPr>
            <w:r w:rsidRPr="009F5EC9">
              <w:rPr>
                <w:sz w:val="18"/>
                <w:lang w:val="es-MX"/>
              </w:rPr>
              <w:t>0,08</w:t>
            </w:r>
          </w:p>
        </w:tc>
        <w:tc>
          <w:tcPr>
            <w:tcW w:w="1367" w:type="dxa"/>
            <w:shd w:val="clear" w:color="auto" w:fill="auto"/>
          </w:tcPr>
          <w:p w:rsidR="002E7BBF" w:rsidRPr="009F5EC9" w:rsidRDefault="002E7BBF" w:rsidP="002E7BBF">
            <w:pPr>
              <w:spacing w:after="60"/>
              <w:jc w:val="right"/>
              <w:rPr>
                <w:sz w:val="18"/>
                <w:lang w:val="es-MX"/>
              </w:rPr>
            </w:pPr>
            <w:r w:rsidRPr="009F5EC9">
              <w:rPr>
                <w:sz w:val="18"/>
                <w:lang w:val="es-MX"/>
              </w:rPr>
              <w:t>0,08</w:t>
            </w:r>
          </w:p>
        </w:tc>
      </w:tr>
      <w:tr w:rsidR="002E7BBF" w:rsidRPr="009F5EC9" w:rsidTr="007A1B13">
        <w:trPr>
          <w:trHeight w:val="215"/>
          <w:jc w:val="center"/>
        </w:trPr>
        <w:tc>
          <w:tcPr>
            <w:tcW w:w="1150" w:type="dxa"/>
            <w:vMerge/>
            <w:shd w:val="clear" w:color="auto" w:fill="auto"/>
          </w:tcPr>
          <w:p w:rsidR="002E7BBF" w:rsidRPr="009F5EC9" w:rsidRDefault="002E7BBF" w:rsidP="002E7BBF">
            <w:pPr>
              <w:spacing w:after="60"/>
              <w:jc w:val="center"/>
              <w:rPr>
                <w:sz w:val="18"/>
                <w:lang w:val="es-MX"/>
              </w:rPr>
            </w:pPr>
          </w:p>
        </w:tc>
        <w:tc>
          <w:tcPr>
            <w:tcW w:w="3761" w:type="dxa"/>
            <w:shd w:val="clear" w:color="auto" w:fill="auto"/>
          </w:tcPr>
          <w:p w:rsidR="002E7BBF" w:rsidRPr="009F5EC9" w:rsidRDefault="002E7BBF" w:rsidP="002E7BBF">
            <w:pPr>
              <w:spacing w:after="60"/>
              <w:jc w:val="left"/>
              <w:rPr>
                <w:sz w:val="18"/>
                <w:lang w:val="es-MX"/>
              </w:rPr>
            </w:pPr>
            <w:r w:rsidRPr="009F5EC9">
              <w:rPr>
                <w:sz w:val="18"/>
                <w:lang w:val="es-MX"/>
              </w:rPr>
              <w:t>Financiación ($EUA)</w:t>
            </w:r>
          </w:p>
        </w:tc>
        <w:tc>
          <w:tcPr>
            <w:tcW w:w="2101" w:type="dxa"/>
            <w:shd w:val="clear" w:color="auto" w:fill="auto"/>
          </w:tcPr>
          <w:p w:rsidR="002E7BBF" w:rsidRPr="009F5EC9" w:rsidRDefault="002E7BBF" w:rsidP="002E7BBF">
            <w:pPr>
              <w:spacing w:after="60"/>
              <w:jc w:val="right"/>
              <w:rPr>
                <w:sz w:val="18"/>
                <w:lang w:val="es-MX"/>
              </w:rPr>
            </w:pPr>
            <w:r w:rsidRPr="009F5EC9">
              <w:rPr>
                <w:sz w:val="18"/>
                <w:lang w:val="es-MX"/>
              </w:rPr>
              <w:t>0</w:t>
            </w:r>
          </w:p>
        </w:tc>
        <w:tc>
          <w:tcPr>
            <w:tcW w:w="1681" w:type="dxa"/>
            <w:shd w:val="clear" w:color="auto" w:fill="auto"/>
          </w:tcPr>
          <w:p w:rsidR="002E7BBF" w:rsidRPr="009F5EC9" w:rsidRDefault="002E7BBF" w:rsidP="002E7BBF">
            <w:pPr>
              <w:spacing w:after="60"/>
              <w:jc w:val="right"/>
              <w:rPr>
                <w:sz w:val="18"/>
                <w:lang w:val="es-MX"/>
              </w:rPr>
            </w:pPr>
            <w:r w:rsidRPr="009F5EC9">
              <w:rPr>
                <w:sz w:val="18"/>
                <w:lang w:val="es-MX"/>
              </w:rPr>
              <w:t>27.628</w:t>
            </w:r>
          </w:p>
        </w:tc>
        <w:tc>
          <w:tcPr>
            <w:tcW w:w="1367" w:type="dxa"/>
            <w:shd w:val="clear" w:color="auto" w:fill="auto"/>
          </w:tcPr>
          <w:p w:rsidR="002E7BBF" w:rsidRPr="009F5EC9" w:rsidRDefault="002E7BBF" w:rsidP="002E7BBF">
            <w:pPr>
              <w:spacing w:after="60"/>
              <w:jc w:val="right"/>
              <w:rPr>
                <w:sz w:val="18"/>
                <w:lang w:val="es-MX"/>
              </w:rPr>
            </w:pPr>
            <w:r w:rsidRPr="009F5EC9">
              <w:rPr>
                <w:sz w:val="18"/>
                <w:lang w:val="es-MX"/>
              </w:rPr>
              <w:t>27.628</w:t>
            </w:r>
          </w:p>
        </w:tc>
      </w:tr>
    </w:tbl>
    <w:p w:rsidR="002E7BBF" w:rsidRPr="009F5EC9" w:rsidRDefault="002E7BBF" w:rsidP="002E7BBF">
      <w:pPr>
        <w:spacing w:after="60"/>
        <w:jc w:val="center"/>
        <w:rPr>
          <w:sz w:val="16"/>
          <w:szCs w:val="16"/>
          <w:lang w:val="es-MX"/>
        </w:rPr>
      </w:pPr>
    </w:p>
    <w:tbl>
      <w:tblPr>
        <w:tblStyle w:val="TableGrid"/>
        <w:tblW w:w="1002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6"/>
        <w:gridCol w:w="775"/>
        <w:gridCol w:w="1550"/>
        <w:gridCol w:w="903"/>
        <w:gridCol w:w="526"/>
        <w:gridCol w:w="425"/>
        <w:gridCol w:w="709"/>
        <w:gridCol w:w="425"/>
        <w:gridCol w:w="425"/>
        <w:gridCol w:w="567"/>
        <w:gridCol w:w="567"/>
        <w:gridCol w:w="425"/>
        <w:gridCol w:w="709"/>
        <w:gridCol w:w="567"/>
        <w:gridCol w:w="820"/>
      </w:tblGrid>
      <w:tr w:rsidR="007A1B13" w:rsidRPr="009F5EC9" w:rsidTr="007A1B13">
        <w:trPr>
          <w:jc w:val="center"/>
        </w:trPr>
        <w:tc>
          <w:tcPr>
            <w:tcW w:w="2961" w:type="dxa"/>
            <w:gridSpan w:val="3"/>
            <w:shd w:val="clear" w:color="auto" w:fill="auto"/>
            <w:tcMar>
              <w:left w:w="28" w:type="dxa"/>
              <w:right w:w="28" w:type="dxa"/>
            </w:tcMar>
          </w:tcPr>
          <w:p w:rsidR="002E7BBF" w:rsidRPr="009F5EC9" w:rsidRDefault="002E7BBF" w:rsidP="002E7BBF">
            <w:pPr>
              <w:spacing w:after="60"/>
              <w:jc w:val="left"/>
              <w:rPr>
                <w:b/>
                <w:sz w:val="18"/>
                <w:lang w:val="es-MX"/>
              </w:rPr>
            </w:pPr>
            <w:r w:rsidRPr="009F5EC9">
              <w:rPr>
                <w:b/>
                <w:sz w:val="18"/>
                <w:lang w:val="es-MX"/>
              </w:rPr>
              <w:t>VI) DATOS DEL PROYECTO</w:t>
            </w:r>
          </w:p>
        </w:tc>
        <w:tc>
          <w:tcPr>
            <w:tcW w:w="903"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2010</w:t>
            </w:r>
          </w:p>
        </w:tc>
        <w:tc>
          <w:tcPr>
            <w:tcW w:w="526"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2011</w:t>
            </w:r>
          </w:p>
        </w:tc>
        <w:tc>
          <w:tcPr>
            <w:tcW w:w="425"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2012</w:t>
            </w:r>
          </w:p>
        </w:tc>
        <w:tc>
          <w:tcPr>
            <w:tcW w:w="709"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2013</w:t>
            </w:r>
          </w:p>
        </w:tc>
        <w:tc>
          <w:tcPr>
            <w:tcW w:w="425"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2014</w:t>
            </w:r>
          </w:p>
        </w:tc>
        <w:tc>
          <w:tcPr>
            <w:tcW w:w="425"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2015</w:t>
            </w:r>
          </w:p>
        </w:tc>
        <w:tc>
          <w:tcPr>
            <w:tcW w:w="567"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2016</w:t>
            </w:r>
          </w:p>
        </w:tc>
        <w:tc>
          <w:tcPr>
            <w:tcW w:w="567"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2017</w:t>
            </w:r>
          </w:p>
        </w:tc>
        <w:tc>
          <w:tcPr>
            <w:tcW w:w="425"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2018</w:t>
            </w:r>
          </w:p>
        </w:tc>
        <w:tc>
          <w:tcPr>
            <w:tcW w:w="709"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2019</w:t>
            </w:r>
          </w:p>
        </w:tc>
        <w:tc>
          <w:tcPr>
            <w:tcW w:w="567"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2020*</w:t>
            </w:r>
          </w:p>
        </w:tc>
        <w:tc>
          <w:tcPr>
            <w:tcW w:w="820" w:type="dxa"/>
            <w:shd w:val="clear" w:color="auto" w:fill="auto"/>
            <w:tcMar>
              <w:left w:w="28" w:type="dxa"/>
              <w:right w:w="28" w:type="dxa"/>
            </w:tcMar>
          </w:tcPr>
          <w:p w:rsidR="002E7BBF" w:rsidRPr="009F5EC9" w:rsidRDefault="002E7BBF" w:rsidP="002E7BBF">
            <w:pPr>
              <w:spacing w:after="60"/>
              <w:jc w:val="center"/>
              <w:rPr>
                <w:b/>
                <w:sz w:val="18"/>
                <w:lang w:val="es-MX"/>
              </w:rPr>
            </w:pPr>
            <w:r w:rsidRPr="009F5EC9">
              <w:rPr>
                <w:b/>
                <w:sz w:val="18"/>
                <w:lang w:val="es-MX"/>
              </w:rPr>
              <w:t>Total</w:t>
            </w:r>
          </w:p>
        </w:tc>
      </w:tr>
      <w:tr w:rsidR="007A1B13" w:rsidRPr="009F5EC9" w:rsidTr="007A1B13">
        <w:trPr>
          <w:jc w:val="center"/>
        </w:trPr>
        <w:tc>
          <w:tcPr>
            <w:tcW w:w="2961" w:type="dxa"/>
            <w:gridSpan w:val="3"/>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Límites de consumo establecidos en el Protocolo de Montreal</w:t>
            </w:r>
          </w:p>
        </w:tc>
        <w:tc>
          <w:tcPr>
            <w:tcW w:w="903"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nc</w:t>
            </w:r>
          </w:p>
        </w:tc>
        <w:tc>
          <w:tcPr>
            <w:tcW w:w="526"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nc</w:t>
            </w:r>
          </w:p>
        </w:tc>
        <w:tc>
          <w:tcPr>
            <w:tcW w:w="425"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nc</w:t>
            </w:r>
          </w:p>
        </w:tc>
        <w:tc>
          <w:tcPr>
            <w:tcW w:w="709"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8,4</w:t>
            </w:r>
          </w:p>
        </w:tc>
        <w:tc>
          <w:tcPr>
            <w:tcW w:w="425"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8,4</w:t>
            </w:r>
          </w:p>
        </w:tc>
        <w:tc>
          <w:tcPr>
            <w:tcW w:w="425"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567"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567"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425"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709"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567"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5,46</w:t>
            </w:r>
          </w:p>
        </w:tc>
        <w:tc>
          <w:tcPr>
            <w:tcW w:w="820"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nc</w:t>
            </w:r>
          </w:p>
        </w:tc>
      </w:tr>
      <w:tr w:rsidR="007A1B13" w:rsidRPr="009F5EC9" w:rsidTr="007A1B13">
        <w:trPr>
          <w:jc w:val="center"/>
        </w:trPr>
        <w:tc>
          <w:tcPr>
            <w:tcW w:w="2961" w:type="dxa"/>
            <w:gridSpan w:val="3"/>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Consumo máximo permitido (toneladas PAO)</w:t>
            </w:r>
          </w:p>
        </w:tc>
        <w:tc>
          <w:tcPr>
            <w:tcW w:w="903"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nc</w:t>
            </w:r>
          </w:p>
        </w:tc>
        <w:tc>
          <w:tcPr>
            <w:tcW w:w="526"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nc</w:t>
            </w:r>
          </w:p>
        </w:tc>
        <w:tc>
          <w:tcPr>
            <w:tcW w:w="425"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nc</w:t>
            </w:r>
          </w:p>
        </w:tc>
        <w:tc>
          <w:tcPr>
            <w:tcW w:w="709"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8,4</w:t>
            </w:r>
          </w:p>
        </w:tc>
        <w:tc>
          <w:tcPr>
            <w:tcW w:w="425"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8,4</w:t>
            </w:r>
          </w:p>
        </w:tc>
        <w:tc>
          <w:tcPr>
            <w:tcW w:w="425"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567"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567"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425"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709"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7,56</w:t>
            </w:r>
          </w:p>
        </w:tc>
        <w:tc>
          <w:tcPr>
            <w:tcW w:w="567" w:type="dxa"/>
            <w:shd w:val="clear" w:color="auto" w:fill="auto"/>
            <w:tcMar>
              <w:left w:w="28" w:type="dxa"/>
              <w:right w:w="28" w:type="dxa"/>
            </w:tcMar>
          </w:tcPr>
          <w:p w:rsidR="002E7BBF" w:rsidRPr="009F5EC9" w:rsidRDefault="002E7BBF" w:rsidP="002E7BBF">
            <w:pPr>
              <w:keepNext/>
              <w:keepLines/>
              <w:jc w:val="right"/>
              <w:rPr>
                <w:rFonts w:eastAsia="Calibri"/>
                <w:color w:val="000000"/>
                <w:sz w:val="18"/>
                <w:szCs w:val="18"/>
                <w:lang w:val="es-MX"/>
              </w:rPr>
            </w:pPr>
            <w:r w:rsidRPr="009F5EC9">
              <w:rPr>
                <w:color w:val="000000"/>
                <w:sz w:val="18"/>
                <w:szCs w:val="18"/>
                <w:lang w:val="es-MX"/>
              </w:rPr>
              <w:t>5,46</w:t>
            </w:r>
          </w:p>
        </w:tc>
        <w:tc>
          <w:tcPr>
            <w:tcW w:w="820" w:type="dxa"/>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nc</w:t>
            </w:r>
          </w:p>
        </w:tc>
      </w:tr>
      <w:tr w:rsidR="007A1B13" w:rsidRPr="009F5EC9" w:rsidTr="007A1B13">
        <w:trPr>
          <w:jc w:val="center"/>
        </w:trPr>
        <w:tc>
          <w:tcPr>
            <w:tcW w:w="636" w:type="dxa"/>
            <w:vMerge w:val="restart"/>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Financiación acordada ($EUA)</w:t>
            </w:r>
          </w:p>
        </w:tc>
        <w:tc>
          <w:tcPr>
            <w:tcW w:w="775" w:type="dxa"/>
            <w:vMerge w:val="restart"/>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 xml:space="preserve">PNUMA </w:t>
            </w:r>
          </w:p>
        </w:tc>
        <w:tc>
          <w:tcPr>
            <w:tcW w:w="1550"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Costos del proyecto</w:t>
            </w:r>
          </w:p>
        </w:tc>
        <w:tc>
          <w:tcPr>
            <w:tcW w:w="903"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26.000</w:t>
            </w:r>
          </w:p>
        </w:tc>
        <w:tc>
          <w:tcPr>
            <w:tcW w:w="526"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27.500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14.450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7.550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820"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75.500</w:t>
            </w:r>
          </w:p>
        </w:tc>
      </w:tr>
      <w:tr w:rsidR="007A1B13" w:rsidRPr="009F5EC9" w:rsidTr="007A1B13">
        <w:trPr>
          <w:jc w:val="center"/>
        </w:trPr>
        <w:tc>
          <w:tcPr>
            <w:tcW w:w="636" w:type="dxa"/>
            <w:vMerge/>
            <w:shd w:val="clear" w:color="auto" w:fill="auto"/>
            <w:tcMar>
              <w:left w:w="28" w:type="dxa"/>
              <w:right w:w="28" w:type="dxa"/>
            </w:tcMar>
          </w:tcPr>
          <w:p w:rsidR="002E7BBF" w:rsidRPr="009F5EC9" w:rsidRDefault="002E7BBF" w:rsidP="002E7BBF">
            <w:pPr>
              <w:spacing w:after="60"/>
              <w:jc w:val="center"/>
              <w:rPr>
                <w:sz w:val="18"/>
                <w:lang w:val="es-MX"/>
              </w:rPr>
            </w:pPr>
          </w:p>
        </w:tc>
        <w:tc>
          <w:tcPr>
            <w:tcW w:w="775" w:type="dxa"/>
            <w:vMerge/>
            <w:shd w:val="clear" w:color="auto" w:fill="auto"/>
            <w:tcMar>
              <w:left w:w="28" w:type="dxa"/>
              <w:right w:w="28" w:type="dxa"/>
            </w:tcMar>
          </w:tcPr>
          <w:p w:rsidR="002E7BBF" w:rsidRPr="009F5EC9" w:rsidRDefault="002E7BBF" w:rsidP="002E7BBF">
            <w:pPr>
              <w:spacing w:after="60"/>
              <w:jc w:val="center"/>
              <w:rPr>
                <w:sz w:val="18"/>
                <w:lang w:val="es-MX"/>
              </w:rPr>
            </w:pPr>
          </w:p>
        </w:tc>
        <w:tc>
          <w:tcPr>
            <w:tcW w:w="1550"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Gastos de apoyo</w:t>
            </w:r>
          </w:p>
        </w:tc>
        <w:tc>
          <w:tcPr>
            <w:tcW w:w="903"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3.380</w:t>
            </w:r>
          </w:p>
        </w:tc>
        <w:tc>
          <w:tcPr>
            <w:tcW w:w="526"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3.575</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1.879</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981</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820"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9.815</w:t>
            </w:r>
          </w:p>
        </w:tc>
      </w:tr>
      <w:tr w:rsidR="007A1B13" w:rsidRPr="009F5EC9" w:rsidTr="007A1B13">
        <w:trPr>
          <w:jc w:val="center"/>
        </w:trPr>
        <w:tc>
          <w:tcPr>
            <w:tcW w:w="636" w:type="dxa"/>
            <w:vMerge/>
            <w:shd w:val="clear" w:color="auto" w:fill="auto"/>
            <w:tcMar>
              <w:left w:w="28" w:type="dxa"/>
              <w:right w:w="28" w:type="dxa"/>
            </w:tcMar>
          </w:tcPr>
          <w:p w:rsidR="002E7BBF" w:rsidRPr="009F5EC9" w:rsidRDefault="002E7BBF" w:rsidP="002E7BBF">
            <w:pPr>
              <w:spacing w:after="60"/>
              <w:jc w:val="center"/>
              <w:rPr>
                <w:sz w:val="18"/>
                <w:lang w:val="es-MX"/>
              </w:rPr>
            </w:pPr>
          </w:p>
        </w:tc>
        <w:tc>
          <w:tcPr>
            <w:tcW w:w="775" w:type="dxa"/>
            <w:vMerge w:val="restart"/>
            <w:shd w:val="clear" w:color="auto" w:fill="auto"/>
            <w:tcMar>
              <w:left w:w="28" w:type="dxa"/>
              <w:right w:w="28" w:type="dxa"/>
            </w:tcMar>
          </w:tcPr>
          <w:p w:rsidR="002E7BBF" w:rsidRPr="009F5EC9" w:rsidRDefault="002E7BBF" w:rsidP="002E7BBF">
            <w:pPr>
              <w:spacing w:after="60"/>
              <w:jc w:val="center"/>
              <w:rPr>
                <w:sz w:val="18"/>
                <w:lang w:val="es-MX"/>
              </w:rPr>
            </w:pPr>
            <w:r w:rsidRPr="009F5EC9">
              <w:rPr>
                <w:sz w:val="18"/>
                <w:lang w:val="es-MX"/>
              </w:rPr>
              <w:t>ONUDI</w:t>
            </w:r>
          </w:p>
        </w:tc>
        <w:tc>
          <w:tcPr>
            <w:tcW w:w="1550"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Costos del proyecto</w:t>
            </w:r>
          </w:p>
        </w:tc>
        <w:tc>
          <w:tcPr>
            <w:tcW w:w="903"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360.130</w:t>
            </w:r>
          </w:p>
        </w:tc>
        <w:tc>
          <w:tcPr>
            <w:tcW w:w="526"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444.130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67.800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25.700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820"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897.760</w:t>
            </w:r>
          </w:p>
        </w:tc>
      </w:tr>
      <w:tr w:rsidR="007A1B13" w:rsidRPr="009F5EC9" w:rsidTr="007A1B13">
        <w:trPr>
          <w:jc w:val="center"/>
        </w:trPr>
        <w:tc>
          <w:tcPr>
            <w:tcW w:w="636" w:type="dxa"/>
            <w:vMerge/>
            <w:shd w:val="clear" w:color="auto" w:fill="auto"/>
            <w:tcMar>
              <w:left w:w="28" w:type="dxa"/>
              <w:right w:w="28" w:type="dxa"/>
            </w:tcMar>
          </w:tcPr>
          <w:p w:rsidR="002E7BBF" w:rsidRPr="009F5EC9" w:rsidRDefault="002E7BBF" w:rsidP="002E7BBF">
            <w:pPr>
              <w:spacing w:after="60"/>
              <w:jc w:val="center"/>
              <w:rPr>
                <w:sz w:val="18"/>
                <w:lang w:val="es-MX"/>
              </w:rPr>
            </w:pPr>
          </w:p>
        </w:tc>
        <w:tc>
          <w:tcPr>
            <w:tcW w:w="775" w:type="dxa"/>
            <w:vMerge/>
            <w:shd w:val="clear" w:color="auto" w:fill="auto"/>
            <w:tcMar>
              <w:left w:w="28" w:type="dxa"/>
              <w:right w:w="28" w:type="dxa"/>
            </w:tcMar>
          </w:tcPr>
          <w:p w:rsidR="002E7BBF" w:rsidRPr="009F5EC9" w:rsidRDefault="002E7BBF" w:rsidP="002E7BBF">
            <w:pPr>
              <w:spacing w:after="60"/>
              <w:jc w:val="center"/>
              <w:rPr>
                <w:sz w:val="18"/>
                <w:lang w:val="es-MX"/>
              </w:rPr>
            </w:pPr>
          </w:p>
        </w:tc>
        <w:tc>
          <w:tcPr>
            <w:tcW w:w="1550"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Gastos de apoyo</w:t>
            </w:r>
          </w:p>
        </w:tc>
        <w:tc>
          <w:tcPr>
            <w:tcW w:w="903"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27.010</w:t>
            </w:r>
          </w:p>
        </w:tc>
        <w:tc>
          <w:tcPr>
            <w:tcW w:w="526"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33.310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5.085</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1.928</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820"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67.333</w:t>
            </w:r>
          </w:p>
        </w:tc>
      </w:tr>
      <w:tr w:rsidR="007A1B13" w:rsidRPr="009F5EC9" w:rsidTr="007A1B13">
        <w:trPr>
          <w:jc w:val="center"/>
        </w:trPr>
        <w:tc>
          <w:tcPr>
            <w:tcW w:w="1411" w:type="dxa"/>
            <w:gridSpan w:val="2"/>
            <w:vMerge w:val="restart"/>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Fondos aprobados por el Comité Ejecutivo ($EUA)</w:t>
            </w:r>
          </w:p>
        </w:tc>
        <w:tc>
          <w:tcPr>
            <w:tcW w:w="1550"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Costos del proyecto</w:t>
            </w:r>
          </w:p>
        </w:tc>
        <w:tc>
          <w:tcPr>
            <w:tcW w:w="903"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386.130</w:t>
            </w:r>
          </w:p>
        </w:tc>
        <w:tc>
          <w:tcPr>
            <w:tcW w:w="526"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471.630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82.250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820" w:type="dxa"/>
            <w:shd w:val="clear" w:color="auto" w:fill="auto"/>
            <w:tcMar>
              <w:left w:w="28" w:type="dxa"/>
              <w:right w:w="28" w:type="dxa"/>
            </w:tcMar>
          </w:tcPr>
          <w:p w:rsidR="002E7BBF" w:rsidRPr="009F5EC9" w:rsidRDefault="007A1B13" w:rsidP="002E7BBF">
            <w:pPr>
              <w:spacing w:after="60"/>
              <w:jc w:val="right"/>
              <w:rPr>
                <w:sz w:val="18"/>
                <w:lang w:val="es-MX"/>
              </w:rPr>
            </w:pPr>
            <w:r w:rsidRPr="007A1B13">
              <w:rPr>
                <w:sz w:val="18"/>
                <w:lang w:val="es-MX"/>
              </w:rPr>
              <w:t>940.01</w:t>
            </w:r>
          </w:p>
        </w:tc>
      </w:tr>
      <w:tr w:rsidR="007A1B13" w:rsidRPr="009F5EC9" w:rsidTr="007A1B13">
        <w:trPr>
          <w:jc w:val="center"/>
        </w:trPr>
        <w:tc>
          <w:tcPr>
            <w:tcW w:w="1411" w:type="dxa"/>
            <w:gridSpan w:val="2"/>
            <w:vMerge/>
            <w:shd w:val="clear" w:color="auto" w:fill="auto"/>
            <w:tcMar>
              <w:left w:w="28" w:type="dxa"/>
              <w:right w:w="28" w:type="dxa"/>
            </w:tcMar>
          </w:tcPr>
          <w:p w:rsidR="002E7BBF" w:rsidRPr="009F5EC9" w:rsidRDefault="002E7BBF" w:rsidP="002E7BBF">
            <w:pPr>
              <w:spacing w:after="60"/>
              <w:jc w:val="center"/>
              <w:rPr>
                <w:sz w:val="18"/>
                <w:lang w:val="es-MX"/>
              </w:rPr>
            </w:pPr>
          </w:p>
        </w:tc>
        <w:tc>
          <w:tcPr>
            <w:tcW w:w="1550"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Gastos de apoyo</w:t>
            </w:r>
          </w:p>
        </w:tc>
        <w:tc>
          <w:tcPr>
            <w:tcW w:w="903"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30.390</w:t>
            </w:r>
          </w:p>
        </w:tc>
        <w:tc>
          <w:tcPr>
            <w:tcW w:w="526"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36.885</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6.964</w:t>
            </w: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r w:rsidRPr="009F5EC9">
              <w:rPr>
                <w:sz w:val="18"/>
                <w:lang w:val="es-MX"/>
              </w:rPr>
              <w:t>0</w:t>
            </w:r>
          </w:p>
        </w:tc>
        <w:tc>
          <w:tcPr>
            <w:tcW w:w="820" w:type="dxa"/>
            <w:shd w:val="clear" w:color="auto" w:fill="auto"/>
            <w:tcMar>
              <w:left w:w="28" w:type="dxa"/>
              <w:right w:w="28" w:type="dxa"/>
            </w:tcMar>
          </w:tcPr>
          <w:p w:rsidR="002E7BBF" w:rsidRPr="009F5EC9" w:rsidRDefault="007A1B13" w:rsidP="002E7BBF">
            <w:pPr>
              <w:spacing w:after="60"/>
              <w:jc w:val="right"/>
              <w:rPr>
                <w:sz w:val="18"/>
                <w:lang w:val="es-MX"/>
              </w:rPr>
            </w:pPr>
            <w:r w:rsidRPr="007A1B13">
              <w:rPr>
                <w:sz w:val="18"/>
                <w:lang w:val="es-MX"/>
              </w:rPr>
              <w:t>74.239</w:t>
            </w:r>
          </w:p>
        </w:tc>
      </w:tr>
      <w:tr w:rsidR="007A1B13" w:rsidRPr="009F5EC9" w:rsidTr="007A1B13">
        <w:trPr>
          <w:jc w:val="center"/>
        </w:trPr>
        <w:tc>
          <w:tcPr>
            <w:tcW w:w="1411" w:type="dxa"/>
            <w:gridSpan w:val="2"/>
            <w:vMerge w:val="restart"/>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Total de fondos cuya aprobación se solicita en la reunión en cuso ($EUA)</w:t>
            </w:r>
          </w:p>
        </w:tc>
        <w:tc>
          <w:tcPr>
            <w:tcW w:w="1550"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Costos del proyecto</w:t>
            </w:r>
          </w:p>
        </w:tc>
        <w:tc>
          <w:tcPr>
            <w:tcW w:w="903"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526"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709" w:type="dxa"/>
            <w:shd w:val="clear" w:color="auto" w:fill="auto"/>
            <w:tcMar>
              <w:left w:w="28" w:type="dxa"/>
              <w:right w:w="28" w:type="dxa"/>
            </w:tcMar>
          </w:tcPr>
          <w:p w:rsidR="002E7BBF" w:rsidRPr="009F5EC9" w:rsidRDefault="002E7BBF" w:rsidP="002E7BBF">
            <w:pPr>
              <w:jc w:val="right"/>
              <w:rPr>
                <w:rFonts w:eastAsia="Calibri"/>
                <w:color w:val="000000"/>
                <w:sz w:val="18"/>
                <w:szCs w:val="18"/>
                <w:lang w:val="es-MX"/>
              </w:rPr>
            </w:pPr>
            <w:r w:rsidRPr="009F5EC9">
              <w:rPr>
                <w:color w:val="000000"/>
                <w:sz w:val="18"/>
                <w:szCs w:val="18"/>
                <w:lang w:val="es-MX"/>
              </w:rPr>
              <w:t>33.250</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820" w:type="dxa"/>
            <w:shd w:val="clear" w:color="auto" w:fill="auto"/>
            <w:tcMar>
              <w:left w:w="28" w:type="dxa"/>
              <w:right w:w="28" w:type="dxa"/>
            </w:tcMar>
          </w:tcPr>
          <w:p w:rsidR="002E7BBF" w:rsidRPr="009F5EC9" w:rsidRDefault="002E7BBF" w:rsidP="002E7BBF">
            <w:pPr>
              <w:jc w:val="right"/>
              <w:rPr>
                <w:rFonts w:eastAsia="Calibri"/>
                <w:color w:val="000000"/>
                <w:sz w:val="18"/>
                <w:szCs w:val="18"/>
                <w:lang w:val="es-MX"/>
              </w:rPr>
            </w:pPr>
            <w:r w:rsidRPr="009F5EC9">
              <w:rPr>
                <w:color w:val="000000"/>
                <w:sz w:val="18"/>
                <w:szCs w:val="18"/>
                <w:lang w:val="es-MX"/>
              </w:rPr>
              <w:t>33.250</w:t>
            </w:r>
          </w:p>
        </w:tc>
      </w:tr>
      <w:tr w:rsidR="007A1B13" w:rsidRPr="009F5EC9" w:rsidTr="007A1B13">
        <w:trPr>
          <w:jc w:val="center"/>
        </w:trPr>
        <w:tc>
          <w:tcPr>
            <w:tcW w:w="1411" w:type="dxa"/>
            <w:gridSpan w:val="2"/>
            <w:vMerge/>
            <w:shd w:val="clear" w:color="auto" w:fill="auto"/>
            <w:tcMar>
              <w:left w:w="28" w:type="dxa"/>
              <w:right w:w="28" w:type="dxa"/>
            </w:tcMar>
          </w:tcPr>
          <w:p w:rsidR="002E7BBF" w:rsidRPr="009F5EC9" w:rsidRDefault="002E7BBF" w:rsidP="002E7BBF">
            <w:pPr>
              <w:spacing w:after="60"/>
              <w:jc w:val="center"/>
              <w:rPr>
                <w:sz w:val="18"/>
                <w:lang w:val="es-MX"/>
              </w:rPr>
            </w:pPr>
          </w:p>
        </w:tc>
        <w:tc>
          <w:tcPr>
            <w:tcW w:w="1550" w:type="dxa"/>
            <w:shd w:val="clear" w:color="auto" w:fill="auto"/>
            <w:tcMar>
              <w:left w:w="28" w:type="dxa"/>
              <w:right w:w="28" w:type="dxa"/>
            </w:tcMar>
          </w:tcPr>
          <w:p w:rsidR="002E7BBF" w:rsidRPr="009F5EC9" w:rsidRDefault="002E7BBF" w:rsidP="002E7BBF">
            <w:pPr>
              <w:spacing w:after="60"/>
              <w:jc w:val="left"/>
              <w:rPr>
                <w:sz w:val="18"/>
                <w:lang w:val="es-MX"/>
              </w:rPr>
            </w:pPr>
            <w:r w:rsidRPr="009F5EC9">
              <w:rPr>
                <w:sz w:val="18"/>
                <w:lang w:val="es-MX"/>
              </w:rPr>
              <w:t>Gastos de apoyo</w:t>
            </w:r>
          </w:p>
        </w:tc>
        <w:tc>
          <w:tcPr>
            <w:tcW w:w="903"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526"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709"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425"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709" w:type="dxa"/>
            <w:shd w:val="clear" w:color="auto" w:fill="auto"/>
            <w:tcMar>
              <w:left w:w="28" w:type="dxa"/>
              <w:right w:w="28" w:type="dxa"/>
            </w:tcMar>
          </w:tcPr>
          <w:p w:rsidR="002E7BBF" w:rsidRPr="009F5EC9" w:rsidRDefault="002E7BBF" w:rsidP="002E7BBF">
            <w:pPr>
              <w:jc w:val="right"/>
              <w:rPr>
                <w:rFonts w:eastAsia="Calibri"/>
                <w:color w:val="000000"/>
                <w:sz w:val="18"/>
                <w:szCs w:val="18"/>
                <w:lang w:val="es-MX"/>
              </w:rPr>
            </w:pPr>
            <w:r w:rsidRPr="009F5EC9">
              <w:rPr>
                <w:color w:val="000000"/>
                <w:sz w:val="18"/>
                <w:szCs w:val="18"/>
                <w:lang w:val="es-MX"/>
              </w:rPr>
              <w:t>2.909</w:t>
            </w:r>
          </w:p>
        </w:tc>
        <w:tc>
          <w:tcPr>
            <w:tcW w:w="567" w:type="dxa"/>
            <w:shd w:val="clear" w:color="auto" w:fill="auto"/>
            <w:tcMar>
              <w:left w:w="28" w:type="dxa"/>
              <w:right w:w="28" w:type="dxa"/>
            </w:tcMar>
          </w:tcPr>
          <w:p w:rsidR="002E7BBF" w:rsidRPr="009F5EC9" w:rsidRDefault="002E7BBF" w:rsidP="002E7BBF">
            <w:pPr>
              <w:spacing w:after="60"/>
              <w:jc w:val="right"/>
              <w:rPr>
                <w:sz w:val="18"/>
                <w:lang w:val="es-MX"/>
              </w:rPr>
            </w:pPr>
          </w:p>
        </w:tc>
        <w:tc>
          <w:tcPr>
            <w:tcW w:w="820" w:type="dxa"/>
            <w:shd w:val="clear" w:color="auto" w:fill="auto"/>
            <w:tcMar>
              <w:left w:w="28" w:type="dxa"/>
              <w:right w:w="28" w:type="dxa"/>
            </w:tcMar>
          </w:tcPr>
          <w:p w:rsidR="002E7BBF" w:rsidRPr="009F5EC9" w:rsidRDefault="002E7BBF" w:rsidP="002E7BBF">
            <w:pPr>
              <w:jc w:val="right"/>
              <w:rPr>
                <w:rFonts w:eastAsia="Calibri"/>
                <w:color w:val="000000"/>
                <w:sz w:val="18"/>
                <w:szCs w:val="18"/>
                <w:lang w:val="es-MX"/>
              </w:rPr>
            </w:pPr>
            <w:r w:rsidRPr="009F5EC9">
              <w:rPr>
                <w:color w:val="000000"/>
                <w:sz w:val="18"/>
                <w:szCs w:val="18"/>
                <w:lang w:val="es-MX"/>
              </w:rPr>
              <w:t>2.909</w:t>
            </w:r>
          </w:p>
        </w:tc>
      </w:tr>
      <w:tr w:rsidR="002E7BBF" w:rsidRPr="00FC260B" w:rsidTr="007A1B13">
        <w:trPr>
          <w:jc w:val="center"/>
        </w:trPr>
        <w:tc>
          <w:tcPr>
            <w:tcW w:w="10029" w:type="dxa"/>
            <w:gridSpan w:val="15"/>
            <w:tcBorders>
              <w:top w:val="nil"/>
              <w:left w:val="nil"/>
              <w:bottom w:val="nil"/>
              <w:right w:val="nil"/>
            </w:tcBorders>
            <w:shd w:val="clear" w:color="auto" w:fill="auto"/>
            <w:tcMar>
              <w:left w:w="28" w:type="dxa"/>
              <w:right w:w="28" w:type="dxa"/>
            </w:tcMar>
          </w:tcPr>
          <w:p w:rsidR="002E7BBF" w:rsidRPr="009F5EC9" w:rsidRDefault="002E7BBF" w:rsidP="002E7BBF">
            <w:pPr>
              <w:spacing w:after="60"/>
              <w:jc w:val="left"/>
              <w:rPr>
                <w:sz w:val="16"/>
                <w:szCs w:val="16"/>
                <w:lang w:val="es-MX"/>
              </w:rPr>
            </w:pPr>
            <w:r w:rsidRPr="009F5EC9">
              <w:rPr>
                <w:sz w:val="16"/>
                <w:szCs w:val="16"/>
                <w:lang w:val="es-MX"/>
              </w:rPr>
              <w:t>*Se espera presentar el cuarto y último tramo en 2020 conforme al Acuerdo actualizado en la 71ª reunión, pero se aceptó una solicitud por adelantado con el fin de aprobar financiación para el tramo final, ya que se espera la solicitud de la etapa II en la 85ª reunión.</w:t>
            </w:r>
          </w:p>
        </w:tc>
      </w:tr>
    </w:tbl>
    <w:p w:rsidR="002E7BBF" w:rsidRPr="009F5EC9" w:rsidRDefault="002E7BBF" w:rsidP="002E7BBF">
      <w:pPr>
        <w:spacing w:after="60"/>
        <w:jc w:val="left"/>
        <w:rPr>
          <w:sz w:val="16"/>
          <w:szCs w:val="16"/>
          <w:lang w:val="es-MX"/>
        </w:rPr>
      </w:pPr>
    </w:p>
    <w:tbl>
      <w:tblPr>
        <w:tblStyle w:val="TableGrid"/>
        <w:tblW w:w="100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5"/>
        <w:gridCol w:w="7000"/>
      </w:tblGrid>
      <w:tr w:rsidR="002E7BBF" w:rsidRPr="009F5EC9" w:rsidTr="007A1B13">
        <w:trPr>
          <w:trHeight w:val="240"/>
          <w:jc w:val="center"/>
        </w:trPr>
        <w:tc>
          <w:tcPr>
            <w:tcW w:w="3085" w:type="dxa"/>
            <w:shd w:val="clear" w:color="auto" w:fill="auto"/>
          </w:tcPr>
          <w:p w:rsidR="002E7BBF" w:rsidRPr="009F5EC9" w:rsidRDefault="002E7BBF" w:rsidP="002E7BBF">
            <w:pPr>
              <w:spacing w:after="60"/>
              <w:jc w:val="left"/>
              <w:rPr>
                <w:b/>
                <w:sz w:val="18"/>
                <w:lang w:val="es-MX"/>
              </w:rPr>
            </w:pPr>
            <w:r w:rsidRPr="009F5EC9">
              <w:rPr>
                <w:b/>
                <w:sz w:val="18"/>
                <w:lang w:val="es-MX"/>
              </w:rPr>
              <w:t>Recomendación de la Secretaría:</w:t>
            </w:r>
          </w:p>
        </w:tc>
        <w:tc>
          <w:tcPr>
            <w:tcW w:w="7000" w:type="dxa"/>
            <w:shd w:val="clear" w:color="auto" w:fill="auto"/>
          </w:tcPr>
          <w:p w:rsidR="002E7BBF" w:rsidRPr="009F5EC9" w:rsidRDefault="002E7BBF" w:rsidP="002E7BBF">
            <w:pPr>
              <w:spacing w:after="60"/>
              <w:jc w:val="center"/>
              <w:rPr>
                <w:sz w:val="18"/>
                <w:highlight w:val="cyan"/>
                <w:lang w:val="es-MX"/>
              </w:rPr>
            </w:pPr>
            <w:r w:rsidRPr="009F5EC9">
              <w:rPr>
                <w:sz w:val="18"/>
                <w:lang w:val="es-MX"/>
              </w:rPr>
              <w:t>Para consideración individual</w:t>
            </w:r>
          </w:p>
        </w:tc>
      </w:tr>
    </w:tbl>
    <w:p w:rsidR="002E7BBF" w:rsidRPr="009F5EC9" w:rsidRDefault="002E7BBF" w:rsidP="002E7BBF">
      <w:pPr>
        <w:rPr>
          <w:lang w:val="es-MX"/>
        </w:rPr>
      </w:pPr>
      <w:r w:rsidRPr="009F5EC9">
        <w:rPr>
          <w:lang w:val="es-MX"/>
        </w:rPr>
        <w:br w:type="page"/>
      </w:r>
    </w:p>
    <w:p w:rsidR="002E7BBF" w:rsidRPr="009F5EC9" w:rsidRDefault="002E7BBF" w:rsidP="002E7BBF">
      <w:pPr>
        <w:jc w:val="center"/>
        <w:rPr>
          <w:b/>
          <w:lang w:val="es-MX"/>
        </w:rPr>
      </w:pPr>
      <w:r w:rsidRPr="009F5EC9">
        <w:rPr>
          <w:b/>
          <w:lang w:val="es-MX"/>
        </w:rPr>
        <w:lastRenderedPageBreak/>
        <w:t>DESCRIPCIÓN DEL PROYECTO</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En nombre del Gobierno de Serbia, la ONUDI, en calidad de organismo de ejecución principal, presenta una solicitud de financiación para el cuarto y último tramo de la etapa I del plan de gestión de la eliminación de los HCFC, por un costo total de 36.159 $EUA, desgl</w:t>
      </w:r>
      <w:r w:rsidR="00BF089B">
        <w:rPr>
          <w:lang w:val="es-MX"/>
        </w:rPr>
        <w:t>osado en 25.700 $EUA, más 1.928 </w:t>
      </w:r>
      <w:r w:rsidRPr="009F5EC9">
        <w:rPr>
          <w:lang w:val="es-MX"/>
        </w:rPr>
        <w:t>$EUA de gastos de apoyo al organismo para la ONUDI, y 7.550 $EUA, más 981 $EUA de gastos de apoyo al organismo para el PNUMA.</w:t>
      </w:r>
      <w:r w:rsidRPr="009F5EC9">
        <w:rPr>
          <w:rStyle w:val="FootnoteReference"/>
          <w:lang w:val="es-MX"/>
        </w:rPr>
        <w:footnoteReference w:id="1"/>
      </w:r>
      <w:r w:rsidRPr="009F5EC9">
        <w:rPr>
          <w:lang w:val="es-MX"/>
        </w:rPr>
        <w:t xml:space="preserve"> En la documentación presentada se incluye un informe sobre la marcha de las actividades de ejecución del tercer tramo, el informe de verificación sobre el consumo de HCFC para 2017 y 2018 y el plan de ejecución del tercer tramo para 2019-2020.</w:t>
      </w:r>
    </w:p>
    <w:p w:rsidR="002E7BBF" w:rsidRPr="009F5EC9" w:rsidRDefault="002E7BBF" w:rsidP="002E7BBF">
      <w:pPr>
        <w:rPr>
          <w:u w:val="single"/>
          <w:lang w:val="es-MX"/>
        </w:rPr>
      </w:pPr>
      <w:r w:rsidRPr="009F5EC9">
        <w:rPr>
          <w:u w:val="single"/>
          <w:lang w:val="es-MX"/>
        </w:rPr>
        <w:t>Informe sobre el consumo de HCFC</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 xml:space="preserve">El Gobierno de Serbia notificó un consumo de 6,61 toneladas PAO de HCFC en 2018, un 21 por ciento inferior al nivel básico de referencia de HCFC para el cumplimiento. En el Cuadro 1 se indica el consumo de HCFC entre 2014 y 2018.  </w:t>
      </w:r>
    </w:p>
    <w:p w:rsidR="002E7BBF" w:rsidRPr="009F5EC9" w:rsidRDefault="002E7BBF" w:rsidP="002E7BBF">
      <w:pPr>
        <w:rPr>
          <w:b/>
          <w:lang w:val="es-MX"/>
        </w:rPr>
      </w:pPr>
      <w:r w:rsidRPr="009F5EC9">
        <w:rPr>
          <w:b/>
          <w:lang w:val="es-MX"/>
        </w:rPr>
        <w:t>Cuadro 1. Consumo de HCFC en Serbia (datos del Artículo 7, 2014-2018)</w:t>
      </w:r>
    </w:p>
    <w:tbl>
      <w:tblPr>
        <w:tblW w:w="5002" w:type="pct"/>
        <w:tblLayout w:type="fixed"/>
        <w:tblLook w:val="04A0" w:firstRow="1" w:lastRow="0" w:firstColumn="1" w:lastColumn="0" w:noHBand="0" w:noVBand="1"/>
      </w:tblPr>
      <w:tblGrid>
        <w:gridCol w:w="3149"/>
        <w:gridCol w:w="990"/>
        <w:gridCol w:w="990"/>
        <w:gridCol w:w="990"/>
        <w:gridCol w:w="990"/>
        <w:gridCol w:w="990"/>
        <w:gridCol w:w="1255"/>
      </w:tblGrid>
      <w:tr w:rsidR="002E7BBF" w:rsidRPr="009F5EC9" w:rsidTr="002E7BBF">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b/>
                <w:bCs/>
                <w:color w:val="000000"/>
                <w:sz w:val="20"/>
                <w:szCs w:val="20"/>
                <w:lang w:val="es-MX"/>
              </w:rPr>
            </w:pPr>
            <w:r w:rsidRPr="009F5EC9">
              <w:rPr>
                <w:b/>
                <w:bCs/>
                <w:color w:val="000000"/>
                <w:sz w:val="20"/>
                <w:szCs w:val="20"/>
                <w:lang w:val="es-MX"/>
              </w:rPr>
              <w:t>HCFC</w:t>
            </w:r>
          </w:p>
        </w:tc>
        <w:tc>
          <w:tcPr>
            <w:tcW w:w="529" w:type="pct"/>
            <w:tcBorders>
              <w:top w:val="single" w:sz="4" w:space="0" w:color="auto"/>
              <w:left w:val="nil"/>
              <w:bottom w:val="single" w:sz="4" w:space="0" w:color="auto"/>
              <w:right w:val="single" w:sz="4" w:space="0" w:color="auto"/>
            </w:tcBorders>
          </w:tcPr>
          <w:p w:rsidR="002E7BBF" w:rsidRPr="009F5EC9" w:rsidRDefault="002E7BBF" w:rsidP="002E7BBF">
            <w:pPr>
              <w:widowControl w:val="0"/>
              <w:jc w:val="center"/>
              <w:rPr>
                <w:b/>
                <w:bCs/>
                <w:color w:val="000000"/>
                <w:sz w:val="20"/>
                <w:szCs w:val="20"/>
                <w:lang w:val="es-MX"/>
              </w:rPr>
            </w:pPr>
            <w:r w:rsidRPr="009F5EC9">
              <w:rPr>
                <w:b/>
                <w:bCs/>
                <w:color w:val="000000"/>
                <w:sz w:val="20"/>
                <w:szCs w:val="20"/>
                <w:lang w:val="es-MX"/>
              </w:rPr>
              <w:t>2014</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center"/>
              <w:rPr>
                <w:b/>
                <w:bCs/>
                <w:color w:val="000000"/>
                <w:sz w:val="20"/>
                <w:szCs w:val="20"/>
                <w:lang w:val="es-MX"/>
              </w:rPr>
            </w:pPr>
            <w:r w:rsidRPr="009F5EC9">
              <w:rPr>
                <w:b/>
                <w:bCs/>
                <w:color w:val="000000"/>
                <w:sz w:val="20"/>
                <w:szCs w:val="20"/>
                <w:lang w:val="es-MX"/>
              </w:rPr>
              <w:t>2015</w:t>
            </w:r>
          </w:p>
        </w:tc>
        <w:tc>
          <w:tcPr>
            <w:tcW w:w="529" w:type="pct"/>
            <w:tcBorders>
              <w:top w:val="single" w:sz="4" w:space="0" w:color="auto"/>
              <w:left w:val="single" w:sz="4" w:space="0" w:color="auto"/>
              <w:bottom w:val="single" w:sz="4" w:space="0" w:color="auto"/>
              <w:right w:val="single" w:sz="4" w:space="0" w:color="auto"/>
            </w:tcBorders>
            <w:vAlign w:val="center"/>
          </w:tcPr>
          <w:p w:rsidR="002E7BBF" w:rsidRPr="009F5EC9" w:rsidRDefault="002E7BBF" w:rsidP="002E7BBF">
            <w:pPr>
              <w:widowControl w:val="0"/>
              <w:jc w:val="center"/>
              <w:rPr>
                <w:b/>
                <w:bCs/>
                <w:color w:val="000000"/>
                <w:sz w:val="20"/>
                <w:szCs w:val="20"/>
                <w:lang w:val="es-MX"/>
              </w:rPr>
            </w:pPr>
            <w:r w:rsidRPr="009F5EC9">
              <w:rPr>
                <w:b/>
                <w:bCs/>
                <w:color w:val="000000"/>
                <w:sz w:val="20"/>
                <w:szCs w:val="20"/>
                <w:lang w:val="es-MX"/>
              </w:rPr>
              <w:t>2016</w:t>
            </w:r>
          </w:p>
        </w:tc>
        <w:tc>
          <w:tcPr>
            <w:tcW w:w="529" w:type="pct"/>
            <w:tcBorders>
              <w:top w:val="single" w:sz="4" w:space="0" w:color="auto"/>
              <w:left w:val="nil"/>
              <w:bottom w:val="single" w:sz="4" w:space="0" w:color="auto"/>
              <w:right w:val="single" w:sz="4" w:space="0" w:color="auto"/>
            </w:tcBorders>
          </w:tcPr>
          <w:p w:rsidR="002E7BBF" w:rsidRPr="009F5EC9" w:rsidRDefault="002E7BBF" w:rsidP="002E7BBF">
            <w:pPr>
              <w:widowControl w:val="0"/>
              <w:jc w:val="center"/>
              <w:rPr>
                <w:b/>
                <w:bCs/>
                <w:color w:val="000000"/>
                <w:sz w:val="20"/>
                <w:szCs w:val="20"/>
                <w:lang w:val="es-MX"/>
              </w:rPr>
            </w:pPr>
            <w:r w:rsidRPr="009F5EC9">
              <w:rPr>
                <w:b/>
                <w:bCs/>
                <w:color w:val="000000"/>
                <w:sz w:val="20"/>
                <w:szCs w:val="20"/>
                <w:lang w:val="es-MX"/>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2E7BBF" w:rsidRPr="009F5EC9" w:rsidRDefault="002E7BBF" w:rsidP="002E7BBF">
            <w:pPr>
              <w:widowControl w:val="0"/>
              <w:jc w:val="center"/>
              <w:rPr>
                <w:b/>
                <w:bCs/>
                <w:color w:val="000000"/>
                <w:sz w:val="20"/>
                <w:szCs w:val="20"/>
                <w:lang w:val="es-MX"/>
              </w:rPr>
            </w:pPr>
            <w:r w:rsidRPr="009F5EC9">
              <w:rPr>
                <w:b/>
                <w:bCs/>
                <w:color w:val="000000"/>
                <w:sz w:val="20"/>
                <w:szCs w:val="20"/>
                <w:lang w:val="es-MX"/>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7BBF" w:rsidRPr="009F5EC9" w:rsidRDefault="002E7BBF" w:rsidP="002E7BBF">
            <w:pPr>
              <w:widowControl w:val="0"/>
              <w:jc w:val="center"/>
              <w:rPr>
                <w:b/>
                <w:bCs/>
                <w:color w:val="000000"/>
                <w:sz w:val="20"/>
                <w:szCs w:val="20"/>
                <w:lang w:val="es-MX"/>
              </w:rPr>
            </w:pPr>
            <w:r w:rsidRPr="009F5EC9">
              <w:rPr>
                <w:b/>
                <w:bCs/>
                <w:color w:val="000000"/>
                <w:sz w:val="20"/>
                <w:szCs w:val="20"/>
                <w:lang w:val="es-MX"/>
              </w:rPr>
              <w:t>Nivel básico</w:t>
            </w:r>
          </w:p>
        </w:tc>
      </w:tr>
      <w:tr w:rsidR="002E7BBF" w:rsidRPr="009F5EC9" w:rsidTr="002E7BB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b/>
                <w:bCs/>
                <w:color w:val="000000"/>
                <w:sz w:val="20"/>
                <w:szCs w:val="20"/>
                <w:lang w:val="es-MX"/>
              </w:rPr>
            </w:pPr>
            <w:r w:rsidRPr="009F5EC9">
              <w:rPr>
                <w:b/>
                <w:bCs/>
                <w:color w:val="000000"/>
                <w:sz w:val="20"/>
                <w:szCs w:val="20"/>
                <w:lang w:val="es-MX"/>
              </w:rPr>
              <w:t>Toneladas métricas</w:t>
            </w:r>
          </w:p>
        </w:tc>
        <w:tc>
          <w:tcPr>
            <w:tcW w:w="529" w:type="pct"/>
            <w:tcBorders>
              <w:top w:val="single" w:sz="4" w:space="0" w:color="auto"/>
              <w:left w:val="nil"/>
              <w:bottom w:val="single" w:sz="4" w:space="0" w:color="auto"/>
              <w:right w:val="single" w:sz="4" w:space="0" w:color="auto"/>
            </w:tcBorders>
          </w:tcPr>
          <w:p w:rsidR="002E7BBF" w:rsidRPr="009F5EC9" w:rsidRDefault="002E7BBF" w:rsidP="002E7BBF">
            <w:pPr>
              <w:widowControl w:val="0"/>
              <w:jc w:val="center"/>
              <w:rPr>
                <w:b/>
                <w:bCs/>
                <w:color w:val="000000"/>
                <w:sz w:val="20"/>
                <w:szCs w:val="20"/>
                <w:lang w:val="es-MX"/>
              </w:rPr>
            </w:pP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center"/>
              <w:rPr>
                <w:b/>
                <w:bCs/>
                <w:color w:val="000000"/>
                <w:sz w:val="20"/>
                <w:szCs w:val="20"/>
                <w:lang w:val="es-MX"/>
              </w:rPr>
            </w:pPr>
          </w:p>
        </w:tc>
        <w:tc>
          <w:tcPr>
            <w:tcW w:w="529" w:type="pct"/>
            <w:tcBorders>
              <w:top w:val="single" w:sz="4" w:space="0" w:color="auto"/>
              <w:left w:val="single" w:sz="4" w:space="0" w:color="auto"/>
              <w:bottom w:val="single" w:sz="4" w:space="0" w:color="auto"/>
              <w:right w:val="single" w:sz="4" w:space="0" w:color="auto"/>
            </w:tcBorders>
            <w:vAlign w:val="center"/>
          </w:tcPr>
          <w:p w:rsidR="002E7BBF" w:rsidRPr="009F5EC9" w:rsidRDefault="002E7BBF" w:rsidP="002E7BBF">
            <w:pPr>
              <w:widowControl w:val="0"/>
              <w:jc w:val="center"/>
              <w:rPr>
                <w:b/>
                <w:bCs/>
                <w:color w:val="000000"/>
                <w:sz w:val="20"/>
                <w:szCs w:val="20"/>
                <w:lang w:val="es-MX"/>
              </w:rPr>
            </w:pPr>
          </w:p>
        </w:tc>
        <w:tc>
          <w:tcPr>
            <w:tcW w:w="529" w:type="pct"/>
            <w:tcBorders>
              <w:top w:val="nil"/>
              <w:left w:val="nil"/>
              <w:bottom w:val="single" w:sz="4" w:space="0" w:color="auto"/>
              <w:right w:val="single" w:sz="4" w:space="0" w:color="auto"/>
            </w:tcBorders>
          </w:tcPr>
          <w:p w:rsidR="002E7BBF" w:rsidRPr="009F5EC9" w:rsidRDefault="002E7BBF" w:rsidP="002E7BBF">
            <w:pPr>
              <w:widowControl w:val="0"/>
              <w:jc w:val="center"/>
              <w:rPr>
                <w:b/>
                <w:bCs/>
                <w:color w:val="000000"/>
                <w:sz w:val="20"/>
                <w:szCs w:val="20"/>
                <w:lang w:val="es-MX"/>
              </w:rPr>
            </w:pPr>
          </w:p>
        </w:tc>
        <w:tc>
          <w:tcPr>
            <w:tcW w:w="529" w:type="pct"/>
            <w:tcBorders>
              <w:top w:val="nil"/>
              <w:left w:val="nil"/>
              <w:bottom w:val="single" w:sz="4" w:space="0" w:color="auto"/>
              <w:right w:val="single" w:sz="4" w:space="0" w:color="auto"/>
            </w:tcBorders>
            <w:shd w:val="clear" w:color="auto" w:fill="auto"/>
            <w:noWrap/>
            <w:vAlign w:val="center"/>
          </w:tcPr>
          <w:p w:rsidR="002E7BBF" w:rsidRPr="009F5EC9" w:rsidRDefault="002E7BBF" w:rsidP="002E7BBF">
            <w:pPr>
              <w:widowControl w:val="0"/>
              <w:jc w:val="center"/>
              <w:rPr>
                <w:b/>
                <w:bCs/>
                <w:color w:val="000000"/>
                <w:sz w:val="20"/>
                <w:szCs w:val="20"/>
                <w:lang w:val="es-MX"/>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2E7BBF" w:rsidRPr="009F5EC9" w:rsidRDefault="002E7BBF" w:rsidP="002E7BBF">
            <w:pPr>
              <w:widowControl w:val="0"/>
              <w:jc w:val="center"/>
              <w:rPr>
                <w:b/>
                <w:bCs/>
                <w:color w:val="000000"/>
                <w:sz w:val="20"/>
                <w:szCs w:val="20"/>
                <w:lang w:val="es-MX"/>
              </w:rPr>
            </w:pPr>
          </w:p>
        </w:tc>
      </w:tr>
      <w:tr w:rsidR="002E7BBF" w:rsidRPr="009F5EC9" w:rsidTr="002E7BB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color w:val="000000"/>
                <w:sz w:val="20"/>
                <w:szCs w:val="20"/>
                <w:lang w:val="es-MX"/>
              </w:rPr>
            </w:pPr>
            <w:r w:rsidRPr="009F5EC9">
              <w:rPr>
                <w:color w:val="000000"/>
                <w:sz w:val="20"/>
                <w:szCs w:val="20"/>
                <w:lang w:val="es-MX"/>
              </w:rPr>
              <w:t>HCFC-22</w:t>
            </w:r>
          </w:p>
        </w:tc>
        <w:tc>
          <w:tcPr>
            <w:tcW w:w="529" w:type="pct"/>
            <w:tcBorders>
              <w:top w:val="single" w:sz="4" w:space="0" w:color="auto"/>
              <w:left w:val="nil"/>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133,23</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114,52</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color w:val="000000"/>
                <w:sz w:val="20"/>
                <w:szCs w:val="20"/>
                <w:lang w:val="es-MX"/>
              </w:rPr>
            </w:pPr>
            <w:r w:rsidRPr="009F5EC9">
              <w:rPr>
                <w:color w:val="000000"/>
                <w:sz w:val="20"/>
                <w:szCs w:val="20"/>
                <w:lang w:val="es-MX"/>
              </w:rPr>
              <w:t>107,82</w:t>
            </w:r>
          </w:p>
        </w:tc>
        <w:tc>
          <w:tcPr>
            <w:tcW w:w="529" w:type="pct"/>
            <w:tcBorders>
              <w:top w:val="nil"/>
              <w:left w:val="nil"/>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109,88</w:t>
            </w:r>
          </w:p>
        </w:tc>
        <w:tc>
          <w:tcPr>
            <w:tcW w:w="529" w:type="pct"/>
            <w:tcBorders>
              <w:top w:val="nil"/>
              <w:left w:val="nil"/>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113,78</w:t>
            </w:r>
          </w:p>
        </w:tc>
        <w:tc>
          <w:tcPr>
            <w:tcW w:w="671" w:type="pct"/>
            <w:tcBorders>
              <w:top w:val="nil"/>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141,0</w:t>
            </w:r>
          </w:p>
        </w:tc>
      </w:tr>
      <w:tr w:rsidR="002E7BBF" w:rsidRPr="009F5EC9" w:rsidTr="002E7BB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color w:val="000000"/>
                <w:sz w:val="20"/>
                <w:szCs w:val="20"/>
                <w:lang w:val="es-MX"/>
              </w:rPr>
            </w:pPr>
            <w:r w:rsidRPr="009F5EC9">
              <w:rPr>
                <w:color w:val="000000"/>
                <w:sz w:val="20"/>
                <w:szCs w:val="20"/>
                <w:lang w:val="es-MX"/>
              </w:rPr>
              <w:t>HCFC-123</w:t>
            </w:r>
          </w:p>
        </w:tc>
        <w:tc>
          <w:tcPr>
            <w:tcW w:w="529" w:type="pct"/>
            <w:tcBorders>
              <w:top w:val="single" w:sz="4" w:space="0" w:color="auto"/>
              <w:left w:val="nil"/>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0,0</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0,9</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color w:val="000000"/>
                <w:sz w:val="20"/>
                <w:szCs w:val="20"/>
                <w:lang w:val="es-MX"/>
              </w:rPr>
            </w:pPr>
            <w:r w:rsidRPr="009F5EC9">
              <w:rPr>
                <w:color w:val="000000"/>
                <w:sz w:val="20"/>
                <w:szCs w:val="20"/>
                <w:lang w:val="es-MX"/>
              </w:rPr>
              <w:t>0,9</w:t>
            </w:r>
          </w:p>
        </w:tc>
        <w:tc>
          <w:tcPr>
            <w:tcW w:w="529" w:type="pct"/>
            <w:tcBorders>
              <w:top w:val="nil"/>
              <w:left w:val="nil"/>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0,9</w:t>
            </w:r>
          </w:p>
        </w:tc>
        <w:tc>
          <w:tcPr>
            <w:tcW w:w="529" w:type="pct"/>
            <w:tcBorders>
              <w:top w:val="nil"/>
              <w:left w:val="nil"/>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0,0</w:t>
            </w:r>
          </w:p>
        </w:tc>
        <w:tc>
          <w:tcPr>
            <w:tcW w:w="671" w:type="pct"/>
            <w:tcBorders>
              <w:top w:val="nil"/>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1,1</w:t>
            </w:r>
          </w:p>
        </w:tc>
      </w:tr>
      <w:tr w:rsidR="002E7BBF" w:rsidRPr="009F5EC9" w:rsidTr="002E7BB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color w:val="000000"/>
                <w:sz w:val="20"/>
                <w:szCs w:val="20"/>
                <w:lang w:val="es-MX"/>
              </w:rPr>
            </w:pPr>
            <w:r w:rsidRPr="009F5EC9">
              <w:rPr>
                <w:color w:val="000000"/>
                <w:sz w:val="20"/>
                <w:szCs w:val="20"/>
                <w:lang w:val="es-MX"/>
              </w:rPr>
              <w:t>HCFC-141b</w:t>
            </w:r>
          </w:p>
        </w:tc>
        <w:tc>
          <w:tcPr>
            <w:tcW w:w="529" w:type="pct"/>
            <w:tcBorders>
              <w:top w:val="single" w:sz="4" w:space="0" w:color="auto"/>
              <w:left w:val="nil"/>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3,26</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3,81</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color w:val="000000"/>
                <w:sz w:val="20"/>
                <w:szCs w:val="20"/>
                <w:lang w:val="es-MX"/>
              </w:rPr>
            </w:pPr>
            <w:r w:rsidRPr="009F5EC9">
              <w:rPr>
                <w:color w:val="000000"/>
                <w:sz w:val="20"/>
                <w:szCs w:val="20"/>
                <w:lang w:val="es-MX"/>
              </w:rPr>
              <w:t>4,08</w:t>
            </w:r>
          </w:p>
        </w:tc>
        <w:tc>
          <w:tcPr>
            <w:tcW w:w="529" w:type="pct"/>
            <w:tcBorders>
              <w:top w:val="nil"/>
              <w:left w:val="nil"/>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4,08</w:t>
            </w:r>
          </w:p>
        </w:tc>
        <w:tc>
          <w:tcPr>
            <w:tcW w:w="529" w:type="pct"/>
            <w:tcBorders>
              <w:top w:val="nil"/>
              <w:left w:val="nil"/>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2,18</w:t>
            </w:r>
          </w:p>
        </w:tc>
        <w:tc>
          <w:tcPr>
            <w:tcW w:w="671" w:type="pct"/>
            <w:tcBorders>
              <w:top w:val="nil"/>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0,0</w:t>
            </w:r>
          </w:p>
        </w:tc>
      </w:tr>
      <w:tr w:rsidR="002E7BBF" w:rsidRPr="009F5EC9" w:rsidTr="002E7BB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color w:val="000000"/>
                <w:sz w:val="20"/>
                <w:szCs w:val="20"/>
                <w:lang w:val="es-MX"/>
              </w:rPr>
            </w:pPr>
            <w:r w:rsidRPr="009F5EC9">
              <w:rPr>
                <w:color w:val="000000"/>
                <w:sz w:val="20"/>
                <w:szCs w:val="20"/>
                <w:lang w:val="es-MX"/>
              </w:rPr>
              <w:t>HCFC-142b</w:t>
            </w:r>
          </w:p>
        </w:tc>
        <w:tc>
          <w:tcPr>
            <w:tcW w:w="529" w:type="pct"/>
            <w:tcBorders>
              <w:top w:val="single" w:sz="4" w:space="0" w:color="auto"/>
              <w:left w:val="nil"/>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5,28</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2,85</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color w:val="000000"/>
                <w:sz w:val="20"/>
                <w:szCs w:val="20"/>
                <w:lang w:val="es-MX"/>
              </w:rPr>
            </w:pPr>
            <w:r w:rsidRPr="009F5EC9">
              <w:rPr>
                <w:color w:val="000000"/>
                <w:sz w:val="20"/>
                <w:szCs w:val="20"/>
                <w:lang w:val="es-MX"/>
              </w:rPr>
              <w:t>0,0</w:t>
            </w:r>
          </w:p>
        </w:tc>
        <w:tc>
          <w:tcPr>
            <w:tcW w:w="529" w:type="pct"/>
            <w:tcBorders>
              <w:top w:val="nil"/>
              <w:left w:val="nil"/>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2,32</w:t>
            </w:r>
          </w:p>
        </w:tc>
        <w:tc>
          <w:tcPr>
            <w:tcW w:w="529" w:type="pct"/>
            <w:tcBorders>
              <w:top w:val="nil"/>
              <w:left w:val="nil"/>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1,67</w:t>
            </w:r>
          </w:p>
        </w:tc>
        <w:tc>
          <w:tcPr>
            <w:tcW w:w="671" w:type="pct"/>
            <w:tcBorders>
              <w:top w:val="nil"/>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9,1</w:t>
            </w:r>
          </w:p>
        </w:tc>
      </w:tr>
      <w:tr w:rsidR="002E7BBF" w:rsidRPr="009F5EC9" w:rsidTr="002E7BB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2E7BBF" w:rsidRPr="009F5EC9" w:rsidRDefault="002E7BBF" w:rsidP="002E7BBF">
            <w:pPr>
              <w:jc w:val="left"/>
              <w:rPr>
                <w:rFonts w:eastAsiaTheme="minorHAnsi"/>
                <w:b/>
                <w:color w:val="000000"/>
                <w:sz w:val="20"/>
                <w:szCs w:val="20"/>
                <w:lang w:val="es-MX"/>
              </w:rPr>
            </w:pPr>
            <w:r w:rsidRPr="009F5EC9">
              <w:rPr>
                <w:b/>
                <w:color w:val="000000"/>
                <w:sz w:val="20"/>
                <w:szCs w:val="20"/>
                <w:lang w:val="es-MX"/>
              </w:rPr>
              <w:t>Total (toneladas métricas)</w:t>
            </w:r>
          </w:p>
        </w:tc>
        <w:tc>
          <w:tcPr>
            <w:tcW w:w="529" w:type="pct"/>
            <w:tcBorders>
              <w:top w:val="single" w:sz="4" w:space="0" w:color="auto"/>
              <w:left w:val="nil"/>
              <w:bottom w:val="single" w:sz="4" w:space="0" w:color="auto"/>
              <w:right w:val="single" w:sz="4" w:space="0" w:color="auto"/>
            </w:tcBorders>
          </w:tcPr>
          <w:p w:rsidR="002E7BBF" w:rsidRPr="009F5EC9" w:rsidRDefault="002E7BBF" w:rsidP="002E7BBF">
            <w:pPr>
              <w:widowControl w:val="0"/>
              <w:jc w:val="right"/>
              <w:rPr>
                <w:b/>
                <w:color w:val="000000"/>
                <w:sz w:val="20"/>
                <w:szCs w:val="20"/>
                <w:lang w:val="es-MX"/>
              </w:rPr>
            </w:pPr>
            <w:r w:rsidRPr="009F5EC9">
              <w:rPr>
                <w:b/>
                <w:color w:val="000000"/>
                <w:sz w:val="20"/>
                <w:szCs w:val="20"/>
                <w:lang w:val="es-MX"/>
              </w:rPr>
              <w:fldChar w:fldCharType="begin"/>
            </w:r>
            <w:r w:rsidRPr="009F5EC9">
              <w:rPr>
                <w:b/>
                <w:color w:val="000000"/>
                <w:sz w:val="20"/>
                <w:szCs w:val="20"/>
                <w:lang w:val="es-MX"/>
              </w:rPr>
              <w:instrText xml:space="preserve"> =SUM(ABOVE) </w:instrText>
            </w:r>
            <w:r w:rsidRPr="009F5EC9">
              <w:rPr>
                <w:b/>
                <w:color w:val="000000"/>
                <w:sz w:val="20"/>
                <w:szCs w:val="20"/>
                <w:lang w:val="es-MX"/>
              </w:rPr>
              <w:fldChar w:fldCharType="separate"/>
            </w:r>
            <w:r w:rsidRPr="009F5EC9">
              <w:rPr>
                <w:b/>
                <w:color w:val="000000"/>
                <w:sz w:val="20"/>
                <w:szCs w:val="20"/>
                <w:lang w:val="es-MX"/>
              </w:rPr>
              <w:t>218</w:t>
            </w:r>
            <w:r w:rsidRPr="009F5EC9">
              <w:rPr>
                <w:b/>
                <w:color w:val="000000"/>
                <w:sz w:val="20"/>
                <w:szCs w:val="20"/>
                <w:lang w:val="es-MX"/>
              </w:rPr>
              <w:fldChar w:fldCharType="end"/>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b/>
                <w:color w:val="000000"/>
                <w:sz w:val="20"/>
                <w:szCs w:val="20"/>
                <w:lang w:val="es-MX"/>
              </w:rPr>
            </w:pPr>
            <w:r w:rsidRPr="009F5EC9">
              <w:rPr>
                <w:b/>
                <w:color w:val="000000"/>
                <w:sz w:val="20"/>
                <w:szCs w:val="20"/>
                <w:lang w:val="es-MX"/>
              </w:rPr>
              <w:fldChar w:fldCharType="begin"/>
            </w:r>
            <w:r w:rsidRPr="009F5EC9">
              <w:rPr>
                <w:b/>
                <w:color w:val="000000"/>
                <w:sz w:val="20"/>
                <w:szCs w:val="20"/>
                <w:lang w:val="es-MX"/>
              </w:rPr>
              <w:instrText xml:space="preserve"> =SUM(above) </w:instrText>
            </w:r>
            <w:r w:rsidRPr="009F5EC9">
              <w:rPr>
                <w:b/>
                <w:color w:val="000000"/>
                <w:sz w:val="20"/>
                <w:szCs w:val="20"/>
                <w:lang w:val="es-MX"/>
              </w:rPr>
              <w:fldChar w:fldCharType="separate"/>
            </w:r>
            <w:r w:rsidRPr="009F5EC9">
              <w:rPr>
                <w:b/>
                <w:color w:val="000000"/>
                <w:sz w:val="20"/>
                <w:szCs w:val="20"/>
                <w:lang w:val="es-MX"/>
              </w:rPr>
              <w:t>346</w:t>
            </w:r>
            <w:r w:rsidRPr="009F5EC9">
              <w:rPr>
                <w:b/>
                <w:color w:val="000000"/>
                <w:sz w:val="20"/>
                <w:szCs w:val="20"/>
                <w:lang w:val="es-MX"/>
              </w:rPr>
              <w:fldChar w:fldCharType="end"/>
            </w:r>
          </w:p>
        </w:tc>
        <w:tc>
          <w:tcPr>
            <w:tcW w:w="529" w:type="pct"/>
            <w:tcBorders>
              <w:top w:val="single" w:sz="4" w:space="0" w:color="auto"/>
              <w:left w:val="single" w:sz="4" w:space="0" w:color="auto"/>
              <w:bottom w:val="single" w:sz="4" w:space="0" w:color="auto"/>
              <w:right w:val="single" w:sz="4" w:space="0" w:color="auto"/>
            </w:tcBorders>
            <w:vAlign w:val="center"/>
          </w:tcPr>
          <w:p w:rsidR="002E7BBF" w:rsidRPr="009F5EC9" w:rsidRDefault="002E7BBF" w:rsidP="002E7BBF">
            <w:pPr>
              <w:widowControl w:val="0"/>
              <w:jc w:val="right"/>
              <w:rPr>
                <w:b/>
                <w:color w:val="000000"/>
                <w:sz w:val="20"/>
                <w:szCs w:val="20"/>
                <w:lang w:val="es-MX"/>
              </w:rPr>
            </w:pPr>
            <w:r w:rsidRPr="009F5EC9">
              <w:rPr>
                <w:b/>
                <w:color w:val="000000"/>
                <w:sz w:val="20"/>
                <w:szCs w:val="20"/>
                <w:lang w:val="es-MX"/>
              </w:rPr>
              <w:fldChar w:fldCharType="begin"/>
            </w:r>
            <w:r w:rsidRPr="009F5EC9">
              <w:rPr>
                <w:b/>
                <w:color w:val="000000"/>
                <w:sz w:val="20"/>
                <w:szCs w:val="20"/>
                <w:lang w:val="es-MX"/>
              </w:rPr>
              <w:instrText xml:space="preserve"> =SUM(ABOVE) </w:instrText>
            </w:r>
            <w:r w:rsidRPr="009F5EC9">
              <w:rPr>
                <w:b/>
                <w:color w:val="000000"/>
                <w:sz w:val="20"/>
                <w:szCs w:val="20"/>
                <w:lang w:val="es-MX"/>
              </w:rPr>
              <w:fldChar w:fldCharType="separate"/>
            </w:r>
            <w:r w:rsidRPr="009F5EC9">
              <w:rPr>
                <w:b/>
                <w:color w:val="000000"/>
                <w:sz w:val="20"/>
                <w:szCs w:val="20"/>
                <w:lang w:val="es-MX"/>
              </w:rPr>
              <w:t>210</w:t>
            </w:r>
            <w:r w:rsidRPr="009F5EC9">
              <w:rPr>
                <w:b/>
                <w:color w:val="000000"/>
                <w:sz w:val="20"/>
                <w:szCs w:val="20"/>
                <w:lang w:val="es-MX"/>
              </w:rPr>
              <w:fldChar w:fldCharType="end"/>
            </w:r>
          </w:p>
        </w:tc>
        <w:tc>
          <w:tcPr>
            <w:tcW w:w="529" w:type="pct"/>
            <w:tcBorders>
              <w:top w:val="nil"/>
              <w:left w:val="nil"/>
              <w:bottom w:val="single" w:sz="4" w:space="0" w:color="auto"/>
              <w:right w:val="single" w:sz="4" w:space="0" w:color="auto"/>
            </w:tcBorders>
          </w:tcPr>
          <w:p w:rsidR="002E7BBF" w:rsidRPr="009F5EC9" w:rsidRDefault="002E7BBF" w:rsidP="002E7BBF">
            <w:pPr>
              <w:widowControl w:val="0"/>
              <w:jc w:val="right"/>
              <w:rPr>
                <w:b/>
                <w:color w:val="000000"/>
                <w:sz w:val="20"/>
                <w:szCs w:val="20"/>
                <w:lang w:val="es-MX"/>
              </w:rPr>
            </w:pPr>
            <w:r w:rsidRPr="009F5EC9">
              <w:rPr>
                <w:b/>
                <w:color w:val="000000"/>
                <w:sz w:val="20"/>
                <w:szCs w:val="20"/>
                <w:lang w:val="es-MX"/>
              </w:rPr>
              <w:t>117,18</w:t>
            </w:r>
          </w:p>
        </w:tc>
        <w:tc>
          <w:tcPr>
            <w:tcW w:w="529" w:type="pct"/>
            <w:tcBorders>
              <w:top w:val="nil"/>
              <w:left w:val="nil"/>
              <w:bottom w:val="single" w:sz="4" w:space="0" w:color="auto"/>
              <w:right w:val="single" w:sz="4" w:space="0" w:color="auto"/>
            </w:tcBorders>
            <w:shd w:val="clear" w:color="auto" w:fill="auto"/>
            <w:noWrap/>
            <w:vAlign w:val="center"/>
          </w:tcPr>
          <w:p w:rsidR="002E7BBF" w:rsidRPr="009F5EC9" w:rsidRDefault="002E7BBF" w:rsidP="002E7BBF">
            <w:pPr>
              <w:widowControl w:val="0"/>
              <w:jc w:val="right"/>
              <w:rPr>
                <w:b/>
                <w:color w:val="000000"/>
                <w:sz w:val="20"/>
                <w:szCs w:val="20"/>
                <w:lang w:val="es-MX"/>
              </w:rPr>
            </w:pPr>
            <w:r w:rsidRPr="009F5EC9">
              <w:rPr>
                <w:b/>
                <w:color w:val="000000"/>
                <w:sz w:val="20"/>
                <w:szCs w:val="20"/>
                <w:lang w:val="es-MX"/>
              </w:rPr>
              <w:t>117,63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2E7BBF" w:rsidRPr="009F5EC9" w:rsidRDefault="002E7BBF" w:rsidP="002E7BBF">
            <w:pPr>
              <w:widowControl w:val="0"/>
              <w:jc w:val="right"/>
              <w:rPr>
                <w:b/>
                <w:color w:val="000000"/>
                <w:sz w:val="20"/>
                <w:szCs w:val="20"/>
                <w:lang w:val="es-MX"/>
              </w:rPr>
            </w:pPr>
            <w:r w:rsidRPr="009F5EC9">
              <w:rPr>
                <w:b/>
                <w:color w:val="000000"/>
                <w:sz w:val="20"/>
                <w:szCs w:val="20"/>
                <w:lang w:val="es-MX"/>
              </w:rPr>
              <w:fldChar w:fldCharType="begin"/>
            </w:r>
            <w:r w:rsidRPr="009F5EC9">
              <w:rPr>
                <w:b/>
                <w:color w:val="000000"/>
                <w:sz w:val="20"/>
                <w:szCs w:val="20"/>
                <w:lang w:val="es-MX"/>
              </w:rPr>
              <w:instrText xml:space="preserve"> =SUM(ABOVE) </w:instrText>
            </w:r>
            <w:r w:rsidRPr="009F5EC9">
              <w:rPr>
                <w:b/>
                <w:color w:val="000000"/>
                <w:sz w:val="20"/>
                <w:szCs w:val="20"/>
                <w:lang w:val="es-MX"/>
              </w:rPr>
              <w:fldChar w:fldCharType="separate"/>
            </w:r>
            <w:r w:rsidRPr="009F5EC9">
              <w:rPr>
                <w:b/>
                <w:color w:val="000000"/>
                <w:sz w:val="20"/>
                <w:szCs w:val="20"/>
                <w:lang w:val="es-MX"/>
              </w:rPr>
              <w:t>153</w:t>
            </w:r>
            <w:r w:rsidRPr="009F5EC9">
              <w:rPr>
                <w:b/>
                <w:color w:val="000000"/>
                <w:sz w:val="20"/>
                <w:szCs w:val="20"/>
                <w:lang w:val="es-MX"/>
              </w:rPr>
              <w:fldChar w:fldCharType="end"/>
            </w:r>
          </w:p>
        </w:tc>
      </w:tr>
      <w:tr w:rsidR="002E7BBF" w:rsidRPr="009F5EC9" w:rsidTr="002E7BB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b/>
                <w:bCs/>
                <w:color w:val="000000"/>
                <w:sz w:val="20"/>
                <w:szCs w:val="20"/>
                <w:lang w:val="es-MX"/>
              </w:rPr>
            </w:pPr>
            <w:r w:rsidRPr="009F5EC9">
              <w:rPr>
                <w:b/>
                <w:bCs/>
                <w:color w:val="000000"/>
                <w:sz w:val="20"/>
                <w:szCs w:val="20"/>
                <w:lang w:val="es-MX"/>
              </w:rPr>
              <w:t>Toneladas PAO</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p>
        </w:tc>
        <w:tc>
          <w:tcPr>
            <w:tcW w:w="529" w:type="pct"/>
            <w:tcBorders>
              <w:top w:val="single" w:sz="4" w:space="0" w:color="auto"/>
              <w:left w:val="single" w:sz="4" w:space="0" w:color="auto"/>
              <w:bottom w:val="single" w:sz="4" w:space="0" w:color="auto"/>
              <w:right w:val="single" w:sz="4" w:space="0" w:color="auto"/>
            </w:tcBorders>
            <w:vAlign w:val="center"/>
          </w:tcPr>
          <w:p w:rsidR="002E7BBF" w:rsidRPr="009F5EC9" w:rsidRDefault="002E7BBF" w:rsidP="002E7BBF">
            <w:pPr>
              <w:widowControl w:val="0"/>
              <w:jc w:val="right"/>
              <w:rPr>
                <w:color w:val="000000"/>
                <w:sz w:val="20"/>
                <w:szCs w:val="20"/>
                <w:lang w:val="es-MX"/>
              </w:rPr>
            </w:pP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2E7BBF" w:rsidRPr="009F5EC9" w:rsidRDefault="002E7BBF" w:rsidP="002E7BBF">
            <w:pPr>
              <w:widowControl w:val="0"/>
              <w:jc w:val="right"/>
              <w:rPr>
                <w:color w:val="000000"/>
                <w:sz w:val="20"/>
                <w:szCs w:val="20"/>
                <w:lang w:val="es-MX"/>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7BBF" w:rsidRPr="009F5EC9" w:rsidRDefault="002E7BBF" w:rsidP="002E7BBF">
            <w:pPr>
              <w:widowControl w:val="0"/>
              <w:jc w:val="right"/>
              <w:rPr>
                <w:color w:val="000000"/>
                <w:sz w:val="20"/>
                <w:szCs w:val="20"/>
                <w:lang w:val="es-MX"/>
              </w:rPr>
            </w:pPr>
          </w:p>
        </w:tc>
      </w:tr>
      <w:tr w:rsidR="002E7BBF" w:rsidRPr="009F5EC9" w:rsidTr="002E7BB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color w:val="000000"/>
                <w:sz w:val="20"/>
                <w:szCs w:val="20"/>
                <w:lang w:val="es-MX"/>
              </w:rPr>
            </w:pPr>
            <w:r w:rsidRPr="009F5EC9">
              <w:rPr>
                <w:color w:val="000000"/>
                <w:sz w:val="20"/>
                <w:szCs w:val="20"/>
                <w:lang w:val="es-MX"/>
              </w:rPr>
              <w:t>HCFC-22</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7,33</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sz w:val="20"/>
                <w:szCs w:val="20"/>
                <w:lang w:val="es-MX"/>
              </w:rPr>
            </w:pPr>
            <w:r w:rsidRPr="009F5EC9">
              <w:rPr>
                <w:sz w:val="20"/>
                <w:szCs w:val="20"/>
                <w:lang w:val="es-MX"/>
              </w:rPr>
              <w:t>6,30</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color w:val="000000"/>
                <w:sz w:val="20"/>
                <w:szCs w:val="20"/>
                <w:lang w:val="es-MX"/>
              </w:rPr>
            </w:pPr>
            <w:r w:rsidRPr="009F5EC9">
              <w:rPr>
                <w:color w:val="000000"/>
                <w:sz w:val="20"/>
                <w:szCs w:val="20"/>
                <w:lang w:val="es-MX"/>
              </w:rPr>
              <w:t>5,93</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sz w:val="20"/>
                <w:szCs w:val="20"/>
                <w:lang w:val="es-MX"/>
              </w:rPr>
            </w:pPr>
            <w:r w:rsidRPr="009F5EC9">
              <w:rPr>
                <w:sz w:val="20"/>
                <w:szCs w:val="20"/>
                <w:lang w:val="es-MX"/>
              </w:rPr>
              <w:t>6,04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6,26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7,76</w:t>
            </w:r>
          </w:p>
        </w:tc>
      </w:tr>
      <w:tr w:rsidR="002E7BBF" w:rsidRPr="009F5EC9" w:rsidTr="002E7BB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color w:val="000000"/>
                <w:sz w:val="20"/>
                <w:szCs w:val="20"/>
                <w:lang w:val="es-MX"/>
              </w:rPr>
            </w:pPr>
            <w:r w:rsidRPr="009F5EC9">
              <w:rPr>
                <w:color w:val="000000"/>
                <w:sz w:val="20"/>
                <w:szCs w:val="20"/>
                <w:lang w:val="es-MX"/>
              </w:rPr>
              <w:t>HCFC-123</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0,00</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sz w:val="20"/>
                <w:szCs w:val="20"/>
                <w:lang w:val="es-MX"/>
              </w:rPr>
            </w:pPr>
            <w:r w:rsidRPr="009F5EC9">
              <w:rPr>
                <w:sz w:val="20"/>
                <w:szCs w:val="20"/>
                <w:lang w:val="es-MX"/>
              </w:rPr>
              <w:t>0,02</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color w:val="000000"/>
                <w:sz w:val="20"/>
                <w:szCs w:val="20"/>
                <w:lang w:val="es-MX"/>
              </w:rPr>
            </w:pPr>
            <w:r w:rsidRPr="009F5EC9">
              <w:rPr>
                <w:color w:val="000000"/>
                <w:sz w:val="20"/>
                <w:szCs w:val="20"/>
                <w:lang w:val="es-MX"/>
              </w:rPr>
              <w:t>0,02</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sz w:val="20"/>
                <w:szCs w:val="20"/>
                <w:lang w:val="es-MX"/>
              </w:rPr>
            </w:pPr>
            <w:r w:rsidRPr="009F5EC9">
              <w:rPr>
                <w:sz w:val="20"/>
                <w:szCs w:val="20"/>
                <w:lang w:val="es-MX"/>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0,02</w:t>
            </w:r>
          </w:p>
        </w:tc>
      </w:tr>
      <w:tr w:rsidR="002E7BBF" w:rsidRPr="009F5EC9" w:rsidTr="002E7BB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color w:val="000000"/>
                <w:sz w:val="20"/>
                <w:szCs w:val="20"/>
                <w:lang w:val="es-MX"/>
              </w:rPr>
            </w:pPr>
            <w:r w:rsidRPr="009F5EC9">
              <w:rPr>
                <w:color w:val="000000"/>
                <w:sz w:val="20"/>
                <w:szCs w:val="20"/>
                <w:lang w:val="es-MX"/>
              </w:rPr>
              <w:t>HCFC-141b</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0,36</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sz w:val="20"/>
                <w:szCs w:val="20"/>
                <w:lang w:val="es-MX"/>
              </w:rPr>
            </w:pPr>
            <w:r w:rsidRPr="009F5EC9">
              <w:rPr>
                <w:sz w:val="20"/>
                <w:szCs w:val="20"/>
                <w:lang w:val="es-MX"/>
              </w:rPr>
              <w:t>0,42</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color w:val="000000"/>
                <w:sz w:val="20"/>
                <w:szCs w:val="20"/>
                <w:lang w:val="es-MX"/>
              </w:rPr>
            </w:pPr>
            <w:r w:rsidRPr="009F5EC9">
              <w:rPr>
                <w:color w:val="000000"/>
                <w:sz w:val="20"/>
                <w:szCs w:val="20"/>
                <w:lang w:val="es-MX"/>
              </w:rPr>
              <w:t>0,45</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sz w:val="20"/>
                <w:szCs w:val="20"/>
                <w:lang w:val="es-MX"/>
              </w:rPr>
            </w:pPr>
            <w:r w:rsidRPr="009F5EC9">
              <w:rPr>
                <w:sz w:val="20"/>
                <w:szCs w:val="20"/>
                <w:lang w:val="es-MX"/>
              </w:rPr>
              <w:t>0,45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0,24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0,00</w:t>
            </w:r>
          </w:p>
        </w:tc>
      </w:tr>
      <w:tr w:rsidR="002E7BBF" w:rsidRPr="009F5EC9" w:rsidTr="002E7BB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E7BBF" w:rsidRPr="009F5EC9" w:rsidRDefault="002E7BBF" w:rsidP="002E7BBF">
            <w:pPr>
              <w:widowControl w:val="0"/>
              <w:jc w:val="left"/>
              <w:rPr>
                <w:color w:val="000000"/>
                <w:sz w:val="20"/>
                <w:szCs w:val="20"/>
                <w:lang w:val="es-MX"/>
              </w:rPr>
            </w:pPr>
            <w:r w:rsidRPr="009F5EC9">
              <w:rPr>
                <w:color w:val="000000"/>
                <w:sz w:val="20"/>
                <w:szCs w:val="20"/>
                <w:lang w:val="es-MX"/>
              </w:rPr>
              <w:t>HCFC-142b</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widowControl w:val="0"/>
              <w:jc w:val="right"/>
              <w:rPr>
                <w:color w:val="000000"/>
                <w:sz w:val="20"/>
                <w:szCs w:val="20"/>
                <w:lang w:val="es-MX"/>
              </w:rPr>
            </w:pPr>
            <w:r w:rsidRPr="009F5EC9">
              <w:rPr>
                <w:color w:val="000000"/>
                <w:sz w:val="20"/>
                <w:szCs w:val="20"/>
                <w:lang w:val="es-MX"/>
              </w:rPr>
              <w:t>0,34</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sz w:val="20"/>
                <w:szCs w:val="20"/>
                <w:lang w:val="es-MX"/>
              </w:rPr>
            </w:pPr>
            <w:r w:rsidRPr="009F5EC9">
              <w:rPr>
                <w:sz w:val="20"/>
                <w:szCs w:val="20"/>
                <w:lang w:val="es-MX"/>
              </w:rPr>
              <w:t>0,19</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color w:val="000000"/>
                <w:sz w:val="20"/>
                <w:szCs w:val="20"/>
                <w:lang w:val="es-MX"/>
              </w:rPr>
            </w:pPr>
            <w:r w:rsidRPr="009F5EC9">
              <w:rPr>
                <w:color w:val="000000"/>
                <w:sz w:val="20"/>
                <w:szCs w:val="20"/>
                <w:lang w:val="es-MX"/>
              </w:rPr>
              <w:t>0,0</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sz w:val="20"/>
                <w:szCs w:val="20"/>
                <w:lang w:val="es-MX"/>
              </w:rPr>
            </w:pPr>
            <w:r w:rsidRPr="009F5EC9">
              <w:rPr>
                <w:sz w:val="20"/>
                <w:szCs w:val="20"/>
                <w:lang w:val="es-MX"/>
              </w:rPr>
              <w:t>0,15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0,11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color w:val="000000"/>
                <w:sz w:val="20"/>
                <w:szCs w:val="20"/>
                <w:lang w:val="es-MX"/>
              </w:rPr>
            </w:pPr>
            <w:r w:rsidRPr="009F5EC9">
              <w:rPr>
                <w:color w:val="000000"/>
                <w:sz w:val="20"/>
                <w:szCs w:val="20"/>
                <w:lang w:val="es-MX"/>
              </w:rPr>
              <w:t>0,59</w:t>
            </w:r>
          </w:p>
        </w:tc>
      </w:tr>
      <w:tr w:rsidR="002E7BBF" w:rsidRPr="009F5EC9" w:rsidTr="002E7BB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2E7BBF" w:rsidRPr="009F5EC9" w:rsidRDefault="002E7BBF" w:rsidP="002E7BBF">
            <w:pPr>
              <w:jc w:val="left"/>
              <w:rPr>
                <w:rFonts w:eastAsiaTheme="minorHAnsi"/>
                <w:b/>
                <w:sz w:val="20"/>
                <w:szCs w:val="20"/>
                <w:lang w:val="es-MX"/>
              </w:rPr>
            </w:pPr>
            <w:r w:rsidRPr="009F5EC9">
              <w:rPr>
                <w:b/>
                <w:sz w:val="20"/>
                <w:szCs w:val="20"/>
                <w:lang w:val="es-MX"/>
              </w:rPr>
              <w:t>Total (toneladas PAO)</w:t>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b/>
                <w:color w:val="000000"/>
                <w:sz w:val="20"/>
                <w:szCs w:val="20"/>
                <w:lang w:val="es-MX"/>
              </w:rPr>
            </w:pPr>
            <w:r w:rsidRPr="009F5EC9">
              <w:rPr>
                <w:b/>
                <w:color w:val="000000"/>
                <w:sz w:val="20"/>
                <w:szCs w:val="20"/>
                <w:lang w:val="es-MX"/>
              </w:rPr>
              <w:fldChar w:fldCharType="begin"/>
            </w:r>
            <w:r w:rsidRPr="009F5EC9">
              <w:rPr>
                <w:b/>
                <w:color w:val="000000"/>
                <w:sz w:val="20"/>
                <w:szCs w:val="20"/>
                <w:lang w:val="es-MX"/>
              </w:rPr>
              <w:instrText xml:space="preserve"> =SUM(ABOVE) </w:instrText>
            </w:r>
            <w:r w:rsidRPr="009F5EC9">
              <w:rPr>
                <w:b/>
                <w:color w:val="000000"/>
                <w:sz w:val="20"/>
                <w:szCs w:val="20"/>
                <w:lang w:val="es-MX"/>
              </w:rPr>
              <w:fldChar w:fldCharType="separate"/>
            </w:r>
            <w:r w:rsidRPr="009F5EC9">
              <w:rPr>
                <w:b/>
                <w:color w:val="000000"/>
                <w:sz w:val="20"/>
                <w:szCs w:val="20"/>
                <w:lang w:val="es-MX"/>
              </w:rPr>
              <w:t>110</w:t>
            </w:r>
            <w:r w:rsidRPr="009F5EC9">
              <w:rPr>
                <w:b/>
                <w:color w:val="000000"/>
                <w:sz w:val="20"/>
                <w:szCs w:val="20"/>
                <w:lang w:val="es-MX"/>
              </w:rPr>
              <w:fldChar w:fldCharType="end"/>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b/>
                <w:color w:val="000000"/>
                <w:sz w:val="20"/>
                <w:szCs w:val="20"/>
                <w:lang w:val="es-MX"/>
              </w:rPr>
            </w:pPr>
            <w:r w:rsidRPr="009F5EC9">
              <w:rPr>
                <w:b/>
                <w:color w:val="000000"/>
                <w:sz w:val="20"/>
                <w:szCs w:val="20"/>
                <w:lang w:val="es-MX"/>
              </w:rPr>
              <w:fldChar w:fldCharType="begin"/>
            </w:r>
            <w:r w:rsidRPr="009F5EC9">
              <w:rPr>
                <w:b/>
                <w:color w:val="000000"/>
                <w:sz w:val="20"/>
                <w:szCs w:val="20"/>
                <w:lang w:val="es-MX"/>
              </w:rPr>
              <w:instrText xml:space="preserve"> =SUM(ABOVE) </w:instrText>
            </w:r>
            <w:r w:rsidRPr="009F5EC9">
              <w:rPr>
                <w:b/>
                <w:color w:val="000000"/>
                <w:sz w:val="20"/>
                <w:szCs w:val="20"/>
                <w:lang w:val="es-MX"/>
              </w:rPr>
              <w:fldChar w:fldCharType="separate"/>
            </w:r>
            <w:r w:rsidRPr="009F5EC9">
              <w:rPr>
                <w:b/>
                <w:color w:val="000000"/>
                <w:sz w:val="20"/>
                <w:szCs w:val="20"/>
                <w:lang w:val="es-MX"/>
              </w:rPr>
              <w:t>99</w:t>
            </w:r>
            <w:r w:rsidRPr="009F5EC9">
              <w:rPr>
                <w:b/>
                <w:color w:val="000000"/>
                <w:sz w:val="20"/>
                <w:szCs w:val="20"/>
                <w:lang w:val="es-MX"/>
              </w:rPr>
              <w:fldChar w:fldCharType="end"/>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b/>
                <w:bCs/>
                <w:color w:val="000000"/>
                <w:sz w:val="20"/>
                <w:szCs w:val="20"/>
                <w:lang w:val="es-MX"/>
              </w:rPr>
            </w:pPr>
            <w:r w:rsidRPr="009F5EC9">
              <w:rPr>
                <w:b/>
                <w:bCs/>
                <w:color w:val="000000"/>
                <w:sz w:val="20"/>
                <w:szCs w:val="20"/>
                <w:lang w:val="es-MX"/>
              </w:rPr>
              <w:fldChar w:fldCharType="begin"/>
            </w:r>
            <w:r w:rsidRPr="009F5EC9">
              <w:rPr>
                <w:b/>
                <w:bCs/>
                <w:color w:val="000000"/>
                <w:sz w:val="20"/>
                <w:szCs w:val="20"/>
                <w:lang w:val="es-MX"/>
              </w:rPr>
              <w:instrText xml:space="preserve"> =SUM(ABOVE) </w:instrText>
            </w:r>
            <w:r w:rsidRPr="009F5EC9">
              <w:rPr>
                <w:b/>
                <w:bCs/>
                <w:color w:val="000000"/>
                <w:sz w:val="20"/>
                <w:szCs w:val="20"/>
                <w:lang w:val="es-MX"/>
              </w:rPr>
              <w:fldChar w:fldCharType="separate"/>
            </w:r>
            <w:r w:rsidRPr="009F5EC9">
              <w:rPr>
                <w:b/>
                <w:bCs/>
                <w:color w:val="000000"/>
                <w:sz w:val="20"/>
                <w:szCs w:val="20"/>
                <w:lang w:val="es-MX"/>
              </w:rPr>
              <w:t>145</w:t>
            </w:r>
            <w:r w:rsidRPr="009F5EC9">
              <w:rPr>
                <w:b/>
                <w:bCs/>
                <w:color w:val="000000"/>
                <w:sz w:val="20"/>
                <w:szCs w:val="20"/>
                <w:lang w:val="es-MX"/>
              </w:rPr>
              <w:fldChar w:fldCharType="end"/>
            </w:r>
          </w:p>
        </w:tc>
        <w:tc>
          <w:tcPr>
            <w:tcW w:w="529" w:type="pct"/>
            <w:tcBorders>
              <w:top w:val="single" w:sz="4" w:space="0" w:color="auto"/>
              <w:left w:val="single" w:sz="4" w:space="0" w:color="auto"/>
              <w:bottom w:val="single" w:sz="4" w:space="0" w:color="auto"/>
              <w:right w:val="single" w:sz="4" w:space="0" w:color="auto"/>
            </w:tcBorders>
          </w:tcPr>
          <w:p w:rsidR="002E7BBF" w:rsidRPr="009F5EC9" w:rsidRDefault="002E7BBF" w:rsidP="002E7BBF">
            <w:pPr>
              <w:jc w:val="right"/>
              <w:rPr>
                <w:b/>
                <w:color w:val="000000"/>
                <w:sz w:val="20"/>
                <w:szCs w:val="20"/>
                <w:lang w:val="es-MX"/>
              </w:rPr>
            </w:pPr>
            <w:r w:rsidRPr="009F5EC9">
              <w:rPr>
                <w:b/>
                <w:color w:val="000000"/>
                <w:sz w:val="20"/>
                <w:szCs w:val="20"/>
                <w:lang w:val="es-MX"/>
              </w:rPr>
              <w:t>6,66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b/>
                <w:bCs/>
                <w:color w:val="000000"/>
                <w:sz w:val="20"/>
                <w:szCs w:val="20"/>
                <w:lang w:val="es-MX"/>
              </w:rPr>
            </w:pPr>
            <w:r w:rsidRPr="009F5EC9">
              <w:rPr>
                <w:b/>
                <w:bCs/>
                <w:color w:val="000000"/>
                <w:sz w:val="20"/>
                <w:szCs w:val="20"/>
                <w:lang w:val="es-MX"/>
              </w:rPr>
              <w:t>6,61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2E7BBF" w:rsidRPr="009F5EC9" w:rsidRDefault="002E7BBF" w:rsidP="002E7BBF">
            <w:pPr>
              <w:jc w:val="right"/>
              <w:rPr>
                <w:b/>
                <w:bCs/>
                <w:color w:val="000000"/>
                <w:sz w:val="20"/>
                <w:szCs w:val="20"/>
                <w:lang w:val="es-MX"/>
              </w:rPr>
            </w:pPr>
            <w:r w:rsidRPr="009F5EC9">
              <w:rPr>
                <w:b/>
                <w:bCs/>
                <w:color w:val="000000"/>
                <w:sz w:val="20"/>
                <w:szCs w:val="20"/>
                <w:lang w:val="es-MX"/>
              </w:rPr>
              <w:t>8,37</w:t>
            </w:r>
          </w:p>
        </w:tc>
      </w:tr>
    </w:tbl>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El consumo de HCFC-22, que se redujo inicialmente de forma sustancial entre 2014 y 2015 debido a las reconversiones del sector de fabricación de equipos de refrigeración y aire acondicionado, ha permanecido estable debido a que continúa la demanda para servicio y manten</w:t>
      </w:r>
      <w:r w:rsidR="003054DF">
        <w:rPr>
          <w:lang w:val="es-MX"/>
        </w:rPr>
        <w:t>imiento, el único uso del HCFC</w:t>
      </w:r>
      <w:r w:rsidR="003054DF">
        <w:rPr>
          <w:lang w:val="es-MX"/>
        </w:rPr>
        <w:noBreakHyphen/>
      </w:r>
      <w:r w:rsidRPr="009F5EC9">
        <w:rPr>
          <w:lang w:val="es-MX"/>
        </w:rPr>
        <w:t>22 en 2018. El HCFC-142b se importa como mezcla (R-406a, compuesto por un 41 por ciento de HCFC-142b, un 55 por ciento de HCFC-22 y un 4 por ciento de R-600a), que se utiliza como producto sustitutivo "drop-in" para los equipos que usan CFC-12. Se prevé que el consumo se elimine gracias a la mejora de las prácticas de servicio y mantenimiento y la retirada del equipo que usa CFC. Serbia empezó a consumir HCFC-141b en 2011 para el lavado de circuitos y la limpieza. Hay actividades de sensibilización orientadas a abordar dicho consumo. Se consumió una pequeña cantidad de HCFC-123 de forma intermitente para el servicio y el mantenimiento de un pequeño número de enfriadores.</w:t>
      </w:r>
    </w:p>
    <w:p w:rsidR="002E7BBF" w:rsidRPr="009F5EC9" w:rsidRDefault="002E7BBF" w:rsidP="002E7BBF">
      <w:pPr>
        <w:rPr>
          <w:i/>
          <w:lang w:val="es-MX"/>
        </w:rPr>
      </w:pPr>
      <w:r w:rsidRPr="009F5EC9">
        <w:rPr>
          <w:i/>
          <w:lang w:val="es-MX"/>
        </w:rPr>
        <w:t>Informe sobre la ejecución del programa de país</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El Gobierno de Serbia presentó datos sobre el consumo de HCFC por sectores en el informe de ejecución del programa de país para 2018, que concuerdan con los datos noti</w:t>
      </w:r>
      <w:r w:rsidR="003054DF">
        <w:rPr>
          <w:lang w:val="es-MX"/>
        </w:rPr>
        <w:t>ficados con arreglo al Artículo </w:t>
      </w:r>
      <w:r w:rsidRPr="009F5EC9">
        <w:rPr>
          <w:lang w:val="es-MX"/>
        </w:rPr>
        <w:t xml:space="preserve">7 del Protocolo de Montreal. </w:t>
      </w:r>
    </w:p>
    <w:p w:rsidR="002E7BBF" w:rsidRPr="009F5EC9" w:rsidRDefault="002E7BBF" w:rsidP="002E7BBF">
      <w:pPr>
        <w:rPr>
          <w:i/>
          <w:lang w:val="es-MX"/>
        </w:rPr>
      </w:pPr>
      <w:r w:rsidRPr="009F5EC9">
        <w:rPr>
          <w:i/>
          <w:lang w:val="es-MX"/>
        </w:rPr>
        <w:t xml:space="preserve">Informe de verificación </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 xml:space="preserve">El informe de verificación confirmó que el Gobierno está aplicando un sistema de concesión de licencias y cuotas de importación y exportación de HCFC y que el consumo total de HCFC notificado con </w:t>
      </w:r>
      <w:r w:rsidRPr="009F5EC9">
        <w:rPr>
          <w:lang w:val="es-MX"/>
        </w:rPr>
        <w:lastRenderedPageBreak/>
        <w:t>arreglo al Artículo 7 del Protocolo de Montreal para 2017 y 2018 era correcto. La verificación constata que el consumo de Serbia en 2017 y 2018 fue inferior a los objetivos especificados en su Acuerdo con el Comité Ejecutivo, y que la legislación necesaria está en vigor para permitir que el país continúe cumpliendo sus objetivos. Tal como sugirió el verificador, se está considerando la posibilidad de prohibir la importación de refrigerantes en cilindros desechables, en el marco de la revisión de la Ley de Enmienda a la Ley de Protección del Aire.</w:t>
      </w:r>
    </w:p>
    <w:p w:rsidR="002E7BBF" w:rsidRPr="009F5EC9" w:rsidRDefault="002E7BBF" w:rsidP="002E7BBF">
      <w:pPr>
        <w:rPr>
          <w:u w:val="single"/>
          <w:lang w:val="es-MX"/>
        </w:rPr>
      </w:pPr>
      <w:r w:rsidRPr="009F5EC9">
        <w:rPr>
          <w:u w:val="single"/>
          <w:lang w:val="es-MX"/>
        </w:rPr>
        <w:t>Informe sobre la marcha de las actividades de ejecución del tercer tramo del plan de gestión de la eliminación de los HCFC</w:t>
      </w:r>
    </w:p>
    <w:p w:rsidR="002E7BBF" w:rsidRPr="009F5EC9" w:rsidRDefault="002E7BBF" w:rsidP="002E7BBF">
      <w:pPr>
        <w:rPr>
          <w:lang w:val="es-MX"/>
        </w:rPr>
      </w:pPr>
    </w:p>
    <w:p w:rsidR="002E7BBF" w:rsidRPr="009F5EC9" w:rsidRDefault="002E7BBF" w:rsidP="002E7BBF">
      <w:pPr>
        <w:rPr>
          <w:i/>
          <w:lang w:val="es-MX"/>
        </w:rPr>
      </w:pPr>
      <w:r w:rsidRPr="009F5EC9">
        <w:rPr>
          <w:i/>
          <w:lang w:val="es-MX"/>
        </w:rPr>
        <w:t>Marco jurídico</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Los HCFC son las únicas sustancias que agotan la capa de ozono (SAO) cuya importación está autorizada. Solo se expide una licencia para importar HCFC si se ha asignado al solicitante la cuota de importación para dicho año de importación. Los códigos aduaneros nacionales cumplen las normas de la Organización Mundial de Aduanas, la Unión Europea (UE), y el mecanismo de consentimiento fundamentado previo informal. El 15 de abril de 2018 se prohibió la fabricación y el ensamblaje de equipos, así como la importación de productos y equipos, que contengan o usen HCFC.</w:t>
      </w:r>
    </w:p>
    <w:p w:rsidR="002E7BBF" w:rsidRPr="009F5EC9" w:rsidRDefault="002E7BBF" w:rsidP="002E7BBF">
      <w:pPr>
        <w:pStyle w:val="Heading1"/>
        <w:rPr>
          <w:lang w:val="es-MX"/>
        </w:rPr>
      </w:pPr>
      <w:r w:rsidRPr="009F5EC9">
        <w:rPr>
          <w:lang w:val="es-MX"/>
        </w:rPr>
        <w:t xml:space="preserve">En marzo de 2016 se adoptó la reglamentación sobre la certificación de personal que ejercen determinadas actividades relacionadas con sustancias controladas y ciertos gases fluorados de efecto invernadero (Gaceta Oficial 24/16 de la República de Serbia). Se ajusta parcialmente a las reglamentaciones de la Unión Europea relativas a los requisitos mínimos de certificación para los equipos fijos de refrigeración, aire acondicionado y bombas de calor, y los requisitos mínimos de capacitación para la recuperación de ciertos gases fluorados de efecto invernadero procedentes de los sistemas de aire acondicionado de vehículos de motor. Todavía se está llevando a cabo una revisión de los proyectos de enmienda de las reglamentaciones sobre la gestión de las SAO y sobre las condiciones para la expedición de licencias, con la finalidad de armonizar las reglamentaciones con la UE, incluyendo las restricciones sobre el uso de HFC con elevado potencial de calentamiento de la atmósfera para determinados usos. </w:t>
      </w:r>
    </w:p>
    <w:p w:rsidR="002E7BBF" w:rsidRPr="009F5EC9" w:rsidRDefault="002E7BBF" w:rsidP="002E7BBF">
      <w:pPr>
        <w:pStyle w:val="Heading1"/>
        <w:rPr>
          <w:lang w:val="es-MX"/>
        </w:rPr>
      </w:pPr>
      <w:r w:rsidRPr="009F5EC9">
        <w:rPr>
          <w:lang w:val="es-MX"/>
        </w:rPr>
        <w:t>Las importaciones están sujetas al control de aduanas; los cargamentos sospechosos se detienen y se informa a la Dependencia Nacional del Ozono y a los inspectores medioambientales. Los cargamentos que incumplan las reglamentaciones aplicables se devuelven al remitente y la Dependencia Nacional del Ozono notifica al país exportador a través del mecanismo de consentimiento fundamentado previo informal. Puede imputarse un delito de aduanas al importador, o castigarse con una multa económica o una sanción administrativa, en función de las circunstancias. Según el delito, la sanción podría ser una multa, una inhabilitación para seguir ejerciendo el negocio o una pena de prisión. Hasta la fecha, no se han detectado cargamentos sospechosos que contengan CFC-11 o CFC-12.</w:t>
      </w:r>
    </w:p>
    <w:p w:rsidR="002E7BBF" w:rsidRPr="009F5EC9" w:rsidRDefault="002E7BBF" w:rsidP="002E7BBF">
      <w:pPr>
        <w:pStyle w:val="Heading1"/>
        <w:rPr>
          <w:lang w:val="es-MX"/>
        </w:rPr>
      </w:pPr>
      <w:r w:rsidRPr="009F5EC9">
        <w:rPr>
          <w:lang w:val="es-MX"/>
        </w:rPr>
        <w:t xml:space="preserve">En 2016 se creó una base de datos de usuarios registrados, talleres de mantenimiento, técnicos de mantenimiento y equipos que contienen refrigerantes. Los talleres de mantenimiento que han recibido equipos de recuperación y reciclaje se monitorizan con una herramienta específica de software. </w:t>
      </w:r>
    </w:p>
    <w:p w:rsidR="002E7BBF" w:rsidRPr="009F5EC9" w:rsidRDefault="002E7BBF" w:rsidP="002E7BBF">
      <w:pPr>
        <w:pStyle w:val="Heading1"/>
        <w:rPr>
          <w:lang w:val="es-MX"/>
        </w:rPr>
      </w:pPr>
      <w:r w:rsidRPr="009F5EC9">
        <w:rPr>
          <w:lang w:val="es-MX"/>
        </w:rPr>
        <w:t xml:space="preserve">En 2017 y 2018 se celebraron dos talleres de capacitación para 5 oficiales de aduanas, 23 inspectores medioambientales y 24 representantes del Ministerio de Protección del Medio Ambiente. Las prioridades de los talleres fueron las novedades legislativas y ejercicios prácticos de inspección (simulación de inspecciones) en cuatro instalaciones de aire acondicionado y refrigeración. </w:t>
      </w:r>
    </w:p>
    <w:p w:rsidR="002E7BBF" w:rsidRPr="009F5EC9" w:rsidRDefault="002E7BBF" w:rsidP="002E7BBF">
      <w:pPr>
        <w:rPr>
          <w:i/>
          <w:lang w:val="es-MX"/>
        </w:rPr>
      </w:pPr>
      <w:r w:rsidRPr="009F5EC9">
        <w:rPr>
          <w:i/>
          <w:lang w:val="es-MX"/>
        </w:rPr>
        <w:t>Sector de fabricación</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 xml:space="preserve">La etapa I incluyó la reconversión de cuatro empresas de fabricación de equipo de refrigeración y aire acondicionado al amoniaco y el R-410A. Ya han finalizado dichas reconversiones, lo que ha supuesto eliminar 2,27 toneladas PAO. Si bien las empresas reconvertidas también fabrican equipos que utilizan </w:t>
      </w:r>
      <w:r w:rsidRPr="009F5EC9">
        <w:rPr>
          <w:lang w:val="es-MX"/>
        </w:rPr>
        <w:lastRenderedPageBreak/>
        <w:t>sustancias con elevado potencial de calentamiento de la atmósfera, dichos equipos no se fabricaron con sistemas financiados por el proyecto, sino que las empresas importaron sistemas y componentes prefabricados disponibles en el mercado, para los cuales se ofreció el montaje y la puesta en servicio.</w:t>
      </w:r>
    </w:p>
    <w:p w:rsidR="002E7BBF" w:rsidRPr="009F5EC9" w:rsidRDefault="002E7BBF" w:rsidP="002E7BBF">
      <w:pPr>
        <w:pStyle w:val="Heading1"/>
        <w:rPr>
          <w:lang w:val="es-MX"/>
        </w:rPr>
      </w:pPr>
      <w:r w:rsidRPr="009F5EC9">
        <w:rPr>
          <w:lang w:val="es-MX"/>
        </w:rPr>
        <w:t>El estado del uso de tecnologías alternativas en las cuatro empresas es el siguiente:</w:t>
      </w:r>
    </w:p>
    <w:p w:rsidR="002E7BBF" w:rsidRPr="009F5EC9" w:rsidRDefault="002E7BBF" w:rsidP="002E7BBF">
      <w:pPr>
        <w:pStyle w:val="Heading2"/>
        <w:rPr>
          <w:lang w:val="es-MX"/>
        </w:rPr>
      </w:pPr>
      <w:r w:rsidRPr="009F5EC9">
        <w:rPr>
          <w:lang w:val="es-MX"/>
        </w:rPr>
        <w:t xml:space="preserve">Alfa Klima fabricó bombas de calor con R-407C y consume R-404A para el mantenimiento de sistemas de refrigeración. La empresa está desarrollando un prototipo de bomba de calor con R-290. Se prevé que el desarrollo del prototipo continúe durante 2020; </w:t>
      </w:r>
    </w:p>
    <w:p w:rsidR="002E7BBF" w:rsidRPr="009F5EC9" w:rsidRDefault="002E7BBF" w:rsidP="002E7BBF">
      <w:pPr>
        <w:pStyle w:val="Heading2"/>
        <w:rPr>
          <w:lang w:val="es-MX"/>
        </w:rPr>
      </w:pPr>
      <w:r w:rsidRPr="009F5EC9">
        <w:rPr>
          <w:lang w:val="es-MX"/>
        </w:rPr>
        <w:t xml:space="preserve">Eko Elektrofrigo fabricó y vendió dos sistemas de refrigeración que usan amoniaco, y fabrica sistemas de aire acondicionado que usan R-410A, así como equipos de refrigeración y aire acondicionado que usan R-404A y R-449A. La empresa consume HFC-134a para el mantenimiento de vehículos, y planea sustituir el R-404A con R-448A en un futuro próximo; </w:t>
      </w:r>
    </w:p>
    <w:p w:rsidR="002E7BBF" w:rsidRPr="009F5EC9" w:rsidRDefault="002E7BBF" w:rsidP="002E7BBF">
      <w:pPr>
        <w:pStyle w:val="Heading2"/>
        <w:rPr>
          <w:lang w:val="es-MX"/>
        </w:rPr>
      </w:pPr>
      <w:r w:rsidRPr="009F5EC9">
        <w:rPr>
          <w:lang w:val="es-MX"/>
        </w:rPr>
        <w:t>SENA fabricó y vendió sistemas de refrigeración que usan amoniaco (túnel de congelación de fruta) con una capacidad de entre 300 y 400 kW, y fabricó un sistema de CO</w:t>
      </w:r>
      <w:r w:rsidRPr="009F5EC9">
        <w:rPr>
          <w:vertAlign w:val="subscript"/>
          <w:lang w:val="es-MX"/>
        </w:rPr>
        <w:t>2</w:t>
      </w:r>
      <w:r w:rsidRPr="009F5EC9">
        <w:rPr>
          <w:lang w:val="es-MX"/>
        </w:rPr>
        <w:t xml:space="preserve"> transcrítico que todavía no ha vendido. La empresa también fabrica sistemas de aire acondicionado que usan R-410A y R-407C, enfriadores que usan HFC-134a y sistemas de refrigeración que usan R-404A y R-448A; y</w:t>
      </w:r>
    </w:p>
    <w:p w:rsidR="002E7BBF" w:rsidRPr="009F5EC9" w:rsidRDefault="002E7BBF" w:rsidP="002E7BBF">
      <w:pPr>
        <w:pStyle w:val="Heading2"/>
        <w:keepNext/>
        <w:keepLines/>
        <w:rPr>
          <w:lang w:val="es-MX"/>
        </w:rPr>
      </w:pPr>
      <w:r w:rsidRPr="009F5EC9">
        <w:rPr>
          <w:lang w:val="es-MX"/>
        </w:rPr>
        <w:t>Soko Inzingiering fabricó un sistema de cascada de amoniaco/CO</w:t>
      </w:r>
      <w:r w:rsidRPr="009F5EC9">
        <w:rPr>
          <w:vertAlign w:val="subscript"/>
          <w:lang w:val="es-MX"/>
        </w:rPr>
        <w:t>2</w:t>
      </w:r>
      <w:r w:rsidRPr="009F5EC9">
        <w:rPr>
          <w:lang w:val="es-MX"/>
        </w:rPr>
        <w:t>, que donó y se instaló en la Facultad de Ingeniería Mecánica de Belgrado, y fabricó (pero no ha vendido) un sistema de cascada de CO</w:t>
      </w:r>
      <w:r w:rsidRPr="009F5EC9">
        <w:rPr>
          <w:vertAlign w:val="subscript"/>
          <w:lang w:val="es-MX"/>
        </w:rPr>
        <w:t>2</w:t>
      </w:r>
      <w:r w:rsidRPr="009F5EC9">
        <w:rPr>
          <w:lang w:val="es-MX"/>
        </w:rPr>
        <w:t xml:space="preserve"> transcrítico. La empresa importa unidades de visualización que usan R-290 y R-600A, para las que proporciona servicios de mantenimiento. También fabrica sistemas de refrigeración que usan R-404A y equipos de refrigeración y aire acondicionado que usan R-449A. </w:t>
      </w:r>
    </w:p>
    <w:p w:rsidR="002E7BBF" w:rsidRPr="009F5EC9" w:rsidRDefault="002E7BBF" w:rsidP="002E7BBF">
      <w:pPr>
        <w:rPr>
          <w:i/>
          <w:lang w:val="es-MX"/>
        </w:rPr>
      </w:pPr>
      <w:r w:rsidRPr="009F5EC9">
        <w:rPr>
          <w:i/>
          <w:lang w:val="es-MX"/>
        </w:rPr>
        <w:t>Sector de mantenimiento de refrigeración</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Se llevaron a cabo las siguientes actividades:</w:t>
      </w:r>
    </w:p>
    <w:p w:rsidR="002E7BBF" w:rsidRPr="009F5EC9" w:rsidRDefault="002E7BBF" w:rsidP="002E7BBF">
      <w:pPr>
        <w:pStyle w:val="Heading2"/>
        <w:rPr>
          <w:lang w:val="es-MX"/>
        </w:rPr>
      </w:pPr>
      <w:r w:rsidRPr="009F5EC9">
        <w:rPr>
          <w:lang w:val="es-MX"/>
        </w:rPr>
        <w:t xml:space="preserve">De acuerdo con los requisitos de la reglamentación de marzo de 2016 sobre la certificación de personal, se distribuyeron herramientas adicionales (por ejemplo, plegadoras de tubos, cortatubos, abocinadores, detectores de fugas de HFC, cilindros de dos válvulas, unidades portátiles de recuperación de refrigerantes y bombas de vacío de dos etapas) a los centros de capacitación, y se terminó un nuevo manual de capacitación para los técnicos de mantenimiento de equipos de refrigeración y aire acondicionado en 2018; </w:t>
      </w:r>
    </w:p>
    <w:p w:rsidR="002E7BBF" w:rsidRPr="009F5EC9" w:rsidRDefault="002E7BBF" w:rsidP="002E7BBF">
      <w:pPr>
        <w:pStyle w:val="Heading2"/>
        <w:rPr>
          <w:lang w:val="es-MX"/>
        </w:rPr>
      </w:pPr>
      <w:r w:rsidRPr="009F5EC9">
        <w:rPr>
          <w:lang w:val="es-MX"/>
        </w:rPr>
        <w:t>Se celebró un taller para 22 instructores usando el manual nuevo e impartiendo capacitación actualizada teórica y práctica; y</w:t>
      </w:r>
    </w:p>
    <w:p w:rsidR="002E7BBF" w:rsidRPr="009F5EC9" w:rsidRDefault="002E7BBF" w:rsidP="002E7BBF">
      <w:pPr>
        <w:pStyle w:val="Heading2"/>
        <w:rPr>
          <w:lang w:val="es-MX"/>
        </w:rPr>
      </w:pPr>
      <w:r w:rsidRPr="009F5EC9">
        <w:rPr>
          <w:lang w:val="es-MX"/>
        </w:rPr>
        <w:t xml:space="preserve">Entre 2018 y 2019, se impartió un total de 24 sesiones de capacitación de tres días, combinando ejercicios teóricos y prácticos para 429 técnicos de mantenimiento en cuatro centros de capacitación. Cada sesión de capacitación constaba de ocho horas de formación teórica y dieciséis horas de capacitación práctica sobre buenas prácticas de mantenimiento de equipos de refrigeración. </w:t>
      </w:r>
    </w:p>
    <w:p w:rsidR="002E7BBF" w:rsidRPr="009F5EC9" w:rsidRDefault="002E7BBF" w:rsidP="002E7BBF">
      <w:pPr>
        <w:pStyle w:val="Heading1"/>
        <w:rPr>
          <w:lang w:val="es-MX"/>
        </w:rPr>
      </w:pPr>
      <w:r w:rsidRPr="009F5EC9">
        <w:rPr>
          <w:lang w:val="es-MX"/>
        </w:rPr>
        <w:t xml:space="preserve">En cooperación con la Asociación de Refrigeración y Aire Acondicionado serbia (KGH), en el congreso anual de la KGH de 2017 y 2018 se realizaron actividades de sensibilización, por ejemplo mesas redondas y puestos de demostración sobre refrigeración, y se publicaron las páginas del ozono (Ozone Pages) en la revista trimestral de la KGH; y la participación de la Dependencia Nacional del Ozono en la </w:t>
      </w:r>
      <w:r w:rsidRPr="009F5EC9">
        <w:rPr>
          <w:lang w:val="es-MX"/>
        </w:rPr>
        <w:lastRenderedPageBreak/>
        <w:t xml:space="preserve">feria EcoFair de 2017, 2018 y 2019 en la que se llevaron a cabo presentaciones sobre el Protocolo de Montreal y la Enmienda de Kigali. </w:t>
      </w:r>
    </w:p>
    <w:p w:rsidR="002E7BBF" w:rsidRPr="009F5EC9" w:rsidRDefault="002E7BBF" w:rsidP="002E7BBF">
      <w:pPr>
        <w:rPr>
          <w:i/>
          <w:lang w:val="es-MX"/>
        </w:rPr>
      </w:pPr>
      <w:r w:rsidRPr="009F5EC9">
        <w:rPr>
          <w:i/>
          <w:lang w:val="es-MX"/>
        </w:rPr>
        <w:t>Unidad de ejecución de proyecto y supervisión</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 xml:space="preserve">De los 10.000 $EUA asignados para la monitorización de proyectos en el marco del tercer tramo, se han desembolsado 8.200 $EUA para la verificación independiente (6.000 $EUA), las visitas de campo del personal de la Dependencia Nacional del Ozono (800 $EUA) y las consultas con las partes interesadas (1.400 $EUA). El saldo de 1.800 $EUA se comprometió para una consulta a corto plazo para asistir en la ejecución y monitorización de proyectos. </w:t>
      </w:r>
    </w:p>
    <w:p w:rsidR="002E7BBF" w:rsidRPr="009F5EC9" w:rsidRDefault="002E7BBF" w:rsidP="002E7BBF">
      <w:pPr>
        <w:rPr>
          <w:u w:val="single"/>
          <w:lang w:val="es-MX"/>
        </w:rPr>
      </w:pPr>
      <w:r w:rsidRPr="009F5EC9">
        <w:rPr>
          <w:u w:val="single"/>
          <w:lang w:val="es-MX"/>
        </w:rPr>
        <w:t>Nivel de desembolso de los fondos</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En octubre de 2019, de los 940.010 $EUA aprobados hasta la fecha, se habían desembolsado 915.892 $EUA (862.963 $EUA para la ONUDI y 52.929 $EUA para el PNUMA) como se indica en el Cuadro 2. El saldo de 24.118 $EUA se desembolsará en 2020.</w:t>
      </w:r>
    </w:p>
    <w:p w:rsidR="002E7BBF" w:rsidRPr="009F5EC9" w:rsidRDefault="002E7BBF" w:rsidP="002E7BBF">
      <w:pPr>
        <w:rPr>
          <w:b/>
          <w:lang w:val="es-MX"/>
        </w:rPr>
      </w:pPr>
      <w:r w:rsidRPr="009F5EC9">
        <w:rPr>
          <w:b/>
          <w:lang w:val="es-MX"/>
        </w:rPr>
        <w:t>Cuadro 2. Informe financiero de la etapa I del plan de gestión de la eliminación de los HCFC correspondiente a Serbia ($EUA)</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537"/>
        <w:gridCol w:w="1984"/>
        <w:gridCol w:w="1275"/>
        <w:gridCol w:w="1276"/>
        <w:gridCol w:w="1276"/>
        <w:gridCol w:w="1985"/>
      </w:tblGrid>
      <w:tr w:rsidR="002E7BBF" w:rsidRPr="009F5EC9" w:rsidTr="00B47CEB">
        <w:trPr>
          <w:trHeight w:val="350"/>
        </w:trPr>
        <w:tc>
          <w:tcPr>
            <w:tcW w:w="3521" w:type="dxa"/>
            <w:gridSpan w:val="2"/>
            <w:shd w:val="clear" w:color="auto" w:fill="auto"/>
            <w:noWrap/>
            <w:vAlign w:val="center"/>
            <w:hideMark/>
          </w:tcPr>
          <w:p w:rsidR="002E7BBF" w:rsidRPr="009F5EC9" w:rsidRDefault="002E7BBF" w:rsidP="002E7BBF">
            <w:pPr>
              <w:rPr>
                <w:b/>
                <w:bCs/>
                <w:color w:val="000000"/>
                <w:sz w:val="20"/>
                <w:szCs w:val="20"/>
                <w:lang w:val="es-MX"/>
              </w:rPr>
            </w:pPr>
            <w:r w:rsidRPr="009F5EC9">
              <w:rPr>
                <w:b/>
                <w:bCs/>
                <w:color w:val="000000"/>
                <w:sz w:val="20"/>
                <w:szCs w:val="20"/>
                <w:lang w:val="es-MX"/>
              </w:rPr>
              <w:t>Tramo</w:t>
            </w:r>
          </w:p>
        </w:tc>
        <w:tc>
          <w:tcPr>
            <w:tcW w:w="1275" w:type="dxa"/>
            <w:shd w:val="clear" w:color="auto" w:fill="auto"/>
            <w:noWrap/>
            <w:vAlign w:val="center"/>
          </w:tcPr>
          <w:p w:rsidR="002E7BBF" w:rsidRPr="009F5EC9" w:rsidRDefault="002E7BBF" w:rsidP="002E7BBF">
            <w:pPr>
              <w:jc w:val="center"/>
              <w:rPr>
                <w:b/>
                <w:color w:val="000000"/>
                <w:sz w:val="20"/>
                <w:szCs w:val="20"/>
                <w:lang w:val="es-MX"/>
              </w:rPr>
            </w:pPr>
            <w:r w:rsidRPr="009F5EC9">
              <w:rPr>
                <w:b/>
                <w:color w:val="000000"/>
                <w:sz w:val="20"/>
                <w:szCs w:val="20"/>
                <w:lang w:val="es-MX"/>
              </w:rPr>
              <w:t>ONUDI</w:t>
            </w:r>
          </w:p>
        </w:tc>
        <w:tc>
          <w:tcPr>
            <w:tcW w:w="1276" w:type="dxa"/>
            <w:vAlign w:val="center"/>
          </w:tcPr>
          <w:p w:rsidR="002E7BBF" w:rsidRPr="009F5EC9" w:rsidRDefault="002E7BBF" w:rsidP="002E7BBF">
            <w:pPr>
              <w:jc w:val="center"/>
              <w:rPr>
                <w:b/>
                <w:color w:val="000000"/>
                <w:sz w:val="20"/>
                <w:szCs w:val="20"/>
                <w:lang w:val="es-MX"/>
              </w:rPr>
            </w:pPr>
            <w:r w:rsidRPr="009F5EC9">
              <w:rPr>
                <w:b/>
                <w:color w:val="000000"/>
                <w:sz w:val="20"/>
                <w:szCs w:val="20"/>
                <w:lang w:val="es-MX"/>
              </w:rPr>
              <w:t>PNUMA</w:t>
            </w:r>
          </w:p>
        </w:tc>
        <w:tc>
          <w:tcPr>
            <w:tcW w:w="1276" w:type="dxa"/>
            <w:shd w:val="clear" w:color="auto" w:fill="auto"/>
            <w:noWrap/>
            <w:vAlign w:val="center"/>
            <w:hideMark/>
          </w:tcPr>
          <w:p w:rsidR="002E7BBF" w:rsidRPr="009F5EC9" w:rsidRDefault="002E7BBF" w:rsidP="002E7BBF">
            <w:pPr>
              <w:jc w:val="center"/>
              <w:rPr>
                <w:b/>
                <w:color w:val="000000"/>
                <w:sz w:val="20"/>
                <w:szCs w:val="20"/>
                <w:lang w:val="es-MX"/>
              </w:rPr>
            </w:pPr>
            <w:r w:rsidRPr="009F5EC9">
              <w:rPr>
                <w:b/>
                <w:color w:val="000000"/>
                <w:sz w:val="20"/>
                <w:szCs w:val="20"/>
                <w:lang w:val="es-MX"/>
              </w:rPr>
              <w:t>Total</w:t>
            </w:r>
          </w:p>
        </w:tc>
        <w:tc>
          <w:tcPr>
            <w:tcW w:w="1985" w:type="dxa"/>
            <w:shd w:val="clear" w:color="auto" w:fill="auto"/>
            <w:noWrap/>
            <w:vAlign w:val="center"/>
            <w:hideMark/>
          </w:tcPr>
          <w:p w:rsidR="002E7BBF" w:rsidRPr="009F5EC9" w:rsidRDefault="002E7BBF" w:rsidP="002E7BBF">
            <w:pPr>
              <w:jc w:val="center"/>
              <w:rPr>
                <w:b/>
                <w:color w:val="000000"/>
                <w:sz w:val="20"/>
                <w:szCs w:val="20"/>
                <w:lang w:val="es-MX"/>
              </w:rPr>
            </w:pPr>
            <w:r w:rsidRPr="009F5EC9">
              <w:rPr>
                <w:b/>
                <w:color w:val="000000"/>
                <w:sz w:val="20"/>
                <w:szCs w:val="20"/>
                <w:lang w:val="es-MX"/>
              </w:rPr>
              <w:t>Tasa de desembolso (%)</w:t>
            </w:r>
          </w:p>
        </w:tc>
      </w:tr>
      <w:tr w:rsidR="002E7BBF" w:rsidRPr="009F5EC9" w:rsidTr="00B47CEB">
        <w:trPr>
          <w:trHeight w:val="179"/>
        </w:trPr>
        <w:tc>
          <w:tcPr>
            <w:tcW w:w="1537" w:type="dxa"/>
            <w:vMerge w:val="restart"/>
            <w:shd w:val="clear" w:color="auto" w:fill="auto"/>
            <w:noWrap/>
            <w:vAlign w:val="center"/>
            <w:hideMark/>
          </w:tcPr>
          <w:p w:rsidR="002E7BBF" w:rsidRPr="009F5EC9" w:rsidRDefault="002E7BBF" w:rsidP="002E7BBF">
            <w:pPr>
              <w:jc w:val="left"/>
              <w:rPr>
                <w:bCs/>
                <w:color w:val="000000"/>
                <w:sz w:val="20"/>
                <w:szCs w:val="20"/>
                <w:lang w:val="es-MX"/>
              </w:rPr>
            </w:pPr>
            <w:r w:rsidRPr="009F5EC9">
              <w:rPr>
                <w:bCs/>
                <w:color w:val="000000"/>
                <w:sz w:val="20"/>
                <w:szCs w:val="20"/>
                <w:lang w:val="es-MX"/>
              </w:rPr>
              <w:t>Primer tramo</w:t>
            </w:r>
          </w:p>
        </w:tc>
        <w:tc>
          <w:tcPr>
            <w:tcW w:w="1984" w:type="dxa"/>
            <w:shd w:val="clear" w:color="auto" w:fill="auto"/>
            <w:noWrap/>
            <w:vAlign w:val="center"/>
            <w:hideMark/>
          </w:tcPr>
          <w:p w:rsidR="002E7BBF" w:rsidRPr="009F5EC9" w:rsidRDefault="002E7BBF" w:rsidP="002E7BBF">
            <w:pPr>
              <w:rPr>
                <w:bCs/>
                <w:color w:val="000000"/>
                <w:sz w:val="20"/>
                <w:szCs w:val="20"/>
                <w:lang w:val="es-MX"/>
              </w:rPr>
            </w:pPr>
            <w:r w:rsidRPr="009F5EC9">
              <w:rPr>
                <w:bCs/>
                <w:color w:val="000000"/>
                <w:sz w:val="20"/>
                <w:szCs w:val="20"/>
                <w:lang w:val="es-MX"/>
              </w:rPr>
              <w:t xml:space="preserve">Aprobado </w:t>
            </w:r>
          </w:p>
        </w:tc>
        <w:tc>
          <w:tcPr>
            <w:tcW w:w="1275" w:type="dxa"/>
            <w:shd w:val="clear" w:color="auto" w:fill="auto"/>
            <w:noWrap/>
            <w:vAlign w:val="center"/>
          </w:tcPr>
          <w:p w:rsidR="002E7BBF" w:rsidRPr="009F5EC9" w:rsidRDefault="002E7BBF" w:rsidP="002E7BBF">
            <w:pPr>
              <w:jc w:val="right"/>
              <w:rPr>
                <w:color w:val="000000"/>
                <w:sz w:val="20"/>
                <w:szCs w:val="20"/>
                <w:lang w:val="es-MX"/>
              </w:rPr>
            </w:pPr>
            <w:r w:rsidRPr="009F5EC9">
              <w:rPr>
                <w:color w:val="000000"/>
                <w:sz w:val="20"/>
                <w:szCs w:val="20"/>
                <w:lang w:val="es-MX"/>
              </w:rPr>
              <w:t>360.130</w:t>
            </w:r>
          </w:p>
        </w:tc>
        <w:tc>
          <w:tcPr>
            <w:tcW w:w="1276" w:type="dxa"/>
            <w:vAlign w:val="center"/>
          </w:tcPr>
          <w:p w:rsidR="002E7BBF" w:rsidRPr="009F5EC9" w:rsidRDefault="002E7BBF" w:rsidP="002E7BBF">
            <w:pPr>
              <w:jc w:val="right"/>
              <w:rPr>
                <w:color w:val="000000"/>
                <w:sz w:val="20"/>
                <w:szCs w:val="20"/>
                <w:lang w:val="es-MX"/>
              </w:rPr>
            </w:pPr>
            <w:r w:rsidRPr="009F5EC9">
              <w:rPr>
                <w:color w:val="000000"/>
                <w:sz w:val="20"/>
                <w:szCs w:val="20"/>
                <w:lang w:val="es-MX"/>
              </w:rPr>
              <w:t>26.000</w:t>
            </w:r>
          </w:p>
        </w:tc>
        <w:tc>
          <w:tcPr>
            <w:tcW w:w="1276" w:type="dxa"/>
            <w:shd w:val="clear" w:color="auto" w:fill="auto"/>
            <w:noWrap/>
            <w:vAlign w:val="center"/>
          </w:tcPr>
          <w:p w:rsidR="002E7BBF" w:rsidRPr="009F5EC9" w:rsidRDefault="00B47CEB" w:rsidP="002E7BBF">
            <w:pPr>
              <w:jc w:val="right"/>
              <w:rPr>
                <w:color w:val="000000"/>
                <w:sz w:val="20"/>
                <w:szCs w:val="20"/>
                <w:lang w:val="es-MX"/>
              </w:rPr>
            </w:pPr>
            <w:r w:rsidRPr="00B47CEB">
              <w:rPr>
                <w:color w:val="000000"/>
                <w:sz w:val="20"/>
                <w:szCs w:val="20"/>
                <w:lang w:val="es-MX"/>
              </w:rPr>
              <w:t>386.13</w:t>
            </w:r>
          </w:p>
        </w:tc>
        <w:tc>
          <w:tcPr>
            <w:tcW w:w="1985" w:type="dxa"/>
            <w:vMerge w:val="restart"/>
            <w:shd w:val="clear" w:color="auto" w:fill="auto"/>
            <w:noWrap/>
            <w:vAlign w:val="center"/>
          </w:tcPr>
          <w:p w:rsidR="002E7BBF" w:rsidRPr="009F5EC9" w:rsidRDefault="002E7BBF" w:rsidP="002E7BBF">
            <w:pPr>
              <w:jc w:val="center"/>
              <w:rPr>
                <w:color w:val="000000"/>
                <w:sz w:val="20"/>
                <w:szCs w:val="20"/>
                <w:lang w:val="es-MX"/>
              </w:rPr>
            </w:pPr>
            <w:r w:rsidRPr="009F5EC9">
              <w:rPr>
                <w:color w:val="000000"/>
                <w:sz w:val="20"/>
                <w:szCs w:val="20"/>
                <w:lang w:val="es-MX"/>
              </w:rPr>
              <w:t>98</w:t>
            </w:r>
          </w:p>
        </w:tc>
      </w:tr>
      <w:tr w:rsidR="002E7BBF" w:rsidRPr="009F5EC9" w:rsidTr="00B47CEB">
        <w:trPr>
          <w:trHeight w:val="215"/>
        </w:trPr>
        <w:tc>
          <w:tcPr>
            <w:tcW w:w="1537" w:type="dxa"/>
            <w:vMerge/>
            <w:vAlign w:val="center"/>
            <w:hideMark/>
          </w:tcPr>
          <w:p w:rsidR="002E7BBF" w:rsidRPr="009F5EC9" w:rsidRDefault="002E7BBF" w:rsidP="002E7BBF">
            <w:pPr>
              <w:jc w:val="left"/>
              <w:rPr>
                <w:bCs/>
                <w:color w:val="000000"/>
                <w:sz w:val="20"/>
                <w:szCs w:val="20"/>
                <w:lang w:val="es-MX" w:eastAsia="en-CA"/>
              </w:rPr>
            </w:pPr>
          </w:p>
        </w:tc>
        <w:tc>
          <w:tcPr>
            <w:tcW w:w="1984" w:type="dxa"/>
            <w:shd w:val="clear" w:color="auto" w:fill="auto"/>
            <w:noWrap/>
            <w:vAlign w:val="center"/>
            <w:hideMark/>
          </w:tcPr>
          <w:p w:rsidR="002E7BBF" w:rsidRPr="009F5EC9" w:rsidRDefault="002E7BBF" w:rsidP="002E7BBF">
            <w:pPr>
              <w:rPr>
                <w:bCs/>
                <w:color w:val="000000"/>
                <w:sz w:val="20"/>
                <w:szCs w:val="20"/>
                <w:lang w:val="es-MX"/>
              </w:rPr>
            </w:pPr>
            <w:r w:rsidRPr="009F5EC9">
              <w:rPr>
                <w:bCs/>
                <w:color w:val="000000"/>
                <w:sz w:val="20"/>
                <w:szCs w:val="20"/>
                <w:lang w:val="es-MX"/>
              </w:rPr>
              <w:t xml:space="preserve">Desembolsado </w:t>
            </w:r>
          </w:p>
        </w:tc>
        <w:tc>
          <w:tcPr>
            <w:tcW w:w="1275" w:type="dxa"/>
            <w:shd w:val="clear" w:color="auto" w:fill="auto"/>
            <w:noWrap/>
            <w:vAlign w:val="center"/>
          </w:tcPr>
          <w:p w:rsidR="002E7BBF" w:rsidRPr="009F5EC9" w:rsidRDefault="002E7BBF" w:rsidP="002E7BBF">
            <w:pPr>
              <w:jc w:val="right"/>
              <w:rPr>
                <w:color w:val="000000"/>
                <w:sz w:val="20"/>
                <w:szCs w:val="20"/>
                <w:lang w:val="es-MX"/>
              </w:rPr>
            </w:pPr>
            <w:r w:rsidRPr="009F5EC9">
              <w:rPr>
                <w:color w:val="000000"/>
                <w:sz w:val="20"/>
                <w:szCs w:val="20"/>
                <w:lang w:val="es-MX"/>
              </w:rPr>
              <w:t>354.346</w:t>
            </w:r>
          </w:p>
        </w:tc>
        <w:tc>
          <w:tcPr>
            <w:tcW w:w="1276" w:type="dxa"/>
          </w:tcPr>
          <w:p w:rsidR="002E7BBF" w:rsidRPr="009F5EC9" w:rsidRDefault="002E7BBF" w:rsidP="002E7BBF">
            <w:pPr>
              <w:jc w:val="right"/>
              <w:rPr>
                <w:sz w:val="20"/>
                <w:szCs w:val="20"/>
                <w:lang w:val="es-MX"/>
              </w:rPr>
            </w:pPr>
            <w:r w:rsidRPr="009F5EC9">
              <w:rPr>
                <w:sz w:val="20"/>
                <w:szCs w:val="20"/>
                <w:lang w:val="es-MX"/>
              </w:rPr>
              <w:t>25.030</w:t>
            </w:r>
          </w:p>
        </w:tc>
        <w:tc>
          <w:tcPr>
            <w:tcW w:w="1276" w:type="dxa"/>
            <w:shd w:val="clear" w:color="auto" w:fill="auto"/>
            <w:noWrap/>
          </w:tcPr>
          <w:p w:rsidR="002E7BBF" w:rsidRPr="009F5EC9" w:rsidRDefault="002E7BBF" w:rsidP="002E7BBF">
            <w:pPr>
              <w:jc w:val="right"/>
              <w:rPr>
                <w:sz w:val="20"/>
                <w:szCs w:val="20"/>
                <w:lang w:val="es-MX"/>
              </w:rPr>
            </w:pPr>
            <w:r w:rsidRPr="009F5EC9">
              <w:rPr>
                <w:sz w:val="20"/>
                <w:szCs w:val="20"/>
                <w:lang w:val="es-MX"/>
              </w:rPr>
              <w:t>379.376</w:t>
            </w:r>
          </w:p>
        </w:tc>
        <w:tc>
          <w:tcPr>
            <w:tcW w:w="1985" w:type="dxa"/>
            <w:vMerge/>
            <w:vAlign w:val="center"/>
          </w:tcPr>
          <w:p w:rsidR="002E7BBF" w:rsidRPr="009F5EC9" w:rsidRDefault="002E7BBF" w:rsidP="002E7BBF">
            <w:pPr>
              <w:jc w:val="center"/>
              <w:rPr>
                <w:color w:val="000000"/>
                <w:sz w:val="20"/>
                <w:szCs w:val="20"/>
                <w:lang w:val="es-MX" w:eastAsia="en-CA"/>
              </w:rPr>
            </w:pPr>
          </w:p>
        </w:tc>
      </w:tr>
      <w:tr w:rsidR="002E7BBF" w:rsidRPr="009F5EC9" w:rsidTr="00B47CEB">
        <w:trPr>
          <w:trHeight w:val="152"/>
        </w:trPr>
        <w:tc>
          <w:tcPr>
            <w:tcW w:w="1537" w:type="dxa"/>
            <w:vMerge w:val="restart"/>
            <w:shd w:val="clear" w:color="auto" w:fill="auto"/>
            <w:noWrap/>
            <w:vAlign w:val="center"/>
            <w:hideMark/>
          </w:tcPr>
          <w:p w:rsidR="002E7BBF" w:rsidRPr="009F5EC9" w:rsidRDefault="002E7BBF" w:rsidP="002E7BBF">
            <w:pPr>
              <w:jc w:val="left"/>
              <w:rPr>
                <w:bCs/>
                <w:color w:val="000000"/>
                <w:sz w:val="20"/>
                <w:szCs w:val="20"/>
                <w:lang w:val="es-MX"/>
              </w:rPr>
            </w:pPr>
            <w:r w:rsidRPr="009F5EC9">
              <w:rPr>
                <w:bCs/>
                <w:color w:val="000000"/>
                <w:sz w:val="20"/>
                <w:szCs w:val="20"/>
                <w:lang w:val="es-MX"/>
              </w:rPr>
              <w:t>Segundo tramo</w:t>
            </w:r>
          </w:p>
        </w:tc>
        <w:tc>
          <w:tcPr>
            <w:tcW w:w="1984" w:type="dxa"/>
            <w:shd w:val="clear" w:color="auto" w:fill="auto"/>
            <w:noWrap/>
            <w:vAlign w:val="center"/>
            <w:hideMark/>
          </w:tcPr>
          <w:p w:rsidR="002E7BBF" w:rsidRPr="009F5EC9" w:rsidRDefault="002E7BBF" w:rsidP="002E7BBF">
            <w:pPr>
              <w:rPr>
                <w:bCs/>
                <w:color w:val="000000"/>
                <w:sz w:val="20"/>
                <w:szCs w:val="20"/>
                <w:lang w:val="es-MX"/>
              </w:rPr>
            </w:pPr>
            <w:r w:rsidRPr="009F5EC9">
              <w:rPr>
                <w:bCs/>
                <w:color w:val="000000"/>
                <w:sz w:val="20"/>
                <w:szCs w:val="20"/>
                <w:lang w:val="es-MX"/>
              </w:rPr>
              <w:t xml:space="preserve">Aprobado </w:t>
            </w:r>
          </w:p>
        </w:tc>
        <w:tc>
          <w:tcPr>
            <w:tcW w:w="1275" w:type="dxa"/>
            <w:shd w:val="clear" w:color="auto" w:fill="auto"/>
            <w:noWrap/>
            <w:vAlign w:val="center"/>
          </w:tcPr>
          <w:p w:rsidR="002E7BBF" w:rsidRPr="009F5EC9" w:rsidRDefault="002E7BBF" w:rsidP="002E7BBF">
            <w:pPr>
              <w:jc w:val="right"/>
              <w:rPr>
                <w:color w:val="000000"/>
                <w:sz w:val="20"/>
                <w:szCs w:val="20"/>
                <w:lang w:val="es-MX"/>
              </w:rPr>
            </w:pPr>
            <w:r w:rsidRPr="009F5EC9">
              <w:rPr>
                <w:color w:val="000000"/>
                <w:sz w:val="20"/>
                <w:szCs w:val="20"/>
                <w:lang w:val="es-MX"/>
              </w:rPr>
              <w:t>444.130</w:t>
            </w:r>
          </w:p>
        </w:tc>
        <w:tc>
          <w:tcPr>
            <w:tcW w:w="1276" w:type="dxa"/>
            <w:vAlign w:val="center"/>
          </w:tcPr>
          <w:p w:rsidR="002E7BBF" w:rsidRPr="009F5EC9" w:rsidRDefault="002E7BBF" w:rsidP="002E7BBF">
            <w:pPr>
              <w:jc w:val="right"/>
              <w:rPr>
                <w:color w:val="000000"/>
                <w:sz w:val="20"/>
                <w:szCs w:val="20"/>
                <w:lang w:val="es-MX"/>
              </w:rPr>
            </w:pPr>
            <w:r w:rsidRPr="009F5EC9">
              <w:rPr>
                <w:color w:val="000000"/>
                <w:sz w:val="20"/>
                <w:szCs w:val="20"/>
                <w:lang w:val="es-MX"/>
              </w:rPr>
              <w:t>27.500</w:t>
            </w:r>
          </w:p>
        </w:tc>
        <w:tc>
          <w:tcPr>
            <w:tcW w:w="1276" w:type="dxa"/>
            <w:shd w:val="clear" w:color="auto" w:fill="auto"/>
            <w:noWrap/>
            <w:vAlign w:val="center"/>
          </w:tcPr>
          <w:p w:rsidR="002E7BBF" w:rsidRPr="009F5EC9" w:rsidRDefault="00B47CEB" w:rsidP="002E7BBF">
            <w:pPr>
              <w:jc w:val="right"/>
              <w:rPr>
                <w:color w:val="000000"/>
                <w:sz w:val="20"/>
                <w:szCs w:val="20"/>
                <w:lang w:val="es-MX"/>
              </w:rPr>
            </w:pPr>
            <w:r w:rsidRPr="00B47CEB">
              <w:rPr>
                <w:color w:val="000000"/>
                <w:sz w:val="20"/>
                <w:szCs w:val="20"/>
                <w:lang w:val="es-MX"/>
              </w:rPr>
              <w:t>471.63</w:t>
            </w:r>
          </w:p>
        </w:tc>
        <w:tc>
          <w:tcPr>
            <w:tcW w:w="1985" w:type="dxa"/>
            <w:vMerge w:val="restart"/>
            <w:shd w:val="clear" w:color="auto" w:fill="auto"/>
            <w:noWrap/>
            <w:vAlign w:val="center"/>
          </w:tcPr>
          <w:p w:rsidR="002E7BBF" w:rsidRPr="009F5EC9" w:rsidRDefault="002E7BBF" w:rsidP="002E7BBF">
            <w:pPr>
              <w:jc w:val="center"/>
              <w:rPr>
                <w:color w:val="000000"/>
                <w:sz w:val="20"/>
                <w:szCs w:val="20"/>
                <w:lang w:val="es-MX"/>
              </w:rPr>
            </w:pPr>
            <w:r w:rsidRPr="009F5EC9">
              <w:rPr>
                <w:color w:val="000000"/>
                <w:sz w:val="20"/>
                <w:szCs w:val="20"/>
                <w:lang w:val="es-MX"/>
              </w:rPr>
              <w:t>99</w:t>
            </w:r>
          </w:p>
        </w:tc>
      </w:tr>
      <w:tr w:rsidR="002E7BBF" w:rsidRPr="009F5EC9" w:rsidTr="00B47CEB">
        <w:trPr>
          <w:trHeight w:val="179"/>
        </w:trPr>
        <w:tc>
          <w:tcPr>
            <w:tcW w:w="1537" w:type="dxa"/>
            <w:vMerge/>
            <w:vAlign w:val="center"/>
            <w:hideMark/>
          </w:tcPr>
          <w:p w:rsidR="002E7BBF" w:rsidRPr="009F5EC9" w:rsidRDefault="002E7BBF" w:rsidP="002E7BBF">
            <w:pPr>
              <w:jc w:val="left"/>
              <w:rPr>
                <w:bCs/>
                <w:color w:val="000000"/>
                <w:sz w:val="20"/>
                <w:szCs w:val="20"/>
                <w:lang w:val="es-MX" w:eastAsia="en-CA"/>
              </w:rPr>
            </w:pPr>
          </w:p>
        </w:tc>
        <w:tc>
          <w:tcPr>
            <w:tcW w:w="1984" w:type="dxa"/>
            <w:shd w:val="clear" w:color="auto" w:fill="auto"/>
            <w:noWrap/>
            <w:vAlign w:val="center"/>
            <w:hideMark/>
          </w:tcPr>
          <w:p w:rsidR="002E7BBF" w:rsidRPr="009F5EC9" w:rsidRDefault="002E7BBF" w:rsidP="002E7BBF">
            <w:pPr>
              <w:rPr>
                <w:bCs/>
                <w:color w:val="000000"/>
                <w:sz w:val="20"/>
                <w:szCs w:val="20"/>
                <w:lang w:val="es-MX"/>
              </w:rPr>
            </w:pPr>
            <w:r w:rsidRPr="009F5EC9">
              <w:rPr>
                <w:bCs/>
                <w:color w:val="000000"/>
                <w:sz w:val="20"/>
                <w:szCs w:val="20"/>
                <w:lang w:val="es-MX"/>
              </w:rPr>
              <w:t xml:space="preserve">Desembolsado </w:t>
            </w:r>
          </w:p>
        </w:tc>
        <w:tc>
          <w:tcPr>
            <w:tcW w:w="1275" w:type="dxa"/>
            <w:shd w:val="clear" w:color="auto" w:fill="auto"/>
            <w:noWrap/>
          </w:tcPr>
          <w:p w:rsidR="002E7BBF" w:rsidRPr="009F5EC9" w:rsidRDefault="002E7BBF" w:rsidP="002E7BBF">
            <w:pPr>
              <w:jc w:val="right"/>
              <w:rPr>
                <w:sz w:val="20"/>
                <w:szCs w:val="20"/>
                <w:lang w:val="es-MX"/>
              </w:rPr>
            </w:pPr>
            <w:r w:rsidRPr="009F5EC9">
              <w:rPr>
                <w:sz w:val="20"/>
                <w:szCs w:val="20"/>
                <w:lang w:val="es-MX"/>
              </w:rPr>
              <w:t>442.671</w:t>
            </w:r>
          </w:p>
        </w:tc>
        <w:tc>
          <w:tcPr>
            <w:tcW w:w="1276" w:type="dxa"/>
            <w:shd w:val="clear" w:color="auto" w:fill="auto"/>
          </w:tcPr>
          <w:p w:rsidR="002E7BBF" w:rsidRPr="009F5EC9" w:rsidRDefault="002E7BBF" w:rsidP="002E7BBF">
            <w:pPr>
              <w:jc w:val="right"/>
              <w:rPr>
                <w:sz w:val="20"/>
                <w:szCs w:val="20"/>
                <w:lang w:val="es-MX"/>
              </w:rPr>
            </w:pPr>
            <w:r w:rsidRPr="009F5EC9">
              <w:rPr>
                <w:sz w:val="20"/>
                <w:szCs w:val="20"/>
                <w:lang w:val="es-MX"/>
              </w:rPr>
              <w:t>25.227</w:t>
            </w:r>
          </w:p>
        </w:tc>
        <w:tc>
          <w:tcPr>
            <w:tcW w:w="1276" w:type="dxa"/>
            <w:shd w:val="clear" w:color="auto" w:fill="auto"/>
            <w:noWrap/>
          </w:tcPr>
          <w:p w:rsidR="002E7BBF" w:rsidRPr="009F5EC9" w:rsidRDefault="002E7BBF" w:rsidP="002E7BBF">
            <w:pPr>
              <w:jc w:val="right"/>
              <w:rPr>
                <w:sz w:val="20"/>
                <w:szCs w:val="20"/>
                <w:lang w:val="es-MX"/>
              </w:rPr>
            </w:pPr>
            <w:r w:rsidRPr="009F5EC9">
              <w:rPr>
                <w:sz w:val="20"/>
                <w:szCs w:val="20"/>
                <w:lang w:val="es-MX"/>
              </w:rPr>
              <w:t>467.898</w:t>
            </w:r>
          </w:p>
        </w:tc>
        <w:tc>
          <w:tcPr>
            <w:tcW w:w="1985" w:type="dxa"/>
            <w:vMerge/>
            <w:vAlign w:val="center"/>
          </w:tcPr>
          <w:p w:rsidR="002E7BBF" w:rsidRPr="009F5EC9" w:rsidRDefault="002E7BBF" w:rsidP="002E7BBF">
            <w:pPr>
              <w:jc w:val="center"/>
              <w:rPr>
                <w:color w:val="000000"/>
                <w:sz w:val="20"/>
                <w:szCs w:val="20"/>
                <w:lang w:val="es-MX" w:eastAsia="en-CA"/>
              </w:rPr>
            </w:pPr>
          </w:p>
        </w:tc>
      </w:tr>
      <w:tr w:rsidR="002E7BBF" w:rsidRPr="009F5EC9" w:rsidTr="00B47CEB">
        <w:trPr>
          <w:trHeight w:val="125"/>
        </w:trPr>
        <w:tc>
          <w:tcPr>
            <w:tcW w:w="1537" w:type="dxa"/>
            <w:vMerge w:val="restart"/>
            <w:shd w:val="clear" w:color="auto" w:fill="auto"/>
            <w:noWrap/>
            <w:vAlign w:val="center"/>
            <w:hideMark/>
          </w:tcPr>
          <w:p w:rsidR="002E7BBF" w:rsidRPr="009F5EC9" w:rsidRDefault="002E7BBF" w:rsidP="002E7BBF">
            <w:pPr>
              <w:jc w:val="left"/>
              <w:rPr>
                <w:bCs/>
                <w:color w:val="000000"/>
                <w:sz w:val="20"/>
                <w:szCs w:val="20"/>
                <w:lang w:val="es-MX"/>
              </w:rPr>
            </w:pPr>
            <w:r w:rsidRPr="009F5EC9">
              <w:rPr>
                <w:bCs/>
                <w:color w:val="000000"/>
                <w:sz w:val="20"/>
                <w:szCs w:val="20"/>
                <w:lang w:val="es-MX"/>
              </w:rPr>
              <w:t>Tercer tramo</w:t>
            </w:r>
          </w:p>
        </w:tc>
        <w:tc>
          <w:tcPr>
            <w:tcW w:w="1984" w:type="dxa"/>
            <w:shd w:val="clear" w:color="auto" w:fill="auto"/>
            <w:noWrap/>
            <w:vAlign w:val="center"/>
            <w:hideMark/>
          </w:tcPr>
          <w:p w:rsidR="002E7BBF" w:rsidRPr="009F5EC9" w:rsidRDefault="002E7BBF" w:rsidP="002E7BBF">
            <w:pPr>
              <w:rPr>
                <w:bCs/>
                <w:color w:val="000000"/>
                <w:sz w:val="20"/>
                <w:szCs w:val="20"/>
                <w:lang w:val="es-MX"/>
              </w:rPr>
            </w:pPr>
            <w:r w:rsidRPr="009F5EC9">
              <w:rPr>
                <w:bCs/>
                <w:color w:val="000000"/>
                <w:sz w:val="20"/>
                <w:szCs w:val="20"/>
                <w:lang w:val="es-MX"/>
              </w:rPr>
              <w:t xml:space="preserve">Aprobado </w:t>
            </w:r>
          </w:p>
        </w:tc>
        <w:tc>
          <w:tcPr>
            <w:tcW w:w="1275" w:type="dxa"/>
            <w:shd w:val="clear" w:color="auto" w:fill="auto"/>
            <w:noWrap/>
            <w:vAlign w:val="center"/>
          </w:tcPr>
          <w:p w:rsidR="002E7BBF" w:rsidRPr="009F5EC9" w:rsidRDefault="002E7BBF" w:rsidP="002E7BBF">
            <w:pPr>
              <w:jc w:val="right"/>
              <w:rPr>
                <w:color w:val="000000"/>
                <w:sz w:val="20"/>
                <w:szCs w:val="20"/>
                <w:lang w:val="es-MX"/>
              </w:rPr>
            </w:pPr>
            <w:r w:rsidRPr="009F5EC9">
              <w:rPr>
                <w:color w:val="000000"/>
                <w:sz w:val="20"/>
                <w:szCs w:val="20"/>
                <w:lang w:val="es-MX"/>
              </w:rPr>
              <w:t>67.800</w:t>
            </w:r>
          </w:p>
        </w:tc>
        <w:tc>
          <w:tcPr>
            <w:tcW w:w="1276" w:type="dxa"/>
            <w:vAlign w:val="center"/>
          </w:tcPr>
          <w:p w:rsidR="002E7BBF" w:rsidRPr="009F5EC9" w:rsidRDefault="002E7BBF" w:rsidP="002E7BBF">
            <w:pPr>
              <w:jc w:val="right"/>
              <w:rPr>
                <w:color w:val="000000"/>
                <w:sz w:val="20"/>
                <w:szCs w:val="20"/>
                <w:lang w:val="es-MX"/>
              </w:rPr>
            </w:pPr>
            <w:r w:rsidRPr="009F5EC9">
              <w:rPr>
                <w:color w:val="000000"/>
                <w:sz w:val="20"/>
                <w:szCs w:val="20"/>
                <w:lang w:val="es-MX"/>
              </w:rPr>
              <w:t>14.450</w:t>
            </w:r>
          </w:p>
        </w:tc>
        <w:tc>
          <w:tcPr>
            <w:tcW w:w="1276" w:type="dxa"/>
            <w:shd w:val="clear" w:color="auto" w:fill="auto"/>
            <w:noWrap/>
            <w:vAlign w:val="center"/>
          </w:tcPr>
          <w:p w:rsidR="002E7BBF" w:rsidRPr="009F5EC9" w:rsidRDefault="00B47CEB" w:rsidP="002E7BBF">
            <w:pPr>
              <w:jc w:val="right"/>
              <w:rPr>
                <w:color w:val="000000"/>
                <w:sz w:val="20"/>
                <w:szCs w:val="20"/>
                <w:lang w:val="es-MX"/>
              </w:rPr>
            </w:pPr>
            <w:r w:rsidRPr="00B47CEB">
              <w:rPr>
                <w:color w:val="000000"/>
                <w:sz w:val="20"/>
                <w:szCs w:val="20"/>
                <w:lang w:val="es-MX"/>
              </w:rPr>
              <w:t>82.25</w:t>
            </w:r>
          </w:p>
        </w:tc>
        <w:tc>
          <w:tcPr>
            <w:tcW w:w="1985" w:type="dxa"/>
            <w:vMerge w:val="restart"/>
            <w:shd w:val="clear" w:color="auto" w:fill="auto"/>
            <w:noWrap/>
            <w:vAlign w:val="center"/>
          </w:tcPr>
          <w:p w:rsidR="002E7BBF" w:rsidRPr="009F5EC9" w:rsidRDefault="002E7BBF" w:rsidP="002E7BBF">
            <w:pPr>
              <w:jc w:val="center"/>
              <w:rPr>
                <w:color w:val="000000"/>
                <w:sz w:val="20"/>
                <w:szCs w:val="20"/>
                <w:lang w:val="es-MX"/>
              </w:rPr>
            </w:pPr>
            <w:r w:rsidRPr="009F5EC9">
              <w:rPr>
                <w:color w:val="000000"/>
                <w:sz w:val="20"/>
                <w:szCs w:val="20"/>
                <w:lang w:val="es-MX"/>
              </w:rPr>
              <w:t>83</w:t>
            </w:r>
          </w:p>
        </w:tc>
      </w:tr>
      <w:tr w:rsidR="002E7BBF" w:rsidRPr="009F5EC9" w:rsidTr="00B47CEB">
        <w:trPr>
          <w:trHeight w:val="58"/>
        </w:trPr>
        <w:tc>
          <w:tcPr>
            <w:tcW w:w="1537" w:type="dxa"/>
            <w:vMerge/>
            <w:vAlign w:val="center"/>
            <w:hideMark/>
          </w:tcPr>
          <w:p w:rsidR="002E7BBF" w:rsidRPr="009F5EC9" w:rsidRDefault="002E7BBF" w:rsidP="002E7BBF">
            <w:pPr>
              <w:jc w:val="left"/>
              <w:rPr>
                <w:bCs/>
                <w:color w:val="000000"/>
                <w:sz w:val="20"/>
                <w:szCs w:val="20"/>
                <w:lang w:val="es-MX" w:eastAsia="en-CA"/>
              </w:rPr>
            </w:pPr>
          </w:p>
        </w:tc>
        <w:tc>
          <w:tcPr>
            <w:tcW w:w="1984" w:type="dxa"/>
            <w:shd w:val="clear" w:color="auto" w:fill="auto"/>
            <w:noWrap/>
            <w:vAlign w:val="center"/>
            <w:hideMark/>
          </w:tcPr>
          <w:p w:rsidR="002E7BBF" w:rsidRPr="009F5EC9" w:rsidRDefault="002E7BBF" w:rsidP="002E7BBF">
            <w:pPr>
              <w:rPr>
                <w:bCs/>
                <w:color w:val="000000"/>
                <w:sz w:val="20"/>
                <w:szCs w:val="20"/>
                <w:lang w:val="es-MX"/>
              </w:rPr>
            </w:pPr>
            <w:r w:rsidRPr="009F5EC9">
              <w:rPr>
                <w:bCs/>
                <w:color w:val="000000"/>
                <w:sz w:val="20"/>
                <w:szCs w:val="20"/>
                <w:lang w:val="es-MX"/>
              </w:rPr>
              <w:t xml:space="preserve">Desembolsado </w:t>
            </w:r>
          </w:p>
        </w:tc>
        <w:tc>
          <w:tcPr>
            <w:tcW w:w="1275" w:type="dxa"/>
            <w:shd w:val="clear" w:color="auto" w:fill="auto"/>
            <w:noWrap/>
            <w:vAlign w:val="center"/>
          </w:tcPr>
          <w:p w:rsidR="002E7BBF" w:rsidRPr="009F5EC9" w:rsidRDefault="002E7BBF" w:rsidP="002E7BBF">
            <w:pPr>
              <w:jc w:val="right"/>
              <w:rPr>
                <w:color w:val="000000"/>
                <w:sz w:val="20"/>
                <w:szCs w:val="20"/>
                <w:lang w:val="es-MX"/>
              </w:rPr>
            </w:pPr>
            <w:r w:rsidRPr="009F5EC9">
              <w:rPr>
                <w:color w:val="000000"/>
                <w:sz w:val="20"/>
                <w:szCs w:val="20"/>
                <w:lang w:val="es-MX"/>
              </w:rPr>
              <w:t>65.946</w:t>
            </w:r>
          </w:p>
        </w:tc>
        <w:tc>
          <w:tcPr>
            <w:tcW w:w="1276" w:type="dxa"/>
          </w:tcPr>
          <w:p w:rsidR="002E7BBF" w:rsidRPr="009F5EC9" w:rsidRDefault="002E7BBF" w:rsidP="002E7BBF">
            <w:pPr>
              <w:jc w:val="right"/>
              <w:rPr>
                <w:sz w:val="20"/>
                <w:szCs w:val="20"/>
                <w:lang w:val="es-MX"/>
              </w:rPr>
            </w:pPr>
            <w:r w:rsidRPr="009F5EC9">
              <w:rPr>
                <w:sz w:val="20"/>
                <w:szCs w:val="20"/>
                <w:lang w:val="es-MX"/>
              </w:rPr>
              <w:t>2.672</w:t>
            </w:r>
          </w:p>
        </w:tc>
        <w:tc>
          <w:tcPr>
            <w:tcW w:w="1276" w:type="dxa"/>
            <w:shd w:val="clear" w:color="auto" w:fill="auto"/>
            <w:noWrap/>
          </w:tcPr>
          <w:p w:rsidR="002E7BBF" w:rsidRPr="009F5EC9" w:rsidRDefault="002E7BBF" w:rsidP="002E7BBF">
            <w:pPr>
              <w:jc w:val="right"/>
              <w:rPr>
                <w:sz w:val="20"/>
                <w:szCs w:val="20"/>
                <w:lang w:val="es-MX"/>
              </w:rPr>
            </w:pPr>
            <w:r w:rsidRPr="009F5EC9">
              <w:rPr>
                <w:sz w:val="20"/>
                <w:szCs w:val="20"/>
                <w:lang w:val="es-MX"/>
              </w:rPr>
              <w:t>68.618</w:t>
            </w:r>
          </w:p>
        </w:tc>
        <w:tc>
          <w:tcPr>
            <w:tcW w:w="1985" w:type="dxa"/>
            <w:vMerge/>
            <w:vAlign w:val="center"/>
          </w:tcPr>
          <w:p w:rsidR="002E7BBF" w:rsidRPr="009F5EC9" w:rsidRDefault="002E7BBF" w:rsidP="002E7BBF">
            <w:pPr>
              <w:jc w:val="center"/>
              <w:rPr>
                <w:color w:val="000000"/>
                <w:sz w:val="20"/>
                <w:szCs w:val="20"/>
                <w:lang w:val="es-MX" w:eastAsia="en-CA"/>
              </w:rPr>
            </w:pPr>
          </w:p>
        </w:tc>
      </w:tr>
      <w:tr w:rsidR="002E7BBF" w:rsidRPr="009F5EC9" w:rsidTr="00B47CEB">
        <w:trPr>
          <w:trHeight w:val="188"/>
        </w:trPr>
        <w:tc>
          <w:tcPr>
            <w:tcW w:w="1537" w:type="dxa"/>
            <w:vMerge w:val="restart"/>
            <w:shd w:val="clear" w:color="auto" w:fill="auto"/>
            <w:vAlign w:val="center"/>
            <w:hideMark/>
          </w:tcPr>
          <w:p w:rsidR="002E7BBF" w:rsidRPr="009F5EC9" w:rsidRDefault="002E7BBF" w:rsidP="002E7BBF">
            <w:pPr>
              <w:jc w:val="left"/>
              <w:rPr>
                <w:bCs/>
                <w:color w:val="000000"/>
                <w:sz w:val="20"/>
                <w:szCs w:val="20"/>
                <w:lang w:val="es-MX"/>
              </w:rPr>
            </w:pPr>
            <w:r w:rsidRPr="009F5EC9">
              <w:rPr>
                <w:bCs/>
                <w:color w:val="000000"/>
                <w:sz w:val="20"/>
                <w:szCs w:val="20"/>
                <w:lang w:val="es-MX"/>
              </w:rPr>
              <w:t>Total</w:t>
            </w:r>
          </w:p>
        </w:tc>
        <w:tc>
          <w:tcPr>
            <w:tcW w:w="1984" w:type="dxa"/>
            <w:shd w:val="clear" w:color="auto" w:fill="auto"/>
            <w:noWrap/>
            <w:vAlign w:val="center"/>
            <w:hideMark/>
          </w:tcPr>
          <w:p w:rsidR="002E7BBF" w:rsidRPr="009F5EC9" w:rsidRDefault="002E7BBF" w:rsidP="002E7BBF">
            <w:pPr>
              <w:rPr>
                <w:bCs/>
                <w:color w:val="000000"/>
                <w:sz w:val="20"/>
                <w:szCs w:val="20"/>
                <w:lang w:val="es-MX"/>
              </w:rPr>
            </w:pPr>
            <w:r w:rsidRPr="009F5EC9">
              <w:rPr>
                <w:bCs/>
                <w:color w:val="000000"/>
                <w:sz w:val="20"/>
                <w:szCs w:val="20"/>
                <w:lang w:val="es-MX"/>
              </w:rPr>
              <w:t xml:space="preserve">Aprobado </w:t>
            </w:r>
          </w:p>
        </w:tc>
        <w:tc>
          <w:tcPr>
            <w:tcW w:w="1275" w:type="dxa"/>
            <w:shd w:val="clear" w:color="auto" w:fill="auto"/>
            <w:vAlign w:val="center"/>
          </w:tcPr>
          <w:p w:rsidR="002E7BBF" w:rsidRPr="009F5EC9" w:rsidRDefault="002E7BBF" w:rsidP="002E7BBF">
            <w:pPr>
              <w:jc w:val="right"/>
              <w:rPr>
                <w:color w:val="000000"/>
                <w:sz w:val="20"/>
                <w:szCs w:val="20"/>
                <w:lang w:val="es-MX"/>
              </w:rPr>
            </w:pPr>
            <w:r w:rsidRPr="009F5EC9">
              <w:rPr>
                <w:color w:val="000000"/>
                <w:sz w:val="20"/>
                <w:szCs w:val="20"/>
                <w:lang w:val="es-MX"/>
              </w:rPr>
              <w:t>872.060</w:t>
            </w:r>
          </w:p>
        </w:tc>
        <w:tc>
          <w:tcPr>
            <w:tcW w:w="1276" w:type="dxa"/>
            <w:vAlign w:val="center"/>
          </w:tcPr>
          <w:p w:rsidR="002E7BBF" w:rsidRPr="009F5EC9" w:rsidRDefault="002E7BBF" w:rsidP="002E7BBF">
            <w:pPr>
              <w:jc w:val="right"/>
              <w:rPr>
                <w:color w:val="000000"/>
                <w:sz w:val="20"/>
                <w:szCs w:val="20"/>
                <w:lang w:val="es-MX"/>
              </w:rPr>
            </w:pPr>
            <w:r w:rsidRPr="009F5EC9">
              <w:rPr>
                <w:color w:val="000000"/>
                <w:sz w:val="20"/>
                <w:szCs w:val="20"/>
                <w:lang w:val="es-MX"/>
              </w:rPr>
              <w:t>67.950</w:t>
            </w:r>
          </w:p>
        </w:tc>
        <w:tc>
          <w:tcPr>
            <w:tcW w:w="1276" w:type="dxa"/>
            <w:shd w:val="clear" w:color="auto" w:fill="auto"/>
            <w:vAlign w:val="center"/>
          </w:tcPr>
          <w:p w:rsidR="002E7BBF" w:rsidRPr="009F5EC9" w:rsidRDefault="002E7BBF" w:rsidP="002E7BBF">
            <w:pPr>
              <w:jc w:val="right"/>
              <w:rPr>
                <w:color w:val="000000"/>
                <w:sz w:val="20"/>
                <w:szCs w:val="20"/>
                <w:lang w:val="es-MX"/>
              </w:rPr>
            </w:pPr>
            <w:r w:rsidRPr="009F5EC9">
              <w:rPr>
                <w:color w:val="000000"/>
                <w:sz w:val="20"/>
                <w:szCs w:val="20"/>
                <w:lang w:val="es-MX"/>
              </w:rPr>
              <w:t>940.010</w:t>
            </w:r>
          </w:p>
        </w:tc>
        <w:tc>
          <w:tcPr>
            <w:tcW w:w="1985" w:type="dxa"/>
            <w:vMerge w:val="restart"/>
            <w:shd w:val="clear" w:color="auto" w:fill="auto"/>
            <w:vAlign w:val="center"/>
          </w:tcPr>
          <w:p w:rsidR="002E7BBF" w:rsidRPr="009F5EC9" w:rsidRDefault="002E7BBF" w:rsidP="002E7BBF">
            <w:pPr>
              <w:jc w:val="center"/>
              <w:rPr>
                <w:color w:val="000000"/>
                <w:sz w:val="20"/>
                <w:szCs w:val="20"/>
                <w:lang w:val="es-MX"/>
              </w:rPr>
            </w:pPr>
            <w:r w:rsidRPr="009F5EC9">
              <w:rPr>
                <w:color w:val="000000"/>
                <w:sz w:val="20"/>
                <w:szCs w:val="20"/>
                <w:lang w:val="es-MX"/>
              </w:rPr>
              <w:t>97</w:t>
            </w:r>
          </w:p>
        </w:tc>
      </w:tr>
      <w:tr w:rsidR="002E7BBF" w:rsidRPr="009F5EC9" w:rsidTr="00B47CEB">
        <w:trPr>
          <w:trHeight w:val="179"/>
        </w:trPr>
        <w:tc>
          <w:tcPr>
            <w:tcW w:w="1537" w:type="dxa"/>
            <w:vMerge/>
            <w:shd w:val="clear" w:color="auto" w:fill="auto"/>
            <w:vAlign w:val="center"/>
          </w:tcPr>
          <w:p w:rsidR="002E7BBF" w:rsidRPr="009F5EC9" w:rsidRDefault="002E7BBF" w:rsidP="002E7BBF">
            <w:pPr>
              <w:jc w:val="left"/>
              <w:rPr>
                <w:b/>
                <w:bCs/>
                <w:color w:val="000000"/>
                <w:sz w:val="20"/>
                <w:szCs w:val="20"/>
                <w:lang w:val="es-MX" w:eastAsia="en-CA"/>
              </w:rPr>
            </w:pPr>
          </w:p>
        </w:tc>
        <w:tc>
          <w:tcPr>
            <w:tcW w:w="1984" w:type="dxa"/>
            <w:shd w:val="clear" w:color="auto" w:fill="auto"/>
            <w:noWrap/>
            <w:vAlign w:val="center"/>
          </w:tcPr>
          <w:p w:rsidR="002E7BBF" w:rsidRPr="009F5EC9" w:rsidRDefault="002E7BBF" w:rsidP="002E7BBF">
            <w:pPr>
              <w:rPr>
                <w:bCs/>
                <w:color w:val="000000"/>
                <w:sz w:val="20"/>
                <w:szCs w:val="20"/>
                <w:lang w:val="es-MX"/>
              </w:rPr>
            </w:pPr>
            <w:r w:rsidRPr="009F5EC9">
              <w:rPr>
                <w:bCs/>
                <w:color w:val="000000"/>
                <w:sz w:val="20"/>
                <w:szCs w:val="20"/>
                <w:lang w:val="es-MX"/>
              </w:rPr>
              <w:t xml:space="preserve">Desembolsado </w:t>
            </w:r>
          </w:p>
        </w:tc>
        <w:tc>
          <w:tcPr>
            <w:tcW w:w="1275" w:type="dxa"/>
            <w:shd w:val="clear" w:color="auto" w:fill="auto"/>
          </w:tcPr>
          <w:p w:rsidR="002E7BBF" w:rsidRPr="009F5EC9" w:rsidRDefault="002E7BBF" w:rsidP="002E7BBF">
            <w:pPr>
              <w:jc w:val="right"/>
              <w:rPr>
                <w:sz w:val="20"/>
                <w:szCs w:val="20"/>
                <w:lang w:val="es-MX"/>
              </w:rPr>
            </w:pPr>
            <w:r w:rsidRPr="009F5EC9">
              <w:rPr>
                <w:sz w:val="20"/>
                <w:szCs w:val="20"/>
                <w:lang w:val="es-MX"/>
              </w:rPr>
              <w:t>862.963</w:t>
            </w:r>
          </w:p>
        </w:tc>
        <w:tc>
          <w:tcPr>
            <w:tcW w:w="1276" w:type="dxa"/>
          </w:tcPr>
          <w:p w:rsidR="002E7BBF" w:rsidRPr="009F5EC9" w:rsidRDefault="002E7BBF" w:rsidP="002E7BBF">
            <w:pPr>
              <w:jc w:val="right"/>
              <w:rPr>
                <w:sz w:val="20"/>
                <w:szCs w:val="20"/>
                <w:lang w:val="es-MX"/>
              </w:rPr>
            </w:pPr>
            <w:r w:rsidRPr="009F5EC9">
              <w:rPr>
                <w:sz w:val="20"/>
                <w:szCs w:val="20"/>
                <w:lang w:val="es-MX"/>
              </w:rPr>
              <w:t>52.929</w:t>
            </w:r>
          </w:p>
        </w:tc>
        <w:tc>
          <w:tcPr>
            <w:tcW w:w="1276" w:type="dxa"/>
            <w:shd w:val="clear" w:color="auto" w:fill="auto"/>
          </w:tcPr>
          <w:p w:rsidR="002E7BBF" w:rsidRPr="009F5EC9" w:rsidRDefault="002E7BBF" w:rsidP="002E7BBF">
            <w:pPr>
              <w:jc w:val="right"/>
              <w:rPr>
                <w:sz w:val="20"/>
                <w:szCs w:val="20"/>
                <w:lang w:val="es-MX"/>
              </w:rPr>
            </w:pPr>
            <w:r w:rsidRPr="009F5EC9">
              <w:rPr>
                <w:sz w:val="20"/>
                <w:szCs w:val="20"/>
                <w:lang w:val="es-MX"/>
              </w:rPr>
              <w:t>915.892</w:t>
            </w:r>
          </w:p>
        </w:tc>
        <w:tc>
          <w:tcPr>
            <w:tcW w:w="1985" w:type="dxa"/>
            <w:vMerge/>
            <w:shd w:val="clear" w:color="auto" w:fill="auto"/>
            <w:vAlign w:val="center"/>
          </w:tcPr>
          <w:p w:rsidR="002E7BBF" w:rsidRPr="009F5EC9" w:rsidRDefault="002E7BBF" w:rsidP="002E7BBF">
            <w:pPr>
              <w:jc w:val="center"/>
              <w:rPr>
                <w:color w:val="000000"/>
                <w:sz w:val="20"/>
                <w:szCs w:val="20"/>
                <w:lang w:val="es-MX" w:eastAsia="en-CA"/>
              </w:rPr>
            </w:pPr>
          </w:p>
        </w:tc>
      </w:tr>
    </w:tbl>
    <w:p w:rsidR="002E7BBF" w:rsidRPr="009F5EC9" w:rsidRDefault="002E7BBF" w:rsidP="002E7BBF">
      <w:pPr>
        <w:rPr>
          <w:lang w:val="es-MX"/>
        </w:rPr>
      </w:pPr>
    </w:p>
    <w:p w:rsidR="002E7BBF" w:rsidRPr="009F5EC9" w:rsidRDefault="002E7BBF" w:rsidP="002E7BBF">
      <w:pPr>
        <w:rPr>
          <w:u w:val="single"/>
          <w:lang w:val="es-MX"/>
        </w:rPr>
      </w:pPr>
      <w:r w:rsidRPr="009F5EC9">
        <w:rPr>
          <w:u w:val="single"/>
          <w:lang w:val="es-MX"/>
        </w:rPr>
        <w:t>Plan de ejecución del cuarto y último tramo del plan de gestión para la eliminación de los HCFC</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Se llevarán a cabo las siguientes actividades en 2020:</w:t>
      </w:r>
    </w:p>
    <w:p w:rsidR="002E7BBF" w:rsidRPr="009F5EC9" w:rsidRDefault="002E7BBF" w:rsidP="002E7BBF">
      <w:pPr>
        <w:pStyle w:val="Heading2"/>
        <w:rPr>
          <w:lang w:val="es-MX"/>
        </w:rPr>
      </w:pPr>
      <w:r w:rsidRPr="009F5EC9">
        <w:rPr>
          <w:lang w:val="es-MX"/>
        </w:rPr>
        <w:t xml:space="preserve">La aplicación y actualización de las reglamentaciones sobre SAO y sistema de presentación de datos electrónicos basado en la Web para usuarios finales (ONUDI) (10.000 $EUA); </w:t>
      </w:r>
    </w:p>
    <w:p w:rsidR="002E7BBF" w:rsidRPr="009F5EC9" w:rsidRDefault="002E7BBF" w:rsidP="002E7BBF">
      <w:pPr>
        <w:pStyle w:val="Heading2"/>
        <w:rPr>
          <w:lang w:val="es-MX"/>
        </w:rPr>
      </w:pPr>
      <w:r w:rsidRPr="009F5EC9">
        <w:rPr>
          <w:lang w:val="es-MX"/>
        </w:rPr>
        <w:t>Capacitación continua de aproximadamente 40 oficiales de aduanas, dando prioridad a la monitorización y el control del comercio de HCFC, comercio ilegal de SAO, y capacitación práctica sobre el uso de identificadores de refrigerantes (PNUMA) (5.000 $EUA);</w:t>
      </w:r>
    </w:p>
    <w:p w:rsidR="002E7BBF" w:rsidRPr="009F5EC9" w:rsidRDefault="002E7BBF" w:rsidP="002E7BBF">
      <w:pPr>
        <w:pStyle w:val="Heading2"/>
        <w:rPr>
          <w:lang w:val="es-MX"/>
        </w:rPr>
      </w:pPr>
      <w:r w:rsidRPr="009F5EC9">
        <w:rPr>
          <w:lang w:val="es-MX"/>
        </w:rPr>
        <w:t xml:space="preserve">Capacitación continua y certificación de técnicos de servicio y mantenimiento con material teórico y práctico, de conformidad con las normas relativas a los gases fluorados y refrigerantes naturales (ONUDI) (13.700 $EUA); </w:t>
      </w:r>
    </w:p>
    <w:p w:rsidR="002E7BBF" w:rsidRPr="009F5EC9" w:rsidRDefault="002E7BBF" w:rsidP="002E7BBF">
      <w:pPr>
        <w:pStyle w:val="Heading2"/>
        <w:rPr>
          <w:lang w:val="es-MX"/>
        </w:rPr>
      </w:pPr>
      <w:r w:rsidRPr="009F5EC9">
        <w:rPr>
          <w:lang w:val="es-MX"/>
        </w:rPr>
        <w:t>Celebración de mesas redondas para alternativas como parte del congreso anual de la KGH (PNUMA) (2.550 $EUA); y</w:t>
      </w:r>
    </w:p>
    <w:p w:rsidR="002E7BBF" w:rsidRPr="009F5EC9" w:rsidRDefault="002E7BBF" w:rsidP="002E7BBF">
      <w:pPr>
        <w:pStyle w:val="Heading2"/>
        <w:rPr>
          <w:lang w:val="es-MX"/>
        </w:rPr>
      </w:pPr>
      <w:r w:rsidRPr="009F5EC9">
        <w:rPr>
          <w:lang w:val="es-MX"/>
        </w:rPr>
        <w:t>Gestión y monitorización de proyectos, incluyendo la verificación independiente del consumo y las visitas de campo del personal (ONUDI) (2.000 $EUA).</w:t>
      </w:r>
    </w:p>
    <w:p w:rsidR="002E7BBF" w:rsidRPr="009F5EC9" w:rsidRDefault="002E7BBF" w:rsidP="002E7BBF">
      <w:pPr>
        <w:rPr>
          <w:lang w:val="es-MX"/>
        </w:rPr>
      </w:pPr>
    </w:p>
    <w:p w:rsidR="002E7BBF" w:rsidRPr="009F5EC9" w:rsidRDefault="002E7BBF" w:rsidP="00723A49">
      <w:pPr>
        <w:keepNext/>
        <w:jc w:val="center"/>
        <w:rPr>
          <w:b/>
          <w:lang w:val="es-MX"/>
        </w:rPr>
      </w:pPr>
      <w:r w:rsidRPr="009F5EC9">
        <w:rPr>
          <w:b/>
          <w:lang w:val="es-MX"/>
        </w:rPr>
        <w:lastRenderedPageBreak/>
        <w:t>OBSERVACIONES Y RECOMENDACIÓN DE LA SECRETARÍA</w:t>
      </w:r>
    </w:p>
    <w:p w:rsidR="002E7BBF" w:rsidRPr="009F5EC9" w:rsidRDefault="002E7BBF" w:rsidP="00723A49">
      <w:pPr>
        <w:keepNext/>
        <w:rPr>
          <w:lang w:val="es-MX"/>
        </w:rPr>
      </w:pPr>
    </w:p>
    <w:p w:rsidR="002E7BBF" w:rsidRPr="009F5EC9" w:rsidRDefault="002E7BBF" w:rsidP="00723A49">
      <w:pPr>
        <w:keepNext/>
        <w:rPr>
          <w:b/>
          <w:lang w:val="es-MX"/>
        </w:rPr>
      </w:pPr>
      <w:r w:rsidRPr="009F5EC9">
        <w:rPr>
          <w:b/>
          <w:lang w:val="es-MX"/>
        </w:rPr>
        <w:t>OBSERVACIONES</w:t>
      </w:r>
    </w:p>
    <w:p w:rsidR="002E7BBF" w:rsidRPr="009F5EC9" w:rsidRDefault="002E7BBF" w:rsidP="00723A49">
      <w:pPr>
        <w:keepNext/>
        <w:rPr>
          <w:lang w:val="es-MX"/>
        </w:rPr>
      </w:pPr>
    </w:p>
    <w:p w:rsidR="002E7BBF" w:rsidRPr="009F5EC9" w:rsidRDefault="002E7BBF" w:rsidP="002E7BBF">
      <w:pPr>
        <w:rPr>
          <w:u w:val="single"/>
          <w:lang w:val="es-MX"/>
        </w:rPr>
      </w:pPr>
      <w:r w:rsidRPr="009F5EC9">
        <w:rPr>
          <w:u w:val="single"/>
          <w:lang w:val="es-MX"/>
        </w:rPr>
        <w:t>Informe sobre la marcha de las actividades de ejecución del tercer tramo del plan de gestión de la eliminación de los HCFC</w:t>
      </w:r>
    </w:p>
    <w:p w:rsidR="002E7BBF" w:rsidRPr="009F5EC9" w:rsidRDefault="002E7BBF" w:rsidP="002E7BBF">
      <w:pPr>
        <w:rPr>
          <w:lang w:val="es-MX"/>
        </w:rPr>
      </w:pPr>
    </w:p>
    <w:p w:rsidR="002E7BBF" w:rsidRPr="009F5EC9" w:rsidRDefault="002E7BBF" w:rsidP="002E7BBF">
      <w:pPr>
        <w:rPr>
          <w:lang w:val="es-MX"/>
        </w:rPr>
      </w:pPr>
      <w:r w:rsidRPr="009F5EC9">
        <w:rPr>
          <w:lang w:val="es-MX"/>
        </w:rPr>
        <w:t>Marco jurídico</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El Gobierno de Serbia ha asignado ya cupos de importación de 6,48 toneladas PAO de HCFC para 2019, una cantidad inferior al objetivo de control del Protocolo de Montreal.</w:t>
      </w:r>
    </w:p>
    <w:p w:rsidR="002E7BBF" w:rsidRPr="009F5EC9" w:rsidRDefault="002E7BBF" w:rsidP="002E7BBF">
      <w:pPr>
        <w:pStyle w:val="Heading1"/>
        <w:rPr>
          <w:lang w:val="es-MX"/>
        </w:rPr>
      </w:pPr>
      <w:r w:rsidRPr="009F5EC9">
        <w:rPr>
          <w:lang w:val="es-MX"/>
        </w:rPr>
        <w:t xml:space="preserve">El verificador recomendó medidas reforzadas de aplicación, incluyendo más inspecciones y el ensayos de importaciones, el desarrollo de una lista de verificación para oficiales de aduanas para facilitar el control de las importaciones y las exportaciones, proporcionar nuevos analizadores de refrigerantes para los oficiales de aduanas, la actualización del manual de capacitación de aduanas y capacitación adicional de los oficiales de aduanas, y comunicación reforzada entre las aduanas y la Dependencia Nacional del Ozono en los casos en los que se detecta una importación sospechosa. Dichas recomendaciones, así como las relativas al refuerzo continuo del sector de servicio y mantenimiento, se abordarán en la etapa II del plan de gestión de la eliminación de los HCFC que se presentará en la 85ª reunión. </w:t>
      </w:r>
    </w:p>
    <w:p w:rsidR="002E7BBF" w:rsidRPr="009F5EC9" w:rsidRDefault="002E7BBF" w:rsidP="002E7BBF">
      <w:pPr>
        <w:keepNext/>
        <w:keepLines/>
        <w:rPr>
          <w:i/>
          <w:lang w:val="es-MX"/>
        </w:rPr>
      </w:pPr>
      <w:r w:rsidRPr="009F5EC9">
        <w:rPr>
          <w:i/>
          <w:lang w:val="es-MX"/>
        </w:rPr>
        <w:t>Sector de fabricación</w:t>
      </w:r>
    </w:p>
    <w:p w:rsidR="002E7BBF" w:rsidRPr="009F5EC9" w:rsidRDefault="002E7BBF" w:rsidP="002E7BBF">
      <w:pPr>
        <w:keepNext/>
        <w:keepLines/>
        <w:rPr>
          <w:lang w:val="es-MX"/>
        </w:rPr>
      </w:pPr>
    </w:p>
    <w:p w:rsidR="002E7BBF" w:rsidRPr="009F5EC9" w:rsidRDefault="002E7BBF" w:rsidP="002E7BBF">
      <w:pPr>
        <w:pStyle w:val="Heading1"/>
        <w:keepNext/>
        <w:keepLines/>
        <w:rPr>
          <w:lang w:val="es-MX"/>
        </w:rPr>
      </w:pPr>
      <w:r w:rsidRPr="009F5EC9">
        <w:rPr>
          <w:lang w:val="es-MX"/>
        </w:rPr>
        <w:t xml:space="preserve">Las cuatro empresas de fabricación de equipos de refrigeración y aire acondicionado han finalizado su reconversión. A pesar de que su fabricación de equipos que usan sustancias con bajo potencial de calentamiento de la atmósfera ha alcanzado un grado de desarrollo limitado, los esfuerzos continuados del sector y del Gobierno facilitarán la introducción de dichos equipos en el mercado. La adopción de reglamentos como parte para la adhesión a la UE y la ratificación de la Enmienda de Kigali facilitarán más aun la introducción en el mercado de equipos que usan sustancias con bajo potencial de calentamiento de la atmósfera. </w:t>
      </w:r>
    </w:p>
    <w:p w:rsidR="002E7BBF" w:rsidRPr="009F5EC9" w:rsidRDefault="002E7BBF" w:rsidP="002E7BBF">
      <w:pPr>
        <w:rPr>
          <w:lang w:val="es-MX"/>
        </w:rPr>
      </w:pPr>
      <w:r w:rsidRPr="009F5EC9">
        <w:rPr>
          <w:u w:val="single"/>
          <w:lang w:val="es-MX"/>
        </w:rPr>
        <w:t>Revisión del Acuerdo de los planes de gestión de eliminación de los HCFC</w:t>
      </w:r>
      <w:r w:rsidRPr="009F5EC9">
        <w:rPr>
          <w:lang w:val="es-MX"/>
        </w:rPr>
        <w:t xml:space="preserve"> </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En línea con el Apéndice 3-A del Acuerdo, la solicitud del cuarto tramo del plan de gestión de eliminación de los HCFC estaba prevista en la 86ª reunión. Al analizar la solicitud del cuarto tramo de la 84ª reunión, la Secretaría examinó el avanzado estado de ejecución del proyecto, el alto nivel de desembolso, la limitada financiación restante (24.118 $EUA), el beneficio de la continuación de la ejecución y el mantenimiento del momento logrado mediante la presentación de la etapa II del plan de gestión de eliminación de los HCFC, prevista para la 85ª reunión. El Gobierno solicitó la enmienda del Acuerdo para tener en cuenta la presentación del cuarto y último tramo en la última reunión de 2019, para añadir un párrafo actualizado 16 e indicar que el Acuerdo actualizado sustituye al alcanzado en la 71ª reunión, y modificar el párrafo 14 para especificar que la etapa I finalizaría antes del 31 de diciembre de 2020. Dichas modificaciones al Acuerdo se presentan en el Anexo I de este documento. El Acuerdo totalmente revisado se adjuntará al informe definitivo de la 84ª reunión.</w:t>
      </w:r>
    </w:p>
    <w:p w:rsidR="002E7BBF" w:rsidRPr="009F5EC9" w:rsidRDefault="002E7BBF" w:rsidP="002E7BBF">
      <w:pPr>
        <w:keepNext/>
        <w:keepLines/>
        <w:rPr>
          <w:u w:val="single"/>
          <w:lang w:val="es-MX"/>
        </w:rPr>
      </w:pPr>
      <w:r w:rsidRPr="009F5EC9">
        <w:rPr>
          <w:u w:val="single"/>
          <w:lang w:val="es-MX"/>
        </w:rPr>
        <w:t xml:space="preserve">Sostenibilidad de la eliminación de los HCFC </w:t>
      </w:r>
    </w:p>
    <w:p w:rsidR="002E7BBF" w:rsidRPr="009F5EC9" w:rsidRDefault="002E7BBF" w:rsidP="002E7BBF">
      <w:pPr>
        <w:rPr>
          <w:u w:val="single"/>
          <w:lang w:val="es-MX"/>
        </w:rPr>
      </w:pPr>
    </w:p>
    <w:p w:rsidR="002E7BBF" w:rsidRPr="009F5EC9" w:rsidRDefault="002E7BBF" w:rsidP="002E7BBF">
      <w:pPr>
        <w:pStyle w:val="Heading1"/>
        <w:rPr>
          <w:lang w:val="es-MX"/>
        </w:rPr>
      </w:pPr>
      <w:r w:rsidRPr="009F5EC9">
        <w:rPr>
          <w:lang w:val="es-MX"/>
        </w:rPr>
        <w:t xml:space="preserve">La Secretaría observó que, además de finalizar la reconversión del sector de fabricación de equipos de refrigeración y aire acondicionado, el Gobierno de Serbia aplicó la prohibición del 15 de abril de 2018 de fabricación y montaje de equipos, y la importación de productos y equipos, que contienen o usan HCFC. La combinación de la monitorización y el control de las importaciones de HCFC, la capacitación y la mejora de la capacidad de las instalaciones, y la prohibición de la fabricación y los equipos que usan HCFC contribuiría a la sostenibilidad a largo plazo de la eliminación de los HCFC. </w:t>
      </w:r>
    </w:p>
    <w:p w:rsidR="002E7BBF" w:rsidRPr="009F5EC9" w:rsidRDefault="002E7BBF" w:rsidP="002E7BBF">
      <w:pPr>
        <w:rPr>
          <w:u w:val="single"/>
          <w:lang w:val="es-MX"/>
        </w:rPr>
      </w:pPr>
      <w:r w:rsidRPr="009F5EC9">
        <w:rPr>
          <w:u w:val="single"/>
          <w:lang w:val="es-MX"/>
        </w:rPr>
        <w:lastRenderedPageBreak/>
        <w:t xml:space="preserve">Conclusión </w:t>
      </w:r>
    </w:p>
    <w:p w:rsidR="002E7BBF" w:rsidRPr="009F5EC9" w:rsidRDefault="002E7BBF" w:rsidP="002E7BBF">
      <w:pPr>
        <w:rPr>
          <w:lang w:val="es-MX"/>
        </w:rPr>
      </w:pPr>
    </w:p>
    <w:p w:rsidR="002E7BBF" w:rsidRPr="009F5EC9" w:rsidRDefault="002E7BBF" w:rsidP="002E7BBF">
      <w:pPr>
        <w:pStyle w:val="Heading1"/>
        <w:rPr>
          <w:lang w:val="es-MX"/>
        </w:rPr>
      </w:pPr>
      <w:r w:rsidRPr="009F5EC9">
        <w:rPr>
          <w:lang w:val="es-MX"/>
        </w:rPr>
        <w:t xml:space="preserve">El plan de gestión de la eliminación de los HCFC continúa avanzando, el sistema de concesión de licencias y cuotas está en funcionamiento, lo cual posibilitará la disminución del consumo de HCFC en consonancia con el calendario de eliminación gradual del Protocolo de Montreal, y los consumos verificados de 2017 y 2018 son inferiores a los especificados en el Protocolo de Montreal. El nivel de desembolso del tercer tramo es del 83 por ciento, y se aprobó el 97 por ciento de la financiación general. La Secretaría considera que la revisión del Acuerdo y la aprobación del cuarto tramo de la presente reunión son un mecanismo sólido para asegurar la continuación de la ejecución de las actividades de eliminación. Si no fuera por dichos cambios, la Secretaría habría recomendado la aprobación general del tramo, además del beneficio de la continuación de la ejecución. La recomendación de la Secretaría también tuvo en cuenta la financiación limitada solicitada y los recursos disponibles en la presente reunión. La etapa II del plan de gestión de la eliminación de los HCFC, cuya presentación está prevista para la 85ª reunión, tendrá en cuenta las recomendaciones del informe de verificación. Las reconversiones del sector de fabricación de equipos de refrigeración y aire acondicionado han finalizado, a pesar de que la introducción en el mercado de los sistemas basados en sustancias con bajo potencial de calentamiento de la atmósfera sigue representando un reto. El Gobierno y KGH están fomentando activamente los sistemas basados en sustancias con bajo potencial de calentamiento de la atmósfera, incluyendo mediante actividades de concientización. Las actividades realizadas hasta la fecha y las previstas en virtud del cuarto tramo reforzarán aun más el sector de servicio y mantenimiento, asegurarán la sostenibilidad a largo plazo de las actividades, y seguirán contribuyendo para que el país cumpla sus obligaciones con arreglo al Protocolo.  </w:t>
      </w:r>
    </w:p>
    <w:p w:rsidR="002E7BBF" w:rsidRPr="009F5EC9" w:rsidRDefault="002E7BBF" w:rsidP="002E7BBF">
      <w:pPr>
        <w:keepNext/>
        <w:keepLines/>
        <w:rPr>
          <w:b/>
          <w:lang w:val="es-MX"/>
        </w:rPr>
      </w:pPr>
      <w:r w:rsidRPr="009F5EC9">
        <w:rPr>
          <w:b/>
          <w:lang w:val="es-MX"/>
        </w:rPr>
        <w:t>RECOMENDACIÓN</w:t>
      </w:r>
    </w:p>
    <w:p w:rsidR="002E7BBF" w:rsidRPr="009F5EC9" w:rsidRDefault="002E7BBF" w:rsidP="002E7BBF">
      <w:pPr>
        <w:keepNext/>
        <w:keepLines/>
        <w:rPr>
          <w:lang w:val="es-MX"/>
        </w:rPr>
      </w:pPr>
    </w:p>
    <w:p w:rsidR="002E7BBF" w:rsidRPr="009F5EC9" w:rsidRDefault="002E7BBF" w:rsidP="002E7BBF">
      <w:pPr>
        <w:pStyle w:val="Heading1"/>
        <w:keepNext/>
        <w:keepLines/>
        <w:rPr>
          <w:lang w:val="es-MX"/>
        </w:rPr>
      </w:pPr>
      <w:r w:rsidRPr="009F5EC9">
        <w:rPr>
          <w:lang w:val="es-MX"/>
        </w:rPr>
        <w:t>El Comité Ejecutivo puede estimar oportuno:</w:t>
      </w:r>
    </w:p>
    <w:p w:rsidR="002E7BBF" w:rsidRPr="009F5EC9" w:rsidRDefault="002E7BBF" w:rsidP="002E7BBF">
      <w:pPr>
        <w:pStyle w:val="Heading2"/>
        <w:keepNext/>
        <w:keepLines/>
        <w:rPr>
          <w:lang w:val="es-MX"/>
        </w:rPr>
      </w:pPr>
      <w:r w:rsidRPr="009F5EC9">
        <w:rPr>
          <w:lang w:val="es-MX"/>
        </w:rPr>
        <w:t>Tomar nota de que:</w:t>
      </w:r>
    </w:p>
    <w:p w:rsidR="002E7BBF" w:rsidRPr="009F5EC9" w:rsidRDefault="002E7BBF" w:rsidP="002E7BBF">
      <w:pPr>
        <w:pStyle w:val="Heading3"/>
        <w:keepNext/>
        <w:keepLines/>
        <w:rPr>
          <w:lang w:val="es-MX"/>
        </w:rPr>
      </w:pPr>
      <w:r w:rsidRPr="009F5EC9">
        <w:rPr>
          <w:lang w:val="es-MX"/>
        </w:rPr>
        <w:t xml:space="preserve">El informe sobre la marcha de las actividades de ejecución del tercer tramo de la etapa I del plan de gestión de eliminación de HCFC en Serbia; </w:t>
      </w:r>
    </w:p>
    <w:p w:rsidR="002E7BBF" w:rsidRPr="009F5EC9" w:rsidRDefault="002E7BBF" w:rsidP="002E7BBF">
      <w:pPr>
        <w:pStyle w:val="Heading3"/>
        <w:rPr>
          <w:lang w:val="es-MX"/>
        </w:rPr>
      </w:pPr>
      <w:r w:rsidRPr="009F5EC9">
        <w:rPr>
          <w:lang w:val="es-MX"/>
        </w:rPr>
        <w:t>La Secretaría del Fondo ha actualizado el Acuerdo entre el Gobierno de Serbia y el Comité Ejecutivo, específicamente el párrafo 14 y el Apéndice 2-A para tener en cuenta que la etapa I finalizaría antes del 31 de diciembre de 2020 y el cuarto tramo solicitado en 2019, y que el párrafo 16 se ha actualizado para indicar que el Acuerdo actualizado revisado sustituyó el alcanzado en la 71ª reunión, tal como figura en el Anexo I del documento presente;</w:t>
      </w:r>
    </w:p>
    <w:p w:rsidR="002E7BBF" w:rsidRPr="009F5EC9" w:rsidRDefault="002E7BBF" w:rsidP="002E7BBF">
      <w:pPr>
        <w:pStyle w:val="Heading2"/>
        <w:rPr>
          <w:lang w:val="es-MX"/>
        </w:rPr>
      </w:pPr>
      <w:r w:rsidRPr="009F5EC9">
        <w:rPr>
          <w:lang w:val="es-MX"/>
        </w:rPr>
        <w:t xml:space="preserve">La petición al Gobierno de Serbia, la ONUDI y el PNUMA para que presenten un informe sobre la marcha de las actividades sobre la ejecución del programa de trabajo vinculado con el tramo final y el informe de terminación de proyectos en la primera reunión del Comité Ejecutivo de 2021; y </w:t>
      </w:r>
    </w:p>
    <w:p w:rsidR="002E7BBF" w:rsidRPr="009F5EC9" w:rsidRDefault="002E7BBF" w:rsidP="002E7BBF">
      <w:pPr>
        <w:pStyle w:val="Heading2"/>
        <w:rPr>
          <w:lang w:val="es-MX"/>
        </w:rPr>
      </w:pPr>
      <w:r w:rsidRPr="009F5EC9">
        <w:rPr>
          <w:lang w:val="es-MX"/>
        </w:rPr>
        <w:t>La aprobación del cuarto tramo y final de la etapa I del plan de gestión de eliminación de HCFC para Serbia y el plan de ejecución de tramo correspondiente para 2019-2020, por un monto de 36.159 $EUA, que comprende 25.700 $EUA, más gastos de apoyo al organismo de 1.928 $EUA para la ONUDI, y 7.550 $EUA, más gast</w:t>
      </w:r>
      <w:r w:rsidR="00F714DC">
        <w:rPr>
          <w:lang w:val="es-MX"/>
        </w:rPr>
        <w:t>os de apoyo al organismo de 981 </w:t>
      </w:r>
      <w:r w:rsidRPr="009F5EC9">
        <w:rPr>
          <w:lang w:val="es-MX"/>
        </w:rPr>
        <w:t>$EUA, para el PNUMA.</w:t>
      </w:r>
    </w:p>
    <w:p w:rsidR="002E7BBF" w:rsidRPr="009F5EC9" w:rsidRDefault="002E7BBF" w:rsidP="002E7BBF">
      <w:pPr>
        <w:rPr>
          <w:lang w:val="es-MX"/>
        </w:rPr>
      </w:pPr>
    </w:p>
    <w:p w:rsidR="002E7BBF" w:rsidRPr="009F5EC9" w:rsidRDefault="002E7BBF" w:rsidP="002E7BBF">
      <w:pPr>
        <w:rPr>
          <w:lang w:val="es-MX"/>
        </w:rPr>
        <w:sectPr w:rsidR="002E7BBF" w:rsidRPr="009F5EC9" w:rsidSect="002E7BB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2E7BBF" w:rsidRDefault="002E7BBF" w:rsidP="002E7BBF">
      <w:pPr>
        <w:jc w:val="center"/>
        <w:rPr>
          <w:b/>
          <w:lang w:val="es-MX"/>
        </w:rPr>
      </w:pPr>
      <w:r w:rsidRPr="009F5EC9">
        <w:rPr>
          <w:b/>
          <w:lang w:val="es-MX"/>
        </w:rPr>
        <w:lastRenderedPageBreak/>
        <w:t>Anexo I</w:t>
      </w:r>
    </w:p>
    <w:p w:rsidR="00237738" w:rsidRPr="009F5EC9" w:rsidRDefault="00237738" w:rsidP="002E7BBF">
      <w:pPr>
        <w:jc w:val="center"/>
        <w:rPr>
          <w:b/>
          <w:lang w:val="es-MX"/>
        </w:rPr>
      </w:pPr>
    </w:p>
    <w:p w:rsidR="002E7BBF" w:rsidRPr="009F5EC9" w:rsidRDefault="009F5EC9" w:rsidP="002E7BBF">
      <w:pPr>
        <w:autoSpaceDE w:val="0"/>
        <w:autoSpaceDN w:val="0"/>
        <w:adjustRightInd w:val="0"/>
        <w:jc w:val="center"/>
        <w:rPr>
          <w:b/>
          <w:bCs/>
          <w:lang w:val="es-MX"/>
        </w:rPr>
      </w:pPr>
      <w:r w:rsidRPr="009F5EC9">
        <w:rPr>
          <w:b/>
          <w:lang w:val="es-MX"/>
        </w:rPr>
        <w:t>TEXTO PARA INCLUIR</w:t>
      </w:r>
      <w:r w:rsidR="002E7BBF" w:rsidRPr="009F5EC9">
        <w:rPr>
          <w:b/>
          <w:lang w:val="es-MX"/>
        </w:rPr>
        <w:t xml:space="preserve"> EN EL ACUERDO ACTUALIZADO ENTRE EL GOBIERNO DE SERBIA Y EL COMITÉ EJECUTIVO DEL FONDO MULTILATERAL PARA LA REDUCCIÓN DEL CONSUMO DE LOS HCFC</w:t>
      </w:r>
    </w:p>
    <w:p w:rsidR="002E7BBF" w:rsidRPr="009F5EC9" w:rsidRDefault="002E7BBF" w:rsidP="002E7BBF">
      <w:pPr>
        <w:tabs>
          <w:tab w:val="left" w:pos="927"/>
        </w:tabs>
        <w:jc w:val="center"/>
        <w:rPr>
          <w:lang w:val="es-MX"/>
        </w:rPr>
      </w:pPr>
      <w:r w:rsidRPr="009F5EC9">
        <w:rPr>
          <w:lang w:val="es-MX"/>
        </w:rPr>
        <w:t>(Para mayor comodidad, los cambios pertinentes están en negrita)</w:t>
      </w:r>
    </w:p>
    <w:p w:rsidR="002E7BBF" w:rsidRPr="009F5EC9" w:rsidRDefault="002E7BBF" w:rsidP="002E7BBF">
      <w:pPr>
        <w:tabs>
          <w:tab w:val="left" w:pos="927"/>
        </w:tabs>
        <w:jc w:val="center"/>
        <w:rPr>
          <w:lang w:val="es-MX"/>
        </w:rPr>
      </w:pPr>
    </w:p>
    <w:p w:rsidR="002E7BBF" w:rsidRPr="009F5EC9" w:rsidRDefault="002E7BBF" w:rsidP="002E7BBF">
      <w:pPr>
        <w:tabs>
          <w:tab w:val="left" w:pos="927"/>
        </w:tabs>
        <w:rPr>
          <w:lang w:val="es-MX"/>
        </w:rPr>
      </w:pPr>
      <w:r w:rsidRPr="009F5EC9">
        <w:rPr>
          <w:lang w:val="es-MX"/>
        </w:rPr>
        <w:t>14.</w:t>
      </w:r>
      <w:r w:rsidRPr="009F5EC9">
        <w:rPr>
          <w:lang w:val="es-MX"/>
        </w:rPr>
        <w:tab/>
        <w:t xml:space="preserve">La terminación del plan de gestión de la eliminación de los HCFC y el Acuerdo asociado tendrán lugar antes del </w:t>
      </w:r>
      <w:r w:rsidRPr="009F5EC9">
        <w:rPr>
          <w:b/>
          <w:lang w:val="es-MX"/>
        </w:rPr>
        <w:t>31 de diciembre de 2020</w:t>
      </w:r>
      <w:r w:rsidRPr="009F5EC9">
        <w:rPr>
          <w:lang w:val="es-MX"/>
        </w:rPr>
        <w:t>. Los requisitos de presentación d</w:t>
      </w:r>
      <w:r w:rsidR="00BB2A98">
        <w:rPr>
          <w:lang w:val="es-MX"/>
        </w:rPr>
        <w:t>e informes conforme al Apéndice </w:t>
      </w:r>
      <w:r w:rsidRPr="009F5EC9">
        <w:rPr>
          <w:lang w:val="es-MX"/>
        </w:rPr>
        <w:t>4-A a), b), d) y e) continuarán vigentes hasta la conclusión excepto que el Comité Ejecutivo estipule otra cosa.</w:t>
      </w:r>
    </w:p>
    <w:p w:rsidR="002E7BBF" w:rsidRPr="009F5EC9" w:rsidRDefault="002E7BBF" w:rsidP="002E7BBF">
      <w:pPr>
        <w:tabs>
          <w:tab w:val="left" w:pos="927"/>
        </w:tabs>
        <w:jc w:val="left"/>
        <w:rPr>
          <w:lang w:val="es-MX"/>
        </w:rPr>
      </w:pPr>
    </w:p>
    <w:p w:rsidR="002E7BBF" w:rsidRPr="009F5EC9" w:rsidRDefault="002E7BBF" w:rsidP="002E7BBF">
      <w:pPr>
        <w:rPr>
          <w:lang w:val="es-MX"/>
        </w:rPr>
      </w:pPr>
      <w:r w:rsidRPr="009F5EC9">
        <w:rPr>
          <w:lang w:val="es-MX"/>
        </w:rPr>
        <w:t>16.</w:t>
      </w:r>
      <w:r w:rsidRPr="009F5EC9">
        <w:rPr>
          <w:lang w:val="es-MX"/>
        </w:rPr>
        <w:tab/>
        <w:t xml:space="preserve">El presente Acuerdo </w:t>
      </w:r>
      <w:r w:rsidRPr="009F5EC9">
        <w:rPr>
          <w:b/>
          <w:lang w:val="es-MX"/>
        </w:rPr>
        <w:t>revisado</w:t>
      </w:r>
      <w:r w:rsidRPr="009F5EC9">
        <w:rPr>
          <w:lang w:val="es-MX"/>
        </w:rPr>
        <w:t xml:space="preserve"> actualizado sustituye al Acuerdo suscrito entre el gobierno de Serbia y el Comité Ejecutivo en la </w:t>
      </w:r>
      <w:r w:rsidRPr="009F5EC9">
        <w:rPr>
          <w:b/>
          <w:lang w:val="es-MX"/>
        </w:rPr>
        <w:t>71ª</w:t>
      </w:r>
      <w:r w:rsidRPr="009F5EC9">
        <w:rPr>
          <w:lang w:val="es-MX"/>
        </w:rPr>
        <w:t xml:space="preserve"> reunión del Comité Ejecutivo.</w:t>
      </w:r>
    </w:p>
    <w:p w:rsidR="002E7BBF" w:rsidRPr="009F5EC9" w:rsidRDefault="002E7BBF" w:rsidP="002E7BBF">
      <w:pPr>
        <w:rPr>
          <w:lang w:val="es-MX"/>
        </w:rPr>
      </w:pPr>
    </w:p>
    <w:p w:rsidR="002E7BBF" w:rsidRPr="009F5EC9" w:rsidRDefault="002E7BBF" w:rsidP="002E7BBF">
      <w:pPr>
        <w:keepNext/>
        <w:keepLines/>
        <w:rPr>
          <w:b/>
          <w:lang w:val="es-MX"/>
        </w:rPr>
      </w:pPr>
      <w:r w:rsidRPr="009F5EC9">
        <w:rPr>
          <w:b/>
          <w:lang w:val="es-MX"/>
        </w:rPr>
        <w:t xml:space="preserve">APÉNDICE 2-A:  LOS OBJETIVOS Y LA FINANCIACIÓN </w:t>
      </w:r>
    </w:p>
    <w:p w:rsidR="002E7BBF" w:rsidRPr="009F5EC9" w:rsidRDefault="002E7BBF" w:rsidP="002E7BBF">
      <w:pPr>
        <w:keepNext/>
        <w:keepLines/>
        <w:rPr>
          <w:b/>
          <w:highlight w:val="yellow"/>
          <w:lang w:val="es-MX"/>
        </w:rPr>
      </w:pPr>
    </w:p>
    <w:tbl>
      <w:tblPr>
        <w:tblW w:w="10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5"/>
        <w:gridCol w:w="2681"/>
        <w:gridCol w:w="708"/>
        <w:gridCol w:w="554"/>
        <w:gridCol w:w="439"/>
        <w:gridCol w:w="690"/>
        <w:gridCol w:w="436"/>
        <w:gridCol w:w="436"/>
        <w:gridCol w:w="662"/>
        <w:gridCol w:w="438"/>
        <w:gridCol w:w="442"/>
        <w:gridCol w:w="583"/>
        <w:gridCol w:w="565"/>
        <w:gridCol w:w="880"/>
        <w:gridCol w:w="6"/>
      </w:tblGrid>
      <w:tr w:rsidR="00825742" w:rsidRPr="009F5EC9" w:rsidTr="006D18A7">
        <w:trPr>
          <w:gridAfter w:val="1"/>
          <w:wAfter w:w="6" w:type="dxa"/>
          <w:trHeight w:val="311"/>
          <w:jc w:val="center"/>
        </w:trPr>
        <w:tc>
          <w:tcPr>
            <w:tcW w:w="575" w:type="dxa"/>
            <w:noWrap/>
            <w:tcMar>
              <w:top w:w="0" w:type="dxa"/>
              <w:left w:w="28" w:type="dxa"/>
              <w:bottom w:w="0" w:type="dxa"/>
              <w:right w:w="28" w:type="dxa"/>
            </w:tcMar>
            <w:hideMark/>
          </w:tcPr>
          <w:p w:rsidR="002E7BBF" w:rsidRPr="009F5EC9" w:rsidRDefault="002E7BBF" w:rsidP="002E7BBF">
            <w:pPr>
              <w:keepNext/>
              <w:keepLines/>
              <w:jc w:val="center"/>
              <w:rPr>
                <w:rFonts w:eastAsia="Calibri"/>
                <w:b/>
                <w:color w:val="000000"/>
                <w:sz w:val="19"/>
                <w:szCs w:val="19"/>
                <w:lang w:val="es-MX"/>
              </w:rPr>
            </w:pPr>
            <w:r w:rsidRPr="009F5EC9">
              <w:rPr>
                <w:b/>
                <w:color w:val="000000"/>
                <w:sz w:val="19"/>
                <w:szCs w:val="19"/>
                <w:lang w:val="es-MX"/>
              </w:rPr>
              <w:t>Columna</w:t>
            </w:r>
          </w:p>
        </w:tc>
        <w:tc>
          <w:tcPr>
            <w:tcW w:w="2681"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Descripción</w:t>
            </w:r>
          </w:p>
        </w:tc>
        <w:tc>
          <w:tcPr>
            <w:tcW w:w="708"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2010</w:t>
            </w:r>
          </w:p>
        </w:tc>
        <w:tc>
          <w:tcPr>
            <w:tcW w:w="554"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2011</w:t>
            </w:r>
          </w:p>
        </w:tc>
        <w:tc>
          <w:tcPr>
            <w:tcW w:w="439"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2012</w:t>
            </w:r>
          </w:p>
        </w:tc>
        <w:tc>
          <w:tcPr>
            <w:tcW w:w="690"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2013</w:t>
            </w:r>
          </w:p>
        </w:tc>
        <w:tc>
          <w:tcPr>
            <w:tcW w:w="436"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2014</w:t>
            </w:r>
          </w:p>
        </w:tc>
        <w:tc>
          <w:tcPr>
            <w:tcW w:w="436"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2015</w:t>
            </w:r>
          </w:p>
        </w:tc>
        <w:tc>
          <w:tcPr>
            <w:tcW w:w="662"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2016</w:t>
            </w:r>
          </w:p>
        </w:tc>
        <w:tc>
          <w:tcPr>
            <w:tcW w:w="438"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2017</w:t>
            </w:r>
          </w:p>
        </w:tc>
        <w:tc>
          <w:tcPr>
            <w:tcW w:w="442"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2018</w:t>
            </w:r>
          </w:p>
        </w:tc>
        <w:tc>
          <w:tcPr>
            <w:tcW w:w="583"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2019</w:t>
            </w:r>
          </w:p>
        </w:tc>
        <w:tc>
          <w:tcPr>
            <w:tcW w:w="565"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2020</w:t>
            </w:r>
          </w:p>
        </w:tc>
        <w:tc>
          <w:tcPr>
            <w:tcW w:w="880" w:type="dxa"/>
            <w:tcMar>
              <w:top w:w="0" w:type="dxa"/>
              <w:left w:w="28" w:type="dxa"/>
              <w:bottom w:w="0" w:type="dxa"/>
              <w:right w:w="28" w:type="dxa"/>
            </w:tcMar>
            <w:hideMark/>
          </w:tcPr>
          <w:p w:rsidR="002E7BBF" w:rsidRPr="009F5EC9" w:rsidRDefault="002E7BBF" w:rsidP="002E7BBF">
            <w:pPr>
              <w:keepNext/>
              <w:keepLines/>
              <w:jc w:val="center"/>
              <w:rPr>
                <w:rFonts w:eastAsia="Calibri"/>
                <w:b/>
                <w:bCs/>
                <w:color w:val="000000"/>
                <w:sz w:val="19"/>
                <w:szCs w:val="19"/>
                <w:lang w:val="es-MX"/>
              </w:rPr>
            </w:pPr>
            <w:r w:rsidRPr="009F5EC9">
              <w:rPr>
                <w:b/>
                <w:bCs/>
                <w:color w:val="000000"/>
                <w:sz w:val="19"/>
                <w:szCs w:val="19"/>
                <w:lang w:val="es-MX"/>
              </w:rPr>
              <w:t>Total</w:t>
            </w:r>
          </w:p>
        </w:tc>
      </w:tr>
      <w:tr w:rsidR="00825742" w:rsidRPr="009F5EC9" w:rsidTr="006D18A7">
        <w:trPr>
          <w:gridAfter w:val="1"/>
          <w:wAfter w:w="6" w:type="dxa"/>
          <w:trHeight w:val="855"/>
          <w:jc w:val="center"/>
        </w:trPr>
        <w:tc>
          <w:tcPr>
            <w:tcW w:w="575" w:type="dxa"/>
            <w:noWrap/>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1.1</w:t>
            </w:r>
          </w:p>
        </w:tc>
        <w:tc>
          <w:tcPr>
            <w:tcW w:w="2681" w:type="dxa"/>
            <w:tcMar>
              <w:top w:w="0" w:type="dxa"/>
              <w:left w:w="28" w:type="dxa"/>
              <w:bottom w:w="0" w:type="dxa"/>
              <w:right w:w="28" w:type="dxa"/>
            </w:tcMar>
            <w:hideMark/>
          </w:tcPr>
          <w:p w:rsidR="006D18A7" w:rsidRDefault="002E7BBF" w:rsidP="002E7BBF">
            <w:pPr>
              <w:keepNext/>
              <w:keepLines/>
              <w:rPr>
                <w:color w:val="000000"/>
                <w:sz w:val="19"/>
                <w:szCs w:val="19"/>
                <w:lang w:val="es-MX"/>
              </w:rPr>
            </w:pPr>
            <w:r w:rsidRPr="009F5EC9">
              <w:rPr>
                <w:color w:val="000000"/>
                <w:sz w:val="19"/>
                <w:szCs w:val="19"/>
                <w:lang w:val="es-MX"/>
              </w:rPr>
              <w:t xml:space="preserve">Calendario de reducción del Protocolo de Montreal para las sustancias del Anexo C, Grupo I </w:t>
            </w:r>
          </w:p>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(toneladas PAO)</w:t>
            </w:r>
          </w:p>
        </w:tc>
        <w:tc>
          <w:tcPr>
            <w:tcW w:w="70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nc</w:t>
            </w:r>
          </w:p>
        </w:tc>
        <w:tc>
          <w:tcPr>
            <w:tcW w:w="554"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nc</w:t>
            </w:r>
          </w:p>
        </w:tc>
        <w:tc>
          <w:tcPr>
            <w:tcW w:w="439"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nc</w:t>
            </w:r>
          </w:p>
        </w:tc>
        <w:tc>
          <w:tcPr>
            <w:tcW w:w="690"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8,4</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8,4</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66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43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44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583"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565"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5,46</w:t>
            </w:r>
          </w:p>
        </w:tc>
        <w:tc>
          <w:tcPr>
            <w:tcW w:w="880"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nc</w:t>
            </w:r>
          </w:p>
        </w:tc>
      </w:tr>
      <w:tr w:rsidR="00825742" w:rsidRPr="009F5EC9" w:rsidTr="006D18A7">
        <w:trPr>
          <w:gridAfter w:val="1"/>
          <w:wAfter w:w="6" w:type="dxa"/>
          <w:trHeight w:val="826"/>
          <w:jc w:val="center"/>
        </w:trPr>
        <w:tc>
          <w:tcPr>
            <w:tcW w:w="575" w:type="dxa"/>
            <w:noWrap/>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1.2</w:t>
            </w:r>
          </w:p>
        </w:tc>
        <w:tc>
          <w:tcPr>
            <w:tcW w:w="2681" w:type="dxa"/>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Consumo total permisible máximo para las substancias incluidas en el Anexo C, Grupo I (toneladas PAO)</w:t>
            </w:r>
          </w:p>
        </w:tc>
        <w:tc>
          <w:tcPr>
            <w:tcW w:w="70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nc</w:t>
            </w:r>
          </w:p>
        </w:tc>
        <w:tc>
          <w:tcPr>
            <w:tcW w:w="554"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nc</w:t>
            </w:r>
          </w:p>
        </w:tc>
        <w:tc>
          <w:tcPr>
            <w:tcW w:w="439"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nc</w:t>
            </w:r>
          </w:p>
        </w:tc>
        <w:tc>
          <w:tcPr>
            <w:tcW w:w="690"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8,4</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8,4</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66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43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44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583"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7,56</w:t>
            </w:r>
          </w:p>
        </w:tc>
        <w:tc>
          <w:tcPr>
            <w:tcW w:w="565"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5,46</w:t>
            </w:r>
          </w:p>
        </w:tc>
        <w:tc>
          <w:tcPr>
            <w:tcW w:w="880"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nc</w:t>
            </w:r>
          </w:p>
        </w:tc>
      </w:tr>
      <w:tr w:rsidR="00825742" w:rsidRPr="009F5EC9" w:rsidTr="006D18A7">
        <w:trPr>
          <w:gridAfter w:val="1"/>
          <w:wAfter w:w="6" w:type="dxa"/>
          <w:trHeight w:val="527"/>
          <w:jc w:val="center"/>
        </w:trPr>
        <w:tc>
          <w:tcPr>
            <w:tcW w:w="575" w:type="dxa"/>
            <w:noWrap/>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2.1</w:t>
            </w:r>
          </w:p>
        </w:tc>
        <w:tc>
          <w:tcPr>
            <w:tcW w:w="2681" w:type="dxa"/>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Financiación convenida para el organismo de ejecución principal (ONUDI) ($EUA)</w:t>
            </w:r>
          </w:p>
        </w:tc>
        <w:tc>
          <w:tcPr>
            <w:tcW w:w="70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360.130</w:t>
            </w:r>
          </w:p>
        </w:tc>
        <w:tc>
          <w:tcPr>
            <w:tcW w:w="554"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39"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690"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444.130</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66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67.800</w:t>
            </w:r>
          </w:p>
        </w:tc>
        <w:tc>
          <w:tcPr>
            <w:tcW w:w="43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4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583" w:type="dxa"/>
            <w:tcMar>
              <w:top w:w="0" w:type="dxa"/>
              <w:left w:w="28" w:type="dxa"/>
              <w:bottom w:w="0" w:type="dxa"/>
              <w:right w:w="28" w:type="dxa"/>
            </w:tcMar>
            <w:hideMark/>
          </w:tcPr>
          <w:p w:rsidR="002E7BBF" w:rsidRPr="009F5EC9" w:rsidRDefault="002E7BBF" w:rsidP="002E7BBF">
            <w:pPr>
              <w:keepNext/>
              <w:keepLines/>
              <w:jc w:val="right"/>
              <w:rPr>
                <w:rFonts w:eastAsia="Calibri"/>
                <w:b/>
                <w:color w:val="000000"/>
                <w:sz w:val="19"/>
                <w:szCs w:val="19"/>
                <w:lang w:val="es-MX"/>
              </w:rPr>
            </w:pPr>
            <w:r w:rsidRPr="009F5EC9">
              <w:rPr>
                <w:b/>
                <w:color w:val="000000"/>
                <w:sz w:val="19"/>
                <w:szCs w:val="19"/>
                <w:lang w:val="es-MX"/>
              </w:rPr>
              <w:t>25.700</w:t>
            </w:r>
          </w:p>
        </w:tc>
        <w:tc>
          <w:tcPr>
            <w:tcW w:w="565" w:type="dxa"/>
            <w:tcMar>
              <w:top w:w="0" w:type="dxa"/>
              <w:left w:w="28" w:type="dxa"/>
              <w:bottom w:w="0" w:type="dxa"/>
              <w:right w:w="28" w:type="dxa"/>
            </w:tcMar>
            <w:hideMark/>
          </w:tcPr>
          <w:p w:rsidR="002E7BBF" w:rsidRPr="009F5EC9" w:rsidRDefault="002E7BBF" w:rsidP="002E7BBF">
            <w:pPr>
              <w:keepNext/>
              <w:keepLines/>
              <w:jc w:val="right"/>
              <w:rPr>
                <w:rFonts w:eastAsia="Calibri"/>
                <w:b/>
                <w:color w:val="000000"/>
                <w:sz w:val="19"/>
                <w:szCs w:val="19"/>
                <w:lang w:val="es-MX"/>
              </w:rPr>
            </w:pPr>
            <w:r w:rsidRPr="009F5EC9">
              <w:rPr>
                <w:b/>
                <w:color w:val="000000"/>
                <w:sz w:val="19"/>
                <w:szCs w:val="19"/>
                <w:lang w:val="es-MX"/>
              </w:rPr>
              <w:t>0 </w:t>
            </w:r>
          </w:p>
        </w:tc>
        <w:tc>
          <w:tcPr>
            <w:tcW w:w="880" w:type="dxa"/>
            <w:noWrap/>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897.760</w:t>
            </w:r>
          </w:p>
        </w:tc>
      </w:tr>
      <w:tr w:rsidR="00825742" w:rsidRPr="009F5EC9" w:rsidTr="006D18A7">
        <w:trPr>
          <w:gridAfter w:val="1"/>
          <w:wAfter w:w="6" w:type="dxa"/>
          <w:trHeight w:val="285"/>
          <w:jc w:val="center"/>
        </w:trPr>
        <w:tc>
          <w:tcPr>
            <w:tcW w:w="575" w:type="dxa"/>
            <w:noWrap/>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2.2</w:t>
            </w:r>
          </w:p>
        </w:tc>
        <w:tc>
          <w:tcPr>
            <w:tcW w:w="2681" w:type="dxa"/>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Costos de apoyo para el organismo de ejecución principal ($EUA)</w:t>
            </w:r>
          </w:p>
        </w:tc>
        <w:tc>
          <w:tcPr>
            <w:tcW w:w="70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27.010</w:t>
            </w:r>
          </w:p>
        </w:tc>
        <w:tc>
          <w:tcPr>
            <w:tcW w:w="554"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39"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690"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33.310</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66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5.085</w:t>
            </w:r>
          </w:p>
        </w:tc>
        <w:tc>
          <w:tcPr>
            <w:tcW w:w="43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4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583" w:type="dxa"/>
            <w:tcMar>
              <w:top w:w="0" w:type="dxa"/>
              <w:left w:w="28" w:type="dxa"/>
              <w:bottom w:w="0" w:type="dxa"/>
              <w:right w:w="28" w:type="dxa"/>
            </w:tcMar>
            <w:hideMark/>
          </w:tcPr>
          <w:p w:rsidR="002E7BBF" w:rsidRPr="009F5EC9" w:rsidRDefault="002E7BBF" w:rsidP="002E7BBF">
            <w:pPr>
              <w:keepNext/>
              <w:keepLines/>
              <w:jc w:val="right"/>
              <w:rPr>
                <w:rFonts w:eastAsia="Calibri"/>
                <w:b/>
                <w:color w:val="000000"/>
                <w:sz w:val="19"/>
                <w:szCs w:val="19"/>
                <w:lang w:val="es-MX"/>
              </w:rPr>
            </w:pPr>
            <w:r w:rsidRPr="009F5EC9">
              <w:rPr>
                <w:b/>
                <w:color w:val="000000"/>
                <w:sz w:val="19"/>
                <w:szCs w:val="19"/>
                <w:lang w:val="es-MX"/>
              </w:rPr>
              <w:t>1.928</w:t>
            </w:r>
          </w:p>
        </w:tc>
        <w:tc>
          <w:tcPr>
            <w:tcW w:w="565" w:type="dxa"/>
            <w:tcMar>
              <w:top w:w="0" w:type="dxa"/>
              <w:left w:w="28" w:type="dxa"/>
              <w:bottom w:w="0" w:type="dxa"/>
              <w:right w:w="28" w:type="dxa"/>
            </w:tcMar>
            <w:hideMark/>
          </w:tcPr>
          <w:p w:rsidR="002E7BBF" w:rsidRPr="009F5EC9" w:rsidRDefault="002E7BBF" w:rsidP="002E7BBF">
            <w:pPr>
              <w:keepNext/>
              <w:keepLines/>
              <w:jc w:val="right"/>
              <w:rPr>
                <w:rFonts w:eastAsia="Calibri"/>
                <w:b/>
                <w:color w:val="000000"/>
                <w:sz w:val="19"/>
                <w:szCs w:val="19"/>
                <w:lang w:val="es-MX"/>
              </w:rPr>
            </w:pPr>
            <w:r w:rsidRPr="009F5EC9">
              <w:rPr>
                <w:b/>
                <w:color w:val="000000"/>
                <w:sz w:val="19"/>
                <w:szCs w:val="19"/>
                <w:lang w:val="es-MX"/>
              </w:rPr>
              <w:t>0 </w:t>
            </w:r>
          </w:p>
        </w:tc>
        <w:tc>
          <w:tcPr>
            <w:tcW w:w="880" w:type="dxa"/>
            <w:noWrap/>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67.333</w:t>
            </w:r>
          </w:p>
        </w:tc>
      </w:tr>
      <w:tr w:rsidR="00825742" w:rsidRPr="009F5EC9" w:rsidTr="006D18A7">
        <w:trPr>
          <w:gridAfter w:val="1"/>
          <w:wAfter w:w="6" w:type="dxa"/>
          <w:trHeight w:val="670"/>
          <w:jc w:val="center"/>
        </w:trPr>
        <w:tc>
          <w:tcPr>
            <w:tcW w:w="575" w:type="dxa"/>
            <w:noWrap/>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2.3</w:t>
            </w:r>
          </w:p>
        </w:tc>
        <w:tc>
          <w:tcPr>
            <w:tcW w:w="2681" w:type="dxa"/>
            <w:tcMar>
              <w:top w:w="0" w:type="dxa"/>
              <w:left w:w="28" w:type="dxa"/>
              <w:bottom w:w="0" w:type="dxa"/>
              <w:right w:w="28" w:type="dxa"/>
            </w:tcMar>
            <w:hideMark/>
          </w:tcPr>
          <w:p w:rsidR="002E7BBF" w:rsidRPr="009F5EC9" w:rsidRDefault="002E7BBF" w:rsidP="002E7BBF">
            <w:pPr>
              <w:keepNext/>
              <w:keepLines/>
              <w:rPr>
                <w:rFonts w:eastAsia="Calibri"/>
                <w:color w:val="000000"/>
                <w:sz w:val="19"/>
                <w:szCs w:val="19"/>
                <w:lang w:val="es-MX"/>
              </w:rPr>
            </w:pPr>
            <w:r w:rsidRPr="009F5EC9">
              <w:rPr>
                <w:color w:val="000000"/>
                <w:sz w:val="19"/>
                <w:szCs w:val="19"/>
                <w:lang w:val="es-MX"/>
              </w:rPr>
              <w:t xml:space="preserve">Financiación convenida para el organismo de ejecución </w:t>
            </w:r>
            <w:r w:rsidR="009F5EC9" w:rsidRPr="009F5EC9">
              <w:rPr>
                <w:color w:val="000000"/>
                <w:sz w:val="19"/>
                <w:szCs w:val="19"/>
                <w:lang w:val="es-MX"/>
              </w:rPr>
              <w:t>cooperante</w:t>
            </w:r>
            <w:r w:rsidRPr="009F5EC9">
              <w:rPr>
                <w:color w:val="000000"/>
                <w:sz w:val="19"/>
                <w:szCs w:val="19"/>
                <w:lang w:val="es-MX"/>
              </w:rPr>
              <w:t xml:space="preserve"> (PNUMA) ($EUA)</w:t>
            </w:r>
          </w:p>
        </w:tc>
        <w:tc>
          <w:tcPr>
            <w:tcW w:w="70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26.000</w:t>
            </w:r>
          </w:p>
        </w:tc>
        <w:tc>
          <w:tcPr>
            <w:tcW w:w="554"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39"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690"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27.500</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36"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66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14.450</w:t>
            </w:r>
          </w:p>
        </w:tc>
        <w:tc>
          <w:tcPr>
            <w:tcW w:w="438"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442" w:type="dxa"/>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0 </w:t>
            </w:r>
          </w:p>
        </w:tc>
        <w:tc>
          <w:tcPr>
            <w:tcW w:w="583" w:type="dxa"/>
            <w:tcMar>
              <w:top w:w="0" w:type="dxa"/>
              <w:left w:w="28" w:type="dxa"/>
              <w:bottom w:w="0" w:type="dxa"/>
              <w:right w:w="28" w:type="dxa"/>
            </w:tcMar>
            <w:hideMark/>
          </w:tcPr>
          <w:p w:rsidR="002E7BBF" w:rsidRPr="009F5EC9" w:rsidRDefault="002E7BBF" w:rsidP="002E7BBF">
            <w:pPr>
              <w:keepNext/>
              <w:keepLines/>
              <w:jc w:val="right"/>
              <w:rPr>
                <w:rFonts w:eastAsia="Calibri"/>
                <w:b/>
                <w:color w:val="000000"/>
                <w:sz w:val="19"/>
                <w:szCs w:val="19"/>
                <w:lang w:val="es-MX"/>
              </w:rPr>
            </w:pPr>
            <w:r w:rsidRPr="009F5EC9">
              <w:rPr>
                <w:b/>
                <w:color w:val="000000"/>
                <w:sz w:val="19"/>
                <w:szCs w:val="19"/>
                <w:lang w:val="es-MX"/>
              </w:rPr>
              <w:t>7.550</w:t>
            </w:r>
          </w:p>
        </w:tc>
        <w:tc>
          <w:tcPr>
            <w:tcW w:w="565" w:type="dxa"/>
            <w:tcMar>
              <w:top w:w="0" w:type="dxa"/>
              <w:left w:w="28" w:type="dxa"/>
              <w:bottom w:w="0" w:type="dxa"/>
              <w:right w:w="28" w:type="dxa"/>
            </w:tcMar>
            <w:hideMark/>
          </w:tcPr>
          <w:p w:rsidR="002E7BBF" w:rsidRPr="009F5EC9" w:rsidRDefault="002E7BBF" w:rsidP="002E7BBF">
            <w:pPr>
              <w:keepNext/>
              <w:keepLines/>
              <w:jc w:val="right"/>
              <w:rPr>
                <w:rFonts w:eastAsia="Calibri"/>
                <w:b/>
                <w:color w:val="000000"/>
                <w:sz w:val="19"/>
                <w:szCs w:val="19"/>
                <w:lang w:val="es-MX"/>
              </w:rPr>
            </w:pPr>
            <w:r w:rsidRPr="009F5EC9">
              <w:rPr>
                <w:b/>
                <w:color w:val="000000"/>
                <w:sz w:val="19"/>
                <w:szCs w:val="19"/>
                <w:lang w:val="es-MX"/>
              </w:rPr>
              <w:t>0 </w:t>
            </w:r>
          </w:p>
        </w:tc>
        <w:tc>
          <w:tcPr>
            <w:tcW w:w="880" w:type="dxa"/>
            <w:noWrap/>
            <w:tcMar>
              <w:top w:w="0" w:type="dxa"/>
              <w:left w:w="28" w:type="dxa"/>
              <w:bottom w:w="0" w:type="dxa"/>
              <w:right w:w="28" w:type="dxa"/>
            </w:tcMar>
            <w:hideMark/>
          </w:tcPr>
          <w:p w:rsidR="002E7BBF" w:rsidRPr="009F5EC9" w:rsidRDefault="002E7BBF" w:rsidP="002E7BBF">
            <w:pPr>
              <w:keepNext/>
              <w:keepLines/>
              <w:jc w:val="right"/>
              <w:rPr>
                <w:rFonts w:eastAsia="Calibri"/>
                <w:color w:val="000000"/>
                <w:sz w:val="19"/>
                <w:szCs w:val="19"/>
                <w:lang w:val="es-MX"/>
              </w:rPr>
            </w:pPr>
            <w:r w:rsidRPr="009F5EC9">
              <w:rPr>
                <w:color w:val="000000"/>
                <w:sz w:val="19"/>
                <w:szCs w:val="19"/>
                <w:lang w:val="es-MX"/>
              </w:rPr>
              <w:t>75.500</w:t>
            </w:r>
          </w:p>
        </w:tc>
      </w:tr>
      <w:tr w:rsidR="00825742" w:rsidRPr="009F5EC9" w:rsidTr="006D18A7">
        <w:trPr>
          <w:gridAfter w:val="1"/>
          <w:wAfter w:w="6" w:type="dxa"/>
          <w:trHeight w:val="424"/>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2.4</w:t>
            </w:r>
          </w:p>
        </w:tc>
        <w:tc>
          <w:tcPr>
            <w:tcW w:w="2681" w:type="dxa"/>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 xml:space="preserve">Costos de apoyo para el organismo de ejecución </w:t>
            </w:r>
            <w:r w:rsidR="009F5EC9" w:rsidRPr="009F5EC9">
              <w:rPr>
                <w:color w:val="000000"/>
                <w:sz w:val="19"/>
                <w:szCs w:val="19"/>
                <w:lang w:val="es-MX"/>
              </w:rPr>
              <w:t>cooperante</w:t>
            </w:r>
            <w:r w:rsidRPr="009F5EC9">
              <w:rPr>
                <w:color w:val="000000"/>
                <w:sz w:val="19"/>
                <w:szCs w:val="19"/>
                <w:lang w:val="es-MX"/>
              </w:rPr>
              <w:t xml:space="preserve"> ($EUA)</w:t>
            </w:r>
          </w:p>
        </w:tc>
        <w:tc>
          <w:tcPr>
            <w:tcW w:w="708"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3.380</w:t>
            </w:r>
          </w:p>
        </w:tc>
        <w:tc>
          <w:tcPr>
            <w:tcW w:w="554"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39"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690"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3.575</w:t>
            </w:r>
          </w:p>
        </w:tc>
        <w:tc>
          <w:tcPr>
            <w:tcW w:w="436"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36"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662"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1.879</w:t>
            </w:r>
          </w:p>
        </w:tc>
        <w:tc>
          <w:tcPr>
            <w:tcW w:w="438"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42"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583" w:type="dxa"/>
            <w:tcMar>
              <w:top w:w="0" w:type="dxa"/>
              <w:left w:w="28" w:type="dxa"/>
              <w:bottom w:w="0" w:type="dxa"/>
              <w:right w:w="28" w:type="dxa"/>
            </w:tcMar>
            <w:hideMark/>
          </w:tcPr>
          <w:p w:rsidR="002E7BBF" w:rsidRPr="009F5EC9" w:rsidRDefault="002E7BBF" w:rsidP="002E7BBF">
            <w:pPr>
              <w:jc w:val="right"/>
              <w:rPr>
                <w:rFonts w:eastAsia="Calibri"/>
                <w:b/>
                <w:color w:val="000000"/>
                <w:sz w:val="19"/>
                <w:szCs w:val="19"/>
                <w:lang w:val="es-MX"/>
              </w:rPr>
            </w:pPr>
            <w:r w:rsidRPr="009F5EC9">
              <w:rPr>
                <w:b/>
                <w:color w:val="000000"/>
                <w:sz w:val="19"/>
                <w:szCs w:val="19"/>
                <w:lang w:val="es-MX"/>
              </w:rPr>
              <w:t>981</w:t>
            </w:r>
          </w:p>
        </w:tc>
        <w:tc>
          <w:tcPr>
            <w:tcW w:w="565" w:type="dxa"/>
            <w:tcMar>
              <w:top w:w="0" w:type="dxa"/>
              <w:left w:w="28" w:type="dxa"/>
              <w:bottom w:w="0" w:type="dxa"/>
              <w:right w:w="28" w:type="dxa"/>
            </w:tcMar>
            <w:hideMark/>
          </w:tcPr>
          <w:p w:rsidR="002E7BBF" w:rsidRPr="009F5EC9" w:rsidRDefault="002E7BBF" w:rsidP="002E7BBF">
            <w:pPr>
              <w:jc w:val="right"/>
              <w:rPr>
                <w:rFonts w:eastAsia="Calibri"/>
                <w:b/>
                <w:color w:val="000000"/>
                <w:sz w:val="19"/>
                <w:szCs w:val="19"/>
                <w:lang w:val="es-MX"/>
              </w:rPr>
            </w:pPr>
            <w:r w:rsidRPr="009F5EC9">
              <w:rPr>
                <w:b/>
                <w:color w:val="000000"/>
                <w:sz w:val="19"/>
                <w:szCs w:val="19"/>
                <w:lang w:val="es-MX"/>
              </w:rPr>
              <w:t>0 </w:t>
            </w:r>
          </w:p>
        </w:tc>
        <w:tc>
          <w:tcPr>
            <w:tcW w:w="880" w:type="dxa"/>
            <w:noWrap/>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9.815</w:t>
            </w:r>
          </w:p>
        </w:tc>
      </w:tr>
      <w:tr w:rsidR="00825742" w:rsidRPr="009F5EC9" w:rsidTr="006D18A7">
        <w:trPr>
          <w:gridAfter w:val="1"/>
          <w:wAfter w:w="6" w:type="dxa"/>
          <w:trHeight w:val="357"/>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3.1</w:t>
            </w:r>
          </w:p>
        </w:tc>
        <w:tc>
          <w:tcPr>
            <w:tcW w:w="2681" w:type="dxa"/>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Financiación total convenida ($EUA)</w:t>
            </w:r>
          </w:p>
        </w:tc>
        <w:tc>
          <w:tcPr>
            <w:tcW w:w="708"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386.130</w:t>
            </w:r>
          </w:p>
        </w:tc>
        <w:tc>
          <w:tcPr>
            <w:tcW w:w="554"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39"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690"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471.630</w:t>
            </w:r>
          </w:p>
        </w:tc>
        <w:tc>
          <w:tcPr>
            <w:tcW w:w="436"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36"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662"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82.250</w:t>
            </w:r>
          </w:p>
        </w:tc>
        <w:tc>
          <w:tcPr>
            <w:tcW w:w="438"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42"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583" w:type="dxa"/>
            <w:tcMar>
              <w:top w:w="0" w:type="dxa"/>
              <w:left w:w="28" w:type="dxa"/>
              <w:bottom w:w="0" w:type="dxa"/>
              <w:right w:w="28" w:type="dxa"/>
            </w:tcMar>
            <w:hideMark/>
          </w:tcPr>
          <w:p w:rsidR="002E7BBF" w:rsidRPr="009F5EC9" w:rsidRDefault="002E7BBF" w:rsidP="002E7BBF">
            <w:pPr>
              <w:jc w:val="right"/>
              <w:rPr>
                <w:rFonts w:eastAsia="Calibri"/>
                <w:b/>
                <w:color w:val="000000"/>
                <w:sz w:val="19"/>
                <w:szCs w:val="19"/>
                <w:lang w:val="es-MX"/>
              </w:rPr>
            </w:pPr>
            <w:r w:rsidRPr="009F5EC9">
              <w:rPr>
                <w:b/>
                <w:color w:val="000000"/>
                <w:sz w:val="19"/>
                <w:szCs w:val="19"/>
                <w:lang w:val="es-MX"/>
              </w:rPr>
              <w:t>33.250</w:t>
            </w:r>
          </w:p>
        </w:tc>
        <w:tc>
          <w:tcPr>
            <w:tcW w:w="565" w:type="dxa"/>
            <w:tcMar>
              <w:top w:w="0" w:type="dxa"/>
              <w:left w:w="28" w:type="dxa"/>
              <w:bottom w:w="0" w:type="dxa"/>
              <w:right w:w="28" w:type="dxa"/>
            </w:tcMar>
            <w:hideMark/>
          </w:tcPr>
          <w:p w:rsidR="002E7BBF" w:rsidRPr="009F5EC9" w:rsidRDefault="002E7BBF" w:rsidP="002E7BBF">
            <w:pPr>
              <w:jc w:val="right"/>
              <w:rPr>
                <w:rFonts w:eastAsia="Calibri"/>
                <w:b/>
                <w:color w:val="000000"/>
                <w:sz w:val="19"/>
                <w:szCs w:val="19"/>
                <w:lang w:val="es-MX"/>
              </w:rPr>
            </w:pPr>
            <w:r w:rsidRPr="009F5EC9">
              <w:rPr>
                <w:b/>
                <w:color w:val="000000"/>
                <w:sz w:val="19"/>
                <w:szCs w:val="19"/>
                <w:lang w:val="es-MX"/>
              </w:rPr>
              <w:t>0 </w:t>
            </w:r>
          </w:p>
        </w:tc>
        <w:tc>
          <w:tcPr>
            <w:tcW w:w="880" w:type="dxa"/>
            <w:noWrap/>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973.260</w:t>
            </w:r>
          </w:p>
        </w:tc>
      </w:tr>
      <w:tr w:rsidR="00825742" w:rsidRPr="009F5EC9" w:rsidTr="006D18A7">
        <w:trPr>
          <w:gridAfter w:val="1"/>
          <w:wAfter w:w="6" w:type="dxa"/>
          <w:trHeight w:val="224"/>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3.2</w:t>
            </w:r>
          </w:p>
        </w:tc>
        <w:tc>
          <w:tcPr>
            <w:tcW w:w="2681" w:type="dxa"/>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Total costos de apoyo ($EUA)</w:t>
            </w:r>
          </w:p>
        </w:tc>
        <w:tc>
          <w:tcPr>
            <w:tcW w:w="708"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30.390</w:t>
            </w:r>
          </w:p>
        </w:tc>
        <w:tc>
          <w:tcPr>
            <w:tcW w:w="554"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39"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690"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36.885</w:t>
            </w:r>
          </w:p>
        </w:tc>
        <w:tc>
          <w:tcPr>
            <w:tcW w:w="436"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36"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662"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6.964</w:t>
            </w:r>
          </w:p>
        </w:tc>
        <w:tc>
          <w:tcPr>
            <w:tcW w:w="438"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42"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583" w:type="dxa"/>
            <w:tcMar>
              <w:top w:w="0" w:type="dxa"/>
              <w:left w:w="28" w:type="dxa"/>
              <w:bottom w:w="0" w:type="dxa"/>
              <w:right w:w="28" w:type="dxa"/>
            </w:tcMar>
            <w:hideMark/>
          </w:tcPr>
          <w:p w:rsidR="002E7BBF" w:rsidRPr="009F5EC9" w:rsidRDefault="002E7BBF" w:rsidP="002E7BBF">
            <w:pPr>
              <w:jc w:val="right"/>
              <w:rPr>
                <w:rFonts w:eastAsia="Calibri"/>
                <w:b/>
                <w:color w:val="000000"/>
                <w:sz w:val="19"/>
                <w:szCs w:val="19"/>
                <w:lang w:val="es-MX"/>
              </w:rPr>
            </w:pPr>
            <w:r w:rsidRPr="009F5EC9">
              <w:rPr>
                <w:b/>
                <w:color w:val="000000"/>
                <w:sz w:val="19"/>
                <w:szCs w:val="19"/>
                <w:lang w:val="es-MX"/>
              </w:rPr>
              <w:t>2.909</w:t>
            </w:r>
          </w:p>
        </w:tc>
        <w:tc>
          <w:tcPr>
            <w:tcW w:w="565" w:type="dxa"/>
            <w:tcMar>
              <w:top w:w="0" w:type="dxa"/>
              <w:left w:w="28" w:type="dxa"/>
              <w:bottom w:w="0" w:type="dxa"/>
              <w:right w:w="28" w:type="dxa"/>
            </w:tcMar>
            <w:hideMark/>
          </w:tcPr>
          <w:p w:rsidR="002E7BBF" w:rsidRPr="009F5EC9" w:rsidRDefault="002E7BBF" w:rsidP="002E7BBF">
            <w:pPr>
              <w:jc w:val="right"/>
              <w:rPr>
                <w:rFonts w:eastAsia="Calibri"/>
                <w:b/>
                <w:color w:val="000000"/>
                <w:sz w:val="19"/>
                <w:szCs w:val="19"/>
                <w:lang w:val="es-MX"/>
              </w:rPr>
            </w:pPr>
            <w:r w:rsidRPr="009F5EC9">
              <w:rPr>
                <w:b/>
                <w:color w:val="000000"/>
                <w:sz w:val="19"/>
                <w:szCs w:val="19"/>
                <w:lang w:val="es-MX"/>
              </w:rPr>
              <w:t>0 </w:t>
            </w:r>
          </w:p>
        </w:tc>
        <w:tc>
          <w:tcPr>
            <w:tcW w:w="880" w:type="dxa"/>
            <w:noWrap/>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77.148</w:t>
            </w:r>
          </w:p>
        </w:tc>
      </w:tr>
      <w:tr w:rsidR="00825742" w:rsidRPr="009F5EC9" w:rsidTr="006D18A7">
        <w:trPr>
          <w:gridAfter w:val="1"/>
          <w:wAfter w:w="6" w:type="dxa"/>
          <w:trHeight w:val="420"/>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3.3</w:t>
            </w:r>
          </w:p>
        </w:tc>
        <w:tc>
          <w:tcPr>
            <w:tcW w:w="2681" w:type="dxa"/>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Total de costos convenidos ($EUA)</w:t>
            </w:r>
          </w:p>
        </w:tc>
        <w:tc>
          <w:tcPr>
            <w:tcW w:w="708"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416.520</w:t>
            </w:r>
          </w:p>
        </w:tc>
        <w:tc>
          <w:tcPr>
            <w:tcW w:w="554"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39"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690"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508.515</w:t>
            </w:r>
          </w:p>
        </w:tc>
        <w:tc>
          <w:tcPr>
            <w:tcW w:w="436"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36"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662"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89.214</w:t>
            </w:r>
          </w:p>
        </w:tc>
        <w:tc>
          <w:tcPr>
            <w:tcW w:w="438"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442" w:type="dxa"/>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0 </w:t>
            </w:r>
          </w:p>
        </w:tc>
        <w:tc>
          <w:tcPr>
            <w:tcW w:w="583" w:type="dxa"/>
            <w:tcMar>
              <w:top w:w="0" w:type="dxa"/>
              <w:left w:w="28" w:type="dxa"/>
              <w:bottom w:w="0" w:type="dxa"/>
              <w:right w:w="28" w:type="dxa"/>
            </w:tcMar>
            <w:hideMark/>
          </w:tcPr>
          <w:p w:rsidR="002E7BBF" w:rsidRPr="009F5EC9" w:rsidRDefault="002E7BBF" w:rsidP="002E7BBF">
            <w:pPr>
              <w:jc w:val="right"/>
              <w:rPr>
                <w:rFonts w:eastAsia="Calibri"/>
                <w:b/>
                <w:color w:val="000000"/>
                <w:sz w:val="19"/>
                <w:szCs w:val="19"/>
                <w:lang w:val="es-MX"/>
              </w:rPr>
            </w:pPr>
            <w:r w:rsidRPr="009F5EC9">
              <w:rPr>
                <w:b/>
                <w:color w:val="000000"/>
                <w:sz w:val="19"/>
                <w:szCs w:val="19"/>
                <w:lang w:val="es-MX"/>
              </w:rPr>
              <w:t>36.159</w:t>
            </w:r>
          </w:p>
        </w:tc>
        <w:tc>
          <w:tcPr>
            <w:tcW w:w="565" w:type="dxa"/>
            <w:tcMar>
              <w:top w:w="0" w:type="dxa"/>
              <w:left w:w="28" w:type="dxa"/>
              <w:bottom w:w="0" w:type="dxa"/>
              <w:right w:w="28" w:type="dxa"/>
            </w:tcMar>
            <w:hideMark/>
          </w:tcPr>
          <w:p w:rsidR="002E7BBF" w:rsidRPr="009F5EC9" w:rsidRDefault="002E7BBF" w:rsidP="002E7BBF">
            <w:pPr>
              <w:jc w:val="right"/>
              <w:rPr>
                <w:rFonts w:eastAsia="Calibri"/>
                <w:b/>
                <w:color w:val="000000"/>
                <w:sz w:val="19"/>
                <w:szCs w:val="19"/>
                <w:lang w:val="es-MX"/>
              </w:rPr>
            </w:pPr>
            <w:r w:rsidRPr="009F5EC9">
              <w:rPr>
                <w:b/>
                <w:color w:val="000000"/>
                <w:sz w:val="19"/>
                <w:szCs w:val="19"/>
                <w:lang w:val="es-MX"/>
              </w:rPr>
              <w:t>0 </w:t>
            </w:r>
          </w:p>
        </w:tc>
        <w:tc>
          <w:tcPr>
            <w:tcW w:w="880" w:type="dxa"/>
            <w:noWrap/>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1.050.408</w:t>
            </w:r>
          </w:p>
        </w:tc>
      </w:tr>
      <w:tr w:rsidR="002E7BBF" w:rsidRPr="009F5EC9" w:rsidTr="00825742">
        <w:trPr>
          <w:trHeight w:val="63"/>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4.1.1</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Eliminación total convenida de HCFC-22 conforme a este Acuerdo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2,94</w:t>
            </w:r>
          </w:p>
        </w:tc>
      </w:tr>
      <w:tr w:rsidR="002E7BBF" w:rsidRPr="009F5EC9" w:rsidTr="00825742">
        <w:trPr>
          <w:trHeight w:val="151"/>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4.1.2</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Eliminación de HCFC-22 en proyectos aprobados anteriormente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0,00</w:t>
            </w:r>
          </w:p>
        </w:tc>
      </w:tr>
      <w:tr w:rsidR="002E7BBF" w:rsidRPr="009F5EC9" w:rsidTr="00825742">
        <w:trPr>
          <w:trHeight w:val="97"/>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4.1.3</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Consumo admisible remanente de HCFC-22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4,82</w:t>
            </w:r>
          </w:p>
        </w:tc>
      </w:tr>
      <w:tr w:rsidR="002E7BBF" w:rsidRPr="009F5EC9" w:rsidTr="00825742">
        <w:trPr>
          <w:trHeight w:val="124"/>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4.2.1</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Eliminación total convenida de HCFC-123 conforme a este Acuerdo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0,00</w:t>
            </w:r>
          </w:p>
        </w:tc>
      </w:tr>
      <w:tr w:rsidR="002E7BBF" w:rsidRPr="009F5EC9" w:rsidTr="00825742">
        <w:trPr>
          <w:trHeight w:val="151"/>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4.2.2</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Eliminación de HCFC-123 en proyectos aprobados anteriormente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0,00</w:t>
            </w:r>
          </w:p>
        </w:tc>
      </w:tr>
      <w:tr w:rsidR="002E7BBF" w:rsidRPr="009F5EC9" w:rsidTr="00825742">
        <w:trPr>
          <w:trHeight w:val="63"/>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4.2.3</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Consumo admisible remanente de HCFC-123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0,02</w:t>
            </w:r>
          </w:p>
        </w:tc>
      </w:tr>
      <w:tr w:rsidR="002E7BBF" w:rsidRPr="009F5EC9" w:rsidTr="00825742">
        <w:trPr>
          <w:trHeight w:val="124"/>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4.3.1</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Eliminación total convenida de HCFC-142b por lograr conforme a este Acuerdo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0,00</w:t>
            </w:r>
          </w:p>
        </w:tc>
      </w:tr>
      <w:tr w:rsidR="002E7BBF" w:rsidRPr="009F5EC9" w:rsidTr="00825742">
        <w:trPr>
          <w:trHeight w:val="151"/>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4.3.2</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Eliminación total de HCFC-142b por lograr en proyectos aprobados anteriormente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0,00</w:t>
            </w:r>
          </w:p>
        </w:tc>
      </w:tr>
      <w:tr w:rsidR="002E7BBF" w:rsidRPr="009F5EC9" w:rsidTr="00825742">
        <w:trPr>
          <w:trHeight w:val="97"/>
          <w:jc w:val="center"/>
        </w:trPr>
        <w:tc>
          <w:tcPr>
            <w:tcW w:w="575" w:type="dxa"/>
            <w:noWrap/>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4.3.3</w:t>
            </w:r>
          </w:p>
        </w:tc>
        <w:tc>
          <w:tcPr>
            <w:tcW w:w="8634" w:type="dxa"/>
            <w:gridSpan w:val="12"/>
            <w:tcMar>
              <w:top w:w="0" w:type="dxa"/>
              <w:left w:w="28" w:type="dxa"/>
              <w:bottom w:w="0" w:type="dxa"/>
              <w:right w:w="28" w:type="dxa"/>
            </w:tcMar>
            <w:hideMark/>
          </w:tcPr>
          <w:p w:rsidR="002E7BBF" w:rsidRPr="009F5EC9" w:rsidRDefault="002E7BBF" w:rsidP="002E7BBF">
            <w:pPr>
              <w:rPr>
                <w:rFonts w:eastAsia="Calibri"/>
                <w:color w:val="000000"/>
                <w:sz w:val="19"/>
                <w:szCs w:val="19"/>
                <w:lang w:val="es-MX"/>
              </w:rPr>
            </w:pPr>
            <w:r w:rsidRPr="009F5EC9">
              <w:rPr>
                <w:color w:val="000000"/>
                <w:sz w:val="19"/>
                <w:szCs w:val="19"/>
                <w:lang w:val="es-MX"/>
              </w:rPr>
              <w:t>Consumo admisible remanente de HCFC-142b (toneladas PAO)</w:t>
            </w:r>
          </w:p>
        </w:tc>
        <w:tc>
          <w:tcPr>
            <w:tcW w:w="886" w:type="dxa"/>
            <w:gridSpan w:val="2"/>
            <w:tcMar>
              <w:top w:w="0" w:type="dxa"/>
              <w:left w:w="28" w:type="dxa"/>
              <w:bottom w:w="0" w:type="dxa"/>
              <w:right w:w="28" w:type="dxa"/>
            </w:tcMar>
            <w:hideMark/>
          </w:tcPr>
          <w:p w:rsidR="002E7BBF" w:rsidRPr="009F5EC9" w:rsidRDefault="002E7BBF" w:rsidP="002E7BBF">
            <w:pPr>
              <w:jc w:val="right"/>
              <w:rPr>
                <w:rFonts w:eastAsia="Calibri"/>
                <w:color w:val="000000"/>
                <w:sz w:val="19"/>
                <w:szCs w:val="19"/>
                <w:lang w:val="es-MX"/>
              </w:rPr>
            </w:pPr>
            <w:r w:rsidRPr="009F5EC9">
              <w:rPr>
                <w:color w:val="000000"/>
                <w:sz w:val="19"/>
                <w:szCs w:val="19"/>
                <w:lang w:val="es-MX"/>
              </w:rPr>
              <w:t>0,59</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E7BBF" w:rsidRPr="009F5EC9" w:rsidTr="002E7BBF">
        <w:tc>
          <w:tcPr>
            <w:tcW w:w="1871" w:type="dxa"/>
          </w:tcPr>
          <w:p w:rsidR="002E7BBF" w:rsidRPr="009F5EC9" w:rsidRDefault="002E7BBF" w:rsidP="002E7BBF">
            <w:pPr>
              <w:rPr>
                <w:lang w:val="es-MX"/>
              </w:rPr>
            </w:pPr>
          </w:p>
        </w:tc>
        <w:tc>
          <w:tcPr>
            <w:tcW w:w="1872" w:type="dxa"/>
          </w:tcPr>
          <w:p w:rsidR="002E7BBF" w:rsidRPr="009F5EC9" w:rsidRDefault="002E7BBF" w:rsidP="002E7BBF">
            <w:pPr>
              <w:rPr>
                <w:lang w:val="es-MX"/>
              </w:rPr>
            </w:pPr>
          </w:p>
        </w:tc>
        <w:tc>
          <w:tcPr>
            <w:tcW w:w="1872" w:type="dxa"/>
            <w:tcBorders>
              <w:bottom w:val="single" w:sz="4" w:space="0" w:color="auto"/>
            </w:tcBorders>
          </w:tcPr>
          <w:p w:rsidR="002E7BBF" w:rsidRDefault="002E7BBF" w:rsidP="002E7BBF">
            <w:pPr>
              <w:rPr>
                <w:lang w:val="es-MX"/>
              </w:rPr>
            </w:pPr>
          </w:p>
          <w:p w:rsidR="00825742" w:rsidRPr="009F5EC9" w:rsidRDefault="00825742" w:rsidP="002E7BBF">
            <w:pPr>
              <w:rPr>
                <w:lang w:val="es-MX"/>
              </w:rPr>
            </w:pPr>
          </w:p>
        </w:tc>
        <w:tc>
          <w:tcPr>
            <w:tcW w:w="1872" w:type="dxa"/>
          </w:tcPr>
          <w:p w:rsidR="002E7BBF" w:rsidRPr="009F5EC9" w:rsidRDefault="002E7BBF" w:rsidP="002E7BBF">
            <w:pPr>
              <w:rPr>
                <w:lang w:val="es-MX"/>
              </w:rPr>
            </w:pPr>
          </w:p>
        </w:tc>
        <w:tc>
          <w:tcPr>
            <w:tcW w:w="1873" w:type="dxa"/>
          </w:tcPr>
          <w:p w:rsidR="002E7BBF" w:rsidRPr="009F5EC9" w:rsidRDefault="002E7BBF" w:rsidP="002E7BBF">
            <w:pPr>
              <w:rPr>
                <w:lang w:val="es-MX"/>
              </w:rPr>
            </w:pPr>
          </w:p>
        </w:tc>
      </w:tr>
    </w:tbl>
    <w:p w:rsidR="002E7BBF" w:rsidRPr="009F5EC9" w:rsidRDefault="002E7BBF" w:rsidP="002E7BBF">
      <w:pPr>
        <w:rPr>
          <w:sz w:val="16"/>
          <w:szCs w:val="16"/>
          <w:lang w:val="es-MX"/>
        </w:rPr>
      </w:pPr>
    </w:p>
    <w:p w:rsidR="0087455A" w:rsidRPr="009F5EC9" w:rsidRDefault="0087455A" w:rsidP="002E7BBF">
      <w:pPr>
        <w:pStyle w:val="Title1"/>
        <w:rPr>
          <w:b w:val="0"/>
          <w:bCs/>
          <w:lang w:val="es-MX"/>
        </w:rPr>
      </w:pPr>
    </w:p>
    <w:sectPr w:rsidR="0087455A" w:rsidRPr="009F5EC9" w:rsidSect="007A1B13">
      <w:headerReference w:type="default"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7EA" w:rsidRDefault="000D07EA">
      <w:r>
        <w:separator/>
      </w:r>
    </w:p>
  </w:endnote>
  <w:endnote w:type="continuationSeparator" w:id="0">
    <w:p w:rsidR="000D07EA" w:rsidRDefault="000D0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BBF" w:rsidRPr="0033525D" w:rsidRDefault="002E7BBF">
    <w:pPr>
      <w:jc w:val="center"/>
    </w:pPr>
    <w:r>
      <w:fldChar w:fldCharType="begin"/>
    </w:r>
    <w:r>
      <w:instrText xml:space="preserve"> PAGE </w:instrText>
    </w:r>
    <w:r>
      <w:fldChar w:fldCharType="separate"/>
    </w:r>
    <w:r w:rsidR="008E28AE">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BBF" w:rsidRPr="0033525D" w:rsidRDefault="002E7BBF">
    <w:pPr>
      <w:jc w:val="center"/>
    </w:pPr>
    <w:r>
      <w:fldChar w:fldCharType="begin"/>
    </w:r>
    <w:r>
      <w:instrText xml:space="preserve"> PAGE </w:instrText>
    </w:r>
    <w:r>
      <w:fldChar w:fldCharType="separate"/>
    </w:r>
    <w:r w:rsidR="008E28AE">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A2" w:rsidRDefault="003013A2" w:rsidP="003013A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2E7BBF" w:rsidRPr="003013A2" w:rsidRDefault="002E7BBF" w:rsidP="003013A2">
    <w:pPr>
      <w:pStyle w:val="Footer"/>
      <w:rPr>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2E7BBF" w:rsidRDefault="002E7BBF">
        <w:pPr>
          <w:pStyle w:val="Footer"/>
          <w:jc w:val="center"/>
        </w:pPr>
        <w:r>
          <w:fldChar w:fldCharType="begin"/>
        </w:r>
        <w:r>
          <w:instrText xml:space="preserve"> PAGE   \* MERGEFORMAT </w:instrText>
        </w:r>
        <w:r>
          <w:fldChar w:fldCharType="separate"/>
        </w:r>
        <w:r w:rsidR="008E28AE">
          <w:rPr>
            <w:noProof/>
          </w:rPr>
          <w:t>1</w:t>
        </w:r>
        <w:r>
          <w:rPr>
            <w:noProof/>
          </w:rPr>
          <w:fldChar w:fldCharType="end"/>
        </w:r>
      </w:p>
    </w:sdtContent>
  </w:sdt>
  <w:p w:rsidR="002E7BBF" w:rsidRDefault="002E7B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7EA" w:rsidRDefault="000D07EA">
      <w:r>
        <w:separator/>
      </w:r>
    </w:p>
  </w:footnote>
  <w:footnote w:type="continuationSeparator" w:id="0">
    <w:p w:rsidR="000D07EA" w:rsidRDefault="000D07EA">
      <w:r>
        <w:continuationSeparator/>
      </w:r>
    </w:p>
  </w:footnote>
  <w:footnote w:id="1">
    <w:p w:rsidR="002E7BBF" w:rsidRPr="00E61AA6" w:rsidRDefault="002E7BBF" w:rsidP="002E7BBF">
      <w:pPr>
        <w:pStyle w:val="FootnoteText"/>
      </w:pPr>
      <w:r>
        <w:rPr>
          <w:rStyle w:val="FootnoteReference"/>
        </w:rPr>
        <w:footnoteRef/>
      </w:r>
      <w:r>
        <w:t xml:space="preserve"> Según la carta del 3 de octubre de 2019 del Ministerio de Protección del Medio Ambiente de Serbia a la ONUDI.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BBF" w:rsidRPr="0033525D" w:rsidRDefault="00BB2A98">
    <w:fldSimple w:instr=" DOCPROPERTY &quot;Document number&quot;  \* MERGEFORMAT ">
      <w:r w:rsidR="00724B87">
        <w:t>UNEP/OzL.Pro/ExCom/84/59</w:t>
      </w:r>
    </w:fldSimple>
  </w:p>
  <w:p w:rsidR="002E7BBF" w:rsidRDefault="002E7BBF"/>
  <w:p w:rsidR="00724B87" w:rsidRPr="0033525D" w:rsidRDefault="00724B8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BBF" w:rsidRPr="0033525D" w:rsidRDefault="00BB2A98">
    <w:pPr>
      <w:jc w:val="right"/>
    </w:pPr>
    <w:fldSimple w:instr=" DOCPROPERTY &quot;Document number&quot;  \* MERGEFORMAT ">
      <w:r w:rsidR="00724B87">
        <w:t>UNEP/OzL.Pro/ExCom/84/59</w:t>
      </w:r>
    </w:fldSimple>
  </w:p>
  <w:p w:rsidR="002E7BBF" w:rsidRPr="0033525D" w:rsidRDefault="002E7BBF"/>
  <w:p w:rsidR="002E7BBF" w:rsidRPr="0033525D" w:rsidRDefault="002E7B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B13" w:rsidRPr="0033525D" w:rsidRDefault="00FC260B">
    <w:pPr>
      <w:jc w:val="right"/>
    </w:pPr>
    <w:fldSimple w:instr=" DOCPROPERTY &quot;Document number&quot;  \* MERGEFORMAT ">
      <w:r w:rsidR="00724B87">
        <w:t>UNEP/OzL.Pro/ExCom/84/59</w:t>
      </w:r>
    </w:fldSimple>
  </w:p>
  <w:p w:rsidR="007A1B13" w:rsidRPr="0033525D" w:rsidRDefault="007A1B13"/>
  <w:p w:rsidR="007A1B13" w:rsidRPr="0033525D" w:rsidRDefault="007A1B1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BBF" w:rsidRDefault="00BB2A98">
    <w:pPr>
      <w:jc w:val="right"/>
    </w:pPr>
    <w:fldSimple w:instr=" DOCPROPERTY &quot;Document number&quot;  \* MERGEFORMAT ">
      <w:r w:rsidR="00724B87">
        <w:t>UNEP/OzL.Pro/ExCom/84/59</w:t>
      </w:r>
    </w:fldSimple>
  </w:p>
  <w:p w:rsidR="002E7BBF" w:rsidRDefault="00A21327" w:rsidP="00A21327">
    <w:pPr>
      <w:jc w:val="right"/>
    </w:pPr>
    <w:r>
      <w:t>Anexo I</w:t>
    </w:r>
  </w:p>
  <w:p w:rsidR="002E7BBF" w:rsidRDefault="002E7B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EF5"/>
    <w:rsid w:val="000D07EA"/>
    <w:rsid w:val="00106F6E"/>
    <w:rsid w:val="00114CAA"/>
    <w:rsid w:val="001C2D22"/>
    <w:rsid w:val="001F4047"/>
    <w:rsid w:val="00214F96"/>
    <w:rsid w:val="00235D4C"/>
    <w:rsid w:val="00237738"/>
    <w:rsid w:val="0024162E"/>
    <w:rsid w:val="002E7BBF"/>
    <w:rsid w:val="003013A2"/>
    <w:rsid w:val="003054DF"/>
    <w:rsid w:val="003863A4"/>
    <w:rsid w:val="003B7115"/>
    <w:rsid w:val="00455352"/>
    <w:rsid w:val="00476E28"/>
    <w:rsid w:val="00486D8A"/>
    <w:rsid w:val="00676928"/>
    <w:rsid w:val="006D18A7"/>
    <w:rsid w:val="006D7A93"/>
    <w:rsid w:val="007207FA"/>
    <w:rsid w:val="00723A49"/>
    <w:rsid w:val="00724B87"/>
    <w:rsid w:val="007A1B13"/>
    <w:rsid w:val="00825742"/>
    <w:rsid w:val="00831BC5"/>
    <w:rsid w:val="0087455A"/>
    <w:rsid w:val="008E28AE"/>
    <w:rsid w:val="009F5EC9"/>
    <w:rsid w:val="00A21327"/>
    <w:rsid w:val="00AB56E5"/>
    <w:rsid w:val="00B47CEB"/>
    <w:rsid w:val="00BB2A98"/>
    <w:rsid w:val="00BC6EF5"/>
    <w:rsid w:val="00BF089B"/>
    <w:rsid w:val="00C14E67"/>
    <w:rsid w:val="00DB795B"/>
    <w:rsid w:val="00E17F97"/>
    <w:rsid w:val="00F10CD9"/>
    <w:rsid w:val="00F25F7C"/>
    <w:rsid w:val="00F714DC"/>
    <w:rsid w:val="00FC26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8D0B4F9-BF02-44D6-99BB-7AAC0343C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2E7BBF"/>
    <w:pPr>
      <w:ind w:left="720"/>
      <w:contextualSpacing/>
    </w:pPr>
    <w:rPr>
      <w:lang w:val="es-ES"/>
    </w:rPr>
  </w:style>
  <w:style w:type="paragraph" w:styleId="FootnoteText">
    <w:name w:val="footnote text"/>
    <w:basedOn w:val="Normal"/>
    <w:link w:val="FootnoteTextChar"/>
    <w:uiPriority w:val="99"/>
    <w:semiHidden/>
    <w:unhideWhenUsed/>
    <w:rsid w:val="002E7BBF"/>
    <w:rPr>
      <w:sz w:val="20"/>
      <w:szCs w:val="20"/>
      <w:lang w:val="es-ES"/>
    </w:rPr>
  </w:style>
  <w:style w:type="character" w:customStyle="1" w:styleId="FootnoteTextChar">
    <w:name w:val="Footnote Text Char"/>
    <w:basedOn w:val="DefaultParagraphFont"/>
    <w:link w:val="FootnoteText"/>
    <w:uiPriority w:val="99"/>
    <w:semiHidden/>
    <w:rsid w:val="002E7BBF"/>
    <w:rPr>
      <w:lang w:val="es-ES"/>
    </w:rPr>
  </w:style>
  <w:style w:type="character" w:styleId="FootnoteReference">
    <w:name w:val="footnote reference"/>
    <w:basedOn w:val="DefaultParagraphFont"/>
    <w:uiPriority w:val="99"/>
    <w:semiHidden/>
    <w:unhideWhenUsed/>
    <w:rsid w:val="002E7BB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E7BB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UNEP/OzL.Pro/ExCom/84/59</Document_x0020_Number>
  </documentManagement>
</p:properties>
</file>

<file path=customXml/itemProps1.xml><?xml version="1.0" encoding="utf-8"?>
<ds:datastoreItem xmlns:ds="http://schemas.openxmlformats.org/officeDocument/2006/customXml" ds:itemID="{31A4AF3D-AF94-40D8-B76F-3A5B5175B67D}"/>
</file>

<file path=customXml/itemProps2.xml><?xml version="1.0" encoding="utf-8"?>
<ds:datastoreItem xmlns:ds="http://schemas.openxmlformats.org/officeDocument/2006/customXml" ds:itemID="{97C76426-9097-4993-A430-EE0AC000DCAE}"/>
</file>

<file path=customXml/itemProps3.xml><?xml version="1.0" encoding="utf-8"?>
<ds:datastoreItem xmlns:ds="http://schemas.openxmlformats.org/officeDocument/2006/customXml" ds:itemID="{ED599821-8814-43CC-9256-988871A76AA4}"/>
</file>

<file path=customXml/itemProps4.xml><?xml version="1.0" encoding="utf-8"?>
<ds:datastoreItem xmlns:ds="http://schemas.openxmlformats.org/officeDocument/2006/customXml" ds:itemID="{E30FB83D-7955-46A7-BCAA-D2698E781D75}"/>
</file>

<file path=docProps/app.xml><?xml version="1.0" encoding="utf-8"?>
<Properties xmlns="http://schemas.openxmlformats.org/officeDocument/2006/extended-properties" xmlns:vt="http://schemas.openxmlformats.org/officeDocument/2006/docPropsVTypes">
  <Template>S84-template</Template>
  <TotalTime>28</TotalTime>
  <Pages>9</Pages>
  <Words>3847</Words>
  <Characters>21934</Characters>
  <Application>Microsoft Office Word</Application>
  <DocSecurity>0</DocSecurity>
  <Lines>182</Lines>
  <Paragraphs>51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Serbia</vt:lpstr>
      <vt:lpstr/>
    </vt:vector>
  </TitlesOfParts>
  <Company/>
  <LinksUpToDate>false</LinksUpToDate>
  <CharactersWithSpaces>25730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Serbia</dc:title>
  <dc:creator/>
  <cp:lastModifiedBy>HBE</cp:lastModifiedBy>
  <cp:revision>22</cp:revision>
  <cp:lastPrinted>2001-05-26T16:40:00Z</cp:lastPrinted>
  <dcterms:created xsi:type="dcterms:W3CDTF">2019-11-26T13:59:00Z</dcterms:created>
  <dcterms:modified xsi:type="dcterms:W3CDTF">2019-12-07T20:55:00Z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UNEP/OzL.Pro/ExCom/84/59</vt:lpwstr>
  </property>
  <property fmtid="{D5CDD505-2E9C-101B-9397-08002B2CF9AE}" pid="3" name="Revision date">
    <vt:lpwstr>10/1/2019</vt:lpwstr>
  </property>
  <property fmtid="{D5CDD505-2E9C-101B-9397-08002B2CF9AE}" pid="4" name="ContentTypeId">
    <vt:lpwstr>0x010100CF2D22381220FE4184AFB35730DED85F</vt:lpwstr>
  </property>
</Properties>
</file>