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rsidP="002E68BB">
            <w:pPr>
              <w:rPr>
                <w:rFonts w:ascii="Univers" w:hAnsi="Univers"/>
                <w:b/>
                <w:sz w:val="28"/>
                <w:szCs w:val="28"/>
                <w:lang w:val="es-MX"/>
              </w:rPr>
            </w:pPr>
            <w:r>
              <w:rPr>
                <w:rFonts w:ascii="Univers" w:hAnsi="Univers"/>
                <w:b/>
                <w:sz w:val="28"/>
                <w:szCs w:val="28"/>
                <w:lang w:val="es-MX"/>
              </w:rPr>
              <w:t>NACIONES</w:t>
            </w:r>
          </w:p>
          <w:p w:rsidR="0087455A" w:rsidRDefault="0024162E" w:rsidP="00B802C6">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rsidP="00B802C6">
            <w:pPr>
              <w:jc w:val="right"/>
              <w:rPr>
                <w:rFonts w:asciiTheme="minorBidi" w:hAnsiTheme="minorBidi" w:cstheme="minorBidi"/>
                <w:sz w:val="52"/>
                <w:szCs w:val="52"/>
              </w:rPr>
            </w:pPr>
            <w:r>
              <w:rPr>
                <w:rFonts w:asciiTheme="minorBidi" w:hAnsiTheme="minorBidi" w:cstheme="minorBidi"/>
                <w:b/>
                <w:sz w:val="72"/>
              </w:rPr>
              <w:t>EP</w:t>
            </w:r>
          </w:p>
        </w:tc>
      </w:tr>
      <w:tr w:rsidR="008745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rsidP="00B802C6">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rsidP="00B80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rsidP="00B80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rsidP="00B80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rsidP="00B80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rsidP="00B802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rsidP="00B802C6">
            <w:pPr>
              <w:spacing w:before="720"/>
              <w:ind w:left="158"/>
              <w:rPr>
                <w:lang w:val="es-ES"/>
              </w:rPr>
            </w:pPr>
          </w:p>
        </w:tc>
        <w:tc>
          <w:tcPr>
            <w:tcW w:w="4590" w:type="dxa"/>
            <w:tcBorders>
              <w:top w:val="nil"/>
              <w:left w:val="nil"/>
              <w:bottom w:val="single" w:sz="36" w:space="0" w:color="auto"/>
              <w:right w:val="nil"/>
            </w:tcBorders>
          </w:tcPr>
          <w:p w:rsidR="0087455A" w:rsidRDefault="0087455A" w:rsidP="00B802C6">
            <w:pPr>
              <w:rPr>
                <w:lang w:val="es-ES"/>
              </w:rPr>
            </w:pPr>
          </w:p>
          <w:p w:rsidR="0087455A" w:rsidRDefault="0024162E" w:rsidP="00B802C6">
            <w:pPr>
              <w:rPr>
                <w:lang w:val="es-ES"/>
              </w:rPr>
            </w:pPr>
            <w:r>
              <w:rPr>
                <w:lang w:val="es-ES"/>
              </w:rPr>
              <w:t>Distr.</w:t>
            </w:r>
          </w:p>
          <w:p w:rsidR="0087455A" w:rsidRDefault="0024162E" w:rsidP="00B802C6">
            <w:pPr>
              <w:rPr>
                <w:lang w:val="es-ES"/>
              </w:rPr>
            </w:pPr>
            <w:r>
              <w:rPr>
                <w:lang w:val="es-ES"/>
              </w:rPr>
              <w:t>GENERAL</w:t>
            </w:r>
          </w:p>
          <w:p w:rsidR="0087455A" w:rsidRDefault="0087455A" w:rsidP="00B802C6">
            <w:pPr>
              <w:rPr>
                <w:lang w:val="es-ES"/>
              </w:rPr>
            </w:pPr>
          </w:p>
          <w:p w:rsidR="0087455A" w:rsidRDefault="0024162E" w:rsidP="00B802C6">
            <w:pPr>
              <w:rPr>
                <w:lang w:val="es-ES"/>
              </w:rPr>
            </w:pPr>
            <w:r>
              <w:fldChar w:fldCharType="begin"/>
            </w:r>
            <w:r>
              <w:rPr>
                <w:lang w:val="es-ES"/>
              </w:rPr>
              <w:instrText xml:space="preserve"> DOCPROPERTY "Document number"  \* MERGEFORMAT </w:instrText>
            </w:r>
            <w:r>
              <w:fldChar w:fldCharType="separate"/>
            </w:r>
            <w:r w:rsidR="00B802C6">
              <w:rPr>
                <w:lang w:val="es-ES"/>
              </w:rPr>
              <w:t>UNEP/OzL.Pro/ExCom/82/66</w:t>
            </w:r>
            <w:r>
              <w:fldChar w:fldCharType="end"/>
            </w:r>
          </w:p>
          <w:p w:rsidR="0087455A" w:rsidRDefault="00B802C6" w:rsidP="00B430EE">
            <w:pPr>
              <w:rPr>
                <w:caps/>
                <w:lang w:val="es-ES"/>
              </w:rPr>
            </w:pPr>
            <w:r>
              <w:rPr>
                <w:caps/>
                <w:lang w:val="es-ES"/>
              </w:rPr>
              <w:t>1</w:t>
            </w:r>
            <w:r w:rsidR="00B430EE">
              <w:rPr>
                <w:caps/>
                <w:lang w:val="es-ES"/>
              </w:rPr>
              <w:t xml:space="preserve">º </w:t>
            </w:r>
            <w:r w:rsidRPr="00B802C6">
              <w:rPr>
                <w:lang w:val="es-ES"/>
              </w:rPr>
              <w:t>de noviembre de</w:t>
            </w:r>
            <w:r>
              <w:rPr>
                <w:lang w:val="es-ES"/>
              </w:rPr>
              <w:t xml:space="preserve"> </w:t>
            </w:r>
            <w:r w:rsidR="00114CAA">
              <w:rPr>
                <w:caps/>
                <w:lang w:val="es-ES"/>
              </w:rPr>
              <w:t>2018</w:t>
            </w:r>
          </w:p>
          <w:p w:rsidR="00114CAA" w:rsidRDefault="00114CAA" w:rsidP="00B802C6">
            <w:pPr>
              <w:rPr>
                <w:caps/>
                <w:lang w:val="es-ES"/>
              </w:rPr>
            </w:pPr>
          </w:p>
          <w:p w:rsidR="0087455A" w:rsidRDefault="0024162E" w:rsidP="00B802C6">
            <w:pPr>
              <w:rPr>
                <w:lang w:val="es-MX"/>
              </w:rPr>
            </w:pPr>
            <w:r>
              <w:rPr>
                <w:lang w:val="es-MX"/>
              </w:rPr>
              <w:t xml:space="preserve">ESPAÑOL </w:t>
            </w:r>
          </w:p>
          <w:p w:rsidR="0087455A" w:rsidRDefault="0024162E" w:rsidP="00B802C6">
            <w:pPr>
              <w:rPr>
                <w:lang w:val="es-ES"/>
              </w:rPr>
            </w:pPr>
            <w:r>
              <w:rPr>
                <w:lang w:val="es-ES"/>
              </w:rPr>
              <w:t xml:space="preserve">ORIGINAL: </w:t>
            </w:r>
            <w:r>
              <w:rPr>
                <w:lang w:val="es-MX"/>
              </w:rPr>
              <w:t>INGLÉS</w:t>
            </w:r>
          </w:p>
        </w:tc>
      </w:tr>
    </w:tbl>
    <w:p w:rsidR="0087455A" w:rsidRDefault="0024162E" w:rsidP="00B802C6">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B802C6">
      <w:pPr>
        <w:jc w:val="left"/>
        <w:rPr>
          <w:lang w:val="es-ES"/>
        </w:rPr>
      </w:pPr>
      <w:r>
        <w:rPr>
          <w:lang w:val="es-ES"/>
        </w:rPr>
        <w:t xml:space="preserve">Octogésima </w:t>
      </w:r>
      <w:r w:rsidR="00AB56E5">
        <w:rPr>
          <w:lang w:val="es-ES"/>
        </w:rPr>
        <w:t>segunda</w:t>
      </w:r>
      <w:r>
        <w:rPr>
          <w:lang w:val="es-ES"/>
        </w:rPr>
        <w:t xml:space="preserve"> Reunión</w:t>
      </w:r>
      <w:r>
        <w:rPr>
          <w:lang w:val="es-ES"/>
        </w:rPr>
        <w:br/>
        <w:t xml:space="preserve">Montreal, </w:t>
      </w:r>
      <w:r w:rsidR="00AB56E5">
        <w:rPr>
          <w:lang w:val="es-ES"/>
        </w:rPr>
        <w:t>3</w:t>
      </w:r>
      <w:r>
        <w:rPr>
          <w:lang w:val="es-ES"/>
        </w:rPr>
        <w:t xml:space="preserve"> – </w:t>
      </w:r>
      <w:r w:rsidR="00AB56E5">
        <w:rPr>
          <w:lang w:val="es-ES"/>
        </w:rPr>
        <w:t>7</w:t>
      </w:r>
      <w:r>
        <w:rPr>
          <w:lang w:val="es-ES"/>
        </w:rPr>
        <w:t xml:space="preserve"> de </w:t>
      </w:r>
      <w:r w:rsidR="00AB56E5">
        <w:rPr>
          <w:lang w:val="es-ES"/>
        </w:rPr>
        <w:t>diciembre</w:t>
      </w:r>
      <w:r>
        <w:rPr>
          <w:lang w:val="es-ES"/>
        </w:rPr>
        <w:t xml:space="preserve"> de 2018</w:t>
      </w:r>
    </w:p>
    <w:p w:rsidR="0087455A" w:rsidRDefault="0087455A" w:rsidP="00B802C6">
      <w:pPr>
        <w:pStyle w:val="Heading3"/>
        <w:widowControl/>
        <w:numPr>
          <w:ilvl w:val="0"/>
          <w:numId w:val="0"/>
        </w:numPr>
        <w:spacing w:after="0"/>
        <w:rPr>
          <w:lang w:val="es-ES"/>
        </w:rPr>
      </w:pPr>
    </w:p>
    <w:p w:rsidR="00B802C6" w:rsidRPr="001F308F" w:rsidRDefault="00B802C6" w:rsidP="00B802C6">
      <w:pPr>
        <w:rPr>
          <w:lang w:val="es-ES"/>
        </w:rPr>
      </w:pPr>
    </w:p>
    <w:p w:rsidR="00B802C6" w:rsidRPr="001F308F" w:rsidRDefault="00B802C6" w:rsidP="00B802C6">
      <w:pPr>
        <w:jc w:val="center"/>
        <w:rPr>
          <w:b/>
          <w:lang w:val="es-ES"/>
        </w:rPr>
      </w:pPr>
      <w:r w:rsidRPr="001F308F">
        <w:rPr>
          <w:b/>
          <w:lang w:val="es-ES"/>
        </w:rPr>
        <w:t>CONSIDERACIONES ESENCIALES PARA ELABORAR UNA METODOLOGÍA PARA DETERMINAR EL PUNTO DE PARTIDA PARA LAS REDUCCIONES ACUMULADAS SOSTENIDAS CON ARREGLO A LA ENMIENDA DE KIGALI PARA LOS SECTORES DE CONSUMO Y PRODUCCIÓN (DECISIÓN 81/67 e))</w:t>
      </w:r>
    </w:p>
    <w:p w:rsidR="00B802C6" w:rsidRDefault="00B802C6" w:rsidP="00B802C6">
      <w:pPr>
        <w:jc w:val="center"/>
        <w:rPr>
          <w:b/>
          <w:lang w:val="es-ES"/>
        </w:rPr>
      </w:pPr>
    </w:p>
    <w:p w:rsidR="00B430EE" w:rsidRPr="001F308F" w:rsidRDefault="00B430EE" w:rsidP="00B802C6">
      <w:pPr>
        <w:jc w:val="center"/>
        <w:rPr>
          <w:b/>
          <w:lang w:val="es-ES"/>
        </w:rPr>
      </w:pPr>
    </w:p>
    <w:p w:rsidR="00B802C6" w:rsidRPr="0062383B" w:rsidRDefault="00B802C6" w:rsidP="00B802C6">
      <w:pPr>
        <w:rPr>
          <w:b/>
        </w:rPr>
      </w:pPr>
      <w:r>
        <w:rPr>
          <w:b/>
        </w:rPr>
        <w:t>INTRODUCCIÓN</w:t>
      </w:r>
    </w:p>
    <w:p w:rsidR="00B802C6" w:rsidRPr="0062383B" w:rsidRDefault="00B802C6" w:rsidP="00B802C6">
      <w:pPr>
        <w:tabs>
          <w:tab w:val="left" w:pos="3920"/>
        </w:tabs>
        <w:rPr>
          <w:lang w:val="en-CA"/>
        </w:rPr>
      </w:pPr>
    </w:p>
    <w:p w:rsidR="00B802C6" w:rsidRPr="001F308F" w:rsidRDefault="00B802C6" w:rsidP="00B802C6">
      <w:pPr>
        <w:pStyle w:val="Heading1"/>
        <w:tabs>
          <w:tab w:val="clear" w:pos="0"/>
        </w:tabs>
        <w:rPr>
          <w:lang w:val="es-ES"/>
        </w:rPr>
      </w:pPr>
      <w:r w:rsidRPr="001F308F">
        <w:rPr>
          <w:lang w:val="es-ES"/>
        </w:rPr>
        <w:t>En octubre de 2016, la 28ª Reunión de las Partes en el Protocolo de Montreal acordó enmendar el Protocolo y aprobó la decisión XXVIII/2</w:t>
      </w:r>
      <w:r w:rsidRPr="0062383B">
        <w:rPr>
          <w:rStyle w:val="FootnoteReference"/>
          <w:lang w:val="en-CA"/>
        </w:rPr>
        <w:footnoteReference w:id="1"/>
      </w:r>
      <w:r w:rsidRPr="001F308F">
        <w:rPr>
          <w:lang w:val="es-ES"/>
        </w:rPr>
        <w:t>. En el párrafo 19 de esa decisión, se solicitó al Comité Ejecutivo que incluyera el siguiente principio relativo a las reducciones acumuladas sostenidas en las políticas del Fondo Multilateral: el consumo financiable restante en toneladas se determinará sobre la base del punto de partida del consumo nacional acumulado menos la cantidad financiada en proyectos aprobados con anterioridad en futuros formularios de acuerdos plurianuales de los planes de reducción de los hidrofluorocarbonos, en concordancia con la decisión 35/57 del Comité Ejecutivo.</w:t>
      </w:r>
    </w:p>
    <w:p w:rsidR="00B802C6" w:rsidRPr="001F308F" w:rsidRDefault="00B802C6" w:rsidP="00B802C6">
      <w:pPr>
        <w:pStyle w:val="Heading1"/>
        <w:rPr>
          <w:lang w:val="es-ES"/>
        </w:rPr>
      </w:pPr>
      <w:r w:rsidRPr="001F308F">
        <w:rPr>
          <w:lang w:val="es-ES"/>
        </w:rPr>
        <w:t>Cuando se aprobó la Enmienda de Kigali, se contaba con conocimientos limitados acerca de la cantidad de sustancias incluidas en el anexo F producidas y consumidas en cada país que opera al amparo del artículo 5 y sus usos específicos. En los informes preparados por el equipo de tareas del Grupo de Evaluación Tecnológica y Económica (GETE) de conformidad con las decisiones XXV/5 y XXVI/9, y en un artículo de un boletín científico</w:t>
      </w:r>
      <w:r w:rsidRPr="0062383B">
        <w:rPr>
          <w:rStyle w:val="FootnoteReference"/>
          <w:lang w:val="en-CA"/>
        </w:rPr>
        <w:footnoteReference w:id="2"/>
      </w:r>
      <w:r w:rsidRPr="001F308F">
        <w:rPr>
          <w:lang w:val="es-ES"/>
        </w:rPr>
        <w:t xml:space="preserve">, se proporcionó información totalizada sobre los HFC. </w:t>
      </w:r>
    </w:p>
    <w:p w:rsidR="00B802C6" w:rsidRPr="001F308F" w:rsidRDefault="00B802C6" w:rsidP="00B802C6">
      <w:pPr>
        <w:pStyle w:val="Heading1"/>
        <w:keepNext/>
        <w:keepLines/>
        <w:rPr>
          <w:lang w:val="es-ES"/>
        </w:rPr>
      </w:pPr>
      <w:r w:rsidRPr="001F308F">
        <w:rPr>
          <w:lang w:val="es-ES"/>
        </w:rPr>
        <w:lastRenderedPageBreak/>
        <w:t>También se ha incluido información adicional sobre el consumo de HFC en los estudios de alternativas a las SAO realizados en 119 países que operan al amparo del artículo 5</w:t>
      </w:r>
      <w:r w:rsidRPr="0062383B">
        <w:rPr>
          <w:rStyle w:val="FootnoteReference"/>
          <w:lang w:val="en-CA"/>
        </w:rPr>
        <w:footnoteReference w:id="3"/>
      </w:r>
      <w:r w:rsidRPr="001F308F">
        <w:rPr>
          <w:lang w:val="es-ES"/>
        </w:rPr>
        <w:t xml:space="preserve"> en respuesta al párrafo 4 de la decisión XXVI/9</w:t>
      </w:r>
      <w:r w:rsidRPr="0062383B">
        <w:rPr>
          <w:rStyle w:val="FootnoteReference"/>
          <w:lang w:val="en-CA"/>
        </w:rPr>
        <w:footnoteReference w:id="4"/>
      </w:r>
      <w:r w:rsidRPr="001F308F">
        <w:rPr>
          <w:lang w:val="es-ES"/>
        </w:rPr>
        <w:t>, que se presentaron a la 80ª reunión. Los estudios proporcionan datos desglosados del nivel de consumo de HFC y otras alternativas a los HCFC. Aunque se realizaron estudios en el 82</w:t>
      </w:r>
      <w:r w:rsidR="001F6707" w:rsidRPr="001F6707">
        <w:rPr>
          <w:color w:val="000000" w:themeColor="text1"/>
          <w:sz w:val="20"/>
          <w:szCs w:val="20"/>
          <w:lang w:val="es-MX"/>
        </w:rPr>
        <w:t xml:space="preserve"> </w:t>
      </w:r>
      <w:r w:rsidR="001F6707">
        <w:rPr>
          <w:color w:val="000000" w:themeColor="text1"/>
          <w:sz w:val="20"/>
          <w:szCs w:val="20"/>
          <w:lang w:val="es-MX"/>
        </w:rPr>
        <w:t>por ciento</w:t>
      </w:r>
      <w:r w:rsidRPr="001F308F">
        <w:rPr>
          <w:lang w:val="es-ES"/>
        </w:rPr>
        <w:t xml:space="preserve"> de los países que operan al amparo del artículo 5 (119 de 145), el nivel básico acumulado de HCFC de esos países representa solo el 25</w:t>
      </w:r>
      <w:r w:rsidR="001F6707" w:rsidRPr="001F6707">
        <w:rPr>
          <w:color w:val="000000" w:themeColor="text1"/>
          <w:sz w:val="20"/>
          <w:szCs w:val="20"/>
          <w:lang w:val="es-MX"/>
        </w:rPr>
        <w:t xml:space="preserve"> </w:t>
      </w:r>
      <w:r w:rsidR="001F6707">
        <w:rPr>
          <w:color w:val="000000" w:themeColor="text1"/>
          <w:sz w:val="20"/>
          <w:szCs w:val="20"/>
          <w:lang w:val="es-MX"/>
        </w:rPr>
        <w:t>por ciento</w:t>
      </w:r>
      <w:r w:rsidRPr="001F308F">
        <w:rPr>
          <w:lang w:val="es-ES"/>
        </w:rPr>
        <w:t xml:space="preserve"> del nivel básico acumulado de HCFC de todos los países que operan al amparo del artículo 5</w:t>
      </w:r>
      <w:r w:rsidRPr="0062383B">
        <w:rPr>
          <w:rStyle w:val="FootnoteReference"/>
          <w:lang w:val="en-CA"/>
        </w:rPr>
        <w:footnoteReference w:id="5"/>
      </w:r>
      <w:r w:rsidRPr="001F308F">
        <w:rPr>
          <w:lang w:val="es-ES"/>
        </w:rPr>
        <w:t xml:space="preserve">. </w:t>
      </w:r>
    </w:p>
    <w:p w:rsidR="00B802C6" w:rsidRPr="001F308F" w:rsidRDefault="00B802C6" w:rsidP="00B802C6">
      <w:pPr>
        <w:pStyle w:val="Heading1"/>
        <w:rPr>
          <w:lang w:val="es-ES"/>
        </w:rPr>
      </w:pPr>
      <w:r w:rsidRPr="001F308F">
        <w:rPr>
          <w:lang w:val="es-ES"/>
        </w:rPr>
        <w:t xml:space="preserve">En la 81ª reunión, el Comité Ejecutivo pidió a la Secretaría que preparara para la 82ª reunión, un documento con información preliminar que contenga las consideraciones esenciales que podrían ayudar al Comité Ejecutivo a elaborar una metodología para determinar el punto de partida para las reducciones acumuladas sostenidas con arreglo a la Enmienda de Kigali para los sectores de consumo y producción, teniendo en cuenta las deliberaciones que se mantuvieron en la 81ª reunión (decisión 81/67 e)). </w:t>
      </w:r>
    </w:p>
    <w:p w:rsidR="00B802C6" w:rsidRPr="0062383B" w:rsidRDefault="00B802C6" w:rsidP="00B802C6">
      <w:pPr>
        <w:rPr>
          <w:b/>
        </w:rPr>
      </w:pPr>
      <w:r>
        <w:rPr>
          <w:b/>
        </w:rPr>
        <w:t>Alcance del documento</w:t>
      </w:r>
    </w:p>
    <w:p w:rsidR="00B802C6" w:rsidRPr="0062383B" w:rsidRDefault="00B802C6" w:rsidP="00B802C6">
      <w:pPr>
        <w:rPr>
          <w:lang w:val="en-CA"/>
        </w:rPr>
      </w:pPr>
    </w:p>
    <w:p w:rsidR="00B802C6" w:rsidRPr="001F308F" w:rsidRDefault="00B802C6" w:rsidP="00B802C6">
      <w:pPr>
        <w:pStyle w:val="Heading1"/>
        <w:rPr>
          <w:lang w:val="es-ES"/>
        </w:rPr>
      </w:pPr>
      <w:r w:rsidRPr="001F308F">
        <w:rPr>
          <w:lang w:val="es-ES"/>
        </w:rPr>
        <w:t xml:space="preserve">La Secretaría preparó el presente documento en respuesta a la decisión 81/67 e). Por consiguiente, el documento proporciona únicamente la información pertinente y las consideraciones esenciales que podrían ayudar al Comité Ejecutivo a determinar una metodología para establecer el punto de partida para las reducciones acumuladas sostenidas de los HFC. No formula una recomendación en materia de política sobre este asunto. </w:t>
      </w:r>
    </w:p>
    <w:p w:rsidR="00B802C6" w:rsidRPr="001F308F" w:rsidRDefault="00B802C6" w:rsidP="00B802C6">
      <w:pPr>
        <w:pStyle w:val="Heading1"/>
        <w:rPr>
          <w:lang w:val="es-ES"/>
        </w:rPr>
      </w:pPr>
      <w:r w:rsidRPr="001F308F">
        <w:rPr>
          <w:lang w:val="es-ES"/>
        </w:rPr>
        <w:t>Este documento consta de las siguientes secciones y una recomendación:</w:t>
      </w:r>
    </w:p>
    <w:p w:rsidR="00B802C6" w:rsidRPr="001F308F" w:rsidRDefault="00B802C6" w:rsidP="00B802C6">
      <w:pPr>
        <w:pStyle w:val="Heading1"/>
        <w:numPr>
          <w:ilvl w:val="0"/>
          <w:numId w:val="0"/>
        </w:numPr>
        <w:ind w:firstLine="720"/>
        <w:rPr>
          <w:lang w:val="es-ES"/>
        </w:rPr>
      </w:pPr>
      <w:r w:rsidRPr="001F308F">
        <w:rPr>
          <w:lang w:val="es-ES"/>
        </w:rPr>
        <w:t>I</w:t>
      </w:r>
      <w:r w:rsidRPr="001F308F">
        <w:rPr>
          <w:lang w:val="es-ES"/>
        </w:rPr>
        <w:tab/>
        <w:t>Reseña de las reducciones acumuladas sostenidas en el consumo de CFC y HCFC</w:t>
      </w:r>
    </w:p>
    <w:p w:rsidR="00B802C6" w:rsidRPr="001F308F" w:rsidRDefault="00B802C6" w:rsidP="00B802C6">
      <w:pPr>
        <w:pStyle w:val="Heading1"/>
        <w:numPr>
          <w:ilvl w:val="0"/>
          <w:numId w:val="0"/>
        </w:numPr>
        <w:ind w:firstLine="720"/>
        <w:rPr>
          <w:lang w:val="es-ES"/>
        </w:rPr>
      </w:pPr>
      <w:r w:rsidRPr="001F308F">
        <w:rPr>
          <w:lang w:val="es-ES"/>
        </w:rPr>
        <w:t>II</w:t>
      </w:r>
      <w:r w:rsidRPr="001F308F">
        <w:rPr>
          <w:lang w:val="es-ES"/>
        </w:rPr>
        <w:tab/>
        <w:t>Producción y consumo de HFC en los países que operan al amparo del artículo 5</w:t>
      </w:r>
    </w:p>
    <w:p w:rsidR="00B802C6" w:rsidRPr="001F308F" w:rsidRDefault="00B802C6" w:rsidP="00B802C6">
      <w:pPr>
        <w:spacing w:after="240"/>
        <w:ind w:firstLine="720"/>
        <w:rPr>
          <w:lang w:val="es-ES"/>
        </w:rPr>
      </w:pPr>
      <w:r w:rsidRPr="001F308F">
        <w:rPr>
          <w:lang w:val="es-ES"/>
        </w:rPr>
        <w:t>III</w:t>
      </w:r>
      <w:r w:rsidRPr="001F308F">
        <w:rPr>
          <w:lang w:val="es-ES"/>
        </w:rPr>
        <w:tab/>
        <w:t>Reducciones acumuladas sostenidas en el consumo y la producción de HFC</w:t>
      </w:r>
    </w:p>
    <w:p w:rsidR="00B802C6" w:rsidRPr="001F308F" w:rsidRDefault="00B802C6" w:rsidP="001F6707">
      <w:pPr>
        <w:ind w:left="1418" w:hanging="709"/>
        <w:rPr>
          <w:lang w:val="es-ES"/>
        </w:rPr>
      </w:pPr>
      <w:r w:rsidRPr="001F308F">
        <w:rPr>
          <w:lang w:val="es-ES"/>
        </w:rPr>
        <w:t>IV</w:t>
      </w:r>
      <w:r w:rsidRPr="001F308F">
        <w:rPr>
          <w:lang w:val="es-ES"/>
        </w:rPr>
        <w:tab/>
        <w:t>Consideraciones esenciales para elaborar una metodología para establecer puntos de partida para los HFC</w:t>
      </w:r>
    </w:p>
    <w:p w:rsidR="00B802C6" w:rsidRPr="001F308F" w:rsidRDefault="00B802C6" w:rsidP="00B802C6">
      <w:pPr>
        <w:rPr>
          <w:lang w:val="es-ES"/>
        </w:rPr>
      </w:pPr>
    </w:p>
    <w:p w:rsidR="00B802C6" w:rsidRPr="0062383B" w:rsidRDefault="00B802C6" w:rsidP="00B802C6">
      <w:r w:rsidRPr="001F308F">
        <w:rPr>
          <w:lang w:val="es-ES"/>
        </w:rPr>
        <w:tab/>
      </w:r>
      <w:r>
        <w:t>Recomendación</w:t>
      </w:r>
    </w:p>
    <w:p w:rsidR="00B802C6" w:rsidRPr="0062383B" w:rsidRDefault="00B802C6" w:rsidP="00B802C6">
      <w:pPr>
        <w:pStyle w:val="Heading1"/>
        <w:numPr>
          <w:ilvl w:val="0"/>
          <w:numId w:val="0"/>
        </w:numPr>
        <w:spacing w:after="0"/>
        <w:rPr>
          <w:lang w:val="en-CA"/>
        </w:rPr>
      </w:pPr>
    </w:p>
    <w:p w:rsidR="00B802C6" w:rsidRPr="001F308F" w:rsidRDefault="00B802C6" w:rsidP="00B802C6">
      <w:pPr>
        <w:pStyle w:val="Heading1"/>
        <w:rPr>
          <w:lang w:val="es-ES"/>
        </w:rPr>
      </w:pPr>
      <w:r w:rsidRPr="001F308F">
        <w:rPr>
          <w:lang w:val="es-ES"/>
        </w:rPr>
        <w:t>A fin de proporcionar información pertinente para determinar una metodología para establecer el punto de partida para las reducciones acumuladas sostenidas de los HFC, y dado que se establecerán niveles básicos para los HFC</w:t>
      </w:r>
      <w:r w:rsidRPr="0062383B">
        <w:rPr>
          <w:rStyle w:val="FootnoteReference"/>
          <w:lang w:val="en-CA"/>
        </w:rPr>
        <w:footnoteReference w:id="6"/>
      </w:r>
      <w:r w:rsidRPr="001F308F">
        <w:rPr>
          <w:lang w:val="es-ES"/>
        </w:rPr>
        <w:t xml:space="preserve"> para 2023 únicamente para los países que operan al amparo del artículo 5 del grupo 1</w:t>
      </w:r>
      <w:r w:rsidRPr="0062383B">
        <w:rPr>
          <w:rStyle w:val="FootnoteReference"/>
          <w:lang w:val="en-CA"/>
        </w:rPr>
        <w:footnoteReference w:id="7"/>
      </w:r>
      <w:r w:rsidRPr="001F308F">
        <w:rPr>
          <w:lang w:val="es-ES"/>
        </w:rPr>
        <w:t xml:space="preserve"> </w:t>
      </w:r>
      <w:r w:rsidRPr="001F308F">
        <w:rPr>
          <w:lang w:val="es-ES"/>
        </w:rPr>
        <w:lastRenderedPageBreak/>
        <w:t>y para 2027 para los países que operan al amparo del artículo 5 del grupo 2</w:t>
      </w:r>
      <w:r w:rsidRPr="0062383B">
        <w:rPr>
          <w:rStyle w:val="FootnoteReference"/>
          <w:lang w:val="en-CA"/>
        </w:rPr>
        <w:footnoteReference w:id="8"/>
      </w:r>
      <w:r w:rsidRPr="001F308F">
        <w:rPr>
          <w:lang w:val="es-ES"/>
        </w:rPr>
        <w:t xml:space="preserve">, en el presente documento se proporciona una estimación de los niveles básicos de HFC para el cumplimiento, sobre la base de los datos de consumo que figuran en los informes del equipo de tareas del GETE. Esta información se proporciona solo a modo de referencia y sin perjuicio de ninguna decisión en materia de políticas que pueda adoptar el Comité Ejecutivo y sin perjuicio de los niveles básicos reales de las Partes, que se establecerán una vez que el consumo de HFC en los años de referencia pertinentes sea presentado a la Secretaría del Ozono con arreglo al artículo 7 del Protocolo. </w:t>
      </w:r>
    </w:p>
    <w:p w:rsidR="00B802C6" w:rsidRPr="001F308F" w:rsidRDefault="00B802C6" w:rsidP="00B802C6">
      <w:pPr>
        <w:ind w:left="720" w:hanging="720"/>
        <w:rPr>
          <w:b/>
          <w:lang w:val="es-ES"/>
        </w:rPr>
      </w:pPr>
      <w:r w:rsidRPr="001F308F">
        <w:rPr>
          <w:b/>
          <w:lang w:val="es-ES"/>
        </w:rPr>
        <w:t>I</w:t>
      </w:r>
      <w:r w:rsidRPr="001F308F">
        <w:rPr>
          <w:b/>
          <w:lang w:val="es-ES"/>
        </w:rPr>
        <w:tab/>
        <w:t>RESEÑA DE LAS REDUCCIONES ACUMULADAS SOSTENIDAS EN EL CONSUMO DE CFC Y HCFC</w:t>
      </w:r>
    </w:p>
    <w:p w:rsidR="00B802C6" w:rsidRPr="001F308F" w:rsidRDefault="00B802C6" w:rsidP="00B802C6">
      <w:pPr>
        <w:rPr>
          <w:lang w:val="es-ES"/>
        </w:rPr>
      </w:pPr>
    </w:p>
    <w:p w:rsidR="00B802C6" w:rsidRPr="001F308F" w:rsidRDefault="00B802C6" w:rsidP="00B802C6">
      <w:pPr>
        <w:pStyle w:val="Heading1"/>
        <w:rPr>
          <w:lang w:val="es-ES"/>
        </w:rPr>
      </w:pPr>
      <w:r w:rsidRPr="001F308F">
        <w:rPr>
          <w:lang w:val="es-ES"/>
        </w:rPr>
        <w:t>En la 34ª reunión en julio de 2001, el Comité Ejecutivo debatió acerca de propuestas sobre la aplicación del marco de los objetivos, prioridades, problemas y modalidades de planificación estratégica del Fondo Multilateral correspondientes al período de cumplimiento. Tras un debate en el que varios miembros expresaron su deseo de que hubiera una definición convenida de reducciones sostenidas, permanentes y acumuladas de producción y consumo, el Comité Ejecutivo pidió a la Secretaría que preparara un documento en el que se incluya la definición del punto de partida para determinar la reducción sostenida del consumo de SAO de cada país del artículo 5 (decisión 34/66 a)).</w:t>
      </w:r>
    </w:p>
    <w:p w:rsidR="00B802C6" w:rsidRPr="001F308F" w:rsidRDefault="00B802C6" w:rsidP="00B802C6">
      <w:pPr>
        <w:pStyle w:val="Heading1"/>
        <w:numPr>
          <w:ilvl w:val="0"/>
          <w:numId w:val="0"/>
        </w:numPr>
        <w:rPr>
          <w:b/>
          <w:lang w:val="es-ES"/>
        </w:rPr>
      </w:pPr>
      <w:r w:rsidRPr="001F308F">
        <w:rPr>
          <w:b/>
          <w:lang w:val="es-ES"/>
        </w:rPr>
        <w:t>Reducciones acumuladas en el consumo de CFC</w:t>
      </w:r>
    </w:p>
    <w:p w:rsidR="00B802C6" w:rsidRPr="001F308F" w:rsidRDefault="00B802C6" w:rsidP="00B802C6">
      <w:pPr>
        <w:pStyle w:val="Heading1"/>
        <w:rPr>
          <w:lang w:val="es-ES"/>
        </w:rPr>
      </w:pPr>
      <w:r w:rsidRPr="001F308F">
        <w:rPr>
          <w:lang w:val="es-ES"/>
        </w:rPr>
        <w:t xml:space="preserve">Con anterioridad al establecimiento del punto de partida, un proyecto de eliminación financiado por el Fondo Multilateral podía conducir a la eliminación del consumo de los CFC en las empresas correspondientes; no obstante, esa eliminación se podía contrarrestar con un aumento de la producción en empresas nuevas u otras empresas. </w:t>
      </w:r>
    </w:p>
    <w:p w:rsidR="00B802C6" w:rsidRPr="001F308F" w:rsidRDefault="00B802C6" w:rsidP="00B802C6">
      <w:pPr>
        <w:pStyle w:val="Heading1"/>
        <w:rPr>
          <w:lang w:val="es-ES"/>
        </w:rPr>
      </w:pPr>
      <w:r w:rsidRPr="001F308F">
        <w:rPr>
          <w:lang w:val="es-ES"/>
        </w:rPr>
        <w:t>En respuesta a la decisión 32/66 a), en la 35ª reunión en diciembre de 2001, el Comité Ejecutivo analizó un estudio sobre la definición de un punto de partida para determinar el consumo de SAO remanente admisible para la financiación del Fondo Multilateral</w:t>
      </w:r>
      <w:r w:rsidRPr="0062383B">
        <w:rPr>
          <w:rStyle w:val="FootnoteReference"/>
          <w:lang w:val="en-CA"/>
        </w:rPr>
        <w:footnoteReference w:id="9"/>
      </w:r>
      <w:r w:rsidRPr="001F308F">
        <w:rPr>
          <w:lang w:val="es-ES"/>
        </w:rPr>
        <w:t>. El estudio proporcionó un análisis únicamente de los CFC entre las sustancias del grupo I del anexo A, ya que estos representaban alrededor del 78</w:t>
      </w:r>
      <w:r w:rsidR="00E82C36" w:rsidRPr="00E82C36">
        <w:rPr>
          <w:color w:val="000000" w:themeColor="text1"/>
          <w:sz w:val="20"/>
          <w:szCs w:val="20"/>
          <w:lang w:val="es-MX"/>
        </w:rPr>
        <w:t xml:space="preserve"> </w:t>
      </w:r>
      <w:r w:rsidR="00E82C36">
        <w:rPr>
          <w:color w:val="000000" w:themeColor="text1"/>
          <w:sz w:val="20"/>
          <w:szCs w:val="20"/>
          <w:lang w:val="es-MX"/>
        </w:rPr>
        <w:t>por ciento</w:t>
      </w:r>
      <w:r w:rsidRPr="001F308F">
        <w:rPr>
          <w:lang w:val="es-ES"/>
        </w:rPr>
        <w:t xml:space="preserve"> del consumo total de SAO en los países que operan al amparo del artículo 5</w:t>
      </w:r>
      <w:r w:rsidRPr="0062383B">
        <w:rPr>
          <w:rStyle w:val="FootnoteReference"/>
          <w:lang w:val="en-CA"/>
        </w:rPr>
        <w:footnoteReference w:id="10"/>
      </w:r>
      <w:r w:rsidRPr="001F308F">
        <w:rPr>
          <w:lang w:val="es-ES"/>
        </w:rPr>
        <w:t>. Se analizaron dos posibles enfoques: uno basado en el nivel básico de CFC para el cumplimiento</w:t>
      </w:r>
      <w:r w:rsidRPr="0062383B">
        <w:rPr>
          <w:rStyle w:val="FootnoteReference"/>
          <w:lang w:val="en-CA"/>
        </w:rPr>
        <w:footnoteReference w:id="11"/>
      </w:r>
      <w:r w:rsidRPr="001F308F">
        <w:rPr>
          <w:lang w:val="es-ES"/>
        </w:rPr>
        <w:t xml:space="preserve"> y otro basado en el consumo de CFC más reciente.</w:t>
      </w:r>
    </w:p>
    <w:p w:rsidR="00B802C6" w:rsidRPr="001F308F" w:rsidRDefault="00B802C6" w:rsidP="00B802C6">
      <w:pPr>
        <w:pStyle w:val="Heading1"/>
        <w:rPr>
          <w:lang w:val="es-ES"/>
        </w:rPr>
      </w:pPr>
      <w:r w:rsidRPr="001F308F">
        <w:rPr>
          <w:lang w:val="es-ES"/>
        </w:rPr>
        <w:t>Al concluir sus deliberaciones sobre el estudio antes mencionado, el Comité Ejecutivo decidió</w:t>
      </w:r>
      <w:r w:rsidRPr="0062383B">
        <w:rPr>
          <w:rStyle w:val="FootnoteReference"/>
          <w:lang w:val="en-CA"/>
        </w:rPr>
        <w:footnoteReference w:id="12"/>
      </w:r>
      <w:r w:rsidRPr="001F308F">
        <w:rPr>
          <w:lang w:val="es-ES"/>
        </w:rPr>
        <w:t xml:space="preserve">, entre otras cosas, que el aumento de la financiación se debe basar sobre un compromiso de parte del país de lograr reducciones totales permanentes sostenibles en el consumo y la producción, según corresponda. Para determinar sus puntos de partida, los países que operan al amparo del artículo 5 podían seleccionar las dos opciones siguientes: </w:t>
      </w:r>
    </w:p>
    <w:p w:rsidR="00B802C6" w:rsidRPr="001F308F" w:rsidRDefault="00B802C6" w:rsidP="00B802C6">
      <w:pPr>
        <w:pStyle w:val="Heading2"/>
        <w:widowControl/>
        <w:rPr>
          <w:lang w:val="es-ES"/>
        </w:rPr>
      </w:pPr>
      <w:r w:rsidRPr="001F308F">
        <w:rPr>
          <w:lang w:val="es-ES"/>
        </w:rPr>
        <w:t xml:space="preserve">El nivel básico de CFC para el cumplimiento menos el consumo relacionado con los proyectos que se habían aprobado, pero no aún ejecutado, cuando se establecieron los </w:t>
      </w:r>
      <w:r w:rsidRPr="001F308F">
        <w:rPr>
          <w:lang w:val="es-ES"/>
        </w:rPr>
        <w:lastRenderedPageBreak/>
        <w:t>niveles básicos, y los nuevos proyectos que se habían aprobado desde entonces (Opción 1); o</w:t>
      </w:r>
    </w:p>
    <w:p w:rsidR="00B802C6" w:rsidRPr="001F308F" w:rsidRDefault="00B802C6" w:rsidP="00B802C6">
      <w:pPr>
        <w:pStyle w:val="Heading2"/>
        <w:widowControl/>
        <w:rPr>
          <w:lang w:val="es-ES"/>
        </w:rPr>
      </w:pPr>
      <w:r w:rsidRPr="001F308F">
        <w:rPr>
          <w:lang w:val="es-ES"/>
        </w:rPr>
        <w:t>El consumo más reciente de CFC notificado (es decir, 1999 o 2000) menos el consumo relacionado con los proyectos que se habían aprobado, pero no aún ejecutado (Opción 2)</w:t>
      </w:r>
      <w:r w:rsidRPr="0062383B">
        <w:rPr>
          <w:vertAlign w:val="superscript"/>
          <w:lang w:val="en-CA"/>
        </w:rPr>
        <w:footnoteReference w:id="13"/>
      </w:r>
      <w:r w:rsidRPr="001F308F">
        <w:rPr>
          <w:lang w:val="es-ES"/>
        </w:rPr>
        <w:t>.</w:t>
      </w:r>
    </w:p>
    <w:p w:rsidR="00B802C6" w:rsidRPr="001F308F" w:rsidRDefault="00B802C6" w:rsidP="00B802C6">
      <w:pPr>
        <w:pStyle w:val="Heading1"/>
        <w:rPr>
          <w:lang w:val="es-ES"/>
        </w:rPr>
      </w:pPr>
      <w:r w:rsidRPr="001F308F">
        <w:rPr>
          <w:lang w:val="es-ES"/>
        </w:rPr>
        <w:t>En la aplicación de esta disposición, el Comité Ejecutivo consideró que todos los países que operan al amparo del Artículo 5 debían ser tratados del mismo modo</w:t>
      </w:r>
      <w:r w:rsidRPr="0062383B">
        <w:rPr>
          <w:rStyle w:val="FootnoteReference"/>
          <w:lang w:val="en-CA"/>
        </w:rPr>
        <w:footnoteReference w:id="14"/>
      </w:r>
      <w:r w:rsidRPr="001F308F">
        <w:rPr>
          <w:lang w:val="es-ES"/>
        </w:rPr>
        <w:t>. En las condiciones relacionadas con la decisión 35/57, el Comité Ejecutivo reconoció que el consumo informado para algunos años futuros puede ubicarse por debajo o por encima de los niveles resultantes del cálculo convenido, pero en el caso de que las cifras de consumo se sitúen por encima de los niveles resultantes, dichos aumentos del consumo no resultarían admisibles para la financiación. Las cifras resultantes representaban las SAO residuales máximas cuya reducción pagará el Fondo y se mantendría en todos los aspectos la vigencia de la guía existente del Fondo relativa a la admisibilidad de los proyectos</w:t>
      </w:r>
      <w:r w:rsidRPr="0062383B">
        <w:rPr>
          <w:rStyle w:val="FootnoteReference"/>
          <w:lang w:val="en-CA"/>
        </w:rPr>
        <w:footnoteReference w:id="15"/>
      </w:r>
      <w:r w:rsidRPr="001F308F">
        <w:rPr>
          <w:lang w:val="es-ES"/>
        </w:rPr>
        <w:t>. A fin de evitar un escenario en que se incorporasen CFC en las instalaciones de fabricación ya establecidas o en las nuevas instalaciones, al tiempo que se eliminaban los CFC en otras instalaciones de producción existentes, el Comité Ejecutivo desarrolló el punto de partida que representaba las sustancias controladas residuales máximas que se podrían eliminar utilizando los recursos financieros del Fondo Multilateral y que, por lo tanto, representaba la obligación de financiación máxima del Fondo Multilateral.</w:t>
      </w:r>
    </w:p>
    <w:p w:rsidR="00B802C6" w:rsidRPr="001F308F" w:rsidRDefault="00B802C6" w:rsidP="00B802C6">
      <w:pPr>
        <w:pStyle w:val="Heading1"/>
        <w:rPr>
          <w:lang w:val="es-ES"/>
        </w:rPr>
      </w:pPr>
      <w:r w:rsidRPr="001F308F">
        <w:rPr>
          <w:lang w:val="es-ES"/>
        </w:rPr>
        <w:t>Para cada país que opera al amparo del artículo 5, se estableció el punto de partida para las reducciones acumuladas sostenidas en el consumo admisibles para la financiación en función del consumo total de cada sustancia del grupo I del anexo A, medido en toneladas PAO</w:t>
      </w:r>
      <w:r w:rsidRPr="0062383B">
        <w:rPr>
          <w:rStyle w:val="FootnoteReference"/>
          <w:lang w:val="en-CA"/>
        </w:rPr>
        <w:footnoteReference w:id="16"/>
      </w:r>
      <w:r w:rsidRPr="001F308F">
        <w:rPr>
          <w:lang w:val="es-ES"/>
        </w:rPr>
        <w:t>. Los puntos de partida se acordaron tres años después de que se establecieron los niveles básicos de CFC para el cumplimiento, y casi dos años después de la congelación de la producción y el consumo de CFC en julio de 1999</w:t>
      </w:r>
      <w:r w:rsidRPr="0062383B">
        <w:rPr>
          <w:rStyle w:val="FootnoteReference"/>
          <w:lang w:val="en-CA"/>
        </w:rPr>
        <w:footnoteReference w:id="17"/>
      </w:r>
      <w:r w:rsidRPr="001F308F">
        <w:rPr>
          <w:lang w:val="es-ES"/>
        </w:rPr>
        <w:t xml:space="preserve">. En ese entonces, el Comité Ejecutivo ya había aprobado aproximadamente 747 millones de $EUA destinados a la eliminación de 113 000 toneladas PAO de CFC utilizadas por 64 países. El punto de partida para los CFC se estableció, por lo tanto, al promediar la eliminación de los CFC. </w:t>
      </w:r>
    </w:p>
    <w:p w:rsidR="00B802C6" w:rsidRPr="001F308F" w:rsidRDefault="00B802C6" w:rsidP="00B802C6">
      <w:pPr>
        <w:pStyle w:val="Heading1"/>
        <w:numPr>
          <w:ilvl w:val="0"/>
          <w:numId w:val="0"/>
        </w:numPr>
        <w:rPr>
          <w:b/>
          <w:lang w:val="es-ES"/>
        </w:rPr>
      </w:pPr>
      <w:r w:rsidRPr="001F308F">
        <w:rPr>
          <w:b/>
          <w:lang w:val="es-ES"/>
        </w:rPr>
        <w:t>Reducciones acumuladas en el consumo de HCFC</w:t>
      </w:r>
    </w:p>
    <w:p w:rsidR="00B802C6" w:rsidRPr="001F308F" w:rsidRDefault="00B802C6" w:rsidP="00B802C6">
      <w:pPr>
        <w:pStyle w:val="Heading1"/>
        <w:rPr>
          <w:lang w:val="es-ES"/>
        </w:rPr>
      </w:pPr>
      <w:r w:rsidRPr="001F308F">
        <w:rPr>
          <w:lang w:val="es-ES"/>
        </w:rPr>
        <w:t>En la 60ª reunión, en abril de 2010, el Comité Ejecutivo adoptó los criterios para la financiación de la eliminación de los HCFC en el sector de consumo en los países que operan al amparo del artículo 5</w:t>
      </w:r>
      <w:r w:rsidRPr="0062383B">
        <w:rPr>
          <w:rStyle w:val="FootnoteReference"/>
          <w:lang w:val="en-CA"/>
        </w:rPr>
        <w:footnoteReference w:id="18"/>
      </w:r>
      <w:r w:rsidRPr="001F308F">
        <w:rPr>
          <w:lang w:val="es-ES"/>
        </w:rPr>
        <w:t xml:space="preserve">. De conformidad con los criterios, los países que operan al amparo del artículo 5 que presentaran proyectos para la eliminación de los HCFC antes de que se estableciera su nivel básico debían establecer el punto de partida al momento de presentar esos proyectos, basándose en una de dos opciones: el consumo de HCFC más reciente notificado con arreglo al artículo 7 o el pronóstico del consumo medio para 2009 y 2010. Los </w:t>
      </w:r>
      <w:r w:rsidRPr="001F308F">
        <w:rPr>
          <w:lang w:val="es-ES"/>
        </w:rPr>
        <w:lastRenderedPageBreak/>
        <w:t>criterios también permitían ajustar los puntos de partida acordados en los casos en que los niveles básicos calculados a partir de los datos notificados con arreglo al artículo 7 fueran diferentes del pronóstico del consumo medio para 2009 y 2010. Al igual que en el caso de los CFC, los puntos de partida para las reducciones de los HCFC se basaban en el tonelaje de PAO. Asimismo, como en el caso de la eliminación de los CFC, el establecimiento de una fecha límite para la capacidad de fabricación a base de HCFC ayudó a garantizar que el consumo adicional atribuible al incremento de la capacidad establecido después de la fecha límite no fuera financiado por el Fondo Multilateral.</w:t>
      </w:r>
    </w:p>
    <w:p w:rsidR="00B802C6" w:rsidRPr="001F308F" w:rsidRDefault="00B802C6" w:rsidP="00B802C6">
      <w:pPr>
        <w:pStyle w:val="Heading1"/>
        <w:rPr>
          <w:lang w:val="es-ES"/>
        </w:rPr>
      </w:pPr>
      <w:r w:rsidRPr="001F308F">
        <w:rPr>
          <w:lang w:val="es-ES"/>
        </w:rPr>
        <w:t>A diferencia del caso de los CFC, la mayoría de los países que operan al amparo del artículo 5 debieron establecer sus puntos de partida para los HCFC antes de la fecha en que se establecieron sus niveles básicos para el cumplimiento usando los datos notificados con arreglo al artículo 7 del Protocolo</w:t>
      </w:r>
      <w:r w:rsidRPr="0062383B">
        <w:rPr>
          <w:rStyle w:val="FootnoteReference"/>
          <w:lang w:val="en-CA"/>
        </w:rPr>
        <w:footnoteReference w:id="19"/>
      </w:r>
      <w:r w:rsidRPr="001F308F">
        <w:rPr>
          <w:lang w:val="es-ES"/>
        </w:rPr>
        <w:t>. Además, se establecieron puntos de partida individuales para cada una de las sustancias del grupo I del anexo C que se consumían en el país, en lugar de un único valor para el punto de partida basado en el consumo acumulado para todos los HCFC. En lo que respecta al consumo de HCFC-141b contenido en sistemas con polioles premezclados importados (que no se considera una sustancia controlada y, por lo tanto, no se contabiliza en el consumo de HCFC de un país) en las empresas admisibles, el Comité Ejecutivo estableció condiciones para la financiación para esas empresas</w:t>
      </w:r>
      <w:r w:rsidRPr="0062383B">
        <w:rPr>
          <w:rStyle w:val="FootnoteReference"/>
          <w:lang w:val="en-CA"/>
        </w:rPr>
        <w:footnoteReference w:id="20"/>
      </w:r>
      <w:r w:rsidRPr="001F308F">
        <w:rPr>
          <w:lang w:val="es-ES"/>
        </w:rPr>
        <w:t xml:space="preserve"> en las decisiones 61/47, 63/15, 66/51</w:t>
      </w:r>
      <w:r w:rsidRPr="0062383B">
        <w:rPr>
          <w:rStyle w:val="FootnoteReference"/>
          <w:lang w:val="en-CA"/>
        </w:rPr>
        <w:footnoteReference w:id="21"/>
      </w:r>
      <w:r w:rsidRPr="001F308F">
        <w:rPr>
          <w:lang w:val="es-ES"/>
        </w:rPr>
        <w:t xml:space="preserve"> y 68/42 c)</w:t>
      </w:r>
      <w:r w:rsidRPr="0062383B">
        <w:rPr>
          <w:rStyle w:val="FootnoteReference"/>
          <w:lang w:val="en-CA"/>
        </w:rPr>
        <w:footnoteReference w:id="22"/>
      </w:r>
      <w:r w:rsidRPr="001F308F">
        <w:rPr>
          <w:lang w:val="es-ES"/>
        </w:rPr>
        <w:t xml:space="preserve">. </w:t>
      </w:r>
    </w:p>
    <w:p w:rsidR="00B802C6" w:rsidRPr="001F308F" w:rsidRDefault="00B802C6" w:rsidP="00B802C6">
      <w:pPr>
        <w:pStyle w:val="Heading1"/>
        <w:rPr>
          <w:lang w:val="es-ES"/>
        </w:rPr>
      </w:pPr>
      <w:r w:rsidRPr="001F308F">
        <w:rPr>
          <w:lang w:val="es-ES"/>
        </w:rPr>
        <w:t xml:space="preserve">Independientemente de que algunos países que operan al amparo del artículo 5 eligieron diferentes años como base para determinar su punto de partida, se trató a todos esos países en un pie de igualdad, ya que se ofrecieron las mismas opciones a todos los países. En algunos casos, el Comité Ejecutivo acordó ajustar los puntos de partida después de que se habían establecido, incluso para tener en cuenta existencias almacenadas, en aquellos casos en que el pronóstico de consumo para los años de referencia fue diferente del consumo notificado con arreglo al artículo 7 y otros casos. </w:t>
      </w:r>
    </w:p>
    <w:p w:rsidR="00B802C6" w:rsidRPr="001F308F" w:rsidRDefault="00B802C6" w:rsidP="00B802C6">
      <w:pPr>
        <w:pStyle w:val="Heading1"/>
        <w:rPr>
          <w:lang w:val="es-ES"/>
        </w:rPr>
      </w:pPr>
      <w:r w:rsidRPr="001F308F">
        <w:rPr>
          <w:lang w:val="es-ES"/>
        </w:rPr>
        <w:t>Aunque las sustancias del grupo I del anexo C incluían 40 HCFC diferentes, solo 10 se consumían en los países que operan al amparo del artículo 5. Además, el consumo de tres HCFC (a saber, HCFC-22, HCFC-141b y HCFC-142b) representaba el 99,8</w:t>
      </w:r>
      <w:r w:rsidR="00E82C36" w:rsidRPr="00E82C36">
        <w:rPr>
          <w:color w:val="000000" w:themeColor="text1"/>
          <w:sz w:val="20"/>
          <w:szCs w:val="20"/>
          <w:lang w:val="es-MX"/>
        </w:rPr>
        <w:t xml:space="preserve"> </w:t>
      </w:r>
      <w:r w:rsidR="00E82C36">
        <w:rPr>
          <w:color w:val="000000" w:themeColor="text1"/>
          <w:sz w:val="20"/>
          <w:szCs w:val="20"/>
          <w:lang w:val="es-MX"/>
        </w:rPr>
        <w:t>por ciento</w:t>
      </w:r>
      <w:r w:rsidRPr="001F308F">
        <w:rPr>
          <w:lang w:val="es-ES"/>
        </w:rPr>
        <w:t xml:space="preserve"> del nivel básico de consumo total acumulado. </w:t>
      </w:r>
    </w:p>
    <w:p w:rsidR="00B802C6" w:rsidRPr="001F308F" w:rsidRDefault="00B802C6" w:rsidP="00B802C6">
      <w:pPr>
        <w:pStyle w:val="Heading1"/>
        <w:rPr>
          <w:lang w:val="es-ES"/>
        </w:rPr>
      </w:pPr>
      <w:r w:rsidRPr="001F308F">
        <w:rPr>
          <w:lang w:val="es-ES"/>
        </w:rPr>
        <w:t>En el Cuadro 1 se presentan los niveles de consumo básicos acumulados de HCFC y los puntos de partida para cada uno de los 10 HCFC que se consumen en los países que operan al amparo del artículo 5.</w:t>
      </w:r>
    </w:p>
    <w:p w:rsidR="00B802C6" w:rsidRPr="001F308F" w:rsidRDefault="00B802C6" w:rsidP="00B802C6">
      <w:pPr>
        <w:rPr>
          <w:b/>
          <w:lang w:val="es-ES"/>
        </w:rPr>
      </w:pPr>
      <w:r w:rsidRPr="001F308F">
        <w:rPr>
          <w:b/>
          <w:lang w:val="es-ES"/>
        </w:rPr>
        <w:t>Cuadro 1. Niveles básicos de HCFC para el cumplimiento y puntos de partida por HCFC</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7"/>
        <w:gridCol w:w="1777"/>
        <w:gridCol w:w="6"/>
        <w:gridCol w:w="1772"/>
        <w:gridCol w:w="11"/>
        <w:gridCol w:w="1767"/>
        <w:gridCol w:w="1800"/>
      </w:tblGrid>
      <w:tr w:rsidR="00B802C6" w:rsidRPr="001F308F" w:rsidTr="00E82C36">
        <w:trPr>
          <w:tblHeader/>
          <w:jc w:val="center"/>
        </w:trPr>
        <w:tc>
          <w:tcPr>
            <w:tcW w:w="2227" w:type="dxa"/>
            <w:vMerge w:val="restart"/>
            <w:shd w:val="clear" w:color="auto" w:fill="auto"/>
            <w:noWrap/>
            <w:vAlign w:val="center"/>
          </w:tcPr>
          <w:p w:rsidR="00B802C6" w:rsidRPr="0062383B" w:rsidRDefault="00B802C6" w:rsidP="00B802C6">
            <w:pPr>
              <w:jc w:val="left"/>
              <w:rPr>
                <w:b/>
                <w:bCs/>
                <w:color w:val="000000"/>
                <w:sz w:val="20"/>
                <w:szCs w:val="20"/>
              </w:rPr>
            </w:pPr>
            <w:r>
              <w:rPr>
                <w:b/>
                <w:bCs/>
                <w:color w:val="000000"/>
                <w:sz w:val="20"/>
                <w:szCs w:val="20"/>
              </w:rPr>
              <w:t>HCFC</w:t>
            </w:r>
          </w:p>
        </w:tc>
        <w:tc>
          <w:tcPr>
            <w:tcW w:w="5333" w:type="dxa"/>
            <w:gridSpan w:val="5"/>
            <w:shd w:val="clear" w:color="auto" w:fill="auto"/>
            <w:noWrap/>
            <w:vAlign w:val="center"/>
          </w:tcPr>
          <w:p w:rsidR="00B802C6" w:rsidRPr="0062383B" w:rsidRDefault="00B802C6" w:rsidP="00B802C6">
            <w:pPr>
              <w:jc w:val="center"/>
              <w:rPr>
                <w:b/>
                <w:bCs/>
                <w:color w:val="000000"/>
                <w:sz w:val="20"/>
                <w:szCs w:val="20"/>
              </w:rPr>
            </w:pPr>
            <w:r>
              <w:rPr>
                <w:b/>
                <w:bCs/>
                <w:color w:val="000000"/>
                <w:sz w:val="20"/>
                <w:szCs w:val="20"/>
              </w:rPr>
              <w:t>Nivel básico</w:t>
            </w:r>
          </w:p>
        </w:tc>
        <w:tc>
          <w:tcPr>
            <w:tcW w:w="1800" w:type="dxa"/>
            <w:vMerge w:val="restart"/>
            <w:shd w:val="clear" w:color="auto" w:fill="auto"/>
            <w:noWrap/>
            <w:vAlign w:val="bottom"/>
          </w:tcPr>
          <w:p w:rsidR="00B802C6" w:rsidRPr="001F308F" w:rsidRDefault="00B802C6" w:rsidP="00B802C6">
            <w:pPr>
              <w:jc w:val="center"/>
              <w:rPr>
                <w:b/>
                <w:bCs/>
                <w:color w:val="000000"/>
                <w:sz w:val="20"/>
                <w:szCs w:val="20"/>
                <w:lang w:val="es-ES"/>
              </w:rPr>
            </w:pPr>
            <w:r w:rsidRPr="001F308F">
              <w:rPr>
                <w:b/>
                <w:bCs/>
                <w:color w:val="000000"/>
                <w:sz w:val="20"/>
                <w:szCs w:val="20"/>
                <w:lang w:val="es-ES"/>
              </w:rPr>
              <w:t>Punto de partida (toneladas PAO)</w:t>
            </w:r>
          </w:p>
        </w:tc>
      </w:tr>
      <w:tr w:rsidR="00B802C6" w:rsidRPr="0062383B" w:rsidTr="00E82C36">
        <w:trPr>
          <w:tblHeader/>
          <w:jc w:val="center"/>
        </w:trPr>
        <w:tc>
          <w:tcPr>
            <w:tcW w:w="2227" w:type="dxa"/>
            <w:vMerge/>
            <w:shd w:val="clear" w:color="auto" w:fill="auto"/>
            <w:noWrap/>
            <w:vAlign w:val="bottom"/>
            <w:hideMark/>
          </w:tcPr>
          <w:p w:rsidR="00B802C6" w:rsidRPr="001F308F" w:rsidRDefault="00B802C6" w:rsidP="00B802C6">
            <w:pPr>
              <w:jc w:val="left"/>
              <w:rPr>
                <w:b/>
                <w:bCs/>
                <w:color w:val="000000"/>
                <w:sz w:val="20"/>
                <w:szCs w:val="20"/>
                <w:lang w:val="es-ES" w:eastAsia="en-CA"/>
              </w:rPr>
            </w:pPr>
          </w:p>
        </w:tc>
        <w:tc>
          <w:tcPr>
            <w:tcW w:w="1777" w:type="dxa"/>
            <w:shd w:val="clear" w:color="auto" w:fill="auto"/>
            <w:noWrap/>
            <w:vAlign w:val="bottom"/>
            <w:hideMark/>
          </w:tcPr>
          <w:p w:rsidR="00B802C6" w:rsidRPr="0062383B" w:rsidRDefault="00B802C6" w:rsidP="00B802C6">
            <w:pPr>
              <w:jc w:val="center"/>
              <w:rPr>
                <w:b/>
                <w:bCs/>
                <w:color w:val="000000"/>
                <w:sz w:val="20"/>
                <w:szCs w:val="20"/>
              </w:rPr>
            </w:pPr>
            <w:r>
              <w:rPr>
                <w:b/>
                <w:bCs/>
                <w:color w:val="000000"/>
                <w:sz w:val="20"/>
                <w:szCs w:val="20"/>
              </w:rPr>
              <w:t>Toneladas PAO</w:t>
            </w:r>
          </w:p>
        </w:tc>
        <w:tc>
          <w:tcPr>
            <w:tcW w:w="1778" w:type="dxa"/>
            <w:gridSpan w:val="2"/>
            <w:shd w:val="clear" w:color="auto" w:fill="auto"/>
            <w:noWrap/>
            <w:vAlign w:val="bottom"/>
            <w:hideMark/>
          </w:tcPr>
          <w:p w:rsidR="00B802C6" w:rsidRPr="0062383B" w:rsidRDefault="00B802C6" w:rsidP="00B802C6">
            <w:pPr>
              <w:jc w:val="center"/>
              <w:rPr>
                <w:b/>
                <w:bCs/>
                <w:color w:val="000000"/>
                <w:sz w:val="20"/>
                <w:szCs w:val="20"/>
              </w:rPr>
            </w:pPr>
            <w:r>
              <w:rPr>
                <w:b/>
                <w:bCs/>
                <w:color w:val="000000"/>
                <w:sz w:val="20"/>
                <w:szCs w:val="20"/>
              </w:rPr>
              <w:t>toneladas métricas</w:t>
            </w:r>
          </w:p>
        </w:tc>
        <w:tc>
          <w:tcPr>
            <w:tcW w:w="1778" w:type="dxa"/>
            <w:gridSpan w:val="2"/>
          </w:tcPr>
          <w:p w:rsidR="00B802C6" w:rsidRPr="0062383B" w:rsidRDefault="00B802C6" w:rsidP="00B802C6">
            <w:pPr>
              <w:jc w:val="center"/>
              <w:rPr>
                <w:b/>
                <w:bCs/>
                <w:color w:val="000000"/>
                <w:sz w:val="20"/>
                <w:szCs w:val="20"/>
              </w:rPr>
            </w:pPr>
            <w:r>
              <w:rPr>
                <w:b/>
                <w:bCs/>
                <w:color w:val="000000"/>
                <w:sz w:val="20"/>
                <w:szCs w:val="20"/>
              </w:rPr>
              <w:t>(% del nivel básico)</w:t>
            </w:r>
          </w:p>
        </w:tc>
        <w:tc>
          <w:tcPr>
            <w:tcW w:w="1800" w:type="dxa"/>
            <w:vMerge/>
            <w:shd w:val="clear" w:color="auto" w:fill="auto"/>
            <w:noWrap/>
            <w:vAlign w:val="bottom"/>
            <w:hideMark/>
          </w:tcPr>
          <w:p w:rsidR="00B802C6" w:rsidRPr="0062383B" w:rsidRDefault="00B802C6" w:rsidP="00B802C6">
            <w:pPr>
              <w:jc w:val="center"/>
              <w:rPr>
                <w:b/>
                <w:bCs/>
                <w:color w:val="000000"/>
                <w:sz w:val="20"/>
                <w:szCs w:val="20"/>
                <w:lang w:val="en-CA" w:eastAsia="en-CA"/>
              </w:rPr>
            </w:pP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HCFC-123</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46,8</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337,3</w:t>
            </w:r>
          </w:p>
        </w:tc>
        <w:tc>
          <w:tcPr>
            <w:tcW w:w="1767" w:type="dxa"/>
          </w:tcPr>
          <w:p w:rsidR="00B802C6" w:rsidRPr="0062383B" w:rsidRDefault="00B802C6" w:rsidP="00B802C6">
            <w:pPr>
              <w:jc w:val="center"/>
              <w:rPr>
                <w:color w:val="000000"/>
                <w:sz w:val="20"/>
                <w:szCs w:val="20"/>
              </w:rPr>
            </w:pPr>
            <w:r>
              <w:rPr>
                <w:color w:val="000000"/>
                <w:sz w:val="20"/>
                <w:szCs w:val="20"/>
              </w:rPr>
              <w:t>(0,43)</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30,2</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HCFC-124</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29,2</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326,9</w:t>
            </w:r>
          </w:p>
        </w:tc>
        <w:tc>
          <w:tcPr>
            <w:tcW w:w="1767" w:type="dxa"/>
          </w:tcPr>
          <w:p w:rsidR="00B802C6" w:rsidRPr="0062383B" w:rsidRDefault="00B802C6" w:rsidP="00B802C6">
            <w:pPr>
              <w:jc w:val="center"/>
              <w:rPr>
                <w:color w:val="000000"/>
                <w:sz w:val="20"/>
                <w:szCs w:val="20"/>
              </w:rPr>
            </w:pPr>
            <w:r>
              <w:rPr>
                <w:color w:val="000000"/>
                <w:sz w:val="20"/>
                <w:szCs w:val="20"/>
              </w:rPr>
              <w:t>(0,25)</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26,2</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HCFC-141</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0,5</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13,4</w:t>
            </w:r>
          </w:p>
        </w:tc>
        <w:tc>
          <w:tcPr>
            <w:tcW w:w="1767" w:type="dxa"/>
          </w:tcPr>
          <w:p w:rsidR="00B802C6" w:rsidRPr="0062383B" w:rsidRDefault="00B802C6" w:rsidP="00B802C6">
            <w:pPr>
              <w:jc w:val="center"/>
              <w:rPr>
                <w:color w:val="000000"/>
                <w:sz w:val="20"/>
                <w:szCs w:val="20"/>
              </w:rPr>
            </w:pPr>
            <w:r>
              <w:rPr>
                <w:color w:val="000000"/>
                <w:sz w:val="20"/>
                <w:szCs w:val="20"/>
              </w:rPr>
              <w:t>(0,00)</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0,9</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HCFC-141b</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11</w:t>
            </w:r>
            <w:r w:rsidR="003E0D64">
              <w:rPr>
                <w:color w:val="000000"/>
                <w:sz w:val="20"/>
                <w:szCs w:val="20"/>
              </w:rPr>
              <w:t> </w:t>
            </w:r>
            <w:r>
              <w:rPr>
                <w:color w:val="000000"/>
                <w:sz w:val="20"/>
                <w:szCs w:val="20"/>
              </w:rPr>
              <w:t>864,4</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107</w:t>
            </w:r>
            <w:r w:rsidR="003E0D64">
              <w:rPr>
                <w:color w:val="000000"/>
                <w:sz w:val="20"/>
                <w:szCs w:val="20"/>
              </w:rPr>
              <w:t> </w:t>
            </w:r>
            <w:r>
              <w:rPr>
                <w:color w:val="000000"/>
                <w:sz w:val="20"/>
                <w:szCs w:val="20"/>
              </w:rPr>
              <w:t>858,0</w:t>
            </w:r>
          </w:p>
        </w:tc>
        <w:tc>
          <w:tcPr>
            <w:tcW w:w="1767" w:type="dxa"/>
          </w:tcPr>
          <w:p w:rsidR="00B802C6" w:rsidRPr="0062383B" w:rsidRDefault="00B802C6" w:rsidP="00B802C6">
            <w:pPr>
              <w:jc w:val="center"/>
              <w:rPr>
                <w:color w:val="000000"/>
                <w:sz w:val="20"/>
                <w:szCs w:val="20"/>
              </w:rPr>
            </w:pPr>
            <w:r>
              <w:rPr>
                <w:color w:val="000000"/>
                <w:sz w:val="20"/>
                <w:szCs w:val="20"/>
              </w:rPr>
              <w:t>(19,99)</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10</w:t>
            </w:r>
            <w:r w:rsidR="003E0D64">
              <w:rPr>
                <w:color w:val="000000"/>
                <w:sz w:val="20"/>
                <w:szCs w:val="20"/>
              </w:rPr>
              <w:t> </w:t>
            </w:r>
            <w:r>
              <w:rPr>
                <w:color w:val="000000"/>
                <w:sz w:val="20"/>
                <w:szCs w:val="20"/>
              </w:rPr>
              <w:t>738,4</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HCFC-142b</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158,2</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33</w:t>
            </w:r>
            <w:r w:rsidR="003E0D64">
              <w:rPr>
                <w:color w:val="000000"/>
                <w:sz w:val="20"/>
                <w:szCs w:val="20"/>
              </w:rPr>
              <w:t> </w:t>
            </w:r>
            <w:r>
              <w:rPr>
                <w:color w:val="000000"/>
                <w:sz w:val="20"/>
                <w:szCs w:val="20"/>
              </w:rPr>
              <w:t>202,6</w:t>
            </w:r>
          </w:p>
        </w:tc>
        <w:tc>
          <w:tcPr>
            <w:tcW w:w="1767" w:type="dxa"/>
          </w:tcPr>
          <w:p w:rsidR="00B802C6" w:rsidRPr="0062383B" w:rsidRDefault="00B802C6" w:rsidP="00B802C6">
            <w:pPr>
              <w:jc w:val="center"/>
              <w:rPr>
                <w:color w:val="000000"/>
                <w:sz w:val="20"/>
                <w:szCs w:val="20"/>
              </w:rPr>
            </w:pPr>
            <w:r>
              <w:rPr>
                <w:color w:val="000000"/>
                <w:sz w:val="20"/>
                <w:szCs w:val="20"/>
              </w:rPr>
              <w:t>(6,15)</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016,8</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lastRenderedPageBreak/>
              <w:t>HCFC-22</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21</w:t>
            </w:r>
            <w:r w:rsidR="003E0D64">
              <w:rPr>
                <w:color w:val="000000"/>
                <w:sz w:val="20"/>
                <w:szCs w:val="20"/>
              </w:rPr>
              <w:t> </w:t>
            </w:r>
            <w:r>
              <w:rPr>
                <w:color w:val="000000"/>
                <w:sz w:val="20"/>
                <w:szCs w:val="20"/>
              </w:rPr>
              <w:t>710,0</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394</w:t>
            </w:r>
            <w:r w:rsidR="003E0D64">
              <w:rPr>
                <w:color w:val="000000"/>
                <w:sz w:val="20"/>
                <w:szCs w:val="20"/>
              </w:rPr>
              <w:t> </w:t>
            </w:r>
            <w:r>
              <w:rPr>
                <w:color w:val="000000"/>
                <w:sz w:val="20"/>
                <w:szCs w:val="20"/>
              </w:rPr>
              <w:t>726,7</w:t>
            </w:r>
          </w:p>
        </w:tc>
        <w:tc>
          <w:tcPr>
            <w:tcW w:w="1767" w:type="dxa"/>
          </w:tcPr>
          <w:p w:rsidR="00B802C6" w:rsidRPr="0062383B" w:rsidRDefault="00B802C6" w:rsidP="00B802C6">
            <w:pPr>
              <w:jc w:val="center"/>
              <w:rPr>
                <w:color w:val="000000"/>
                <w:sz w:val="20"/>
                <w:szCs w:val="20"/>
              </w:rPr>
            </w:pPr>
            <w:r>
              <w:rPr>
                <w:color w:val="000000"/>
                <w:sz w:val="20"/>
                <w:szCs w:val="20"/>
              </w:rPr>
              <w:t>(73,15)</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19</w:t>
            </w:r>
            <w:r w:rsidR="003E0D64">
              <w:rPr>
                <w:color w:val="000000"/>
                <w:sz w:val="20"/>
                <w:szCs w:val="20"/>
              </w:rPr>
              <w:t> </w:t>
            </w:r>
            <w:r>
              <w:rPr>
                <w:color w:val="000000"/>
                <w:sz w:val="20"/>
                <w:szCs w:val="20"/>
              </w:rPr>
              <w:t>883,1</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HCFC-225</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1,2</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30,3</w:t>
            </w:r>
          </w:p>
        </w:tc>
        <w:tc>
          <w:tcPr>
            <w:tcW w:w="1767" w:type="dxa"/>
          </w:tcPr>
          <w:p w:rsidR="00B802C6" w:rsidRPr="0062383B" w:rsidRDefault="00B802C6" w:rsidP="00B802C6">
            <w:pPr>
              <w:jc w:val="center"/>
              <w:rPr>
                <w:color w:val="000000"/>
                <w:sz w:val="20"/>
                <w:szCs w:val="20"/>
              </w:rPr>
            </w:pPr>
            <w:r>
              <w:rPr>
                <w:color w:val="000000"/>
                <w:sz w:val="20"/>
                <w:szCs w:val="20"/>
              </w:rPr>
              <w:t>(0,01)</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2,8</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HCFC-225ca</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1,8</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70,0</w:t>
            </w:r>
          </w:p>
        </w:tc>
        <w:tc>
          <w:tcPr>
            <w:tcW w:w="1767" w:type="dxa"/>
          </w:tcPr>
          <w:p w:rsidR="00B802C6" w:rsidRPr="0062383B" w:rsidRDefault="00B802C6" w:rsidP="00B802C6">
            <w:pPr>
              <w:jc w:val="center"/>
              <w:rPr>
                <w:color w:val="000000"/>
                <w:sz w:val="20"/>
                <w:szCs w:val="20"/>
              </w:rPr>
            </w:pPr>
            <w:r>
              <w:rPr>
                <w:color w:val="000000"/>
                <w:sz w:val="20"/>
                <w:szCs w:val="20"/>
              </w:rPr>
              <w:t>(0,01)</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0,4</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HCFC-225cb</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0,7</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20,9</w:t>
            </w:r>
          </w:p>
        </w:tc>
        <w:tc>
          <w:tcPr>
            <w:tcW w:w="1767" w:type="dxa"/>
          </w:tcPr>
          <w:p w:rsidR="00B802C6" w:rsidRPr="0062383B" w:rsidRDefault="00B802C6" w:rsidP="00B802C6">
            <w:pPr>
              <w:jc w:val="center"/>
              <w:rPr>
                <w:color w:val="000000"/>
                <w:sz w:val="20"/>
                <w:szCs w:val="20"/>
              </w:rPr>
            </w:pPr>
            <w:r>
              <w:rPr>
                <w:color w:val="000000"/>
                <w:sz w:val="20"/>
                <w:szCs w:val="20"/>
              </w:rPr>
              <w:t>(0,00)</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0,7</w:t>
            </w:r>
          </w:p>
        </w:tc>
      </w:tr>
      <w:tr w:rsidR="00B802C6" w:rsidRPr="0062383B" w:rsidTr="00E82C36">
        <w:trPr>
          <w:jc w:val="center"/>
        </w:trPr>
        <w:tc>
          <w:tcPr>
            <w:tcW w:w="2227" w:type="dxa"/>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 xml:space="preserve">Total </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812,6</w:t>
            </w:r>
          </w:p>
        </w:tc>
        <w:tc>
          <w:tcPr>
            <w:tcW w:w="1783" w:type="dxa"/>
            <w:gridSpan w:val="2"/>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539</w:t>
            </w:r>
            <w:r w:rsidR="003E0D64">
              <w:rPr>
                <w:color w:val="000000"/>
                <w:sz w:val="20"/>
                <w:szCs w:val="20"/>
              </w:rPr>
              <w:t> </w:t>
            </w:r>
            <w:r>
              <w:rPr>
                <w:color w:val="000000"/>
                <w:sz w:val="20"/>
                <w:szCs w:val="20"/>
              </w:rPr>
              <w:t>586,1</w:t>
            </w:r>
          </w:p>
        </w:tc>
        <w:tc>
          <w:tcPr>
            <w:tcW w:w="1767" w:type="dxa"/>
          </w:tcPr>
          <w:p w:rsidR="00B802C6" w:rsidRPr="0062383B" w:rsidRDefault="00B802C6" w:rsidP="00B802C6">
            <w:pPr>
              <w:jc w:val="center"/>
              <w:rPr>
                <w:color w:val="000000"/>
                <w:sz w:val="20"/>
                <w:szCs w:val="20"/>
              </w:rPr>
            </w:pPr>
            <w:r>
              <w:rPr>
                <w:color w:val="000000"/>
                <w:sz w:val="20"/>
                <w:szCs w:val="20"/>
              </w:rPr>
              <w:t>(100,0)</w:t>
            </w:r>
          </w:p>
        </w:tc>
        <w:tc>
          <w:tcPr>
            <w:tcW w:w="1800" w:type="dxa"/>
            <w:shd w:val="clear" w:color="auto" w:fill="auto"/>
            <w:noWrap/>
            <w:tcMar>
              <w:left w:w="115" w:type="dxa"/>
              <w:right w:w="360" w:type="dxa"/>
            </w:tcMar>
            <w:hideMark/>
          </w:tcPr>
          <w:p w:rsidR="00B802C6" w:rsidRPr="0062383B" w:rsidRDefault="00B802C6" w:rsidP="00B802C6">
            <w:pPr>
              <w:jc w:val="right"/>
              <w:rPr>
                <w:color w:val="000000"/>
                <w:sz w:val="20"/>
                <w:szCs w:val="20"/>
              </w:rPr>
            </w:pPr>
            <w:r>
              <w:rPr>
                <w:color w:val="000000"/>
                <w:sz w:val="20"/>
                <w:szCs w:val="20"/>
              </w:rPr>
              <w:t>32</w:t>
            </w:r>
            <w:r w:rsidR="003E0D64">
              <w:rPr>
                <w:color w:val="000000"/>
                <w:sz w:val="20"/>
                <w:szCs w:val="20"/>
              </w:rPr>
              <w:t> </w:t>
            </w:r>
            <w:r>
              <w:rPr>
                <w:color w:val="000000"/>
                <w:sz w:val="20"/>
                <w:szCs w:val="20"/>
              </w:rPr>
              <w:t>699,7</w:t>
            </w:r>
          </w:p>
        </w:tc>
      </w:tr>
      <w:tr w:rsidR="00B802C6" w:rsidRPr="0062383B" w:rsidTr="00E82C36">
        <w:trPr>
          <w:jc w:val="center"/>
        </w:trPr>
        <w:tc>
          <w:tcPr>
            <w:tcW w:w="2227" w:type="dxa"/>
            <w:shd w:val="clear" w:color="auto" w:fill="auto"/>
            <w:noWrap/>
            <w:tcMar>
              <w:left w:w="115" w:type="dxa"/>
              <w:right w:w="0" w:type="dxa"/>
            </w:tcMar>
            <w:vAlign w:val="bottom"/>
            <w:hideMark/>
          </w:tcPr>
          <w:p w:rsidR="00B802C6" w:rsidRPr="0062383B" w:rsidRDefault="00B802C6" w:rsidP="00B802C6">
            <w:pPr>
              <w:jc w:val="left"/>
              <w:rPr>
                <w:color w:val="000000"/>
                <w:sz w:val="20"/>
                <w:szCs w:val="20"/>
              </w:rPr>
            </w:pPr>
            <w:r>
              <w:rPr>
                <w:color w:val="000000"/>
                <w:sz w:val="20"/>
                <w:szCs w:val="20"/>
              </w:rPr>
              <w:t>HCFC-141b en polioles*</w:t>
            </w:r>
          </w:p>
        </w:tc>
        <w:tc>
          <w:tcPr>
            <w:tcW w:w="1783" w:type="dxa"/>
            <w:gridSpan w:val="2"/>
            <w:shd w:val="clear" w:color="auto" w:fill="auto"/>
            <w:noWrap/>
            <w:tcMar>
              <w:left w:w="115" w:type="dxa"/>
              <w:right w:w="360" w:type="dxa"/>
            </w:tcMar>
            <w:vAlign w:val="bottom"/>
            <w:hideMark/>
          </w:tcPr>
          <w:p w:rsidR="00B802C6" w:rsidRPr="0062383B" w:rsidRDefault="00B802C6" w:rsidP="00B802C6">
            <w:pPr>
              <w:jc w:val="right"/>
              <w:rPr>
                <w:color w:val="000000"/>
                <w:sz w:val="20"/>
                <w:szCs w:val="20"/>
                <w:lang w:val="en-CA" w:eastAsia="en-CA"/>
              </w:rPr>
            </w:pPr>
          </w:p>
        </w:tc>
        <w:tc>
          <w:tcPr>
            <w:tcW w:w="1783" w:type="dxa"/>
            <w:gridSpan w:val="2"/>
            <w:shd w:val="clear" w:color="auto" w:fill="auto"/>
            <w:noWrap/>
            <w:tcMar>
              <w:left w:w="115" w:type="dxa"/>
              <w:right w:w="360" w:type="dxa"/>
            </w:tcMar>
            <w:vAlign w:val="bottom"/>
            <w:hideMark/>
          </w:tcPr>
          <w:p w:rsidR="00B802C6" w:rsidRPr="0062383B" w:rsidRDefault="00B802C6" w:rsidP="00B802C6">
            <w:pPr>
              <w:jc w:val="right"/>
              <w:rPr>
                <w:color w:val="000000"/>
                <w:sz w:val="20"/>
                <w:szCs w:val="20"/>
                <w:lang w:val="en-CA" w:eastAsia="en-CA"/>
              </w:rPr>
            </w:pPr>
          </w:p>
        </w:tc>
        <w:tc>
          <w:tcPr>
            <w:tcW w:w="1767" w:type="dxa"/>
          </w:tcPr>
          <w:p w:rsidR="00B802C6" w:rsidRPr="0062383B" w:rsidRDefault="00B802C6" w:rsidP="00B802C6">
            <w:pPr>
              <w:jc w:val="right"/>
              <w:rPr>
                <w:color w:val="000000"/>
                <w:sz w:val="20"/>
                <w:szCs w:val="20"/>
                <w:lang w:val="en-CA" w:eastAsia="en-CA"/>
              </w:rPr>
            </w:pPr>
          </w:p>
        </w:tc>
        <w:tc>
          <w:tcPr>
            <w:tcW w:w="1800" w:type="dxa"/>
            <w:shd w:val="clear" w:color="auto" w:fill="auto"/>
            <w:noWrap/>
            <w:tcMar>
              <w:left w:w="115" w:type="dxa"/>
              <w:right w:w="360" w:type="dxa"/>
            </w:tcMar>
            <w:vAlign w:val="bottom"/>
            <w:hideMark/>
          </w:tcPr>
          <w:p w:rsidR="00B802C6" w:rsidRPr="0062383B" w:rsidRDefault="00B802C6" w:rsidP="00B802C6">
            <w:pPr>
              <w:jc w:val="right"/>
              <w:rPr>
                <w:color w:val="000000"/>
                <w:sz w:val="20"/>
                <w:szCs w:val="20"/>
              </w:rPr>
            </w:pPr>
            <w:r>
              <w:rPr>
                <w:color w:val="000000"/>
                <w:sz w:val="20"/>
                <w:szCs w:val="20"/>
              </w:rPr>
              <w:t>600,5</w:t>
            </w:r>
          </w:p>
        </w:tc>
      </w:tr>
    </w:tbl>
    <w:p w:rsidR="00B802C6" w:rsidRPr="0062383B" w:rsidRDefault="00B802C6" w:rsidP="00B802C6">
      <w:pPr>
        <w:pStyle w:val="FootnoteText"/>
        <w:rPr>
          <w:sz w:val="18"/>
          <w:szCs w:val="18"/>
        </w:rPr>
      </w:pPr>
      <w:r>
        <w:rPr>
          <w:sz w:val="18"/>
          <w:szCs w:val="18"/>
        </w:rPr>
        <w:t>* La cantidad media de HCFC-141b contenido en polioles importados en 2007, 2008 y 2009. Esta cantidad no se notifica con arreglo al artículo 7 del Protocolo de Montreal.</w:t>
      </w:r>
    </w:p>
    <w:p w:rsidR="00B802C6" w:rsidRPr="001F308F" w:rsidRDefault="00B802C6" w:rsidP="00B802C6">
      <w:pPr>
        <w:outlineLvl w:val="0"/>
        <w:rPr>
          <w:lang w:val="es-ES"/>
        </w:rPr>
      </w:pPr>
    </w:p>
    <w:p w:rsidR="00B802C6" w:rsidRPr="001F308F" w:rsidRDefault="00B802C6" w:rsidP="00B802C6">
      <w:pPr>
        <w:pStyle w:val="Heading1"/>
        <w:rPr>
          <w:lang w:val="es-ES"/>
        </w:rPr>
      </w:pPr>
      <w:r w:rsidRPr="001F308F">
        <w:rPr>
          <w:lang w:val="es-ES"/>
        </w:rPr>
        <w:t xml:space="preserve">Considerando los valores de PAO relativamente bajos de los tres HCFC más comúnmente utilizados (0,055 para el HCFC-22; 0,11 para el HCFC-141b; y 0,065 para el HCFC-142b) en comparación con aquellos del CFC-11 y CFC-12 (1,0 cada uno), nivel básico acumulado de HCFC es aproximadamente 15 veces más alto cuando se calcula en toneladas métricas en lugar de toneladas PAO. </w:t>
      </w:r>
    </w:p>
    <w:p w:rsidR="00B802C6" w:rsidRPr="001F308F" w:rsidRDefault="00B802C6" w:rsidP="00B802C6">
      <w:pPr>
        <w:pStyle w:val="Heading1"/>
        <w:keepNext/>
        <w:keepLines/>
        <w:numPr>
          <w:ilvl w:val="0"/>
          <w:numId w:val="0"/>
        </w:numPr>
        <w:rPr>
          <w:b/>
          <w:lang w:val="es-ES"/>
        </w:rPr>
      </w:pPr>
      <w:r w:rsidRPr="001F308F">
        <w:rPr>
          <w:b/>
          <w:lang w:val="es-ES"/>
        </w:rPr>
        <w:t>II.</w:t>
      </w:r>
      <w:r w:rsidRPr="001F308F">
        <w:rPr>
          <w:b/>
          <w:lang w:val="es-ES"/>
        </w:rPr>
        <w:tab/>
        <w:t>PRODUCCIÓN Y CONSUMO DE HFC EN LOS PAÍSES QUE OPERAN AL AMPARO DEL ARTÍCULO 5</w:t>
      </w:r>
    </w:p>
    <w:p w:rsidR="00B802C6" w:rsidRPr="001F308F" w:rsidRDefault="00B802C6" w:rsidP="00B802C6">
      <w:pPr>
        <w:pStyle w:val="Heading1"/>
        <w:keepNext/>
        <w:keepLines/>
        <w:rPr>
          <w:lang w:val="es-ES"/>
        </w:rPr>
      </w:pPr>
      <w:r w:rsidRPr="001F308F">
        <w:rPr>
          <w:lang w:val="es-ES"/>
        </w:rPr>
        <w:t xml:space="preserve">Los informes del equipo de tareas del GETE proporcionan datos mundiales sobre los HFC que se producen más comúnmente y datos sobre los HFC que se consumen más comúnmente, agregados por países que operan al amparo del artículo 5 y países que no operan al amparo de ese artículo. </w:t>
      </w:r>
    </w:p>
    <w:p w:rsidR="00B802C6" w:rsidRPr="0062383B" w:rsidRDefault="00B802C6" w:rsidP="00B802C6">
      <w:pPr>
        <w:rPr>
          <w:b/>
        </w:rPr>
      </w:pPr>
      <w:r>
        <w:rPr>
          <w:b/>
        </w:rPr>
        <w:t xml:space="preserve">Producción mundial de HFC </w:t>
      </w:r>
    </w:p>
    <w:p w:rsidR="00B802C6" w:rsidRPr="0062383B" w:rsidRDefault="00B802C6" w:rsidP="00B802C6">
      <w:pPr>
        <w:rPr>
          <w:lang w:val="en-CA"/>
        </w:rPr>
      </w:pPr>
    </w:p>
    <w:p w:rsidR="00B802C6" w:rsidRPr="001F308F" w:rsidRDefault="00B802C6" w:rsidP="00B802C6">
      <w:pPr>
        <w:numPr>
          <w:ilvl w:val="0"/>
          <w:numId w:val="1"/>
        </w:numPr>
        <w:tabs>
          <w:tab w:val="clear" w:pos="0"/>
        </w:tabs>
        <w:spacing w:after="240"/>
        <w:outlineLvl w:val="0"/>
        <w:rPr>
          <w:lang w:val="es-ES"/>
        </w:rPr>
      </w:pPr>
      <w:r w:rsidRPr="001F308F">
        <w:rPr>
          <w:lang w:val="es-ES"/>
        </w:rPr>
        <w:t>Se estimó que la producción mundial acumulada de HFC en 2015 ascendió a 314 515 toneladas métricas (tm), que comprenden: 98 500 tm de HFC-125; 71 000 tm de HFC-32; 17 000 tm de HFC</w:t>
      </w:r>
      <w:r w:rsidRPr="001F308F">
        <w:rPr>
          <w:lang w:val="es-ES"/>
        </w:rPr>
        <w:noBreakHyphen/>
        <w:t>143a y 126 000 tm de HFC-134a</w:t>
      </w:r>
      <w:r w:rsidRPr="0062383B">
        <w:rPr>
          <w:vertAlign w:val="superscript"/>
          <w:lang w:val="en-CA"/>
        </w:rPr>
        <w:footnoteReference w:id="23"/>
      </w:r>
      <w:r w:rsidRPr="001F308F">
        <w:rPr>
          <w:lang w:val="es-ES"/>
        </w:rPr>
        <w:t>. Una proporción sustancial del HFC-32 y el HFC-125 se utilizó en la producción de mezclas de HFC, principalmente R</w:t>
      </w:r>
      <w:r w:rsidRPr="001F308F">
        <w:rPr>
          <w:lang w:val="es-ES"/>
        </w:rPr>
        <w:noBreakHyphen/>
        <w:t>410A,</w:t>
      </w:r>
      <w:r w:rsidRPr="0062383B">
        <w:rPr>
          <w:vertAlign w:val="superscript"/>
          <w:lang w:val="en-CA"/>
        </w:rPr>
        <w:footnoteReference w:id="24"/>
      </w:r>
      <w:r w:rsidRPr="001F308F">
        <w:rPr>
          <w:lang w:val="es-ES"/>
        </w:rPr>
        <w:t xml:space="preserve"> R</w:t>
      </w:r>
      <w:r w:rsidRPr="001F308F">
        <w:rPr>
          <w:lang w:val="es-ES"/>
        </w:rPr>
        <w:noBreakHyphen/>
        <w:t>407C</w:t>
      </w:r>
      <w:r w:rsidRPr="0062383B">
        <w:rPr>
          <w:vertAlign w:val="superscript"/>
          <w:lang w:val="en-CA"/>
        </w:rPr>
        <w:footnoteReference w:id="25"/>
      </w:r>
      <w:r w:rsidRPr="001F308F">
        <w:rPr>
          <w:lang w:val="es-ES"/>
        </w:rPr>
        <w:t>, R-404A</w:t>
      </w:r>
      <w:r w:rsidRPr="0062383B">
        <w:rPr>
          <w:vertAlign w:val="superscript"/>
          <w:lang w:val="en-CA"/>
        </w:rPr>
        <w:footnoteReference w:id="26"/>
      </w:r>
      <w:r w:rsidRPr="001F308F">
        <w:rPr>
          <w:lang w:val="es-ES"/>
        </w:rPr>
        <w:t>, R-407F</w:t>
      </w:r>
      <w:r w:rsidRPr="0062383B">
        <w:rPr>
          <w:vertAlign w:val="superscript"/>
          <w:lang w:val="en-CA"/>
        </w:rPr>
        <w:footnoteReference w:id="27"/>
      </w:r>
      <w:r w:rsidRPr="001F308F">
        <w:rPr>
          <w:lang w:val="es-ES"/>
        </w:rPr>
        <w:t xml:space="preserve"> y R</w:t>
      </w:r>
      <w:r w:rsidRPr="001F308F">
        <w:rPr>
          <w:lang w:val="es-ES"/>
        </w:rPr>
        <w:noBreakHyphen/>
        <w:t>507A.</w:t>
      </w:r>
      <w:r w:rsidRPr="0062383B">
        <w:rPr>
          <w:vertAlign w:val="superscript"/>
          <w:lang w:val="en-CA"/>
        </w:rPr>
        <w:footnoteReference w:id="28"/>
      </w:r>
      <w:r w:rsidRPr="001F308F">
        <w:rPr>
          <w:lang w:val="es-ES"/>
        </w:rPr>
        <w:t xml:space="preserve"> </w:t>
      </w:r>
    </w:p>
    <w:p w:rsidR="00B802C6" w:rsidRPr="001F308F" w:rsidRDefault="00B802C6" w:rsidP="00B802C6">
      <w:pPr>
        <w:numPr>
          <w:ilvl w:val="0"/>
          <w:numId w:val="1"/>
        </w:numPr>
        <w:tabs>
          <w:tab w:val="clear" w:pos="0"/>
        </w:tabs>
        <w:spacing w:after="240"/>
        <w:outlineLvl w:val="0"/>
        <w:rPr>
          <w:lang w:val="es-ES"/>
        </w:rPr>
      </w:pPr>
      <w:r w:rsidRPr="001F308F">
        <w:rPr>
          <w:lang w:val="es-ES"/>
        </w:rPr>
        <w:t xml:space="preserve">Como referencia, el nivel básico acumulado de producción de HCFC en los países que operan al amparo del artículo 5 ascendió a 501 266 tm (la producción de un país ascendió a 430 962 tm). </w:t>
      </w:r>
    </w:p>
    <w:p w:rsidR="00B802C6" w:rsidRPr="001F308F" w:rsidRDefault="00B802C6" w:rsidP="00B802C6">
      <w:pPr>
        <w:spacing w:after="240"/>
        <w:outlineLvl w:val="0"/>
        <w:rPr>
          <w:b/>
          <w:lang w:val="es-ES"/>
        </w:rPr>
      </w:pPr>
      <w:r w:rsidRPr="001F308F">
        <w:rPr>
          <w:b/>
          <w:lang w:val="es-ES"/>
        </w:rPr>
        <w:t>Consumo acumulado de HFC en los países que operan al amparo del artículo 5</w:t>
      </w:r>
    </w:p>
    <w:p w:rsidR="00B802C6" w:rsidRPr="001F308F" w:rsidRDefault="00B802C6" w:rsidP="00B802C6">
      <w:pPr>
        <w:pStyle w:val="Heading1"/>
        <w:rPr>
          <w:lang w:val="es-ES"/>
        </w:rPr>
      </w:pPr>
      <w:r w:rsidRPr="001F308F">
        <w:rPr>
          <w:lang w:val="es-ES"/>
        </w:rPr>
        <w:t>El nivel de consumo acumulado de HFC en los países que operan al amparo del artículo 5 ascendió a 284 325 tm en 2015; el consumo de HFC-134a, R-410A, R-407C, R-404A y R-507A representó más del 97</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1F308F">
        <w:rPr>
          <w:lang w:val="es-ES"/>
        </w:rPr>
        <w:t xml:space="preserve"> del consumo total. En un escenario en que todo sigue igual, se esperaría que el consumo acumulado de HFC aumente a 1 021 216 tm en 2030, con una tasa media de crecimiento anual del 9,9</w:t>
      </w:r>
      <w:r w:rsidR="00E42AEA">
        <w:rPr>
          <w:color w:val="000000" w:themeColor="text1"/>
          <w:sz w:val="20"/>
          <w:szCs w:val="20"/>
          <w:lang w:val="es-MX"/>
        </w:rPr>
        <w:t> por ciento</w:t>
      </w:r>
      <w:r w:rsidRPr="001F308F">
        <w:rPr>
          <w:lang w:val="es-ES"/>
        </w:rPr>
        <w:t xml:space="preserve"> entre 2015 y 2025, como se muestra en el Cuadro 2. </w:t>
      </w:r>
    </w:p>
    <w:p w:rsidR="00B802C6" w:rsidRPr="001F308F" w:rsidRDefault="00B802C6" w:rsidP="003E0D64">
      <w:pPr>
        <w:keepNext/>
        <w:outlineLvl w:val="0"/>
        <w:rPr>
          <w:b/>
          <w:lang w:val="es-ES"/>
        </w:rPr>
      </w:pPr>
      <w:r w:rsidRPr="001F308F">
        <w:rPr>
          <w:b/>
          <w:lang w:val="es-ES"/>
        </w:rPr>
        <w:lastRenderedPageBreak/>
        <w:t>Cuadro 2. Consumo de HFC en los países que operan al amparo del artículo 5 informado por el equipo de tareas del GETE</w:t>
      </w:r>
    </w:p>
    <w:tbl>
      <w:tblPr>
        <w:tblW w:w="9360" w:type="dxa"/>
        <w:jc w:val="center"/>
        <w:tblLayout w:type="fixed"/>
        <w:tblLook w:val="04A0" w:firstRow="1" w:lastRow="0" w:firstColumn="1" w:lastColumn="0" w:noHBand="0" w:noVBand="1"/>
      </w:tblPr>
      <w:tblGrid>
        <w:gridCol w:w="2610"/>
        <w:gridCol w:w="1350"/>
        <w:gridCol w:w="1350"/>
        <w:gridCol w:w="1350"/>
        <w:gridCol w:w="1350"/>
        <w:gridCol w:w="1350"/>
      </w:tblGrid>
      <w:tr w:rsidR="00B802C6" w:rsidRPr="0062383B" w:rsidTr="00E82C36">
        <w:trPr>
          <w:tblHeader/>
          <w:jc w:val="center"/>
        </w:trPr>
        <w:tc>
          <w:tcPr>
            <w:tcW w:w="2610" w:type="dxa"/>
            <w:vMerge w:val="restart"/>
            <w:tcBorders>
              <w:top w:val="single" w:sz="4" w:space="0" w:color="auto"/>
              <w:left w:val="single" w:sz="4" w:space="0" w:color="auto"/>
              <w:right w:val="single" w:sz="4" w:space="0" w:color="auto"/>
            </w:tcBorders>
            <w:shd w:val="clear" w:color="auto" w:fill="auto"/>
            <w:noWrap/>
            <w:vAlign w:val="center"/>
          </w:tcPr>
          <w:p w:rsidR="00B802C6" w:rsidRPr="0062383B" w:rsidRDefault="00B802C6" w:rsidP="00B802C6">
            <w:pPr>
              <w:jc w:val="left"/>
              <w:rPr>
                <w:b/>
                <w:bCs/>
                <w:color w:val="000000"/>
                <w:sz w:val="20"/>
                <w:szCs w:val="20"/>
              </w:rPr>
            </w:pPr>
            <w:r>
              <w:rPr>
                <w:b/>
                <w:bCs/>
                <w:color w:val="000000"/>
                <w:sz w:val="20"/>
                <w:szCs w:val="20"/>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rsidR="00B802C6" w:rsidRPr="0062383B" w:rsidRDefault="00B802C6" w:rsidP="00B802C6">
            <w:pPr>
              <w:jc w:val="center"/>
              <w:rPr>
                <w:b/>
                <w:bCs/>
                <w:color w:val="000000"/>
                <w:sz w:val="20"/>
                <w:szCs w:val="20"/>
              </w:rPr>
            </w:pPr>
            <w:r>
              <w:rPr>
                <w:b/>
                <w:bCs/>
                <w:color w:val="000000"/>
                <w:sz w:val="20"/>
                <w:szCs w:val="20"/>
              </w:rPr>
              <w:t>Consumo (tm)</w:t>
            </w:r>
          </w:p>
        </w:tc>
        <w:tc>
          <w:tcPr>
            <w:tcW w:w="1350" w:type="dxa"/>
            <w:vMerge w:val="restart"/>
            <w:tcBorders>
              <w:top w:val="single" w:sz="4" w:space="0" w:color="auto"/>
              <w:left w:val="nil"/>
              <w:right w:val="single" w:sz="4" w:space="0" w:color="auto"/>
            </w:tcBorders>
            <w:shd w:val="clear" w:color="auto" w:fill="auto"/>
            <w:noWrap/>
            <w:vAlign w:val="center"/>
          </w:tcPr>
          <w:p w:rsidR="00B802C6" w:rsidRPr="0062383B" w:rsidRDefault="00B802C6" w:rsidP="00B802C6">
            <w:pPr>
              <w:jc w:val="center"/>
              <w:rPr>
                <w:b/>
                <w:color w:val="000000"/>
                <w:sz w:val="20"/>
                <w:szCs w:val="20"/>
              </w:rPr>
            </w:pPr>
            <w:r>
              <w:rPr>
                <w:b/>
                <w:color w:val="000000"/>
                <w:sz w:val="20"/>
                <w:szCs w:val="20"/>
              </w:rPr>
              <w:t>Tasa de crecimiento (%)*</w:t>
            </w:r>
          </w:p>
        </w:tc>
      </w:tr>
      <w:tr w:rsidR="00B802C6" w:rsidRPr="0062383B" w:rsidTr="00E82C36">
        <w:trPr>
          <w:tblHeader/>
          <w:jc w:val="center"/>
        </w:trPr>
        <w:tc>
          <w:tcPr>
            <w:tcW w:w="2610" w:type="dxa"/>
            <w:vMerge/>
            <w:tcBorders>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b/>
                <w:bCs/>
                <w:color w:val="000000"/>
                <w:sz w:val="20"/>
                <w:szCs w:val="20"/>
                <w:lang w:val="en-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b/>
                <w:bCs/>
                <w:color w:val="000000"/>
                <w:sz w:val="20"/>
                <w:szCs w:val="20"/>
              </w:rPr>
            </w:pPr>
            <w:r>
              <w:rPr>
                <w:b/>
                <w:bCs/>
                <w:color w:val="000000"/>
                <w:sz w:val="20"/>
                <w:szCs w:val="20"/>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b/>
                <w:bCs/>
                <w:color w:val="000000"/>
                <w:sz w:val="20"/>
                <w:szCs w:val="20"/>
              </w:rPr>
            </w:pPr>
            <w:r>
              <w:rPr>
                <w:b/>
                <w:bCs/>
                <w:color w:val="000000"/>
                <w:sz w:val="20"/>
                <w:szCs w:val="20"/>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b/>
                <w:bCs/>
                <w:color w:val="000000"/>
                <w:sz w:val="20"/>
                <w:szCs w:val="20"/>
              </w:rPr>
            </w:pPr>
            <w:r>
              <w:rPr>
                <w:b/>
                <w:bCs/>
                <w:color w:val="000000"/>
                <w:sz w:val="20"/>
                <w:szCs w:val="20"/>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b/>
                <w:bCs/>
                <w:color w:val="000000"/>
                <w:sz w:val="20"/>
                <w:szCs w:val="20"/>
              </w:rPr>
            </w:pPr>
            <w:r>
              <w:rPr>
                <w:b/>
                <w:bCs/>
                <w:color w:val="000000"/>
                <w:sz w:val="20"/>
                <w:szCs w:val="20"/>
              </w:rPr>
              <w:t>2030</w:t>
            </w:r>
          </w:p>
        </w:tc>
        <w:tc>
          <w:tcPr>
            <w:tcW w:w="1350" w:type="dxa"/>
            <w:vMerge/>
            <w:tcBorders>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b/>
                <w:color w:val="000000"/>
                <w:sz w:val="20"/>
                <w:szCs w:val="20"/>
                <w:lang w:val="en-CA" w:eastAsia="en-CA"/>
              </w:rPr>
            </w:pP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78</w:t>
            </w:r>
            <w:r w:rsidR="003E0D64">
              <w:rPr>
                <w:color w:val="000000"/>
                <w:sz w:val="20"/>
                <w:szCs w:val="20"/>
              </w:rPr>
              <w:t> </w:t>
            </w:r>
            <w:r>
              <w:rPr>
                <w:color w:val="000000"/>
                <w:sz w:val="20"/>
                <w:szCs w:val="20"/>
              </w:rPr>
              <w:t>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106</w:t>
            </w:r>
            <w:r w:rsidR="003E0D64">
              <w:rPr>
                <w:color w:val="000000"/>
                <w:sz w:val="20"/>
                <w:szCs w:val="20"/>
              </w:rPr>
              <w:t> </w:t>
            </w:r>
            <w:r>
              <w:rPr>
                <w:color w:val="000000"/>
                <w:sz w:val="20"/>
                <w:szCs w:val="20"/>
              </w:rPr>
              <w:t>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139</w:t>
            </w:r>
            <w:r w:rsidR="003E0D64">
              <w:rPr>
                <w:color w:val="000000"/>
                <w:sz w:val="20"/>
                <w:szCs w:val="20"/>
              </w:rPr>
              <w:t> </w:t>
            </w:r>
            <w:r>
              <w:rPr>
                <w:color w:val="000000"/>
                <w:sz w:val="20"/>
                <w:szCs w:val="20"/>
              </w:rPr>
              <w:t>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177</w:t>
            </w:r>
            <w:r w:rsidR="003E0D64">
              <w:rPr>
                <w:color w:val="000000"/>
                <w:sz w:val="20"/>
                <w:szCs w:val="20"/>
              </w:rPr>
              <w:t> </w:t>
            </w:r>
            <w:r>
              <w:rPr>
                <w:color w:val="000000"/>
                <w:sz w:val="20"/>
                <w:szCs w:val="20"/>
              </w:rPr>
              <w:t>432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5,9</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106</w:t>
            </w:r>
            <w:r w:rsidR="003E0D64">
              <w:rPr>
                <w:color w:val="000000"/>
                <w:sz w:val="20"/>
                <w:szCs w:val="20"/>
              </w:rPr>
              <w:t> </w:t>
            </w:r>
            <w:r>
              <w:rPr>
                <w:color w:val="000000"/>
                <w:sz w:val="20"/>
                <w:szCs w:val="20"/>
              </w:rPr>
              <w:t>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192</w:t>
            </w:r>
            <w:r w:rsidR="003E0D64">
              <w:rPr>
                <w:color w:val="000000"/>
                <w:sz w:val="20"/>
                <w:szCs w:val="20"/>
              </w:rPr>
              <w:t> </w:t>
            </w:r>
            <w:r>
              <w:rPr>
                <w:color w:val="000000"/>
                <w:sz w:val="20"/>
                <w:szCs w:val="20"/>
              </w:rPr>
              <w:t>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284</w:t>
            </w:r>
            <w:r w:rsidR="003E0D64">
              <w:rPr>
                <w:color w:val="000000"/>
                <w:sz w:val="20"/>
                <w:szCs w:val="20"/>
              </w:rPr>
              <w:t> </w:t>
            </w:r>
            <w:r>
              <w:rPr>
                <w:color w:val="000000"/>
                <w:sz w:val="20"/>
                <w:szCs w:val="20"/>
              </w:rPr>
              <w:t>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364</w:t>
            </w:r>
            <w:r w:rsidR="003E0D64">
              <w:rPr>
                <w:color w:val="000000"/>
                <w:sz w:val="20"/>
                <w:szCs w:val="20"/>
              </w:rPr>
              <w:t> </w:t>
            </w:r>
            <w:r>
              <w:rPr>
                <w:color w:val="000000"/>
                <w:sz w:val="20"/>
                <w:szCs w:val="20"/>
              </w:rPr>
              <w:t>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10,3</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55</w:t>
            </w:r>
            <w:r w:rsidR="003E0D64">
              <w:rPr>
                <w:color w:val="000000"/>
                <w:sz w:val="20"/>
                <w:szCs w:val="20"/>
              </w:rPr>
              <w:t> </w:t>
            </w:r>
            <w:r>
              <w:rPr>
                <w:color w:val="000000"/>
                <w:sz w:val="20"/>
                <w:szCs w:val="20"/>
              </w:rPr>
              <w:t>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101</w:t>
            </w:r>
            <w:r w:rsidR="003E0D64">
              <w:rPr>
                <w:color w:val="000000"/>
                <w:sz w:val="20"/>
                <w:szCs w:val="20"/>
              </w:rPr>
              <w:t> </w:t>
            </w:r>
            <w:r>
              <w:rPr>
                <w:color w:val="000000"/>
                <w:sz w:val="20"/>
                <w:szCs w:val="20"/>
              </w:rPr>
              <w:t>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174</w:t>
            </w:r>
            <w:r w:rsidR="003E0D64">
              <w:rPr>
                <w:color w:val="000000"/>
                <w:sz w:val="20"/>
                <w:szCs w:val="20"/>
              </w:rPr>
              <w:t> </w:t>
            </w:r>
            <w:r>
              <w:rPr>
                <w:color w:val="000000"/>
                <w:sz w:val="20"/>
                <w:szCs w:val="20"/>
              </w:rPr>
              <w:t>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285</w:t>
            </w:r>
            <w:r w:rsidR="003E0D64">
              <w:rPr>
                <w:color w:val="000000"/>
                <w:sz w:val="20"/>
                <w:szCs w:val="20"/>
              </w:rPr>
              <w:t> </w:t>
            </w:r>
            <w:r>
              <w:rPr>
                <w:color w:val="000000"/>
                <w:sz w:val="20"/>
                <w:szCs w:val="20"/>
              </w:rPr>
              <w:t>500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12,2</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18</w:t>
            </w:r>
            <w:r w:rsidR="003E0D64">
              <w:rPr>
                <w:color w:val="000000"/>
                <w:sz w:val="20"/>
                <w:szCs w:val="20"/>
              </w:rPr>
              <w:t> </w:t>
            </w:r>
            <w:r>
              <w:rPr>
                <w:color w:val="000000"/>
                <w:sz w:val="20"/>
                <w:szCs w:val="20"/>
              </w:rPr>
              <w:t>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31</w:t>
            </w:r>
            <w:r w:rsidR="003E0D64">
              <w:rPr>
                <w:color w:val="000000"/>
                <w:sz w:val="20"/>
                <w:szCs w:val="20"/>
              </w:rPr>
              <w:t> </w:t>
            </w:r>
            <w:r>
              <w:rPr>
                <w:color w:val="000000"/>
                <w:sz w:val="20"/>
                <w:szCs w:val="20"/>
              </w:rPr>
              <w:t>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55</w:t>
            </w:r>
            <w:r w:rsidR="003E0D64">
              <w:rPr>
                <w:color w:val="000000"/>
                <w:sz w:val="20"/>
                <w:szCs w:val="20"/>
              </w:rPr>
              <w:t> </w:t>
            </w:r>
            <w:r>
              <w:rPr>
                <w:color w:val="000000"/>
                <w:sz w:val="20"/>
                <w:szCs w:val="20"/>
              </w:rPr>
              <w:t>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83</w:t>
            </w:r>
            <w:r w:rsidR="003E0D64">
              <w:rPr>
                <w:color w:val="000000"/>
                <w:sz w:val="20"/>
                <w:szCs w:val="20"/>
              </w:rPr>
              <w:t> </w:t>
            </w:r>
            <w:r>
              <w:rPr>
                <w:color w:val="000000"/>
                <w:sz w:val="20"/>
                <w:szCs w:val="20"/>
              </w:rPr>
              <w:t>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11,9</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18</w:t>
            </w:r>
            <w:r w:rsidR="003E0D64">
              <w:rPr>
                <w:color w:val="000000"/>
                <w:sz w:val="20"/>
                <w:szCs w:val="20"/>
              </w:rPr>
              <w:t> </w:t>
            </w:r>
            <w:r>
              <w:rPr>
                <w:color w:val="000000"/>
                <w:sz w:val="20"/>
                <w:szCs w:val="20"/>
              </w:rPr>
              <w:t>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31</w:t>
            </w:r>
            <w:r w:rsidR="003E0D64">
              <w:rPr>
                <w:color w:val="000000"/>
                <w:sz w:val="20"/>
                <w:szCs w:val="20"/>
              </w:rPr>
              <w:t> </w:t>
            </w:r>
            <w:r>
              <w:rPr>
                <w:color w:val="000000"/>
                <w:sz w:val="20"/>
                <w:szCs w:val="20"/>
              </w:rPr>
              <w:t>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55</w:t>
            </w:r>
            <w:r w:rsidR="003E0D64">
              <w:rPr>
                <w:color w:val="000000"/>
                <w:sz w:val="20"/>
                <w:szCs w:val="20"/>
              </w:rPr>
              <w:t> </w:t>
            </w:r>
            <w:r>
              <w:rPr>
                <w:color w:val="000000"/>
                <w:sz w:val="20"/>
                <w:szCs w:val="20"/>
              </w:rPr>
              <w:t>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83</w:t>
            </w:r>
            <w:r w:rsidR="003E0D64">
              <w:rPr>
                <w:color w:val="000000"/>
                <w:sz w:val="20"/>
                <w:szCs w:val="20"/>
              </w:rPr>
              <w:t> </w:t>
            </w:r>
            <w:r>
              <w:rPr>
                <w:color w:val="000000"/>
                <w:sz w:val="20"/>
                <w:szCs w:val="20"/>
              </w:rPr>
              <w:t>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11,9</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11</w:t>
            </w:r>
            <w:r w:rsidR="003E0D64">
              <w:rPr>
                <w:color w:val="000000"/>
                <w:sz w:val="20"/>
                <w:szCs w:val="20"/>
              </w:rPr>
              <w:t> </w:t>
            </w:r>
            <w:r>
              <w:rPr>
                <w:color w:val="000000"/>
                <w:sz w:val="20"/>
                <w:szCs w:val="20"/>
              </w:rPr>
              <w:t>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15</w:t>
            </w:r>
            <w:r w:rsidR="003E0D64">
              <w:rPr>
                <w:color w:val="000000"/>
                <w:sz w:val="20"/>
                <w:szCs w:val="20"/>
              </w:rPr>
              <w:t> </w:t>
            </w:r>
            <w:r>
              <w:rPr>
                <w:color w:val="000000"/>
                <w:sz w:val="20"/>
                <w:szCs w:val="20"/>
              </w:rPr>
              <w:t>225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12,9</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504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8,7</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020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10,0</w:t>
            </w:r>
          </w:p>
        </w:tc>
      </w:tr>
      <w:tr w:rsidR="00B802C6" w:rsidRPr="0062383B" w:rsidTr="00E82C36">
        <w:trPr>
          <w:jc w:val="center"/>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284</w:t>
            </w:r>
            <w:r w:rsidR="003E0D64">
              <w:rPr>
                <w:color w:val="000000"/>
                <w:sz w:val="20"/>
                <w:szCs w:val="20"/>
              </w:rPr>
              <w:t> </w:t>
            </w:r>
            <w:r>
              <w:rPr>
                <w:color w:val="000000"/>
                <w:sz w:val="20"/>
                <w:szCs w:val="20"/>
              </w:rPr>
              <w:t>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477</w:t>
            </w:r>
            <w:r w:rsidR="003E0D64">
              <w:rPr>
                <w:color w:val="000000"/>
                <w:sz w:val="20"/>
                <w:szCs w:val="20"/>
              </w:rPr>
              <w:t> </w:t>
            </w:r>
            <w:r>
              <w:rPr>
                <w:color w:val="000000"/>
                <w:sz w:val="20"/>
                <w:szCs w:val="20"/>
              </w:rPr>
              <w:t>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731</w:t>
            </w:r>
            <w:r w:rsidR="003E0D64">
              <w:rPr>
                <w:color w:val="000000"/>
                <w:sz w:val="20"/>
                <w:szCs w:val="20"/>
              </w:rPr>
              <w:t> </w:t>
            </w:r>
            <w:r>
              <w:rPr>
                <w:color w:val="000000"/>
                <w:sz w:val="20"/>
                <w:szCs w:val="20"/>
              </w:rPr>
              <w:t>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021</w:t>
            </w:r>
            <w:r w:rsidR="003E0D64">
              <w:rPr>
                <w:color w:val="000000"/>
                <w:sz w:val="20"/>
                <w:szCs w:val="20"/>
              </w:rPr>
              <w:t> </w:t>
            </w:r>
            <w:r>
              <w:rPr>
                <w:color w:val="000000"/>
                <w:sz w:val="20"/>
                <w:szCs w:val="20"/>
              </w:rPr>
              <w:t>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B802C6" w:rsidRPr="0062383B" w:rsidRDefault="00B802C6" w:rsidP="00B802C6">
            <w:pPr>
              <w:jc w:val="right"/>
              <w:rPr>
                <w:sz w:val="20"/>
                <w:szCs w:val="20"/>
              </w:rPr>
            </w:pPr>
            <w:r>
              <w:rPr>
                <w:sz w:val="20"/>
                <w:szCs w:val="20"/>
              </w:rPr>
              <w:t>9,9</w:t>
            </w:r>
          </w:p>
        </w:tc>
      </w:tr>
    </w:tbl>
    <w:p w:rsidR="00B802C6" w:rsidRPr="001F308F" w:rsidRDefault="00B802C6" w:rsidP="00B802C6">
      <w:pPr>
        <w:ind w:left="1440" w:hanging="1440"/>
        <w:outlineLvl w:val="0"/>
        <w:rPr>
          <w:sz w:val="19"/>
          <w:szCs w:val="19"/>
          <w:lang w:val="es-ES"/>
        </w:rPr>
      </w:pPr>
      <w:r w:rsidRPr="001F308F">
        <w:rPr>
          <w:sz w:val="19"/>
          <w:szCs w:val="19"/>
          <w:lang w:val="es-ES"/>
        </w:rPr>
        <w:t>* Tasa de crecimiento media entre 2015 y 2025.</w:t>
      </w:r>
    </w:p>
    <w:p w:rsidR="00B802C6" w:rsidRPr="001F308F" w:rsidRDefault="00B802C6" w:rsidP="00B802C6">
      <w:pPr>
        <w:ind w:left="1440" w:hanging="1440"/>
        <w:outlineLvl w:val="0"/>
        <w:rPr>
          <w:lang w:val="es-ES"/>
        </w:rPr>
      </w:pPr>
    </w:p>
    <w:p w:rsidR="00B802C6" w:rsidRPr="001F308F" w:rsidRDefault="00B802C6" w:rsidP="00B802C6">
      <w:pPr>
        <w:ind w:left="1440" w:hanging="1440"/>
        <w:outlineLvl w:val="0"/>
        <w:rPr>
          <w:b/>
          <w:lang w:val="es-ES"/>
        </w:rPr>
      </w:pPr>
      <w:r w:rsidRPr="001F308F">
        <w:rPr>
          <w:b/>
          <w:lang w:val="es-ES"/>
        </w:rPr>
        <w:t xml:space="preserve">Estudios de alternativas a las SAO </w:t>
      </w:r>
    </w:p>
    <w:p w:rsidR="00B802C6" w:rsidRPr="001F308F" w:rsidRDefault="00B802C6" w:rsidP="00B802C6">
      <w:pPr>
        <w:rPr>
          <w:lang w:val="es-ES"/>
        </w:rPr>
      </w:pPr>
    </w:p>
    <w:p w:rsidR="00B802C6" w:rsidRPr="001F308F" w:rsidRDefault="00B802C6" w:rsidP="00B802C6">
      <w:pPr>
        <w:pStyle w:val="Heading1"/>
        <w:rPr>
          <w:lang w:val="es-ES"/>
        </w:rPr>
      </w:pPr>
      <w:r w:rsidRPr="001F308F">
        <w:rPr>
          <w:lang w:val="es-ES"/>
        </w:rPr>
        <w:t>En los estudios de alternativas a las SAO realizados en 119 países que operan al amparo del artículo 5 se informó el consumo de 13 HFC puros y 37 mezclas de HFC. No obstante, en la mayoría de los países se consumía solo HFC-134a, R</w:t>
      </w:r>
      <w:r w:rsidRPr="001F308F">
        <w:rPr>
          <w:lang w:val="es-ES"/>
        </w:rPr>
        <w:noBreakHyphen/>
        <w:t>410A, R-404A y R</w:t>
      </w:r>
      <w:r w:rsidRPr="001F308F">
        <w:rPr>
          <w:lang w:val="es-ES"/>
        </w:rPr>
        <w:noBreakHyphen/>
        <w:t>407C; en 70 países, se consumía R-507A. En el Cuadro 3 se presenta un resumen del consumo de HFC informado en los estudios en el período desde 2012 hasta 2015.</w:t>
      </w:r>
    </w:p>
    <w:p w:rsidR="00B802C6" w:rsidRPr="001F308F" w:rsidRDefault="00B802C6" w:rsidP="00B802C6">
      <w:pPr>
        <w:keepNext/>
        <w:keepLines/>
        <w:outlineLvl w:val="0"/>
        <w:rPr>
          <w:b/>
          <w:lang w:val="es-ES"/>
        </w:rPr>
      </w:pPr>
      <w:r w:rsidRPr="001F308F">
        <w:rPr>
          <w:b/>
          <w:lang w:val="es-ES"/>
        </w:rPr>
        <w:t>Cuadro 3. Consumo de HFC en 119 países que operan al amparo del artículo 5 según lo informado en los estudios sobre las SAO</w:t>
      </w:r>
    </w:p>
    <w:tbl>
      <w:tblPr>
        <w:tblW w:w="9389" w:type="dxa"/>
        <w:tblLayout w:type="fixed"/>
        <w:tblLook w:val="04A0" w:firstRow="1" w:lastRow="0" w:firstColumn="1" w:lastColumn="0" w:noHBand="0" w:noVBand="1"/>
      </w:tblPr>
      <w:tblGrid>
        <w:gridCol w:w="1656"/>
        <w:gridCol w:w="966"/>
        <w:gridCol w:w="967"/>
        <w:gridCol w:w="966"/>
        <w:gridCol w:w="967"/>
        <w:gridCol w:w="967"/>
        <w:gridCol w:w="966"/>
        <w:gridCol w:w="967"/>
        <w:gridCol w:w="967"/>
      </w:tblGrid>
      <w:tr w:rsidR="00B802C6" w:rsidRPr="001F308F" w:rsidTr="00B802C6">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tcPr>
          <w:p w:rsidR="00B802C6" w:rsidRPr="001F308F" w:rsidRDefault="00B802C6" w:rsidP="00B802C6">
            <w:pPr>
              <w:keepNext/>
              <w:keepLines/>
              <w:jc w:val="left"/>
              <w:rPr>
                <w:b/>
                <w:color w:val="000000"/>
                <w:sz w:val="20"/>
                <w:szCs w:val="20"/>
                <w:lang w:val="es-ES" w:eastAsia="en-CA"/>
              </w:rPr>
            </w:pPr>
          </w:p>
        </w:tc>
        <w:tc>
          <w:tcPr>
            <w:tcW w:w="3866" w:type="dxa"/>
            <w:gridSpan w:val="4"/>
            <w:tcBorders>
              <w:top w:val="single" w:sz="4" w:space="0" w:color="auto"/>
              <w:left w:val="nil"/>
              <w:bottom w:val="single" w:sz="4" w:space="0" w:color="auto"/>
              <w:right w:val="single" w:sz="4" w:space="0" w:color="auto"/>
            </w:tcBorders>
            <w:shd w:val="clear" w:color="auto" w:fill="auto"/>
            <w:noWrap/>
            <w:vAlign w:val="center"/>
          </w:tcPr>
          <w:p w:rsidR="00B802C6" w:rsidRPr="001F308F" w:rsidRDefault="00B802C6" w:rsidP="00B802C6">
            <w:pPr>
              <w:keepNext/>
              <w:keepLines/>
              <w:jc w:val="center"/>
              <w:rPr>
                <w:b/>
                <w:color w:val="000000"/>
                <w:sz w:val="20"/>
                <w:szCs w:val="20"/>
                <w:lang w:val="es-ES"/>
              </w:rPr>
            </w:pPr>
            <w:r w:rsidRPr="001F308F">
              <w:rPr>
                <w:b/>
                <w:color w:val="000000"/>
                <w:sz w:val="20"/>
                <w:szCs w:val="20"/>
                <w:lang w:val="es-ES"/>
              </w:rPr>
              <w:t>42 países que no son de bajo volumen de consumo</w:t>
            </w:r>
          </w:p>
        </w:tc>
        <w:tc>
          <w:tcPr>
            <w:tcW w:w="3867" w:type="dxa"/>
            <w:gridSpan w:val="4"/>
            <w:tcBorders>
              <w:top w:val="single" w:sz="4" w:space="0" w:color="auto"/>
              <w:left w:val="nil"/>
              <w:bottom w:val="single" w:sz="4" w:space="0" w:color="auto"/>
              <w:right w:val="single" w:sz="4" w:space="0" w:color="auto"/>
            </w:tcBorders>
            <w:shd w:val="clear" w:color="auto" w:fill="auto"/>
            <w:noWrap/>
            <w:vAlign w:val="center"/>
          </w:tcPr>
          <w:p w:rsidR="00B802C6" w:rsidRPr="001F308F" w:rsidRDefault="00B802C6" w:rsidP="00B802C6">
            <w:pPr>
              <w:keepNext/>
              <w:keepLines/>
              <w:jc w:val="center"/>
              <w:rPr>
                <w:b/>
                <w:color w:val="000000"/>
                <w:sz w:val="20"/>
                <w:szCs w:val="20"/>
                <w:lang w:val="es-ES"/>
              </w:rPr>
            </w:pPr>
            <w:r w:rsidRPr="001F308F">
              <w:rPr>
                <w:b/>
                <w:color w:val="000000"/>
                <w:sz w:val="20"/>
                <w:szCs w:val="20"/>
                <w:lang w:val="es-ES"/>
              </w:rPr>
              <w:t>77 países de bajo volumen de consumo</w:t>
            </w:r>
          </w:p>
        </w:tc>
      </w:tr>
      <w:tr w:rsidR="00B802C6" w:rsidRPr="0062383B" w:rsidTr="00B802C6">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keepNext/>
              <w:keepLines/>
              <w:jc w:val="left"/>
              <w:rPr>
                <w:b/>
                <w:color w:val="000000"/>
                <w:sz w:val="20"/>
                <w:szCs w:val="20"/>
              </w:rPr>
            </w:pPr>
            <w:r>
              <w:rPr>
                <w:b/>
                <w:color w:val="000000"/>
                <w:sz w:val="20"/>
                <w:szCs w:val="20"/>
              </w:rPr>
              <w:t>HFC</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2012</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2013</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2015</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2012</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2013</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keepLines/>
              <w:jc w:val="center"/>
              <w:rPr>
                <w:b/>
                <w:color w:val="000000"/>
                <w:sz w:val="20"/>
                <w:szCs w:val="20"/>
              </w:rPr>
            </w:pPr>
            <w:r>
              <w:rPr>
                <w:b/>
                <w:color w:val="000000"/>
                <w:sz w:val="20"/>
                <w:szCs w:val="20"/>
              </w:rPr>
              <w:t>2015</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b/>
                <w:color w:val="000000"/>
                <w:sz w:val="20"/>
                <w:szCs w:val="20"/>
              </w:rPr>
            </w:pPr>
            <w:r>
              <w:rPr>
                <w:b/>
                <w:color w:val="000000"/>
                <w:sz w:val="20"/>
                <w:szCs w:val="20"/>
              </w:rPr>
              <w:t>Toneladas métricas</w:t>
            </w:r>
          </w:p>
        </w:tc>
        <w:tc>
          <w:tcPr>
            <w:tcW w:w="966"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 </w:t>
            </w:r>
          </w:p>
        </w:tc>
        <w:tc>
          <w:tcPr>
            <w:tcW w:w="96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lang w:val="en-CA" w:eastAsia="en-CA"/>
              </w:rPr>
            </w:pP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42</w:t>
            </w:r>
            <w:r w:rsidR="003E0D64">
              <w:rPr>
                <w:color w:val="000000"/>
                <w:sz w:val="20"/>
                <w:szCs w:val="20"/>
              </w:rPr>
              <w:t> </w:t>
            </w:r>
            <w:r>
              <w:rPr>
                <w:color w:val="000000"/>
                <w:sz w:val="20"/>
                <w:szCs w:val="20"/>
              </w:rPr>
              <w:t>422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43</w:t>
            </w:r>
            <w:r w:rsidR="003E0D64">
              <w:rPr>
                <w:color w:val="000000"/>
                <w:sz w:val="20"/>
                <w:szCs w:val="20"/>
              </w:rPr>
              <w:t> </w:t>
            </w:r>
            <w:r>
              <w:rPr>
                <w:color w:val="000000"/>
                <w:sz w:val="20"/>
                <w:szCs w:val="20"/>
              </w:rPr>
              <w:t>927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50</w:t>
            </w:r>
            <w:r w:rsidR="003E0D64">
              <w:rPr>
                <w:color w:val="000000"/>
                <w:sz w:val="20"/>
                <w:szCs w:val="20"/>
              </w:rPr>
              <w:t> </w:t>
            </w:r>
            <w:r>
              <w:rPr>
                <w:color w:val="000000"/>
                <w:sz w:val="20"/>
                <w:szCs w:val="20"/>
              </w:rPr>
              <w:t>240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54</w:t>
            </w:r>
            <w:r w:rsidR="003E0D64">
              <w:rPr>
                <w:color w:val="000000"/>
                <w:sz w:val="20"/>
                <w:szCs w:val="20"/>
              </w:rPr>
              <w:t> </w:t>
            </w:r>
            <w:r>
              <w:rPr>
                <w:color w:val="000000"/>
                <w:sz w:val="20"/>
                <w:szCs w:val="20"/>
              </w:rPr>
              <w:t>815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177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278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583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6</w:t>
            </w:r>
            <w:r w:rsidR="003E0D64">
              <w:rPr>
                <w:color w:val="000000"/>
                <w:sz w:val="20"/>
                <w:szCs w:val="20"/>
              </w:rPr>
              <w:t> </w:t>
            </w:r>
            <w:r>
              <w:rPr>
                <w:color w:val="000000"/>
                <w:sz w:val="20"/>
                <w:szCs w:val="20"/>
              </w:rPr>
              <w:t>711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26</w:t>
            </w:r>
            <w:r w:rsidR="003E0D64">
              <w:rPr>
                <w:color w:val="000000"/>
                <w:sz w:val="20"/>
                <w:szCs w:val="20"/>
              </w:rPr>
              <w:t> </w:t>
            </w:r>
            <w:r>
              <w:rPr>
                <w:color w:val="000000"/>
                <w:sz w:val="20"/>
                <w:szCs w:val="20"/>
              </w:rPr>
              <w:t>856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33</w:t>
            </w:r>
            <w:r w:rsidR="003E0D64">
              <w:rPr>
                <w:color w:val="000000"/>
                <w:sz w:val="20"/>
                <w:szCs w:val="20"/>
              </w:rPr>
              <w:t> </w:t>
            </w:r>
            <w:r>
              <w:rPr>
                <w:color w:val="000000"/>
                <w:sz w:val="20"/>
                <w:szCs w:val="20"/>
              </w:rPr>
              <w:t>346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51</w:t>
            </w:r>
            <w:r w:rsidR="003E0D64">
              <w:rPr>
                <w:color w:val="000000"/>
                <w:sz w:val="20"/>
                <w:szCs w:val="20"/>
              </w:rPr>
              <w:t> </w:t>
            </w:r>
            <w:r>
              <w:rPr>
                <w:color w:val="000000"/>
                <w:sz w:val="20"/>
                <w:szCs w:val="20"/>
              </w:rPr>
              <w:t>782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75</w:t>
            </w:r>
            <w:r w:rsidR="003E0D64">
              <w:rPr>
                <w:color w:val="000000"/>
                <w:sz w:val="20"/>
                <w:szCs w:val="20"/>
              </w:rPr>
              <w:t> </w:t>
            </w:r>
            <w:r>
              <w:rPr>
                <w:color w:val="000000"/>
                <w:sz w:val="20"/>
                <w:szCs w:val="20"/>
              </w:rPr>
              <w:t>700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597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677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073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791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w:t>
            </w:r>
            <w:r w:rsidR="003E0D64">
              <w:rPr>
                <w:color w:val="000000"/>
                <w:sz w:val="20"/>
                <w:szCs w:val="20"/>
              </w:rPr>
              <w:t> </w:t>
            </w:r>
            <w:r>
              <w:rPr>
                <w:color w:val="000000"/>
                <w:sz w:val="20"/>
                <w:szCs w:val="20"/>
              </w:rPr>
              <w:t>432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r w:rsidR="003E0D64">
              <w:rPr>
                <w:color w:val="000000"/>
                <w:sz w:val="20"/>
                <w:szCs w:val="20"/>
              </w:rPr>
              <w:t> </w:t>
            </w:r>
            <w:r>
              <w:rPr>
                <w:color w:val="000000"/>
                <w:sz w:val="20"/>
                <w:szCs w:val="20"/>
              </w:rPr>
              <w:t>545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11</w:t>
            </w:r>
            <w:r w:rsidR="003E0D64">
              <w:rPr>
                <w:color w:val="000000"/>
                <w:sz w:val="20"/>
                <w:szCs w:val="20"/>
              </w:rPr>
              <w:t> </w:t>
            </w:r>
            <w:r>
              <w:rPr>
                <w:color w:val="000000"/>
                <w:sz w:val="20"/>
                <w:szCs w:val="20"/>
              </w:rPr>
              <w:t>757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9</w:t>
            </w:r>
            <w:r w:rsidR="003E0D64">
              <w:rPr>
                <w:color w:val="000000"/>
                <w:sz w:val="20"/>
                <w:szCs w:val="20"/>
              </w:rPr>
              <w:t> </w:t>
            </w:r>
            <w:r>
              <w:rPr>
                <w:color w:val="000000"/>
                <w:sz w:val="20"/>
                <w:szCs w:val="20"/>
              </w:rPr>
              <w:t>818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762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597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938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591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349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894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816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6</w:t>
            </w:r>
            <w:r w:rsidR="003E0D64">
              <w:rPr>
                <w:color w:val="000000"/>
                <w:sz w:val="20"/>
                <w:szCs w:val="20"/>
              </w:rPr>
              <w:t> </w:t>
            </w:r>
            <w:r>
              <w:rPr>
                <w:color w:val="000000"/>
                <w:sz w:val="20"/>
                <w:szCs w:val="20"/>
              </w:rPr>
              <w:t>523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287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203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246</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853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462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496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696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26</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835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478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912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r w:rsidR="003E0D64">
              <w:rPr>
                <w:color w:val="000000"/>
                <w:sz w:val="20"/>
                <w:szCs w:val="20"/>
              </w:rPr>
              <w:t> </w:t>
            </w:r>
            <w:r>
              <w:rPr>
                <w:color w:val="000000"/>
                <w:sz w:val="20"/>
                <w:szCs w:val="20"/>
              </w:rPr>
              <w:t>865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621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027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301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531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685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779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706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235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93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124</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Otros HFC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160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427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405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567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19</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Otras mezclas de HFC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332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631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832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w:t>
            </w:r>
            <w:r w:rsidR="003E0D64">
              <w:rPr>
                <w:color w:val="000000"/>
                <w:sz w:val="20"/>
                <w:szCs w:val="20"/>
              </w:rPr>
              <w:t> </w:t>
            </w:r>
            <w:r>
              <w:rPr>
                <w:color w:val="000000"/>
                <w:sz w:val="20"/>
                <w:szCs w:val="20"/>
              </w:rPr>
              <w:t>578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557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586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848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163</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88</w:t>
            </w:r>
            <w:r w:rsidR="003E0D64">
              <w:rPr>
                <w:color w:val="000000"/>
                <w:sz w:val="20"/>
                <w:szCs w:val="20"/>
              </w:rPr>
              <w:t> </w:t>
            </w:r>
            <w:r>
              <w:rPr>
                <w:color w:val="000000"/>
                <w:sz w:val="20"/>
                <w:szCs w:val="20"/>
              </w:rPr>
              <w:t>924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101</w:t>
            </w:r>
            <w:r w:rsidR="003E0D64">
              <w:rPr>
                <w:color w:val="000000"/>
                <w:sz w:val="20"/>
                <w:szCs w:val="20"/>
              </w:rPr>
              <w:t> </w:t>
            </w:r>
            <w:r>
              <w:rPr>
                <w:color w:val="000000"/>
                <w:sz w:val="20"/>
                <w:szCs w:val="20"/>
              </w:rPr>
              <w:t>508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132</w:t>
            </w:r>
            <w:r w:rsidR="003E0D64">
              <w:rPr>
                <w:color w:val="000000"/>
                <w:sz w:val="20"/>
                <w:szCs w:val="20"/>
              </w:rPr>
              <w:t> </w:t>
            </w:r>
            <w:r>
              <w:rPr>
                <w:color w:val="000000"/>
                <w:sz w:val="20"/>
                <w:szCs w:val="20"/>
              </w:rPr>
              <w:t>954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166</w:t>
            </w:r>
            <w:r w:rsidR="003E0D64">
              <w:rPr>
                <w:color w:val="000000"/>
                <w:sz w:val="20"/>
                <w:szCs w:val="20"/>
              </w:rPr>
              <w:t> </w:t>
            </w:r>
            <w:r>
              <w:rPr>
                <w:color w:val="000000"/>
                <w:sz w:val="20"/>
                <w:szCs w:val="20"/>
              </w:rPr>
              <w:t>922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11</w:t>
            </w:r>
            <w:r w:rsidR="003E0D64">
              <w:rPr>
                <w:color w:val="000000"/>
                <w:sz w:val="20"/>
                <w:szCs w:val="20"/>
              </w:rPr>
              <w:t> </w:t>
            </w:r>
            <w:r>
              <w:rPr>
                <w:color w:val="000000"/>
                <w:sz w:val="20"/>
                <w:szCs w:val="20"/>
              </w:rPr>
              <w:t>082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w:t>
            </w:r>
            <w:r w:rsidR="003E0D64">
              <w:rPr>
                <w:color w:val="000000"/>
                <w:sz w:val="20"/>
                <w:szCs w:val="20"/>
              </w:rPr>
              <w:t> </w:t>
            </w:r>
            <w:r>
              <w:rPr>
                <w:color w:val="000000"/>
                <w:sz w:val="20"/>
                <w:szCs w:val="20"/>
              </w:rPr>
              <w:t>582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w:t>
            </w:r>
            <w:r w:rsidR="003E0D64">
              <w:rPr>
                <w:color w:val="000000"/>
                <w:sz w:val="20"/>
                <w:szCs w:val="20"/>
              </w:rPr>
              <w:t> </w:t>
            </w:r>
            <w:r>
              <w:rPr>
                <w:color w:val="000000"/>
                <w:sz w:val="20"/>
                <w:szCs w:val="20"/>
              </w:rPr>
              <w:t>068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w:t>
            </w:r>
            <w:r w:rsidR="003E0D64">
              <w:rPr>
                <w:color w:val="000000"/>
                <w:sz w:val="20"/>
                <w:szCs w:val="20"/>
              </w:rPr>
              <w:t> </w:t>
            </w:r>
            <w:r>
              <w:rPr>
                <w:color w:val="000000"/>
                <w:sz w:val="20"/>
                <w:szCs w:val="20"/>
              </w:rPr>
              <w:t>218</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b/>
                <w:color w:val="000000"/>
                <w:sz w:val="20"/>
                <w:szCs w:val="20"/>
              </w:rPr>
            </w:pPr>
            <w:r>
              <w:rPr>
                <w:b/>
                <w:color w:val="000000"/>
                <w:sz w:val="20"/>
                <w:szCs w:val="20"/>
              </w:rPr>
              <w:t>Porcentaje del 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43,3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32,8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46,7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49,9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46,3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44,1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30,2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32,9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38,9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17,2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18,3</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17,0</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0,2</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0,8</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Otros HFC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lastRenderedPageBreak/>
              <w:t>Otras mezclas de HFC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5,5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7,6</w:t>
            </w:r>
          </w:p>
        </w:tc>
      </w:tr>
      <w:tr w:rsidR="00B802C6" w:rsidRPr="0062383B" w:rsidTr="00B802C6">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B802C6" w:rsidRPr="0062383B" w:rsidRDefault="00B802C6" w:rsidP="00B802C6">
            <w:pPr>
              <w:jc w:val="left"/>
              <w:rPr>
                <w:color w:val="000000"/>
                <w:sz w:val="20"/>
                <w:szCs w:val="20"/>
              </w:rPr>
            </w:pPr>
            <w:r>
              <w:rPr>
                <w:color w:val="000000"/>
                <w:sz w:val="20"/>
                <w:szCs w:val="20"/>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r>
    </w:tbl>
    <w:p w:rsidR="00B802C6" w:rsidRPr="0062383B" w:rsidRDefault="00B802C6" w:rsidP="00B802C6">
      <w:pPr>
        <w:rPr>
          <w:lang w:val="en-CA"/>
        </w:rPr>
      </w:pPr>
    </w:p>
    <w:p w:rsidR="00B802C6" w:rsidRPr="00B430EE" w:rsidRDefault="00B802C6" w:rsidP="00B802C6">
      <w:pPr>
        <w:pStyle w:val="Heading1"/>
        <w:rPr>
          <w:lang w:val="es-ES"/>
        </w:rPr>
      </w:pPr>
      <w:r w:rsidRPr="00B430EE">
        <w:rPr>
          <w:lang w:val="es-ES"/>
        </w:rPr>
        <w:t>El consumo acumulado de HFC de 166 922 tm de 2015 informado en los 119 estudios (véase el Cuadro 3) representa más del 61</w:t>
      </w:r>
      <w:r w:rsidR="005F5535" w:rsidRPr="005F5535">
        <w:rPr>
          <w:color w:val="000000" w:themeColor="text1"/>
          <w:sz w:val="20"/>
          <w:szCs w:val="20"/>
          <w:lang w:val="es-MX"/>
        </w:rPr>
        <w:t xml:space="preserve"> </w:t>
      </w:r>
      <w:r w:rsidR="005F5535">
        <w:rPr>
          <w:color w:val="000000" w:themeColor="text1"/>
          <w:sz w:val="20"/>
          <w:szCs w:val="20"/>
          <w:lang w:val="es-MX"/>
        </w:rPr>
        <w:t>por ciento</w:t>
      </w:r>
      <w:r w:rsidRPr="00B430EE">
        <w:rPr>
          <w:lang w:val="es-ES"/>
        </w:rPr>
        <w:t xml:space="preserve"> de las 284 325 tm de consumo acumulado de todos los países que operan al amparo del artículo 5 informado por el equipo de tareas del GETE (véase el Cuadro 2). El total acumulado de los niveles básicos de HCFC de los 119 países en cuestión, no obstante, representó aproximadamente el 25</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lang w:val="es-ES"/>
        </w:rPr>
        <w:t xml:space="preserve"> del nivel básico acumulado de HCFC para todos los países que operan al amparo del artículo 5. </w:t>
      </w:r>
    </w:p>
    <w:p w:rsidR="00B802C6" w:rsidRPr="00B430EE" w:rsidRDefault="00B802C6" w:rsidP="00B802C6">
      <w:pPr>
        <w:keepNext/>
        <w:rPr>
          <w:b/>
          <w:lang w:val="es-ES"/>
        </w:rPr>
      </w:pPr>
      <w:r w:rsidRPr="00B430EE">
        <w:rPr>
          <w:b/>
          <w:lang w:val="es-ES"/>
        </w:rPr>
        <w:t>III</w:t>
      </w:r>
      <w:r w:rsidRPr="00B430EE">
        <w:rPr>
          <w:b/>
          <w:lang w:val="es-ES"/>
        </w:rPr>
        <w:tab/>
        <w:t xml:space="preserve">REDUCCIONES ACUMULADAS SOSTENIDAS EN EL CONSUMO Y LA PRODUCCIÓN DE HFC </w:t>
      </w:r>
    </w:p>
    <w:p w:rsidR="00B802C6" w:rsidRPr="00B430EE" w:rsidRDefault="00B802C6" w:rsidP="00B802C6">
      <w:pPr>
        <w:keepNext/>
        <w:rPr>
          <w:b/>
          <w:lang w:val="es-ES"/>
        </w:rPr>
      </w:pPr>
    </w:p>
    <w:p w:rsidR="00B802C6" w:rsidRPr="00B430EE" w:rsidRDefault="00B802C6" w:rsidP="00B802C6">
      <w:pPr>
        <w:pStyle w:val="Heading1"/>
        <w:rPr>
          <w:lang w:val="es-ES"/>
        </w:rPr>
      </w:pPr>
      <w:r w:rsidRPr="00B430EE">
        <w:rPr>
          <w:lang w:val="es-ES"/>
        </w:rPr>
        <w:t xml:space="preserve">Si bien todos los puntos de partida se seleccionaron de conformidad con la decisión 35/57, las circunstancias imperantes en los países que operan al amparo del artículo 5 durante la eliminación de los HCFC eran ligeramente diferentes de aquellas imperantes durante la eliminación de los CFC. Por lo tanto, las metodologías aplicadas para la selección de los puntos de partida se ajustaron del modo consiguiente. Asimismo, las circunstancias de los países durante la reducción de los HFC son diferentes de aquellas imperantes durante la eliminación de los CFC o los HCFC. </w:t>
      </w:r>
    </w:p>
    <w:p w:rsidR="00B802C6" w:rsidRPr="00B430EE" w:rsidRDefault="00B802C6" w:rsidP="00B802C6">
      <w:pPr>
        <w:pStyle w:val="Heading1"/>
        <w:rPr>
          <w:lang w:val="es-ES"/>
        </w:rPr>
      </w:pPr>
      <w:r w:rsidRPr="00B430EE">
        <w:rPr>
          <w:lang w:val="es-ES"/>
        </w:rPr>
        <w:t>En el Cuadro 4 se presentan las principales diferencias en la selección de los puntos de partida para los CFC, los HCFC y (posiblemente) los HFC.</w:t>
      </w:r>
    </w:p>
    <w:p w:rsidR="00B802C6" w:rsidRPr="0062383B" w:rsidRDefault="00B802C6" w:rsidP="00B802C6">
      <w:pPr>
        <w:rPr>
          <w:b/>
        </w:rPr>
      </w:pPr>
      <w:r w:rsidRPr="00B430EE">
        <w:rPr>
          <w:b/>
          <w:lang w:val="es-ES"/>
        </w:rPr>
        <w:t xml:space="preserve">Cuadro 4. Reseña de los niveles básicos y puntos de partida para las reducciones acumuladas en el consumo de CFC. </w:t>
      </w:r>
      <w:r>
        <w:rPr>
          <w:b/>
        </w:rPr>
        <w:t xml:space="preserve">HCFC y HFC </w:t>
      </w:r>
    </w:p>
    <w:tbl>
      <w:tblPr>
        <w:tblStyle w:val="TableGrid"/>
        <w:tblW w:w="9360" w:type="dxa"/>
        <w:jc w:val="center"/>
        <w:tblLook w:val="04A0" w:firstRow="1" w:lastRow="0" w:firstColumn="1" w:lastColumn="0" w:noHBand="0" w:noVBand="1"/>
      </w:tblPr>
      <w:tblGrid>
        <w:gridCol w:w="1777"/>
        <w:gridCol w:w="2527"/>
        <w:gridCol w:w="2528"/>
        <w:gridCol w:w="2528"/>
      </w:tblGrid>
      <w:tr w:rsidR="00B802C6" w:rsidRPr="0062383B" w:rsidTr="005F5535">
        <w:trPr>
          <w:tblHeader/>
          <w:jc w:val="center"/>
        </w:trPr>
        <w:tc>
          <w:tcPr>
            <w:tcW w:w="1777" w:type="dxa"/>
          </w:tcPr>
          <w:p w:rsidR="00B802C6" w:rsidRPr="0062383B" w:rsidRDefault="00B802C6" w:rsidP="00B802C6">
            <w:pPr>
              <w:rPr>
                <w:b/>
                <w:sz w:val="20"/>
                <w:szCs w:val="20"/>
              </w:rPr>
            </w:pPr>
            <w:r>
              <w:rPr>
                <w:b/>
                <w:sz w:val="20"/>
                <w:szCs w:val="20"/>
              </w:rPr>
              <w:t>Descripción</w:t>
            </w:r>
          </w:p>
        </w:tc>
        <w:tc>
          <w:tcPr>
            <w:tcW w:w="2527" w:type="dxa"/>
          </w:tcPr>
          <w:p w:rsidR="00B802C6" w:rsidRPr="0062383B" w:rsidRDefault="00B802C6" w:rsidP="00B802C6">
            <w:pPr>
              <w:jc w:val="center"/>
              <w:rPr>
                <w:b/>
                <w:sz w:val="20"/>
                <w:szCs w:val="20"/>
              </w:rPr>
            </w:pPr>
            <w:r>
              <w:rPr>
                <w:b/>
                <w:sz w:val="20"/>
                <w:szCs w:val="20"/>
              </w:rPr>
              <w:t>CFC</w:t>
            </w:r>
          </w:p>
        </w:tc>
        <w:tc>
          <w:tcPr>
            <w:tcW w:w="2528" w:type="dxa"/>
          </w:tcPr>
          <w:p w:rsidR="00B802C6" w:rsidRPr="0062383B" w:rsidRDefault="00B802C6" w:rsidP="00B802C6">
            <w:pPr>
              <w:jc w:val="center"/>
              <w:rPr>
                <w:b/>
                <w:sz w:val="20"/>
                <w:szCs w:val="20"/>
              </w:rPr>
            </w:pPr>
            <w:r>
              <w:rPr>
                <w:b/>
                <w:sz w:val="20"/>
                <w:szCs w:val="20"/>
              </w:rPr>
              <w:t>HCFC</w:t>
            </w:r>
          </w:p>
        </w:tc>
        <w:tc>
          <w:tcPr>
            <w:tcW w:w="2528" w:type="dxa"/>
          </w:tcPr>
          <w:p w:rsidR="00B802C6" w:rsidRPr="0062383B" w:rsidRDefault="00B802C6" w:rsidP="00B802C6">
            <w:pPr>
              <w:jc w:val="center"/>
              <w:rPr>
                <w:b/>
                <w:sz w:val="20"/>
                <w:szCs w:val="20"/>
              </w:rPr>
            </w:pPr>
            <w:r>
              <w:rPr>
                <w:b/>
                <w:sz w:val="20"/>
                <w:szCs w:val="20"/>
              </w:rPr>
              <w:t>HFC</w:t>
            </w:r>
          </w:p>
        </w:tc>
      </w:tr>
      <w:tr w:rsidR="00B802C6" w:rsidRPr="00B430EE" w:rsidTr="005F5535">
        <w:trPr>
          <w:jc w:val="center"/>
        </w:trPr>
        <w:tc>
          <w:tcPr>
            <w:tcW w:w="1777"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Nivel básico: consumo acumulado de sustancias</w:t>
            </w:r>
          </w:p>
        </w:tc>
        <w:tc>
          <w:tcPr>
            <w:tcW w:w="2527"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Grupo I del anexo A (CFC)</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Grupo I del anexo C (HCFC)</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Anexo F y (65</w:t>
            </w:r>
            <w:r w:rsidR="00E42AEA">
              <w:rPr>
                <w:color w:val="000000" w:themeColor="text1"/>
                <w:sz w:val="20"/>
                <w:szCs w:val="20"/>
                <w:lang w:val="es-MX"/>
              </w:rPr>
              <w:t xml:space="preserve"> por ciento</w:t>
            </w:r>
            <w:r w:rsidRPr="00B430EE">
              <w:rPr>
                <w:sz w:val="20"/>
                <w:szCs w:val="20"/>
                <w:lang w:val="es-ES"/>
              </w:rPr>
              <w:t xml:space="preserve"> del nivel básico para) el grupo I del anexo C. Dos niveles básicos y calendarios de eliminación diferentes*</w:t>
            </w:r>
          </w:p>
        </w:tc>
      </w:tr>
      <w:tr w:rsidR="00B802C6" w:rsidRPr="00B430EE" w:rsidTr="005F5535">
        <w:trPr>
          <w:jc w:val="center"/>
        </w:trPr>
        <w:tc>
          <w:tcPr>
            <w:tcW w:w="1777" w:type="dxa"/>
            <w:tcMar>
              <w:left w:w="58" w:type="dxa"/>
              <w:right w:w="14" w:type="dxa"/>
            </w:tcMar>
          </w:tcPr>
          <w:p w:rsidR="00B802C6" w:rsidRPr="0062383B" w:rsidRDefault="00B802C6" w:rsidP="00B802C6">
            <w:pPr>
              <w:jc w:val="left"/>
              <w:rPr>
                <w:sz w:val="20"/>
                <w:szCs w:val="20"/>
              </w:rPr>
            </w:pPr>
            <w:r>
              <w:rPr>
                <w:sz w:val="20"/>
                <w:szCs w:val="20"/>
              </w:rPr>
              <w:t>Años de base</w:t>
            </w:r>
          </w:p>
        </w:tc>
        <w:tc>
          <w:tcPr>
            <w:tcW w:w="2527" w:type="dxa"/>
            <w:tcMar>
              <w:left w:w="58" w:type="dxa"/>
              <w:right w:w="14" w:type="dxa"/>
            </w:tcMar>
          </w:tcPr>
          <w:p w:rsidR="00B802C6" w:rsidRPr="0062383B" w:rsidRDefault="00B802C6" w:rsidP="00B802C6">
            <w:pPr>
              <w:jc w:val="left"/>
              <w:rPr>
                <w:sz w:val="20"/>
                <w:szCs w:val="20"/>
              </w:rPr>
            </w:pPr>
            <w:r>
              <w:rPr>
                <w:sz w:val="20"/>
                <w:szCs w:val="20"/>
              </w:rPr>
              <w:t>1995, 1996, 1997</w:t>
            </w:r>
          </w:p>
        </w:tc>
        <w:tc>
          <w:tcPr>
            <w:tcW w:w="2528" w:type="dxa"/>
            <w:tcMar>
              <w:left w:w="58" w:type="dxa"/>
              <w:right w:w="14" w:type="dxa"/>
            </w:tcMar>
          </w:tcPr>
          <w:p w:rsidR="00B802C6" w:rsidRPr="0062383B" w:rsidRDefault="00B802C6" w:rsidP="00B802C6">
            <w:pPr>
              <w:jc w:val="left"/>
              <w:rPr>
                <w:sz w:val="20"/>
                <w:szCs w:val="20"/>
              </w:rPr>
            </w:pPr>
            <w:r>
              <w:rPr>
                <w:sz w:val="20"/>
                <w:szCs w:val="20"/>
              </w:rPr>
              <w:t>2009, 2010</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2020, 2021, 2022 para el grupo 1</w:t>
            </w:r>
          </w:p>
          <w:p w:rsidR="00B802C6" w:rsidRPr="00B430EE" w:rsidRDefault="00B802C6" w:rsidP="00B802C6">
            <w:pPr>
              <w:jc w:val="left"/>
              <w:rPr>
                <w:sz w:val="20"/>
                <w:szCs w:val="20"/>
                <w:lang w:val="es-ES"/>
              </w:rPr>
            </w:pPr>
            <w:r w:rsidRPr="00B430EE">
              <w:rPr>
                <w:sz w:val="20"/>
                <w:szCs w:val="20"/>
                <w:lang w:val="es-ES"/>
              </w:rPr>
              <w:t>2024, 2025, 2026 para el grupo 2</w:t>
            </w:r>
          </w:p>
        </w:tc>
      </w:tr>
      <w:tr w:rsidR="00B802C6" w:rsidRPr="00B430EE" w:rsidTr="005F5535">
        <w:trPr>
          <w:jc w:val="center"/>
        </w:trPr>
        <w:tc>
          <w:tcPr>
            <w:tcW w:w="1777" w:type="dxa"/>
            <w:tcMar>
              <w:left w:w="58" w:type="dxa"/>
              <w:right w:w="14" w:type="dxa"/>
            </w:tcMar>
          </w:tcPr>
          <w:p w:rsidR="00B802C6" w:rsidRPr="0062383B" w:rsidRDefault="00B802C6" w:rsidP="005F5535">
            <w:pPr>
              <w:widowControl w:val="0"/>
              <w:jc w:val="left"/>
              <w:rPr>
                <w:sz w:val="20"/>
                <w:szCs w:val="20"/>
              </w:rPr>
            </w:pPr>
            <w:r>
              <w:rPr>
                <w:sz w:val="20"/>
                <w:szCs w:val="20"/>
              </w:rPr>
              <w:t xml:space="preserve">Número de sustancias controladas </w:t>
            </w:r>
          </w:p>
        </w:tc>
        <w:tc>
          <w:tcPr>
            <w:tcW w:w="2527" w:type="dxa"/>
            <w:tcMar>
              <w:left w:w="58" w:type="dxa"/>
              <w:right w:w="14" w:type="dxa"/>
            </w:tcMar>
          </w:tcPr>
          <w:p w:rsidR="00B802C6" w:rsidRPr="00B430EE" w:rsidRDefault="00B802C6" w:rsidP="005F5535">
            <w:pPr>
              <w:widowControl w:val="0"/>
              <w:jc w:val="left"/>
              <w:rPr>
                <w:sz w:val="20"/>
                <w:szCs w:val="20"/>
                <w:lang w:val="es-ES"/>
              </w:rPr>
            </w:pPr>
            <w:r w:rsidRPr="00B430EE">
              <w:rPr>
                <w:sz w:val="20"/>
                <w:szCs w:val="20"/>
                <w:lang w:val="es-ES"/>
              </w:rPr>
              <w:t>5, de las cuales el CFC-11 y el CFC</w:t>
            </w:r>
            <w:r w:rsidRPr="00B430EE">
              <w:rPr>
                <w:sz w:val="20"/>
                <w:szCs w:val="20"/>
                <w:lang w:val="es-ES"/>
              </w:rPr>
              <w:noBreakHyphen/>
              <w:t>12 representaban la mayor parte del consumo</w:t>
            </w:r>
          </w:p>
        </w:tc>
        <w:tc>
          <w:tcPr>
            <w:tcW w:w="2528" w:type="dxa"/>
            <w:tcMar>
              <w:left w:w="58" w:type="dxa"/>
              <w:right w:w="14" w:type="dxa"/>
            </w:tcMar>
          </w:tcPr>
          <w:p w:rsidR="00B802C6" w:rsidRPr="00B430EE" w:rsidRDefault="00B802C6" w:rsidP="005F5535">
            <w:pPr>
              <w:widowControl w:val="0"/>
              <w:jc w:val="left"/>
              <w:rPr>
                <w:sz w:val="20"/>
                <w:szCs w:val="20"/>
                <w:lang w:val="es-ES"/>
              </w:rPr>
            </w:pPr>
            <w:r w:rsidRPr="00B430EE">
              <w:rPr>
                <w:sz w:val="20"/>
                <w:szCs w:val="20"/>
                <w:lang w:val="es-ES"/>
              </w:rPr>
              <w:t>40, de las cuales el HCFC-22, el HCFC-141b y el HCFC-142b representaban más del 99</w:t>
            </w:r>
            <w:r w:rsidR="00E42AEA">
              <w:rPr>
                <w:color w:val="000000" w:themeColor="text1"/>
                <w:sz w:val="20"/>
                <w:szCs w:val="20"/>
                <w:lang w:val="es-MX"/>
              </w:rPr>
              <w:t xml:space="preserve"> por ciento</w:t>
            </w:r>
            <w:r w:rsidRPr="00B430EE">
              <w:rPr>
                <w:sz w:val="20"/>
                <w:szCs w:val="20"/>
                <w:lang w:val="es-ES"/>
              </w:rPr>
              <w:t xml:space="preserve"> del consumo total</w:t>
            </w:r>
          </w:p>
        </w:tc>
        <w:tc>
          <w:tcPr>
            <w:tcW w:w="2528" w:type="dxa"/>
            <w:tcMar>
              <w:left w:w="58" w:type="dxa"/>
              <w:right w:w="14" w:type="dxa"/>
            </w:tcMar>
          </w:tcPr>
          <w:p w:rsidR="00B802C6" w:rsidRPr="00B430EE" w:rsidRDefault="00B802C6" w:rsidP="005F5535">
            <w:pPr>
              <w:widowControl w:val="0"/>
              <w:jc w:val="left"/>
              <w:rPr>
                <w:sz w:val="20"/>
                <w:szCs w:val="20"/>
                <w:lang w:val="es-ES"/>
              </w:rPr>
            </w:pPr>
            <w:r w:rsidRPr="00B430EE">
              <w:rPr>
                <w:sz w:val="20"/>
                <w:szCs w:val="20"/>
                <w:lang w:val="es-ES"/>
              </w:rPr>
              <w:t>17, en el grupo I del anexo F y 1 en el grupo II**</w:t>
            </w:r>
          </w:p>
          <w:p w:rsidR="00B802C6" w:rsidRPr="00B430EE" w:rsidRDefault="00B802C6" w:rsidP="005F5535">
            <w:pPr>
              <w:widowControl w:val="0"/>
              <w:jc w:val="left"/>
              <w:rPr>
                <w:sz w:val="20"/>
                <w:szCs w:val="20"/>
                <w:lang w:val="es-ES"/>
              </w:rPr>
            </w:pPr>
            <w:r w:rsidRPr="00B430EE">
              <w:rPr>
                <w:sz w:val="20"/>
                <w:szCs w:val="20"/>
                <w:lang w:val="es-ES"/>
              </w:rPr>
              <w:t>Las sustancias que más se consumen son cuatro sustancias puras (principalmente, HFC-134a y, en menor grado, HFC-152a, HFC</w:t>
            </w:r>
            <w:r w:rsidRPr="00B430EE">
              <w:rPr>
                <w:sz w:val="20"/>
                <w:szCs w:val="20"/>
                <w:lang w:val="es-ES"/>
              </w:rPr>
              <w:noBreakHyphen/>
              <w:t>245fa, HFC-365mfc, HFC-227ea), y cuatro mezclas (R-410A, R-407C, R-404A, R-507A), que contienen dos o más de las siguientes sustancias: HFC-32, HFC-125, HFC-134a, HFC-143a</w:t>
            </w:r>
          </w:p>
          <w:p w:rsidR="00B802C6" w:rsidRPr="00B430EE" w:rsidRDefault="00B802C6" w:rsidP="005F5535">
            <w:pPr>
              <w:widowControl w:val="0"/>
              <w:jc w:val="left"/>
              <w:rPr>
                <w:sz w:val="20"/>
                <w:szCs w:val="20"/>
                <w:lang w:val="es-ES"/>
              </w:rPr>
            </w:pPr>
          </w:p>
        </w:tc>
      </w:tr>
      <w:tr w:rsidR="00B802C6" w:rsidRPr="0062383B" w:rsidTr="005F5535">
        <w:trPr>
          <w:cantSplit/>
          <w:jc w:val="center"/>
        </w:trPr>
        <w:tc>
          <w:tcPr>
            <w:tcW w:w="1777"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lastRenderedPageBreak/>
              <w:t>Inclusión de sustancias controladas contenidas en polioles premezclados</w:t>
            </w:r>
          </w:p>
          <w:p w:rsidR="00B802C6" w:rsidRPr="00B430EE" w:rsidRDefault="00B802C6" w:rsidP="00B802C6">
            <w:pPr>
              <w:jc w:val="left"/>
              <w:rPr>
                <w:sz w:val="20"/>
                <w:szCs w:val="20"/>
                <w:lang w:val="es-ES"/>
              </w:rPr>
            </w:pPr>
          </w:p>
        </w:tc>
        <w:tc>
          <w:tcPr>
            <w:tcW w:w="2527" w:type="dxa"/>
            <w:tcMar>
              <w:left w:w="58" w:type="dxa"/>
              <w:right w:w="14" w:type="dxa"/>
            </w:tcMar>
          </w:tcPr>
          <w:p w:rsidR="00B802C6" w:rsidRPr="0062383B" w:rsidRDefault="00B802C6" w:rsidP="00B802C6">
            <w:pPr>
              <w:jc w:val="left"/>
              <w:rPr>
                <w:sz w:val="20"/>
                <w:szCs w:val="20"/>
              </w:rPr>
            </w:pPr>
            <w:r>
              <w:rPr>
                <w:sz w:val="20"/>
                <w:szCs w:val="20"/>
              </w:rPr>
              <w:t>No se aplica</w:t>
            </w:r>
          </w:p>
        </w:tc>
        <w:tc>
          <w:tcPr>
            <w:tcW w:w="2528" w:type="dxa"/>
            <w:tcMar>
              <w:left w:w="58" w:type="dxa"/>
              <w:right w:w="14" w:type="dxa"/>
            </w:tcMar>
          </w:tcPr>
          <w:p w:rsidR="00B802C6" w:rsidRPr="0062383B" w:rsidRDefault="00B802C6" w:rsidP="00B802C6">
            <w:pPr>
              <w:jc w:val="left"/>
              <w:rPr>
                <w:sz w:val="20"/>
                <w:szCs w:val="20"/>
              </w:rPr>
            </w:pPr>
            <w:r>
              <w:rPr>
                <w:sz w:val="20"/>
                <w:szCs w:val="20"/>
              </w:rPr>
              <w:t>Incluido (promedio de 2007</w:t>
            </w:r>
            <w:r>
              <w:rPr>
                <w:sz w:val="20"/>
                <w:szCs w:val="20"/>
              </w:rPr>
              <w:noBreakHyphen/>
              <w:t>2009)</w:t>
            </w:r>
          </w:p>
        </w:tc>
        <w:tc>
          <w:tcPr>
            <w:tcW w:w="2528" w:type="dxa"/>
            <w:tcMar>
              <w:left w:w="58" w:type="dxa"/>
              <w:right w:w="14" w:type="dxa"/>
            </w:tcMar>
          </w:tcPr>
          <w:p w:rsidR="00B802C6" w:rsidRPr="0062383B" w:rsidRDefault="00B802C6" w:rsidP="00B802C6">
            <w:pPr>
              <w:jc w:val="left"/>
              <w:rPr>
                <w:sz w:val="20"/>
                <w:szCs w:val="20"/>
              </w:rPr>
            </w:pPr>
            <w:r>
              <w:rPr>
                <w:sz w:val="20"/>
                <w:szCs w:val="20"/>
              </w:rPr>
              <w:t>Se decidirá</w:t>
            </w:r>
          </w:p>
        </w:tc>
      </w:tr>
      <w:tr w:rsidR="00B802C6" w:rsidRPr="00B430EE" w:rsidTr="005F5535">
        <w:trPr>
          <w:jc w:val="center"/>
        </w:trPr>
        <w:tc>
          <w:tcPr>
            <w:tcW w:w="1777" w:type="dxa"/>
            <w:tcMar>
              <w:left w:w="58" w:type="dxa"/>
              <w:right w:w="14" w:type="dxa"/>
            </w:tcMar>
          </w:tcPr>
          <w:p w:rsidR="00B802C6" w:rsidRPr="00D46B3C" w:rsidRDefault="00B802C6" w:rsidP="00B802C6">
            <w:pPr>
              <w:rPr>
                <w:sz w:val="20"/>
                <w:szCs w:val="20"/>
              </w:rPr>
            </w:pPr>
            <w:r>
              <w:rPr>
                <w:sz w:val="20"/>
                <w:szCs w:val="20"/>
              </w:rPr>
              <w:t>Medición</w:t>
            </w:r>
          </w:p>
        </w:tc>
        <w:tc>
          <w:tcPr>
            <w:tcW w:w="2527"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Toneladas PAO; 1,0 para el CFC-11 y CFC-12; 0,8 para el CFC 113; 0,6 para el CFC-115</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Toneladas PAO: 0,055 para el HCFC</w:t>
            </w:r>
            <w:r w:rsidRPr="00B430EE">
              <w:rPr>
                <w:sz w:val="20"/>
                <w:szCs w:val="20"/>
                <w:lang w:val="es-ES"/>
              </w:rPr>
              <w:noBreakHyphen/>
              <w:t>22; 0,11 para el HCFC</w:t>
            </w:r>
            <w:r w:rsidRPr="00B430EE">
              <w:rPr>
                <w:sz w:val="20"/>
                <w:szCs w:val="20"/>
                <w:lang w:val="es-ES"/>
              </w:rPr>
              <w:noBreakHyphen/>
              <w:t>141b; 0,065 para el HCFC-142b</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Equivalente de CO</w:t>
            </w:r>
            <w:r w:rsidRPr="00B430EE">
              <w:rPr>
                <w:sz w:val="20"/>
                <w:szCs w:val="20"/>
                <w:vertAlign w:val="subscript"/>
                <w:lang w:val="es-ES"/>
              </w:rPr>
              <w:t>2</w:t>
            </w:r>
            <w:r w:rsidRPr="00B430EE">
              <w:rPr>
                <w:sz w:val="20"/>
                <w:szCs w:val="20"/>
                <w:lang w:val="es-ES"/>
              </w:rPr>
              <w:t xml:space="preserve"> (consumo en tm multiplicado por el potencial de calentamiento atmosférico [PCA] de la sustancia), que oscila entre 124 para el HFC-152a y 14 800 para el HFC-23.</w:t>
            </w:r>
          </w:p>
          <w:p w:rsidR="00B802C6" w:rsidRPr="00B430EE" w:rsidRDefault="00B802C6" w:rsidP="00B802C6">
            <w:pPr>
              <w:jc w:val="left"/>
              <w:rPr>
                <w:sz w:val="20"/>
                <w:szCs w:val="20"/>
                <w:lang w:val="es-ES"/>
              </w:rPr>
            </w:pPr>
            <w:r w:rsidRPr="00B430EE">
              <w:rPr>
                <w:sz w:val="20"/>
                <w:szCs w:val="20"/>
                <w:lang w:val="es-ES"/>
              </w:rPr>
              <w:t>Punto de partida medido en tonelaje</w:t>
            </w:r>
          </w:p>
        </w:tc>
      </w:tr>
      <w:tr w:rsidR="00B802C6" w:rsidRPr="00B430EE" w:rsidTr="005F5535">
        <w:trPr>
          <w:jc w:val="center"/>
        </w:trPr>
        <w:tc>
          <w:tcPr>
            <w:tcW w:w="1777"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Datos de consumo utilizados para calcular el punto de partida</w:t>
            </w:r>
          </w:p>
        </w:tc>
        <w:tc>
          <w:tcPr>
            <w:tcW w:w="2527"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Los niveles básicos de CFC para el cumplimiento ya se habían establecido con arreglo al artículo 7 cuando los países que operan al amparo del artículo 5 seleccionaron sus puntos de partida para los CFC</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Los niveles básicos de HCFC fueron estimados,***dado que la mayoría de los países que operan al amparo del artículo 5 seleccionaron su punto de partida para los HCFC antes de 2011 (cuando el consumo para los años de base se informaba con arreglo al artículo 7)</w:t>
            </w:r>
          </w:p>
        </w:tc>
        <w:tc>
          <w:tcPr>
            <w:tcW w:w="2528" w:type="dxa"/>
            <w:tcMar>
              <w:left w:w="58" w:type="dxa"/>
              <w:right w:w="14" w:type="dxa"/>
            </w:tcMar>
          </w:tcPr>
          <w:p w:rsidR="00B802C6" w:rsidRPr="00B430EE" w:rsidRDefault="00B802C6" w:rsidP="00B802C6">
            <w:pPr>
              <w:jc w:val="left"/>
              <w:rPr>
                <w:sz w:val="20"/>
                <w:szCs w:val="20"/>
                <w:lang w:val="es-ES"/>
              </w:rPr>
            </w:pPr>
            <w:r w:rsidRPr="00B430EE">
              <w:rPr>
                <w:sz w:val="20"/>
                <w:szCs w:val="20"/>
                <w:lang w:val="es-ES"/>
              </w:rPr>
              <w:t>No está disponible aún. Las sustancias del anexo F pasarán a ser sustancias controladas el 1 de enero de 2019, cuando entre en vigor la Enmienda de Kigali</w:t>
            </w:r>
          </w:p>
        </w:tc>
      </w:tr>
    </w:tbl>
    <w:p w:rsidR="00B802C6" w:rsidRPr="005F5535" w:rsidRDefault="00B802C6" w:rsidP="00B802C6">
      <w:pPr>
        <w:pStyle w:val="FootnoteText"/>
        <w:rPr>
          <w:sz w:val="18"/>
          <w:szCs w:val="18"/>
        </w:rPr>
      </w:pPr>
      <w:r w:rsidRPr="005F5535">
        <w:rPr>
          <w:sz w:val="18"/>
          <w:szCs w:val="18"/>
        </w:rPr>
        <w:t>*Se acordó el cronograma de reducción siguiente: grupo 1, 2024–2028: 100</w:t>
      </w:r>
      <w:r w:rsidR="005F5535" w:rsidRPr="005F5535">
        <w:rPr>
          <w:color w:val="000000" w:themeColor="text1"/>
          <w:sz w:val="18"/>
          <w:szCs w:val="18"/>
          <w:lang w:val="es-MX"/>
        </w:rPr>
        <w:t xml:space="preserve"> por ciento</w:t>
      </w:r>
      <w:r w:rsidRPr="005F5535">
        <w:rPr>
          <w:sz w:val="18"/>
          <w:szCs w:val="18"/>
        </w:rPr>
        <w:t xml:space="preserve"> del nivel básico; 2029–2034: 90</w:t>
      </w:r>
      <w:r w:rsidR="005F5535" w:rsidRPr="005F5535">
        <w:rPr>
          <w:color w:val="000000" w:themeColor="text1"/>
          <w:sz w:val="18"/>
          <w:szCs w:val="18"/>
          <w:lang w:val="es-MX"/>
        </w:rPr>
        <w:t> por ciento</w:t>
      </w:r>
      <w:r w:rsidRPr="005F5535">
        <w:rPr>
          <w:sz w:val="18"/>
          <w:szCs w:val="18"/>
        </w:rPr>
        <w:t xml:space="preserve"> del nivel básico; 2035-2039: 70</w:t>
      </w:r>
      <w:r w:rsidR="005F5535" w:rsidRPr="005F5535">
        <w:rPr>
          <w:color w:val="000000" w:themeColor="text1"/>
          <w:sz w:val="18"/>
          <w:szCs w:val="18"/>
          <w:lang w:val="es-MX"/>
        </w:rPr>
        <w:t xml:space="preserve"> por ciento</w:t>
      </w:r>
      <w:r w:rsidRPr="005F5535">
        <w:rPr>
          <w:sz w:val="18"/>
          <w:szCs w:val="18"/>
        </w:rPr>
        <w:t xml:space="preserve"> del nivel básico; 2040-2044: 50</w:t>
      </w:r>
      <w:r w:rsidR="005F5535" w:rsidRPr="005F5535">
        <w:rPr>
          <w:color w:val="000000" w:themeColor="text1"/>
          <w:sz w:val="18"/>
          <w:szCs w:val="18"/>
          <w:lang w:val="es-MX"/>
        </w:rPr>
        <w:t xml:space="preserve"> por ciento</w:t>
      </w:r>
      <w:r w:rsidRPr="005F5535">
        <w:rPr>
          <w:sz w:val="18"/>
          <w:szCs w:val="18"/>
        </w:rPr>
        <w:t xml:space="preserve"> del nivel básico; 2045 y años posteriores: 20</w:t>
      </w:r>
      <w:r w:rsidR="005F5535">
        <w:rPr>
          <w:color w:val="000000" w:themeColor="text1"/>
          <w:sz w:val="18"/>
          <w:szCs w:val="18"/>
          <w:lang w:val="es-MX"/>
        </w:rPr>
        <w:t> </w:t>
      </w:r>
      <w:r w:rsidR="005F5535" w:rsidRPr="005F5535">
        <w:rPr>
          <w:color w:val="000000" w:themeColor="text1"/>
          <w:sz w:val="18"/>
          <w:szCs w:val="18"/>
          <w:lang w:val="es-MX"/>
        </w:rPr>
        <w:t>por ciento</w:t>
      </w:r>
      <w:r w:rsidRPr="005F5535">
        <w:rPr>
          <w:sz w:val="18"/>
          <w:szCs w:val="18"/>
        </w:rPr>
        <w:t xml:space="preserve"> del nivel básico. grupo 2, 2028–2031: 100</w:t>
      </w:r>
      <w:r w:rsidR="005F5535" w:rsidRPr="005F5535">
        <w:rPr>
          <w:color w:val="000000" w:themeColor="text1"/>
          <w:sz w:val="18"/>
          <w:szCs w:val="18"/>
          <w:lang w:val="es-MX"/>
        </w:rPr>
        <w:t xml:space="preserve"> por ciento</w:t>
      </w:r>
      <w:r w:rsidRPr="005F5535">
        <w:rPr>
          <w:sz w:val="18"/>
          <w:szCs w:val="18"/>
        </w:rPr>
        <w:t xml:space="preserve"> del nivel básico; 2032-2036: 90</w:t>
      </w:r>
      <w:r w:rsidR="005F5535" w:rsidRPr="005F5535">
        <w:rPr>
          <w:color w:val="000000" w:themeColor="text1"/>
          <w:sz w:val="18"/>
          <w:szCs w:val="18"/>
          <w:lang w:val="es-MX"/>
        </w:rPr>
        <w:t xml:space="preserve"> por ciento</w:t>
      </w:r>
      <w:r w:rsidRPr="005F5535">
        <w:rPr>
          <w:sz w:val="18"/>
          <w:szCs w:val="18"/>
        </w:rPr>
        <w:t xml:space="preserve"> del nivel básico; 2037</w:t>
      </w:r>
      <w:r w:rsidR="005F5535">
        <w:rPr>
          <w:sz w:val="18"/>
          <w:szCs w:val="18"/>
        </w:rPr>
        <w:noBreakHyphen/>
      </w:r>
      <w:r w:rsidRPr="005F5535">
        <w:rPr>
          <w:sz w:val="18"/>
          <w:szCs w:val="18"/>
        </w:rPr>
        <w:t>2041: 80</w:t>
      </w:r>
      <w:r w:rsidR="005F5535" w:rsidRPr="005F5535">
        <w:rPr>
          <w:color w:val="000000" w:themeColor="text1"/>
          <w:sz w:val="18"/>
          <w:szCs w:val="18"/>
          <w:lang w:val="es-MX"/>
        </w:rPr>
        <w:t> por ciento</w:t>
      </w:r>
      <w:r w:rsidRPr="005F5535">
        <w:rPr>
          <w:sz w:val="18"/>
          <w:szCs w:val="18"/>
        </w:rPr>
        <w:t xml:space="preserve"> del nivel básico; 2042</w:t>
      </w:r>
      <w:r w:rsidRPr="005F5535">
        <w:rPr>
          <w:sz w:val="18"/>
          <w:szCs w:val="18"/>
        </w:rPr>
        <w:noBreakHyphen/>
        <w:t>2046: 70</w:t>
      </w:r>
      <w:r w:rsidR="005F5535" w:rsidRPr="005F5535">
        <w:rPr>
          <w:color w:val="000000" w:themeColor="text1"/>
          <w:sz w:val="18"/>
          <w:szCs w:val="18"/>
          <w:lang w:val="es-MX"/>
        </w:rPr>
        <w:t xml:space="preserve"> por ciento</w:t>
      </w:r>
      <w:r w:rsidRPr="005F5535">
        <w:rPr>
          <w:sz w:val="18"/>
          <w:szCs w:val="18"/>
        </w:rPr>
        <w:t xml:space="preserve"> del nivel básico; 2047 y años posteriores: 15</w:t>
      </w:r>
      <w:r w:rsidR="005F5535" w:rsidRPr="005F5535">
        <w:rPr>
          <w:color w:val="000000" w:themeColor="text1"/>
          <w:sz w:val="18"/>
          <w:szCs w:val="18"/>
          <w:lang w:val="es-MX"/>
        </w:rPr>
        <w:t xml:space="preserve"> por ciento</w:t>
      </w:r>
      <w:r w:rsidRPr="005F5535">
        <w:rPr>
          <w:sz w:val="18"/>
          <w:szCs w:val="18"/>
        </w:rPr>
        <w:t xml:space="preserve"> del nivel básico.</w:t>
      </w:r>
    </w:p>
    <w:p w:rsidR="00B802C6" w:rsidRPr="005F5535" w:rsidRDefault="00B802C6" w:rsidP="00B802C6">
      <w:pPr>
        <w:pStyle w:val="FootnoteText"/>
        <w:rPr>
          <w:sz w:val="18"/>
          <w:szCs w:val="18"/>
        </w:rPr>
      </w:pPr>
      <w:r w:rsidRPr="005F5535">
        <w:rPr>
          <w:sz w:val="18"/>
          <w:szCs w:val="18"/>
        </w:rPr>
        <w:t>**</w:t>
      </w:r>
      <w:r w:rsidR="003E0D64" w:rsidRPr="005F5535">
        <w:rPr>
          <w:sz w:val="18"/>
          <w:szCs w:val="18"/>
        </w:rPr>
        <w:t xml:space="preserve"> </w:t>
      </w:r>
      <w:r w:rsidRPr="005F5535">
        <w:rPr>
          <w:sz w:val="18"/>
          <w:szCs w:val="18"/>
        </w:rPr>
        <w:t>El HFC-23, que tiene un PCA de 14 800, es principalmente un subproducto de la producción de HCFC-22.</w:t>
      </w:r>
    </w:p>
    <w:p w:rsidR="00B802C6" w:rsidRPr="005F5535" w:rsidRDefault="00B802C6" w:rsidP="00B802C6">
      <w:pPr>
        <w:pStyle w:val="FootnoteText"/>
        <w:rPr>
          <w:sz w:val="18"/>
          <w:szCs w:val="18"/>
        </w:rPr>
      </w:pPr>
      <w:r w:rsidRPr="005F5535">
        <w:rPr>
          <w:sz w:val="18"/>
          <w:szCs w:val="18"/>
        </w:rPr>
        <w:t>*** Los países debían informar el consumo y la producción de HCFC, en los casos correspondientes, con arreglo al artículo 7 a partir del momento en que se constituyesen en partes en el Protocolo de Montreal.</w:t>
      </w:r>
    </w:p>
    <w:p w:rsidR="00B802C6" w:rsidRPr="00B430EE" w:rsidRDefault="00B802C6" w:rsidP="00B802C6">
      <w:pPr>
        <w:rPr>
          <w:sz w:val="18"/>
          <w:szCs w:val="18"/>
          <w:lang w:val="es-ES"/>
        </w:rPr>
      </w:pPr>
    </w:p>
    <w:p w:rsidR="00B802C6" w:rsidRPr="00B430EE" w:rsidRDefault="00B802C6" w:rsidP="00B802C6">
      <w:pPr>
        <w:pStyle w:val="Heading1"/>
        <w:numPr>
          <w:ilvl w:val="0"/>
          <w:numId w:val="0"/>
        </w:numPr>
        <w:rPr>
          <w:b/>
          <w:lang w:val="es-ES"/>
        </w:rPr>
      </w:pPr>
      <w:r w:rsidRPr="00B430EE">
        <w:rPr>
          <w:b/>
          <w:lang w:val="es-ES"/>
        </w:rPr>
        <w:t>Nivel básico de HFC para el cumplimiento</w:t>
      </w:r>
    </w:p>
    <w:p w:rsidR="00B802C6" w:rsidRPr="00B430EE" w:rsidRDefault="00B802C6" w:rsidP="00B802C6">
      <w:pPr>
        <w:pStyle w:val="Heading1"/>
        <w:rPr>
          <w:lang w:val="es-ES"/>
        </w:rPr>
      </w:pPr>
      <w:r w:rsidRPr="00B430EE">
        <w:rPr>
          <w:lang w:val="es-ES"/>
        </w:rPr>
        <w:t>En la Enmienda de Kigali, se acordaron dos niveles básicos de consumo de HFC para el cumplimiento (expresados en equivalentes de CO</w:t>
      </w:r>
      <w:r w:rsidRPr="00B430EE">
        <w:rPr>
          <w:vertAlign w:val="subscript"/>
          <w:lang w:val="es-ES"/>
        </w:rPr>
        <w:t>2</w:t>
      </w:r>
      <w:r w:rsidRPr="00B430EE">
        <w:rPr>
          <w:lang w:val="es-ES"/>
        </w:rPr>
        <w:t xml:space="preserve">) para los países que operan al amparo del artículo 5: </w:t>
      </w:r>
    </w:p>
    <w:p w:rsidR="00B802C6" w:rsidRPr="00B430EE" w:rsidRDefault="002E68BB" w:rsidP="00B802C6">
      <w:pPr>
        <w:pStyle w:val="Heading2"/>
        <w:widowControl/>
        <w:rPr>
          <w:lang w:val="es-ES"/>
        </w:rPr>
      </w:pPr>
      <w:r w:rsidRPr="00B430EE">
        <w:rPr>
          <w:lang w:val="es-ES"/>
        </w:rPr>
        <w:t>Para los países que operan al amparo del artículo 5 del grupo 1: sus niveles de consumo medios para los años 2020, 2021 y 2022 (“componente de HFC”) más el 65</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lang w:val="es-ES"/>
        </w:rPr>
        <w:t xml:space="preserve"> de su nivel de base del consumo de HCFC (“componente de HCFC”); y</w:t>
      </w:r>
    </w:p>
    <w:p w:rsidR="00B802C6" w:rsidRPr="00B430EE" w:rsidRDefault="002E68BB" w:rsidP="00B802C6">
      <w:pPr>
        <w:pStyle w:val="Heading2"/>
        <w:widowControl/>
        <w:rPr>
          <w:lang w:val="es-ES"/>
        </w:rPr>
      </w:pPr>
      <w:r w:rsidRPr="00B430EE">
        <w:rPr>
          <w:lang w:val="es-ES"/>
        </w:rPr>
        <w:t>Para los países que operan al amparo del artículo 5 del grupo 2: sus niveles de consumo medios para los años 2024, 2025 y 2026 (“componente de HFC”) más el 65</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lang w:val="es-ES"/>
        </w:rPr>
        <w:t xml:space="preserve"> de su nivel de base del consumo de HCFC (“componente de HCFC”).</w:t>
      </w:r>
    </w:p>
    <w:p w:rsidR="00B802C6" w:rsidRPr="00B430EE" w:rsidRDefault="00B802C6" w:rsidP="003E0D64">
      <w:pPr>
        <w:pStyle w:val="Heading1"/>
        <w:keepNext/>
        <w:rPr>
          <w:lang w:val="es-ES"/>
        </w:rPr>
      </w:pPr>
      <w:r w:rsidRPr="00B430EE">
        <w:rPr>
          <w:lang w:val="es-ES"/>
        </w:rPr>
        <w:t xml:space="preserve">Para los fines del presente documento, el “componente de HCFC” del nivel básico de HFC para todos los países que operan al amparo del artículo 5 se ha calculado utilizando el consumo medio proyectado durante los años de base de 2020 a 2022 (aplicable a los países que operan al amparo del </w:t>
      </w:r>
      <w:r w:rsidRPr="00B430EE">
        <w:rPr>
          <w:lang w:val="es-ES"/>
        </w:rPr>
        <w:lastRenderedPageBreak/>
        <w:t>artículo 5 del grupo 1)</w:t>
      </w:r>
      <w:r w:rsidRPr="0062383B">
        <w:rPr>
          <w:rStyle w:val="FootnoteReference"/>
          <w:lang w:val="en-CA"/>
        </w:rPr>
        <w:footnoteReference w:id="29"/>
      </w:r>
      <w:r w:rsidRPr="00B430EE">
        <w:rPr>
          <w:lang w:val="es-ES"/>
        </w:rPr>
        <w:t>, dado que el consumo de HFC desglosado por país no está disponible</w:t>
      </w:r>
      <w:r w:rsidRPr="0062383B">
        <w:rPr>
          <w:rStyle w:val="FootnoteReference"/>
          <w:lang w:val="en-CA"/>
        </w:rPr>
        <w:footnoteReference w:id="30"/>
      </w:r>
      <w:r w:rsidRPr="00B430EE">
        <w:rPr>
          <w:lang w:val="es-ES"/>
        </w:rPr>
        <w:t xml:space="preserve">. La Secretaría señala que este método para estimar un componente de HFC acumulado del nivel básico no tiene en cuenta el aumento del consumo de HFC en los países que operan al amparo del artículo 5 del grupo 2 entre 2023 y 2026; los resultados de los estudios de alternativas a las SAO de algunos países que operan al amparo del artículo 5 del grupo 2 sugieren que ese aumento podría ser sustancial. </w:t>
      </w:r>
    </w:p>
    <w:p w:rsidR="00B802C6" w:rsidRPr="00B430EE" w:rsidRDefault="00B802C6" w:rsidP="00B802C6">
      <w:pPr>
        <w:pStyle w:val="Heading1"/>
        <w:rPr>
          <w:lang w:val="es-ES"/>
        </w:rPr>
      </w:pPr>
      <w:r w:rsidRPr="00B430EE">
        <w:rPr>
          <w:lang w:val="es-ES"/>
        </w:rPr>
        <w:t>Por consiguiente, se estima que el “componente de HFC” acumulado del nivel básico de HFC asciende a 520 909 tm (1 091 111 362 equivalentes de CO</w:t>
      </w:r>
      <w:r w:rsidRPr="00B430EE">
        <w:rPr>
          <w:vertAlign w:val="subscript"/>
          <w:lang w:val="es-ES"/>
        </w:rPr>
        <w:t>2</w:t>
      </w:r>
      <w:r w:rsidRPr="00B430EE">
        <w:rPr>
          <w:lang w:val="es-ES"/>
        </w:rPr>
        <w:t xml:space="preserve">), como se muestra en el Cuadro 5. </w:t>
      </w:r>
    </w:p>
    <w:p w:rsidR="00B802C6" w:rsidRPr="00B430EE" w:rsidRDefault="00B802C6" w:rsidP="00B802C6">
      <w:pPr>
        <w:keepNext/>
        <w:rPr>
          <w:b/>
          <w:lang w:val="es-ES"/>
        </w:rPr>
      </w:pPr>
      <w:r w:rsidRPr="00B430EE">
        <w:rPr>
          <w:b/>
          <w:lang w:val="es-ES"/>
        </w:rPr>
        <w:t>Cuadro 5. “Componente de HFC” estimado del nivel básico de HFC para el cumplimiento en los países que operan al amparo del artículo 5</w:t>
      </w:r>
    </w:p>
    <w:tbl>
      <w:tblPr>
        <w:tblW w:w="9355" w:type="dxa"/>
        <w:jc w:val="center"/>
        <w:tblLayout w:type="fixed"/>
        <w:tblLook w:val="04A0" w:firstRow="1" w:lastRow="0" w:firstColumn="1" w:lastColumn="0" w:noHBand="0" w:noVBand="1"/>
      </w:tblPr>
      <w:tblGrid>
        <w:gridCol w:w="2279"/>
        <w:gridCol w:w="1476"/>
        <w:gridCol w:w="1477"/>
        <w:gridCol w:w="1476"/>
        <w:gridCol w:w="1477"/>
        <w:gridCol w:w="1170"/>
      </w:tblGrid>
      <w:tr w:rsidR="00B802C6" w:rsidRPr="0062383B" w:rsidTr="005F5535">
        <w:trPr>
          <w:tblHeader/>
          <w:jc w:val="center"/>
        </w:trPr>
        <w:tc>
          <w:tcPr>
            <w:tcW w:w="2279"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B802C6" w:rsidRPr="0062383B" w:rsidRDefault="00B802C6" w:rsidP="00B802C6">
            <w:pPr>
              <w:keepNext/>
              <w:jc w:val="left"/>
              <w:rPr>
                <w:b/>
                <w:bCs/>
                <w:color w:val="000000"/>
                <w:sz w:val="20"/>
                <w:szCs w:val="20"/>
              </w:rPr>
            </w:pPr>
            <w:r>
              <w:rPr>
                <w:b/>
                <w:bCs/>
                <w:color w:val="000000"/>
                <w:sz w:val="20"/>
                <w:szCs w:val="20"/>
              </w:rPr>
              <w:t>HFC</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jc w:val="center"/>
              <w:rPr>
                <w:b/>
                <w:bCs/>
                <w:color w:val="000000"/>
                <w:sz w:val="20"/>
                <w:szCs w:val="20"/>
              </w:rPr>
            </w:pPr>
            <w:r>
              <w:rPr>
                <w:b/>
                <w:bCs/>
                <w:color w:val="000000"/>
                <w:sz w:val="20"/>
                <w:szCs w:val="20"/>
              </w:rPr>
              <w:t>2020</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jc w:val="center"/>
              <w:rPr>
                <w:b/>
                <w:bCs/>
                <w:color w:val="000000"/>
                <w:sz w:val="20"/>
                <w:szCs w:val="20"/>
              </w:rPr>
            </w:pPr>
            <w:r>
              <w:rPr>
                <w:b/>
                <w:bCs/>
                <w:color w:val="000000"/>
                <w:sz w:val="20"/>
                <w:szCs w:val="20"/>
              </w:rPr>
              <w:t>2021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jc w:val="center"/>
              <w:rPr>
                <w:b/>
                <w:bCs/>
                <w:color w:val="000000"/>
                <w:sz w:val="20"/>
                <w:szCs w:val="20"/>
              </w:rPr>
            </w:pPr>
            <w:r>
              <w:rPr>
                <w:b/>
                <w:bCs/>
                <w:color w:val="000000"/>
                <w:sz w:val="20"/>
                <w:szCs w:val="20"/>
              </w:rPr>
              <w:t>2022</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jc w:val="center"/>
              <w:rPr>
                <w:b/>
                <w:bCs/>
                <w:color w:val="000000"/>
                <w:sz w:val="20"/>
                <w:szCs w:val="20"/>
              </w:rPr>
            </w:pPr>
            <w:r>
              <w:rPr>
                <w:b/>
                <w:bCs/>
                <w:color w:val="000000"/>
                <w:sz w:val="20"/>
                <w:szCs w:val="20"/>
              </w:rPr>
              <w:t>Nivel básico</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keepNext/>
              <w:jc w:val="center"/>
              <w:rPr>
                <w:b/>
                <w:bCs/>
                <w:color w:val="000000"/>
                <w:sz w:val="20"/>
                <w:szCs w:val="20"/>
              </w:rPr>
            </w:pPr>
            <w:r>
              <w:rPr>
                <w:b/>
                <w:bCs/>
                <w:color w:val="000000"/>
                <w:sz w:val="20"/>
                <w:szCs w:val="20"/>
              </w:rPr>
              <w:t>% del nivel básico</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b/>
                <w:bCs/>
                <w:color w:val="000000"/>
                <w:sz w:val="20"/>
                <w:szCs w:val="20"/>
              </w:rPr>
            </w:pPr>
            <w:r>
              <w:rPr>
                <w:b/>
                <w:bCs/>
                <w:color w:val="000000"/>
                <w:sz w:val="20"/>
                <w:szCs w:val="20"/>
              </w:rPr>
              <w:t>Toneladas métricas</w:t>
            </w:r>
          </w:p>
        </w:tc>
        <w:tc>
          <w:tcPr>
            <w:tcW w:w="1476"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color w:val="000000"/>
                <w:sz w:val="20"/>
                <w:szCs w:val="20"/>
              </w:rPr>
            </w:pPr>
            <w:r>
              <w:rPr>
                <w:color w:val="000000"/>
                <w:sz w:val="20"/>
                <w:szCs w:val="20"/>
              </w:rPr>
              <w:t> </w:t>
            </w:r>
          </w:p>
        </w:tc>
        <w:tc>
          <w:tcPr>
            <w:tcW w:w="147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color w:val="000000"/>
                <w:sz w:val="20"/>
                <w:szCs w:val="20"/>
              </w:rPr>
            </w:pPr>
            <w:r>
              <w:rPr>
                <w:color w:val="000000"/>
                <w:sz w:val="20"/>
                <w:szCs w:val="20"/>
              </w:rPr>
              <w:t> </w:t>
            </w:r>
          </w:p>
        </w:tc>
        <w:tc>
          <w:tcPr>
            <w:tcW w:w="1476"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center"/>
              <w:rPr>
                <w:color w:val="000000"/>
                <w:sz w:val="20"/>
                <w:szCs w:val="20"/>
              </w:rPr>
            </w:pPr>
            <w:r>
              <w:rPr>
                <w:color w:val="000000"/>
                <w:sz w:val="20"/>
                <w:szCs w:val="20"/>
              </w:rPr>
              <w:t> </w:t>
            </w:r>
          </w:p>
        </w:tc>
        <w:tc>
          <w:tcPr>
            <w:tcW w:w="1477"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 </w:t>
            </w:r>
          </w:p>
        </w:tc>
        <w:tc>
          <w:tcPr>
            <w:tcW w:w="1170"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 </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106</w:t>
            </w:r>
            <w:r w:rsidR="003E0D64">
              <w:rPr>
                <w:color w:val="000000"/>
                <w:sz w:val="20"/>
                <w:szCs w:val="20"/>
              </w:rPr>
              <w:t> </w:t>
            </w:r>
            <w:r>
              <w:rPr>
                <w:color w:val="000000"/>
                <w:sz w:val="20"/>
                <w:szCs w:val="20"/>
              </w:rPr>
              <w:t>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112</w:t>
            </w:r>
            <w:r w:rsidR="003E0D64">
              <w:rPr>
                <w:color w:val="000000"/>
                <w:sz w:val="20"/>
                <w:szCs w:val="20"/>
              </w:rPr>
              <w:t> </w:t>
            </w:r>
            <w:r>
              <w:rPr>
                <w:color w:val="000000"/>
                <w:sz w:val="20"/>
                <w:szCs w:val="20"/>
              </w:rPr>
              <w:t>610</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118</w:t>
            </w:r>
            <w:r w:rsidR="003E0D64">
              <w:rPr>
                <w:color w:val="000000"/>
                <w:sz w:val="20"/>
                <w:szCs w:val="20"/>
              </w:rPr>
              <w:t> </w:t>
            </w:r>
            <w:r>
              <w:rPr>
                <w:color w:val="000000"/>
                <w:sz w:val="20"/>
                <w:szCs w:val="20"/>
              </w:rPr>
              <w:t>813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112</w:t>
            </w:r>
            <w:r w:rsidR="003E0D64">
              <w:rPr>
                <w:color w:val="000000"/>
                <w:sz w:val="20"/>
                <w:szCs w:val="20"/>
              </w:rPr>
              <w:t> </w:t>
            </w:r>
            <w:r>
              <w:rPr>
                <w:color w:val="000000"/>
                <w:sz w:val="20"/>
                <w:szCs w:val="20"/>
              </w:rPr>
              <w:t>718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21,6</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192</w:t>
            </w:r>
            <w:r w:rsidR="003E0D64">
              <w:rPr>
                <w:color w:val="000000"/>
                <w:sz w:val="20"/>
                <w:szCs w:val="20"/>
              </w:rPr>
              <w:t> </w:t>
            </w:r>
            <w:r>
              <w:rPr>
                <w:color w:val="000000"/>
                <w:sz w:val="20"/>
                <w:szCs w:val="20"/>
              </w:rPr>
              <w:t>770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208</w:t>
            </w:r>
            <w:r w:rsidR="003E0D64">
              <w:rPr>
                <w:color w:val="000000"/>
                <w:sz w:val="20"/>
                <w:szCs w:val="20"/>
              </w:rPr>
              <w:t> </w:t>
            </w:r>
            <w:r>
              <w:rPr>
                <w:color w:val="000000"/>
                <w:sz w:val="20"/>
                <w:szCs w:val="20"/>
              </w:rPr>
              <w:t>403</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225</w:t>
            </w:r>
            <w:r w:rsidR="003E0D64">
              <w:rPr>
                <w:color w:val="000000"/>
                <w:sz w:val="20"/>
                <w:szCs w:val="20"/>
              </w:rPr>
              <w:t> </w:t>
            </w:r>
            <w:r>
              <w:rPr>
                <w:color w:val="000000"/>
                <w:sz w:val="20"/>
                <w:szCs w:val="20"/>
              </w:rPr>
              <w:t>303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208</w:t>
            </w:r>
            <w:r w:rsidR="003E0D64">
              <w:rPr>
                <w:color w:val="000000"/>
                <w:sz w:val="20"/>
                <w:szCs w:val="20"/>
              </w:rPr>
              <w:t> </w:t>
            </w:r>
            <w:r>
              <w:rPr>
                <w:color w:val="000000"/>
                <w:sz w:val="20"/>
                <w:szCs w:val="20"/>
              </w:rPr>
              <w:t>825</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40,1</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101</w:t>
            </w:r>
            <w:r w:rsidR="003E0D64">
              <w:rPr>
                <w:color w:val="000000"/>
                <w:sz w:val="20"/>
                <w:szCs w:val="20"/>
              </w:rPr>
              <w:t> </w:t>
            </w:r>
            <w:r>
              <w:rPr>
                <w:color w:val="000000"/>
                <w:sz w:val="20"/>
                <w:szCs w:val="20"/>
              </w:rPr>
              <w:t>216</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112</w:t>
            </w:r>
            <w:r w:rsidR="003E0D64">
              <w:rPr>
                <w:color w:val="000000"/>
                <w:sz w:val="20"/>
                <w:szCs w:val="20"/>
              </w:rPr>
              <w:t> </w:t>
            </w:r>
            <w:r>
              <w:rPr>
                <w:color w:val="000000"/>
                <w:sz w:val="20"/>
                <w:szCs w:val="20"/>
              </w:rPr>
              <w:t>856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125</w:t>
            </w:r>
            <w:r w:rsidR="003E0D64">
              <w:rPr>
                <w:color w:val="000000"/>
                <w:sz w:val="20"/>
                <w:szCs w:val="20"/>
              </w:rPr>
              <w:t> </w:t>
            </w:r>
            <w:r>
              <w:rPr>
                <w:color w:val="000000"/>
                <w:sz w:val="20"/>
                <w:szCs w:val="20"/>
              </w:rPr>
              <w:t>835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113</w:t>
            </w:r>
            <w:r w:rsidR="003E0D64">
              <w:rPr>
                <w:color w:val="000000"/>
                <w:sz w:val="20"/>
                <w:szCs w:val="20"/>
              </w:rPr>
              <w:t> </w:t>
            </w:r>
            <w:r>
              <w:rPr>
                <w:color w:val="000000"/>
                <w:sz w:val="20"/>
                <w:szCs w:val="20"/>
              </w:rPr>
              <w:t>302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21,8</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31</w:t>
            </w:r>
            <w:r w:rsidR="003E0D64">
              <w:rPr>
                <w:color w:val="000000"/>
                <w:sz w:val="20"/>
                <w:szCs w:val="20"/>
              </w:rPr>
              <w:t> </w:t>
            </w:r>
            <w:r>
              <w:rPr>
                <w:color w:val="000000"/>
                <w:sz w:val="20"/>
                <w:szCs w:val="20"/>
              </w:rPr>
              <w:t>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40</w:t>
            </w:r>
            <w:r w:rsidR="003E0D64">
              <w:rPr>
                <w:color w:val="000000"/>
                <w:sz w:val="20"/>
                <w:szCs w:val="20"/>
              </w:rPr>
              <w:t> </w:t>
            </w:r>
            <w:r>
              <w:rPr>
                <w:color w:val="000000"/>
                <w:sz w:val="20"/>
                <w:szCs w:val="20"/>
              </w:rPr>
              <w:t>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6,9</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31</w:t>
            </w:r>
            <w:r w:rsidR="003E0D64">
              <w:rPr>
                <w:color w:val="000000"/>
                <w:sz w:val="20"/>
                <w:szCs w:val="20"/>
              </w:rPr>
              <w:t> </w:t>
            </w:r>
            <w:r>
              <w:rPr>
                <w:color w:val="000000"/>
                <w:sz w:val="20"/>
                <w:szCs w:val="20"/>
              </w:rPr>
              <w:t>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40</w:t>
            </w:r>
            <w:r w:rsidR="003E0D64">
              <w:rPr>
                <w:color w:val="000000"/>
                <w:sz w:val="20"/>
                <w:szCs w:val="20"/>
              </w:rPr>
              <w:t> </w:t>
            </w:r>
            <w:r>
              <w:rPr>
                <w:color w:val="000000"/>
                <w:sz w:val="20"/>
                <w:szCs w:val="20"/>
              </w:rPr>
              <w:t>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6,9</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669</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6</w:t>
            </w:r>
            <w:r w:rsidR="003E0D64">
              <w:rPr>
                <w:color w:val="000000"/>
                <w:sz w:val="20"/>
                <w:szCs w:val="20"/>
              </w:rPr>
              <w:t> </w:t>
            </w:r>
            <w:r>
              <w:rPr>
                <w:color w:val="000000"/>
                <w:sz w:val="20"/>
                <w:szCs w:val="20"/>
              </w:rPr>
              <w:t>505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7</w:t>
            </w:r>
            <w:r w:rsidR="003E0D64">
              <w:rPr>
                <w:color w:val="000000"/>
                <w:sz w:val="20"/>
                <w:szCs w:val="20"/>
              </w:rPr>
              <w:t> </w:t>
            </w:r>
            <w:r>
              <w:rPr>
                <w:color w:val="000000"/>
                <w:sz w:val="20"/>
                <w:szCs w:val="20"/>
              </w:rPr>
              <w:t>465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6</w:t>
            </w:r>
            <w:r w:rsidR="003E0D64">
              <w:rPr>
                <w:color w:val="000000"/>
                <w:sz w:val="20"/>
                <w:szCs w:val="20"/>
              </w:rPr>
              <w:t> </w:t>
            </w:r>
            <w:r>
              <w:rPr>
                <w:color w:val="000000"/>
                <w:sz w:val="20"/>
                <w:szCs w:val="20"/>
              </w:rPr>
              <w:t>546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1,3</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840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046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263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050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0,8</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428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627</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838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631</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0,7</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Total (tm)</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477</w:t>
            </w:r>
            <w:r w:rsidR="003E0D64">
              <w:rPr>
                <w:color w:val="000000"/>
                <w:sz w:val="20"/>
                <w:szCs w:val="20"/>
              </w:rPr>
              <w:t> </w:t>
            </w:r>
            <w:r>
              <w:rPr>
                <w:color w:val="000000"/>
                <w:sz w:val="20"/>
                <w:szCs w:val="20"/>
              </w:rPr>
              <w:t>618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519</w:t>
            </w:r>
            <w:r w:rsidR="003E0D64">
              <w:rPr>
                <w:color w:val="000000"/>
                <w:sz w:val="20"/>
                <w:szCs w:val="20"/>
              </w:rPr>
              <w:t> </w:t>
            </w:r>
            <w:r>
              <w:rPr>
                <w:color w:val="000000"/>
                <w:sz w:val="20"/>
                <w:szCs w:val="20"/>
              </w:rPr>
              <w:t>585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565</w:t>
            </w:r>
            <w:r w:rsidR="003E0D64">
              <w:rPr>
                <w:color w:val="000000"/>
                <w:sz w:val="20"/>
                <w:szCs w:val="20"/>
              </w:rPr>
              <w:t> </w:t>
            </w:r>
            <w:r>
              <w:rPr>
                <w:color w:val="000000"/>
                <w:sz w:val="20"/>
                <w:szCs w:val="20"/>
              </w:rPr>
              <w:t>525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B802C6" w:rsidRPr="0062383B" w:rsidRDefault="00B802C6" w:rsidP="00B802C6">
            <w:pPr>
              <w:jc w:val="right"/>
              <w:rPr>
                <w:color w:val="000000"/>
                <w:sz w:val="20"/>
                <w:szCs w:val="20"/>
              </w:rPr>
            </w:pPr>
            <w:r>
              <w:rPr>
                <w:color w:val="000000"/>
                <w:sz w:val="20"/>
                <w:szCs w:val="20"/>
              </w:rPr>
              <w:t>520</w:t>
            </w:r>
            <w:r w:rsidR="003E0D64">
              <w:rPr>
                <w:color w:val="000000"/>
                <w:sz w:val="20"/>
                <w:szCs w:val="20"/>
              </w:rPr>
              <w:t> </w:t>
            </w:r>
            <w:r>
              <w:rPr>
                <w:color w:val="000000"/>
                <w:sz w:val="20"/>
                <w:szCs w:val="20"/>
              </w:rPr>
              <w:t>909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b/>
                <w:bCs/>
                <w:color w:val="000000"/>
                <w:sz w:val="20"/>
                <w:szCs w:val="20"/>
              </w:rPr>
            </w:pPr>
            <w:r>
              <w:rPr>
                <w:b/>
                <w:bCs/>
                <w:color w:val="000000"/>
                <w:sz w:val="20"/>
                <w:szCs w:val="20"/>
              </w:rPr>
              <w:t>Equivalentes de CO</w:t>
            </w:r>
            <w:r>
              <w:rPr>
                <w:b/>
                <w:bCs/>
                <w:color w:val="000000"/>
                <w:sz w:val="20"/>
                <w:szCs w:val="20"/>
                <w:vertAlign w:val="subscript"/>
              </w:rPr>
              <w:t>2</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B802C6" w:rsidRPr="0062383B" w:rsidRDefault="00B802C6" w:rsidP="00B802C6">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B802C6" w:rsidRPr="0062383B" w:rsidRDefault="00B802C6" w:rsidP="00B802C6">
            <w:pPr>
              <w:jc w:val="right"/>
              <w:rPr>
                <w:color w:val="000000"/>
                <w:sz w:val="20"/>
                <w:szCs w:val="20"/>
                <w:lang w:val="en-CA" w:eastAsia="en-CA"/>
              </w:rPr>
            </w:pP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B802C6" w:rsidRPr="0062383B" w:rsidRDefault="00B802C6" w:rsidP="00B802C6">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B802C6" w:rsidRPr="0062383B" w:rsidRDefault="00B802C6" w:rsidP="00B802C6">
            <w:pPr>
              <w:jc w:val="right"/>
              <w:rPr>
                <w:color w:val="000000"/>
                <w:sz w:val="20"/>
                <w:szCs w:val="20"/>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B802C6" w:rsidRPr="0062383B" w:rsidRDefault="00B802C6" w:rsidP="00B802C6">
            <w:pPr>
              <w:jc w:val="right"/>
              <w:rPr>
                <w:color w:val="000000"/>
                <w:sz w:val="20"/>
                <w:szCs w:val="20"/>
                <w:lang w:val="en-CA" w:eastAsia="en-CA"/>
              </w:rPr>
            </w:pP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152</w:t>
            </w:r>
            <w:r w:rsidR="003E0D64">
              <w:rPr>
                <w:color w:val="000000"/>
                <w:sz w:val="20"/>
                <w:szCs w:val="20"/>
              </w:rPr>
              <w:t> </w:t>
            </w:r>
            <w:r>
              <w:rPr>
                <w:color w:val="000000"/>
                <w:sz w:val="20"/>
                <w:szCs w:val="20"/>
              </w:rPr>
              <w:t>625</w:t>
            </w:r>
            <w:r w:rsidR="003E0D64">
              <w:rPr>
                <w:color w:val="000000"/>
                <w:sz w:val="20"/>
                <w:szCs w:val="20"/>
              </w:rPr>
              <w:t> </w:t>
            </w:r>
            <w:r>
              <w:rPr>
                <w:color w:val="000000"/>
                <w:sz w:val="20"/>
                <w:szCs w:val="20"/>
              </w:rPr>
              <w:t>330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161</w:t>
            </w:r>
            <w:r w:rsidR="003E0D64">
              <w:rPr>
                <w:color w:val="000000"/>
                <w:sz w:val="20"/>
                <w:szCs w:val="20"/>
              </w:rPr>
              <w:t> </w:t>
            </w:r>
            <w:r>
              <w:rPr>
                <w:color w:val="000000"/>
                <w:sz w:val="20"/>
                <w:szCs w:val="20"/>
              </w:rPr>
              <w:t>032</w:t>
            </w:r>
            <w:r w:rsidR="003E0D64">
              <w:rPr>
                <w:color w:val="000000"/>
                <w:sz w:val="20"/>
                <w:szCs w:val="20"/>
              </w:rPr>
              <w:t> </w:t>
            </w:r>
            <w:r>
              <w:rPr>
                <w:color w:val="000000"/>
                <w:sz w:val="20"/>
                <w:szCs w:val="20"/>
              </w:rPr>
              <w:t>154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169</w:t>
            </w:r>
            <w:r w:rsidR="003E0D64">
              <w:rPr>
                <w:color w:val="000000"/>
                <w:sz w:val="20"/>
                <w:szCs w:val="20"/>
              </w:rPr>
              <w:t> </w:t>
            </w:r>
            <w:r>
              <w:rPr>
                <w:color w:val="000000"/>
                <w:sz w:val="20"/>
                <w:szCs w:val="20"/>
              </w:rPr>
              <w:t>902</w:t>
            </w:r>
            <w:r w:rsidR="003E0D64">
              <w:rPr>
                <w:color w:val="000000"/>
                <w:sz w:val="20"/>
                <w:szCs w:val="20"/>
              </w:rPr>
              <w:t> </w:t>
            </w:r>
            <w:r>
              <w:rPr>
                <w:color w:val="000000"/>
                <w:sz w:val="20"/>
                <w:szCs w:val="20"/>
              </w:rPr>
              <w:t>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161</w:t>
            </w:r>
            <w:r w:rsidR="003E0D64">
              <w:rPr>
                <w:color w:val="000000"/>
                <w:sz w:val="20"/>
                <w:szCs w:val="20"/>
              </w:rPr>
              <w:t> </w:t>
            </w:r>
            <w:r>
              <w:rPr>
                <w:color w:val="000000"/>
                <w:sz w:val="20"/>
                <w:szCs w:val="20"/>
              </w:rPr>
              <w:t>186</w:t>
            </w:r>
            <w:r w:rsidR="003E0D64">
              <w:rPr>
                <w:color w:val="000000"/>
                <w:sz w:val="20"/>
                <w:szCs w:val="20"/>
              </w:rPr>
              <w:t> </w:t>
            </w:r>
            <w:r>
              <w:rPr>
                <w:color w:val="000000"/>
                <w:sz w:val="20"/>
                <w:szCs w:val="20"/>
              </w:rPr>
              <w:t>507</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14,8</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402</w:t>
            </w:r>
            <w:r w:rsidR="003E0D64">
              <w:rPr>
                <w:color w:val="000000"/>
                <w:sz w:val="20"/>
                <w:szCs w:val="20"/>
              </w:rPr>
              <w:t> </w:t>
            </w:r>
            <w:r>
              <w:rPr>
                <w:color w:val="000000"/>
                <w:sz w:val="20"/>
                <w:szCs w:val="20"/>
              </w:rPr>
              <w:t>407</w:t>
            </w:r>
            <w:r w:rsidR="003E0D64">
              <w:rPr>
                <w:color w:val="000000"/>
                <w:sz w:val="20"/>
                <w:szCs w:val="20"/>
              </w:rPr>
              <w:t> </w:t>
            </w:r>
            <w:r>
              <w:rPr>
                <w:color w:val="000000"/>
                <w:sz w:val="20"/>
                <w:szCs w:val="20"/>
              </w:rPr>
              <w:t>375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435</w:t>
            </w:r>
            <w:r w:rsidR="003E0D64">
              <w:rPr>
                <w:color w:val="000000"/>
                <w:sz w:val="20"/>
                <w:szCs w:val="20"/>
              </w:rPr>
              <w:t> </w:t>
            </w:r>
            <w:r>
              <w:rPr>
                <w:color w:val="000000"/>
                <w:sz w:val="20"/>
                <w:szCs w:val="20"/>
              </w:rPr>
              <w:t>040</w:t>
            </w:r>
            <w:r w:rsidR="003E0D64">
              <w:rPr>
                <w:color w:val="000000"/>
                <w:sz w:val="20"/>
                <w:szCs w:val="20"/>
              </w:rPr>
              <w:t> </w:t>
            </w:r>
            <w:r>
              <w:rPr>
                <w:color w:val="000000"/>
                <w:sz w:val="20"/>
                <w:szCs w:val="20"/>
              </w:rPr>
              <w:t>855</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470</w:t>
            </w:r>
            <w:r w:rsidR="003E0D64">
              <w:rPr>
                <w:color w:val="000000"/>
                <w:sz w:val="20"/>
                <w:szCs w:val="20"/>
              </w:rPr>
              <w:t> </w:t>
            </w:r>
            <w:r>
              <w:rPr>
                <w:color w:val="000000"/>
                <w:sz w:val="20"/>
                <w:szCs w:val="20"/>
              </w:rPr>
              <w:t>320</w:t>
            </w:r>
            <w:r w:rsidR="003E0D64">
              <w:rPr>
                <w:color w:val="000000"/>
                <w:sz w:val="20"/>
                <w:szCs w:val="20"/>
              </w:rPr>
              <w:t> </w:t>
            </w:r>
            <w:r>
              <w:rPr>
                <w:color w:val="000000"/>
                <w:sz w:val="20"/>
                <w:szCs w:val="20"/>
              </w:rPr>
              <w:t>767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435</w:t>
            </w:r>
            <w:r w:rsidR="003E0D64">
              <w:rPr>
                <w:color w:val="000000"/>
                <w:sz w:val="20"/>
                <w:szCs w:val="20"/>
              </w:rPr>
              <w:t> </w:t>
            </w:r>
            <w:r>
              <w:rPr>
                <w:color w:val="000000"/>
                <w:sz w:val="20"/>
                <w:szCs w:val="20"/>
              </w:rPr>
              <w:t>922</w:t>
            </w:r>
            <w:r w:rsidR="003E0D64">
              <w:rPr>
                <w:color w:val="000000"/>
                <w:sz w:val="20"/>
                <w:szCs w:val="20"/>
              </w:rPr>
              <w:t> </w:t>
            </w:r>
            <w:r>
              <w:rPr>
                <w:color w:val="000000"/>
                <w:sz w:val="20"/>
                <w:szCs w:val="20"/>
              </w:rPr>
              <w:t>999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40,0</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179</w:t>
            </w:r>
            <w:r w:rsidR="003E0D64">
              <w:rPr>
                <w:color w:val="000000"/>
                <w:sz w:val="20"/>
                <w:szCs w:val="20"/>
              </w:rPr>
              <w:t> </w:t>
            </w:r>
            <w:r>
              <w:rPr>
                <w:color w:val="000000"/>
                <w:sz w:val="20"/>
                <w:szCs w:val="20"/>
              </w:rPr>
              <w:t>557</w:t>
            </w:r>
            <w:r w:rsidR="003E0D64">
              <w:rPr>
                <w:color w:val="000000"/>
                <w:sz w:val="20"/>
                <w:szCs w:val="20"/>
              </w:rPr>
              <w:t> </w:t>
            </w:r>
            <w:r>
              <w:rPr>
                <w:color w:val="000000"/>
                <w:sz w:val="20"/>
                <w:szCs w:val="20"/>
              </w:rPr>
              <w:t>184</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200</w:t>
            </w:r>
            <w:r w:rsidR="003E0D64">
              <w:rPr>
                <w:color w:val="000000"/>
                <w:sz w:val="20"/>
                <w:szCs w:val="20"/>
              </w:rPr>
              <w:t> </w:t>
            </w:r>
            <w:r>
              <w:rPr>
                <w:color w:val="000000"/>
                <w:sz w:val="20"/>
                <w:szCs w:val="20"/>
              </w:rPr>
              <w:t>206</w:t>
            </w:r>
            <w:r w:rsidR="003E0D64">
              <w:rPr>
                <w:color w:val="000000"/>
                <w:sz w:val="20"/>
                <w:szCs w:val="20"/>
              </w:rPr>
              <w:t> </w:t>
            </w:r>
            <w:r>
              <w:rPr>
                <w:color w:val="000000"/>
                <w:sz w:val="20"/>
                <w:szCs w:val="20"/>
              </w:rPr>
              <w:t>734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223</w:t>
            </w:r>
            <w:r w:rsidR="003E0D64">
              <w:rPr>
                <w:color w:val="000000"/>
                <w:sz w:val="20"/>
                <w:szCs w:val="20"/>
              </w:rPr>
              <w:t> </w:t>
            </w:r>
            <w:r>
              <w:rPr>
                <w:color w:val="000000"/>
                <w:sz w:val="20"/>
                <w:szCs w:val="20"/>
              </w:rPr>
              <w:t>231</w:t>
            </w:r>
            <w:r w:rsidR="003E0D64">
              <w:rPr>
                <w:color w:val="000000"/>
                <w:sz w:val="20"/>
                <w:szCs w:val="20"/>
              </w:rPr>
              <w:t> </w:t>
            </w:r>
            <w:r>
              <w:rPr>
                <w:color w:val="000000"/>
                <w:sz w:val="20"/>
                <w:szCs w:val="20"/>
              </w:rPr>
              <w:t>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200</w:t>
            </w:r>
            <w:r w:rsidR="003E0D64">
              <w:rPr>
                <w:color w:val="000000"/>
                <w:sz w:val="20"/>
                <w:szCs w:val="20"/>
              </w:rPr>
              <w:t> </w:t>
            </w:r>
            <w:r>
              <w:rPr>
                <w:color w:val="000000"/>
                <w:sz w:val="20"/>
                <w:szCs w:val="20"/>
              </w:rPr>
              <w:t>998</w:t>
            </w:r>
            <w:r w:rsidR="003E0D64">
              <w:rPr>
                <w:color w:val="000000"/>
                <w:sz w:val="20"/>
                <w:szCs w:val="20"/>
              </w:rPr>
              <w:t> </w:t>
            </w:r>
            <w:r>
              <w:rPr>
                <w:color w:val="000000"/>
                <w:sz w:val="20"/>
                <w:szCs w:val="20"/>
              </w:rPr>
              <w:t>319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18,4</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125</w:t>
            </w:r>
            <w:r w:rsidR="003E0D64">
              <w:rPr>
                <w:color w:val="000000"/>
                <w:sz w:val="20"/>
                <w:szCs w:val="20"/>
              </w:rPr>
              <w:t> </w:t>
            </w:r>
            <w:r>
              <w:rPr>
                <w:color w:val="000000"/>
                <w:sz w:val="20"/>
                <w:szCs w:val="20"/>
              </w:rPr>
              <w:t>420</w:t>
            </w:r>
            <w:r w:rsidR="003E0D64">
              <w:rPr>
                <w:color w:val="000000"/>
                <w:sz w:val="20"/>
                <w:szCs w:val="20"/>
              </w:rPr>
              <w:t> </w:t>
            </w:r>
            <w:r>
              <w:rPr>
                <w:color w:val="000000"/>
                <w:sz w:val="20"/>
                <w:szCs w:val="20"/>
              </w:rPr>
              <w:t>611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140</w:t>
            </w:r>
            <w:r w:rsidR="003E0D64">
              <w:rPr>
                <w:color w:val="000000"/>
                <w:sz w:val="20"/>
                <w:szCs w:val="20"/>
              </w:rPr>
              <w:t> </w:t>
            </w:r>
            <w:r>
              <w:rPr>
                <w:color w:val="000000"/>
                <w:sz w:val="20"/>
                <w:szCs w:val="20"/>
              </w:rPr>
              <w:t>271</w:t>
            </w:r>
            <w:r w:rsidR="003E0D64">
              <w:rPr>
                <w:color w:val="000000"/>
                <w:sz w:val="20"/>
                <w:szCs w:val="20"/>
              </w:rPr>
              <w:t> </w:t>
            </w:r>
            <w:r>
              <w:rPr>
                <w:color w:val="000000"/>
                <w:sz w:val="20"/>
                <w:szCs w:val="20"/>
              </w:rPr>
              <w:t>531</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156</w:t>
            </w:r>
            <w:r w:rsidR="003E0D64">
              <w:rPr>
                <w:color w:val="000000"/>
                <w:sz w:val="20"/>
                <w:szCs w:val="20"/>
              </w:rPr>
              <w:t> </w:t>
            </w:r>
            <w:r>
              <w:rPr>
                <w:color w:val="000000"/>
                <w:sz w:val="20"/>
                <w:szCs w:val="20"/>
              </w:rPr>
              <w:t>880</w:t>
            </w:r>
            <w:r w:rsidR="003E0D64">
              <w:rPr>
                <w:color w:val="000000"/>
                <w:sz w:val="20"/>
                <w:szCs w:val="20"/>
              </w:rPr>
              <w:t> </w:t>
            </w:r>
            <w:r>
              <w:rPr>
                <w:color w:val="000000"/>
                <w:sz w:val="20"/>
                <w:szCs w:val="20"/>
              </w:rPr>
              <w:t>933</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140</w:t>
            </w:r>
            <w:r w:rsidR="003E0D64">
              <w:rPr>
                <w:color w:val="000000"/>
                <w:sz w:val="20"/>
                <w:szCs w:val="20"/>
              </w:rPr>
              <w:t> </w:t>
            </w:r>
            <w:r>
              <w:rPr>
                <w:color w:val="000000"/>
                <w:sz w:val="20"/>
                <w:szCs w:val="20"/>
              </w:rPr>
              <w:t>857</w:t>
            </w:r>
            <w:r w:rsidR="003E0D64">
              <w:rPr>
                <w:color w:val="000000"/>
                <w:sz w:val="20"/>
                <w:szCs w:val="20"/>
              </w:rPr>
              <w:t> </w:t>
            </w:r>
            <w:r>
              <w:rPr>
                <w:color w:val="000000"/>
                <w:sz w:val="20"/>
                <w:szCs w:val="20"/>
              </w:rPr>
              <w:t>692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12,9</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127</w:t>
            </w:r>
            <w:r w:rsidR="003E0D64">
              <w:rPr>
                <w:color w:val="000000"/>
                <w:sz w:val="20"/>
                <w:szCs w:val="20"/>
              </w:rPr>
              <w:t> </w:t>
            </w:r>
            <w:r>
              <w:rPr>
                <w:color w:val="000000"/>
                <w:sz w:val="20"/>
                <w:szCs w:val="20"/>
              </w:rPr>
              <w:t>448</w:t>
            </w:r>
            <w:r w:rsidR="003E0D64">
              <w:rPr>
                <w:color w:val="000000"/>
                <w:sz w:val="20"/>
                <w:szCs w:val="20"/>
              </w:rPr>
              <w:t> </w:t>
            </w:r>
            <w:r>
              <w:rPr>
                <w:color w:val="000000"/>
                <w:sz w:val="20"/>
                <w:szCs w:val="20"/>
              </w:rPr>
              <w:t>270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142</w:t>
            </w:r>
            <w:r w:rsidR="003E0D64">
              <w:rPr>
                <w:color w:val="000000"/>
                <w:sz w:val="20"/>
                <w:szCs w:val="20"/>
              </w:rPr>
              <w:t> </w:t>
            </w:r>
            <w:r>
              <w:rPr>
                <w:color w:val="000000"/>
                <w:sz w:val="20"/>
                <w:szCs w:val="20"/>
              </w:rPr>
              <w:t>539</w:t>
            </w:r>
            <w:r w:rsidR="003E0D64">
              <w:rPr>
                <w:color w:val="000000"/>
                <w:sz w:val="20"/>
                <w:szCs w:val="20"/>
              </w:rPr>
              <w:t> </w:t>
            </w:r>
            <w:r>
              <w:rPr>
                <w:color w:val="000000"/>
                <w:sz w:val="20"/>
                <w:szCs w:val="20"/>
              </w:rPr>
              <w:t>283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159</w:t>
            </w:r>
            <w:r w:rsidR="003E0D64">
              <w:rPr>
                <w:color w:val="000000"/>
                <w:sz w:val="20"/>
                <w:szCs w:val="20"/>
              </w:rPr>
              <w:t> </w:t>
            </w:r>
            <w:r>
              <w:rPr>
                <w:color w:val="000000"/>
                <w:sz w:val="20"/>
                <w:szCs w:val="20"/>
              </w:rPr>
              <w:t>417</w:t>
            </w:r>
            <w:r w:rsidR="003E0D64">
              <w:rPr>
                <w:color w:val="000000"/>
                <w:sz w:val="20"/>
                <w:szCs w:val="20"/>
              </w:rPr>
              <w:t> </w:t>
            </w:r>
            <w:r>
              <w:rPr>
                <w:color w:val="000000"/>
                <w:sz w:val="20"/>
                <w:szCs w:val="20"/>
              </w:rPr>
              <w:t>207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143</w:t>
            </w:r>
            <w:r w:rsidR="003E0D64">
              <w:rPr>
                <w:color w:val="000000"/>
                <w:sz w:val="20"/>
                <w:szCs w:val="20"/>
              </w:rPr>
              <w:t> </w:t>
            </w:r>
            <w:r>
              <w:rPr>
                <w:color w:val="000000"/>
                <w:sz w:val="20"/>
                <w:szCs w:val="20"/>
              </w:rPr>
              <w:t>134</w:t>
            </w:r>
            <w:r w:rsidR="003E0D64">
              <w:rPr>
                <w:color w:val="000000"/>
                <w:sz w:val="20"/>
                <w:szCs w:val="20"/>
              </w:rPr>
              <w:t> </w:t>
            </w:r>
            <w:r>
              <w:rPr>
                <w:color w:val="000000"/>
                <w:sz w:val="20"/>
                <w:szCs w:val="20"/>
              </w:rPr>
              <w:t>920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13,1</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702</w:t>
            </w:r>
            <w:r w:rsidR="003E0D64">
              <w:rPr>
                <w:color w:val="000000"/>
                <w:sz w:val="20"/>
                <w:szCs w:val="20"/>
              </w:rPr>
              <w:t> </w:t>
            </w:r>
            <w:r>
              <w:rPr>
                <w:color w:val="000000"/>
                <w:sz w:val="20"/>
                <w:szCs w:val="20"/>
              </w:rPr>
              <w:t>956</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806</w:t>
            </w:r>
            <w:r w:rsidR="003E0D64">
              <w:rPr>
                <w:color w:val="000000"/>
                <w:sz w:val="20"/>
                <w:szCs w:val="20"/>
              </w:rPr>
              <w:t> </w:t>
            </w:r>
            <w:r>
              <w:rPr>
                <w:color w:val="000000"/>
                <w:sz w:val="20"/>
                <w:szCs w:val="20"/>
              </w:rPr>
              <w:t>657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925</w:t>
            </w:r>
            <w:r w:rsidR="003E0D64">
              <w:rPr>
                <w:color w:val="000000"/>
                <w:sz w:val="20"/>
                <w:szCs w:val="20"/>
              </w:rPr>
              <w:t> </w:t>
            </w:r>
            <w:r>
              <w:rPr>
                <w:color w:val="000000"/>
                <w:sz w:val="20"/>
                <w:szCs w:val="20"/>
              </w:rPr>
              <w:t>655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811</w:t>
            </w:r>
            <w:r w:rsidR="003E0D64">
              <w:rPr>
                <w:color w:val="000000"/>
                <w:sz w:val="20"/>
                <w:szCs w:val="20"/>
              </w:rPr>
              <w:t> </w:t>
            </w:r>
            <w:r>
              <w:rPr>
                <w:color w:val="000000"/>
                <w:sz w:val="20"/>
                <w:szCs w:val="20"/>
              </w:rPr>
              <w:t>756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0,1</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955</w:t>
            </w:r>
            <w:r w:rsidR="003E0D64">
              <w:rPr>
                <w:color w:val="000000"/>
                <w:sz w:val="20"/>
                <w:szCs w:val="20"/>
              </w:rPr>
              <w:t> </w:t>
            </w:r>
            <w:r>
              <w:rPr>
                <w:color w:val="000000"/>
                <w:sz w:val="20"/>
                <w:szCs w:val="20"/>
              </w:rPr>
              <w:t>200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167</w:t>
            </w:r>
            <w:r w:rsidR="003E0D64">
              <w:rPr>
                <w:color w:val="000000"/>
                <w:sz w:val="20"/>
                <w:szCs w:val="20"/>
              </w:rPr>
              <w:t> </w:t>
            </w:r>
            <w:r>
              <w:rPr>
                <w:color w:val="000000"/>
                <w:sz w:val="20"/>
                <w:szCs w:val="20"/>
              </w:rPr>
              <w:t>280</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390</w:t>
            </w:r>
            <w:r w:rsidR="003E0D64">
              <w:rPr>
                <w:color w:val="000000"/>
                <w:sz w:val="20"/>
                <w:szCs w:val="20"/>
              </w:rPr>
              <w:t> </w:t>
            </w:r>
            <w:r>
              <w:rPr>
                <w:color w:val="000000"/>
                <w:sz w:val="20"/>
                <w:szCs w:val="20"/>
              </w:rPr>
              <w:t>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171</w:t>
            </w:r>
            <w:r w:rsidR="003E0D64">
              <w:rPr>
                <w:color w:val="000000"/>
                <w:sz w:val="20"/>
                <w:szCs w:val="20"/>
              </w:rPr>
              <w:t> </w:t>
            </w:r>
            <w:r>
              <w:rPr>
                <w:color w:val="000000"/>
                <w:sz w:val="20"/>
                <w:szCs w:val="20"/>
              </w:rPr>
              <w:t>070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0,4</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62383B" w:rsidRDefault="00B802C6" w:rsidP="00B802C6">
            <w:pPr>
              <w:jc w:val="left"/>
              <w:rPr>
                <w:color w:val="000000"/>
                <w:sz w:val="20"/>
                <w:szCs w:val="20"/>
              </w:rPr>
            </w:pPr>
            <w:r>
              <w:rPr>
                <w:color w:val="000000"/>
                <w:sz w:val="20"/>
                <w:szCs w:val="20"/>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802</w:t>
            </w:r>
            <w:r w:rsidR="003E0D64">
              <w:rPr>
                <w:color w:val="000000"/>
                <w:sz w:val="20"/>
                <w:szCs w:val="20"/>
              </w:rPr>
              <w:t> </w:t>
            </w:r>
            <w:r>
              <w:rPr>
                <w:color w:val="000000"/>
                <w:sz w:val="20"/>
                <w:szCs w:val="20"/>
              </w:rPr>
              <w:t>955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023</w:t>
            </w:r>
            <w:r w:rsidR="003E0D64">
              <w:rPr>
                <w:color w:val="000000"/>
                <w:sz w:val="20"/>
                <w:szCs w:val="20"/>
              </w:rPr>
              <w:t> </w:t>
            </w:r>
            <w:r>
              <w:rPr>
                <w:color w:val="000000"/>
                <w:sz w:val="20"/>
                <w:szCs w:val="20"/>
              </w:rPr>
              <w:t>823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257</w:t>
            </w:r>
            <w:r w:rsidR="003E0D64">
              <w:rPr>
                <w:color w:val="000000"/>
                <w:sz w:val="20"/>
                <w:szCs w:val="20"/>
              </w:rPr>
              <w:t> </w:t>
            </w:r>
            <w:r>
              <w:rPr>
                <w:color w:val="000000"/>
                <w:sz w:val="20"/>
                <w:szCs w:val="20"/>
              </w:rPr>
              <w:t>519</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028</w:t>
            </w:r>
            <w:r w:rsidR="003E0D64">
              <w:rPr>
                <w:color w:val="000000"/>
                <w:sz w:val="20"/>
                <w:szCs w:val="20"/>
              </w:rPr>
              <w:t> </w:t>
            </w:r>
            <w:r>
              <w:rPr>
                <w:color w:val="000000"/>
                <w:sz w:val="20"/>
                <w:szCs w:val="20"/>
              </w:rPr>
              <w:t>099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0,4</w:t>
            </w:r>
          </w:p>
        </w:tc>
      </w:tr>
      <w:tr w:rsidR="00B802C6" w:rsidRPr="0062383B" w:rsidTr="005F5535">
        <w:trPr>
          <w:jc w:val="center"/>
        </w:trPr>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B802C6" w:rsidRPr="00B430EE" w:rsidRDefault="00B802C6" w:rsidP="00B802C6">
            <w:pPr>
              <w:jc w:val="left"/>
              <w:rPr>
                <w:color w:val="000000"/>
                <w:sz w:val="20"/>
                <w:szCs w:val="20"/>
                <w:lang w:val="es-ES"/>
              </w:rPr>
            </w:pPr>
            <w:r w:rsidRPr="00B430EE">
              <w:rPr>
                <w:color w:val="000000"/>
                <w:sz w:val="20"/>
                <w:szCs w:val="20"/>
                <w:lang w:val="es-ES"/>
              </w:rPr>
              <w:t>Total de equivalentes de CO</w:t>
            </w:r>
            <w:r w:rsidRPr="00B430EE">
              <w:rPr>
                <w:color w:val="000000"/>
                <w:sz w:val="20"/>
                <w:szCs w:val="20"/>
                <w:vertAlign w:val="subscript"/>
                <w:lang w:val="es-ES"/>
              </w:rPr>
              <w:t>2</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995</w:t>
            </w:r>
            <w:r w:rsidR="003E0D64">
              <w:rPr>
                <w:color w:val="000000"/>
                <w:sz w:val="20"/>
                <w:szCs w:val="20"/>
              </w:rPr>
              <w:t> </w:t>
            </w:r>
            <w:r>
              <w:rPr>
                <w:color w:val="000000"/>
                <w:sz w:val="20"/>
                <w:szCs w:val="20"/>
              </w:rPr>
              <w:t>919</w:t>
            </w:r>
            <w:r w:rsidR="003E0D64">
              <w:rPr>
                <w:color w:val="000000"/>
                <w:sz w:val="20"/>
                <w:szCs w:val="20"/>
              </w:rPr>
              <w:t> </w:t>
            </w:r>
            <w:r>
              <w:rPr>
                <w:color w:val="000000"/>
                <w:sz w:val="20"/>
                <w:szCs w:val="20"/>
              </w:rPr>
              <w:t>881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088</w:t>
            </w:r>
            <w:r w:rsidR="003E0D64">
              <w:rPr>
                <w:color w:val="000000"/>
                <w:sz w:val="20"/>
                <w:szCs w:val="20"/>
              </w:rPr>
              <w:t> </w:t>
            </w:r>
            <w:r>
              <w:rPr>
                <w:color w:val="000000"/>
                <w:sz w:val="20"/>
                <w:szCs w:val="20"/>
              </w:rPr>
              <w:t>088</w:t>
            </w:r>
            <w:r w:rsidR="003E0D64">
              <w:rPr>
                <w:color w:val="000000"/>
                <w:sz w:val="20"/>
                <w:szCs w:val="20"/>
              </w:rPr>
              <w:t> </w:t>
            </w:r>
            <w:r>
              <w:rPr>
                <w:color w:val="000000"/>
                <w:sz w:val="20"/>
                <w:szCs w:val="20"/>
              </w:rPr>
              <w:t>317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189</w:t>
            </w:r>
            <w:r w:rsidR="003E0D64">
              <w:rPr>
                <w:color w:val="000000"/>
                <w:sz w:val="20"/>
                <w:szCs w:val="20"/>
              </w:rPr>
              <w:t> </w:t>
            </w:r>
            <w:r>
              <w:rPr>
                <w:color w:val="000000"/>
                <w:sz w:val="20"/>
                <w:szCs w:val="20"/>
              </w:rPr>
              <w:t>325</w:t>
            </w:r>
            <w:r w:rsidR="003E0D64">
              <w:rPr>
                <w:color w:val="000000"/>
                <w:sz w:val="20"/>
                <w:szCs w:val="20"/>
              </w:rPr>
              <w:t> </w:t>
            </w:r>
            <w:r>
              <w:rPr>
                <w:color w:val="000000"/>
                <w:sz w:val="20"/>
                <w:szCs w:val="20"/>
              </w:rPr>
              <w:t>888</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091</w:t>
            </w:r>
            <w:r w:rsidR="003E0D64">
              <w:rPr>
                <w:color w:val="000000"/>
                <w:sz w:val="20"/>
                <w:szCs w:val="20"/>
              </w:rPr>
              <w:t> </w:t>
            </w:r>
            <w:r>
              <w:rPr>
                <w:color w:val="000000"/>
                <w:sz w:val="20"/>
                <w:szCs w:val="20"/>
              </w:rPr>
              <w:t>111</w:t>
            </w:r>
            <w:r w:rsidR="003E0D64">
              <w:rPr>
                <w:color w:val="000000"/>
                <w:sz w:val="20"/>
                <w:szCs w:val="20"/>
              </w:rPr>
              <w:t> </w:t>
            </w:r>
            <w:r>
              <w:rPr>
                <w:color w:val="000000"/>
                <w:sz w:val="20"/>
                <w:szCs w:val="20"/>
              </w:rPr>
              <w:t>362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B802C6" w:rsidRPr="0062383B" w:rsidRDefault="00B802C6" w:rsidP="00B802C6">
            <w:pPr>
              <w:jc w:val="right"/>
              <w:rPr>
                <w:color w:val="000000"/>
                <w:sz w:val="20"/>
                <w:szCs w:val="20"/>
              </w:rPr>
            </w:pPr>
            <w:r>
              <w:rPr>
                <w:color w:val="000000"/>
                <w:sz w:val="20"/>
                <w:szCs w:val="20"/>
              </w:rPr>
              <w:t>100,0</w:t>
            </w:r>
          </w:p>
        </w:tc>
      </w:tr>
    </w:tbl>
    <w:p w:rsidR="00B802C6" w:rsidRPr="0062383B" w:rsidRDefault="00B802C6" w:rsidP="005F5535">
      <w:pPr>
        <w:spacing w:after="120"/>
        <w:rPr>
          <w:lang w:val="en-CA"/>
        </w:rPr>
      </w:pPr>
    </w:p>
    <w:p w:rsidR="00B802C6" w:rsidRPr="00B430EE" w:rsidRDefault="00B802C6" w:rsidP="00B802C6">
      <w:pPr>
        <w:pStyle w:val="Heading1"/>
        <w:rPr>
          <w:lang w:val="es-ES"/>
        </w:rPr>
      </w:pPr>
      <w:r w:rsidRPr="00B430EE">
        <w:rPr>
          <w:lang w:val="es-ES"/>
        </w:rPr>
        <w:t>El “componente de HCFC”</w:t>
      </w:r>
      <w:r w:rsidRPr="0062383B">
        <w:rPr>
          <w:rStyle w:val="FootnoteReference"/>
          <w:lang w:val="en-CA"/>
        </w:rPr>
        <w:footnoteReference w:id="31"/>
      </w:r>
      <w:r w:rsidRPr="00B430EE">
        <w:rPr>
          <w:lang w:val="es-ES"/>
        </w:rPr>
        <w:t xml:space="preserve"> para todos los países que operan al amparo del artículo 5 asciende a 565 091 392 equivalentes de CO</w:t>
      </w:r>
      <w:r w:rsidRPr="00B430EE">
        <w:rPr>
          <w:vertAlign w:val="subscript"/>
          <w:lang w:val="es-ES"/>
        </w:rPr>
        <w:t>2</w:t>
      </w:r>
      <w:r w:rsidRPr="00B430EE">
        <w:rPr>
          <w:lang w:val="es-ES"/>
        </w:rPr>
        <w:t>. El nivel básico acumulado de HFC para el cumplimiento para todos los países que operan al amparo del artículo 5 asciende, por lo tanto, a 1 656 202 754 equivalentes de CO</w:t>
      </w:r>
      <w:r w:rsidRPr="00B430EE">
        <w:rPr>
          <w:vertAlign w:val="subscript"/>
          <w:lang w:val="es-ES"/>
        </w:rPr>
        <w:t>2</w:t>
      </w:r>
      <w:r w:rsidRPr="00B430EE">
        <w:rPr>
          <w:lang w:val="es-ES"/>
        </w:rPr>
        <w:t xml:space="preserve">, como se muestra en el Cuadro 6. </w:t>
      </w:r>
    </w:p>
    <w:p w:rsidR="00B802C6" w:rsidRPr="00B430EE" w:rsidRDefault="00B802C6" w:rsidP="00B802C6">
      <w:pPr>
        <w:keepNext/>
        <w:rPr>
          <w:b/>
          <w:lang w:val="es-ES"/>
        </w:rPr>
      </w:pPr>
      <w:r w:rsidRPr="00B430EE">
        <w:rPr>
          <w:b/>
          <w:lang w:val="es-ES"/>
        </w:rPr>
        <w:lastRenderedPageBreak/>
        <w:t>Cuadro 6. Nivel básico acumulado de HFC para el cumplimento estimado para todos los países que operan al amparo del artículo 5</w:t>
      </w:r>
    </w:p>
    <w:tbl>
      <w:tblPr>
        <w:tblW w:w="9473" w:type="dxa"/>
        <w:jc w:val="center"/>
        <w:tblLayout w:type="fixed"/>
        <w:tblLook w:val="04A0" w:firstRow="1" w:lastRow="0" w:firstColumn="1" w:lastColumn="0" w:noHBand="0" w:noVBand="1"/>
      </w:tblPr>
      <w:tblGrid>
        <w:gridCol w:w="2633"/>
        <w:gridCol w:w="1710"/>
        <w:gridCol w:w="1710"/>
        <w:gridCol w:w="1710"/>
        <w:gridCol w:w="1710"/>
      </w:tblGrid>
      <w:tr w:rsidR="00B802C6" w:rsidRPr="00B430EE" w:rsidTr="005F5535">
        <w:trPr>
          <w:tblHeader/>
          <w:jc w:val="center"/>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b/>
                <w:bCs/>
                <w:color w:val="000000"/>
                <w:sz w:val="20"/>
                <w:szCs w:val="20"/>
              </w:rPr>
            </w:pPr>
            <w:r>
              <w:rPr>
                <w:b/>
                <w:bCs/>
                <w:color w:val="000000"/>
                <w:sz w:val="20"/>
                <w:szCs w:val="20"/>
              </w:rPr>
              <w:t>Descripción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jc w:val="center"/>
              <w:rPr>
                <w:b/>
                <w:bCs/>
                <w:color w:val="000000"/>
                <w:sz w:val="20"/>
                <w:szCs w:val="20"/>
              </w:rPr>
            </w:pPr>
            <w:r>
              <w:rPr>
                <w:b/>
                <w:bCs/>
                <w:color w:val="000000"/>
                <w:sz w:val="20"/>
                <w:szCs w:val="20"/>
              </w:rPr>
              <w:t>Toneladas</w:t>
            </w:r>
            <w:r w:rsidR="003E0D64">
              <w:rPr>
                <w:b/>
                <w:bCs/>
                <w:color w:val="000000"/>
                <w:sz w:val="20"/>
                <w:szCs w:val="20"/>
              </w:rPr>
              <w:br/>
            </w:r>
            <w:r>
              <w:rPr>
                <w:b/>
                <w:bCs/>
                <w:color w:val="000000"/>
                <w:sz w:val="20"/>
                <w:szCs w:val="20"/>
              </w:rPr>
              <w:t>métricas</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jc w:val="center"/>
              <w:rPr>
                <w:b/>
                <w:bCs/>
                <w:color w:val="000000"/>
                <w:sz w:val="20"/>
                <w:szCs w:val="20"/>
              </w:rPr>
            </w:pPr>
            <w:r>
              <w:rPr>
                <w:b/>
                <w:bCs/>
                <w:color w:val="000000"/>
                <w:sz w:val="20"/>
                <w:szCs w:val="20"/>
              </w:rPr>
              <w:t>Equivalentes de CO</w:t>
            </w:r>
            <w:r>
              <w:rPr>
                <w:b/>
                <w:bCs/>
                <w:color w:val="000000"/>
                <w:sz w:val="20"/>
                <w:szCs w:val="20"/>
                <w:vertAlign w:val="subscript"/>
              </w:rPr>
              <w:t>2</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B802C6" w:rsidRPr="0062383B" w:rsidRDefault="00B802C6" w:rsidP="00B802C6">
            <w:pPr>
              <w:jc w:val="center"/>
              <w:rPr>
                <w:b/>
                <w:bCs/>
                <w:color w:val="000000"/>
                <w:sz w:val="20"/>
                <w:szCs w:val="20"/>
              </w:rPr>
            </w:pPr>
            <w:r>
              <w:rPr>
                <w:b/>
                <w:bCs/>
                <w:color w:val="000000"/>
                <w:sz w:val="20"/>
                <w:szCs w:val="20"/>
              </w:rPr>
              <w:t xml:space="preserve">% del total de tm </w:t>
            </w:r>
          </w:p>
        </w:tc>
        <w:tc>
          <w:tcPr>
            <w:tcW w:w="17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B430EE" w:rsidRDefault="00B802C6" w:rsidP="00B802C6">
            <w:pPr>
              <w:jc w:val="center"/>
              <w:rPr>
                <w:b/>
                <w:bCs/>
                <w:color w:val="000000"/>
                <w:sz w:val="20"/>
                <w:szCs w:val="20"/>
                <w:lang w:val="es-ES"/>
              </w:rPr>
            </w:pPr>
            <w:r w:rsidRPr="00B430EE">
              <w:rPr>
                <w:b/>
                <w:bCs/>
                <w:color w:val="000000"/>
                <w:sz w:val="20"/>
                <w:szCs w:val="20"/>
                <w:lang w:val="es-ES"/>
              </w:rPr>
              <w:t>% del total de equivalentes de CO</w:t>
            </w:r>
            <w:r w:rsidRPr="00B430EE">
              <w:rPr>
                <w:b/>
                <w:bCs/>
                <w:color w:val="000000"/>
                <w:sz w:val="20"/>
                <w:szCs w:val="20"/>
                <w:vertAlign w:val="subscript"/>
                <w:lang w:val="es-ES"/>
              </w:rPr>
              <w:t>2</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b/>
                <w:bCs/>
                <w:color w:val="000000"/>
                <w:sz w:val="20"/>
                <w:szCs w:val="20"/>
              </w:rPr>
            </w:pPr>
            <w:r>
              <w:rPr>
                <w:b/>
                <w:bCs/>
                <w:color w:val="000000"/>
                <w:sz w:val="20"/>
                <w:szCs w:val="20"/>
              </w:rPr>
              <w:t>Componente de HFC</w:t>
            </w:r>
          </w:p>
        </w:tc>
        <w:tc>
          <w:tcPr>
            <w:tcW w:w="1710"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B802C6" w:rsidRPr="0062383B" w:rsidRDefault="00B802C6" w:rsidP="00B802C6">
            <w:pPr>
              <w:jc w:val="right"/>
              <w:rPr>
                <w:color w:val="000000"/>
                <w:sz w:val="20"/>
                <w:szCs w:val="20"/>
                <w:lang w:val="en-CA" w:eastAsia="en-CA"/>
              </w:rPr>
            </w:pP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HFC-134a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112</w:t>
            </w:r>
            <w:r w:rsidR="003E0D64">
              <w:rPr>
                <w:color w:val="000000"/>
                <w:sz w:val="20"/>
                <w:szCs w:val="20"/>
              </w:rPr>
              <w:t> </w:t>
            </w:r>
            <w:r>
              <w:rPr>
                <w:color w:val="000000"/>
                <w:sz w:val="20"/>
                <w:szCs w:val="20"/>
              </w:rPr>
              <w:t>718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161</w:t>
            </w:r>
            <w:r w:rsidR="003E0D64">
              <w:rPr>
                <w:color w:val="000000"/>
                <w:sz w:val="20"/>
                <w:szCs w:val="20"/>
              </w:rPr>
              <w:t> </w:t>
            </w:r>
            <w:r>
              <w:rPr>
                <w:color w:val="000000"/>
                <w:sz w:val="20"/>
                <w:szCs w:val="20"/>
              </w:rPr>
              <w:t>186</w:t>
            </w:r>
            <w:r w:rsidR="003E0D64">
              <w:rPr>
                <w:color w:val="000000"/>
                <w:sz w:val="20"/>
                <w:szCs w:val="20"/>
              </w:rPr>
              <w:t> </w:t>
            </w:r>
            <w:r>
              <w:rPr>
                <w:color w:val="000000"/>
                <w:sz w:val="20"/>
                <w:szCs w:val="20"/>
              </w:rPr>
              <w:t>507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21,6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14,8</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R-410A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208</w:t>
            </w:r>
            <w:r w:rsidR="003E0D64">
              <w:rPr>
                <w:color w:val="000000"/>
                <w:sz w:val="20"/>
                <w:szCs w:val="20"/>
              </w:rPr>
              <w:t> </w:t>
            </w:r>
            <w:r>
              <w:rPr>
                <w:color w:val="000000"/>
                <w:sz w:val="20"/>
                <w:szCs w:val="20"/>
              </w:rPr>
              <w:t>825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435</w:t>
            </w:r>
            <w:r w:rsidR="003E0D64">
              <w:rPr>
                <w:color w:val="000000"/>
                <w:sz w:val="20"/>
                <w:szCs w:val="20"/>
              </w:rPr>
              <w:t> </w:t>
            </w:r>
            <w:r>
              <w:rPr>
                <w:color w:val="000000"/>
                <w:sz w:val="20"/>
                <w:szCs w:val="20"/>
              </w:rPr>
              <w:t>922</w:t>
            </w:r>
            <w:r w:rsidR="003E0D64">
              <w:rPr>
                <w:color w:val="000000"/>
                <w:sz w:val="20"/>
                <w:szCs w:val="20"/>
              </w:rPr>
              <w:t> </w:t>
            </w:r>
            <w:r>
              <w:rPr>
                <w:color w:val="000000"/>
                <w:sz w:val="20"/>
                <w:szCs w:val="20"/>
              </w:rPr>
              <w:t>999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40,0</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R-407C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113</w:t>
            </w:r>
            <w:r w:rsidR="003E0D64">
              <w:rPr>
                <w:color w:val="000000"/>
                <w:sz w:val="20"/>
                <w:szCs w:val="20"/>
              </w:rPr>
              <w:t> </w:t>
            </w:r>
            <w:r>
              <w:rPr>
                <w:color w:val="000000"/>
                <w:sz w:val="20"/>
                <w:szCs w:val="20"/>
              </w:rPr>
              <w:t>302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200</w:t>
            </w:r>
            <w:r w:rsidR="003E0D64">
              <w:rPr>
                <w:color w:val="000000"/>
                <w:sz w:val="20"/>
                <w:szCs w:val="20"/>
              </w:rPr>
              <w:t> </w:t>
            </w:r>
            <w:r>
              <w:rPr>
                <w:color w:val="000000"/>
                <w:sz w:val="20"/>
                <w:szCs w:val="20"/>
              </w:rPr>
              <w:t>998</w:t>
            </w:r>
            <w:r w:rsidR="003E0D64">
              <w:rPr>
                <w:color w:val="000000"/>
                <w:sz w:val="20"/>
                <w:szCs w:val="20"/>
              </w:rPr>
              <w:t> </w:t>
            </w:r>
            <w:r>
              <w:rPr>
                <w:color w:val="000000"/>
                <w:sz w:val="20"/>
                <w:szCs w:val="20"/>
              </w:rPr>
              <w:t>319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18,4</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R-404A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140</w:t>
            </w:r>
            <w:r w:rsidR="003E0D64">
              <w:rPr>
                <w:color w:val="000000"/>
                <w:sz w:val="20"/>
                <w:szCs w:val="20"/>
              </w:rPr>
              <w:t> </w:t>
            </w:r>
            <w:r>
              <w:rPr>
                <w:color w:val="000000"/>
                <w:sz w:val="20"/>
                <w:szCs w:val="20"/>
              </w:rPr>
              <w:t>857</w:t>
            </w:r>
            <w:r w:rsidR="003E0D64">
              <w:rPr>
                <w:color w:val="000000"/>
                <w:sz w:val="20"/>
                <w:szCs w:val="20"/>
              </w:rPr>
              <w:t> </w:t>
            </w:r>
            <w:r>
              <w:rPr>
                <w:color w:val="000000"/>
                <w:sz w:val="20"/>
                <w:szCs w:val="20"/>
              </w:rPr>
              <w:t>692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12,9</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R-507A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35</w:t>
            </w:r>
            <w:r w:rsidR="003E0D64">
              <w:rPr>
                <w:color w:val="000000"/>
                <w:sz w:val="20"/>
                <w:szCs w:val="20"/>
              </w:rPr>
              <w:t> </w:t>
            </w:r>
            <w:r>
              <w:rPr>
                <w:color w:val="000000"/>
                <w:sz w:val="20"/>
                <w:szCs w:val="20"/>
              </w:rPr>
              <w:t>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143</w:t>
            </w:r>
            <w:r w:rsidR="003E0D64">
              <w:rPr>
                <w:color w:val="000000"/>
                <w:sz w:val="20"/>
                <w:szCs w:val="20"/>
              </w:rPr>
              <w:t> </w:t>
            </w:r>
            <w:r>
              <w:rPr>
                <w:color w:val="000000"/>
                <w:sz w:val="20"/>
                <w:szCs w:val="20"/>
              </w:rPr>
              <w:t>134</w:t>
            </w:r>
            <w:r w:rsidR="003E0D64">
              <w:rPr>
                <w:color w:val="000000"/>
                <w:sz w:val="20"/>
                <w:szCs w:val="20"/>
              </w:rPr>
              <w:t> </w:t>
            </w:r>
            <w:r>
              <w:rPr>
                <w:color w:val="000000"/>
                <w:sz w:val="20"/>
                <w:szCs w:val="20"/>
              </w:rPr>
              <w:t>920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13,1</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HFC-152a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6</w:t>
            </w:r>
            <w:r w:rsidR="003E0D64">
              <w:rPr>
                <w:color w:val="000000"/>
                <w:sz w:val="20"/>
                <w:szCs w:val="20"/>
              </w:rPr>
              <w:t> </w:t>
            </w:r>
            <w:r>
              <w:rPr>
                <w:color w:val="000000"/>
                <w:sz w:val="20"/>
                <w:szCs w:val="20"/>
              </w:rPr>
              <w:t>546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811</w:t>
            </w:r>
            <w:r w:rsidR="003E0D64">
              <w:rPr>
                <w:color w:val="000000"/>
                <w:sz w:val="20"/>
                <w:szCs w:val="20"/>
              </w:rPr>
              <w:t> </w:t>
            </w:r>
            <w:r>
              <w:rPr>
                <w:color w:val="000000"/>
                <w:sz w:val="20"/>
                <w:szCs w:val="20"/>
              </w:rPr>
              <w:t>756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0,1</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HFC-245fa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050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171</w:t>
            </w:r>
            <w:r w:rsidR="003E0D64">
              <w:rPr>
                <w:color w:val="000000"/>
                <w:sz w:val="20"/>
                <w:szCs w:val="20"/>
              </w:rPr>
              <w:t> </w:t>
            </w:r>
            <w:r>
              <w:rPr>
                <w:color w:val="000000"/>
                <w:sz w:val="20"/>
                <w:szCs w:val="20"/>
              </w:rPr>
              <w:t>070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0,4</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HFC-365mfc/ HFC-227ea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w:t>
            </w:r>
            <w:r w:rsidR="003E0D64">
              <w:rPr>
                <w:color w:val="000000"/>
                <w:sz w:val="20"/>
                <w:szCs w:val="20"/>
              </w:rPr>
              <w:t> </w:t>
            </w:r>
            <w:r>
              <w:rPr>
                <w:color w:val="000000"/>
                <w:sz w:val="20"/>
                <w:szCs w:val="20"/>
              </w:rPr>
              <w:t>631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w:t>
            </w:r>
            <w:r w:rsidR="003E0D64">
              <w:rPr>
                <w:color w:val="000000"/>
                <w:sz w:val="20"/>
                <w:szCs w:val="20"/>
              </w:rPr>
              <w:t> </w:t>
            </w:r>
            <w:r>
              <w:rPr>
                <w:color w:val="000000"/>
                <w:sz w:val="20"/>
                <w:szCs w:val="20"/>
              </w:rPr>
              <w:t>028</w:t>
            </w:r>
            <w:r w:rsidR="003E0D64">
              <w:rPr>
                <w:color w:val="000000"/>
                <w:sz w:val="20"/>
                <w:szCs w:val="20"/>
              </w:rPr>
              <w:t> </w:t>
            </w:r>
            <w:r>
              <w:rPr>
                <w:color w:val="000000"/>
                <w:sz w:val="20"/>
                <w:szCs w:val="20"/>
              </w:rPr>
              <w:t>099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0,4</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 xml:space="preserve">Total HFC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520</w:t>
            </w:r>
            <w:r w:rsidR="003E0D64">
              <w:rPr>
                <w:color w:val="000000"/>
                <w:sz w:val="20"/>
                <w:szCs w:val="20"/>
              </w:rPr>
              <w:t> </w:t>
            </w:r>
            <w:r>
              <w:rPr>
                <w:color w:val="000000"/>
                <w:sz w:val="20"/>
                <w:szCs w:val="20"/>
              </w:rPr>
              <w:t>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091</w:t>
            </w:r>
            <w:r w:rsidR="003E0D64">
              <w:rPr>
                <w:color w:val="000000"/>
                <w:sz w:val="20"/>
                <w:szCs w:val="20"/>
              </w:rPr>
              <w:t> </w:t>
            </w:r>
            <w:r>
              <w:rPr>
                <w:color w:val="000000"/>
                <w:sz w:val="20"/>
                <w:szCs w:val="20"/>
              </w:rPr>
              <w:t>111</w:t>
            </w:r>
            <w:r w:rsidR="003E0D64">
              <w:rPr>
                <w:color w:val="000000"/>
                <w:sz w:val="20"/>
                <w:szCs w:val="20"/>
              </w:rPr>
              <w:t> </w:t>
            </w:r>
            <w:r>
              <w:rPr>
                <w:color w:val="000000"/>
                <w:sz w:val="20"/>
                <w:szCs w:val="20"/>
              </w:rPr>
              <w:t>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100,0</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b/>
                <w:bCs/>
                <w:color w:val="000000"/>
                <w:sz w:val="20"/>
                <w:szCs w:val="20"/>
              </w:rPr>
            </w:pPr>
            <w:r>
              <w:rPr>
                <w:b/>
                <w:bCs/>
                <w:color w:val="000000"/>
                <w:sz w:val="20"/>
                <w:szCs w:val="20"/>
              </w:rPr>
              <w:t>Componente de HCFC (65%)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left"/>
              <w:rPr>
                <w:color w:val="000000"/>
                <w:sz w:val="20"/>
                <w:szCs w:val="20"/>
              </w:rPr>
            </w:pPr>
            <w:r>
              <w:rPr>
                <w:color w:val="000000"/>
                <w:sz w:val="20"/>
                <w:szCs w:val="20"/>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left"/>
              <w:rPr>
                <w:color w:val="000000"/>
                <w:sz w:val="20"/>
                <w:szCs w:val="20"/>
              </w:rPr>
            </w:pPr>
            <w:r>
              <w:rPr>
                <w:color w:val="000000"/>
                <w:sz w:val="20"/>
                <w:szCs w:val="20"/>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left"/>
              <w:rPr>
                <w:color w:val="000000"/>
                <w:sz w:val="20"/>
                <w:szCs w:val="20"/>
              </w:rPr>
            </w:pPr>
            <w:r>
              <w:rPr>
                <w:color w:val="000000"/>
                <w:sz w:val="20"/>
                <w:szCs w:val="20"/>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left"/>
              <w:rPr>
                <w:color w:val="000000"/>
                <w:sz w:val="20"/>
                <w:szCs w:val="20"/>
              </w:rPr>
            </w:pPr>
            <w:r>
              <w:rPr>
                <w:color w:val="000000"/>
                <w:sz w:val="20"/>
                <w:szCs w:val="20"/>
              </w:rPr>
              <w:t> </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HCFC-22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256</w:t>
            </w:r>
            <w:r w:rsidR="003E0D64">
              <w:rPr>
                <w:color w:val="000000"/>
                <w:sz w:val="20"/>
                <w:szCs w:val="20"/>
              </w:rPr>
              <w:t> </w:t>
            </w:r>
            <w:r>
              <w:rPr>
                <w:color w:val="000000"/>
                <w:sz w:val="20"/>
                <w:szCs w:val="20"/>
              </w:rPr>
              <w:t>572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464</w:t>
            </w:r>
            <w:r w:rsidR="003E0D64">
              <w:rPr>
                <w:color w:val="000000"/>
                <w:sz w:val="20"/>
                <w:szCs w:val="20"/>
              </w:rPr>
              <w:t> </w:t>
            </w:r>
            <w:r>
              <w:rPr>
                <w:color w:val="000000"/>
                <w:sz w:val="20"/>
                <w:szCs w:val="20"/>
              </w:rPr>
              <w:t>395</w:t>
            </w:r>
            <w:r w:rsidR="003E0D64">
              <w:rPr>
                <w:color w:val="000000"/>
                <w:sz w:val="20"/>
                <w:szCs w:val="20"/>
              </w:rPr>
              <w:t> </w:t>
            </w:r>
            <w:r>
              <w:rPr>
                <w:color w:val="000000"/>
                <w:sz w:val="20"/>
                <w:szCs w:val="20"/>
              </w:rPr>
              <w:t>998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73,7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82,2</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HCFC-141b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70</w:t>
            </w:r>
            <w:r w:rsidR="003E0D64">
              <w:rPr>
                <w:color w:val="000000"/>
                <w:sz w:val="20"/>
                <w:szCs w:val="20"/>
              </w:rPr>
              <w:t> </w:t>
            </w:r>
            <w:r>
              <w:rPr>
                <w:color w:val="000000"/>
                <w:sz w:val="20"/>
                <w:szCs w:val="20"/>
              </w:rPr>
              <w:t>108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50</w:t>
            </w:r>
            <w:r w:rsidR="003E0D64">
              <w:rPr>
                <w:color w:val="000000"/>
                <w:sz w:val="20"/>
                <w:szCs w:val="20"/>
              </w:rPr>
              <w:t> </w:t>
            </w:r>
            <w:r>
              <w:rPr>
                <w:color w:val="000000"/>
                <w:sz w:val="20"/>
                <w:szCs w:val="20"/>
              </w:rPr>
              <w:t>828</w:t>
            </w:r>
            <w:r w:rsidR="003E0D64">
              <w:rPr>
                <w:color w:val="000000"/>
                <w:sz w:val="20"/>
                <w:szCs w:val="20"/>
              </w:rPr>
              <w:t> </w:t>
            </w:r>
            <w:r>
              <w:rPr>
                <w:color w:val="000000"/>
                <w:sz w:val="20"/>
                <w:szCs w:val="20"/>
              </w:rPr>
              <w:t>097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9,0</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HCFC-142b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21</w:t>
            </w:r>
            <w:r w:rsidR="003E0D64">
              <w:rPr>
                <w:color w:val="000000"/>
                <w:sz w:val="20"/>
                <w:szCs w:val="20"/>
              </w:rPr>
              <w:t> </w:t>
            </w:r>
            <w:r>
              <w:rPr>
                <w:color w:val="000000"/>
                <w:sz w:val="20"/>
                <w:szCs w:val="20"/>
              </w:rPr>
              <w:t>582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49</w:t>
            </w:r>
            <w:r w:rsidR="003E0D64">
              <w:rPr>
                <w:color w:val="000000"/>
                <w:sz w:val="20"/>
                <w:szCs w:val="20"/>
              </w:rPr>
              <w:t> </w:t>
            </w:r>
            <w:r>
              <w:rPr>
                <w:color w:val="000000"/>
                <w:sz w:val="20"/>
                <w:szCs w:val="20"/>
              </w:rPr>
              <w:t>853</w:t>
            </w:r>
            <w:r w:rsidR="003E0D64">
              <w:rPr>
                <w:color w:val="000000"/>
                <w:sz w:val="20"/>
                <w:szCs w:val="20"/>
              </w:rPr>
              <w:t> </w:t>
            </w:r>
            <w:r>
              <w:rPr>
                <w:color w:val="000000"/>
                <w:sz w:val="20"/>
                <w:szCs w:val="20"/>
              </w:rPr>
              <w:t>674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8,8</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HCFC-225ca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w:t>
            </w:r>
            <w:r w:rsidR="003E0D64">
              <w:rPr>
                <w:color w:val="000000"/>
                <w:sz w:val="20"/>
                <w:szCs w:val="20"/>
              </w:rPr>
              <w:t> </w:t>
            </w:r>
            <w:r>
              <w:rPr>
                <w:color w:val="000000"/>
                <w:sz w:val="20"/>
                <w:szCs w:val="20"/>
              </w:rPr>
              <w:t>553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0,0</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HCFC-225cb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w:t>
            </w:r>
            <w:r w:rsidR="003E0D64">
              <w:rPr>
                <w:color w:val="000000"/>
                <w:sz w:val="20"/>
                <w:szCs w:val="20"/>
              </w:rPr>
              <w:t> </w:t>
            </w:r>
            <w:r>
              <w:rPr>
                <w:color w:val="000000"/>
                <w:sz w:val="20"/>
                <w:szCs w:val="20"/>
              </w:rPr>
              <w:t>071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0,0</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 xml:space="preserve">Total 65% de HCFC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348</w:t>
            </w:r>
            <w:r w:rsidR="003E0D64">
              <w:rPr>
                <w:color w:val="000000"/>
                <w:sz w:val="20"/>
                <w:szCs w:val="20"/>
              </w:rPr>
              <w:t> </w:t>
            </w:r>
            <w:r>
              <w:rPr>
                <w:color w:val="000000"/>
                <w:sz w:val="20"/>
                <w:szCs w:val="20"/>
              </w:rPr>
              <w:t>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565</w:t>
            </w:r>
            <w:r w:rsidR="003E0D64">
              <w:rPr>
                <w:color w:val="000000"/>
                <w:sz w:val="20"/>
                <w:szCs w:val="20"/>
              </w:rPr>
              <w:t> </w:t>
            </w:r>
            <w:r>
              <w:rPr>
                <w:color w:val="000000"/>
                <w:sz w:val="20"/>
                <w:szCs w:val="20"/>
              </w:rPr>
              <w:t>091</w:t>
            </w:r>
            <w:r w:rsidR="003E0D64">
              <w:rPr>
                <w:color w:val="000000"/>
                <w:sz w:val="20"/>
                <w:szCs w:val="20"/>
              </w:rPr>
              <w:t> </w:t>
            </w:r>
            <w:r>
              <w:rPr>
                <w:color w:val="000000"/>
                <w:sz w:val="20"/>
                <w:szCs w:val="20"/>
              </w:rPr>
              <w:t>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100,0</w:t>
            </w:r>
          </w:p>
        </w:tc>
      </w:tr>
      <w:tr w:rsidR="00B802C6" w:rsidRPr="00B430EE"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B430EE" w:rsidRDefault="00B802C6" w:rsidP="00B802C6">
            <w:pPr>
              <w:jc w:val="left"/>
              <w:rPr>
                <w:b/>
                <w:color w:val="000000"/>
                <w:sz w:val="20"/>
                <w:szCs w:val="20"/>
                <w:lang w:val="es-ES"/>
              </w:rPr>
            </w:pPr>
            <w:r w:rsidRPr="00B430EE">
              <w:rPr>
                <w:b/>
                <w:color w:val="000000"/>
                <w:sz w:val="20"/>
                <w:szCs w:val="20"/>
                <w:lang w:val="es-ES"/>
              </w:rPr>
              <w:t>Nivel básico de HFC combinado</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B430EE" w:rsidRDefault="00B802C6" w:rsidP="00B802C6">
            <w:pPr>
              <w:jc w:val="right"/>
              <w:rPr>
                <w:color w:val="000000"/>
                <w:sz w:val="20"/>
                <w:szCs w:val="20"/>
                <w:lang w:val="es-ES"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B430EE" w:rsidRDefault="00B802C6" w:rsidP="00B802C6">
            <w:pPr>
              <w:jc w:val="right"/>
              <w:rPr>
                <w:color w:val="000000"/>
                <w:sz w:val="20"/>
                <w:szCs w:val="20"/>
                <w:lang w:val="es-ES"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B430EE" w:rsidRDefault="00B802C6" w:rsidP="00B802C6">
            <w:pPr>
              <w:jc w:val="right"/>
              <w:rPr>
                <w:color w:val="000000"/>
                <w:sz w:val="20"/>
                <w:szCs w:val="20"/>
                <w:lang w:val="es-ES"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B430EE" w:rsidRDefault="00B802C6" w:rsidP="00B802C6">
            <w:pPr>
              <w:jc w:val="right"/>
              <w:rPr>
                <w:color w:val="000000"/>
                <w:sz w:val="20"/>
                <w:szCs w:val="20"/>
                <w:lang w:val="es-ES" w:eastAsia="en-CA"/>
              </w:rPr>
            </w:pP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Componente de HFC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520</w:t>
            </w:r>
            <w:r w:rsidR="003E0D64">
              <w:rPr>
                <w:color w:val="000000"/>
                <w:sz w:val="20"/>
                <w:szCs w:val="20"/>
              </w:rPr>
              <w:t> </w:t>
            </w:r>
            <w:r>
              <w:rPr>
                <w:color w:val="000000"/>
                <w:sz w:val="20"/>
                <w:szCs w:val="20"/>
              </w:rPr>
              <w:t>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091</w:t>
            </w:r>
            <w:r w:rsidR="003E0D64">
              <w:rPr>
                <w:color w:val="000000"/>
                <w:sz w:val="20"/>
                <w:szCs w:val="20"/>
              </w:rPr>
              <w:t> </w:t>
            </w:r>
            <w:r>
              <w:rPr>
                <w:color w:val="000000"/>
                <w:sz w:val="20"/>
                <w:szCs w:val="20"/>
              </w:rPr>
              <w:t>111</w:t>
            </w:r>
            <w:r w:rsidR="003E0D64">
              <w:rPr>
                <w:color w:val="000000"/>
                <w:sz w:val="20"/>
                <w:szCs w:val="20"/>
              </w:rPr>
              <w:t> </w:t>
            </w:r>
            <w:r>
              <w:rPr>
                <w:color w:val="000000"/>
                <w:sz w:val="20"/>
                <w:szCs w:val="20"/>
              </w:rPr>
              <w:t>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65,9</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color w:val="000000"/>
                <w:sz w:val="20"/>
                <w:szCs w:val="20"/>
              </w:rPr>
            </w:pPr>
            <w:r>
              <w:rPr>
                <w:color w:val="000000"/>
                <w:sz w:val="20"/>
                <w:szCs w:val="20"/>
              </w:rPr>
              <w:t>Componente de HCFC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348</w:t>
            </w:r>
            <w:r w:rsidR="003E0D64">
              <w:rPr>
                <w:color w:val="000000"/>
                <w:sz w:val="20"/>
                <w:szCs w:val="20"/>
              </w:rPr>
              <w:t> </w:t>
            </w:r>
            <w:r>
              <w:rPr>
                <w:color w:val="000000"/>
                <w:sz w:val="20"/>
                <w:szCs w:val="20"/>
              </w:rPr>
              <w:t>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565</w:t>
            </w:r>
            <w:r w:rsidR="003E0D64">
              <w:rPr>
                <w:color w:val="000000"/>
                <w:sz w:val="20"/>
                <w:szCs w:val="20"/>
              </w:rPr>
              <w:t> </w:t>
            </w:r>
            <w:r>
              <w:rPr>
                <w:color w:val="000000"/>
                <w:sz w:val="20"/>
                <w:szCs w:val="20"/>
              </w:rPr>
              <w:t>091</w:t>
            </w:r>
            <w:r w:rsidR="003E0D64">
              <w:rPr>
                <w:color w:val="000000"/>
                <w:sz w:val="20"/>
                <w:szCs w:val="20"/>
              </w:rPr>
              <w:t> </w:t>
            </w:r>
            <w:r>
              <w:rPr>
                <w:color w:val="000000"/>
                <w:sz w:val="20"/>
                <w:szCs w:val="20"/>
              </w:rPr>
              <w:t>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34,1</w:t>
            </w:r>
          </w:p>
        </w:tc>
      </w:tr>
      <w:tr w:rsidR="00B802C6" w:rsidRPr="0062383B" w:rsidTr="005F5535">
        <w:trPr>
          <w:jc w:val="center"/>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B802C6" w:rsidRPr="0062383B" w:rsidRDefault="00B802C6" w:rsidP="00B802C6">
            <w:pPr>
              <w:jc w:val="left"/>
              <w:rPr>
                <w:b/>
                <w:color w:val="000000"/>
                <w:sz w:val="20"/>
                <w:szCs w:val="20"/>
              </w:rPr>
            </w:pPr>
            <w:r>
              <w:rPr>
                <w:b/>
                <w:color w:val="000000"/>
                <w:sz w:val="20"/>
                <w:szCs w:val="20"/>
              </w:rPr>
              <w:t>Nivel básico de HFC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869</w:t>
            </w:r>
            <w:r w:rsidR="003E0D64">
              <w:rPr>
                <w:color w:val="000000"/>
                <w:sz w:val="20"/>
                <w:szCs w:val="20"/>
              </w:rPr>
              <w:t> </w:t>
            </w:r>
            <w:r>
              <w:rPr>
                <w:color w:val="000000"/>
                <w:sz w:val="20"/>
                <w:szCs w:val="20"/>
              </w:rPr>
              <w:t>230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w:t>
            </w:r>
            <w:r w:rsidR="003E0D64">
              <w:rPr>
                <w:color w:val="000000"/>
                <w:sz w:val="20"/>
                <w:szCs w:val="20"/>
              </w:rPr>
              <w:t> </w:t>
            </w:r>
            <w:r>
              <w:rPr>
                <w:color w:val="000000"/>
                <w:sz w:val="20"/>
                <w:szCs w:val="20"/>
              </w:rPr>
              <w:t>656</w:t>
            </w:r>
            <w:r w:rsidR="003E0D64">
              <w:rPr>
                <w:color w:val="000000"/>
                <w:sz w:val="20"/>
                <w:szCs w:val="20"/>
              </w:rPr>
              <w:t> </w:t>
            </w:r>
            <w:r>
              <w:rPr>
                <w:color w:val="000000"/>
                <w:sz w:val="20"/>
                <w:szCs w:val="20"/>
              </w:rPr>
              <w:t>202</w:t>
            </w:r>
            <w:r w:rsidR="003E0D64">
              <w:rPr>
                <w:color w:val="000000"/>
                <w:sz w:val="20"/>
                <w:szCs w:val="20"/>
              </w:rPr>
              <w:t> </w:t>
            </w:r>
            <w:r>
              <w:rPr>
                <w:color w:val="000000"/>
                <w:sz w:val="20"/>
                <w:szCs w:val="20"/>
              </w:rPr>
              <w:t>754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B802C6" w:rsidRPr="0062383B" w:rsidRDefault="00B802C6" w:rsidP="00B802C6">
            <w:pPr>
              <w:jc w:val="right"/>
              <w:rPr>
                <w:color w:val="000000"/>
                <w:sz w:val="20"/>
                <w:szCs w:val="20"/>
              </w:rPr>
            </w:pPr>
            <w:r>
              <w:rPr>
                <w:color w:val="000000"/>
                <w:sz w:val="20"/>
                <w:szCs w:val="20"/>
              </w:rPr>
              <w:t>100,0</w:t>
            </w:r>
          </w:p>
        </w:tc>
      </w:tr>
    </w:tbl>
    <w:p w:rsidR="00B802C6" w:rsidRPr="0062383B" w:rsidRDefault="00B802C6" w:rsidP="00B802C6">
      <w:pPr>
        <w:rPr>
          <w:lang w:val="en-CA"/>
        </w:rPr>
      </w:pPr>
    </w:p>
    <w:p w:rsidR="00B802C6" w:rsidRPr="00B430EE" w:rsidRDefault="00B802C6" w:rsidP="00B802C6">
      <w:pPr>
        <w:pStyle w:val="Heading1"/>
        <w:rPr>
          <w:lang w:val="es-ES"/>
        </w:rPr>
      </w:pPr>
      <w:r w:rsidRPr="00B430EE">
        <w:rPr>
          <w:lang w:val="es-ES"/>
        </w:rPr>
        <w:t>Con anterioridad a la Enmienda de Kigali, el cumplimiento del Protocolo de Montreal se evaluaba en función del consumo y la producción notificados de las sustancias controladas, medidos en toneladas PAO; los puntos de partida para el consumo se medían también en toneladas PAO. En virtud de la Enmienda de Kigali, el cumplimiento del Protocolo de Montreal se evaluará en función del consumo y la producción de sustancias incluidas en el anexo F, medidos en equivalentes de CO</w:t>
      </w:r>
      <w:r w:rsidRPr="00B430EE">
        <w:rPr>
          <w:vertAlign w:val="subscript"/>
          <w:lang w:val="es-ES"/>
        </w:rPr>
        <w:t>2</w:t>
      </w:r>
      <w:r w:rsidRPr="00B430EE">
        <w:rPr>
          <w:lang w:val="es-ES"/>
        </w:rPr>
        <w:t>.</w:t>
      </w:r>
    </w:p>
    <w:p w:rsidR="00B802C6" w:rsidRPr="00B430EE" w:rsidRDefault="00B802C6" w:rsidP="00B802C6">
      <w:pPr>
        <w:ind w:left="720" w:hanging="720"/>
        <w:rPr>
          <w:b/>
          <w:lang w:val="es-ES"/>
        </w:rPr>
      </w:pPr>
      <w:r w:rsidRPr="00B430EE">
        <w:rPr>
          <w:b/>
          <w:lang w:val="es-ES"/>
        </w:rPr>
        <w:t>IV.</w:t>
      </w:r>
      <w:r w:rsidRPr="00B430EE">
        <w:rPr>
          <w:b/>
          <w:lang w:val="es-ES"/>
        </w:rPr>
        <w:tab/>
        <w:t>CONSIDERACIONES ESENCIALES PARA ELABORAR UNA METODOLOGÍA PARA ESTABLECER PUNTOS DE PARTIDA PARA LOS HFC</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 xml:space="preserve">En la 78ª reunión, el Comité Ejecutivo estudio la cuestión del punto de partida para los HFC en relación con la cuestión 6 a) i) del orden del día (Proyecto de criterios para la financiación). En el Anexo I del presente documento se incluye un pasaje de esas deliberaciones extraído del informe de la 78ª reunión. En la 80ª reunión, el Comité Ejecutivo decidió incluir en el proyecto de plantilla de las directrices sobre los costos para la reducción de los HFC el texto relacionado con las reducciones acumuladas sostenidas en consonancia con el párrafo 19 de la decisión XXVIII/2 (decisión 80/76 a) ii)). </w:t>
      </w:r>
    </w:p>
    <w:p w:rsidR="00B802C6" w:rsidRPr="00B430EE" w:rsidRDefault="00B802C6" w:rsidP="00B802C6">
      <w:pPr>
        <w:pStyle w:val="Heading1"/>
        <w:rPr>
          <w:lang w:val="es-ES"/>
        </w:rPr>
      </w:pPr>
      <w:r w:rsidRPr="00B430EE">
        <w:rPr>
          <w:lang w:val="es-ES"/>
        </w:rPr>
        <w:t xml:space="preserve">Las deliberaciones acerca de la elaboración de una metodología para establecer el punto de partida han sido limitadas, y los miembros del grupo de contacto que deliberó acerca de los asuntos relacionados con la Enmienda de Kigali en la 81ª reunión expresaron diferentes puntos de vista acerca de cómo se podría determinar el punto de partida. De conformidad con la decisión 81/67 e), la Secretaría ha identificado las consideraciones esenciales que podrían ayudar al Comité Ejecutivo a elaborar una metodología para determinar el punto de partida para las reducciones acumuladas sostenidas, teniendo en cuenta esas deliberaciones. La lista inicial de consideraciones esenciales propuesta por la Secretaría se podría ampliar sobre la base de las deliberaciones ulteriores del Comité Ejecutivo.  </w:t>
      </w:r>
    </w:p>
    <w:p w:rsidR="00B802C6" w:rsidRPr="00B430EE" w:rsidRDefault="00B802C6" w:rsidP="00B802C6">
      <w:pPr>
        <w:pStyle w:val="Heading1"/>
        <w:rPr>
          <w:lang w:val="es-ES"/>
        </w:rPr>
      </w:pPr>
      <w:r w:rsidRPr="00B430EE">
        <w:rPr>
          <w:lang w:val="es-ES"/>
        </w:rPr>
        <w:lastRenderedPageBreak/>
        <w:t>El cálculo del nivel básico de HFC se basa en el consumo y la producción de sustancias del anexo F (“componente de HFC”) y el consumo y la producción de sustancias del grupo I el anexo C (“componente de HCFC”), ambos medidos en equivalentes de CO</w:t>
      </w:r>
      <w:r w:rsidRPr="00B430EE">
        <w:rPr>
          <w:vertAlign w:val="subscript"/>
          <w:lang w:val="es-ES"/>
        </w:rPr>
        <w:t>2</w:t>
      </w:r>
      <w:r w:rsidRPr="00B430EE">
        <w:rPr>
          <w:lang w:val="es-ES"/>
        </w:rPr>
        <w:t xml:space="preserve"> (en lugar de toneladas métricas). Por lo tanto, varios puntos que no resultaban pertinentes en relación con los CFC o los HCFC deberán ser abordados para determinar los puntos de partida para el consumo de HFC admisible para la financiación, tales como, entre otros:</w:t>
      </w:r>
    </w:p>
    <w:p w:rsidR="00B802C6" w:rsidRPr="00B430EE" w:rsidRDefault="00B802C6" w:rsidP="00B802C6">
      <w:pPr>
        <w:pStyle w:val="Heading2"/>
        <w:widowControl/>
        <w:rPr>
          <w:lang w:val="es-ES"/>
        </w:rPr>
      </w:pPr>
      <w:r w:rsidRPr="00B430EE">
        <w:rPr>
          <w:lang w:val="es-ES"/>
        </w:rPr>
        <w:t>El punto de partida como una combinación de diferentes grupos de sustancias;</w:t>
      </w:r>
    </w:p>
    <w:p w:rsidR="00B802C6" w:rsidRPr="00B430EE" w:rsidRDefault="00B802C6" w:rsidP="00B802C6">
      <w:pPr>
        <w:pStyle w:val="Heading2"/>
        <w:widowControl/>
        <w:rPr>
          <w:lang w:val="es-ES"/>
        </w:rPr>
      </w:pPr>
      <w:r w:rsidRPr="00B430EE">
        <w:rPr>
          <w:lang w:val="es-ES"/>
        </w:rPr>
        <w:t>Fecha de establecimiento del punto de partida;</w:t>
      </w:r>
    </w:p>
    <w:p w:rsidR="00B802C6" w:rsidRPr="00B430EE" w:rsidRDefault="00B802C6" w:rsidP="00B802C6">
      <w:pPr>
        <w:pStyle w:val="Heading2"/>
        <w:widowControl/>
        <w:rPr>
          <w:lang w:val="es-ES"/>
        </w:rPr>
      </w:pPr>
      <w:r w:rsidRPr="00B430EE">
        <w:rPr>
          <w:lang w:val="es-ES"/>
        </w:rPr>
        <w:t>La necesidad de garantizar que la metodología para determinar el punto de partida sea equitativa para todos los países que operan al amparo del artículo 5;</w:t>
      </w:r>
    </w:p>
    <w:p w:rsidR="00B802C6" w:rsidRPr="00B430EE" w:rsidRDefault="00B802C6" w:rsidP="00B802C6">
      <w:pPr>
        <w:pStyle w:val="Heading2"/>
        <w:widowControl/>
        <w:rPr>
          <w:lang w:val="es-ES"/>
        </w:rPr>
      </w:pPr>
      <w:r w:rsidRPr="00B430EE">
        <w:rPr>
          <w:lang w:val="es-ES"/>
        </w:rPr>
        <w:t>Puntos de partida basados solamente en HFC puros o en HFC puros y mezclas de HFC;</w:t>
      </w:r>
    </w:p>
    <w:p w:rsidR="00B802C6" w:rsidRPr="00B430EE" w:rsidRDefault="00B802C6" w:rsidP="00B802C6">
      <w:pPr>
        <w:pStyle w:val="Heading2"/>
        <w:widowControl/>
        <w:rPr>
          <w:lang w:val="es-ES"/>
        </w:rPr>
      </w:pPr>
      <w:r w:rsidRPr="00B430EE">
        <w:rPr>
          <w:lang w:val="es-ES"/>
        </w:rPr>
        <w:t>Medición de los puntos de partida para los HFC en tonelaje, equivalentes de CO</w:t>
      </w:r>
      <w:r w:rsidRPr="00B430EE">
        <w:rPr>
          <w:vertAlign w:val="subscript"/>
          <w:lang w:val="es-ES"/>
        </w:rPr>
        <w:t>2</w:t>
      </w:r>
      <w:r w:rsidRPr="00B430EE">
        <w:rPr>
          <w:lang w:val="es-ES"/>
        </w:rPr>
        <w:t xml:space="preserve"> o ambos;</w:t>
      </w:r>
    </w:p>
    <w:p w:rsidR="00B802C6" w:rsidRPr="00B430EE" w:rsidRDefault="00B802C6" w:rsidP="00B802C6">
      <w:pPr>
        <w:pStyle w:val="Heading2"/>
        <w:widowControl/>
        <w:rPr>
          <w:lang w:val="es-ES"/>
        </w:rPr>
      </w:pPr>
      <w:r w:rsidRPr="00B430EE">
        <w:rPr>
          <w:lang w:val="es-ES"/>
        </w:rPr>
        <w:t>Tonelaje adicional de HFC relacionados con el “componente de HCFC”;</w:t>
      </w:r>
    </w:p>
    <w:p w:rsidR="00B802C6" w:rsidRPr="00B430EE" w:rsidRDefault="00B802C6" w:rsidP="00B802C6">
      <w:pPr>
        <w:pStyle w:val="Heading2"/>
        <w:widowControl/>
        <w:rPr>
          <w:lang w:val="es-ES"/>
        </w:rPr>
      </w:pPr>
      <w:r w:rsidRPr="00B430EE">
        <w:rPr>
          <w:lang w:val="es-ES"/>
        </w:rPr>
        <w:t>Nivel básico de HCFC o punto de partida para los HCFC como base para el “componente de HCFC”;</w:t>
      </w:r>
    </w:p>
    <w:p w:rsidR="00B802C6" w:rsidRPr="00B430EE" w:rsidRDefault="00B802C6" w:rsidP="00B802C6">
      <w:pPr>
        <w:pStyle w:val="Heading2"/>
        <w:widowControl/>
        <w:rPr>
          <w:lang w:val="es-ES"/>
        </w:rPr>
      </w:pPr>
      <w:r w:rsidRPr="00B430EE">
        <w:rPr>
          <w:lang w:val="es-ES"/>
        </w:rPr>
        <w:t>Posible doble cómputo relacionado con el “componente de HCFC”;</w:t>
      </w:r>
    </w:p>
    <w:p w:rsidR="00B802C6" w:rsidRPr="00B430EE" w:rsidRDefault="00B802C6" w:rsidP="00B802C6">
      <w:pPr>
        <w:pStyle w:val="Heading2"/>
        <w:widowControl/>
        <w:rPr>
          <w:lang w:val="es-ES"/>
        </w:rPr>
      </w:pPr>
      <w:r w:rsidRPr="00B430EE">
        <w:rPr>
          <w:lang w:val="es-ES"/>
        </w:rPr>
        <w:t>Importación y exportación de sustancias controladas contenidas en polioles premezclados;</w:t>
      </w:r>
    </w:p>
    <w:p w:rsidR="00B802C6" w:rsidRPr="00B430EE" w:rsidRDefault="00B802C6" w:rsidP="00B802C6">
      <w:pPr>
        <w:pStyle w:val="Heading2"/>
        <w:widowControl/>
        <w:rPr>
          <w:lang w:val="es-ES"/>
        </w:rPr>
      </w:pPr>
      <w:r w:rsidRPr="00B430EE">
        <w:rPr>
          <w:lang w:val="es-ES"/>
        </w:rPr>
        <w:t>La función del punto de partida en el sector de servicio y mantenimiento; y</w:t>
      </w:r>
    </w:p>
    <w:p w:rsidR="00B802C6" w:rsidRPr="00B430EE" w:rsidRDefault="00B802C6" w:rsidP="00B802C6">
      <w:pPr>
        <w:pStyle w:val="Heading2"/>
        <w:widowControl/>
        <w:rPr>
          <w:lang w:val="es-ES"/>
        </w:rPr>
      </w:pPr>
      <w:r w:rsidRPr="00B430EE">
        <w:rPr>
          <w:lang w:val="es-ES"/>
        </w:rPr>
        <w:t>El punto de partida para el sector de producción.</w:t>
      </w:r>
    </w:p>
    <w:p w:rsidR="00B802C6" w:rsidRPr="00B430EE" w:rsidRDefault="00B802C6" w:rsidP="00B802C6">
      <w:pPr>
        <w:pStyle w:val="Heading1"/>
        <w:rPr>
          <w:lang w:val="es-ES"/>
        </w:rPr>
      </w:pPr>
      <w:r w:rsidRPr="00B430EE">
        <w:rPr>
          <w:lang w:val="es-ES"/>
        </w:rPr>
        <w:t>Estos puntos se describen brevemente a continuación.</w:t>
      </w:r>
    </w:p>
    <w:p w:rsidR="00B802C6" w:rsidRPr="00B430EE" w:rsidRDefault="00B802C6" w:rsidP="00B802C6">
      <w:pPr>
        <w:keepNext/>
        <w:keepLines/>
        <w:rPr>
          <w:b/>
          <w:lang w:val="es-ES"/>
        </w:rPr>
      </w:pPr>
      <w:r w:rsidRPr="00B430EE">
        <w:rPr>
          <w:b/>
          <w:lang w:val="es-ES"/>
        </w:rPr>
        <w:t>El punto de partida como una combinación de diferentes grupos de sustancias</w:t>
      </w:r>
    </w:p>
    <w:p w:rsidR="00B802C6" w:rsidRPr="00B430EE" w:rsidRDefault="00B802C6" w:rsidP="00B802C6">
      <w:pPr>
        <w:keepNext/>
        <w:keepLines/>
        <w:rPr>
          <w:u w:val="single"/>
          <w:lang w:val="es-ES"/>
        </w:rPr>
      </w:pPr>
    </w:p>
    <w:p w:rsidR="00B802C6" w:rsidRPr="00B430EE" w:rsidRDefault="00B802C6" w:rsidP="00B802C6">
      <w:pPr>
        <w:pStyle w:val="Heading1"/>
        <w:keepNext/>
        <w:keepLines/>
        <w:rPr>
          <w:lang w:val="es-ES"/>
        </w:rPr>
      </w:pPr>
      <w:r w:rsidRPr="00B430EE">
        <w:rPr>
          <w:lang w:val="es-ES"/>
        </w:rPr>
        <w:t xml:space="preserve">El nivel básico para el cumplimiento y los puntos de partida para los CFC y los HCFC para los países que operan al amparo del artículo 5 se determinaron exclusivamente sobre la base del consumo y la producción de esas sustancias, respectivamente. El nivel básico para el cumplimiento para los HFC comprende, por el contrario, sustancias tanto del anexo F como del grupo I del anexo C. No hay ningún antecedente de determinación del punto de partida para un grupo de sustancias basada en una combinación de diferentes grupos de sustancias. </w:t>
      </w:r>
    </w:p>
    <w:p w:rsidR="00B802C6" w:rsidRPr="00B430EE" w:rsidRDefault="00B802C6" w:rsidP="00B802C6">
      <w:pPr>
        <w:pStyle w:val="Heading1"/>
        <w:rPr>
          <w:lang w:val="es-ES"/>
        </w:rPr>
      </w:pPr>
      <w:r w:rsidRPr="00B430EE">
        <w:rPr>
          <w:lang w:val="es-ES"/>
        </w:rPr>
        <w:t>Las deliberaciones acerca de una metodología para determinar el punto de partida para los HFC han sido limitadas. Durante las deliberaciones del grupo de contacto que se estableció en la 81ª reunión para deliberar sobre la elaboración de las directrices sobre los costos para la reducción de los HFC en los países que operan al amparo del artículo 5: criterios para la financiación, algunos miembros del Comité Ejecutivo sugirieron que el punto de partida para los HFC se determinara según el “componente de HFC” del nivel básico, mientras que otros sugirieron que se aplicara el nivel básico para los HFC (es decir, el “componente de HFC” más el “componente de HCFC”).</w:t>
      </w:r>
    </w:p>
    <w:p w:rsidR="00B802C6" w:rsidRPr="00B430EE" w:rsidRDefault="00B802C6" w:rsidP="00B802C6">
      <w:pPr>
        <w:rPr>
          <w:b/>
          <w:lang w:val="es-ES"/>
        </w:rPr>
      </w:pPr>
      <w:r w:rsidRPr="00B430EE">
        <w:rPr>
          <w:b/>
          <w:lang w:val="es-ES"/>
        </w:rPr>
        <w:t>Fecha de establecimiento del punto de partida</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 xml:space="preserve">Hasta la fecha, se han aprobado siete proyectos de inversión independientes, con un costo total de 11 511 871 $EUA (más gastos de apoyo al organismo) para reducir 837,45 tm (1,34 millones de tm </w:t>
      </w:r>
      <w:r w:rsidRPr="00B430EE">
        <w:rPr>
          <w:lang w:val="es-ES"/>
        </w:rPr>
        <w:lastRenderedPageBreak/>
        <w:t>equivalentes de CO</w:t>
      </w:r>
      <w:r w:rsidRPr="00B430EE">
        <w:rPr>
          <w:vertAlign w:val="subscript"/>
          <w:lang w:val="es-ES"/>
        </w:rPr>
        <w:t>2</w:t>
      </w:r>
      <w:r w:rsidRPr="00B430EE">
        <w:rPr>
          <w:lang w:val="es-ES"/>
        </w:rPr>
        <w:t>) de HFC en los sectores de fabricación de acondicionadores de aire y equipos de refrigeración doméstica y comercial en seis países</w:t>
      </w:r>
      <w:r w:rsidRPr="0062383B">
        <w:rPr>
          <w:vertAlign w:val="superscript"/>
          <w:lang w:val="en-CA"/>
        </w:rPr>
        <w:footnoteReference w:id="32"/>
      </w:r>
      <w:r w:rsidRPr="00B430EE">
        <w:rPr>
          <w:lang w:val="es-ES"/>
        </w:rPr>
        <w:t>. Al aprobar esos proyectos, el Comité Ejecutivo decidió deducir las cantidades pertinentes de HFC (expresadas tanto en toneladas métricas como en equivalentes de CO</w:t>
      </w:r>
      <w:r w:rsidRPr="00B430EE">
        <w:rPr>
          <w:vertAlign w:val="subscript"/>
          <w:lang w:val="es-ES"/>
        </w:rPr>
        <w:t>2</w:t>
      </w:r>
      <w:r w:rsidRPr="00B430EE">
        <w:rPr>
          <w:lang w:val="es-ES"/>
        </w:rPr>
        <w:t xml:space="preserve">) del punto de partida del país para la reducción acumulada sostenida en HFC una vez que se hubiera establecido. Por consiguiente, el hecho de que aún no se haya establecido un punto de partida no ha impedido que el Comité Ejecutivo aprobara proyectos de reducción de los HFC. Además, en consonancia con la decisión 81/53 b), el Comité Ejecutivo considerará otros proyectos de inversión independientes relativos a los HFC hasta la 84ª reunión inclusive. </w:t>
      </w:r>
    </w:p>
    <w:p w:rsidR="00B802C6" w:rsidRPr="00B430EE" w:rsidRDefault="00B802C6" w:rsidP="00B802C6">
      <w:pPr>
        <w:pStyle w:val="Heading1"/>
        <w:rPr>
          <w:lang w:val="es-ES"/>
        </w:rPr>
      </w:pPr>
      <w:r w:rsidRPr="00B430EE">
        <w:rPr>
          <w:lang w:val="es-ES"/>
        </w:rPr>
        <w:t xml:space="preserve">Al momento de terminar el presente documento, habían ratificado la Enmienda de Kigali 34 países que operan al amparo del artículo 5. Dado que esos países pertenecen al grupo 1, en consonancia con la decisión 79/46 b) iii), esos países reunirían en 2019 las condiciones para la financiación para la preparación de planes nacionales de ejecución para cumplir las obligaciones de reducción iniciales para la reducción de los HFC. </w:t>
      </w:r>
    </w:p>
    <w:p w:rsidR="00B802C6" w:rsidRPr="00B430EE" w:rsidRDefault="00B802C6" w:rsidP="00B802C6">
      <w:pPr>
        <w:pStyle w:val="Heading1"/>
        <w:keepNext/>
        <w:keepLines/>
        <w:rPr>
          <w:lang w:val="es-ES"/>
        </w:rPr>
      </w:pPr>
      <w:r w:rsidRPr="00B430EE">
        <w:rPr>
          <w:lang w:val="es-ES"/>
        </w:rPr>
        <w:t>La primera obligación relacionada con el cumplimiento para el consumo de HFC tiene fecha límite en 2024 para los países que operan al amparo del artículo 5 del grupo 1 y en 2028 para los países que operan al amparo del artículo 5 del grupo 2. Las Partes acordaron una fecha límite para las capacidades subvencionables en el párrafo 17 de la decisión XXVIII/2</w:t>
      </w:r>
      <w:r w:rsidRPr="0062383B">
        <w:rPr>
          <w:rStyle w:val="FootnoteReference"/>
          <w:lang w:val="en-CA"/>
        </w:rPr>
        <w:footnoteReference w:id="33"/>
      </w:r>
      <w:r w:rsidRPr="00B430EE">
        <w:rPr>
          <w:lang w:val="es-ES"/>
        </w:rPr>
        <w:t xml:space="preserve">. Ante la falta de un punto de partida para los HFC, esa fecha límite para las capacidades subvencionables </w:t>
      </w:r>
      <w:r w:rsidRPr="00B430EE">
        <w:rPr>
          <w:i/>
          <w:lang w:val="es-ES"/>
        </w:rPr>
        <w:t>per se</w:t>
      </w:r>
      <w:r w:rsidRPr="00B430EE">
        <w:rPr>
          <w:lang w:val="es-ES"/>
        </w:rPr>
        <w:t xml:space="preserve"> no limitaría la obligación de financiación del Fondo Multilateral, a menos que se estableciera un mecanismo para asegurar que no se pueda financiar la eliminación del consumo de las empresas que no cumplan las condiciones. Ese mecanismo sería especialmente complejo si el punto de partida se basara en un único valor.</w:t>
      </w:r>
    </w:p>
    <w:p w:rsidR="00B802C6" w:rsidRPr="00B430EE" w:rsidRDefault="00B802C6" w:rsidP="00B802C6">
      <w:pPr>
        <w:rPr>
          <w:b/>
          <w:lang w:val="es-ES"/>
        </w:rPr>
      </w:pPr>
      <w:r w:rsidRPr="00B430EE">
        <w:rPr>
          <w:b/>
          <w:lang w:val="es-ES"/>
        </w:rPr>
        <w:t>La necesidad de garantizar que se trate en un pie de igualdad a todos los países que operan al amparo del artículo 5</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En el caso de los CFC y los HCFC, se permitió a los países que operan al amparo del artículo 5 que eligieran entre dos opciones diferentes a fin de determinar su punto de partida, independientemente del hecho de que su nivel básico se determinaba del mismo modo y de que todos los países que operan al amparo del artículo 5 seguían el mismo calendario de control del Protocolo de Montreal. No obstante, en virtud de la Enmienda de Kigali, los niveles básicos y los calendarios de control para los países que operan al amparo del artículo 5 del grupo 1 y del grupo 2 son diferentes. Sería necesario asegurar que la metodología para determinar el punto de partida para los HFC trate a todos los países que operan al amparo del artículo 5 del mismo modo, independientemente de los años de referencia y de los calendarios de control para los países que operan al amparo del artículo 5 del grupo 1 y del grupo 2.</w:t>
      </w:r>
    </w:p>
    <w:p w:rsidR="00B802C6" w:rsidRPr="00B430EE" w:rsidRDefault="00B802C6" w:rsidP="00B802C6">
      <w:pPr>
        <w:pStyle w:val="Heading1"/>
        <w:rPr>
          <w:lang w:val="es-ES"/>
        </w:rPr>
      </w:pPr>
      <w:r w:rsidRPr="00B430EE">
        <w:rPr>
          <w:lang w:val="es-ES"/>
        </w:rPr>
        <w:t>Además, a diferencia de la eliminación de los CFC y los HCFC, el calendario de control para los HFC se refiere a una reducción, con objetivos diferentes para los países que operan al amparo del artículo 5 del grupo 1 y del grupo 2</w:t>
      </w:r>
      <w:r w:rsidRPr="0062383B">
        <w:rPr>
          <w:rStyle w:val="FootnoteReference"/>
          <w:lang w:val="en-CA"/>
        </w:rPr>
        <w:footnoteReference w:id="34"/>
      </w:r>
      <w:r w:rsidRPr="00B430EE">
        <w:rPr>
          <w:lang w:val="es-ES"/>
        </w:rPr>
        <w:t>. Al tratar esta situación, podría ser pertinente considerar si se deduce la respectiva “prórroga” de reducción (es decir, el 20</w:t>
      </w:r>
      <w:r w:rsidR="005F5535" w:rsidRPr="005F5535">
        <w:rPr>
          <w:color w:val="000000" w:themeColor="text1"/>
          <w:sz w:val="20"/>
          <w:szCs w:val="20"/>
          <w:lang w:val="es-MX"/>
        </w:rPr>
        <w:t xml:space="preserve"> </w:t>
      </w:r>
      <w:r w:rsidR="005F5535">
        <w:rPr>
          <w:color w:val="000000" w:themeColor="text1"/>
          <w:sz w:val="20"/>
          <w:szCs w:val="20"/>
          <w:lang w:val="es-MX"/>
        </w:rPr>
        <w:t>por ciento</w:t>
      </w:r>
      <w:r w:rsidRPr="00B430EE">
        <w:rPr>
          <w:lang w:val="es-ES"/>
        </w:rPr>
        <w:t xml:space="preserve"> para los países que operan al amparo del artículo 5 del grupo 1 y el 15</w:t>
      </w:r>
      <w:r w:rsidR="005F5535" w:rsidRPr="005F5535">
        <w:rPr>
          <w:color w:val="000000" w:themeColor="text1"/>
          <w:sz w:val="20"/>
          <w:szCs w:val="20"/>
          <w:lang w:val="es-MX"/>
        </w:rPr>
        <w:t xml:space="preserve"> </w:t>
      </w:r>
      <w:r w:rsidR="005F5535">
        <w:rPr>
          <w:color w:val="000000" w:themeColor="text1"/>
          <w:sz w:val="20"/>
          <w:szCs w:val="20"/>
          <w:lang w:val="es-MX"/>
        </w:rPr>
        <w:t>por ciento</w:t>
      </w:r>
      <w:r w:rsidRPr="00B430EE">
        <w:rPr>
          <w:lang w:val="es-ES"/>
        </w:rPr>
        <w:t xml:space="preserve"> para los países que operan al amparo del artículo 5 del grupo 2) del punto de partida o, como alternativa, no se deduce la “prórroga” de reducción y se financian únicamente las actividades de eliminación necesarias para lograr el cumplimiento. En ese caso, no obstante, el punto de </w:t>
      </w:r>
      <w:r w:rsidRPr="00B430EE">
        <w:rPr>
          <w:lang w:val="es-ES"/>
        </w:rPr>
        <w:lastRenderedPageBreak/>
        <w:t xml:space="preserve">partida no representaría el monto de financiación máximo, dado que se financiaría la eliminación de solo una parte de ese punto de partida. </w:t>
      </w:r>
    </w:p>
    <w:p w:rsidR="00B802C6" w:rsidRPr="00B430EE" w:rsidRDefault="00B802C6" w:rsidP="00B802C6">
      <w:pPr>
        <w:rPr>
          <w:b/>
          <w:lang w:val="es-ES"/>
        </w:rPr>
      </w:pPr>
      <w:r w:rsidRPr="00B430EE">
        <w:rPr>
          <w:b/>
          <w:lang w:val="es-ES"/>
        </w:rPr>
        <w:t>Puntos de partida basados solamente en HFC puros o en HFC puros y mezclas de HFC</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De los 17 HFC incluidos en el grupo I del anexo F, ocho son los que más comúnmente se consumen en los países que operan al amparo del artículo 5 (a saber, HFC-134a, HFC-152a, HFC-32, HFC-125, HFC-143a, HFC</w:t>
      </w:r>
      <w:r w:rsidRPr="00B430EE">
        <w:rPr>
          <w:lang w:val="es-ES"/>
        </w:rPr>
        <w:noBreakHyphen/>
        <w:t>245fa, HFC-365mfc y HFC-227ea) como una sustancia pura o contenidos en mezclas de HFC que contienen cantidades precisas de dos o más sustancias (HFC-32, HFC-125, HFC-134a y/o HFC</w:t>
      </w:r>
      <w:r w:rsidRPr="00B430EE">
        <w:rPr>
          <w:lang w:val="es-ES"/>
        </w:rPr>
        <w:noBreakHyphen/>
        <w:t xml:space="preserve">143a). </w:t>
      </w:r>
    </w:p>
    <w:p w:rsidR="00B802C6" w:rsidRPr="00B430EE" w:rsidRDefault="00B802C6" w:rsidP="00B802C6">
      <w:pPr>
        <w:pStyle w:val="Heading1"/>
        <w:rPr>
          <w:lang w:val="es-ES"/>
        </w:rPr>
      </w:pPr>
      <w:r w:rsidRPr="00B430EE">
        <w:rPr>
          <w:lang w:val="es-ES"/>
        </w:rPr>
        <w:t xml:space="preserve">El cumplimiento del Protocolo de Montreal se evaluará en función del consumo notificado de sustancias del anexo F. En el Cuadro 7 se muestra la composición de las 520 909 tm de HFC relacionadas con el nivel básico de HFC estimado, por HFC incluido en el grupo I del anexo F. </w:t>
      </w:r>
    </w:p>
    <w:p w:rsidR="00B802C6" w:rsidRPr="00B430EE" w:rsidRDefault="00B802C6" w:rsidP="00B802C6">
      <w:pPr>
        <w:keepNext/>
        <w:rPr>
          <w:b/>
          <w:sz w:val="20"/>
          <w:szCs w:val="20"/>
          <w:lang w:val="es-ES"/>
        </w:rPr>
      </w:pPr>
      <w:r w:rsidRPr="00B430EE">
        <w:rPr>
          <w:b/>
          <w:sz w:val="20"/>
          <w:szCs w:val="20"/>
          <w:lang w:val="es-ES"/>
        </w:rPr>
        <w:t>Cuadro 7. Composición del componente de HFC del nivel básico por sustancia indicado en el grupo I del anexo F</w:t>
      </w:r>
    </w:p>
    <w:tbl>
      <w:tblPr>
        <w:tblW w:w="9355" w:type="dxa"/>
        <w:jc w:val="center"/>
        <w:tblLayout w:type="fixed"/>
        <w:tblLook w:val="04A0" w:firstRow="1" w:lastRow="0" w:firstColumn="1" w:lastColumn="0" w:noHBand="0" w:noVBand="1"/>
      </w:tblPr>
      <w:tblGrid>
        <w:gridCol w:w="1364"/>
        <w:gridCol w:w="960"/>
        <w:gridCol w:w="960"/>
        <w:gridCol w:w="961"/>
        <w:gridCol w:w="960"/>
        <w:gridCol w:w="961"/>
        <w:gridCol w:w="960"/>
        <w:gridCol w:w="961"/>
        <w:gridCol w:w="1268"/>
      </w:tblGrid>
      <w:tr w:rsidR="00B802C6" w:rsidRPr="0062383B" w:rsidTr="005F5535">
        <w:trPr>
          <w:tblHeader/>
          <w:jc w:val="center"/>
        </w:trPr>
        <w:tc>
          <w:tcPr>
            <w:tcW w:w="1364" w:type="dxa"/>
            <w:tcBorders>
              <w:top w:val="single" w:sz="4" w:space="0" w:color="auto"/>
              <w:left w:val="single" w:sz="4" w:space="0" w:color="auto"/>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center"/>
              <w:rPr>
                <w:b/>
                <w:bCs/>
                <w:color w:val="000000"/>
                <w:sz w:val="19"/>
                <w:szCs w:val="19"/>
              </w:rPr>
            </w:pPr>
            <w:r>
              <w:rPr>
                <w:b/>
                <w:bCs/>
                <w:color w:val="000000"/>
                <w:sz w:val="19"/>
                <w:szCs w:val="19"/>
              </w:rPr>
              <w:t>HFC/Mezcla de HFC</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HFC-134a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HFC-32</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HFC-125</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HFC-143a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HFC-152a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HFC-245fa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19"/>
                <w:szCs w:val="19"/>
              </w:rPr>
            </w:pPr>
            <w:r>
              <w:rPr>
                <w:b/>
                <w:bCs/>
                <w:color w:val="000000"/>
                <w:sz w:val="19"/>
                <w:szCs w:val="19"/>
              </w:rPr>
              <w:t>--365mfc/</w:t>
            </w:r>
          </w:p>
          <w:p w:rsidR="00B802C6" w:rsidRPr="0062383B" w:rsidRDefault="00B802C6" w:rsidP="00B802C6">
            <w:pPr>
              <w:jc w:val="center"/>
              <w:rPr>
                <w:b/>
                <w:bCs/>
                <w:color w:val="000000"/>
                <w:sz w:val="19"/>
                <w:szCs w:val="19"/>
              </w:rPr>
            </w:pPr>
            <w:r>
              <w:rPr>
                <w:b/>
                <w:bCs/>
                <w:color w:val="000000"/>
                <w:sz w:val="19"/>
                <w:szCs w:val="19"/>
              </w:rPr>
              <w:t>-227ea</w:t>
            </w:r>
          </w:p>
        </w:tc>
        <w:tc>
          <w:tcPr>
            <w:tcW w:w="1268" w:type="dxa"/>
            <w:tcBorders>
              <w:top w:val="single" w:sz="4" w:space="0" w:color="auto"/>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center"/>
              <w:rPr>
                <w:b/>
                <w:bCs/>
                <w:color w:val="000000"/>
                <w:sz w:val="19"/>
                <w:szCs w:val="19"/>
              </w:rPr>
            </w:pPr>
            <w:r>
              <w:rPr>
                <w:b/>
                <w:bCs/>
                <w:color w:val="000000"/>
                <w:sz w:val="19"/>
                <w:szCs w:val="19"/>
              </w:rPr>
              <w:t>Nivel básico</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b/>
                <w:bCs/>
                <w:color w:val="000000"/>
                <w:sz w:val="19"/>
                <w:szCs w:val="19"/>
              </w:rPr>
            </w:pPr>
            <w:r>
              <w:rPr>
                <w:b/>
                <w:bCs/>
                <w:color w:val="000000"/>
                <w:sz w:val="19"/>
                <w:szCs w:val="19"/>
              </w:rPr>
              <w:t>Toneladas métricas</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lang w:val="en-CA" w:eastAsia="en-CA"/>
              </w:rPr>
            </w:pP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112</w:t>
            </w:r>
            <w:r w:rsidR="003E0D64">
              <w:rPr>
                <w:color w:val="000000"/>
                <w:sz w:val="19"/>
                <w:szCs w:val="19"/>
              </w:rPr>
              <w:t> </w:t>
            </w:r>
            <w:r>
              <w:rPr>
                <w:color w:val="000000"/>
                <w:sz w:val="19"/>
                <w:szCs w:val="19"/>
              </w:rPr>
              <w:t>718</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112</w:t>
            </w:r>
            <w:r w:rsidR="003E0D64">
              <w:rPr>
                <w:color w:val="000000"/>
                <w:sz w:val="19"/>
                <w:szCs w:val="19"/>
              </w:rPr>
              <w:t> </w:t>
            </w:r>
            <w:r>
              <w:rPr>
                <w:color w:val="000000"/>
                <w:sz w:val="19"/>
                <w:szCs w:val="19"/>
              </w:rPr>
              <w:t>718</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104</w:t>
            </w:r>
            <w:r w:rsidR="003E0D64">
              <w:rPr>
                <w:color w:val="000000"/>
                <w:sz w:val="19"/>
                <w:szCs w:val="19"/>
              </w:rPr>
              <w:t> </w:t>
            </w:r>
            <w:r>
              <w:rPr>
                <w:color w:val="000000"/>
                <w:sz w:val="19"/>
                <w:szCs w:val="19"/>
              </w:rPr>
              <w:t>413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104</w:t>
            </w:r>
            <w:r w:rsidR="003E0D64">
              <w:rPr>
                <w:color w:val="000000"/>
                <w:sz w:val="19"/>
                <w:szCs w:val="19"/>
              </w:rPr>
              <w:t> </w:t>
            </w:r>
            <w:r>
              <w:rPr>
                <w:color w:val="000000"/>
                <w:sz w:val="19"/>
                <w:szCs w:val="19"/>
              </w:rPr>
              <w:t>413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208</w:t>
            </w:r>
            <w:r w:rsidR="003E0D64">
              <w:rPr>
                <w:color w:val="000000"/>
                <w:sz w:val="19"/>
                <w:szCs w:val="19"/>
              </w:rPr>
              <w:t> </w:t>
            </w:r>
            <w:r>
              <w:rPr>
                <w:color w:val="000000"/>
                <w:sz w:val="19"/>
                <w:szCs w:val="19"/>
              </w:rPr>
              <w:t>825</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58</w:t>
            </w:r>
            <w:r w:rsidR="003E0D64">
              <w:rPr>
                <w:color w:val="000000"/>
                <w:sz w:val="19"/>
                <w:szCs w:val="19"/>
              </w:rPr>
              <w:t> </w:t>
            </w:r>
            <w:r>
              <w:rPr>
                <w:color w:val="000000"/>
                <w:sz w:val="19"/>
                <w:szCs w:val="19"/>
              </w:rPr>
              <w:t>917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26</w:t>
            </w:r>
            <w:r w:rsidR="003E0D64">
              <w:rPr>
                <w:color w:val="000000"/>
                <w:sz w:val="19"/>
                <w:szCs w:val="19"/>
              </w:rPr>
              <w:t> </w:t>
            </w:r>
            <w:r>
              <w:rPr>
                <w:color w:val="000000"/>
                <w:sz w:val="19"/>
                <w:szCs w:val="19"/>
              </w:rPr>
              <w:t>060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28</w:t>
            </w:r>
            <w:r w:rsidR="003E0D64">
              <w:rPr>
                <w:color w:val="000000"/>
                <w:sz w:val="19"/>
                <w:szCs w:val="19"/>
              </w:rPr>
              <w:t> </w:t>
            </w:r>
            <w:r>
              <w:rPr>
                <w:color w:val="000000"/>
                <w:sz w:val="19"/>
                <w:szCs w:val="19"/>
              </w:rPr>
              <w:t>326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113</w:t>
            </w:r>
            <w:r w:rsidR="003E0D64">
              <w:rPr>
                <w:color w:val="000000"/>
                <w:sz w:val="19"/>
                <w:szCs w:val="19"/>
              </w:rPr>
              <w:t> </w:t>
            </w:r>
            <w:r>
              <w:rPr>
                <w:color w:val="000000"/>
                <w:sz w:val="19"/>
                <w:szCs w:val="19"/>
              </w:rPr>
              <w:t>302</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w:t>
            </w:r>
            <w:r w:rsidR="003E0D64">
              <w:rPr>
                <w:color w:val="000000"/>
                <w:sz w:val="19"/>
                <w:szCs w:val="19"/>
              </w:rPr>
              <w:t> </w:t>
            </w:r>
            <w:r>
              <w:rPr>
                <w:color w:val="000000"/>
                <w:sz w:val="19"/>
                <w:szCs w:val="19"/>
              </w:rPr>
              <w:t>437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15</w:t>
            </w:r>
            <w:r w:rsidR="003E0D64">
              <w:rPr>
                <w:color w:val="000000"/>
                <w:sz w:val="19"/>
                <w:szCs w:val="19"/>
              </w:rPr>
              <w:t> </w:t>
            </w:r>
            <w:r>
              <w:rPr>
                <w:color w:val="000000"/>
                <w:sz w:val="19"/>
                <w:szCs w:val="19"/>
              </w:rPr>
              <w:t>804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18</w:t>
            </w:r>
            <w:r w:rsidR="003E0D64">
              <w:rPr>
                <w:color w:val="000000"/>
                <w:sz w:val="19"/>
                <w:szCs w:val="19"/>
              </w:rPr>
              <w:t> </w:t>
            </w:r>
            <w:r>
              <w:rPr>
                <w:color w:val="000000"/>
                <w:sz w:val="19"/>
                <w:szCs w:val="19"/>
              </w:rPr>
              <w:t>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35</w:t>
            </w:r>
            <w:r w:rsidR="003E0D64">
              <w:rPr>
                <w:color w:val="000000"/>
                <w:sz w:val="19"/>
                <w:szCs w:val="19"/>
              </w:rPr>
              <w:t> </w:t>
            </w:r>
            <w:r>
              <w:rPr>
                <w:color w:val="000000"/>
                <w:sz w:val="19"/>
                <w:szCs w:val="19"/>
              </w:rPr>
              <w:t>918</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17</w:t>
            </w:r>
            <w:r w:rsidR="003E0D64">
              <w:rPr>
                <w:color w:val="000000"/>
                <w:sz w:val="19"/>
                <w:szCs w:val="19"/>
              </w:rPr>
              <w:t> </w:t>
            </w:r>
            <w:r>
              <w:rPr>
                <w:color w:val="000000"/>
                <w:sz w:val="19"/>
                <w:szCs w:val="19"/>
              </w:rPr>
              <w:t>959</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17</w:t>
            </w:r>
            <w:r w:rsidR="003E0D64">
              <w:rPr>
                <w:color w:val="000000"/>
                <w:sz w:val="19"/>
                <w:szCs w:val="19"/>
              </w:rPr>
              <w:t> </w:t>
            </w:r>
            <w:r>
              <w:rPr>
                <w:color w:val="000000"/>
                <w:sz w:val="19"/>
                <w:szCs w:val="19"/>
              </w:rPr>
              <w:t>959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35</w:t>
            </w:r>
            <w:r w:rsidR="003E0D64">
              <w:rPr>
                <w:color w:val="000000"/>
                <w:sz w:val="19"/>
                <w:szCs w:val="19"/>
              </w:rPr>
              <w:t> </w:t>
            </w:r>
            <w:r>
              <w:rPr>
                <w:color w:val="000000"/>
                <w:sz w:val="19"/>
                <w:szCs w:val="19"/>
              </w:rPr>
              <w:t>918</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6</w:t>
            </w:r>
            <w:r w:rsidR="003E0D64">
              <w:rPr>
                <w:color w:val="000000"/>
                <w:sz w:val="19"/>
                <w:szCs w:val="19"/>
              </w:rPr>
              <w:t> </w:t>
            </w:r>
            <w:r>
              <w:rPr>
                <w:color w:val="000000"/>
                <w:sz w:val="19"/>
                <w:szCs w:val="19"/>
              </w:rPr>
              <w:t>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6</w:t>
            </w:r>
            <w:r w:rsidR="003E0D64">
              <w:rPr>
                <w:color w:val="000000"/>
                <w:sz w:val="19"/>
                <w:szCs w:val="19"/>
              </w:rPr>
              <w:t> </w:t>
            </w:r>
            <w:r>
              <w:rPr>
                <w:color w:val="000000"/>
                <w:sz w:val="19"/>
                <w:szCs w:val="19"/>
              </w:rPr>
              <w:t>546</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050</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3</w:t>
            </w:r>
            <w:r w:rsidR="003E0D64">
              <w:rPr>
                <w:color w:val="000000"/>
                <w:sz w:val="19"/>
                <w:szCs w:val="19"/>
              </w:rPr>
              <w:t> </w:t>
            </w:r>
            <w:r>
              <w:rPr>
                <w:color w:val="000000"/>
                <w:sz w:val="19"/>
                <w:szCs w:val="19"/>
              </w:rPr>
              <w:t>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3</w:t>
            </w:r>
            <w:r w:rsidR="003E0D64">
              <w:rPr>
                <w:color w:val="000000"/>
                <w:sz w:val="19"/>
                <w:szCs w:val="19"/>
              </w:rPr>
              <w:t> </w:t>
            </w:r>
            <w:r>
              <w:rPr>
                <w:color w:val="000000"/>
                <w:sz w:val="19"/>
                <w:szCs w:val="19"/>
              </w:rPr>
              <w:t>631</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Total (tm)</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173</w:t>
            </w:r>
            <w:r w:rsidR="003E0D64">
              <w:rPr>
                <w:color w:val="000000"/>
                <w:sz w:val="19"/>
                <w:szCs w:val="19"/>
              </w:rPr>
              <w:t> </w:t>
            </w:r>
            <w:r>
              <w:rPr>
                <w:color w:val="000000"/>
                <w:sz w:val="19"/>
                <w:szCs w:val="19"/>
              </w:rPr>
              <w:t>072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130</w:t>
            </w:r>
            <w:r w:rsidR="003E0D64">
              <w:rPr>
                <w:color w:val="000000"/>
                <w:sz w:val="19"/>
                <w:szCs w:val="19"/>
              </w:rPr>
              <w:t> </w:t>
            </w:r>
            <w:r>
              <w:rPr>
                <w:color w:val="000000"/>
                <w:sz w:val="19"/>
                <w:szCs w:val="19"/>
              </w:rPr>
              <w:t>472</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166</w:t>
            </w:r>
            <w:r w:rsidR="003E0D64">
              <w:rPr>
                <w:color w:val="000000"/>
                <w:sz w:val="19"/>
                <w:szCs w:val="19"/>
              </w:rPr>
              <w:t> </w:t>
            </w:r>
            <w:r>
              <w:rPr>
                <w:color w:val="000000"/>
                <w:sz w:val="19"/>
                <w:szCs w:val="19"/>
              </w:rPr>
              <w:t>502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36</w:t>
            </w:r>
            <w:r w:rsidR="003E0D64">
              <w:rPr>
                <w:color w:val="000000"/>
                <w:sz w:val="19"/>
                <w:szCs w:val="19"/>
              </w:rPr>
              <w:t> </w:t>
            </w:r>
            <w:r>
              <w:rPr>
                <w:color w:val="000000"/>
                <w:sz w:val="19"/>
                <w:szCs w:val="19"/>
              </w:rPr>
              <w:t>637</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6</w:t>
            </w:r>
            <w:r w:rsidR="003E0D64">
              <w:rPr>
                <w:color w:val="000000"/>
                <w:sz w:val="19"/>
                <w:szCs w:val="19"/>
              </w:rPr>
              <w:t> </w:t>
            </w:r>
            <w:r>
              <w:rPr>
                <w:color w:val="000000"/>
                <w:sz w:val="19"/>
                <w:szCs w:val="19"/>
              </w:rPr>
              <w:t>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3</w:t>
            </w:r>
            <w:r w:rsidR="003E0D64">
              <w:rPr>
                <w:color w:val="000000"/>
                <w:sz w:val="19"/>
                <w:szCs w:val="19"/>
              </w:rPr>
              <w:t> </w:t>
            </w:r>
            <w:r>
              <w:rPr>
                <w:color w:val="000000"/>
                <w:sz w:val="19"/>
                <w:szCs w:val="19"/>
              </w:rPr>
              <w:t>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520</w:t>
            </w:r>
            <w:r w:rsidR="003E0D64">
              <w:rPr>
                <w:color w:val="000000"/>
                <w:sz w:val="19"/>
                <w:szCs w:val="19"/>
              </w:rPr>
              <w:t> </w:t>
            </w:r>
            <w:r>
              <w:rPr>
                <w:color w:val="000000"/>
                <w:sz w:val="19"/>
                <w:szCs w:val="19"/>
              </w:rPr>
              <w:t>909</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b/>
                <w:bCs/>
                <w:color w:val="000000"/>
                <w:sz w:val="19"/>
                <w:szCs w:val="19"/>
              </w:rPr>
            </w:pPr>
            <w:r>
              <w:rPr>
                <w:b/>
                <w:bCs/>
                <w:color w:val="000000"/>
                <w:sz w:val="19"/>
                <w:szCs w:val="19"/>
              </w:rPr>
              <w:t>Total equivalentes de CO</w:t>
            </w:r>
            <w:r>
              <w:rPr>
                <w:b/>
                <w:bCs/>
                <w:color w:val="000000"/>
                <w:sz w:val="19"/>
                <w:szCs w:val="19"/>
                <w:vertAlign w:val="subscript"/>
              </w:rPr>
              <w:t>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lang w:val="en-CA" w:eastAsia="en-CA"/>
              </w:rPr>
            </w:pP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161</w:t>
            </w:r>
            <w:r w:rsidR="003E0D64">
              <w:rPr>
                <w:color w:val="000000"/>
                <w:sz w:val="19"/>
                <w:szCs w:val="19"/>
              </w:rPr>
              <w:t> </w:t>
            </w:r>
            <w:r>
              <w:rPr>
                <w:color w:val="000000"/>
                <w:sz w:val="19"/>
                <w:szCs w:val="19"/>
              </w:rPr>
              <w:t>186</w:t>
            </w:r>
            <w:r w:rsidR="003E0D64">
              <w:rPr>
                <w:color w:val="000000"/>
                <w:sz w:val="19"/>
                <w:szCs w:val="19"/>
              </w:rPr>
              <w:t> </w:t>
            </w:r>
            <w:r>
              <w:rPr>
                <w:color w:val="000000"/>
                <w:sz w:val="19"/>
                <w:szCs w:val="19"/>
              </w:rPr>
              <w:t>507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161</w:t>
            </w:r>
            <w:r w:rsidR="003E0D64">
              <w:rPr>
                <w:color w:val="000000"/>
                <w:sz w:val="19"/>
                <w:szCs w:val="19"/>
              </w:rPr>
              <w:t> </w:t>
            </w:r>
            <w:r>
              <w:rPr>
                <w:color w:val="000000"/>
                <w:sz w:val="19"/>
                <w:szCs w:val="19"/>
              </w:rPr>
              <w:t>186</w:t>
            </w:r>
            <w:r w:rsidR="003E0D64">
              <w:rPr>
                <w:color w:val="000000"/>
                <w:sz w:val="19"/>
                <w:szCs w:val="19"/>
              </w:rPr>
              <w:t> </w:t>
            </w:r>
            <w:r>
              <w:rPr>
                <w:color w:val="000000"/>
                <w:sz w:val="19"/>
                <w:szCs w:val="19"/>
              </w:rPr>
              <w:t>507</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70</w:t>
            </w:r>
            <w:r w:rsidR="003E0D64">
              <w:rPr>
                <w:color w:val="000000"/>
                <w:sz w:val="19"/>
                <w:szCs w:val="19"/>
              </w:rPr>
              <w:t> </w:t>
            </w:r>
            <w:r>
              <w:rPr>
                <w:color w:val="000000"/>
                <w:sz w:val="19"/>
                <w:szCs w:val="19"/>
              </w:rPr>
              <w:t>478</w:t>
            </w:r>
            <w:r w:rsidR="003E0D64">
              <w:rPr>
                <w:color w:val="000000"/>
                <w:sz w:val="19"/>
                <w:szCs w:val="19"/>
              </w:rPr>
              <w:t> </w:t>
            </w:r>
            <w:r>
              <w:rPr>
                <w:color w:val="000000"/>
                <w:sz w:val="19"/>
                <w:szCs w:val="19"/>
              </w:rPr>
              <w:t>569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365</w:t>
            </w:r>
            <w:r w:rsidR="003E0D64">
              <w:rPr>
                <w:color w:val="000000"/>
                <w:sz w:val="19"/>
                <w:szCs w:val="19"/>
              </w:rPr>
              <w:t> </w:t>
            </w:r>
            <w:r>
              <w:rPr>
                <w:color w:val="000000"/>
                <w:sz w:val="19"/>
                <w:szCs w:val="19"/>
              </w:rPr>
              <w:t>444</w:t>
            </w:r>
            <w:r w:rsidR="003E0D64">
              <w:rPr>
                <w:color w:val="000000"/>
                <w:sz w:val="19"/>
                <w:szCs w:val="19"/>
              </w:rPr>
              <w:t> </w:t>
            </w:r>
            <w:r>
              <w:rPr>
                <w:color w:val="000000"/>
                <w:sz w:val="19"/>
                <w:szCs w:val="19"/>
              </w:rPr>
              <w:t>430</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435</w:t>
            </w:r>
            <w:r w:rsidR="003E0D64">
              <w:rPr>
                <w:color w:val="000000"/>
                <w:sz w:val="19"/>
                <w:szCs w:val="19"/>
              </w:rPr>
              <w:t> </w:t>
            </w:r>
            <w:r>
              <w:rPr>
                <w:color w:val="000000"/>
                <w:sz w:val="19"/>
                <w:szCs w:val="19"/>
              </w:rPr>
              <w:t>922</w:t>
            </w:r>
            <w:r w:rsidR="003E0D64">
              <w:rPr>
                <w:color w:val="000000"/>
                <w:sz w:val="19"/>
                <w:szCs w:val="19"/>
              </w:rPr>
              <w:t> </w:t>
            </w:r>
            <w:r>
              <w:rPr>
                <w:color w:val="000000"/>
                <w:sz w:val="19"/>
                <w:szCs w:val="19"/>
              </w:rPr>
              <w:t>999</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84</w:t>
            </w:r>
            <w:r w:rsidR="003E0D64">
              <w:rPr>
                <w:color w:val="000000"/>
                <w:sz w:val="19"/>
                <w:szCs w:val="19"/>
              </w:rPr>
              <w:t> </w:t>
            </w:r>
            <w:r>
              <w:rPr>
                <w:color w:val="000000"/>
                <w:sz w:val="19"/>
                <w:szCs w:val="19"/>
              </w:rPr>
              <w:t>251</w:t>
            </w:r>
            <w:r w:rsidR="003E0D64">
              <w:rPr>
                <w:color w:val="000000"/>
                <w:sz w:val="19"/>
                <w:szCs w:val="19"/>
              </w:rPr>
              <w:t> </w:t>
            </w:r>
            <w:r>
              <w:rPr>
                <w:color w:val="000000"/>
                <w:sz w:val="19"/>
                <w:szCs w:val="19"/>
              </w:rPr>
              <w:t>606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17</w:t>
            </w:r>
            <w:r w:rsidR="003E0D64">
              <w:rPr>
                <w:color w:val="000000"/>
                <w:sz w:val="19"/>
                <w:szCs w:val="19"/>
              </w:rPr>
              <w:t> </w:t>
            </w:r>
            <w:r>
              <w:rPr>
                <w:color w:val="000000"/>
                <w:sz w:val="19"/>
                <w:szCs w:val="19"/>
              </w:rPr>
              <w:t>590</w:t>
            </w:r>
            <w:r w:rsidR="003E0D64">
              <w:rPr>
                <w:color w:val="000000"/>
                <w:sz w:val="19"/>
                <w:szCs w:val="19"/>
              </w:rPr>
              <w:t> </w:t>
            </w:r>
            <w:r>
              <w:rPr>
                <w:color w:val="000000"/>
                <w:sz w:val="19"/>
                <w:szCs w:val="19"/>
              </w:rPr>
              <w:t>185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99</w:t>
            </w:r>
            <w:r w:rsidR="003E0D64">
              <w:rPr>
                <w:color w:val="000000"/>
                <w:sz w:val="19"/>
                <w:szCs w:val="19"/>
              </w:rPr>
              <w:t> </w:t>
            </w:r>
            <w:r>
              <w:rPr>
                <w:color w:val="000000"/>
                <w:sz w:val="19"/>
                <w:szCs w:val="19"/>
              </w:rPr>
              <w:t>139</w:t>
            </w:r>
            <w:r w:rsidR="003E0D64">
              <w:rPr>
                <w:color w:val="000000"/>
                <w:sz w:val="19"/>
                <w:szCs w:val="19"/>
              </w:rPr>
              <w:t> </w:t>
            </w:r>
            <w:r>
              <w:rPr>
                <w:color w:val="000000"/>
                <w:sz w:val="19"/>
                <w:szCs w:val="19"/>
              </w:rPr>
              <w:t>531</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200</w:t>
            </w:r>
            <w:r w:rsidR="003E0D64">
              <w:rPr>
                <w:color w:val="000000"/>
                <w:sz w:val="19"/>
                <w:szCs w:val="19"/>
              </w:rPr>
              <w:t> </w:t>
            </w:r>
            <w:r>
              <w:rPr>
                <w:color w:val="000000"/>
                <w:sz w:val="19"/>
                <w:szCs w:val="19"/>
              </w:rPr>
              <w:t>981</w:t>
            </w:r>
            <w:r w:rsidR="003E0D64">
              <w:rPr>
                <w:color w:val="000000"/>
                <w:sz w:val="19"/>
                <w:szCs w:val="19"/>
              </w:rPr>
              <w:t> </w:t>
            </w:r>
            <w:r>
              <w:rPr>
                <w:color w:val="000000"/>
                <w:sz w:val="19"/>
                <w:szCs w:val="19"/>
              </w:rPr>
              <w:t>323</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2</w:t>
            </w:r>
            <w:r w:rsidR="003E0D64">
              <w:rPr>
                <w:color w:val="000000"/>
                <w:sz w:val="19"/>
                <w:szCs w:val="19"/>
              </w:rPr>
              <w:t> </w:t>
            </w:r>
            <w:r>
              <w:rPr>
                <w:color w:val="000000"/>
                <w:sz w:val="19"/>
                <w:szCs w:val="19"/>
              </w:rPr>
              <w:t>054</w:t>
            </w:r>
            <w:r w:rsidR="003E0D64">
              <w:rPr>
                <w:color w:val="000000"/>
                <w:sz w:val="19"/>
                <w:szCs w:val="19"/>
              </w:rPr>
              <w:t> </w:t>
            </w:r>
            <w:r>
              <w:rPr>
                <w:color w:val="000000"/>
                <w:sz w:val="19"/>
                <w:szCs w:val="19"/>
              </w:rPr>
              <w:t>534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55</w:t>
            </w:r>
            <w:r w:rsidR="003E0D64">
              <w:rPr>
                <w:color w:val="000000"/>
                <w:sz w:val="19"/>
                <w:szCs w:val="19"/>
              </w:rPr>
              <w:t> </w:t>
            </w:r>
            <w:r>
              <w:rPr>
                <w:color w:val="000000"/>
                <w:sz w:val="19"/>
                <w:szCs w:val="19"/>
              </w:rPr>
              <w:t>314</w:t>
            </w:r>
            <w:r w:rsidR="003E0D64">
              <w:rPr>
                <w:color w:val="000000"/>
                <w:sz w:val="19"/>
                <w:szCs w:val="19"/>
              </w:rPr>
              <w:t> </w:t>
            </w:r>
            <w:r>
              <w:rPr>
                <w:color w:val="000000"/>
                <w:sz w:val="19"/>
                <w:szCs w:val="19"/>
              </w:rPr>
              <w:t>373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83</w:t>
            </w:r>
            <w:r w:rsidR="003E0D64">
              <w:rPr>
                <w:color w:val="000000"/>
                <w:sz w:val="19"/>
                <w:szCs w:val="19"/>
              </w:rPr>
              <w:t> </w:t>
            </w:r>
            <w:r>
              <w:rPr>
                <w:color w:val="000000"/>
                <w:sz w:val="19"/>
                <w:szCs w:val="19"/>
              </w:rPr>
              <w:t>488</w:t>
            </w:r>
            <w:r w:rsidR="003E0D64">
              <w:rPr>
                <w:color w:val="000000"/>
                <w:sz w:val="19"/>
                <w:szCs w:val="19"/>
              </w:rPr>
              <w:t> </w:t>
            </w:r>
            <w:r>
              <w:rPr>
                <w:color w:val="000000"/>
                <w:sz w:val="19"/>
                <w:szCs w:val="19"/>
              </w:rPr>
              <w:t>785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140</w:t>
            </w:r>
            <w:r w:rsidR="003E0D64">
              <w:rPr>
                <w:color w:val="000000"/>
                <w:sz w:val="19"/>
                <w:szCs w:val="19"/>
              </w:rPr>
              <w:t> </w:t>
            </w:r>
            <w:r>
              <w:rPr>
                <w:color w:val="000000"/>
                <w:sz w:val="19"/>
                <w:szCs w:val="19"/>
              </w:rPr>
              <w:t>857</w:t>
            </w:r>
            <w:r w:rsidR="003E0D64">
              <w:rPr>
                <w:color w:val="000000"/>
                <w:sz w:val="19"/>
                <w:szCs w:val="19"/>
              </w:rPr>
              <w:t> </w:t>
            </w:r>
            <w:r>
              <w:rPr>
                <w:color w:val="000000"/>
                <w:sz w:val="19"/>
                <w:szCs w:val="19"/>
              </w:rPr>
              <w:t>692</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62</w:t>
            </w:r>
            <w:r w:rsidR="003E0D64">
              <w:rPr>
                <w:color w:val="000000"/>
                <w:sz w:val="19"/>
                <w:szCs w:val="19"/>
              </w:rPr>
              <w:t> </w:t>
            </w:r>
            <w:r>
              <w:rPr>
                <w:color w:val="000000"/>
                <w:sz w:val="19"/>
                <w:szCs w:val="19"/>
              </w:rPr>
              <w:t>857</w:t>
            </w:r>
            <w:r w:rsidR="003E0D64">
              <w:rPr>
                <w:color w:val="000000"/>
                <w:sz w:val="19"/>
                <w:szCs w:val="19"/>
              </w:rPr>
              <w:t> </w:t>
            </w:r>
            <w:r>
              <w:rPr>
                <w:color w:val="000000"/>
                <w:sz w:val="19"/>
                <w:szCs w:val="19"/>
              </w:rPr>
              <w:t>242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80</w:t>
            </w:r>
            <w:r w:rsidR="003E0D64">
              <w:rPr>
                <w:color w:val="000000"/>
                <w:sz w:val="19"/>
                <w:szCs w:val="19"/>
              </w:rPr>
              <w:t> </w:t>
            </w:r>
            <w:r>
              <w:rPr>
                <w:color w:val="000000"/>
                <w:sz w:val="19"/>
                <w:szCs w:val="19"/>
              </w:rPr>
              <w:t>277</w:t>
            </w:r>
            <w:r w:rsidR="003E0D64">
              <w:rPr>
                <w:color w:val="000000"/>
                <w:sz w:val="19"/>
                <w:szCs w:val="19"/>
              </w:rPr>
              <w:t> </w:t>
            </w:r>
            <w:r>
              <w:rPr>
                <w:color w:val="000000"/>
                <w:sz w:val="19"/>
                <w:szCs w:val="19"/>
              </w:rPr>
              <w:t>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143</w:t>
            </w:r>
            <w:r w:rsidR="003E0D64">
              <w:rPr>
                <w:color w:val="000000"/>
                <w:sz w:val="19"/>
                <w:szCs w:val="19"/>
              </w:rPr>
              <w:t> </w:t>
            </w:r>
            <w:r>
              <w:rPr>
                <w:color w:val="000000"/>
                <w:sz w:val="19"/>
                <w:szCs w:val="19"/>
              </w:rPr>
              <w:t>134</w:t>
            </w:r>
            <w:r w:rsidR="003E0D64">
              <w:rPr>
                <w:color w:val="000000"/>
                <w:sz w:val="19"/>
                <w:szCs w:val="19"/>
              </w:rPr>
              <w:t> </w:t>
            </w:r>
            <w:r>
              <w:rPr>
                <w:color w:val="000000"/>
                <w:sz w:val="19"/>
                <w:szCs w:val="19"/>
              </w:rPr>
              <w:t>920</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811</w:t>
            </w:r>
            <w:r w:rsidR="003E0D64">
              <w:rPr>
                <w:color w:val="000000"/>
                <w:sz w:val="19"/>
                <w:szCs w:val="19"/>
              </w:rPr>
              <w:t> </w:t>
            </w:r>
            <w:r>
              <w:rPr>
                <w:color w:val="000000"/>
                <w:sz w:val="19"/>
                <w:szCs w:val="19"/>
              </w:rPr>
              <w:t>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811</w:t>
            </w:r>
            <w:r w:rsidR="003E0D64">
              <w:rPr>
                <w:color w:val="000000"/>
                <w:sz w:val="19"/>
                <w:szCs w:val="19"/>
              </w:rPr>
              <w:t> </w:t>
            </w:r>
            <w:r>
              <w:rPr>
                <w:color w:val="000000"/>
                <w:sz w:val="19"/>
                <w:szCs w:val="19"/>
              </w:rPr>
              <w:t>756</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171</w:t>
            </w:r>
            <w:r w:rsidR="003E0D64">
              <w:rPr>
                <w:color w:val="000000"/>
                <w:sz w:val="19"/>
                <w:szCs w:val="19"/>
              </w:rPr>
              <w:t> </w:t>
            </w:r>
            <w:r>
              <w:rPr>
                <w:color w:val="000000"/>
                <w:sz w:val="19"/>
                <w:szCs w:val="19"/>
              </w:rPr>
              <w:t>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171</w:t>
            </w:r>
            <w:r w:rsidR="003E0D64">
              <w:rPr>
                <w:color w:val="000000"/>
                <w:sz w:val="19"/>
                <w:szCs w:val="19"/>
              </w:rPr>
              <w:t> </w:t>
            </w:r>
            <w:r>
              <w:rPr>
                <w:color w:val="000000"/>
                <w:sz w:val="19"/>
                <w:szCs w:val="19"/>
              </w:rPr>
              <w:t>070</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026</w:t>
            </w:r>
            <w:r w:rsidR="003E0D64">
              <w:rPr>
                <w:color w:val="000000"/>
                <w:sz w:val="19"/>
                <w:szCs w:val="19"/>
              </w:rPr>
              <w:t> </w:t>
            </w:r>
            <w:r>
              <w:rPr>
                <w:color w:val="000000"/>
                <w:sz w:val="19"/>
                <w:szCs w:val="19"/>
              </w:rPr>
              <w:t>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026</w:t>
            </w:r>
            <w:r w:rsidR="003E0D64">
              <w:rPr>
                <w:color w:val="000000"/>
                <w:sz w:val="19"/>
                <w:szCs w:val="19"/>
              </w:rPr>
              <w:t> </w:t>
            </w:r>
            <w:r>
              <w:rPr>
                <w:color w:val="000000"/>
                <w:sz w:val="19"/>
                <w:szCs w:val="19"/>
              </w:rPr>
              <w:t>779</w:t>
            </w:r>
          </w:p>
        </w:tc>
      </w:tr>
      <w:tr w:rsidR="00B802C6" w:rsidRPr="0062383B" w:rsidTr="005F5535">
        <w:trPr>
          <w:jc w:val="center"/>
        </w:trPr>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B802C6" w:rsidRPr="0062383B" w:rsidRDefault="00B802C6" w:rsidP="00B802C6">
            <w:pPr>
              <w:jc w:val="left"/>
              <w:rPr>
                <w:color w:val="000000"/>
                <w:sz w:val="19"/>
                <w:szCs w:val="19"/>
              </w:rPr>
            </w:pPr>
            <w:r>
              <w:rPr>
                <w:color w:val="000000"/>
                <w:sz w:val="19"/>
                <w:szCs w:val="19"/>
              </w:rPr>
              <w:t>Total equivalentes de CO</w:t>
            </w:r>
            <w:r>
              <w:rPr>
                <w:color w:val="000000"/>
                <w:sz w:val="19"/>
                <w:szCs w:val="19"/>
                <w:vertAlign w:val="subscript"/>
              </w:rPr>
              <w:t>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247</w:t>
            </w:r>
            <w:r w:rsidR="003E0D64">
              <w:rPr>
                <w:color w:val="000000"/>
                <w:sz w:val="19"/>
                <w:szCs w:val="19"/>
              </w:rPr>
              <w:t> </w:t>
            </w:r>
            <w:r>
              <w:rPr>
                <w:color w:val="000000"/>
                <w:sz w:val="19"/>
                <w:szCs w:val="19"/>
              </w:rPr>
              <w:t>492</w:t>
            </w:r>
            <w:r w:rsidR="003E0D64">
              <w:rPr>
                <w:color w:val="000000"/>
                <w:sz w:val="19"/>
                <w:szCs w:val="19"/>
              </w:rPr>
              <w:t> </w:t>
            </w:r>
            <w:r>
              <w:rPr>
                <w:color w:val="000000"/>
                <w:sz w:val="19"/>
                <w:szCs w:val="19"/>
              </w:rPr>
              <w:t>647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88</w:t>
            </w:r>
            <w:r w:rsidR="003E0D64">
              <w:rPr>
                <w:color w:val="000000"/>
                <w:sz w:val="19"/>
                <w:szCs w:val="19"/>
              </w:rPr>
              <w:t> </w:t>
            </w:r>
            <w:r>
              <w:rPr>
                <w:color w:val="000000"/>
                <w:sz w:val="19"/>
                <w:szCs w:val="19"/>
              </w:rPr>
              <w:t>068</w:t>
            </w:r>
            <w:r w:rsidR="003E0D64">
              <w:rPr>
                <w:color w:val="000000"/>
                <w:sz w:val="19"/>
                <w:szCs w:val="19"/>
              </w:rPr>
              <w:t> </w:t>
            </w:r>
            <w:r>
              <w:rPr>
                <w:color w:val="000000"/>
                <w:sz w:val="19"/>
                <w:szCs w:val="19"/>
              </w:rPr>
              <w:t>754</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582</w:t>
            </w:r>
            <w:r w:rsidR="003E0D64">
              <w:rPr>
                <w:color w:val="000000"/>
                <w:sz w:val="19"/>
                <w:szCs w:val="19"/>
              </w:rPr>
              <w:t> </w:t>
            </w:r>
            <w:r>
              <w:rPr>
                <w:color w:val="000000"/>
                <w:sz w:val="19"/>
                <w:szCs w:val="19"/>
              </w:rPr>
              <w:t>755</w:t>
            </w:r>
            <w:r w:rsidR="003E0D64">
              <w:rPr>
                <w:color w:val="000000"/>
                <w:sz w:val="19"/>
                <w:szCs w:val="19"/>
              </w:rPr>
              <w:t> </w:t>
            </w:r>
            <w:r>
              <w:rPr>
                <w:color w:val="000000"/>
                <w:sz w:val="19"/>
                <w:szCs w:val="19"/>
              </w:rPr>
              <w:t>577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163</w:t>
            </w:r>
            <w:r w:rsidR="003E0D64">
              <w:rPr>
                <w:color w:val="000000"/>
                <w:sz w:val="19"/>
                <w:szCs w:val="19"/>
              </w:rPr>
              <w:t> </w:t>
            </w:r>
            <w:r>
              <w:rPr>
                <w:color w:val="000000"/>
                <w:sz w:val="19"/>
                <w:szCs w:val="19"/>
              </w:rPr>
              <w:t>766</w:t>
            </w:r>
            <w:r w:rsidR="003E0D64">
              <w:rPr>
                <w:color w:val="000000"/>
                <w:sz w:val="19"/>
                <w:szCs w:val="19"/>
              </w:rPr>
              <w:t> </w:t>
            </w:r>
            <w:r>
              <w:rPr>
                <w:color w:val="000000"/>
                <w:sz w:val="19"/>
                <w:szCs w:val="19"/>
              </w:rPr>
              <w:t>463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811</w:t>
            </w:r>
            <w:r w:rsidR="003E0D64">
              <w:rPr>
                <w:color w:val="000000"/>
                <w:sz w:val="19"/>
                <w:szCs w:val="19"/>
              </w:rPr>
              <w:t> </w:t>
            </w:r>
            <w:r>
              <w:rPr>
                <w:color w:val="000000"/>
                <w:sz w:val="19"/>
                <w:szCs w:val="19"/>
              </w:rPr>
              <w:t>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171</w:t>
            </w:r>
            <w:r w:rsidR="003E0D64">
              <w:rPr>
                <w:color w:val="000000"/>
                <w:sz w:val="19"/>
                <w:szCs w:val="19"/>
              </w:rPr>
              <w:t> </w:t>
            </w:r>
            <w:r>
              <w:rPr>
                <w:color w:val="000000"/>
                <w:sz w:val="19"/>
                <w:szCs w:val="19"/>
              </w:rPr>
              <w:t>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right"/>
              <w:rPr>
                <w:color w:val="000000"/>
                <w:sz w:val="19"/>
                <w:szCs w:val="19"/>
              </w:rPr>
            </w:pPr>
            <w:r>
              <w:rPr>
                <w:color w:val="000000"/>
                <w:sz w:val="19"/>
                <w:szCs w:val="19"/>
              </w:rPr>
              <w:t>4</w:t>
            </w:r>
            <w:r w:rsidR="003E0D64">
              <w:rPr>
                <w:color w:val="000000"/>
                <w:sz w:val="19"/>
                <w:szCs w:val="19"/>
              </w:rPr>
              <w:t> </w:t>
            </w:r>
            <w:r>
              <w:rPr>
                <w:color w:val="000000"/>
                <w:sz w:val="19"/>
                <w:szCs w:val="19"/>
              </w:rPr>
              <w:t>026</w:t>
            </w:r>
            <w:r w:rsidR="003E0D64">
              <w:rPr>
                <w:color w:val="000000"/>
                <w:sz w:val="19"/>
                <w:szCs w:val="19"/>
              </w:rPr>
              <w:t> </w:t>
            </w:r>
            <w:r>
              <w:rPr>
                <w:color w:val="000000"/>
                <w:sz w:val="19"/>
                <w:szCs w:val="19"/>
              </w:rPr>
              <w:t>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B802C6" w:rsidRPr="0062383B" w:rsidRDefault="00B802C6" w:rsidP="00B802C6">
            <w:pPr>
              <w:jc w:val="right"/>
              <w:rPr>
                <w:color w:val="000000"/>
                <w:sz w:val="19"/>
                <w:szCs w:val="19"/>
              </w:rPr>
            </w:pPr>
            <w:r>
              <w:rPr>
                <w:color w:val="000000"/>
                <w:sz w:val="19"/>
                <w:szCs w:val="19"/>
              </w:rPr>
              <w:t>1</w:t>
            </w:r>
            <w:r w:rsidR="003E0D64">
              <w:rPr>
                <w:color w:val="000000"/>
                <w:sz w:val="19"/>
                <w:szCs w:val="19"/>
              </w:rPr>
              <w:t> </w:t>
            </w:r>
            <w:r>
              <w:rPr>
                <w:color w:val="000000"/>
                <w:sz w:val="19"/>
                <w:szCs w:val="19"/>
              </w:rPr>
              <w:t>091</w:t>
            </w:r>
            <w:r w:rsidR="003E0D64">
              <w:rPr>
                <w:color w:val="000000"/>
                <w:sz w:val="19"/>
                <w:szCs w:val="19"/>
              </w:rPr>
              <w:t> </w:t>
            </w:r>
            <w:r>
              <w:rPr>
                <w:color w:val="000000"/>
                <w:sz w:val="19"/>
                <w:szCs w:val="19"/>
              </w:rPr>
              <w:t>093</w:t>
            </w:r>
            <w:r w:rsidR="003E0D64">
              <w:rPr>
                <w:color w:val="000000"/>
                <w:sz w:val="19"/>
                <w:szCs w:val="19"/>
              </w:rPr>
              <w:t> </w:t>
            </w:r>
            <w:r>
              <w:rPr>
                <w:color w:val="000000"/>
                <w:sz w:val="19"/>
                <w:szCs w:val="19"/>
              </w:rPr>
              <w:t>047*</w:t>
            </w:r>
          </w:p>
        </w:tc>
      </w:tr>
    </w:tbl>
    <w:p w:rsidR="00B802C6" w:rsidRPr="00B430EE" w:rsidRDefault="00B802C6" w:rsidP="00B802C6">
      <w:pPr>
        <w:rPr>
          <w:sz w:val="16"/>
          <w:szCs w:val="16"/>
          <w:lang w:val="es-ES"/>
        </w:rPr>
      </w:pPr>
      <w:r w:rsidRPr="00B430EE">
        <w:rPr>
          <w:sz w:val="16"/>
          <w:szCs w:val="16"/>
          <w:lang w:val="es-ES"/>
        </w:rPr>
        <w:t>* La diferencia entre esta cifra y la cifra de 1 091 111 362 que figura en el Cuadro 5 se debe al redondeo de los valores de PCA de las mezclas de HFC.</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 xml:space="preserve">Si se sigue el mismo enfoque que se siguió con los HCFC, el punto de partida para los HFC debería incluir todos los HFC que se consumen, tanto puros como en mezclas, como si fueran una sustancia pura, y cualquier cantidad que se elimine (sean HFC puros o contenidos en mezclas) se deduciría del punto de partida como una sustancia pura. En ese caso, sería necesario considerar cómo computar el componente de HCFC del punto de partida, si lo hubiera. Asimismo, en el transcurso de la reducción de los HFC, los países que operan al amparo del artículo 5 podrán incorporar HFC con PCA más bajo que no estaban incluidos en sus respectivos puntos de partida. Ese consumo, si cumpliera las condiciones, debería ser financiado por el Fondo Multilateral. Por ejemplo, un enfoque podría ser que los HFC con PCA más bajo que se incorporen durante la reducción de los HFC podrían deducirse del componente de HCFC, que podría ser una única cifra; también se podrían aplicar otros enfoques. </w:t>
      </w:r>
    </w:p>
    <w:p w:rsidR="00B802C6" w:rsidRPr="00B430EE" w:rsidRDefault="00B802C6" w:rsidP="00B802C6">
      <w:pPr>
        <w:pStyle w:val="Heading1"/>
        <w:rPr>
          <w:lang w:val="es-ES"/>
        </w:rPr>
      </w:pPr>
      <w:r w:rsidRPr="00B430EE">
        <w:rPr>
          <w:lang w:val="es-ES"/>
        </w:rPr>
        <w:lastRenderedPageBreak/>
        <w:t xml:space="preserve">Cabe señalar que podrían producirse errores al desglosar las mezclas de HFC en los HFC que las constituyen, especialmente si se notifican incorrectamente las cantidades precisas de cada uno de los componentes de las mezclas. Al planificar las estrategias para la reducción de los HFC, la eliminación de una unidad de una mezcla de HFC debería reflejar la cantidad de cada uno de sus componentes; en caso contrario, la cantidad agregada de los componentes no coincidirá con la cantidad total de la mezcla. Asimismo, podría darse una situación en que el consumo remanente admisible para la financiación de los componentes de HFC que constituyen una mezcla de HFC difiera de la composición de esa mezcla (es decir, resta suficiente consumo admisible para la financiación de algunos de los HFC, aunque no todos los HFC, que componen una mezcla). </w:t>
      </w:r>
    </w:p>
    <w:p w:rsidR="00B802C6" w:rsidRPr="00B430EE" w:rsidRDefault="00B802C6" w:rsidP="00B802C6">
      <w:pPr>
        <w:pStyle w:val="Heading1"/>
        <w:rPr>
          <w:lang w:val="es-ES"/>
        </w:rPr>
      </w:pPr>
      <w:r w:rsidRPr="00B430EE">
        <w:rPr>
          <w:lang w:val="es-ES"/>
        </w:rPr>
        <w:t xml:space="preserve">Como alternativa, si se aplicase el mismo enfoque que para los CFC, se podría utilizar un valor único para el punto de partida que combine todos los HFC incluidos en el anexo F que consume un país. En ese caso, el “componente de HCFC” del punto de partida, si lo hubiera, se podría añadir al punto de partida, y cualquier cantidad de HFC que se elimine (tanto puros como contenidos en mezclas) se deduciría de ese punto de partida. La eliminación subsiguiente de cualquier HFC de PCA más bajo que se incorpore se deduciría del mismo modo del punto de partida. </w:t>
      </w:r>
    </w:p>
    <w:p w:rsidR="00B802C6" w:rsidRPr="00B430EE" w:rsidRDefault="00B802C6" w:rsidP="00B802C6">
      <w:pPr>
        <w:pStyle w:val="Heading1"/>
        <w:rPr>
          <w:lang w:val="es-ES"/>
        </w:rPr>
      </w:pPr>
      <w:r w:rsidRPr="00B430EE">
        <w:rPr>
          <w:lang w:val="es-ES"/>
        </w:rPr>
        <w:t xml:space="preserve">En general, el consumo de HCFC en las empresas que no reúnen las condiciones para la financiación (por ej., si no es de propiedad de un país que opera al amparo del artículo 5 o si se estableció después de </w:t>
      </w:r>
      <w:proofErr w:type="gramStart"/>
      <w:r w:rsidRPr="00B430EE">
        <w:rPr>
          <w:lang w:val="es-ES"/>
        </w:rPr>
        <w:t>la fechas</w:t>
      </w:r>
      <w:proofErr w:type="gramEnd"/>
      <w:r w:rsidRPr="00B430EE">
        <w:rPr>
          <w:lang w:val="es-ES"/>
        </w:rPr>
        <w:t xml:space="preserve"> límite para las capacidades subvencionables) se incluyó en el punto de partida para los HCFC cuando este se estableció. Sin embargo, ese consumo no se financió durante la eliminación. Por el contrario, se aprobó financiación únicamente para la eliminación de los HCFC que se habían incluido en el punto de partida y que cumplía los criterios de admisibilidad del Fondo Multilateral. En varios países que operan al amparo del artículo 5, el consumo total de un HCFC admisible para la financiación específico fue más bajo que el nivel de consumo establecido como punto de partida. El consumo remanente de ese HCFC en particular no se podía “transferir” a ningún otro HCFC. En el caso de que se utilice un valor único para el punto de partida que combine todos los HFC que consume un país, tal vez sea necesario determinar cuál es el consumo que no resulta admisible en el momento de establecer el punto de partida, a fin de que ese consumo se pueda excluir del punto de partida. Sin embargo, es poco probable que pueda determinarse ese consumo en ese momento. En el caso de los HCFC, ese consumo no admisible pudo identificarse solo durante los estudios detallados que se llevaron a cabo en la planificación de cada etapa de un plan de gestión de eliminación de HCFC (PGEH). </w:t>
      </w:r>
    </w:p>
    <w:p w:rsidR="00B802C6" w:rsidRPr="00B430EE" w:rsidRDefault="00B802C6" w:rsidP="00B802C6">
      <w:pPr>
        <w:pStyle w:val="Heading1"/>
        <w:rPr>
          <w:lang w:val="es-ES"/>
        </w:rPr>
      </w:pPr>
      <w:r w:rsidRPr="00B430EE">
        <w:rPr>
          <w:lang w:val="es-ES"/>
        </w:rPr>
        <w:t xml:space="preserve">Además, si bien no se financió la conversión de la capacidad establecida después de la fecha límite, el consumo de HCFC relacionado con esa capacidad específica no siempre se dedujo del consumo remanente admisible para la financiación del país y, por lo tanto, finalmente se lo financió.  Esta situación resultó especialmente pertinente en la conversión de la capacidad de fabricación de equipos de refrigeración y aire acondicionado, en la que el consumo de HCFC relacionado con la capacidad establecida después de la fecha límite puede haber sido financiado en el sector de servicio y mantenimiento o en otras empresas admisibles para la financiación. </w:t>
      </w:r>
    </w:p>
    <w:p w:rsidR="00B802C6" w:rsidRPr="00B430EE" w:rsidRDefault="00B802C6" w:rsidP="00B802C6">
      <w:pPr>
        <w:rPr>
          <w:b/>
          <w:lang w:val="es-ES"/>
        </w:rPr>
      </w:pPr>
      <w:r w:rsidRPr="00B430EE">
        <w:rPr>
          <w:b/>
          <w:lang w:val="es-ES"/>
        </w:rPr>
        <w:t>Medición de los niveles básicos de HFC en tonelaje, equivalentes de CO</w:t>
      </w:r>
      <w:r w:rsidRPr="00B430EE">
        <w:rPr>
          <w:b/>
          <w:vertAlign w:val="subscript"/>
          <w:lang w:val="es-ES"/>
        </w:rPr>
        <w:t>2</w:t>
      </w:r>
      <w:r w:rsidRPr="00B430EE">
        <w:rPr>
          <w:b/>
          <w:lang w:val="es-ES"/>
        </w:rPr>
        <w:t xml:space="preserve"> o ambos</w:t>
      </w:r>
    </w:p>
    <w:p w:rsidR="00B802C6" w:rsidRPr="00B430EE" w:rsidRDefault="00B802C6" w:rsidP="00B802C6">
      <w:pPr>
        <w:rPr>
          <w:u w:val="single"/>
          <w:lang w:val="es-ES"/>
        </w:rPr>
      </w:pPr>
    </w:p>
    <w:p w:rsidR="00B802C6" w:rsidRPr="00B430EE" w:rsidRDefault="00B802C6" w:rsidP="00B802C6">
      <w:pPr>
        <w:pStyle w:val="Heading1"/>
        <w:rPr>
          <w:sz w:val="21"/>
          <w:szCs w:val="21"/>
          <w:lang w:val="es-ES"/>
        </w:rPr>
      </w:pPr>
      <w:r w:rsidRPr="00B430EE">
        <w:rPr>
          <w:lang w:val="es-ES"/>
        </w:rPr>
        <w:t>A diferencia del caso de los HCFC, en que la eliminación de un HCFC no dio lugar a la incorporación de otro HCFC, se prevé que, durante los años iniciales de la reducción de los HFC, los HFC que actualmente se utilizan en la fabricación o el servicio y mantenimiento de los equipos para uso comercial o acondicionadores de aire podrían ser sustituidos por otros HFC o mezclas de HFC con un PCA más bajo. Este enfoque podría dar lugar a reducciones importantes en función del equivalente de CO</w:t>
      </w:r>
      <w:r w:rsidRPr="00B430EE">
        <w:rPr>
          <w:vertAlign w:val="subscript"/>
          <w:lang w:val="es-ES"/>
        </w:rPr>
        <w:t>2</w:t>
      </w:r>
      <w:r w:rsidRPr="00B430EE">
        <w:rPr>
          <w:lang w:val="es-ES"/>
        </w:rPr>
        <w:t xml:space="preserve">, pero a reducciones mínimas en función de las toneladas métricas. </w:t>
      </w:r>
    </w:p>
    <w:p w:rsidR="00B802C6" w:rsidRPr="00B430EE" w:rsidRDefault="00B802C6" w:rsidP="00B802C6">
      <w:pPr>
        <w:pStyle w:val="Heading1"/>
        <w:rPr>
          <w:sz w:val="21"/>
          <w:szCs w:val="21"/>
          <w:lang w:val="es-ES"/>
        </w:rPr>
      </w:pPr>
      <w:r w:rsidRPr="00B430EE">
        <w:rPr>
          <w:lang w:val="es-ES"/>
        </w:rPr>
        <w:t>Por ejemplo, la sustitución del consumo total de R-410A del nivel básico de HFC con HFC-32 conduciría a la eliminación de 208 825 tm de R-410A, o 435 922 999 equivalentes de CO</w:t>
      </w:r>
      <w:r w:rsidRPr="00B430EE">
        <w:rPr>
          <w:vertAlign w:val="subscript"/>
          <w:lang w:val="es-ES"/>
        </w:rPr>
        <w:t>2</w:t>
      </w:r>
      <w:r w:rsidRPr="00B430EE">
        <w:rPr>
          <w:lang w:val="es-ES"/>
        </w:rPr>
        <w:t>, y a la incorporación de 208 825 tm de HFC-32, o 140 957 137 equivalentes de CO</w:t>
      </w:r>
      <w:r w:rsidRPr="00B430EE">
        <w:rPr>
          <w:vertAlign w:val="subscript"/>
          <w:lang w:val="es-ES"/>
        </w:rPr>
        <w:t>2</w:t>
      </w:r>
      <w:r w:rsidRPr="00B430EE">
        <w:rPr>
          <w:lang w:val="es-ES"/>
        </w:rPr>
        <w:t xml:space="preserve">. Aunque la eliminación neta </w:t>
      </w:r>
      <w:r w:rsidRPr="00B430EE">
        <w:rPr>
          <w:lang w:val="es-ES"/>
        </w:rPr>
        <w:lastRenderedPageBreak/>
        <w:t>es igual a cero cuando se la mide en toneladas métricas, esta representa una reducción del 68</w:t>
      </w:r>
      <w:r w:rsidR="005F5535" w:rsidRPr="005F5535">
        <w:rPr>
          <w:color w:val="000000" w:themeColor="text1"/>
          <w:sz w:val="20"/>
          <w:szCs w:val="20"/>
          <w:lang w:val="es-MX"/>
        </w:rPr>
        <w:t xml:space="preserve"> </w:t>
      </w:r>
      <w:r w:rsidR="005F5535">
        <w:rPr>
          <w:color w:val="000000" w:themeColor="text1"/>
          <w:sz w:val="20"/>
          <w:szCs w:val="20"/>
          <w:lang w:val="es-MX"/>
        </w:rPr>
        <w:t>por ciento</w:t>
      </w:r>
      <w:r w:rsidRPr="00B430EE">
        <w:rPr>
          <w:lang w:val="es-ES"/>
        </w:rPr>
        <w:t xml:space="preserve"> en el consumo expresado en equivalentes de CO</w:t>
      </w:r>
      <w:r w:rsidRPr="00B430EE">
        <w:rPr>
          <w:vertAlign w:val="subscript"/>
          <w:lang w:val="es-ES"/>
        </w:rPr>
        <w:t>2</w:t>
      </w:r>
      <w:r w:rsidRPr="00B430EE">
        <w:rPr>
          <w:lang w:val="es-ES"/>
        </w:rPr>
        <w:t>. En este escenario, los países que operan al amparo del artículo 5 podrían lograr el cumplimiento de una o más de las obligaciones de cumplimiento sin reducir las toneladas métricas de HFC consumidos, e incluso aumentar las toneladas métricas de HFC que consumen, y aún así seguir cumpliendo lo establecido. En ese caso, dado que la relación de costo a eficacia se mide de $EUA/kg, la financiación de la eliminación podría conducir a una mayor obligación de financiación para el Fondo Multilateral. Si el objetivo del punto de partida sigue siendo representar el monto de financiación máximo con el que ha de lograrse la reducción de los HFC, este debería medirse en toneladas métricas. No obstante, si el objetivo del punto de partida consiste únicamente en considerar el cumplimiento del Protocolo de Montreal y será independiente del monto de financiación máximo, este se podría medir en equivalentes de CO</w:t>
      </w:r>
      <w:r w:rsidRPr="00B430EE">
        <w:rPr>
          <w:vertAlign w:val="subscript"/>
          <w:lang w:val="es-ES"/>
        </w:rPr>
        <w:t>2</w:t>
      </w:r>
      <w:r w:rsidRPr="00B430EE">
        <w:rPr>
          <w:lang w:val="es-ES"/>
        </w:rPr>
        <w:t xml:space="preserve">. </w:t>
      </w:r>
    </w:p>
    <w:p w:rsidR="00B802C6" w:rsidRPr="00B430EE" w:rsidRDefault="00B802C6" w:rsidP="00B802C6">
      <w:pPr>
        <w:pStyle w:val="Heading1"/>
        <w:rPr>
          <w:lang w:val="es-ES"/>
        </w:rPr>
      </w:pPr>
      <w:r w:rsidRPr="00B430EE">
        <w:rPr>
          <w:lang w:val="es-ES"/>
        </w:rPr>
        <w:t>Además, la relación de costo a eficacia de los proyectos financiados en virtud del Fondo Multilateral se basa en el tonelaje métrico, más que en tonelaje de PAO, dado que la capacidad de los equipos de las empresas fabricantes se mide en tonelaje métrico, independientemente del valor de PAO de la sustancia controlada. Este enfoque se ajusta al principio de costos adicionales más que, por ejemplo, a un enfoque basado en el mercado; ha facilitado los procesos de examen y aprobación de los proyectos; y ha permitido realizar un análisis comparativo entre proyectos similares (por ejemplo, la relación de costo a eficacia relacionada con la eliminación del CFC-11 o HCFC</w:t>
      </w:r>
      <w:r w:rsidRPr="00B430EE">
        <w:rPr>
          <w:lang w:val="es-ES"/>
        </w:rPr>
        <w:noBreakHyphen/>
        <w:t>141b como agentes espumantes de espumas en varias aplicaciones).</w:t>
      </w:r>
    </w:p>
    <w:p w:rsidR="00B802C6" w:rsidRPr="00B430EE" w:rsidRDefault="00B802C6" w:rsidP="00B802C6">
      <w:pPr>
        <w:pStyle w:val="Heading1"/>
        <w:rPr>
          <w:lang w:val="es-ES"/>
        </w:rPr>
      </w:pPr>
      <w:r w:rsidRPr="00B430EE">
        <w:rPr>
          <w:lang w:val="es-ES"/>
        </w:rPr>
        <w:t xml:space="preserve">La selección de las unidades utilizadas para establecer el punto y la determinación acerca de si el punto de partida continuaría representado el monto de financiación máximo de Fondo Multilateral depende de si se utiliza un valor único para el punto de partida o un punto de partida que incluya todos los HFC que se consumen en un país. En este último caso, el punto de partida limitaría la obligación de financiación adicional para el Fondo Multilateral relacionada con la incorporación de HFC con un PCA más bajo. En particular, la incorporación de esa sustancia, así como el incremento en su consumo, se podrían financiar siempre que el consumo se mantuviera dentro del punto de partida establecido para </w:t>
      </w:r>
      <w:proofErr w:type="gramStart"/>
      <w:r w:rsidRPr="00B430EE">
        <w:rPr>
          <w:lang w:val="es-ES"/>
        </w:rPr>
        <w:t>esa sustancias</w:t>
      </w:r>
      <w:proofErr w:type="gramEnd"/>
      <w:r w:rsidRPr="00B430EE">
        <w:rPr>
          <w:lang w:val="es-ES"/>
        </w:rPr>
        <w:t xml:space="preserve"> y se cumplan otros criterios de admisibilidad. </w:t>
      </w:r>
    </w:p>
    <w:p w:rsidR="00B802C6" w:rsidRPr="00B430EE" w:rsidRDefault="00B802C6" w:rsidP="00B802C6">
      <w:pPr>
        <w:pStyle w:val="Heading1"/>
        <w:rPr>
          <w:lang w:val="es-ES"/>
        </w:rPr>
      </w:pPr>
      <w:r w:rsidRPr="00B430EE">
        <w:rPr>
          <w:lang w:val="es-ES"/>
        </w:rPr>
        <w:t>Durante las deliberaciones del grupo de contacto establecido para deliberar acerca de las directrices sobre los costos para la reducción de los HFC, algunos miembros del Comité Ejecutivo sugirieron que el punto de partida se midiese tanto en toneladas métricas como en equivalentes de CO</w:t>
      </w:r>
      <w:r w:rsidRPr="00B430EE">
        <w:rPr>
          <w:vertAlign w:val="subscript"/>
          <w:lang w:val="es-ES"/>
        </w:rPr>
        <w:t>2</w:t>
      </w:r>
      <w:r w:rsidRPr="00B430EE">
        <w:rPr>
          <w:lang w:val="es-ES"/>
        </w:rPr>
        <w:t xml:space="preserve">. Ese enfoque podría disminuir el posible riesgo de errores en los cálculos, así como facilitar la preparación y ejecución de las actividades de reducción de los HFC. No obstante, se deberían abordar aquellos casos en que hay un consumo remanente admisible para la financiación con una </w:t>
      </w:r>
      <w:proofErr w:type="gramStart"/>
      <w:r w:rsidRPr="00B430EE">
        <w:rPr>
          <w:lang w:val="es-ES"/>
        </w:rPr>
        <w:t>medición</w:t>
      </w:r>
      <w:proofErr w:type="gramEnd"/>
      <w:r w:rsidRPr="00B430EE">
        <w:rPr>
          <w:lang w:val="es-ES"/>
        </w:rPr>
        <w:t xml:space="preserve"> pero no con la otra. </w:t>
      </w:r>
    </w:p>
    <w:p w:rsidR="00B802C6" w:rsidRPr="00B430EE" w:rsidRDefault="00B802C6" w:rsidP="00B802C6">
      <w:pPr>
        <w:rPr>
          <w:b/>
          <w:lang w:val="es-ES"/>
        </w:rPr>
      </w:pPr>
      <w:r w:rsidRPr="00B430EE">
        <w:rPr>
          <w:b/>
          <w:lang w:val="es-ES"/>
        </w:rPr>
        <w:t>Tonelaje adicional de HFC relacionado con el “componente de HCFC”</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Una vez que se haya establecido, el nivel básico de HFC será un valor único, que consistirá en el consumo total del “componente de HCFC” y el “componente de HFC”, medido en equivalentes de CO</w:t>
      </w:r>
      <w:r w:rsidRPr="00B430EE">
        <w:rPr>
          <w:vertAlign w:val="subscript"/>
          <w:lang w:val="es-ES"/>
        </w:rPr>
        <w:t>2</w:t>
      </w:r>
      <w:r w:rsidRPr="00B430EE">
        <w:rPr>
          <w:lang w:val="es-ES"/>
        </w:rPr>
        <w:t>. El cumplimiento del Protocolo de Montreal se determinará únicamente en función de esa cantidad.</w:t>
      </w:r>
    </w:p>
    <w:p w:rsidR="00B802C6" w:rsidRPr="00B430EE" w:rsidRDefault="00B802C6" w:rsidP="00B802C6">
      <w:pPr>
        <w:pStyle w:val="Heading1"/>
        <w:rPr>
          <w:lang w:val="es-ES"/>
        </w:rPr>
      </w:pPr>
      <w:r w:rsidRPr="00B430EE">
        <w:rPr>
          <w:lang w:val="es-ES"/>
        </w:rPr>
        <w:t>Dado que el punto de partida para los HFC será el consumo máximo admisible para la financiación, tal vez sea necesario convertir el “componente de HCFC,” si lo hubiera, del nivel básico de HFC a un HFC o varios HFC, cuya cantidad acumulada tiene un equivalente de CO</w:t>
      </w:r>
      <w:r w:rsidRPr="00B430EE">
        <w:rPr>
          <w:vertAlign w:val="subscript"/>
          <w:lang w:val="es-ES"/>
        </w:rPr>
        <w:t>2</w:t>
      </w:r>
      <w:r w:rsidRPr="00B430EE">
        <w:rPr>
          <w:lang w:val="es-ES"/>
        </w:rPr>
        <w:t xml:space="preserve"> igual a aquel del “componente de HCFC”. Por ejemplo, las 348 321 tm de HCFC en el “componente de HCFC” del nivel básico de HFC se podrían convertir a 141 805 tm de R-507A (una de las mezclas de HFC más comúnmente utilizadas, que tiene el valor de PCA más alto), o a 395 169 tm de HFC</w:t>
      </w:r>
      <w:r w:rsidRPr="00B430EE">
        <w:rPr>
          <w:lang w:val="es-ES"/>
        </w:rPr>
        <w:noBreakHyphen/>
        <w:t>134a (el HFC más comúnmente utilizado, que tiene el valor de PCA más bajo), o a una combinación de HFC y mezclas de HFC. En todos los casos, el equivalente de CO</w:t>
      </w:r>
      <w:r w:rsidRPr="00B430EE">
        <w:rPr>
          <w:vertAlign w:val="subscript"/>
          <w:lang w:val="es-ES"/>
        </w:rPr>
        <w:t>2</w:t>
      </w:r>
      <w:r w:rsidRPr="00B430EE">
        <w:rPr>
          <w:lang w:val="es-ES"/>
        </w:rPr>
        <w:t xml:space="preserve"> sería el mismo (es decir, 565 091 392). </w:t>
      </w:r>
    </w:p>
    <w:p w:rsidR="00B802C6" w:rsidRPr="00B430EE" w:rsidRDefault="00B802C6" w:rsidP="00B802C6">
      <w:pPr>
        <w:pStyle w:val="Heading1"/>
        <w:rPr>
          <w:lang w:val="es-ES"/>
        </w:rPr>
      </w:pPr>
      <w:r w:rsidRPr="00B430EE">
        <w:rPr>
          <w:lang w:val="es-ES"/>
        </w:rPr>
        <w:lastRenderedPageBreak/>
        <w:t xml:space="preserve">En el Cuadro 8 se presentan seis ejemplos del tonelaje de HFC relacionado con el “componente de HCFC” del nivel básico de HCFC. </w:t>
      </w:r>
    </w:p>
    <w:p w:rsidR="00B802C6" w:rsidRPr="00B430EE" w:rsidRDefault="00B802C6" w:rsidP="003E0D64">
      <w:pPr>
        <w:keepNext/>
        <w:rPr>
          <w:b/>
          <w:lang w:val="es-ES"/>
        </w:rPr>
      </w:pPr>
      <w:r w:rsidRPr="00B430EE">
        <w:rPr>
          <w:b/>
          <w:lang w:val="es-ES"/>
        </w:rPr>
        <w:t>Cuadro 8. Ejemplos de tonelaje de HFC equivalente al “componente de HCFC” del nivel básico de HFC cuando se expresa en equivalentes de CO</w:t>
      </w:r>
      <w:r w:rsidRPr="00B430EE">
        <w:rPr>
          <w:b/>
          <w:vertAlign w:val="subscript"/>
          <w:lang w:val="es-ES"/>
        </w:rPr>
        <w:t>2</w:t>
      </w:r>
    </w:p>
    <w:tbl>
      <w:tblPr>
        <w:tblW w:w="9360" w:type="dxa"/>
        <w:tblInd w:w="-5" w:type="dxa"/>
        <w:tblLayout w:type="fixed"/>
        <w:tblLook w:val="04A0" w:firstRow="1" w:lastRow="0" w:firstColumn="1" w:lastColumn="0" w:noHBand="0" w:noVBand="1"/>
      </w:tblPr>
      <w:tblGrid>
        <w:gridCol w:w="2250"/>
        <w:gridCol w:w="1185"/>
        <w:gridCol w:w="1185"/>
        <w:gridCol w:w="1185"/>
        <w:gridCol w:w="1185"/>
        <w:gridCol w:w="1185"/>
        <w:gridCol w:w="1185"/>
      </w:tblGrid>
      <w:tr w:rsidR="00B802C6" w:rsidRPr="0062383B" w:rsidTr="00B802C6">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b/>
                <w:bCs/>
                <w:color w:val="000000"/>
                <w:sz w:val="20"/>
                <w:szCs w:val="20"/>
              </w:rPr>
            </w:pPr>
            <w:r>
              <w:rPr>
                <w:b/>
                <w:bCs/>
                <w:color w:val="000000"/>
                <w:sz w:val="20"/>
                <w:szCs w:val="20"/>
              </w:rPr>
              <w:t>Descripción</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B802C6" w:rsidRPr="0062383B" w:rsidRDefault="00B802C6" w:rsidP="00B802C6">
            <w:pPr>
              <w:jc w:val="center"/>
              <w:rPr>
                <w:b/>
                <w:bCs/>
                <w:color w:val="000000"/>
                <w:sz w:val="20"/>
                <w:szCs w:val="20"/>
              </w:rPr>
            </w:pPr>
            <w:r>
              <w:rPr>
                <w:b/>
                <w:bCs/>
                <w:color w:val="000000"/>
                <w:sz w:val="20"/>
                <w:szCs w:val="20"/>
              </w:rPr>
              <w:t>Todos los HFC*</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20"/>
                <w:szCs w:val="20"/>
              </w:rPr>
            </w:pPr>
            <w:r>
              <w:rPr>
                <w:b/>
                <w:bCs/>
                <w:color w:val="000000"/>
                <w:sz w:val="20"/>
                <w:szCs w:val="20"/>
              </w:rPr>
              <w:t>HFC-134a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20"/>
                <w:szCs w:val="20"/>
              </w:rPr>
            </w:pPr>
            <w:r>
              <w:rPr>
                <w:b/>
                <w:bCs/>
                <w:color w:val="000000"/>
                <w:sz w:val="20"/>
                <w:szCs w:val="20"/>
              </w:rPr>
              <w:t>R-410A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20"/>
                <w:szCs w:val="20"/>
              </w:rPr>
            </w:pPr>
            <w:r>
              <w:rPr>
                <w:b/>
                <w:bCs/>
                <w:color w:val="000000"/>
                <w:sz w:val="20"/>
                <w:szCs w:val="20"/>
              </w:rPr>
              <w:t>R-407C</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20"/>
                <w:szCs w:val="20"/>
              </w:rPr>
            </w:pPr>
            <w:r>
              <w:rPr>
                <w:b/>
                <w:bCs/>
                <w:color w:val="000000"/>
                <w:sz w:val="20"/>
                <w:szCs w:val="20"/>
              </w:rPr>
              <w:t>R-404A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B802C6" w:rsidRPr="0062383B" w:rsidRDefault="00B802C6" w:rsidP="00B802C6">
            <w:pPr>
              <w:jc w:val="center"/>
              <w:rPr>
                <w:b/>
                <w:bCs/>
                <w:color w:val="000000"/>
                <w:sz w:val="20"/>
                <w:szCs w:val="20"/>
              </w:rPr>
            </w:pPr>
            <w:r>
              <w:rPr>
                <w:b/>
                <w:bCs/>
                <w:color w:val="000000"/>
                <w:sz w:val="20"/>
                <w:szCs w:val="20"/>
              </w:rPr>
              <w:t>R-507A</w:t>
            </w:r>
          </w:p>
        </w:tc>
      </w:tr>
      <w:tr w:rsidR="00B802C6" w:rsidRPr="0062383B" w:rsidTr="00B802C6">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B802C6" w:rsidRPr="0062383B" w:rsidRDefault="00B802C6" w:rsidP="00B802C6">
            <w:pPr>
              <w:jc w:val="left"/>
              <w:rPr>
                <w:b/>
                <w:bCs/>
                <w:color w:val="000000"/>
                <w:sz w:val="20"/>
                <w:szCs w:val="20"/>
                <w:lang w:val="en-CA" w:eastAsia="en-CA"/>
              </w:rPr>
            </w:pP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B802C6" w:rsidRPr="0062383B" w:rsidRDefault="00B802C6" w:rsidP="00B802C6">
            <w:pPr>
              <w:jc w:val="center"/>
              <w:rPr>
                <w:b/>
                <w:bCs/>
                <w:color w:val="000000"/>
                <w:sz w:val="20"/>
                <w:szCs w:val="20"/>
              </w:rPr>
            </w:pPr>
            <w:r>
              <w:rPr>
                <w:b/>
                <w:bCs/>
                <w:color w:val="000000"/>
                <w:sz w:val="20"/>
                <w:szCs w:val="20"/>
              </w:rPr>
              <w:t>(Ejemplo 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B802C6" w:rsidRPr="0062383B" w:rsidRDefault="00B802C6" w:rsidP="00B802C6">
            <w:pPr>
              <w:jc w:val="center"/>
            </w:pPr>
            <w:r>
              <w:rPr>
                <w:b/>
                <w:bCs/>
                <w:color w:val="000000"/>
                <w:sz w:val="20"/>
                <w:szCs w:val="20"/>
              </w:rPr>
              <w:t>(Ejemplo 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B802C6" w:rsidRPr="0062383B" w:rsidRDefault="00B802C6" w:rsidP="00B802C6">
            <w:pPr>
              <w:jc w:val="center"/>
            </w:pPr>
            <w:r>
              <w:rPr>
                <w:b/>
                <w:bCs/>
                <w:color w:val="000000"/>
                <w:sz w:val="20"/>
                <w:szCs w:val="20"/>
              </w:rPr>
              <w:t>(Ejemplo 3)</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B802C6" w:rsidRPr="0062383B" w:rsidRDefault="00B802C6" w:rsidP="00B802C6">
            <w:pPr>
              <w:jc w:val="center"/>
            </w:pPr>
            <w:r>
              <w:rPr>
                <w:b/>
                <w:bCs/>
                <w:color w:val="000000"/>
                <w:sz w:val="20"/>
                <w:szCs w:val="20"/>
              </w:rPr>
              <w:t>(Ejemplo 4)</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B802C6" w:rsidRPr="0062383B" w:rsidRDefault="00B802C6" w:rsidP="00B802C6">
            <w:pPr>
              <w:jc w:val="center"/>
            </w:pPr>
            <w:r>
              <w:rPr>
                <w:b/>
                <w:bCs/>
                <w:color w:val="000000"/>
                <w:sz w:val="20"/>
                <w:szCs w:val="20"/>
              </w:rPr>
              <w:t>(Ejemplo 5)</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B802C6" w:rsidRPr="0062383B" w:rsidRDefault="00B802C6" w:rsidP="00B802C6">
            <w:pPr>
              <w:jc w:val="center"/>
            </w:pPr>
            <w:r>
              <w:rPr>
                <w:b/>
                <w:bCs/>
                <w:color w:val="000000"/>
                <w:sz w:val="20"/>
                <w:szCs w:val="20"/>
              </w:rPr>
              <w:t>(Ejemplo 6)</w:t>
            </w: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HFC-134a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75</w:t>
            </w:r>
            <w:r w:rsidR="003E0D64">
              <w:rPr>
                <w:sz w:val="20"/>
                <w:szCs w:val="20"/>
              </w:rPr>
              <w:t> </w:t>
            </w:r>
            <w:r>
              <w:rPr>
                <w:sz w:val="20"/>
                <w:szCs w:val="20"/>
              </w:rPr>
              <w:t>372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rPr>
            </w:pPr>
            <w:r>
              <w:rPr>
                <w:color w:val="000000"/>
                <w:sz w:val="20"/>
                <w:szCs w:val="20"/>
              </w:rPr>
              <w:t>395</w:t>
            </w:r>
            <w:r w:rsidR="003E0D64">
              <w:rPr>
                <w:color w:val="000000"/>
                <w:sz w:val="20"/>
                <w:szCs w:val="20"/>
              </w:rPr>
              <w:t> </w:t>
            </w:r>
            <w:r>
              <w:rPr>
                <w:color w:val="000000"/>
                <w:sz w:val="20"/>
                <w:szCs w:val="20"/>
              </w:rPr>
              <w:t>169</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R-410A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139</w:t>
            </w:r>
            <w:r w:rsidR="003E0D64">
              <w:rPr>
                <w:sz w:val="20"/>
                <w:szCs w:val="20"/>
              </w:rPr>
              <w:t> </w:t>
            </w:r>
            <w:r>
              <w:rPr>
                <w:sz w:val="20"/>
                <w:szCs w:val="20"/>
              </w:rPr>
              <w:t>637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rPr>
            </w:pPr>
            <w:r>
              <w:rPr>
                <w:color w:val="000000"/>
                <w:sz w:val="20"/>
                <w:szCs w:val="20"/>
              </w:rPr>
              <w:t>270</w:t>
            </w:r>
            <w:r w:rsidR="003E0D64">
              <w:rPr>
                <w:color w:val="000000"/>
                <w:sz w:val="20"/>
                <w:szCs w:val="20"/>
              </w:rPr>
              <w:t> </w:t>
            </w:r>
            <w:r>
              <w:rPr>
                <w:color w:val="000000"/>
                <w:sz w:val="20"/>
                <w:szCs w:val="20"/>
              </w:rPr>
              <w:t>702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R-407C</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75</w:t>
            </w:r>
            <w:r w:rsidR="003E0D64">
              <w:rPr>
                <w:sz w:val="20"/>
                <w:szCs w:val="20"/>
              </w:rPr>
              <w:t> </w:t>
            </w:r>
            <w:r>
              <w:rPr>
                <w:sz w:val="20"/>
                <w:szCs w:val="20"/>
              </w:rPr>
              <w:t>763</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rPr>
            </w:pPr>
            <w:r>
              <w:rPr>
                <w:color w:val="000000"/>
                <w:sz w:val="20"/>
                <w:szCs w:val="20"/>
              </w:rPr>
              <w:t>318</w:t>
            </w:r>
            <w:r w:rsidR="003E0D64">
              <w:rPr>
                <w:color w:val="000000"/>
                <w:sz w:val="20"/>
                <w:szCs w:val="20"/>
              </w:rPr>
              <w:t> </w:t>
            </w:r>
            <w:r>
              <w:rPr>
                <w:color w:val="000000"/>
                <w:sz w:val="20"/>
                <w:szCs w:val="20"/>
              </w:rPr>
              <w:t>541</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R-404A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24</w:t>
            </w:r>
            <w:r w:rsidR="003E0D64">
              <w:rPr>
                <w:sz w:val="20"/>
                <w:szCs w:val="20"/>
              </w:rPr>
              <w:t> </w:t>
            </w:r>
            <w:r>
              <w:rPr>
                <w:sz w:val="20"/>
                <w:szCs w:val="20"/>
              </w:rPr>
              <w:t>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rPr>
            </w:pPr>
            <w:r>
              <w:rPr>
                <w:color w:val="000000"/>
                <w:sz w:val="20"/>
                <w:szCs w:val="20"/>
              </w:rPr>
              <w:t>144</w:t>
            </w:r>
            <w:r w:rsidR="003E0D64">
              <w:rPr>
                <w:color w:val="000000"/>
                <w:sz w:val="20"/>
                <w:szCs w:val="20"/>
              </w:rPr>
              <w:t> </w:t>
            </w:r>
            <w:r>
              <w:rPr>
                <w:color w:val="000000"/>
                <w:sz w:val="20"/>
                <w:szCs w:val="20"/>
              </w:rPr>
              <w:t>097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R-507A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24</w:t>
            </w:r>
            <w:r w:rsidR="003E0D64">
              <w:rPr>
                <w:sz w:val="20"/>
                <w:szCs w:val="20"/>
              </w:rPr>
              <w:t> </w:t>
            </w:r>
            <w:r>
              <w:rPr>
                <w:sz w:val="20"/>
                <w:szCs w:val="20"/>
              </w:rPr>
              <w:t>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rPr>
            </w:pPr>
            <w:r>
              <w:rPr>
                <w:color w:val="000000"/>
                <w:sz w:val="20"/>
                <w:szCs w:val="20"/>
              </w:rPr>
              <w:t>141</w:t>
            </w:r>
            <w:r w:rsidR="003E0D64">
              <w:rPr>
                <w:color w:val="000000"/>
                <w:sz w:val="20"/>
                <w:szCs w:val="20"/>
              </w:rPr>
              <w:t> </w:t>
            </w:r>
            <w:r>
              <w:rPr>
                <w:color w:val="000000"/>
                <w:sz w:val="20"/>
                <w:szCs w:val="20"/>
              </w:rPr>
              <w:t>805</w:t>
            </w: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HFC-152a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4</w:t>
            </w:r>
            <w:r w:rsidR="003E0D64">
              <w:rPr>
                <w:sz w:val="20"/>
                <w:szCs w:val="20"/>
              </w:rPr>
              <w:t> </w:t>
            </w:r>
            <w:r>
              <w:rPr>
                <w:sz w:val="20"/>
                <w:szCs w:val="20"/>
              </w:rPr>
              <w:t>377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HFC-245fa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2</w:t>
            </w:r>
            <w:r w:rsidR="003E0D64">
              <w:rPr>
                <w:sz w:val="20"/>
                <w:szCs w:val="20"/>
              </w:rPr>
              <w:t> </w:t>
            </w:r>
            <w:r>
              <w:rPr>
                <w:sz w:val="20"/>
                <w:szCs w:val="20"/>
              </w:rPr>
              <w:t>708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color w:val="000000"/>
                <w:sz w:val="20"/>
                <w:szCs w:val="20"/>
              </w:rPr>
            </w:pPr>
            <w:r>
              <w:rPr>
                <w:color w:val="000000"/>
                <w:sz w:val="20"/>
                <w:szCs w:val="20"/>
              </w:rPr>
              <w:t>HFC-365mfc/HFC-227ea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B802C6" w:rsidRPr="0062383B" w:rsidRDefault="00B802C6" w:rsidP="00B802C6">
            <w:pPr>
              <w:jc w:val="right"/>
              <w:rPr>
                <w:color w:val="000000"/>
                <w:sz w:val="20"/>
                <w:szCs w:val="20"/>
              </w:rPr>
            </w:pPr>
            <w:r>
              <w:rPr>
                <w:sz w:val="20"/>
                <w:szCs w:val="20"/>
              </w:rPr>
              <w:t>2</w:t>
            </w:r>
            <w:r w:rsidR="003E0D64">
              <w:rPr>
                <w:sz w:val="20"/>
                <w:szCs w:val="20"/>
              </w:rPr>
              <w:t> </w:t>
            </w:r>
            <w:r>
              <w:rPr>
                <w:sz w:val="20"/>
                <w:szCs w:val="20"/>
              </w:rPr>
              <w:t>428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color w:val="000000"/>
                <w:sz w:val="20"/>
                <w:szCs w:val="20"/>
                <w:lang w:val="en-CA" w:eastAsia="en-CA"/>
              </w:rPr>
            </w:pPr>
          </w:p>
        </w:tc>
      </w:tr>
      <w:tr w:rsidR="00B802C6" w:rsidRPr="0062383B" w:rsidTr="00B802C6">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B802C6" w:rsidRPr="0062383B" w:rsidRDefault="00B802C6" w:rsidP="00B802C6">
            <w:pPr>
              <w:jc w:val="left"/>
              <w:rPr>
                <w:b/>
                <w:color w:val="000000"/>
                <w:sz w:val="20"/>
                <w:szCs w:val="20"/>
              </w:rPr>
            </w:pPr>
            <w:r>
              <w:rPr>
                <w:b/>
                <w:color w:val="000000"/>
                <w:sz w:val="20"/>
                <w:szCs w:val="20"/>
              </w:rPr>
              <w:t>Total tm adicionales</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b/>
                <w:color w:val="000000"/>
                <w:sz w:val="20"/>
                <w:szCs w:val="20"/>
              </w:rPr>
            </w:pPr>
            <w:r>
              <w:rPr>
                <w:b/>
                <w:color w:val="000000"/>
                <w:sz w:val="20"/>
                <w:szCs w:val="20"/>
              </w:rPr>
              <w:t>348</w:t>
            </w:r>
            <w:r w:rsidR="003E0D64">
              <w:rPr>
                <w:b/>
                <w:color w:val="000000"/>
                <w:sz w:val="20"/>
                <w:szCs w:val="20"/>
              </w:rPr>
              <w:t> </w:t>
            </w:r>
            <w:r>
              <w:rPr>
                <w:b/>
                <w:color w:val="000000"/>
                <w:sz w:val="20"/>
                <w:szCs w:val="20"/>
              </w:rPr>
              <w:t>321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b/>
                <w:color w:val="000000"/>
                <w:sz w:val="20"/>
                <w:szCs w:val="20"/>
              </w:rPr>
            </w:pPr>
            <w:r>
              <w:rPr>
                <w:b/>
                <w:color w:val="000000"/>
                <w:sz w:val="20"/>
                <w:szCs w:val="20"/>
              </w:rPr>
              <w:t>395</w:t>
            </w:r>
            <w:r w:rsidR="003E0D64">
              <w:rPr>
                <w:b/>
                <w:color w:val="000000"/>
                <w:sz w:val="20"/>
                <w:szCs w:val="20"/>
              </w:rPr>
              <w:t> </w:t>
            </w:r>
            <w:r>
              <w:rPr>
                <w:b/>
                <w:color w:val="000000"/>
                <w:sz w:val="20"/>
                <w:szCs w:val="20"/>
              </w:rPr>
              <w:t>169</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b/>
                <w:color w:val="000000"/>
                <w:sz w:val="20"/>
                <w:szCs w:val="20"/>
              </w:rPr>
            </w:pPr>
            <w:r>
              <w:rPr>
                <w:b/>
                <w:color w:val="000000"/>
                <w:sz w:val="20"/>
                <w:szCs w:val="20"/>
              </w:rPr>
              <w:t>270</w:t>
            </w:r>
            <w:r w:rsidR="003E0D64">
              <w:rPr>
                <w:b/>
                <w:color w:val="000000"/>
                <w:sz w:val="20"/>
                <w:szCs w:val="20"/>
              </w:rPr>
              <w:t> </w:t>
            </w:r>
            <w:r>
              <w:rPr>
                <w:b/>
                <w:color w:val="000000"/>
                <w:sz w:val="20"/>
                <w:szCs w:val="20"/>
              </w:rPr>
              <w:t>702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b/>
                <w:color w:val="000000"/>
                <w:sz w:val="20"/>
                <w:szCs w:val="20"/>
              </w:rPr>
            </w:pPr>
            <w:r>
              <w:rPr>
                <w:b/>
                <w:color w:val="000000"/>
                <w:sz w:val="20"/>
                <w:szCs w:val="20"/>
              </w:rPr>
              <w:t>318</w:t>
            </w:r>
            <w:r w:rsidR="003E0D64">
              <w:rPr>
                <w:b/>
                <w:color w:val="000000"/>
                <w:sz w:val="20"/>
                <w:szCs w:val="20"/>
              </w:rPr>
              <w:t> </w:t>
            </w:r>
            <w:r>
              <w:rPr>
                <w:b/>
                <w:color w:val="000000"/>
                <w:sz w:val="20"/>
                <w:szCs w:val="20"/>
              </w:rPr>
              <w:t>541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b/>
                <w:color w:val="000000"/>
                <w:sz w:val="20"/>
                <w:szCs w:val="20"/>
              </w:rPr>
            </w:pPr>
            <w:r>
              <w:rPr>
                <w:b/>
                <w:color w:val="000000"/>
                <w:sz w:val="20"/>
                <w:szCs w:val="20"/>
              </w:rPr>
              <w:t>144</w:t>
            </w:r>
            <w:r w:rsidR="003E0D64">
              <w:rPr>
                <w:b/>
                <w:color w:val="000000"/>
                <w:sz w:val="20"/>
                <w:szCs w:val="20"/>
              </w:rPr>
              <w:t> </w:t>
            </w:r>
            <w:r>
              <w:rPr>
                <w:b/>
                <w:color w:val="000000"/>
                <w:sz w:val="20"/>
                <w:szCs w:val="20"/>
              </w:rPr>
              <w:t>097</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B802C6" w:rsidRPr="0062383B" w:rsidRDefault="00B802C6" w:rsidP="00B802C6">
            <w:pPr>
              <w:jc w:val="right"/>
              <w:rPr>
                <w:b/>
                <w:color w:val="000000"/>
                <w:sz w:val="20"/>
                <w:szCs w:val="20"/>
              </w:rPr>
            </w:pPr>
            <w:r>
              <w:rPr>
                <w:b/>
                <w:color w:val="000000"/>
                <w:sz w:val="20"/>
                <w:szCs w:val="20"/>
              </w:rPr>
              <w:t>141</w:t>
            </w:r>
            <w:r w:rsidR="003E0D64">
              <w:rPr>
                <w:b/>
                <w:color w:val="000000"/>
                <w:sz w:val="20"/>
                <w:szCs w:val="20"/>
              </w:rPr>
              <w:t> </w:t>
            </w:r>
            <w:r>
              <w:rPr>
                <w:b/>
                <w:color w:val="000000"/>
                <w:sz w:val="20"/>
                <w:szCs w:val="20"/>
              </w:rPr>
              <w:t>805</w:t>
            </w:r>
          </w:p>
        </w:tc>
      </w:tr>
      <w:tr w:rsidR="00B802C6" w:rsidRPr="0062383B" w:rsidTr="00B802C6">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B802C6" w:rsidRPr="00B430EE" w:rsidRDefault="00B802C6" w:rsidP="00B802C6">
            <w:pPr>
              <w:jc w:val="left"/>
              <w:rPr>
                <w:color w:val="000000"/>
                <w:sz w:val="20"/>
                <w:szCs w:val="20"/>
                <w:lang w:val="es-ES"/>
              </w:rPr>
            </w:pPr>
            <w:r w:rsidRPr="00B430EE">
              <w:rPr>
                <w:color w:val="000000"/>
                <w:sz w:val="20"/>
                <w:szCs w:val="20"/>
                <w:lang w:val="es-ES"/>
              </w:rPr>
              <w:t>Total de equivalentes de CO</w:t>
            </w:r>
            <w:r w:rsidRPr="00B430EE">
              <w:rPr>
                <w:color w:val="000000"/>
                <w:sz w:val="20"/>
                <w:szCs w:val="20"/>
                <w:vertAlign w:val="subscript"/>
                <w:lang w:val="es-ES"/>
              </w:rPr>
              <w:t>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B802C6" w:rsidRPr="0062383B" w:rsidRDefault="00B802C6" w:rsidP="00B802C6">
            <w:pPr>
              <w:jc w:val="center"/>
              <w:rPr>
                <w:sz w:val="20"/>
                <w:szCs w:val="20"/>
              </w:rPr>
            </w:pPr>
            <w:r>
              <w:rPr>
                <w:sz w:val="20"/>
                <w:szCs w:val="20"/>
              </w:rPr>
              <w:t>565</w:t>
            </w:r>
            <w:r w:rsidR="003E0D64">
              <w:rPr>
                <w:sz w:val="20"/>
                <w:szCs w:val="20"/>
              </w:rPr>
              <w:t> </w:t>
            </w:r>
            <w:r>
              <w:rPr>
                <w:sz w:val="20"/>
                <w:szCs w:val="20"/>
              </w:rPr>
              <w:t>091</w:t>
            </w:r>
            <w:r w:rsidR="003E0D64">
              <w:rPr>
                <w:sz w:val="20"/>
                <w:szCs w:val="20"/>
              </w:rPr>
              <w:t> </w:t>
            </w:r>
            <w:r>
              <w:rPr>
                <w:sz w:val="20"/>
                <w:szCs w:val="20"/>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B802C6" w:rsidRPr="0062383B" w:rsidRDefault="00B802C6" w:rsidP="00B802C6">
            <w:pPr>
              <w:jc w:val="center"/>
              <w:rPr>
                <w:sz w:val="20"/>
                <w:szCs w:val="20"/>
              </w:rPr>
            </w:pPr>
            <w:r>
              <w:rPr>
                <w:sz w:val="20"/>
                <w:szCs w:val="20"/>
              </w:rPr>
              <w:t>565</w:t>
            </w:r>
            <w:r w:rsidR="003E0D64">
              <w:rPr>
                <w:sz w:val="20"/>
                <w:szCs w:val="20"/>
              </w:rPr>
              <w:t> </w:t>
            </w:r>
            <w:r>
              <w:rPr>
                <w:sz w:val="20"/>
                <w:szCs w:val="20"/>
              </w:rPr>
              <w:t>091</w:t>
            </w:r>
            <w:r w:rsidR="003E0D64">
              <w:rPr>
                <w:sz w:val="20"/>
                <w:szCs w:val="20"/>
              </w:rPr>
              <w:t> </w:t>
            </w:r>
            <w:r>
              <w:rPr>
                <w:sz w:val="20"/>
                <w:szCs w:val="20"/>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B802C6" w:rsidRPr="0062383B" w:rsidRDefault="00B802C6" w:rsidP="00B802C6">
            <w:pPr>
              <w:jc w:val="center"/>
              <w:rPr>
                <w:sz w:val="20"/>
                <w:szCs w:val="20"/>
              </w:rPr>
            </w:pPr>
            <w:r>
              <w:rPr>
                <w:sz w:val="20"/>
                <w:szCs w:val="20"/>
              </w:rPr>
              <w:t>565</w:t>
            </w:r>
            <w:r w:rsidR="003E0D64">
              <w:rPr>
                <w:sz w:val="20"/>
                <w:szCs w:val="20"/>
              </w:rPr>
              <w:t> </w:t>
            </w:r>
            <w:r>
              <w:rPr>
                <w:sz w:val="20"/>
                <w:szCs w:val="20"/>
              </w:rPr>
              <w:t>091</w:t>
            </w:r>
            <w:r w:rsidR="003E0D64">
              <w:rPr>
                <w:sz w:val="20"/>
                <w:szCs w:val="20"/>
              </w:rPr>
              <w:t> </w:t>
            </w:r>
            <w:r>
              <w:rPr>
                <w:sz w:val="20"/>
                <w:szCs w:val="20"/>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B802C6" w:rsidRPr="0062383B" w:rsidRDefault="00B802C6" w:rsidP="00B802C6">
            <w:pPr>
              <w:jc w:val="center"/>
              <w:rPr>
                <w:sz w:val="20"/>
                <w:szCs w:val="20"/>
              </w:rPr>
            </w:pPr>
            <w:r>
              <w:rPr>
                <w:sz w:val="20"/>
                <w:szCs w:val="20"/>
              </w:rPr>
              <w:t>565</w:t>
            </w:r>
            <w:r w:rsidR="003E0D64">
              <w:rPr>
                <w:sz w:val="20"/>
                <w:szCs w:val="20"/>
              </w:rPr>
              <w:t> </w:t>
            </w:r>
            <w:r>
              <w:rPr>
                <w:sz w:val="20"/>
                <w:szCs w:val="20"/>
              </w:rPr>
              <w:t>091</w:t>
            </w:r>
            <w:r w:rsidR="003E0D64">
              <w:rPr>
                <w:sz w:val="20"/>
                <w:szCs w:val="20"/>
              </w:rPr>
              <w:t> </w:t>
            </w:r>
            <w:r>
              <w:rPr>
                <w:sz w:val="20"/>
                <w:szCs w:val="20"/>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B802C6" w:rsidRPr="0062383B" w:rsidRDefault="00B802C6" w:rsidP="00B802C6">
            <w:pPr>
              <w:jc w:val="center"/>
              <w:rPr>
                <w:sz w:val="20"/>
                <w:szCs w:val="20"/>
              </w:rPr>
            </w:pPr>
            <w:r>
              <w:rPr>
                <w:sz w:val="20"/>
                <w:szCs w:val="20"/>
              </w:rPr>
              <w:t>565</w:t>
            </w:r>
            <w:r w:rsidR="003E0D64">
              <w:rPr>
                <w:sz w:val="20"/>
                <w:szCs w:val="20"/>
              </w:rPr>
              <w:t> </w:t>
            </w:r>
            <w:r>
              <w:rPr>
                <w:sz w:val="20"/>
                <w:szCs w:val="20"/>
              </w:rPr>
              <w:t>091</w:t>
            </w:r>
            <w:r w:rsidR="003E0D64">
              <w:rPr>
                <w:sz w:val="20"/>
                <w:szCs w:val="20"/>
              </w:rPr>
              <w:t> </w:t>
            </w:r>
            <w:r>
              <w:rPr>
                <w:sz w:val="20"/>
                <w:szCs w:val="20"/>
              </w:rPr>
              <w:t>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B802C6" w:rsidRPr="0062383B" w:rsidRDefault="00B802C6" w:rsidP="00B802C6">
            <w:pPr>
              <w:jc w:val="center"/>
              <w:rPr>
                <w:sz w:val="20"/>
                <w:szCs w:val="20"/>
              </w:rPr>
            </w:pPr>
            <w:r>
              <w:rPr>
                <w:sz w:val="20"/>
                <w:szCs w:val="20"/>
              </w:rPr>
              <w:t>565</w:t>
            </w:r>
            <w:r w:rsidR="003E0D64">
              <w:rPr>
                <w:sz w:val="20"/>
                <w:szCs w:val="20"/>
              </w:rPr>
              <w:t> </w:t>
            </w:r>
            <w:r>
              <w:rPr>
                <w:sz w:val="20"/>
                <w:szCs w:val="20"/>
              </w:rPr>
              <w:t>091</w:t>
            </w:r>
            <w:r w:rsidR="003E0D64">
              <w:rPr>
                <w:sz w:val="20"/>
                <w:szCs w:val="20"/>
              </w:rPr>
              <w:t> </w:t>
            </w:r>
            <w:r>
              <w:rPr>
                <w:sz w:val="20"/>
                <w:szCs w:val="20"/>
              </w:rPr>
              <w:t>392</w:t>
            </w:r>
          </w:p>
        </w:tc>
      </w:tr>
    </w:tbl>
    <w:p w:rsidR="00B802C6" w:rsidRPr="00B430EE" w:rsidRDefault="00B802C6" w:rsidP="00B802C6">
      <w:pPr>
        <w:pStyle w:val="Heading2"/>
        <w:widowControl/>
        <w:numPr>
          <w:ilvl w:val="0"/>
          <w:numId w:val="0"/>
        </w:numPr>
        <w:rPr>
          <w:sz w:val="18"/>
          <w:szCs w:val="18"/>
          <w:lang w:val="es-ES"/>
        </w:rPr>
      </w:pPr>
      <w:r w:rsidRPr="00B430EE">
        <w:rPr>
          <w:sz w:val="18"/>
          <w:szCs w:val="18"/>
          <w:lang w:val="es-ES"/>
        </w:rPr>
        <w:t>* Distribución del consumo acumulado en varios HFC en los países que operan al amparo del artículo 5 en el informe del equipo de tareas del GETE.</w:t>
      </w:r>
    </w:p>
    <w:p w:rsidR="00B802C6" w:rsidRPr="00B430EE" w:rsidRDefault="00B802C6" w:rsidP="00B802C6">
      <w:pPr>
        <w:pStyle w:val="Heading1"/>
        <w:rPr>
          <w:lang w:val="es-ES"/>
        </w:rPr>
      </w:pPr>
      <w:r w:rsidRPr="00B430EE">
        <w:rPr>
          <w:lang w:val="es-ES"/>
        </w:rPr>
        <w:t>También cabe señalar que las 348 321 tm relacionadas con el “componente de HCFC” del nivel básico de HFC constan principalmente de HCFC-22 (61,5</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lang w:val="es-ES"/>
        </w:rPr>
        <w:t xml:space="preserve"> del nivel básico), HCFC-141b (32,3</w:t>
      </w:r>
      <w:r w:rsidR="00E42AEA">
        <w:rPr>
          <w:color w:val="000000" w:themeColor="text1"/>
          <w:sz w:val="20"/>
          <w:szCs w:val="20"/>
          <w:lang w:val="es-MX"/>
        </w:rPr>
        <w:t> por ciento</w:t>
      </w:r>
      <w:r w:rsidRPr="00B430EE">
        <w:rPr>
          <w:lang w:val="es-ES"/>
        </w:rPr>
        <w:t>) y HCFC-142b (6,0</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lang w:val="es-ES"/>
        </w:rPr>
        <w:t>), distribuidos de la siguiente manera:</w:t>
      </w:r>
    </w:p>
    <w:p w:rsidR="00B802C6" w:rsidRPr="00B430EE" w:rsidRDefault="00B802C6" w:rsidP="00B802C6">
      <w:pPr>
        <w:pStyle w:val="Heading2"/>
        <w:widowControl/>
        <w:rPr>
          <w:lang w:val="es-ES"/>
        </w:rPr>
      </w:pPr>
      <w:r w:rsidRPr="00B430EE">
        <w:rPr>
          <w:color w:val="000000"/>
          <w:lang w:val="es-ES"/>
        </w:rPr>
        <w:t>256 572</w:t>
      </w:r>
      <w:r w:rsidRPr="00B430EE">
        <w:rPr>
          <w:lang w:val="es-ES"/>
        </w:rPr>
        <w:t> tm de HCFC-22, que incluyen 206 215 tm que consumen en el sector de refrigeración y aire acondicionado todos los países, y 50 357 tm que consumen como agente coespumante algunos países</w:t>
      </w:r>
      <w:r w:rsidRPr="0062383B">
        <w:rPr>
          <w:rStyle w:val="FootnoteReference"/>
          <w:lang w:val="en-CA"/>
        </w:rPr>
        <w:footnoteReference w:id="35"/>
      </w:r>
      <w:r w:rsidRPr="00B430EE">
        <w:rPr>
          <w:lang w:val="es-ES"/>
        </w:rPr>
        <w:t xml:space="preserve">; </w:t>
      </w:r>
    </w:p>
    <w:p w:rsidR="00B802C6" w:rsidRPr="00B430EE" w:rsidRDefault="00B802C6" w:rsidP="00B802C6">
      <w:pPr>
        <w:pStyle w:val="Heading2"/>
        <w:widowControl/>
        <w:rPr>
          <w:lang w:val="es-ES"/>
        </w:rPr>
      </w:pPr>
      <w:r w:rsidRPr="00B430EE">
        <w:rPr>
          <w:color w:val="000000"/>
          <w:lang w:val="es-ES"/>
        </w:rPr>
        <w:t xml:space="preserve">70 108 tm de </w:t>
      </w:r>
      <w:r w:rsidRPr="00B430EE">
        <w:rPr>
          <w:lang w:val="es-ES"/>
        </w:rPr>
        <w:t xml:space="preserve">HCFC-141b que se consumen como agente espumante de espumas en 68 países; y </w:t>
      </w:r>
    </w:p>
    <w:p w:rsidR="00B802C6" w:rsidRPr="00B430EE" w:rsidRDefault="00B802C6" w:rsidP="00B802C6">
      <w:pPr>
        <w:pStyle w:val="Heading2"/>
        <w:widowControl/>
        <w:rPr>
          <w:lang w:val="es-ES"/>
        </w:rPr>
      </w:pPr>
      <w:r w:rsidRPr="00B430EE">
        <w:rPr>
          <w:lang w:val="es-ES"/>
        </w:rPr>
        <w:t>21 582 tm de HCFC</w:t>
      </w:r>
      <w:r w:rsidRPr="00B430EE">
        <w:rPr>
          <w:lang w:val="es-ES"/>
        </w:rPr>
        <w:noBreakHyphen/>
        <w:t xml:space="preserve">142b que se consumen como agente coespumante en 50 países. </w:t>
      </w:r>
    </w:p>
    <w:p w:rsidR="00B802C6" w:rsidRPr="00B430EE" w:rsidRDefault="00B802C6" w:rsidP="00B802C6">
      <w:pPr>
        <w:pStyle w:val="Heading1"/>
        <w:keepNext/>
        <w:keepLines/>
        <w:rPr>
          <w:lang w:val="es-ES"/>
        </w:rPr>
      </w:pPr>
      <w:r w:rsidRPr="00B430EE">
        <w:rPr>
          <w:lang w:val="es-ES"/>
        </w:rPr>
        <w:t>Según los informes del equipo de tareas del GETE, más del 96</w:t>
      </w:r>
      <w:r w:rsidR="00090171" w:rsidRPr="00090171">
        <w:rPr>
          <w:color w:val="000000" w:themeColor="text1"/>
          <w:sz w:val="20"/>
          <w:szCs w:val="20"/>
          <w:lang w:val="es-MX"/>
        </w:rPr>
        <w:t xml:space="preserve"> </w:t>
      </w:r>
      <w:r w:rsidR="00090171">
        <w:rPr>
          <w:color w:val="000000" w:themeColor="text1"/>
          <w:sz w:val="20"/>
          <w:szCs w:val="20"/>
          <w:lang w:val="es-MX"/>
        </w:rPr>
        <w:t>por ciento</w:t>
      </w:r>
      <w:r w:rsidRPr="00B430EE">
        <w:rPr>
          <w:lang w:val="es-ES"/>
        </w:rPr>
        <w:t xml:space="preserve"> del consumo total de los países que operan al amparo del artículo 5 se registra en el sector de refrigeración y aire acondicionado. Por lo tanto, de las 348 321 tm (565 091 392 equivalentes de CO</w:t>
      </w:r>
      <w:r w:rsidRPr="00B430EE">
        <w:rPr>
          <w:vertAlign w:val="subscript"/>
          <w:lang w:val="es-ES"/>
        </w:rPr>
        <w:t>2</w:t>
      </w:r>
      <w:r w:rsidRPr="00B430EE">
        <w:rPr>
          <w:lang w:val="es-ES"/>
        </w:rPr>
        <w:t>) de HCFC relacionadas con el “componente de HCFC”, es probable que solo una porción de las 206 215 tm (373 249 150 equivalentes de CO</w:t>
      </w:r>
      <w:r w:rsidRPr="00B430EE">
        <w:rPr>
          <w:vertAlign w:val="subscript"/>
          <w:lang w:val="es-ES"/>
        </w:rPr>
        <w:t>2</w:t>
      </w:r>
      <w:r w:rsidRPr="00B430EE">
        <w:rPr>
          <w:lang w:val="es-ES"/>
        </w:rPr>
        <w:t>) de HCFC</w:t>
      </w:r>
      <w:r w:rsidR="00090171" w:rsidRPr="00B430EE">
        <w:rPr>
          <w:lang w:val="es-ES"/>
        </w:rPr>
        <w:noBreakHyphen/>
      </w:r>
      <w:r w:rsidRPr="00B430EE">
        <w:rPr>
          <w:lang w:val="es-ES"/>
        </w:rPr>
        <w:t xml:space="preserve">22 que se consumen en el sector de refrigeración y aire acondicionado se convierta a HFC. Por el contrario, es probable que no se convierta prácticamente ninguna porción del HCFC-141b incluido en el “componente de HCFC”. </w:t>
      </w:r>
    </w:p>
    <w:p w:rsidR="00B802C6" w:rsidRPr="00B430EE" w:rsidRDefault="00B802C6" w:rsidP="00B802C6">
      <w:pPr>
        <w:rPr>
          <w:b/>
          <w:lang w:val="es-ES"/>
        </w:rPr>
      </w:pPr>
      <w:r w:rsidRPr="00B430EE">
        <w:rPr>
          <w:b/>
          <w:lang w:val="es-ES"/>
        </w:rPr>
        <w:t xml:space="preserve">Componente de HCFC basado en el nivel básico de HCFC o el punto de partida para los HCFC </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 xml:space="preserve">De conformidad con la decisión 35/57, para varios países que operan al amparo del artículo 5 que habían seleccionado sus niveles básicos de HCFC como sus puntos de partida, los puntos de partida se ajustaron a un valor menor para tener en cuenta la índole no representativa demostrada de los datos de consumo por motivos tales como almacenamiento de existencias, dificultades económicas nacionales u otras causas (por ejemplo, tasas de fuga excesivas en los equipos de refrigeración que aún estaban en funcionamiento). Para otros países que operan al amparo del artículo 5, el consumo de HCFC notificado después de 2010 fue sustancialmente menor que el nivel básico de HCFC establecido, lo que sugiere que </w:t>
      </w:r>
      <w:r w:rsidRPr="00B430EE">
        <w:rPr>
          <w:lang w:val="es-ES"/>
        </w:rPr>
        <w:lastRenderedPageBreak/>
        <w:t>se había sobreestimado su consumo de HCFC en los años de base. La mayoría de estos países acordó revisar sus puntos de partida para los HCFC (ajustando los niveles de financiación si correspondía) en lugar de cambiar sus niveles básicos para el cumplimiento, de conformidad con los procedimientos establecidos en relación con los cambios en los niveles básicos para el cumplimiento.</w:t>
      </w:r>
    </w:p>
    <w:p w:rsidR="00B802C6" w:rsidRPr="00B430EE" w:rsidRDefault="00B802C6" w:rsidP="00B802C6">
      <w:pPr>
        <w:pStyle w:val="Heading1"/>
        <w:rPr>
          <w:lang w:val="es-ES"/>
        </w:rPr>
      </w:pPr>
      <w:r w:rsidRPr="00B430EE">
        <w:rPr>
          <w:lang w:val="es-ES"/>
        </w:rPr>
        <w:t>Al considerar cómo incluir el “componente de HCFC” del nivel básico para los HFC en el punto de partida, se debería tener en cuenta si el nivel básico de HCFC o el punto de partida para los HCFC es más representativo del consumo real de HCFC en el país, como una forma de que haya equidad entre los países que operan al amparo del artículo 5.</w:t>
      </w:r>
    </w:p>
    <w:p w:rsidR="00B802C6" w:rsidRPr="00B430EE" w:rsidRDefault="00B802C6" w:rsidP="00B802C6">
      <w:pPr>
        <w:rPr>
          <w:b/>
          <w:lang w:val="es-ES"/>
        </w:rPr>
      </w:pPr>
      <w:r w:rsidRPr="00B430EE">
        <w:rPr>
          <w:b/>
          <w:lang w:val="es-ES"/>
        </w:rPr>
        <w:t>Posible doble cómputo relacionado con el “componente de HCFC”</w:t>
      </w:r>
    </w:p>
    <w:p w:rsidR="00B802C6" w:rsidRPr="00B430EE" w:rsidRDefault="00B802C6" w:rsidP="00B802C6">
      <w:pPr>
        <w:rPr>
          <w:u w:val="single"/>
          <w:lang w:val="es-ES"/>
        </w:rPr>
      </w:pPr>
    </w:p>
    <w:p w:rsidR="00B802C6" w:rsidRPr="00B430EE" w:rsidRDefault="00B802C6" w:rsidP="00B802C6">
      <w:pPr>
        <w:pStyle w:val="Heading1"/>
        <w:rPr>
          <w:lang w:val="es-ES"/>
        </w:rPr>
      </w:pPr>
      <w:r w:rsidRPr="00B430EE">
        <w:rPr>
          <w:lang w:val="es-ES"/>
        </w:rPr>
        <w:t>Uno de los principios básicos del Fondo Multilateral es que las propuestas de proyecto en las que se solicita financiación habrán de conllevar un escrutinio detenido de las partidas de costos enumeradas con miras a asegurar que no se produzca un doble cómputo. En relación con este principio, si se fuera a proporcionar financiación para el “componente de HCFC”, sería preciso adoptar precauciones a fin de garantizar que parte de esa financiación no constituya un doble cómputo. Ya se ha proporcionado (y se seguirá proporcionando) financiación para la eliminación completa de las sustancias incluidas en el grupo I del anexo C. En particular, a la fecha de la 81ª reunión, se había aprobado financiación en principio para eliminar más del 60</w:t>
      </w:r>
      <w:r w:rsidR="00090171" w:rsidRPr="00090171">
        <w:rPr>
          <w:color w:val="000000" w:themeColor="text1"/>
          <w:sz w:val="20"/>
          <w:szCs w:val="20"/>
          <w:lang w:val="es-MX"/>
        </w:rPr>
        <w:t xml:space="preserve"> </w:t>
      </w:r>
      <w:r w:rsidR="00090171">
        <w:rPr>
          <w:color w:val="000000" w:themeColor="text1"/>
          <w:sz w:val="20"/>
          <w:szCs w:val="20"/>
          <w:lang w:val="es-MX"/>
        </w:rPr>
        <w:t>por ciento</w:t>
      </w:r>
      <w:r w:rsidRPr="00B430EE">
        <w:rPr>
          <w:lang w:val="es-ES"/>
        </w:rPr>
        <w:t xml:space="preserve"> del nivel básico acumulado de HCFC para el cumplimiento, lo cual supera el 35</w:t>
      </w:r>
      <w:r w:rsidR="00090171">
        <w:rPr>
          <w:color w:val="000000" w:themeColor="text1"/>
          <w:sz w:val="20"/>
          <w:szCs w:val="20"/>
          <w:lang w:val="es-MX"/>
        </w:rPr>
        <w:t> por ciento</w:t>
      </w:r>
      <w:r w:rsidRPr="00B430EE">
        <w:rPr>
          <w:lang w:val="es-ES"/>
        </w:rPr>
        <w:t xml:space="preserve"> requerido para el objetivo de cumplimiento fijado para 2020.</w:t>
      </w:r>
    </w:p>
    <w:p w:rsidR="00B802C6" w:rsidRPr="00B430EE" w:rsidRDefault="00B802C6" w:rsidP="00B802C6">
      <w:pPr>
        <w:pStyle w:val="Heading1"/>
        <w:rPr>
          <w:lang w:val="es-ES"/>
        </w:rPr>
      </w:pPr>
      <w:r w:rsidRPr="00B430EE">
        <w:rPr>
          <w:lang w:val="es-ES"/>
        </w:rPr>
        <w:t>Considerando que parte de los HCFC que estarán en uso hasta 2030 inclusive se sustituirán por HFC, los HFC que se incorporarán podrían resultar admisibles para la financiación (por ejemplo, si la incorporación se produjese en empresas que cumplen las condiciones de acuerdo con el párrafo 18 de la decisión XXVIII/2 y otros criterios de admisibilidad). Se desconoce, no obstante, cuál sería la cantidad real de HFC que se podrían incorporar. Sobre la base de esta información, en el Cuadro 9 se ilustran las posibles cantidades de HFC que se podrían incorporar (medidas en toneladas métricas y equivalentes de CO</w:t>
      </w:r>
      <w:r w:rsidRPr="00B430EE">
        <w:rPr>
          <w:vertAlign w:val="subscript"/>
          <w:lang w:val="es-ES"/>
        </w:rPr>
        <w:t>2</w:t>
      </w:r>
      <w:r w:rsidRPr="00B430EE">
        <w:rPr>
          <w:lang w:val="es-ES"/>
        </w:rPr>
        <w:t>) en relación con diferentes niveles de HCFC que se eliminarán (es decir, entre el 10</w:t>
      </w:r>
      <w:r w:rsidR="00090171" w:rsidRPr="00090171">
        <w:rPr>
          <w:color w:val="000000" w:themeColor="text1"/>
          <w:sz w:val="20"/>
          <w:szCs w:val="20"/>
          <w:lang w:val="es-MX"/>
        </w:rPr>
        <w:t xml:space="preserve"> </w:t>
      </w:r>
      <w:r w:rsidR="00090171">
        <w:rPr>
          <w:color w:val="000000" w:themeColor="text1"/>
          <w:sz w:val="20"/>
          <w:szCs w:val="20"/>
          <w:lang w:val="es-MX"/>
        </w:rPr>
        <w:t>por ciento</w:t>
      </w:r>
      <w:r w:rsidRPr="00B430EE">
        <w:rPr>
          <w:lang w:val="es-ES"/>
        </w:rPr>
        <w:t xml:space="preserve"> y el 65</w:t>
      </w:r>
      <w:r w:rsidR="00090171" w:rsidRPr="00090171">
        <w:rPr>
          <w:color w:val="000000" w:themeColor="text1"/>
          <w:sz w:val="20"/>
          <w:szCs w:val="20"/>
          <w:lang w:val="es-MX"/>
        </w:rPr>
        <w:t xml:space="preserve"> </w:t>
      </w:r>
      <w:r w:rsidR="00090171">
        <w:rPr>
          <w:color w:val="000000" w:themeColor="text1"/>
          <w:sz w:val="20"/>
          <w:szCs w:val="20"/>
          <w:lang w:val="es-MX"/>
        </w:rPr>
        <w:t>por ciento</w:t>
      </w:r>
      <w:r w:rsidRPr="00B430EE">
        <w:rPr>
          <w:lang w:val="es-ES"/>
        </w:rPr>
        <w:t xml:space="preserve"> del nivel básico de HCFC establecido). En el Cuadro 9 también se presentan, a título ilustrativo, las cantidades específicas que se podrían incorporar para cada uno de los HFC incluidos en el nivel básico estimado.</w:t>
      </w:r>
    </w:p>
    <w:p w:rsidR="00B802C6" w:rsidRPr="00B430EE" w:rsidRDefault="00B802C6" w:rsidP="00B802C6">
      <w:pPr>
        <w:rPr>
          <w:b/>
          <w:sz w:val="21"/>
          <w:szCs w:val="21"/>
          <w:lang w:val="es-ES"/>
        </w:rPr>
      </w:pPr>
      <w:r w:rsidRPr="00B430EE">
        <w:rPr>
          <w:b/>
          <w:sz w:val="21"/>
          <w:szCs w:val="21"/>
          <w:lang w:val="es-ES"/>
        </w:rPr>
        <w:t>Cuadro 9. HFC que se podrían incorporar en relación con diferentes niveles de los HCFC que se eliminarán</w:t>
      </w:r>
    </w:p>
    <w:tbl>
      <w:tblPr>
        <w:tblW w:w="9350" w:type="dxa"/>
        <w:tblLayout w:type="fixed"/>
        <w:tblLook w:val="04A0" w:firstRow="1" w:lastRow="0" w:firstColumn="1" w:lastColumn="0" w:noHBand="0" w:noVBand="1"/>
      </w:tblPr>
      <w:tblGrid>
        <w:gridCol w:w="1698"/>
        <w:gridCol w:w="1093"/>
        <w:gridCol w:w="1093"/>
        <w:gridCol w:w="1093"/>
        <w:gridCol w:w="1093"/>
        <w:gridCol w:w="1093"/>
        <w:gridCol w:w="1093"/>
        <w:gridCol w:w="1094"/>
      </w:tblGrid>
      <w:tr w:rsidR="00B802C6" w:rsidRPr="0062383B" w:rsidTr="00B802C6">
        <w:trPr>
          <w:tblHeader/>
        </w:trPr>
        <w:tc>
          <w:tcPr>
            <w:tcW w:w="169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b/>
                <w:bCs/>
                <w:color w:val="000000"/>
                <w:sz w:val="18"/>
                <w:szCs w:val="18"/>
              </w:rPr>
            </w:pPr>
            <w:r>
              <w:rPr>
                <w:b/>
                <w:bCs/>
                <w:color w:val="000000"/>
                <w:sz w:val="18"/>
                <w:szCs w:val="18"/>
              </w:rPr>
              <w:t>Componente</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10%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20%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30%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40%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50%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60%</w:t>
            </w:r>
          </w:p>
        </w:tc>
        <w:tc>
          <w:tcPr>
            <w:tcW w:w="109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center"/>
              <w:rPr>
                <w:b/>
                <w:bCs/>
                <w:color w:val="000000"/>
                <w:sz w:val="18"/>
                <w:szCs w:val="18"/>
              </w:rPr>
            </w:pPr>
            <w:r>
              <w:rPr>
                <w:b/>
                <w:bCs/>
                <w:color w:val="000000"/>
                <w:sz w:val="18"/>
                <w:szCs w:val="18"/>
              </w:rPr>
              <w:t>65%</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b/>
                <w:bCs/>
                <w:color w:val="000000"/>
                <w:sz w:val="18"/>
                <w:szCs w:val="18"/>
              </w:rPr>
            </w:pPr>
            <w:r>
              <w:rPr>
                <w:b/>
                <w:bCs/>
                <w:color w:val="000000"/>
                <w:sz w:val="18"/>
                <w:szCs w:val="18"/>
              </w:rPr>
              <w:t>Toneladas métricas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 </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Componente de HCFC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53</w:t>
            </w:r>
            <w:r w:rsidR="003E0D64">
              <w:rPr>
                <w:color w:val="000000"/>
                <w:sz w:val="18"/>
                <w:szCs w:val="18"/>
              </w:rPr>
              <w:t> </w:t>
            </w:r>
            <w:r>
              <w:rPr>
                <w:color w:val="000000"/>
                <w:sz w:val="18"/>
                <w:szCs w:val="18"/>
              </w:rPr>
              <w:t>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107</w:t>
            </w:r>
            <w:r w:rsidR="003E0D64">
              <w:rPr>
                <w:color w:val="000000"/>
                <w:sz w:val="18"/>
                <w:szCs w:val="18"/>
              </w:rPr>
              <w:t> </w:t>
            </w:r>
            <w:r>
              <w:rPr>
                <w:color w:val="000000"/>
                <w:sz w:val="18"/>
                <w:szCs w:val="18"/>
              </w:rPr>
              <w:t>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160</w:t>
            </w:r>
            <w:r w:rsidR="003E0D64">
              <w:rPr>
                <w:color w:val="000000"/>
                <w:sz w:val="18"/>
                <w:szCs w:val="18"/>
              </w:rPr>
              <w:t> </w:t>
            </w:r>
            <w:r>
              <w:rPr>
                <w:color w:val="000000"/>
                <w:sz w:val="18"/>
                <w:szCs w:val="18"/>
              </w:rPr>
              <w:t>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214</w:t>
            </w:r>
            <w:r w:rsidR="003E0D64">
              <w:rPr>
                <w:color w:val="000000"/>
                <w:sz w:val="18"/>
                <w:szCs w:val="18"/>
              </w:rPr>
              <w:t> </w:t>
            </w:r>
            <w:r>
              <w:rPr>
                <w:color w:val="000000"/>
                <w:sz w:val="18"/>
                <w:szCs w:val="18"/>
              </w:rPr>
              <w:t>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267</w:t>
            </w:r>
            <w:r w:rsidR="003E0D64">
              <w:rPr>
                <w:color w:val="000000"/>
                <w:sz w:val="18"/>
                <w:szCs w:val="18"/>
              </w:rPr>
              <w:t> </w:t>
            </w:r>
            <w:r>
              <w:rPr>
                <w:color w:val="000000"/>
                <w:sz w:val="18"/>
                <w:szCs w:val="18"/>
              </w:rPr>
              <w:t>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321</w:t>
            </w:r>
            <w:r w:rsidR="003E0D64">
              <w:rPr>
                <w:color w:val="000000"/>
                <w:sz w:val="18"/>
                <w:szCs w:val="18"/>
              </w:rPr>
              <w:t> </w:t>
            </w:r>
            <w:r>
              <w:rPr>
                <w:color w:val="000000"/>
                <w:sz w:val="18"/>
                <w:szCs w:val="18"/>
              </w:rPr>
              <w:t>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348</w:t>
            </w:r>
            <w:r w:rsidR="003E0D64">
              <w:rPr>
                <w:color w:val="000000"/>
                <w:sz w:val="18"/>
                <w:szCs w:val="18"/>
              </w:rPr>
              <w:t> </w:t>
            </w:r>
            <w:r>
              <w:rPr>
                <w:color w:val="000000"/>
                <w:sz w:val="18"/>
                <w:szCs w:val="18"/>
              </w:rPr>
              <w:t>321</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Componente de HFC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520</w:t>
            </w:r>
            <w:r w:rsidR="003E0D64">
              <w:rPr>
                <w:color w:val="000000"/>
                <w:sz w:val="18"/>
                <w:szCs w:val="18"/>
              </w:rPr>
              <w:t> </w:t>
            </w:r>
            <w:r>
              <w:rPr>
                <w:color w:val="000000"/>
                <w:sz w:val="18"/>
                <w:szCs w:val="18"/>
              </w:rPr>
              <w:t>909</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left"/>
              <w:rPr>
                <w:b/>
                <w:bCs/>
                <w:color w:val="000000"/>
                <w:sz w:val="18"/>
                <w:szCs w:val="18"/>
              </w:rPr>
            </w:pPr>
            <w:r>
              <w:rPr>
                <w:b/>
                <w:bCs/>
                <w:color w:val="000000"/>
                <w:sz w:val="18"/>
                <w:szCs w:val="18"/>
              </w:rPr>
              <w:t>Total (tm)</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574</w:t>
            </w:r>
            <w:r w:rsidR="003E0D64">
              <w:rPr>
                <w:color w:val="000000"/>
                <w:sz w:val="18"/>
                <w:szCs w:val="18"/>
              </w:rPr>
              <w:t> </w:t>
            </w:r>
            <w:r>
              <w:rPr>
                <w:color w:val="000000"/>
                <w:sz w:val="18"/>
                <w:szCs w:val="18"/>
              </w:rPr>
              <w:t>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628</w:t>
            </w:r>
            <w:r w:rsidR="003E0D64">
              <w:rPr>
                <w:color w:val="000000"/>
                <w:sz w:val="18"/>
                <w:szCs w:val="18"/>
              </w:rPr>
              <w:t> </w:t>
            </w:r>
            <w:r>
              <w:rPr>
                <w:color w:val="000000"/>
                <w:sz w:val="18"/>
                <w:szCs w:val="18"/>
              </w:rPr>
              <w:t>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681</w:t>
            </w:r>
            <w:r w:rsidR="003E0D64">
              <w:rPr>
                <w:color w:val="000000"/>
                <w:sz w:val="18"/>
                <w:szCs w:val="18"/>
              </w:rPr>
              <w:t> </w:t>
            </w:r>
            <w:r>
              <w:rPr>
                <w:color w:val="000000"/>
                <w:sz w:val="18"/>
                <w:szCs w:val="18"/>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735</w:t>
            </w:r>
            <w:r w:rsidR="003E0D64">
              <w:rPr>
                <w:color w:val="000000"/>
                <w:sz w:val="18"/>
                <w:szCs w:val="18"/>
              </w:rPr>
              <w:t> </w:t>
            </w:r>
            <w:r>
              <w:rPr>
                <w:color w:val="000000"/>
                <w:sz w:val="18"/>
                <w:szCs w:val="18"/>
              </w:rPr>
              <w:t>261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788</w:t>
            </w:r>
            <w:r w:rsidR="003E0D64">
              <w:rPr>
                <w:color w:val="000000"/>
                <w:sz w:val="18"/>
                <w:szCs w:val="18"/>
              </w:rPr>
              <w:t> </w:t>
            </w:r>
            <w:r>
              <w:rPr>
                <w:color w:val="000000"/>
                <w:sz w:val="18"/>
                <w:szCs w:val="18"/>
              </w:rPr>
              <w:t>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842</w:t>
            </w:r>
            <w:r w:rsidR="003E0D64">
              <w:rPr>
                <w:color w:val="000000"/>
                <w:sz w:val="18"/>
                <w:szCs w:val="18"/>
              </w:rPr>
              <w:t> </w:t>
            </w:r>
            <w:r>
              <w:rPr>
                <w:color w:val="000000"/>
                <w:sz w:val="18"/>
                <w:szCs w:val="18"/>
              </w:rPr>
              <w:t>436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869</w:t>
            </w:r>
            <w:r w:rsidR="003E0D64">
              <w:rPr>
                <w:color w:val="000000"/>
                <w:sz w:val="18"/>
                <w:szCs w:val="18"/>
              </w:rPr>
              <w:t> </w:t>
            </w:r>
            <w:r>
              <w:rPr>
                <w:color w:val="000000"/>
                <w:sz w:val="18"/>
                <w:szCs w:val="18"/>
              </w:rPr>
              <w:t>230</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left"/>
              <w:rPr>
                <w:b/>
                <w:bCs/>
                <w:color w:val="000000"/>
                <w:sz w:val="18"/>
                <w:szCs w:val="18"/>
              </w:rPr>
            </w:pPr>
            <w:r>
              <w:rPr>
                <w:b/>
                <w:bCs/>
                <w:color w:val="000000"/>
                <w:sz w:val="18"/>
                <w:szCs w:val="18"/>
              </w:rPr>
              <w:t>Equivalentes de CO</w:t>
            </w:r>
            <w:r>
              <w:rPr>
                <w:b/>
                <w:bCs/>
                <w:color w:val="000000"/>
                <w:sz w:val="18"/>
                <w:szCs w:val="18"/>
                <w:vertAlign w:val="subscript"/>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lang w:val="en-CA" w:eastAsia="en-CA"/>
              </w:rPr>
            </w:pP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7"/>
                <w:szCs w:val="17"/>
              </w:rPr>
            </w:pPr>
            <w:r>
              <w:rPr>
                <w:color w:val="000000"/>
                <w:sz w:val="17"/>
                <w:szCs w:val="17"/>
              </w:rPr>
              <w:t>Total componente de HCFC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86</w:t>
            </w:r>
            <w:r w:rsidR="003E0D64">
              <w:rPr>
                <w:color w:val="000000"/>
                <w:sz w:val="18"/>
                <w:szCs w:val="18"/>
              </w:rPr>
              <w:t> </w:t>
            </w:r>
            <w:r>
              <w:rPr>
                <w:color w:val="000000"/>
                <w:sz w:val="18"/>
                <w:szCs w:val="18"/>
              </w:rPr>
              <w:t>937</w:t>
            </w:r>
            <w:r w:rsidR="003E0D64">
              <w:rPr>
                <w:color w:val="000000"/>
                <w:sz w:val="18"/>
                <w:szCs w:val="18"/>
              </w:rPr>
              <w:t> </w:t>
            </w:r>
            <w:r>
              <w:rPr>
                <w:color w:val="000000"/>
                <w:sz w:val="18"/>
                <w:szCs w:val="18"/>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173</w:t>
            </w:r>
            <w:r w:rsidR="003E0D64">
              <w:rPr>
                <w:color w:val="000000"/>
                <w:sz w:val="18"/>
                <w:szCs w:val="18"/>
              </w:rPr>
              <w:t> </w:t>
            </w:r>
            <w:r>
              <w:rPr>
                <w:color w:val="000000"/>
                <w:sz w:val="18"/>
                <w:szCs w:val="18"/>
              </w:rPr>
              <w:t>874</w:t>
            </w:r>
            <w:r w:rsidR="003E0D64">
              <w:rPr>
                <w:color w:val="000000"/>
                <w:sz w:val="18"/>
                <w:szCs w:val="18"/>
              </w:rPr>
              <w:t> </w:t>
            </w:r>
            <w:r>
              <w:rPr>
                <w:color w:val="000000"/>
                <w:sz w:val="18"/>
                <w:szCs w:val="18"/>
              </w:rPr>
              <w:t>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260</w:t>
            </w:r>
            <w:r w:rsidR="003E0D64">
              <w:rPr>
                <w:color w:val="000000"/>
                <w:sz w:val="18"/>
                <w:szCs w:val="18"/>
              </w:rPr>
              <w:t> </w:t>
            </w:r>
            <w:r>
              <w:rPr>
                <w:color w:val="000000"/>
                <w:sz w:val="18"/>
                <w:szCs w:val="18"/>
              </w:rPr>
              <w:t>811</w:t>
            </w:r>
            <w:r w:rsidR="003E0D64">
              <w:rPr>
                <w:color w:val="000000"/>
                <w:sz w:val="18"/>
                <w:szCs w:val="18"/>
              </w:rPr>
              <w:t> </w:t>
            </w:r>
            <w:r>
              <w:rPr>
                <w:color w:val="000000"/>
                <w:sz w:val="18"/>
                <w:szCs w:val="18"/>
              </w:rPr>
              <w:t>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347</w:t>
            </w:r>
            <w:r w:rsidR="003E0D64">
              <w:rPr>
                <w:color w:val="000000"/>
                <w:sz w:val="18"/>
                <w:szCs w:val="18"/>
              </w:rPr>
              <w:t> </w:t>
            </w:r>
            <w:r>
              <w:rPr>
                <w:color w:val="000000"/>
                <w:sz w:val="18"/>
                <w:szCs w:val="18"/>
              </w:rPr>
              <w:t>748</w:t>
            </w:r>
            <w:r w:rsidR="003E0D64">
              <w:rPr>
                <w:color w:val="000000"/>
                <w:sz w:val="18"/>
                <w:szCs w:val="18"/>
              </w:rPr>
              <w:t> </w:t>
            </w:r>
            <w:r>
              <w:rPr>
                <w:color w:val="000000"/>
                <w:sz w:val="18"/>
                <w:szCs w:val="18"/>
              </w:rPr>
              <w:t>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434</w:t>
            </w:r>
            <w:r w:rsidR="003E0D64">
              <w:rPr>
                <w:color w:val="000000"/>
                <w:sz w:val="18"/>
                <w:szCs w:val="18"/>
              </w:rPr>
              <w:t> </w:t>
            </w:r>
            <w:r>
              <w:rPr>
                <w:color w:val="000000"/>
                <w:sz w:val="18"/>
                <w:szCs w:val="18"/>
              </w:rPr>
              <w:t>685</w:t>
            </w:r>
            <w:r w:rsidR="003E0D64">
              <w:rPr>
                <w:color w:val="000000"/>
                <w:sz w:val="18"/>
                <w:szCs w:val="18"/>
              </w:rPr>
              <w:t> </w:t>
            </w:r>
            <w:r>
              <w:rPr>
                <w:color w:val="000000"/>
                <w:sz w:val="18"/>
                <w:szCs w:val="18"/>
              </w:rPr>
              <w:t>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521</w:t>
            </w:r>
            <w:r w:rsidR="003E0D64">
              <w:rPr>
                <w:color w:val="000000"/>
                <w:sz w:val="18"/>
                <w:szCs w:val="18"/>
              </w:rPr>
              <w:t> </w:t>
            </w:r>
            <w:r>
              <w:rPr>
                <w:color w:val="000000"/>
                <w:sz w:val="18"/>
                <w:szCs w:val="18"/>
              </w:rPr>
              <w:t>622</w:t>
            </w:r>
            <w:r w:rsidR="003E0D64">
              <w:rPr>
                <w:color w:val="000000"/>
                <w:sz w:val="18"/>
                <w:szCs w:val="18"/>
              </w:rPr>
              <w:t> </w:t>
            </w:r>
            <w:r>
              <w:rPr>
                <w:color w:val="000000"/>
                <w:sz w:val="18"/>
                <w:szCs w:val="18"/>
              </w:rPr>
              <w:t>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565</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392</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Total componente de HFC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111</w:t>
            </w:r>
            <w:r w:rsidR="003E0D64">
              <w:rPr>
                <w:color w:val="000000"/>
                <w:sz w:val="18"/>
                <w:szCs w:val="18"/>
              </w:rPr>
              <w:t> </w:t>
            </w:r>
            <w:r>
              <w:rPr>
                <w:color w:val="000000"/>
                <w:sz w:val="18"/>
                <w:szCs w:val="18"/>
              </w:rPr>
              <w:t>362</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B430EE" w:rsidRDefault="00B802C6" w:rsidP="00B802C6">
            <w:pPr>
              <w:jc w:val="left"/>
              <w:rPr>
                <w:color w:val="000000"/>
                <w:sz w:val="18"/>
                <w:szCs w:val="18"/>
                <w:lang w:val="es-ES"/>
              </w:rPr>
            </w:pPr>
            <w:r w:rsidRPr="00B430EE">
              <w:rPr>
                <w:color w:val="000000"/>
                <w:sz w:val="18"/>
                <w:szCs w:val="18"/>
                <w:lang w:val="es-ES"/>
              </w:rPr>
              <w:t>Total de equivalentes de CO</w:t>
            </w:r>
            <w:r w:rsidRPr="00B430EE">
              <w:rPr>
                <w:color w:val="000000"/>
                <w:sz w:val="18"/>
                <w:szCs w:val="18"/>
                <w:vertAlign w:val="subscript"/>
                <w:lang w:val="es-ES"/>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178</w:t>
            </w:r>
            <w:r w:rsidR="003E0D64">
              <w:rPr>
                <w:color w:val="000000"/>
                <w:sz w:val="18"/>
                <w:szCs w:val="18"/>
              </w:rPr>
              <w:t> </w:t>
            </w:r>
            <w:r>
              <w:rPr>
                <w:color w:val="000000"/>
                <w:sz w:val="18"/>
                <w:szCs w:val="18"/>
              </w:rPr>
              <w:t>048</w:t>
            </w:r>
            <w:r w:rsidR="003E0D64">
              <w:rPr>
                <w:color w:val="000000"/>
                <w:sz w:val="18"/>
                <w:szCs w:val="18"/>
              </w:rPr>
              <w:t> </w:t>
            </w:r>
            <w:r>
              <w:rPr>
                <w:color w:val="000000"/>
                <w:sz w:val="18"/>
                <w:szCs w:val="18"/>
              </w:rPr>
              <w:t>499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264</w:t>
            </w:r>
            <w:r w:rsidR="003E0D64">
              <w:rPr>
                <w:color w:val="000000"/>
                <w:sz w:val="18"/>
                <w:szCs w:val="18"/>
              </w:rPr>
              <w:t> </w:t>
            </w:r>
            <w:r>
              <w:rPr>
                <w:color w:val="000000"/>
                <w:sz w:val="18"/>
                <w:szCs w:val="18"/>
              </w:rPr>
              <w:t>985</w:t>
            </w:r>
            <w:r w:rsidR="003E0D64">
              <w:rPr>
                <w:color w:val="000000"/>
                <w:sz w:val="18"/>
                <w:szCs w:val="18"/>
              </w:rPr>
              <w:t> </w:t>
            </w:r>
            <w:r>
              <w:rPr>
                <w:color w:val="000000"/>
                <w:sz w:val="18"/>
                <w:szCs w:val="18"/>
              </w:rPr>
              <w:t>637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351</w:t>
            </w:r>
            <w:r w:rsidR="003E0D64">
              <w:rPr>
                <w:color w:val="000000"/>
                <w:sz w:val="18"/>
                <w:szCs w:val="18"/>
              </w:rPr>
              <w:t> </w:t>
            </w:r>
            <w:r>
              <w:rPr>
                <w:color w:val="000000"/>
                <w:sz w:val="18"/>
                <w:szCs w:val="18"/>
              </w:rPr>
              <w:t>922</w:t>
            </w:r>
            <w:r w:rsidR="003E0D64">
              <w:rPr>
                <w:color w:val="000000"/>
                <w:sz w:val="18"/>
                <w:szCs w:val="18"/>
              </w:rPr>
              <w:t> </w:t>
            </w:r>
            <w:r>
              <w:rPr>
                <w:color w:val="000000"/>
                <w:sz w:val="18"/>
                <w:szCs w:val="18"/>
              </w:rPr>
              <w:t>774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438</w:t>
            </w:r>
            <w:r w:rsidR="003E0D64">
              <w:rPr>
                <w:color w:val="000000"/>
                <w:sz w:val="18"/>
                <w:szCs w:val="18"/>
              </w:rPr>
              <w:t> </w:t>
            </w:r>
            <w:r>
              <w:rPr>
                <w:color w:val="000000"/>
                <w:sz w:val="18"/>
                <w:szCs w:val="18"/>
              </w:rPr>
              <w:t>859</w:t>
            </w:r>
            <w:r w:rsidR="003E0D64">
              <w:rPr>
                <w:color w:val="000000"/>
                <w:sz w:val="18"/>
                <w:szCs w:val="18"/>
              </w:rPr>
              <w:t> </w:t>
            </w:r>
            <w:r>
              <w:rPr>
                <w:color w:val="000000"/>
                <w:sz w:val="18"/>
                <w:szCs w:val="18"/>
              </w:rPr>
              <w:t>911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525</w:t>
            </w:r>
            <w:r w:rsidR="003E0D64">
              <w:rPr>
                <w:color w:val="000000"/>
                <w:sz w:val="18"/>
                <w:szCs w:val="18"/>
              </w:rPr>
              <w:t> </w:t>
            </w:r>
            <w:r>
              <w:rPr>
                <w:color w:val="000000"/>
                <w:sz w:val="18"/>
                <w:szCs w:val="18"/>
              </w:rPr>
              <w:t>797</w:t>
            </w:r>
            <w:r w:rsidR="003E0D64">
              <w:rPr>
                <w:color w:val="000000"/>
                <w:sz w:val="18"/>
                <w:szCs w:val="18"/>
              </w:rPr>
              <w:t> </w:t>
            </w:r>
            <w:r>
              <w:rPr>
                <w:color w:val="000000"/>
                <w:sz w:val="18"/>
                <w:szCs w:val="18"/>
              </w:rPr>
              <w:t>048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612</w:t>
            </w:r>
            <w:r w:rsidR="003E0D64">
              <w:rPr>
                <w:color w:val="000000"/>
                <w:sz w:val="18"/>
                <w:szCs w:val="18"/>
              </w:rPr>
              <w:t> </w:t>
            </w:r>
            <w:r>
              <w:rPr>
                <w:color w:val="000000"/>
                <w:sz w:val="18"/>
                <w:szCs w:val="18"/>
              </w:rPr>
              <w:t>734</w:t>
            </w:r>
            <w:r w:rsidR="003E0D64">
              <w:rPr>
                <w:color w:val="000000"/>
                <w:sz w:val="18"/>
                <w:szCs w:val="18"/>
              </w:rPr>
              <w:t> </w:t>
            </w:r>
            <w:r>
              <w:rPr>
                <w:color w:val="000000"/>
                <w:sz w:val="18"/>
                <w:szCs w:val="18"/>
              </w:rPr>
              <w:t>186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656</w:t>
            </w:r>
            <w:r w:rsidR="003E0D64">
              <w:rPr>
                <w:color w:val="000000"/>
                <w:sz w:val="18"/>
                <w:szCs w:val="18"/>
              </w:rPr>
              <w:t> </w:t>
            </w:r>
            <w:r>
              <w:rPr>
                <w:color w:val="000000"/>
                <w:sz w:val="18"/>
                <w:szCs w:val="18"/>
              </w:rPr>
              <w:t>202</w:t>
            </w:r>
            <w:r w:rsidR="003E0D64">
              <w:rPr>
                <w:color w:val="000000"/>
                <w:sz w:val="18"/>
                <w:szCs w:val="18"/>
              </w:rPr>
              <w:t> </w:t>
            </w:r>
            <w:r>
              <w:rPr>
                <w:color w:val="000000"/>
                <w:sz w:val="18"/>
                <w:szCs w:val="18"/>
              </w:rPr>
              <w:t>754</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Total HCFC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19,3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32,3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34,1</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Total HFC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92,6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80,7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67,7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65,9</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b/>
                <w:bCs/>
                <w:color w:val="000000"/>
                <w:sz w:val="18"/>
                <w:szCs w:val="18"/>
              </w:rPr>
            </w:pPr>
            <w:r>
              <w:rPr>
                <w:b/>
                <w:bCs/>
                <w:color w:val="000000"/>
                <w:sz w:val="18"/>
                <w:szCs w:val="18"/>
              </w:rPr>
              <w:t>Total equivalentes de CO</w:t>
            </w:r>
            <w:r>
              <w:rPr>
                <w:b/>
                <w:bCs/>
                <w:color w:val="000000"/>
                <w:sz w:val="18"/>
                <w:szCs w:val="18"/>
                <w:vertAlign w:val="subscript"/>
              </w:rPr>
              <w:t>2</w:t>
            </w:r>
            <w:r>
              <w:rPr>
                <w:b/>
                <w:bCs/>
                <w:color w:val="000000"/>
                <w:sz w:val="18"/>
                <w:szCs w:val="18"/>
              </w:rPr>
              <w:t xml:space="preserve">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100</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b/>
                <w:bCs/>
                <w:color w:val="000000"/>
                <w:sz w:val="18"/>
                <w:szCs w:val="18"/>
              </w:rPr>
            </w:pPr>
            <w:r>
              <w:rPr>
                <w:b/>
                <w:bCs/>
                <w:color w:val="000000"/>
                <w:sz w:val="18"/>
                <w:szCs w:val="18"/>
              </w:rPr>
              <w:t>Ton. adicionales (tm)</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lang w:val="en-CA" w:eastAsia="en-CA"/>
              </w:rPr>
            </w:pP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11</w:t>
            </w:r>
            <w:r w:rsidR="003E0D64">
              <w:rPr>
                <w:color w:val="000000"/>
                <w:sz w:val="18"/>
                <w:szCs w:val="18"/>
              </w:rPr>
              <w:t> </w:t>
            </w:r>
            <w:r>
              <w:rPr>
                <w:color w:val="000000"/>
                <w:sz w:val="18"/>
                <w:szCs w:val="18"/>
              </w:rPr>
              <w:t>596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23</w:t>
            </w:r>
            <w:r w:rsidR="003E0D64">
              <w:rPr>
                <w:color w:val="000000"/>
                <w:sz w:val="18"/>
                <w:szCs w:val="18"/>
              </w:rPr>
              <w:t> </w:t>
            </w:r>
            <w:r>
              <w:rPr>
                <w:color w:val="000000"/>
                <w:sz w:val="18"/>
                <w:szCs w:val="18"/>
              </w:rPr>
              <w:t>191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34</w:t>
            </w:r>
            <w:r w:rsidR="003E0D64">
              <w:rPr>
                <w:color w:val="000000"/>
                <w:sz w:val="18"/>
                <w:szCs w:val="18"/>
              </w:rPr>
              <w:t> </w:t>
            </w:r>
            <w:r>
              <w:rPr>
                <w:color w:val="000000"/>
                <w:sz w:val="18"/>
                <w:szCs w:val="18"/>
              </w:rPr>
              <w:t>787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46</w:t>
            </w:r>
            <w:r w:rsidR="003E0D64">
              <w:rPr>
                <w:color w:val="000000"/>
                <w:sz w:val="18"/>
                <w:szCs w:val="18"/>
              </w:rPr>
              <w:t> </w:t>
            </w:r>
            <w:r>
              <w:rPr>
                <w:color w:val="000000"/>
                <w:sz w:val="18"/>
                <w:szCs w:val="18"/>
              </w:rPr>
              <w:t>383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57</w:t>
            </w:r>
            <w:r w:rsidR="003E0D64">
              <w:rPr>
                <w:color w:val="000000"/>
                <w:sz w:val="18"/>
                <w:szCs w:val="18"/>
              </w:rPr>
              <w:t> </w:t>
            </w:r>
            <w:r>
              <w:rPr>
                <w:color w:val="000000"/>
                <w:sz w:val="18"/>
                <w:szCs w:val="18"/>
              </w:rPr>
              <w:t>978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69</w:t>
            </w:r>
            <w:r w:rsidR="003E0D64">
              <w:rPr>
                <w:color w:val="000000"/>
                <w:sz w:val="18"/>
                <w:szCs w:val="18"/>
              </w:rPr>
              <w:t> </w:t>
            </w:r>
            <w:r>
              <w:rPr>
                <w:color w:val="000000"/>
                <w:sz w:val="18"/>
                <w:szCs w:val="18"/>
              </w:rPr>
              <w:t>574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75</w:t>
            </w:r>
            <w:r w:rsidR="003E0D64">
              <w:rPr>
                <w:color w:val="000000"/>
                <w:sz w:val="18"/>
                <w:szCs w:val="18"/>
              </w:rPr>
              <w:t> </w:t>
            </w:r>
            <w:r>
              <w:rPr>
                <w:color w:val="000000"/>
                <w:sz w:val="18"/>
                <w:szCs w:val="18"/>
              </w:rPr>
              <w:t>372</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21</w:t>
            </w:r>
            <w:r w:rsidR="003E0D64">
              <w:rPr>
                <w:color w:val="000000"/>
                <w:sz w:val="18"/>
                <w:szCs w:val="18"/>
              </w:rPr>
              <w:t> </w:t>
            </w:r>
            <w:r>
              <w:rPr>
                <w:color w:val="000000"/>
                <w:sz w:val="18"/>
                <w:szCs w:val="18"/>
              </w:rPr>
              <w:t>483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42</w:t>
            </w:r>
            <w:r w:rsidR="003E0D64">
              <w:rPr>
                <w:color w:val="000000"/>
                <w:sz w:val="18"/>
                <w:szCs w:val="18"/>
              </w:rPr>
              <w:t> </w:t>
            </w:r>
            <w:r>
              <w:rPr>
                <w:color w:val="000000"/>
                <w:sz w:val="18"/>
                <w:szCs w:val="18"/>
              </w:rPr>
              <w:t>965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64</w:t>
            </w:r>
            <w:r w:rsidR="003E0D64">
              <w:rPr>
                <w:color w:val="000000"/>
                <w:sz w:val="18"/>
                <w:szCs w:val="18"/>
              </w:rPr>
              <w:t> </w:t>
            </w:r>
            <w:r>
              <w:rPr>
                <w:color w:val="000000"/>
                <w:sz w:val="18"/>
                <w:szCs w:val="18"/>
              </w:rPr>
              <w:t>448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85</w:t>
            </w:r>
            <w:r w:rsidR="003E0D64">
              <w:rPr>
                <w:color w:val="000000"/>
                <w:sz w:val="18"/>
                <w:szCs w:val="18"/>
              </w:rPr>
              <w:t> </w:t>
            </w:r>
            <w:r>
              <w:rPr>
                <w:color w:val="000000"/>
                <w:sz w:val="18"/>
                <w:szCs w:val="18"/>
              </w:rPr>
              <w:t>930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107</w:t>
            </w:r>
            <w:r w:rsidR="003E0D64">
              <w:rPr>
                <w:color w:val="000000"/>
                <w:sz w:val="18"/>
                <w:szCs w:val="18"/>
              </w:rPr>
              <w:t> </w:t>
            </w:r>
            <w:r>
              <w:rPr>
                <w:color w:val="000000"/>
                <w:sz w:val="18"/>
                <w:szCs w:val="18"/>
              </w:rPr>
              <w:t>413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128</w:t>
            </w:r>
            <w:r w:rsidR="003E0D64">
              <w:rPr>
                <w:color w:val="000000"/>
                <w:sz w:val="18"/>
                <w:szCs w:val="18"/>
              </w:rPr>
              <w:t> </w:t>
            </w:r>
            <w:r>
              <w:rPr>
                <w:color w:val="000000"/>
                <w:sz w:val="18"/>
                <w:szCs w:val="18"/>
              </w:rPr>
              <w:t>896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139</w:t>
            </w:r>
            <w:r w:rsidR="003E0D64">
              <w:rPr>
                <w:color w:val="000000"/>
                <w:sz w:val="18"/>
                <w:szCs w:val="18"/>
              </w:rPr>
              <w:t> </w:t>
            </w:r>
            <w:r>
              <w:rPr>
                <w:color w:val="000000"/>
                <w:sz w:val="18"/>
                <w:szCs w:val="18"/>
              </w:rPr>
              <w:t>637</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11</w:t>
            </w:r>
            <w:r w:rsidR="003E0D64">
              <w:rPr>
                <w:color w:val="000000"/>
                <w:sz w:val="18"/>
                <w:szCs w:val="18"/>
              </w:rPr>
              <w:t> </w:t>
            </w:r>
            <w:r>
              <w:rPr>
                <w:color w:val="000000"/>
                <w:sz w:val="18"/>
                <w:szCs w:val="18"/>
              </w:rPr>
              <w:t>656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23</w:t>
            </w:r>
            <w:r w:rsidR="003E0D64">
              <w:rPr>
                <w:color w:val="000000"/>
                <w:sz w:val="18"/>
                <w:szCs w:val="18"/>
              </w:rPr>
              <w:t> </w:t>
            </w:r>
            <w:r>
              <w:rPr>
                <w:color w:val="000000"/>
                <w:sz w:val="18"/>
                <w:szCs w:val="18"/>
              </w:rPr>
              <w:t>312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34</w:t>
            </w:r>
            <w:r w:rsidR="003E0D64">
              <w:rPr>
                <w:color w:val="000000"/>
                <w:sz w:val="18"/>
                <w:szCs w:val="18"/>
              </w:rPr>
              <w:t> </w:t>
            </w:r>
            <w:r>
              <w:rPr>
                <w:color w:val="000000"/>
                <w:sz w:val="18"/>
                <w:szCs w:val="18"/>
              </w:rPr>
              <w:t>967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46</w:t>
            </w:r>
            <w:r w:rsidR="003E0D64">
              <w:rPr>
                <w:color w:val="000000"/>
                <w:sz w:val="18"/>
                <w:szCs w:val="18"/>
              </w:rPr>
              <w:t> </w:t>
            </w:r>
            <w:r>
              <w:rPr>
                <w:color w:val="000000"/>
                <w:sz w:val="18"/>
                <w:szCs w:val="18"/>
              </w:rPr>
              <w:t>623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58</w:t>
            </w:r>
            <w:r w:rsidR="003E0D64">
              <w:rPr>
                <w:color w:val="000000"/>
                <w:sz w:val="18"/>
                <w:szCs w:val="18"/>
              </w:rPr>
              <w:t> </w:t>
            </w:r>
            <w:r>
              <w:rPr>
                <w:color w:val="000000"/>
                <w:sz w:val="18"/>
                <w:szCs w:val="18"/>
              </w:rPr>
              <w:t>279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69</w:t>
            </w:r>
            <w:r w:rsidR="003E0D64">
              <w:rPr>
                <w:color w:val="000000"/>
                <w:sz w:val="18"/>
                <w:szCs w:val="18"/>
              </w:rPr>
              <w:t> </w:t>
            </w:r>
            <w:r>
              <w:rPr>
                <w:color w:val="000000"/>
                <w:sz w:val="18"/>
                <w:szCs w:val="18"/>
              </w:rPr>
              <w:t>935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75</w:t>
            </w:r>
            <w:r w:rsidR="003E0D64">
              <w:rPr>
                <w:color w:val="000000"/>
                <w:sz w:val="18"/>
                <w:szCs w:val="18"/>
              </w:rPr>
              <w:t> </w:t>
            </w:r>
            <w:r>
              <w:rPr>
                <w:color w:val="000000"/>
                <w:sz w:val="18"/>
                <w:szCs w:val="18"/>
              </w:rPr>
              <w:t>763</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w:t>
            </w:r>
            <w:r w:rsidR="003E0D64">
              <w:rPr>
                <w:color w:val="000000"/>
                <w:sz w:val="18"/>
                <w:szCs w:val="18"/>
              </w:rPr>
              <w:t> </w:t>
            </w:r>
            <w:r>
              <w:rPr>
                <w:color w:val="000000"/>
                <w:sz w:val="18"/>
                <w:szCs w:val="18"/>
              </w:rPr>
              <w:t>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w:t>
            </w:r>
            <w:r w:rsidR="003E0D64">
              <w:rPr>
                <w:color w:val="000000"/>
                <w:sz w:val="18"/>
                <w:szCs w:val="18"/>
              </w:rPr>
              <w:t> </w:t>
            </w:r>
            <w:r>
              <w:rPr>
                <w:color w:val="000000"/>
                <w:sz w:val="18"/>
                <w:szCs w:val="18"/>
              </w:rPr>
              <w:t>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11</w:t>
            </w:r>
            <w:r w:rsidR="003E0D64">
              <w:rPr>
                <w:color w:val="000000"/>
                <w:sz w:val="18"/>
                <w:szCs w:val="18"/>
              </w:rPr>
              <w:t> </w:t>
            </w:r>
            <w:r>
              <w:rPr>
                <w:color w:val="000000"/>
                <w:sz w:val="18"/>
                <w:szCs w:val="18"/>
              </w:rPr>
              <w:t>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14</w:t>
            </w:r>
            <w:r w:rsidR="003E0D64">
              <w:rPr>
                <w:color w:val="000000"/>
                <w:sz w:val="18"/>
                <w:szCs w:val="18"/>
              </w:rPr>
              <w:t> </w:t>
            </w:r>
            <w:r>
              <w:rPr>
                <w:color w:val="000000"/>
                <w:sz w:val="18"/>
                <w:szCs w:val="18"/>
              </w:rPr>
              <w:t>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18</w:t>
            </w:r>
            <w:r w:rsidR="003E0D64">
              <w:rPr>
                <w:color w:val="000000"/>
                <w:sz w:val="18"/>
                <w:szCs w:val="18"/>
              </w:rPr>
              <w:t> </w:t>
            </w:r>
            <w:r>
              <w:rPr>
                <w:color w:val="000000"/>
                <w:sz w:val="18"/>
                <w:szCs w:val="18"/>
              </w:rPr>
              <w:t>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22</w:t>
            </w:r>
            <w:r w:rsidR="003E0D64">
              <w:rPr>
                <w:color w:val="000000"/>
                <w:sz w:val="18"/>
                <w:szCs w:val="18"/>
              </w:rPr>
              <w:t> </w:t>
            </w:r>
            <w:r>
              <w:rPr>
                <w:color w:val="000000"/>
                <w:sz w:val="18"/>
                <w:szCs w:val="18"/>
              </w:rPr>
              <w:t>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24</w:t>
            </w:r>
            <w:r w:rsidR="003E0D64">
              <w:rPr>
                <w:color w:val="000000"/>
                <w:sz w:val="18"/>
                <w:szCs w:val="18"/>
              </w:rPr>
              <w:t> </w:t>
            </w:r>
            <w:r>
              <w:rPr>
                <w:color w:val="000000"/>
                <w:sz w:val="18"/>
                <w:szCs w:val="18"/>
              </w:rPr>
              <w:t>018</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lastRenderedPageBreak/>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w:t>
            </w:r>
            <w:r w:rsidR="003E0D64">
              <w:rPr>
                <w:color w:val="000000"/>
                <w:sz w:val="18"/>
                <w:szCs w:val="18"/>
              </w:rPr>
              <w:t> </w:t>
            </w:r>
            <w:r>
              <w:rPr>
                <w:color w:val="000000"/>
                <w:sz w:val="18"/>
                <w:szCs w:val="18"/>
              </w:rPr>
              <w:t>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w:t>
            </w:r>
            <w:r w:rsidR="003E0D64">
              <w:rPr>
                <w:color w:val="000000"/>
                <w:sz w:val="18"/>
                <w:szCs w:val="18"/>
              </w:rPr>
              <w:t> </w:t>
            </w:r>
            <w:r>
              <w:rPr>
                <w:color w:val="000000"/>
                <w:sz w:val="18"/>
                <w:szCs w:val="18"/>
              </w:rPr>
              <w:t>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11</w:t>
            </w:r>
            <w:r w:rsidR="003E0D64">
              <w:rPr>
                <w:color w:val="000000"/>
                <w:sz w:val="18"/>
                <w:szCs w:val="18"/>
              </w:rPr>
              <w:t> </w:t>
            </w:r>
            <w:r>
              <w:rPr>
                <w:color w:val="000000"/>
                <w:sz w:val="18"/>
                <w:szCs w:val="18"/>
              </w:rPr>
              <w:t>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14</w:t>
            </w:r>
            <w:r w:rsidR="003E0D64">
              <w:rPr>
                <w:color w:val="000000"/>
                <w:sz w:val="18"/>
                <w:szCs w:val="18"/>
              </w:rPr>
              <w:t> </w:t>
            </w:r>
            <w:r>
              <w:rPr>
                <w:color w:val="000000"/>
                <w:sz w:val="18"/>
                <w:szCs w:val="18"/>
              </w:rPr>
              <w:t>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18</w:t>
            </w:r>
            <w:r w:rsidR="003E0D64">
              <w:rPr>
                <w:color w:val="000000"/>
                <w:sz w:val="18"/>
                <w:szCs w:val="18"/>
              </w:rPr>
              <w:t> </w:t>
            </w:r>
            <w:r>
              <w:rPr>
                <w:color w:val="000000"/>
                <w:sz w:val="18"/>
                <w:szCs w:val="18"/>
              </w:rPr>
              <w:t>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22</w:t>
            </w:r>
            <w:r w:rsidR="003E0D64">
              <w:rPr>
                <w:color w:val="000000"/>
                <w:sz w:val="18"/>
                <w:szCs w:val="18"/>
              </w:rPr>
              <w:t> </w:t>
            </w:r>
            <w:r>
              <w:rPr>
                <w:color w:val="000000"/>
                <w:sz w:val="18"/>
                <w:szCs w:val="18"/>
              </w:rPr>
              <w:t>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24</w:t>
            </w:r>
            <w:r w:rsidR="003E0D64">
              <w:rPr>
                <w:color w:val="000000"/>
                <w:sz w:val="18"/>
                <w:szCs w:val="18"/>
              </w:rPr>
              <w:t> </w:t>
            </w:r>
            <w:r>
              <w:rPr>
                <w:color w:val="000000"/>
                <w:sz w:val="18"/>
                <w:szCs w:val="18"/>
              </w:rPr>
              <w:t>018</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347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020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694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w:t>
            </w:r>
            <w:r w:rsidR="003E0D64">
              <w:rPr>
                <w:color w:val="000000"/>
                <w:sz w:val="18"/>
                <w:szCs w:val="18"/>
              </w:rPr>
              <w:t> </w:t>
            </w:r>
            <w:r>
              <w:rPr>
                <w:color w:val="000000"/>
                <w:sz w:val="18"/>
                <w:szCs w:val="18"/>
              </w:rPr>
              <w:t>367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4</w:t>
            </w:r>
            <w:r w:rsidR="003E0D64">
              <w:rPr>
                <w:color w:val="000000"/>
                <w:sz w:val="18"/>
                <w:szCs w:val="18"/>
              </w:rPr>
              <w:t> </w:t>
            </w:r>
            <w:r>
              <w:rPr>
                <w:color w:val="000000"/>
                <w:sz w:val="18"/>
                <w:szCs w:val="18"/>
              </w:rPr>
              <w:t>041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4</w:t>
            </w:r>
            <w:r w:rsidR="003E0D64">
              <w:rPr>
                <w:color w:val="000000"/>
                <w:sz w:val="18"/>
                <w:szCs w:val="18"/>
              </w:rPr>
              <w:t> </w:t>
            </w:r>
            <w:r>
              <w:rPr>
                <w:color w:val="000000"/>
                <w:sz w:val="18"/>
                <w:szCs w:val="18"/>
              </w:rPr>
              <w:t>377</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417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833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250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666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083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500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708</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747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121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494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868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241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428</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Total tm adicionales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53</w:t>
            </w:r>
            <w:r w:rsidR="003E0D64">
              <w:rPr>
                <w:color w:val="000000"/>
                <w:sz w:val="18"/>
                <w:szCs w:val="18"/>
              </w:rPr>
              <w:t> </w:t>
            </w:r>
            <w:r>
              <w:rPr>
                <w:color w:val="000000"/>
                <w:sz w:val="18"/>
                <w:szCs w:val="18"/>
              </w:rPr>
              <w:t>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107</w:t>
            </w:r>
            <w:r w:rsidR="003E0D64">
              <w:rPr>
                <w:color w:val="000000"/>
                <w:sz w:val="18"/>
                <w:szCs w:val="18"/>
              </w:rPr>
              <w:t> </w:t>
            </w:r>
            <w:r>
              <w:rPr>
                <w:color w:val="000000"/>
                <w:sz w:val="18"/>
                <w:szCs w:val="18"/>
              </w:rPr>
              <w:t>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160</w:t>
            </w:r>
            <w:r w:rsidR="003E0D64">
              <w:rPr>
                <w:color w:val="000000"/>
                <w:sz w:val="18"/>
                <w:szCs w:val="18"/>
              </w:rPr>
              <w:t> </w:t>
            </w:r>
            <w:r>
              <w:rPr>
                <w:color w:val="000000"/>
                <w:sz w:val="18"/>
                <w:szCs w:val="18"/>
              </w:rPr>
              <w:t>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214</w:t>
            </w:r>
            <w:r w:rsidR="003E0D64">
              <w:rPr>
                <w:color w:val="000000"/>
                <w:sz w:val="18"/>
                <w:szCs w:val="18"/>
              </w:rPr>
              <w:t> </w:t>
            </w:r>
            <w:r>
              <w:rPr>
                <w:color w:val="000000"/>
                <w:sz w:val="18"/>
                <w:szCs w:val="18"/>
              </w:rPr>
              <w:t>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267</w:t>
            </w:r>
            <w:r w:rsidR="003E0D64">
              <w:rPr>
                <w:color w:val="000000"/>
                <w:sz w:val="18"/>
                <w:szCs w:val="18"/>
              </w:rPr>
              <w:t> </w:t>
            </w:r>
            <w:r>
              <w:rPr>
                <w:color w:val="000000"/>
                <w:sz w:val="18"/>
                <w:szCs w:val="18"/>
              </w:rPr>
              <w:t>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321</w:t>
            </w:r>
            <w:r w:rsidR="003E0D64">
              <w:rPr>
                <w:color w:val="000000"/>
                <w:sz w:val="18"/>
                <w:szCs w:val="18"/>
              </w:rPr>
              <w:t> </w:t>
            </w:r>
            <w:r>
              <w:rPr>
                <w:color w:val="000000"/>
                <w:sz w:val="18"/>
                <w:szCs w:val="18"/>
              </w:rPr>
              <w:t>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348</w:t>
            </w:r>
            <w:r w:rsidR="003E0D64">
              <w:rPr>
                <w:color w:val="000000"/>
                <w:sz w:val="18"/>
                <w:szCs w:val="18"/>
              </w:rPr>
              <w:t> </w:t>
            </w:r>
            <w:r>
              <w:rPr>
                <w:color w:val="000000"/>
                <w:sz w:val="18"/>
                <w:szCs w:val="18"/>
              </w:rPr>
              <w:t>321</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b/>
                <w:bCs/>
                <w:color w:val="000000"/>
                <w:sz w:val="18"/>
                <w:szCs w:val="18"/>
              </w:rPr>
            </w:pPr>
            <w:r>
              <w:rPr>
                <w:b/>
                <w:bCs/>
                <w:color w:val="000000"/>
                <w:sz w:val="18"/>
                <w:szCs w:val="18"/>
              </w:rPr>
              <w:t>Ton. adicionales (CO</w:t>
            </w:r>
            <w:r>
              <w:rPr>
                <w:b/>
                <w:bCs/>
                <w:color w:val="000000"/>
                <w:sz w:val="18"/>
                <w:szCs w:val="18"/>
                <w:vertAlign w:val="subscript"/>
              </w:rPr>
              <w:t>2</w:t>
            </w:r>
            <w:r>
              <w:rPr>
                <w:b/>
                <w:bCs/>
                <w:color w:val="000000"/>
                <w:sz w:val="18"/>
                <w:szCs w:val="18"/>
              </w:rPr>
              <w: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lang w:val="en-CA" w:eastAsia="en-CA"/>
              </w:rPr>
            </w:pP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12</w:t>
            </w:r>
            <w:r w:rsidR="003E0D64">
              <w:rPr>
                <w:color w:val="000000"/>
                <w:sz w:val="18"/>
                <w:szCs w:val="18"/>
              </w:rPr>
              <w:t> </w:t>
            </w:r>
            <w:r>
              <w:rPr>
                <w:color w:val="000000"/>
                <w:sz w:val="18"/>
                <w:szCs w:val="18"/>
              </w:rPr>
              <w:t>842</w:t>
            </w:r>
            <w:r w:rsidR="003E0D64">
              <w:rPr>
                <w:color w:val="000000"/>
                <w:sz w:val="18"/>
                <w:szCs w:val="18"/>
              </w:rPr>
              <w:t> </w:t>
            </w:r>
            <w:r>
              <w:rPr>
                <w:color w:val="000000"/>
                <w:sz w:val="18"/>
                <w:szCs w:val="18"/>
              </w:rPr>
              <w:t>954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25</w:t>
            </w:r>
            <w:r w:rsidR="003E0D64">
              <w:rPr>
                <w:color w:val="000000"/>
                <w:sz w:val="18"/>
                <w:szCs w:val="18"/>
              </w:rPr>
              <w:t> </w:t>
            </w:r>
            <w:r>
              <w:rPr>
                <w:color w:val="000000"/>
                <w:sz w:val="18"/>
                <w:szCs w:val="18"/>
              </w:rPr>
              <w:t>685</w:t>
            </w:r>
            <w:r w:rsidR="003E0D64">
              <w:rPr>
                <w:color w:val="000000"/>
                <w:sz w:val="18"/>
                <w:szCs w:val="18"/>
              </w:rPr>
              <w:t> </w:t>
            </w:r>
            <w:r>
              <w:rPr>
                <w:color w:val="000000"/>
                <w:sz w:val="18"/>
                <w:szCs w:val="18"/>
              </w:rPr>
              <w:t>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38</w:t>
            </w:r>
            <w:r w:rsidR="003E0D64">
              <w:rPr>
                <w:color w:val="000000"/>
                <w:sz w:val="18"/>
                <w:szCs w:val="18"/>
              </w:rPr>
              <w:t> </w:t>
            </w:r>
            <w:r>
              <w:rPr>
                <w:color w:val="000000"/>
                <w:sz w:val="18"/>
                <w:szCs w:val="18"/>
              </w:rPr>
              <w:t>528</w:t>
            </w:r>
            <w:r w:rsidR="003E0D64">
              <w:rPr>
                <w:color w:val="000000"/>
                <w:sz w:val="18"/>
                <w:szCs w:val="18"/>
              </w:rPr>
              <w:t> </w:t>
            </w:r>
            <w:r>
              <w:rPr>
                <w:color w:val="000000"/>
                <w:sz w:val="18"/>
                <w:szCs w:val="18"/>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51</w:t>
            </w:r>
            <w:r w:rsidR="003E0D64">
              <w:rPr>
                <w:color w:val="000000"/>
                <w:sz w:val="18"/>
                <w:szCs w:val="18"/>
              </w:rPr>
              <w:t> </w:t>
            </w:r>
            <w:r>
              <w:rPr>
                <w:color w:val="000000"/>
                <w:sz w:val="18"/>
                <w:szCs w:val="18"/>
              </w:rPr>
              <w:t>371</w:t>
            </w:r>
            <w:r w:rsidR="003E0D64">
              <w:rPr>
                <w:color w:val="000000"/>
                <w:sz w:val="18"/>
                <w:szCs w:val="18"/>
              </w:rPr>
              <w:t> </w:t>
            </w:r>
            <w:r>
              <w:rPr>
                <w:color w:val="000000"/>
                <w:sz w:val="18"/>
                <w:szCs w:val="18"/>
              </w:rPr>
              <w:t>818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64</w:t>
            </w:r>
            <w:r w:rsidR="003E0D64">
              <w:rPr>
                <w:color w:val="000000"/>
                <w:sz w:val="18"/>
                <w:szCs w:val="18"/>
              </w:rPr>
              <w:t> </w:t>
            </w:r>
            <w:r>
              <w:rPr>
                <w:color w:val="000000"/>
                <w:sz w:val="18"/>
                <w:szCs w:val="18"/>
              </w:rPr>
              <w:t>214</w:t>
            </w:r>
            <w:r w:rsidR="003E0D64">
              <w:rPr>
                <w:color w:val="000000"/>
                <w:sz w:val="18"/>
                <w:szCs w:val="18"/>
              </w:rPr>
              <w:t> </w:t>
            </w:r>
            <w:r>
              <w:rPr>
                <w:color w:val="000000"/>
                <w:sz w:val="18"/>
                <w:szCs w:val="18"/>
              </w:rPr>
              <w:t>772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77</w:t>
            </w:r>
            <w:r w:rsidR="003E0D64">
              <w:rPr>
                <w:color w:val="000000"/>
                <w:sz w:val="18"/>
                <w:szCs w:val="18"/>
              </w:rPr>
              <w:t> </w:t>
            </w:r>
            <w:r>
              <w:rPr>
                <w:color w:val="000000"/>
                <w:sz w:val="18"/>
                <w:szCs w:val="18"/>
              </w:rPr>
              <w:t>057</w:t>
            </w:r>
            <w:r w:rsidR="003E0D64">
              <w:rPr>
                <w:color w:val="000000"/>
                <w:sz w:val="18"/>
                <w:szCs w:val="18"/>
              </w:rPr>
              <w:t> </w:t>
            </w:r>
            <w:r>
              <w:rPr>
                <w:color w:val="000000"/>
                <w:sz w:val="18"/>
                <w:szCs w:val="18"/>
              </w:rPr>
              <w:t>726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83</w:t>
            </w:r>
            <w:r w:rsidR="003E0D64">
              <w:rPr>
                <w:color w:val="000000"/>
                <w:sz w:val="18"/>
                <w:szCs w:val="18"/>
              </w:rPr>
              <w:t> </w:t>
            </w:r>
            <w:r>
              <w:rPr>
                <w:color w:val="000000"/>
                <w:sz w:val="18"/>
                <w:szCs w:val="18"/>
              </w:rPr>
              <w:t>479</w:t>
            </w:r>
            <w:r w:rsidR="003E0D64">
              <w:rPr>
                <w:color w:val="000000"/>
                <w:sz w:val="18"/>
                <w:szCs w:val="18"/>
              </w:rPr>
              <w:t> </w:t>
            </w:r>
            <w:r>
              <w:rPr>
                <w:color w:val="000000"/>
                <w:sz w:val="18"/>
                <w:szCs w:val="18"/>
              </w:rPr>
              <w:t>204</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34</w:t>
            </w:r>
            <w:r w:rsidR="003E0D64">
              <w:rPr>
                <w:color w:val="000000"/>
                <w:sz w:val="18"/>
                <w:szCs w:val="18"/>
              </w:rPr>
              <w:t> </w:t>
            </w:r>
            <w:r>
              <w:rPr>
                <w:color w:val="000000"/>
                <w:sz w:val="18"/>
                <w:szCs w:val="18"/>
              </w:rPr>
              <w:t>733</w:t>
            </w:r>
            <w:r w:rsidR="003E0D64">
              <w:rPr>
                <w:color w:val="000000"/>
                <w:sz w:val="18"/>
                <w:szCs w:val="18"/>
              </w:rPr>
              <w:t> </w:t>
            </w:r>
            <w:r>
              <w:rPr>
                <w:color w:val="000000"/>
                <w:sz w:val="18"/>
                <w:szCs w:val="18"/>
              </w:rPr>
              <w:t>299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69</w:t>
            </w:r>
            <w:r w:rsidR="003E0D64">
              <w:rPr>
                <w:color w:val="000000"/>
                <w:sz w:val="18"/>
                <w:szCs w:val="18"/>
              </w:rPr>
              <w:t> </w:t>
            </w:r>
            <w:r>
              <w:rPr>
                <w:color w:val="000000"/>
                <w:sz w:val="18"/>
                <w:szCs w:val="18"/>
              </w:rPr>
              <w:t>466</w:t>
            </w:r>
            <w:r w:rsidR="003E0D64">
              <w:rPr>
                <w:color w:val="000000"/>
                <w:sz w:val="18"/>
                <w:szCs w:val="18"/>
              </w:rPr>
              <w:t> </w:t>
            </w:r>
            <w:r>
              <w:rPr>
                <w:color w:val="000000"/>
                <w:sz w:val="18"/>
                <w:szCs w:val="18"/>
              </w:rPr>
              <w:t>599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104</w:t>
            </w:r>
            <w:r w:rsidR="003E0D64">
              <w:rPr>
                <w:color w:val="000000"/>
                <w:sz w:val="18"/>
                <w:szCs w:val="18"/>
              </w:rPr>
              <w:t> </w:t>
            </w:r>
            <w:r>
              <w:rPr>
                <w:color w:val="000000"/>
                <w:sz w:val="18"/>
                <w:szCs w:val="18"/>
              </w:rPr>
              <w:t>199</w:t>
            </w:r>
            <w:r w:rsidR="003E0D64">
              <w:rPr>
                <w:color w:val="000000"/>
                <w:sz w:val="18"/>
                <w:szCs w:val="18"/>
              </w:rPr>
              <w:t> </w:t>
            </w:r>
            <w:r>
              <w:rPr>
                <w:color w:val="000000"/>
                <w:sz w:val="18"/>
                <w:szCs w:val="18"/>
              </w:rPr>
              <w:t>898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138</w:t>
            </w:r>
            <w:r w:rsidR="003E0D64">
              <w:rPr>
                <w:color w:val="000000"/>
                <w:sz w:val="18"/>
                <w:szCs w:val="18"/>
              </w:rPr>
              <w:t> </w:t>
            </w:r>
            <w:r>
              <w:rPr>
                <w:color w:val="000000"/>
                <w:sz w:val="18"/>
                <w:szCs w:val="18"/>
              </w:rPr>
              <w:t>933</w:t>
            </w:r>
            <w:r w:rsidR="003E0D64">
              <w:rPr>
                <w:color w:val="000000"/>
                <w:sz w:val="18"/>
                <w:szCs w:val="18"/>
              </w:rPr>
              <w:t> </w:t>
            </w:r>
            <w:r>
              <w:rPr>
                <w:color w:val="000000"/>
                <w:sz w:val="18"/>
                <w:szCs w:val="18"/>
              </w:rPr>
              <w:t>198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173</w:t>
            </w:r>
            <w:r w:rsidR="003E0D64">
              <w:rPr>
                <w:color w:val="000000"/>
                <w:sz w:val="18"/>
                <w:szCs w:val="18"/>
              </w:rPr>
              <w:t> </w:t>
            </w:r>
            <w:r>
              <w:rPr>
                <w:color w:val="000000"/>
                <w:sz w:val="18"/>
                <w:szCs w:val="18"/>
              </w:rPr>
              <w:t>666</w:t>
            </w:r>
            <w:r w:rsidR="003E0D64">
              <w:rPr>
                <w:color w:val="000000"/>
                <w:sz w:val="18"/>
                <w:szCs w:val="18"/>
              </w:rPr>
              <w:t> </w:t>
            </w:r>
            <w:r>
              <w:rPr>
                <w:color w:val="000000"/>
                <w:sz w:val="18"/>
                <w:szCs w:val="18"/>
              </w:rPr>
              <w:t>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208</w:t>
            </w:r>
            <w:r w:rsidR="003E0D64">
              <w:rPr>
                <w:color w:val="000000"/>
                <w:sz w:val="18"/>
                <w:szCs w:val="18"/>
              </w:rPr>
              <w:t> </w:t>
            </w:r>
            <w:r>
              <w:rPr>
                <w:color w:val="000000"/>
                <w:sz w:val="18"/>
                <w:szCs w:val="18"/>
              </w:rPr>
              <w:t>399</w:t>
            </w:r>
            <w:r w:rsidR="003E0D64">
              <w:rPr>
                <w:color w:val="000000"/>
                <w:sz w:val="18"/>
                <w:szCs w:val="18"/>
              </w:rPr>
              <w:t> </w:t>
            </w:r>
            <w:r>
              <w:rPr>
                <w:color w:val="000000"/>
                <w:sz w:val="18"/>
                <w:szCs w:val="18"/>
              </w:rPr>
              <w:t>796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225</w:t>
            </w:r>
            <w:r w:rsidR="003E0D64">
              <w:rPr>
                <w:color w:val="000000"/>
                <w:sz w:val="18"/>
                <w:szCs w:val="18"/>
              </w:rPr>
              <w:t> </w:t>
            </w:r>
            <w:r>
              <w:rPr>
                <w:color w:val="000000"/>
                <w:sz w:val="18"/>
                <w:szCs w:val="18"/>
              </w:rPr>
              <w:t>766</w:t>
            </w:r>
            <w:r w:rsidR="003E0D64">
              <w:rPr>
                <w:color w:val="000000"/>
                <w:sz w:val="18"/>
                <w:szCs w:val="18"/>
              </w:rPr>
              <w:t> </w:t>
            </w:r>
            <w:r>
              <w:rPr>
                <w:color w:val="000000"/>
                <w:sz w:val="18"/>
                <w:szCs w:val="18"/>
              </w:rPr>
              <w:t>446</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16</w:t>
            </w:r>
            <w:r w:rsidR="003E0D64">
              <w:rPr>
                <w:color w:val="000000"/>
                <w:sz w:val="18"/>
                <w:szCs w:val="18"/>
              </w:rPr>
              <w:t> </w:t>
            </w:r>
            <w:r>
              <w:rPr>
                <w:color w:val="000000"/>
                <w:sz w:val="18"/>
                <w:szCs w:val="18"/>
              </w:rPr>
              <w:t>015</w:t>
            </w:r>
            <w:r w:rsidR="003E0D64">
              <w:rPr>
                <w:color w:val="000000"/>
                <w:sz w:val="18"/>
                <w:szCs w:val="18"/>
              </w:rPr>
              <w:t> </w:t>
            </w:r>
            <w:r>
              <w:rPr>
                <w:color w:val="000000"/>
                <w:sz w:val="18"/>
                <w:szCs w:val="18"/>
              </w:rPr>
              <w:t>064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32</w:t>
            </w:r>
            <w:r w:rsidR="003E0D64">
              <w:rPr>
                <w:color w:val="000000"/>
                <w:sz w:val="18"/>
                <w:szCs w:val="18"/>
              </w:rPr>
              <w:t> </w:t>
            </w:r>
            <w:r>
              <w:rPr>
                <w:color w:val="000000"/>
                <w:sz w:val="18"/>
                <w:szCs w:val="18"/>
              </w:rPr>
              <w:t>030</w:t>
            </w:r>
            <w:r w:rsidR="003E0D64">
              <w:rPr>
                <w:color w:val="000000"/>
                <w:sz w:val="18"/>
                <w:szCs w:val="18"/>
              </w:rPr>
              <w:t> </w:t>
            </w:r>
            <w:r>
              <w:rPr>
                <w:color w:val="000000"/>
                <w:sz w:val="18"/>
                <w:szCs w:val="18"/>
              </w:rPr>
              <w:t>128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48</w:t>
            </w:r>
            <w:r w:rsidR="003E0D64">
              <w:rPr>
                <w:color w:val="000000"/>
                <w:sz w:val="18"/>
                <w:szCs w:val="18"/>
              </w:rPr>
              <w:t> </w:t>
            </w:r>
            <w:r>
              <w:rPr>
                <w:color w:val="000000"/>
                <w:sz w:val="18"/>
                <w:szCs w:val="18"/>
              </w:rPr>
              <w:t>045</w:t>
            </w:r>
            <w:r w:rsidR="003E0D64">
              <w:rPr>
                <w:color w:val="000000"/>
                <w:sz w:val="18"/>
                <w:szCs w:val="18"/>
              </w:rPr>
              <w:t> </w:t>
            </w:r>
            <w:r>
              <w:rPr>
                <w:color w:val="000000"/>
                <w:sz w:val="18"/>
                <w:szCs w:val="18"/>
              </w:rPr>
              <w:t>192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64</w:t>
            </w:r>
            <w:r w:rsidR="003E0D64">
              <w:rPr>
                <w:color w:val="000000"/>
                <w:sz w:val="18"/>
                <w:szCs w:val="18"/>
              </w:rPr>
              <w:t> </w:t>
            </w:r>
            <w:r>
              <w:rPr>
                <w:color w:val="000000"/>
                <w:sz w:val="18"/>
                <w:szCs w:val="18"/>
              </w:rPr>
              <w:t>060</w:t>
            </w:r>
            <w:r w:rsidR="003E0D64">
              <w:rPr>
                <w:color w:val="000000"/>
                <w:sz w:val="18"/>
                <w:szCs w:val="18"/>
              </w:rPr>
              <w:t> </w:t>
            </w:r>
            <w:r>
              <w:rPr>
                <w:color w:val="000000"/>
                <w:sz w:val="18"/>
                <w:szCs w:val="18"/>
              </w:rPr>
              <w:t>256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80</w:t>
            </w:r>
            <w:r w:rsidR="003E0D64">
              <w:rPr>
                <w:color w:val="000000"/>
                <w:sz w:val="18"/>
                <w:szCs w:val="18"/>
              </w:rPr>
              <w:t> </w:t>
            </w:r>
            <w:r>
              <w:rPr>
                <w:color w:val="000000"/>
                <w:sz w:val="18"/>
                <w:szCs w:val="18"/>
              </w:rPr>
              <w:t>075</w:t>
            </w:r>
            <w:r w:rsidR="003E0D64">
              <w:rPr>
                <w:color w:val="000000"/>
                <w:sz w:val="18"/>
                <w:szCs w:val="18"/>
              </w:rPr>
              <w:t> </w:t>
            </w:r>
            <w:r>
              <w:rPr>
                <w:color w:val="000000"/>
                <w:sz w:val="18"/>
                <w:szCs w:val="18"/>
              </w:rPr>
              <w:t>321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96</w:t>
            </w:r>
            <w:r w:rsidR="003E0D64">
              <w:rPr>
                <w:color w:val="000000"/>
                <w:sz w:val="18"/>
                <w:szCs w:val="18"/>
              </w:rPr>
              <w:t> </w:t>
            </w:r>
            <w:r>
              <w:rPr>
                <w:color w:val="000000"/>
                <w:sz w:val="18"/>
                <w:szCs w:val="18"/>
              </w:rPr>
              <w:t>090</w:t>
            </w:r>
            <w:r w:rsidR="003E0D64">
              <w:rPr>
                <w:color w:val="000000"/>
                <w:sz w:val="18"/>
                <w:szCs w:val="18"/>
              </w:rPr>
              <w:t> </w:t>
            </w:r>
            <w:r>
              <w:rPr>
                <w:color w:val="000000"/>
                <w:sz w:val="18"/>
                <w:szCs w:val="18"/>
              </w:rPr>
              <w:t>385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104</w:t>
            </w:r>
            <w:r w:rsidR="003E0D64">
              <w:rPr>
                <w:color w:val="000000"/>
                <w:sz w:val="18"/>
                <w:szCs w:val="18"/>
              </w:rPr>
              <w:t> </w:t>
            </w:r>
            <w:r>
              <w:rPr>
                <w:color w:val="000000"/>
                <w:sz w:val="18"/>
                <w:szCs w:val="18"/>
              </w:rPr>
              <w:t>097</w:t>
            </w:r>
            <w:r w:rsidR="003E0D64">
              <w:rPr>
                <w:color w:val="000000"/>
                <w:sz w:val="18"/>
                <w:szCs w:val="18"/>
              </w:rPr>
              <w:t> </w:t>
            </w:r>
            <w:r>
              <w:rPr>
                <w:color w:val="000000"/>
                <w:sz w:val="18"/>
                <w:szCs w:val="18"/>
              </w:rPr>
              <w:t>917</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11</w:t>
            </w:r>
            <w:r w:rsidR="003E0D64">
              <w:rPr>
                <w:color w:val="000000"/>
                <w:sz w:val="18"/>
                <w:szCs w:val="18"/>
              </w:rPr>
              <w:t> </w:t>
            </w:r>
            <w:r>
              <w:rPr>
                <w:color w:val="000000"/>
                <w:sz w:val="18"/>
                <w:szCs w:val="18"/>
              </w:rPr>
              <w:t>223</w:t>
            </w:r>
            <w:r w:rsidR="003E0D64">
              <w:rPr>
                <w:color w:val="000000"/>
                <w:sz w:val="18"/>
                <w:szCs w:val="18"/>
              </w:rPr>
              <w:t> </w:t>
            </w:r>
            <w:r>
              <w:rPr>
                <w:color w:val="000000"/>
                <w:sz w:val="18"/>
                <w:szCs w:val="18"/>
              </w:rPr>
              <w:t>203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22</w:t>
            </w:r>
            <w:r w:rsidR="003E0D64">
              <w:rPr>
                <w:color w:val="000000"/>
                <w:sz w:val="18"/>
                <w:szCs w:val="18"/>
              </w:rPr>
              <w:t> </w:t>
            </w:r>
            <w:r>
              <w:rPr>
                <w:color w:val="000000"/>
                <w:sz w:val="18"/>
                <w:szCs w:val="18"/>
              </w:rPr>
              <w:t>446</w:t>
            </w:r>
            <w:r w:rsidR="003E0D64">
              <w:rPr>
                <w:color w:val="000000"/>
                <w:sz w:val="18"/>
                <w:szCs w:val="18"/>
              </w:rPr>
              <w:t> </w:t>
            </w:r>
            <w:r>
              <w:rPr>
                <w:color w:val="000000"/>
                <w:sz w:val="18"/>
                <w:szCs w:val="18"/>
              </w:rPr>
              <w:t>406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33</w:t>
            </w:r>
            <w:r w:rsidR="003E0D64">
              <w:rPr>
                <w:color w:val="000000"/>
                <w:sz w:val="18"/>
                <w:szCs w:val="18"/>
              </w:rPr>
              <w:t> </w:t>
            </w:r>
            <w:r>
              <w:rPr>
                <w:color w:val="000000"/>
                <w:sz w:val="18"/>
                <w:szCs w:val="18"/>
              </w:rPr>
              <w:t>669</w:t>
            </w:r>
            <w:r w:rsidR="003E0D64">
              <w:rPr>
                <w:color w:val="000000"/>
                <w:sz w:val="18"/>
                <w:szCs w:val="18"/>
              </w:rPr>
              <w:t> </w:t>
            </w:r>
            <w:r>
              <w:rPr>
                <w:color w:val="000000"/>
                <w:sz w:val="18"/>
                <w:szCs w:val="18"/>
              </w:rPr>
              <w:t>610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44</w:t>
            </w:r>
            <w:r w:rsidR="003E0D64">
              <w:rPr>
                <w:color w:val="000000"/>
                <w:sz w:val="18"/>
                <w:szCs w:val="18"/>
              </w:rPr>
              <w:t> </w:t>
            </w:r>
            <w:r>
              <w:rPr>
                <w:color w:val="000000"/>
                <w:sz w:val="18"/>
                <w:szCs w:val="18"/>
              </w:rPr>
              <w:t>892</w:t>
            </w:r>
            <w:r w:rsidR="003E0D64">
              <w:rPr>
                <w:color w:val="000000"/>
                <w:sz w:val="18"/>
                <w:szCs w:val="18"/>
              </w:rPr>
              <w:t> </w:t>
            </w:r>
            <w:r>
              <w:rPr>
                <w:color w:val="000000"/>
                <w:sz w:val="18"/>
                <w:szCs w:val="18"/>
              </w:rPr>
              <w:t>813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56</w:t>
            </w:r>
            <w:r w:rsidR="003E0D64">
              <w:rPr>
                <w:color w:val="000000"/>
                <w:sz w:val="18"/>
                <w:szCs w:val="18"/>
              </w:rPr>
              <w:t> </w:t>
            </w:r>
            <w:r>
              <w:rPr>
                <w:color w:val="000000"/>
                <w:sz w:val="18"/>
                <w:szCs w:val="18"/>
              </w:rPr>
              <w:t>116</w:t>
            </w:r>
            <w:r w:rsidR="003E0D64">
              <w:rPr>
                <w:color w:val="000000"/>
                <w:sz w:val="18"/>
                <w:szCs w:val="18"/>
              </w:rPr>
              <w:t> </w:t>
            </w:r>
            <w:r>
              <w:rPr>
                <w:color w:val="000000"/>
                <w:sz w:val="18"/>
                <w:szCs w:val="18"/>
              </w:rPr>
              <w:t>016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67</w:t>
            </w:r>
            <w:r w:rsidR="003E0D64">
              <w:rPr>
                <w:color w:val="000000"/>
                <w:sz w:val="18"/>
                <w:szCs w:val="18"/>
              </w:rPr>
              <w:t> </w:t>
            </w:r>
            <w:r>
              <w:rPr>
                <w:color w:val="000000"/>
                <w:sz w:val="18"/>
                <w:szCs w:val="18"/>
              </w:rPr>
              <w:t>339</w:t>
            </w:r>
            <w:r w:rsidR="003E0D64">
              <w:rPr>
                <w:color w:val="000000"/>
                <w:sz w:val="18"/>
                <w:szCs w:val="18"/>
              </w:rPr>
              <w:t> </w:t>
            </w:r>
            <w:r>
              <w:rPr>
                <w:color w:val="000000"/>
                <w:sz w:val="18"/>
                <w:szCs w:val="18"/>
              </w:rPr>
              <w:t>219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72</w:t>
            </w:r>
            <w:r w:rsidR="003E0D64">
              <w:rPr>
                <w:color w:val="000000"/>
                <w:sz w:val="18"/>
                <w:szCs w:val="18"/>
              </w:rPr>
              <w:t> </w:t>
            </w:r>
            <w:r>
              <w:rPr>
                <w:color w:val="000000"/>
                <w:sz w:val="18"/>
                <w:szCs w:val="18"/>
              </w:rPr>
              <w:t>950</w:t>
            </w:r>
            <w:r w:rsidR="003E0D64">
              <w:rPr>
                <w:color w:val="000000"/>
                <w:sz w:val="18"/>
                <w:szCs w:val="18"/>
              </w:rPr>
              <w:t> </w:t>
            </w:r>
            <w:r>
              <w:rPr>
                <w:color w:val="000000"/>
                <w:sz w:val="18"/>
                <w:szCs w:val="18"/>
              </w:rPr>
              <w:t>821</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11</w:t>
            </w:r>
            <w:r w:rsidR="003E0D64">
              <w:rPr>
                <w:color w:val="000000"/>
                <w:sz w:val="18"/>
                <w:szCs w:val="18"/>
              </w:rPr>
              <w:t> </w:t>
            </w:r>
            <w:r>
              <w:rPr>
                <w:color w:val="000000"/>
                <w:sz w:val="18"/>
                <w:szCs w:val="18"/>
              </w:rPr>
              <w:t>404</w:t>
            </w:r>
            <w:r w:rsidR="003E0D64">
              <w:rPr>
                <w:color w:val="000000"/>
                <w:sz w:val="18"/>
                <w:szCs w:val="18"/>
              </w:rPr>
              <w:t> </w:t>
            </w:r>
            <w:r>
              <w:rPr>
                <w:color w:val="000000"/>
                <w:sz w:val="18"/>
                <w:szCs w:val="18"/>
              </w:rPr>
              <w:t>647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22</w:t>
            </w:r>
            <w:r w:rsidR="003E0D64">
              <w:rPr>
                <w:color w:val="000000"/>
                <w:sz w:val="18"/>
                <w:szCs w:val="18"/>
              </w:rPr>
              <w:t> </w:t>
            </w:r>
            <w:r>
              <w:rPr>
                <w:color w:val="000000"/>
                <w:sz w:val="18"/>
                <w:szCs w:val="18"/>
              </w:rPr>
              <w:t>809</w:t>
            </w:r>
            <w:r w:rsidR="003E0D64">
              <w:rPr>
                <w:color w:val="000000"/>
                <w:sz w:val="18"/>
                <w:szCs w:val="18"/>
              </w:rPr>
              <w:t> </w:t>
            </w:r>
            <w:r>
              <w:rPr>
                <w:color w:val="000000"/>
                <w:sz w:val="18"/>
                <w:szCs w:val="18"/>
              </w:rPr>
              <w:t>295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34</w:t>
            </w:r>
            <w:r w:rsidR="003E0D64">
              <w:rPr>
                <w:color w:val="000000"/>
                <w:sz w:val="18"/>
                <w:szCs w:val="18"/>
              </w:rPr>
              <w:t> </w:t>
            </w:r>
            <w:r>
              <w:rPr>
                <w:color w:val="000000"/>
                <w:sz w:val="18"/>
                <w:szCs w:val="18"/>
              </w:rPr>
              <w:t>213</w:t>
            </w:r>
            <w:r w:rsidR="003E0D64">
              <w:rPr>
                <w:color w:val="000000"/>
                <w:sz w:val="18"/>
                <w:szCs w:val="18"/>
              </w:rPr>
              <w:t> </w:t>
            </w:r>
            <w:r>
              <w:rPr>
                <w:color w:val="000000"/>
                <w:sz w:val="18"/>
                <w:szCs w:val="18"/>
              </w:rPr>
              <w:t>942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45</w:t>
            </w:r>
            <w:r w:rsidR="003E0D64">
              <w:rPr>
                <w:color w:val="000000"/>
                <w:sz w:val="18"/>
                <w:szCs w:val="18"/>
              </w:rPr>
              <w:t> </w:t>
            </w:r>
            <w:r>
              <w:rPr>
                <w:color w:val="000000"/>
                <w:sz w:val="18"/>
                <w:szCs w:val="18"/>
              </w:rPr>
              <w:t>618</w:t>
            </w:r>
            <w:r w:rsidR="003E0D64">
              <w:rPr>
                <w:color w:val="000000"/>
                <w:sz w:val="18"/>
                <w:szCs w:val="18"/>
              </w:rPr>
              <w:t> </w:t>
            </w:r>
            <w:r>
              <w:rPr>
                <w:color w:val="000000"/>
                <w:sz w:val="18"/>
                <w:szCs w:val="18"/>
              </w:rPr>
              <w:t>589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57</w:t>
            </w:r>
            <w:r w:rsidR="003E0D64">
              <w:rPr>
                <w:color w:val="000000"/>
                <w:sz w:val="18"/>
                <w:szCs w:val="18"/>
              </w:rPr>
              <w:t> </w:t>
            </w:r>
            <w:r>
              <w:rPr>
                <w:color w:val="000000"/>
                <w:sz w:val="18"/>
                <w:szCs w:val="18"/>
              </w:rPr>
              <w:t>023</w:t>
            </w:r>
            <w:r w:rsidR="003E0D64">
              <w:rPr>
                <w:color w:val="000000"/>
                <w:sz w:val="18"/>
                <w:szCs w:val="18"/>
              </w:rPr>
              <w:t> </w:t>
            </w:r>
            <w:r>
              <w:rPr>
                <w:color w:val="000000"/>
                <w:sz w:val="18"/>
                <w:szCs w:val="18"/>
              </w:rPr>
              <w:t>236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68</w:t>
            </w:r>
            <w:r w:rsidR="003E0D64">
              <w:rPr>
                <w:color w:val="000000"/>
                <w:sz w:val="18"/>
                <w:szCs w:val="18"/>
              </w:rPr>
              <w:t> </w:t>
            </w:r>
            <w:r>
              <w:rPr>
                <w:color w:val="000000"/>
                <w:sz w:val="18"/>
                <w:szCs w:val="18"/>
              </w:rPr>
              <w:t>427</w:t>
            </w:r>
            <w:r w:rsidR="003E0D64">
              <w:rPr>
                <w:color w:val="000000"/>
                <w:sz w:val="18"/>
                <w:szCs w:val="18"/>
              </w:rPr>
              <w:t> </w:t>
            </w:r>
            <w:r>
              <w:rPr>
                <w:color w:val="000000"/>
                <w:sz w:val="18"/>
                <w:szCs w:val="18"/>
              </w:rPr>
              <w:t>884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74</w:t>
            </w:r>
            <w:r w:rsidR="003E0D64">
              <w:rPr>
                <w:color w:val="000000"/>
                <w:sz w:val="18"/>
                <w:szCs w:val="18"/>
              </w:rPr>
              <w:t> </w:t>
            </w:r>
            <w:r>
              <w:rPr>
                <w:color w:val="000000"/>
                <w:sz w:val="18"/>
                <w:szCs w:val="18"/>
              </w:rPr>
              <w:t>130</w:t>
            </w:r>
            <w:r w:rsidR="003E0D64">
              <w:rPr>
                <w:color w:val="000000"/>
                <w:sz w:val="18"/>
                <w:szCs w:val="18"/>
              </w:rPr>
              <w:t> </w:t>
            </w:r>
            <w:r>
              <w:rPr>
                <w:color w:val="000000"/>
                <w:sz w:val="18"/>
                <w:szCs w:val="18"/>
              </w:rPr>
              <w:t>207</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64</w:t>
            </w:r>
            <w:r w:rsidR="003E0D64">
              <w:rPr>
                <w:color w:val="000000"/>
                <w:sz w:val="18"/>
                <w:szCs w:val="18"/>
              </w:rPr>
              <w:t> </w:t>
            </w:r>
            <w:r>
              <w:rPr>
                <w:color w:val="000000"/>
                <w:sz w:val="18"/>
                <w:szCs w:val="18"/>
              </w:rPr>
              <w:t>679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129</w:t>
            </w:r>
            <w:r w:rsidR="003E0D64">
              <w:rPr>
                <w:color w:val="000000"/>
                <w:sz w:val="18"/>
                <w:szCs w:val="18"/>
              </w:rPr>
              <w:t> </w:t>
            </w:r>
            <w:r>
              <w:rPr>
                <w:color w:val="000000"/>
                <w:sz w:val="18"/>
                <w:szCs w:val="18"/>
              </w:rPr>
              <w:t>358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194</w:t>
            </w:r>
            <w:r w:rsidR="003E0D64">
              <w:rPr>
                <w:color w:val="000000"/>
                <w:sz w:val="18"/>
                <w:szCs w:val="18"/>
              </w:rPr>
              <w:t> </w:t>
            </w:r>
            <w:r>
              <w:rPr>
                <w:color w:val="000000"/>
                <w:sz w:val="18"/>
                <w:szCs w:val="18"/>
              </w:rPr>
              <w:t>036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258</w:t>
            </w:r>
            <w:r w:rsidR="003E0D64">
              <w:rPr>
                <w:color w:val="000000"/>
                <w:sz w:val="18"/>
                <w:szCs w:val="18"/>
              </w:rPr>
              <w:t> </w:t>
            </w:r>
            <w:r>
              <w:rPr>
                <w:color w:val="000000"/>
                <w:sz w:val="18"/>
                <w:szCs w:val="18"/>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323</w:t>
            </w:r>
            <w:r w:rsidR="003E0D64">
              <w:rPr>
                <w:color w:val="000000"/>
                <w:sz w:val="18"/>
                <w:szCs w:val="18"/>
              </w:rPr>
              <w:t> </w:t>
            </w:r>
            <w:r>
              <w:rPr>
                <w:color w:val="000000"/>
                <w:sz w:val="18"/>
                <w:szCs w:val="18"/>
              </w:rPr>
              <w:t>394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388</w:t>
            </w:r>
            <w:r w:rsidR="003E0D64">
              <w:rPr>
                <w:color w:val="000000"/>
                <w:sz w:val="18"/>
                <w:szCs w:val="18"/>
              </w:rPr>
              <w:t> </w:t>
            </w:r>
            <w:r>
              <w:rPr>
                <w:color w:val="000000"/>
                <w:sz w:val="18"/>
                <w:szCs w:val="18"/>
              </w:rPr>
              <w:t>073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420</w:t>
            </w:r>
            <w:r w:rsidR="003E0D64">
              <w:rPr>
                <w:color w:val="000000"/>
                <w:sz w:val="18"/>
                <w:szCs w:val="18"/>
              </w:rPr>
              <w:t> </w:t>
            </w:r>
            <w:r>
              <w:rPr>
                <w:color w:val="000000"/>
                <w:sz w:val="18"/>
                <w:szCs w:val="18"/>
              </w:rPr>
              <w:t>412</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332</w:t>
            </w:r>
            <w:r w:rsidR="003E0D64">
              <w:rPr>
                <w:color w:val="000000"/>
                <w:sz w:val="18"/>
                <w:szCs w:val="18"/>
              </w:rPr>
              <w:t> </w:t>
            </w:r>
            <w:r>
              <w:rPr>
                <w:color w:val="000000"/>
                <w:sz w:val="18"/>
                <w:szCs w:val="18"/>
              </w:rPr>
              <w:t>341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664</w:t>
            </w:r>
            <w:r w:rsidR="003E0D64">
              <w:rPr>
                <w:color w:val="000000"/>
                <w:sz w:val="18"/>
                <w:szCs w:val="18"/>
              </w:rPr>
              <w:t> </w:t>
            </w:r>
            <w:r>
              <w:rPr>
                <w:color w:val="000000"/>
                <w:sz w:val="18"/>
                <w:szCs w:val="18"/>
              </w:rPr>
              <w:t>682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997</w:t>
            </w:r>
            <w:r w:rsidR="003E0D64">
              <w:rPr>
                <w:color w:val="000000"/>
                <w:sz w:val="18"/>
                <w:szCs w:val="18"/>
              </w:rPr>
              <w:t> </w:t>
            </w:r>
            <w:r>
              <w:rPr>
                <w:color w:val="000000"/>
                <w:sz w:val="18"/>
                <w:szCs w:val="18"/>
              </w:rPr>
              <w:t>023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329</w:t>
            </w:r>
            <w:r w:rsidR="003E0D64">
              <w:rPr>
                <w:color w:val="000000"/>
                <w:sz w:val="18"/>
                <w:szCs w:val="18"/>
              </w:rPr>
              <w:t> </w:t>
            </w:r>
            <w:r>
              <w:rPr>
                <w:color w:val="000000"/>
                <w:sz w:val="18"/>
                <w:szCs w:val="18"/>
              </w:rPr>
              <w:t>364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661</w:t>
            </w:r>
            <w:r w:rsidR="003E0D64">
              <w:rPr>
                <w:color w:val="000000"/>
                <w:sz w:val="18"/>
                <w:szCs w:val="18"/>
              </w:rPr>
              <w:t> </w:t>
            </w:r>
            <w:r>
              <w:rPr>
                <w:color w:val="000000"/>
                <w:sz w:val="18"/>
                <w:szCs w:val="18"/>
              </w:rPr>
              <w:t>704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994</w:t>
            </w:r>
            <w:r w:rsidR="003E0D64">
              <w:rPr>
                <w:color w:val="000000"/>
                <w:sz w:val="18"/>
                <w:szCs w:val="18"/>
              </w:rPr>
              <w:t> </w:t>
            </w:r>
            <w:r>
              <w:rPr>
                <w:color w:val="000000"/>
                <w:sz w:val="18"/>
                <w:szCs w:val="18"/>
              </w:rPr>
              <w:t>045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160</w:t>
            </w:r>
            <w:r w:rsidR="003E0D64">
              <w:rPr>
                <w:color w:val="000000"/>
                <w:sz w:val="18"/>
                <w:szCs w:val="18"/>
              </w:rPr>
              <w:t> </w:t>
            </w:r>
            <w:r>
              <w:rPr>
                <w:color w:val="000000"/>
                <w:sz w:val="18"/>
                <w:szCs w:val="18"/>
              </w:rPr>
              <w:t>216</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320</w:t>
            </w:r>
            <w:r w:rsidR="003E0D64">
              <w:rPr>
                <w:color w:val="000000"/>
                <w:sz w:val="18"/>
                <w:szCs w:val="18"/>
              </w:rPr>
              <w:t> </w:t>
            </w:r>
            <w:r>
              <w:rPr>
                <w:color w:val="000000"/>
                <w:sz w:val="18"/>
                <w:szCs w:val="18"/>
              </w:rPr>
              <w:t>949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641</w:t>
            </w:r>
            <w:r w:rsidR="003E0D64">
              <w:rPr>
                <w:color w:val="000000"/>
                <w:sz w:val="18"/>
                <w:szCs w:val="18"/>
              </w:rPr>
              <w:t> </w:t>
            </w:r>
            <w:r>
              <w:rPr>
                <w:color w:val="000000"/>
                <w:sz w:val="18"/>
                <w:szCs w:val="18"/>
              </w:rPr>
              <w:t>899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962</w:t>
            </w:r>
            <w:r w:rsidR="003E0D64">
              <w:rPr>
                <w:color w:val="000000"/>
                <w:sz w:val="18"/>
                <w:szCs w:val="18"/>
              </w:rPr>
              <w:t> </w:t>
            </w:r>
            <w:r>
              <w:rPr>
                <w:color w:val="000000"/>
                <w:sz w:val="18"/>
                <w:szCs w:val="18"/>
              </w:rPr>
              <w:t>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283</w:t>
            </w:r>
            <w:r w:rsidR="003E0D64">
              <w:rPr>
                <w:color w:val="000000"/>
                <w:sz w:val="18"/>
                <w:szCs w:val="18"/>
              </w:rPr>
              <w:t> </w:t>
            </w:r>
            <w:r>
              <w:rPr>
                <w:color w:val="000000"/>
                <w:sz w:val="18"/>
                <w:szCs w:val="18"/>
              </w:rPr>
              <w:t>797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604</w:t>
            </w:r>
            <w:r w:rsidR="003E0D64">
              <w:rPr>
                <w:color w:val="000000"/>
                <w:sz w:val="18"/>
                <w:szCs w:val="18"/>
              </w:rPr>
              <w:t> </w:t>
            </w:r>
            <w:r>
              <w:rPr>
                <w:color w:val="000000"/>
                <w:sz w:val="18"/>
                <w:szCs w:val="18"/>
              </w:rPr>
              <w:t>746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1</w:t>
            </w:r>
            <w:r w:rsidR="003E0D64">
              <w:rPr>
                <w:color w:val="000000"/>
                <w:sz w:val="18"/>
                <w:szCs w:val="18"/>
              </w:rPr>
              <w:t> </w:t>
            </w:r>
            <w:r>
              <w:rPr>
                <w:color w:val="000000"/>
                <w:sz w:val="18"/>
                <w:szCs w:val="18"/>
              </w:rPr>
              <w:t>925</w:t>
            </w:r>
            <w:r w:rsidR="003E0D64">
              <w:rPr>
                <w:color w:val="000000"/>
                <w:sz w:val="18"/>
                <w:szCs w:val="18"/>
              </w:rPr>
              <w:t> </w:t>
            </w:r>
            <w:r>
              <w:rPr>
                <w:color w:val="000000"/>
                <w:sz w:val="18"/>
                <w:szCs w:val="18"/>
              </w:rPr>
              <w:t>696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2</w:t>
            </w:r>
            <w:r w:rsidR="003E0D64">
              <w:rPr>
                <w:color w:val="000000"/>
                <w:sz w:val="18"/>
                <w:szCs w:val="18"/>
              </w:rPr>
              <w:t> </w:t>
            </w:r>
            <w:r>
              <w:rPr>
                <w:color w:val="000000"/>
                <w:sz w:val="18"/>
                <w:szCs w:val="18"/>
              </w:rPr>
              <w:t>086</w:t>
            </w:r>
            <w:r w:rsidR="003E0D64">
              <w:rPr>
                <w:color w:val="000000"/>
                <w:sz w:val="18"/>
                <w:szCs w:val="18"/>
              </w:rPr>
              <w:t> </w:t>
            </w:r>
            <w:r>
              <w:rPr>
                <w:color w:val="000000"/>
                <w:sz w:val="18"/>
                <w:szCs w:val="18"/>
              </w:rPr>
              <w:t>170</w:t>
            </w:r>
          </w:p>
        </w:tc>
      </w:tr>
      <w:tr w:rsidR="00B802C6" w:rsidRPr="0062383B" w:rsidTr="00B802C6">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left"/>
              <w:rPr>
                <w:color w:val="000000"/>
                <w:sz w:val="18"/>
                <w:szCs w:val="18"/>
              </w:rPr>
            </w:pPr>
            <w:r>
              <w:rPr>
                <w:color w:val="000000"/>
                <w:sz w:val="18"/>
                <w:szCs w:val="18"/>
              </w:rPr>
              <w:t>Total adicional CO</w:t>
            </w:r>
            <w:r>
              <w:rPr>
                <w:color w:val="000000"/>
                <w:sz w:val="18"/>
                <w:szCs w:val="18"/>
                <w:vertAlign w:val="subscript"/>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86</w:t>
            </w:r>
            <w:r w:rsidR="003E0D64">
              <w:rPr>
                <w:color w:val="000000"/>
                <w:sz w:val="18"/>
                <w:szCs w:val="18"/>
              </w:rPr>
              <w:t> </w:t>
            </w:r>
            <w:r>
              <w:rPr>
                <w:color w:val="000000"/>
                <w:sz w:val="18"/>
                <w:szCs w:val="18"/>
              </w:rPr>
              <w:t>937</w:t>
            </w:r>
            <w:r w:rsidR="003E0D64">
              <w:rPr>
                <w:color w:val="000000"/>
                <w:sz w:val="18"/>
                <w:szCs w:val="18"/>
              </w:rPr>
              <w:t> </w:t>
            </w:r>
            <w:r>
              <w:rPr>
                <w:color w:val="000000"/>
                <w:sz w:val="18"/>
                <w:szCs w:val="18"/>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173</w:t>
            </w:r>
            <w:r w:rsidR="003E0D64">
              <w:rPr>
                <w:color w:val="000000"/>
                <w:sz w:val="18"/>
                <w:szCs w:val="18"/>
              </w:rPr>
              <w:t> </w:t>
            </w:r>
            <w:r>
              <w:rPr>
                <w:color w:val="000000"/>
                <w:sz w:val="18"/>
                <w:szCs w:val="18"/>
              </w:rPr>
              <w:t>874</w:t>
            </w:r>
            <w:r w:rsidR="003E0D64">
              <w:rPr>
                <w:color w:val="000000"/>
                <w:sz w:val="18"/>
                <w:szCs w:val="18"/>
              </w:rPr>
              <w:t> </w:t>
            </w:r>
            <w:r>
              <w:rPr>
                <w:color w:val="000000"/>
                <w:sz w:val="18"/>
                <w:szCs w:val="18"/>
              </w:rPr>
              <w:t>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260</w:t>
            </w:r>
            <w:r w:rsidR="003E0D64">
              <w:rPr>
                <w:color w:val="000000"/>
                <w:sz w:val="18"/>
                <w:szCs w:val="18"/>
              </w:rPr>
              <w:t> </w:t>
            </w:r>
            <w:r>
              <w:rPr>
                <w:color w:val="000000"/>
                <w:sz w:val="18"/>
                <w:szCs w:val="18"/>
              </w:rPr>
              <w:t>811</w:t>
            </w:r>
            <w:r w:rsidR="003E0D64">
              <w:rPr>
                <w:color w:val="000000"/>
                <w:sz w:val="18"/>
                <w:szCs w:val="18"/>
              </w:rPr>
              <w:t> </w:t>
            </w:r>
            <w:r>
              <w:rPr>
                <w:color w:val="000000"/>
                <w:sz w:val="18"/>
                <w:szCs w:val="18"/>
              </w:rPr>
              <w:t>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347</w:t>
            </w:r>
            <w:r w:rsidR="003E0D64">
              <w:rPr>
                <w:color w:val="000000"/>
                <w:sz w:val="18"/>
                <w:szCs w:val="18"/>
              </w:rPr>
              <w:t> </w:t>
            </w:r>
            <w:r>
              <w:rPr>
                <w:color w:val="000000"/>
                <w:sz w:val="18"/>
                <w:szCs w:val="18"/>
              </w:rPr>
              <w:t>748</w:t>
            </w:r>
            <w:r w:rsidR="003E0D64">
              <w:rPr>
                <w:color w:val="000000"/>
                <w:sz w:val="18"/>
                <w:szCs w:val="18"/>
              </w:rPr>
              <w:t> </w:t>
            </w:r>
            <w:r>
              <w:rPr>
                <w:color w:val="000000"/>
                <w:sz w:val="18"/>
                <w:szCs w:val="18"/>
              </w:rPr>
              <w:t>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B802C6" w:rsidRPr="0062383B" w:rsidRDefault="00B802C6" w:rsidP="00B802C6">
            <w:pPr>
              <w:jc w:val="right"/>
              <w:rPr>
                <w:color w:val="000000"/>
                <w:sz w:val="18"/>
                <w:szCs w:val="18"/>
              </w:rPr>
            </w:pPr>
            <w:r>
              <w:rPr>
                <w:color w:val="000000"/>
                <w:sz w:val="18"/>
                <w:szCs w:val="18"/>
              </w:rPr>
              <w:t>434</w:t>
            </w:r>
            <w:r w:rsidR="003E0D64">
              <w:rPr>
                <w:color w:val="000000"/>
                <w:sz w:val="18"/>
                <w:szCs w:val="18"/>
              </w:rPr>
              <w:t> </w:t>
            </w:r>
            <w:r>
              <w:rPr>
                <w:color w:val="000000"/>
                <w:sz w:val="18"/>
                <w:szCs w:val="18"/>
              </w:rPr>
              <w:t>685</w:t>
            </w:r>
            <w:r w:rsidR="003E0D64">
              <w:rPr>
                <w:color w:val="000000"/>
                <w:sz w:val="18"/>
                <w:szCs w:val="18"/>
              </w:rPr>
              <w:t> </w:t>
            </w:r>
            <w:r>
              <w:rPr>
                <w:color w:val="000000"/>
                <w:sz w:val="18"/>
                <w:szCs w:val="18"/>
              </w:rPr>
              <w:t>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521</w:t>
            </w:r>
            <w:r w:rsidR="003E0D64">
              <w:rPr>
                <w:color w:val="000000"/>
                <w:sz w:val="18"/>
                <w:szCs w:val="18"/>
              </w:rPr>
              <w:t> </w:t>
            </w:r>
            <w:r>
              <w:rPr>
                <w:color w:val="000000"/>
                <w:sz w:val="18"/>
                <w:szCs w:val="18"/>
              </w:rPr>
              <w:t>622</w:t>
            </w:r>
            <w:r w:rsidR="003E0D64">
              <w:rPr>
                <w:color w:val="000000"/>
                <w:sz w:val="18"/>
                <w:szCs w:val="18"/>
              </w:rPr>
              <w:t> </w:t>
            </w:r>
            <w:r>
              <w:rPr>
                <w:color w:val="000000"/>
                <w:sz w:val="18"/>
                <w:szCs w:val="18"/>
              </w:rPr>
              <w:t>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B802C6" w:rsidRPr="0062383B" w:rsidRDefault="00B802C6" w:rsidP="00B802C6">
            <w:pPr>
              <w:jc w:val="right"/>
              <w:rPr>
                <w:color w:val="000000"/>
                <w:sz w:val="18"/>
                <w:szCs w:val="18"/>
              </w:rPr>
            </w:pPr>
            <w:r>
              <w:rPr>
                <w:color w:val="000000"/>
                <w:sz w:val="18"/>
                <w:szCs w:val="18"/>
              </w:rPr>
              <w:t>565</w:t>
            </w:r>
            <w:r w:rsidR="003E0D64">
              <w:rPr>
                <w:color w:val="000000"/>
                <w:sz w:val="18"/>
                <w:szCs w:val="18"/>
              </w:rPr>
              <w:t> </w:t>
            </w:r>
            <w:r>
              <w:rPr>
                <w:color w:val="000000"/>
                <w:sz w:val="18"/>
                <w:szCs w:val="18"/>
              </w:rPr>
              <w:t>091</w:t>
            </w:r>
            <w:r w:rsidR="003E0D64">
              <w:rPr>
                <w:color w:val="000000"/>
                <w:sz w:val="18"/>
                <w:szCs w:val="18"/>
              </w:rPr>
              <w:t> </w:t>
            </w:r>
            <w:r>
              <w:rPr>
                <w:color w:val="000000"/>
                <w:sz w:val="18"/>
                <w:szCs w:val="18"/>
              </w:rPr>
              <w:t>392</w:t>
            </w:r>
          </w:p>
        </w:tc>
      </w:tr>
    </w:tbl>
    <w:p w:rsidR="00B802C6" w:rsidRPr="0062383B" w:rsidRDefault="00B802C6" w:rsidP="00B802C6">
      <w:pPr>
        <w:rPr>
          <w:lang w:val="en-CA"/>
        </w:rPr>
      </w:pPr>
    </w:p>
    <w:p w:rsidR="00B802C6" w:rsidRPr="00B430EE" w:rsidRDefault="00B802C6" w:rsidP="00B802C6">
      <w:pPr>
        <w:rPr>
          <w:b/>
          <w:lang w:val="es-ES"/>
        </w:rPr>
      </w:pPr>
      <w:r w:rsidRPr="00B430EE">
        <w:rPr>
          <w:b/>
          <w:lang w:val="es-ES"/>
        </w:rPr>
        <w:t>Importación y exportación de sustancias controladas contenidas en polioles premezclados</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Es probable que en los países que operan al amparo del artículo 5 haya empresas que utilizan HFC contenidos en polioles premezclados importados. En el caso de que ese consumo siguiera siendo admisible para la financiación, como fue el caso del HCFC</w:t>
      </w:r>
      <w:r w:rsidRPr="00B430EE">
        <w:rPr>
          <w:lang w:val="es-ES"/>
        </w:rPr>
        <w:noBreakHyphen/>
        <w:t xml:space="preserve">141b contenido en polioles premezclados importados, sería necesario decidir acerca de las condiciones para acceder a financiación para la conversión de las empresas admisibles que utilizan estos polioles premezclados (es decir, establecer la referencia del consumo de HFC que se debería sumar al punto de partida). </w:t>
      </w:r>
    </w:p>
    <w:p w:rsidR="00B802C6" w:rsidRPr="00B430EE" w:rsidRDefault="00B802C6" w:rsidP="00B802C6">
      <w:pPr>
        <w:pStyle w:val="Heading1"/>
        <w:rPr>
          <w:lang w:val="es-ES"/>
        </w:rPr>
      </w:pPr>
      <w:r w:rsidRPr="00B430EE">
        <w:rPr>
          <w:lang w:val="es-ES"/>
        </w:rPr>
        <w:t xml:space="preserve">En el caso de los países que operan al amparo del artículo 5 que exportan HFC contenidos en polioles premezclados, esos países deberían deducir las cantidades de HFC contenidos en esas exportaciones al momento de establecer sus puntos de partida. Por consiguiente, se requeriría un mecanismo para notificar esas exportaciones. En el caso del HCFC-141b contenido en polioles premezclados, no se contó con un mecanismo de presentación de informes de ese tipo. </w:t>
      </w:r>
    </w:p>
    <w:p w:rsidR="00B802C6" w:rsidRPr="00B430EE" w:rsidRDefault="00B802C6" w:rsidP="00B802C6">
      <w:pPr>
        <w:rPr>
          <w:b/>
          <w:lang w:val="es-ES"/>
        </w:rPr>
      </w:pPr>
      <w:r w:rsidRPr="00B430EE">
        <w:rPr>
          <w:b/>
          <w:lang w:val="es-ES"/>
        </w:rPr>
        <w:t xml:space="preserve">La función del punto de partida en el sector de servicio y mantenimiento </w:t>
      </w:r>
    </w:p>
    <w:p w:rsidR="00B802C6" w:rsidRPr="00B430EE" w:rsidRDefault="00B802C6" w:rsidP="00B802C6">
      <w:pPr>
        <w:rPr>
          <w:lang w:val="es-ES"/>
        </w:rPr>
      </w:pPr>
    </w:p>
    <w:p w:rsidR="00B802C6" w:rsidRPr="00B430EE" w:rsidRDefault="00B802C6" w:rsidP="00B802C6">
      <w:pPr>
        <w:pStyle w:val="Heading1"/>
        <w:rPr>
          <w:lang w:val="es-ES"/>
        </w:rPr>
      </w:pPr>
      <w:r w:rsidRPr="00B430EE">
        <w:rPr>
          <w:lang w:val="es-ES"/>
        </w:rPr>
        <w:t xml:space="preserve">Para la mayoría de los países que operan al amparo del artículo 5, el único consumo de HFC se registrará en el sector de servicio y mantenimiento. Incluso en los países que operan al amparo del artículo 5 que registran consumo de HFC tanto en el sector de fabricación como en el sector de servicio y mantenimiento, este último sector representará una porción sustancial del consumo del país. </w:t>
      </w:r>
    </w:p>
    <w:p w:rsidR="00B802C6" w:rsidRPr="00B430EE" w:rsidRDefault="00B802C6" w:rsidP="00B802C6">
      <w:pPr>
        <w:pStyle w:val="Heading1"/>
        <w:rPr>
          <w:lang w:val="es-ES"/>
        </w:rPr>
      </w:pPr>
      <w:r w:rsidRPr="00B430EE">
        <w:rPr>
          <w:lang w:val="es-ES"/>
        </w:rPr>
        <w:t xml:space="preserve">Los años iniciales de la reducción de los HFC se superpondrán con la eliminación del consumo remanente de HCFC que, en la mayoría de los países que operan al amparo del artículo 5, se utilizarían principalmente en el sector de servicio y mantenimiento de refrigeración. La superposición entre los calendarios de eliminación de HCFC y de reducción de los HFC constituiría una oportunidad para que los países que operan al amparo del artículo 5 planifiquen estrategias integrales, eficaces en función de costo y a más largo plazo para su sector de servicio y mantenimiento de refrigeración, lo que fortalecería a las instituciones e interesados directos pertinentes y garantizaría una introducción adecuada y sostenida de alternativas de bajo PCA. </w:t>
      </w:r>
    </w:p>
    <w:p w:rsidR="00B802C6" w:rsidRPr="00B430EE" w:rsidRDefault="00B802C6" w:rsidP="00B802C6">
      <w:pPr>
        <w:pStyle w:val="Heading1"/>
        <w:rPr>
          <w:lang w:val="es-ES"/>
        </w:rPr>
      </w:pPr>
      <w:r w:rsidRPr="00B430EE">
        <w:rPr>
          <w:lang w:val="es-ES"/>
        </w:rPr>
        <w:t xml:space="preserve">Durante este período, también podría preverse que los HFC que actualmente se utilizan en la fabricación y/o el servicio y mantenimiento de los equipos de refrigeración se sustituirían por otros HFC o mezclas de HFC con un PCA más bajo. Por ejemplo, un país tal vez desee cumplir sus obligaciones en parte alentando la retroadaptación de los equipos existentes a alternativas de PCA más bajo. Considerando esta situación, se podría tener en cuenta la posibilidad de establecer dos puntos de partida separados, uno para el sector de fabricación y otro para el sector de servicio y mantenimiento. </w:t>
      </w:r>
    </w:p>
    <w:p w:rsidR="00B802C6" w:rsidRPr="00B430EE" w:rsidRDefault="00B802C6" w:rsidP="00B802C6">
      <w:pPr>
        <w:pStyle w:val="Heading1"/>
        <w:rPr>
          <w:u w:val="single"/>
          <w:lang w:val="es-ES"/>
        </w:rPr>
      </w:pPr>
      <w:r w:rsidRPr="00B430EE">
        <w:rPr>
          <w:lang w:val="es-ES"/>
        </w:rPr>
        <w:lastRenderedPageBreak/>
        <w:t xml:space="preserve">En el caso de los HCFC, el umbral de costo a eficacia para el sector de servicio y mantenimiento para los países que no son de bajo volumen de consumo se especificó en las decisiones 60/44 f) xv) y 74/50 c) xvi). La financiación para el sector de servicio y mantenimiento de refrigeración de los países de bajo volumen de consumo, por el contrario, se especificó en las decisiones respectivas, en las que la financiación se determinó en función del nivel de consumo en el sector de servicio y mantenimiento de refrigeración, en el entendido de que las propuestas de proyecto debían demostrar que el nivel de financiación era necesario para lograr los respectivos objetivos de financiación. Aunque las actividades específicas ejecutadas por un país de bajo volumen de consumo para eliminar su consumo de HCFC podrían variar según las circunstancias del país, la admisibilidad para el nivel máximo de financiación se basaba en el consumo en el sector de servicio y mantenimiento. </w:t>
      </w:r>
    </w:p>
    <w:p w:rsidR="00B802C6" w:rsidRPr="00B430EE" w:rsidRDefault="00B802C6" w:rsidP="00B802C6">
      <w:pPr>
        <w:pStyle w:val="Heading1"/>
        <w:rPr>
          <w:lang w:val="es-ES"/>
        </w:rPr>
      </w:pPr>
      <w:r w:rsidRPr="00B430EE">
        <w:rPr>
          <w:lang w:val="es-ES"/>
        </w:rPr>
        <w:t xml:space="preserve">A fin de garantizar que hubiera fondos suficientes para reducir el consumo de los HFC en el sector de servicio y mantenimiento de refrigeración, el punto de partida aplicado a los países de bajo volumen de consumo para el sector de servicio y mantenimiento (únicamente) se podría extender tanto a los países de bajo volumen de consumo como a aquellos que no son de bajo volumen de consumo. En ese caso, los países que registran consumo en el sector de fabricación también tendrían un punto de partida separado para el sector de fabricación (únicamente). Por lo tanto, la financiación para el sector de servicio y mantenimiento se determinaría sobre la base de las actividades necesarias para lograr el cumplimiento de las medidas de reducción, más que en función del tonelaje específico que ha de eliminarse. </w:t>
      </w:r>
    </w:p>
    <w:p w:rsidR="00B802C6" w:rsidRPr="00B430EE" w:rsidRDefault="00B802C6" w:rsidP="00B802C6">
      <w:pPr>
        <w:keepNext/>
        <w:keepLines/>
        <w:rPr>
          <w:b/>
          <w:lang w:val="es-ES"/>
        </w:rPr>
      </w:pPr>
      <w:r w:rsidRPr="00B430EE">
        <w:rPr>
          <w:b/>
          <w:lang w:val="es-ES"/>
        </w:rPr>
        <w:t xml:space="preserve">El punto de partida para el sector de producción </w:t>
      </w:r>
    </w:p>
    <w:p w:rsidR="00B802C6" w:rsidRPr="00B430EE" w:rsidRDefault="00B802C6" w:rsidP="00B802C6">
      <w:pPr>
        <w:keepNext/>
        <w:keepLines/>
        <w:rPr>
          <w:lang w:val="es-ES"/>
        </w:rPr>
      </w:pPr>
    </w:p>
    <w:p w:rsidR="00B802C6" w:rsidRPr="00B430EE" w:rsidRDefault="00B802C6" w:rsidP="00B802C6">
      <w:pPr>
        <w:pStyle w:val="Heading1"/>
        <w:keepNext/>
        <w:keepLines/>
        <w:rPr>
          <w:lang w:val="es-ES"/>
        </w:rPr>
      </w:pPr>
      <w:r w:rsidRPr="00B430EE">
        <w:rPr>
          <w:lang w:val="es-ES"/>
        </w:rPr>
        <w:t xml:space="preserve">Los planes de eliminación de los CFC en la producción no establecían un punto de partida para las reducciones acumuladas de la </w:t>
      </w:r>
      <w:proofErr w:type="gramStart"/>
      <w:r w:rsidRPr="00B430EE">
        <w:rPr>
          <w:lang w:val="es-ES"/>
        </w:rPr>
        <w:t>producción</w:t>
      </w:r>
      <w:proofErr w:type="gramEnd"/>
      <w:r w:rsidRPr="00B430EE">
        <w:rPr>
          <w:lang w:val="es-ES"/>
        </w:rPr>
        <w:t xml:space="preserve"> sino que especificaban una producción máxima permitida por año, con un nivel de financiación conexo. Además, los acuerdos para el sector de producción de CFC especificaban que la financiación se proporcionaba para el cierre completo de la capacidad de producción de CFC en el país. Del mismo modo, en el plan de gestión de la eliminación de la producción de HCFC (PGEPH) aprobado por el Comité Ejecutivo para un país, se especificó que la remuneración total para todo el sector de producción de HCFC con el fin de eliminar la producción de HCFC para las sustancias controladas de conformidad con el calendario de eliminación del Protocolo de Montreal no superaría un valor especificado. Además, en el acuerdo se especificó la cantidad total de eliminación que se debería lograr en toneladas métricas, por sustancia. La cantidad se basó en la última verificación de los datos de producción de las sustancias realizada con anterioridad a la decisión en que se aprobó la etapa I del PGEPH. </w:t>
      </w:r>
    </w:p>
    <w:p w:rsidR="00B802C6" w:rsidRPr="00B430EE" w:rsidRDefault="00B802C6" w:rsidP="00B802C6">
      <w:pPr>
        <w:pStyle w:val="Heading1"/>
        <w:rPr>
          <w:lang w:val="es-ES"/>
        </w:rPr>
      </w:pPr>
      <w:r w:rsidRPr="00B430EE">
        <w:rPr>
          <w:lang w:val="es-ES"/>
        </w:rPr>
        <w:t>La Secretaría señala que el anexo F incluye el HFC-23. La Secretaría señala además que, al momento de publicarse el presente documento, las Partes están deliberando acerca de cómo presentar datos sobre el HFC-23 como subproducto generado durante la producción de HCFC-22 con arreglo al artículo 7 del Protocolo</w:t>
      </w:r>
      <w:r w:rsidRPr="0062383B">
        <w:rPr>
          <w:rStyle w:val="FootnoteReference"/>
          <w:lang w:val="en-CA"/>
        </w:rPr>
        <w:footnoteReference w:id="36"/>
      </w:r>
      <w:r w:rsidRPr="00B430EE">
        <w:rPr>
          <w:lang w:val="es-ES"/>
        </w:rPr>
        <w:t>. Dado que el PCA del HFC-23 es 14 800, los resultados de esas deliberaciones podrían afectar sustancialmente el nivel básico de producción de HFC de un país. Además, según las conclusiones de esas deliberaciones, es posible que una Parte pueda presentar datos sobre la producción de HFC sin tener una capacidad de producción de HFC dedicada</w:t>
      </w:r>
      <w:r w:rsidRPr="0062383B">
        <w:rPr>
          <w:rStyle w:val="FootnoteReference"/>
          <w:lang w:val="en-CA"/>
        </w:rPr>
        <w:footnoteReference w:id="37"/>
      </w:r>
      <w:r w:rsidRPr="00B430EE">
        <w:rPr>
          <w:lang w:val="es-ES"/>
        </w:rPr>
        <w:t xml:space="preserve">. </w:t>
      </w:r>
    </w:p>
    <w:p w:rsidR="00B802C6" w:rsidRPr="00B430EE" w:rsidRDefault="00B802C6" w:rsidP="00B802C6">
      <w:pPr>
        <w:pStyle w:val="Heading1"/>
        <w:rPr>
          <w:lang w:val="es-ES"/>
        </w:rPr>
      </w:pPr>
      <w:r w:rsidRPr="00B430EE">
        <w:rPr>
          <w:lang w:val="es-ES"/>
        </w:rPr>
        <w:t xml:space="preserve">Aunque la producción de HFC de los países que operan al amparo del artículo 5 representa una proporción sustancial de la producción de HFC mundial, prácticamente toda esa producción se registra en un solo país que opera al amparo del artículo 5. Se prevé que solo un número limitado de países que operan al amparo del artículo 5 producirán HFC. Hasta la fecha, las propuestas para el sector de producción han sido examinadas caso por caso por el Subgrupo sobre el Sector de Producción, que luego formulaba </w:t>
      </w:r>
      <w:r w:rsidRPr="00B430EE">
        <w:rPr>
          <w:lang w:val="es-ES"/>
        </w:rPr>
        <w:lastRenderedPageBreak/>
        <w:t xml:space="preserve">recomendaciones al Comité Ejecutivo. Se podría seguir un enfoque similar para abordar el punto de partida para la producción de HFC. </w:t>
      </w:r>
    </w:p>
    <w:p w:rsidR="00B802C6" w:rsidRPr="0062383B" w:rsidRDefault="00B802C6" w:rsidP="00B802C6">
      <w:pPr>
        <w:keepNext/>
        <w:keepLines/>
        <w:rPr>
          <w:b/>
        </w:rPr>
      </w:pPr>
      <w:r>
        <w:rPr>
          <w:b/>
        </w:rPr>
        <w:t>RECOMENDACIÓN</w:t>
      </w:r>
    </w:p>
    <w:p w:rsidR="00B802C6" w:rsidRPr="0062383B" w:rsidRDefault="00B802C6" w:rsidP="00B802C6">
      <w:pPr>
        <w:keepNext/>
        <w:keepLines/>
        <w:rPr>
          <w:lang w:val="en-CA"/>
        </w:rPr>
      </w:pPr>
    </w:p>
    <w:p w:rsidR="00B802C6" w:rsidRPr="00B430EE" w:rsidRDefault="00B802C6" w:rsidP="00B802C6">
      <w:pPr>
        <w:pStyle w:val="Heading1"/>
        <w:keepNext/>
        <w:keepLines/>
        <w:rPr>
          <w:lang w:val="es-ES"/>
        </w:rPr>
      </w:pPr>
      <w:r w:rsidRPr="00B430EE">
        <w:rPr>
          <w:lang w:val="es-ES"/>
        </w:rPr>
        <w:t xml:space="preserve">El Comité Ejecutivo tal vez desee: </w:t>
      </w:r>
    </w:p>
    <w:p w:rsidR="00B802C6" w:rsidRPr="00B430EE" w:rsidRDefault="00B802C6" w:rsidP="00B802C6">
      <w:pPr>
        <w:pStyle w:val="Heading2"/>
        <w:keepNext/>
        <w:keepLines/>
        <w:widowControl/>
        <w:rPr>
          <w:lang w:val="es-ES"/>
        </w:rPr>
      </w:pPr>
      <w:r w:rsidRPr="00B430EE">
        <w:rPr>
          <w:lang w:val="es-ES"/>
        </w:rPr>
        <w:t>Tomar nota de las consideraciones esenciales para elaborar una metodología para determinar el punto de partida para las reducciones acumuladas sostenidas con arreglo a la Enmienda de Kigali para los sectores de consumo y producción (decisión 81/67 e)) que figuran en el documento UNEP/OzL.Pro/ExCom/82/66; y</w:t>
      </w:r>
    </w:p>
    <w:p w:rsidR="00B802C6" w:rsidRPr="00B430EE" w:rsidRDefault="00B802C6" w:rsidP="00B802C6">
      <w:pPr>
        <w:pStyle w:val="Heading2"/>
        <w:widowControl/>
        <w:rPr>
          <w:lang w:val="es-ES"/>
        </w:rPr>
      </w:pPr>
      <w:r w:rsidRPr="00B430EE">
        <w:rPr>
          <w:lang w:val="es-ES"/>
        </w:rPr>
        <w:t xml:space="preserve">Examinar esa información en el contexto de sus deliberaciones acerca de la elaboración de las directrices sobre los costos para la reducción de los HFC en los países que operan al amparo del artículo 5: proyecto de criterios para la financiación, en relación con el tema 11 d) del orden del día. </w:t>
      </w:r>
    </w:p>
    <w:p w:rsidR="00B802C6" w:rsidRPr="00B430EE" w:rsidRDefault="00B802C6" w:rsidP="00B802C6">
      <w:pPr>
        <w:rPr>
          <w:lang w:val="es-ES"/>
        </w:rPr>
      </w:pPr>
    </w:p>
    <w:p w:rsidR="00B802C6" w:rsidRPr="00B430EE" w:rsidRDefault="00B802C6" w:rsidP="00B802C6">
      <w:pPr>
        <w:jc w:val="left"/>
        <w:rPr>
          <w:lang w:val="es-ES"/>
        </w:rPr>
        <w:sectPr w:rsidR="00B802C6" w:rsidRPr="00B430EE" w:rsidSect="00B802C6">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B802C6" w:rsidRPr="00B430EE" w:rsidRDefault="00B802C6" w:rsidP="00B802C6">
      <w:pPr>
        <w:jc w:val="center"/>
        <w:rPr>
          <w:b/>
          <w:lang w:val="es-ES"/>
        </w:rPr>
      </w:pPr>
      <w:r w:rsidRPr="00B430EE">
        <w:rPr>
          <w:b/>
          <w:lang w:val="es-ES"/>
        </w:rPr>
        <w:lastRenderedPageBreak/>
        <w:t>Anexo I</w:t>
      </w:r>
    </w:p>
    <w:p w:rsidR="00E64A04" w:rsidRPr="00B430EE" w:rsidRDefault="00E64A04" w:rsidP="00B802C6">
      <w:pPr>
        <w:jc w:val="center"/>
        <w:rPr>
          <w:b/>
          <w:lang w:val="es-ES"/>
        </w:rPr>
      </w:pPr>
      <w:bookmarkStart w:id="0" w:name="_Hlk529283021"/>
    </w:p>
    <w:bookmarkEnd w:id="0"/>
    <w:p w:rsidR="00E64A04" w:rsidRPr="00B430EE" w:rsidRDefault="00E64A04" w:rsidP="00E64A04">
      <w:pPr>
        <w:jc w:val="center"/>
        <w:rPr>
          <w:b/>
          <w:lang w:val="es-ES"/>
        </w:rPr>
      </w:pPr>
      <w:r w:rsidRPr="00B430EE">
        <w:rPr>
          <w:b/>
          <w:lang w:val="es-ES"/>
        </w:rPr>
        <w:t xml:space="preserve">EXTRACTO DE LAS DELIBERACIONES DEL COMITÉ EJECUTIVO </w:t>
      </w:r>
    </w:p>
    <w:p w:rsidR="00E64A04" w:rsidRPr="00B430EE" w:rsidRDefault="00E64A04" w:rsidP="00E64A04">
      <w:pPr>
        <w:jc w:val="center"/>
        <w:rPr>
          <w:b/>
          <w:lang w:val="es-ES"/>
        </w:rPr>
      </w:pPr>
      <w:r w:rsidRPr="00B430EE">
        <w:rPr>
          <w:b/>
          <w:lang w:val="es-ES"/>
        </w:rPr>
        <w:t>SOBRE EL PUNTO DE PARTIDA EN LA 78ª REUNIÓN</w:t>
      </w:r>
    </w:p>
    <w:p w:rsidR="00E64A04" w:rsidRPr="00B430EE" w:rsidRDefault="00E64A04" w:rsidP="00E64A04">
      <w:pPr>
        <w:rPr>
          <w:lang w:val="es-ES"/>
        </w:rPr>
      </w:pPr>
    </w:p>
    <w:p w:rsidR="00E64A04" w:rsidRPr="00B430EE" w:rsidRDefault="00E64A04" w:rsidP="00E64A04">
      <w:pPr>
        <w:pStyle w:val="Heading1"/>
        <w:numPr>
          <w:ilvl w:val="0"/>
          <w:numId w:val="0"/>
        </w:numPr>
        <w:ind w:firstLine="720"/>
        <w:rPr>
          <w:u w:val="single"/>
          <w:lang w:val="es-ES"/>
        </w:rPr>
      </w:pPr>
      <w:r w:rsidRPr="00B430EE">
        <w:rPr>
          <w:u w:val="single"/>
          <w:lang w:val="es-ES"/>
        </w:rPr>
        <w:t>Reducciones acumuladas sostenidas en el consumo y producción de HFC</w:t>
      </w:r>
    </w:p>
    <w:p w:rsidR="00E64A04" w:rsidRPr="00B430EE" w:rsidRDefault="00E64A04" w:rsidP="00E64A04">
      <w:pPr>
        <w:pStyle w:val="Heading1"/>
        <w:numPr>
          <w:ilvl w:val="0"/>
          <w:numId w:val="32"/>
        </w:numPr>
        <w:rPr>
          <w:lang w:val="es-ES"/>
        </w:rPr>
      </w:pPr>
      <w:r w:rsidRPr="00B430EE">
        <w:rPr>
          <w:lang w:val="es-ES"/>
        </w:rPr>
        <w:t>El representante de la Secretaría presentó los párrafos 32 a 39 del documento UNEP/OzL.Pro/ExCom/78/5.</w:t>
      </w:r>
    </w:p>
    <w:p w:rsidR="00E64A04" w:rsidRPr="00B430EE" w:rsidRDefault="00E64A04" w:rsidP="00E64A04">
      <w:pPr>
        <w:pStyle w:val="Heading1"/>
        <w:rPr>
          <w:lang w:val="es-ES"/>
        </w:rPr>
      </w:pPr>
      <w:r w:rsidRPr="00B430EE">
        <w:rPr>
          <w:lang w:val="es-ES"/>
        </w:rPr>
        <w:t>Hubo acuerdo en general con el principio aplicado en la decisión XXVIII/2, en virtud del cual el consumo financiable restante en toneladas se determinará sobre la base del punto de partida del consumo nacional acumulado. Uno de los miembros señaló que los países que operan al amparo del artículo 5 se habían manifestado a favor de la inclusión de ese principio, puesto que un enfoque específico para un sector o sustancia limitaría las oportunidades de financiación debido a la falta de flexibilidad. Eso se aplicaba especialmente en aquellos casos en que no había nuevas tecnologías disponibles. Destacó que esa postura era coherente con el texto de la decisión XXVIII/2, en virtud de la cual el consumo financiable admisible para la financiación se definía sin distinción alguna en cuanto a la sustancia o el sector. Otro de los miembros señaló que, en el contexto de una reducción más que de una eliminación, limitar la reducción del consumo y la producción a sectores o sustancias específicos restringiría la capacidad de un país para aprovechar las alternativas a los HFC que tenían un bajo potencial de calentamiento atmosférico, lo cual tendría un considerable efecto en las decisiones sobre conversiones y el mercado y, sin duda, en la economía nacional y de los sectores. Otro representante dijo que la reducción de los HFC era más compleja que la eliminación de las SAO, dada la mayor proporción de mezclas que de sustancias puras, lo que requería un enfoque más flexible. Otro de los miembros señaló que se desprendía claramente de la decisión XXVIII/2 que las reducciones habrían de basarse en el consumo nacional acumulado, más que en cantidades específicas de sectores o sustancias, por lo que no sería necesario incluir ese factor como un principio específico en las directrices. Un representante destacó que los dos elementos clave del debate eran la flexibilidad y la sostenibilidad.</w:t>
      </w:r>
    </w:p>
    <w:p w:rsidR="00E64A04" w:rsidRPr="00B430EE" w:rsidRDefault="00E64A04" w:rsidP="00E64A04">
      <w:pPr>
        <w:pStyle w:val="Heading1"/>
        <w:rPr>
          <w:lang w:val="es-ES"/>
        </w:rPr>
      </w:pPr>
      <w:r w:rsidRPr="00B430EE">
        <w:rPr>
          <w:lang w:val="es-ES"/>
        </w:rPr>
        <w:t>Se reconoció, en general, la complejidad que significaba determinar la fórmula con la que se calcularía el punto de partida. Uno de los miembros dijo que, en el pasado, para la eliminación de las SAO, el punto de partida había sido el nivel básico de referencia de consumo, o un año cercano al año básico de referencia. En la presente situación, un nivel básico de referencia que comprenda el consumo medio de HFC para el período de 2020 a 2022, más el 65</w:t>
      </w:r>
      <w:r w:rsidR="003E41D9" w:rsidRPr="003E41D9">
        <w:rPr>
          <w:color w:val="000000" w:themeColor="text1"/>
          <w:sz w:val="20"/>
          <w:szCs w:val="20"/>
          <w:lang w:val="es-MX"/>
        </w:rPr>
        <w:t xml:space="preserve"> </w:t>
      </w:r>
      <w:r w:rsidR="003E41D9">
        <w:rPr>
          <w:color w:val="000000" w:themeColor="text1"/>
          <w:sz w:val="20"/>
          <w:szCs w:val="20"/>
          <w:lang w:val="es-MX"/>
        </w:rPr>
        <w:t>por ciento</w:t>
      </w:r>
      <w:r w:rsidRPr="00B430EE">
        <w:rPr>
          <w:lang w:val="es-ES"/>
        </w:rPr>
        <w:t xml:space="preserve"> del nivel básico de referencia de consumo de HCFC, sería muy elevado como punto de partida para la admisibilidad para la financiación. Sin embargo, un punto de partida que se base solamente en el consumo de HFC, podría considerarse demasiado bajo, dado que los proyectos de eliminación podrían no abordar la totalidad del crecimiento previsto. Por lo tanto, era necesario examinar más a fondo el enfoque para determinar el punto de partida. </w:t>
      </w:r>
    </w:p>
    <w:p w:rsidR="00E64A04" w:rsidRPr="00B430EE" w:rsidRDefault="00E64A04" w:rsidP="00E64A04">
      <w:pPr>
        <w:pStyle w:val="Heading1"/>
        <w:rPr>
          <w:lang w:val="es-ES"/>
        </w:rPr>
      </w:pPr>
      <w:r w:rsidRPr="00B430EE">
        <w:rPr>
          <w:lang w:val="es-ES"/>
        </w:rPr>
        <w:t>Uno de los miembros dijo que, en el pasado, se habían puesto a disposición fondos para la eliminación del consumo de sustancias controladas mientras aún se establecían nuevas empresas, lo cual había aumentado el consumo. El principio de la reducción acumulada sostenida se había establecido para garantizar que el Fondo Multilateral prestase asistencia a los países que operan al amparo del artículo 5 para cumplir sus obligaciones. Señaló que la inclusión de los HCFC en la fórmula para determinar el nivel básico complicaba la cuestión de cómo podría determinarse el punto de partida, y era diferente de lo que se había hecho anteriormente. Se señaló que el punto de partida para un país debería determinarse en el momento del primer proyecto de reducción financiado. Otro de los miembros dijo que, históricamente, se había hecho una clara distinción entre el consumo en los sectores de inversión y aquellos ajenos a la inversión para calcular los niveles de financiación, y que esa distinción podría ser útil en caso de que se considerara que la distinción por subsector era demasiado restrictiva.</w:t>
      </w:r>
    </w:p>
    <w:p w:rsidR="00E64A04" w:rsidRPr="00B430EE" w:rsidRDefault="00E64A04" w:rsidP="00E64A04">
      <w:pPr>
        <w:pStyle w:val="Heading1"/>
        <w:rPr>
          <w:lang w:val="es-ES"/>
        </w:rPr>
      </w:pPr>
      <w:r w:rsidRPr="00B430EE">
        <w:rPr>
          <w:lang w:val="es-ES"/>
        </w:rPr>
        <w:lastRenderedPageBreak/>
        <w:t>También se trató la cuestión de si el punto de partida debería definirse en función del equivalente de CO</w:t>
      </w:r>
      <w:r w:rsidRPr="00B430EE">
        <w:rPr>
          <w:vertAlign w:val="subscript"/>
          <w:lang w:val="es-ES"/>
        </w:rPr>
        <w:t>2</w:t>
      </w:r>
      <w:r w:rsidRPr="00B430EE">
        <w:rPr>
          <w:lang w:val="es-ES"/>
        </w:rPr>
        <w:t>, toneladas métricas o ambos, y se acordó de que el asunto debía examinarse más a fondo.</w:t>
      </w:r>
    </w:p>
    <w:p w:rsidR="00E64A04" w:rsidRPr="00B430EE" w:rsidRDefault="00E64A04" w:rsidP="00E64A04">
      <w:pPr>
        <w:pStyle w:val="Heading1"/>
        <w:rPr>
          <w:lang w:val="es-ES"/>
        </w:rPr>
      </w:pPr>
      <w:r w:rsidRPr="00B430EE">
        <w:rPr>
          <w:lang w:val="es-ES"/>
        </w:rPr>
        <w:t xml:space="preserve">En las deliberaciones subsiguientes, se debatió sobre la inclusión en la plantilla para el proyecto de directrices sobre los costos del párrafo 19 de la decisión XXVIII/2, en el que se solicitaba al Comité Ejecutivo que incorporara el principio de que el consumo financiable restante en toneladas se determinará sobre la base del punto de partida del consumo nacional acumulado menos la cantidad financiada en proyectos aprobados con anterioridad en futuros formularios de acuerdos plurianuales de los planes de reducción de los HFC. Un miembro dijo que el texto de la Enmienda de Kigali dejaba claro que ese principio debería incluirse entre los principios ya acordados por las Partes. El Comité Ejecutivo </w:t>
      </w:r>
      <w:r w:rsidRPr="00B430EE">
        <w:rPr>
          <w:u w:val="single"/>
          <w:lang w:val="es-ES"/>
        </w:rPr>
        <w:t>acordó</w:t>
      </w:r>
      <w:r w:rsidRPr="00B430EE">
        <w:rPr>
          <w:lang w:val="es-ES"/>
        </w:rPr>
        <w:t xml:space="preserve"> aplazar el examen más a fondo del asunto hasta una reunión futura.</w:t>
      </w:r>
    </w:p>
    <w:p w:rsidR="000F7EE9" w:rsidRPr="00B430EE" w:rsidRDefault="000F7EE9" w:rsidP="000F7EE9">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7EE9" w:rsidRPr="00B430EE" w:rsidTr="00E92562">
        <w:tc>
          <w:tcPr>
            <w:tcW w:w="1915" w:type="dxa"/>
          </w:tcPr>
          <w:p w:rsidR="000F7EE9" w:rsidRPr="00B430EE" w:rsidRDefault="000F7EE9" w:rsidP="00E92562">
            <w:pPr>
              <w:rPr>
                <w:lang w:val="es-ES"/>
              </w:rPr>
            </w:pPr>
          </w:p>
        </w:tc>
        <w:tc>
          <w:tcPr>
            <w:tcW w:w="1915" w:type="dxa"/>
          </w:tcPr>
          <w:p w:rsidR="000F7EE9" w:rsidRPr="00B430EE" w:rsidRDefault="000F7EE9" w:rsidP="00E92562">
            <w:pPr>
              <w:rPr>
                <w:lang w:val="es-ES"/>
              </w:rPr>
            </w:pPr>
          </w:p>
        </w:tc>
        <w:tc>
          <w:tcPr>
            <w:tcW w:w="1915" w:type="dxa"/>
            <w:tcBorders>
              <w:bottom w:val="single" w:sz="4" w:space="0" w:color="auto"/>
            </w:tcBorders>
          </w:tcPr>
          <w:p w:rsidR="000F7EE9" w:rsidRPr="00B430EE" w:rsidRDefault="000F7EE9" w:rsidP="00E92562">
            <w:pPr>
              <w:rPr>
                <w:lang w:val="es-ES"/>
              </w:rPr>
            </w:pPr>
          </w:p>
        </w:tc>
        <w:tc>
          <w:tcPr>
            <w:tcW w:w="1915" w:type="dxa"/>
          </w:tcPr>
          <w:p w:rsidR="000F7EE9" w:rsidRPr="00B430EE" w:rsidRDefault="000F7EE9" w:rsidP="00E92562">
            <w:pPr>
              <w:rPr>
                <w:lang w:val="es-ES"/>
              </w:rPr>
            </w:pPr>
          </w:p>
        </w:tc>
        <w:tc>
          <w:tcPr>
            <w:tcW w:w="1916" w:type="dxa"/>
          </w:tcPr>
          <w:p w:rsidR="000F7EE9" w:rsidRPr="00B430EE" w:rsidRDefault="000F7EE9" w:rsidP="00E92562">
            <w:pPr>
              <w:rPr>
                <w:lang w:val="es-ES"/>
              </w:rPr>
            </w:pPr>
          </w:p>
        </w:tc>
      </w:tr>
    </w:tbl>
    <w:p w:rsidR="000F7EE9" w:rsidRPr="00B430EE" w:rsidRDefault="000F7EE9" w:rsidP="000F7EE9">
      <w:pPr>
        <w:rPr>
          <w:lang w:val="es-ES"/>
        </w:rPr>
      </w:pPr>
    </w:p>
    <w:p w:rsidR="0087455A" w:rsidRDefault="0087455A" w:rsidP="000F7EE9">
      <w:pPr>
        <w:jc w:val="center"/>
        <w:rPr>
          <w:b/>
          <w:bCs/>
          <w:lang w:val="es-ES"/>
        </w:rPr>
      </w:pPr>
      <w:bookmarkStart w:id="1" w:name="_GoBack"/>
      <w:bookmarkEnd w:id="1"/>
    </w:p>
    <w:sectPr w:rsidR="0087455A">
      <w:headerReference w:type="even" r:id="rId16"/>
      <w:headerReference w:type="firs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707" w:rsidRDefault="001F6707">
      <w:r>
        <w:separator/>
      </w:r>
    </w:p>
  </w:endnote>
  <w:endnote w:type="continuationSeparator" w:id="0">
    <w:p w:rsidR="001F6707" w:rsidRDefault="001F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Pr="0033525D" w:rsidRDefault="001F6707">
    <w:pPr>
      <w:jc w:val="center"/>
    </w:pPr>
    <w:r>
      <w:fldChar w:fldCharType="begin"/>
    </w:r>
    <w:r>
      <w:instrText xml:space="preserve"> PAGE </w:instrText>
    </w:r>
    <w:r>
      <w:fldChar w:fldCharType="separate"/>
    </w:r>
    <w:r w:rsidR="00F97D2D">
      <w:rPr>
        <w:noProof/>
      </w:rPr>
      <w:t>18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Pr="0033525D" w:rsidRDefault="001F6707">
    <w:pPr>
      <w:jc w:val="center"/>
    </w:pPr>
    <w:r>
      <w:fldChar w:fldCharType="begin"/>
    </w:r>
    <w:r>
      <w:instrText xml:space="preserve"> PAGE </w:instrText>
    </w:r>
    <w:r>
      <w:fldChar w:fldCharType="separate"/>
    </w:r>
    <w:r w:rsidR="00F97D2D">
      <w:rPr>
        <w:noProof/>
      </w:rPr>
      <w:t>17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Pr="00F97D2D" w:rsidRDefault="001F6707" w:rsidP="00B802C6">
    <w:pPr>
      <w:pBdr>
        <w:top w:val="single" w:sz="4" w:space="1" w:color="auto"/>
        <w:left w:val="single" w:sz="4" w:space="4" w:color="auto"/>
        <w:bottom w:val="single" w:sz="4" w:space="1" w:color="auto"/>
        <w:right w:val="single" w:sz="4" w:space="4" w:color="auto"/>
      </w:pBdr>
      <w:jc w:val="center"/>
      <w:rPr>
        <w:sz w:val="16"/>
        <w:szCs w:val="16"/>
        <w:lang w:val="es-ES"/>
      </w:rPr>
    </w:pPr>
    <w:r w:rsidRPr="00F97D2D">
      <w:rPr>
        <w:sz w:val="16"/>
        <w:szCs w:val="16"/>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rsidR="001F6707" w:rsidRPr="00B430EE" w:rsidRDefault="001F6707" w:rsidP="00B802C6">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1F6707" w:rsidRDefault="001F6707">
        <w:pPr>
          <w:pStyle w:val="Footer"/>
          <w:jc w:val="center"/>
        </w:pPr>
        <w:r>
          <w:fldChar w:fldCharType="begin"/>
        </w:r>
        <w:r>
          <w:instrText xml:space="preserve"> PAGE   \* MERGEFORMAT </w:instrText>
        </w:r>
        <w:r>
          <w:fldChar w:fldCharType="separate"/>
        </w:r>
        <w:r w:rsidR="00F97D2D">
          <w:rPr>
            <w:noProof/>
          </w:rPr>
          <w:t>1</w:t>
        </w:r>
        <w:r>
          <w:rPr>
            <w:noProof/>
          </w:rPr>
          <w:fldChar w:fldCharType="end"/>
        </w:r>
      </w:p>
    </w:sdtContent>
  </w:sdt>
  <w:p w:rsidR="001F6707" w:rsidRDefault="001F67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707" w:rsidRDefault="001F6707">
      <w:r>
        <w:separator/>
      </w:r>
    </w:p>
  </w:footnote>
  <w:footnote w:type="continuationSeparator" w:id="0">
    <w:p w:rsidR="001F6707" w:rsidRDefault="001F6707">
      <w:r>
        <w:continuationSeparator/>
      </w:r>
    </w:p>
  </w:footnote>
  <w:footnote w:id="1">
    <w:p w:rsidR="001F6707" w:rsidRPr="00850DFD" w:rsidRDefault="001F6707" w:rsidP="00B802C6">
      <w:pPr>
        <w:pStyle w:val="FootnoteText"/>
      </w:pPr>
      <w:r>
        <w:rPr>
          <w:rStyle w:val="FootnoteReference"/>
        </w:rPr>
        <w:footnoteRef/>
      </w:r>
      <w:r>
        <w:t xml:space="preserve"> Decisión relacionada con la enmienda por la que se reducen los HFC.</w:t>
      </w:r>
    </w:p>
  </w:footnote>
  <w:footnote w:id="2">
    <w:p w:rsidR="001F6707" w:rsidRDefault="001F6707" w:rsidP="00B802C6">
      <w:pPr>
        <w:pStyle w:val="FootnoteText"/>
      </w:pPr>
      <w:r>
        <w:rPr>
          <w:rStyle w:val="FootnoteReference"/>
        </w:rPr>
        <w:footnoteRef/>
      </w:r>
      <w:r>
        <w:t xml:space="preserve"> Los informes del equipo de tareas del GETE incluyen datos de consumo y producción de HFC y proyecciones para cada período de cinco años entre 2010 y 2030. El informe de Velders </w:t>
      </w:r>
      <w:r>
        <w:rPr>
          <w:i/>
        </w:rPr>
        <w:t>et al</w:t>
      </w:r>
      <w:r>
        <w:t>. (2015) proporciona información sobre las concentraciones en la atmósfera y forzamientos climáticos futuros basados en escenarios de emisiones de HFC mundiales y regionales.</w:t>
      </w:r>
    </w:p>
    <w:p w:rsidR="00F97D2D" w:rsidRDefault="00F97D2D" w:rsidP="00B802C6">
      <w:pPr>
        <w:pStyle w:val="FootnoteText"/>
      </w:pPr>
    </w:p>
    <w:p w:rsidR="00F97D2D" w:rsidRDefault="00F97D2D" w:rsidP="00B802C6">
      <w:pPr>
        <w:pStyle w:val="FootnoteText"/>
      </w:pPr>
    </w:p>
    <w:p w:rsidR="001F6707" w:rsidRPr="00655364" w:rsidRDefault="001F6707" w:rsidP="00B802C6">
      <w:pPr>
        <w:pStyle w:val="FootnoteText"/>
      </w:pPr>
    </w:p>
  </w:footnote>
  <w:footnote w:id="3">
    <w:p w:rsidR="001F6707" w:rsidRPr="00E6612A" w:rsidRDefault="001F6707" w:rsidP="00B802C6">
      <w:pPr>
        <w:pStyle w:val="FootnoteText"/>
      </w:pPr>
      <w:r>
        <w:rPr>
          <w:rStyle w:val="FootnoteReference"/>
        </w:rPr>
        <w:footnoteRef/>
      </w:r>
      <w:r>
        <w:t xml:space="preserve"> En las reuniones 74</w:t>
      </w:r>
      <w:r>
        <w:rPr>
          <w:vertAlign w:val="superscript"/>
        </w:rPr>
        <w:t>a</w:t>
      </w:r>
      <w:r>
        <w:t xml:space="preserve"> (mayo de 2015) y 75</w:t>
      </w:r>
      <w:r>
        <w:rPr>
          <w:vertAlign w:val="superscript"/>
        </w:rPr>
        <w:t>a</w:t>
      </w:r>
      <w:r>
        <w:t xml:space="preserve"> (noviembre de 2015), se aprobaron fondos para 127 estudios. En la 80ª reunión se presentaron los estudios realizados en 119 países (UNEP/OzL.Pro/ExCom/80/54), que comprenden 42 países que no son de bajo volumen de consumo y 77 países de bajo volumen de consumo. </w:t>
      </w:r>
    </w:p>
  </w:footnote>
  <w:footnote w:id="4">
    <w:p w:rsidR="001F6707" w:rsidRPr="006438B7" w:rsidRDefault="001F6707" w:rsidP="00B802C6">
      <w:pPr>
        <w:pStyle w:val="FootnoteText"/>
      </w:pPr>
      <w:r>
        <w:rPr>
          <w:rStyle w:val="FootnoteReference"/>
        </w:rPr>
        <w:footnoteRef/>
      </w:r>
      <w:r>
        <w:t xml:space="preserve"> Pedir al Comité Ejecutivo que considere la posibilidad de proporcionar financiación adicional para hacer inventarios o estudios de las alternativas a las SAO en las Partes interesadas que operan al amparo del artículo 5 previa solicitud. </w:t>
      </w:r>
    </w:p>
  </w:footnote>
  <w:footnote w:id="5">
    <w:p w:rsidR="001F6707" w:rsidRPr="00C06D65" w:rsidRDefault="001F6707" w:rsidP="00B802C6">
      <w:pPr>
        <w:pStyle w:val="FootnoteText"/>
      </w:pPr>
      <w:r>
        <w:rPr>
          <w:rStyle w:val="FootnoteReference"/>
        </w:rPr>
        <w:footnoteRef/>
      </w:r>
      <w:r>
        <w:t xml:space="preserve"> El nivel básico acumulado de HCFC de los 42 países que no son de bajo volumen de consumo representa solo el 24</w:t>
      </w:r>
      <w:r w:rsidR="00E42AEA">
        <w:rPr>
          <w:color w:val="000000" w:themeColor="text1"/>
          <w:szCs w:val="20"/>
          <w:lang w:val="es-MX"/>
        </w:rPr>
        <w:t> por ciento</w:t>
      </w:r>
      <w:r>
        <w:t xml:space="preserve"> del nivel básico acumulado de todos esos países, mientras que el nivel básico acumulado de HCFC de los 77 países de bajo volumen de consumo representa el 91</w:t>
      </w:r>
      <w:r w:rsidR="00E42AEA" w:rsidRPr="00E42AEA">
        <w:rPr>
          <w:color w:val="000000" w:themeColor="text1"/>
          <w:szCs w:val="20"/>
          <w:lang w:val="es-MX"/>
        </w:rPr>
        <w:t xml:space="preserve"> </w:t>
      </w:r>
      <w:r w:rsidR="00E42AEA">
        <w:rPr>
          <w:color w:val="000000" w:themeColor="text1"/>
          <w:szCs w:val="20"/>
          <w:lang w:val="es-MX"/>
        </w:rPr>
        <w:t>por ciento</w:t>
      </w:r>
      <w:r>
        <w:t xml:space="preserve"> del nivel básico acumulado de HCFC para todos esos países.</w:t>
      </w:r>
    </w:p>
  </w:footnote>
  <w:footnote w:id="6">
    <w:p w:rsidR="001F6707" w:rsidRPr="00027ED7" w:rsidRDefault="001F6707" w:rsidP="00B802C6">
      <w:pPr>
        <w:pStyle w:val="FootnoteText"/>
      </w:pPr>
      <w:r>
        <w:rPr>
          <w:rStyle w:val="FootnoteReference"/>
        </w:rPr>
        <w:footnoteRef/>
      </w:r>
      <w:r>
        <w:t xml:space="preserve"> Actualmente, el Protocolo requiere que las Partes notifiquen su nivel básico para los HFC, incluidos los países que operan al amparo del artículo 5 cuyos niveles básicos se podrán establecer únicamente varios años después de que se hayan constituido en Partes, dentro de los seis meses siguientes a la fecha en que se hayan constituido en Partes. Las Partes están considerando actualmente cómo abordar esta cuestión (párrafos 10 a 14 del documento UNEP/OzL.Pro.30/8/Rev.1).</w:t>
      </w:r>
    </w:p>
  </w:footnote>
  <w:footnote w:id="7">
    <w:p w:rsidR="001F6707" w:rsidRPr="00F632F1" w:rsidRDefault="001F6707" w:rsidP="00B802C6">
      <w:pPr>
        <w:pStyle w:val="FootnoteText"/>
      </w:pPr>
      <w:r>
        <w:rPr>
          <w:rStyle w:val="FootnoteReference"/>
        </w:rPr>
        <w:footnoteRef/>
      </w:r>
      <w:r>
        <w:t xml:space="preserve"> Países del grupo 1: todos los países que operan al amparo del artículo 5, excepto los 11 países del grupo 2.</w:t>
      </w:r>
    </w:p>
  </w:footnote>
  <w:footnote w:id="8">
    <w:p w:rsidR="001F6707" w:rsidRPr="00B66021" w:rsidRDefault="001F6707" w:rsidP="00B802C6">
      <w:pPr>
        <w:pStyle w:val="FootnoteText"/>
      </w:pPr>
      <w:r>
        <w:rPr>
          <w:rStyle w:val="FootnoteReference"/>
        </w:rPr>
        <w:footnoteRef/>
      </w:r>
      <w:r>
        <w:t xml:space="preserve"> Países del grupo 2: Arabia Saudita, Bahrein, Emiratos Árabes Unidos, India, Irán (República Islámica del), Iraq, Kuwait, Omán, Pakistán y Qatar.</w:t>
      </w:r>
    </w:p>
  </w:footnote>
  <w:footnote w:id="9">
    <w:p w:rsidR="001F6707" w:rsidRPr="00131E59" w:rsidRDefault="001F6707" w:rsidP="00B802C6">
      <w:pPr>
        <w:pStyle w:val="FootnoteText"/>
      </w:pPr>
      <w:r>
        <w:rPr>
          <w:rStyle w:val="FootnoteReference"/>
        </w:rPr>
        <w:footnoteRef/>
      </w:r>
      <w:r>
        <w:t xml:space="preserve"> UNEP/OzL.Pro/ExCom/35/61.</w:t>
      </w:r>
    </w:p>
  </w:footnote>
  <w:footnote w:id="10">
    <w:p w:rsidR="001F6707" w:rsidRPr="003619F5" w:rsidRDefault="001F6707" w:rsidP="00B802C6">
      <w:pPr>
        <w:pStyle w:val="FootnoteText"/>
      </w:pPr>
      <w:r>
        <w:rPr>
          <w:rStyle w:val="FootnoteReference"/>
        </w:rPr>
        <w:footnoteRef/>
      </w:r>
      <w:r>
        <w:t xml:space="preserve"> Otras sustancias controladas se estaban financiando con arreglo a acuerdos sectoriales (por ejemplo, halones y metilbromuro) o bien no se habían establecido aún sus niveles básicos para el cumplimiento (es decir, tetracloruro de carbono y metilcloroformo).</w:t>
      </w:r>
    </w:p>
  </w:footnote>
  <w:footnote w:id="11">
    <w:p w:rsidR="001F6707" w:rsidRPr="005A756F" w:rsidRDefault="001F6707" w:rsidP="00B802C6">
      <w:pPr>
        <w:pStyle w:val="FootnoteText"/>
      </w:pPr>
      <w:r>
        <w:rPr>
          <w:rStyle w:val="FootnoteReference"/>
        </w:rPr>
        <w:footnoteRef/>
      </w:r>
      <w:r>
        <w:t xml:space="preserve"> Consumo medio de CFC durante el período desde 1995 hasta 1997. Los niveles básicos se establecieron después de septiembre de 1998, que era la fecha límite para notificar el consumo de CFC para 1997 con arreglo al artículo 7 del Protocolo de Montreal.</w:t>
      </w:r>
    </w:p>
  </w:footnote>
  <w:footnote w:id="12">
    <w:p w:rsidR="001F6707" w:rsidRPr="00A005D4" w:rsidRDefault="001F6707" w:rsidP="00B802C6">
      <w:pPr>
        <w:pStyle w:val="FootnoteText"/>
      </w:pPr>
      <w:r>
        <w:rPr>
          <w:rStyle w:val="FootnoteReference"/>
        </w:rPr>
        <w:footnoteRef/>
      </w:r>
      <w:r>
        <w:t xml:space="preserve"> Decisión 35/57.</w:t>
      </w:r>
    </w:p>
  </w:footnote>
  <w:footnote w:id="13">
    <w:p w:rsidR="001F6707" w:rsidRPr="005F2866" w:rsidRDefault="001F6707" w:rsidP="00B802C6">
      <w:pPr>
        <w:pStyle w:val="FootnoteText"/>
      </w:pPr>
      <w:r>
        <w:rPr>
          <w:rStyle w:val="FootnoteReference"/>
        </w:rPr>
        <w:footnoteRef/>
      </w:r>
      <w:r>
        <w:t xml:space="preserve"> Para los puntos de partida establecidos con arreglo a la Opción 2, una de las condiciones relacionadas con la decisión 35/57 indicaba lo siguiente: “el Comité Ejecutivo puede convenir ajustar en casos excepcionales la línea de base resultante en la primera instancia en que se considera un proyecto de un país, a fin de tomar en cuenta la naturaleza no representativa y demostrada de los datos del año anterior por motivos tales como acumulación de existencias claramente demostrada en el período de 12 meses específico y/o dificultades económicas nacionales en el período de 12 meses específico” (UNEP/OzL.Pro/ExCom/35/67 y Corr.1).</w:t>
      </w:r>
    </w:p>
  </w:footnote>
  <w:footnote w:id="14">
    <w:p w:rsidR="001F6707" w:rsidRPr="002A1979" w:rsidRDefault="001F6707" w:rsidP="00B802C6">
      <w:pPr>
        <w:pStyle w:val="FootnoteText"/>
      </w:pPr>
      <w:r>
        <w:rPr>
          <w:rStyle w:val="FootnoteReference"/>
        </w:rPr>
        <w:footnoteRef/>
      </w:r>
      <w:r>
        <w:t xml:space="preserve"> Pasaje de la decisión 35/57 c).</w:t>
      </w:r>
    </w:p>
  </w:footnote>
  <w:footnote w:id="15">
    <w:p w:rsidR="001F6707" w:rsidRDefault="001F6707" w:rsidP="00B802C6">
      <w:pPr>
        <w:pStyle w:val="FootnoteText"/>
      </w:pPr>
      <w:r>
        <w:rPr>
          <w:rStyle w:val="FootnoteReference"/>
        </w:rPr>
        <w:footnoteRef/>
      </w:r>
      <w:r>
        <w:t xml:space="preserve"> UNEP/OzL.Pro/ExCom/35/67 y Corr.1.</w:t>
      </w:r>
    </w:p>
  </w:footnote>
  <w:footnote w:id="16">
    <w:p w:rsidR="001F6707" w:rsidRPr="002E21DA" w:rsidRDefault="001F6707" w:rsidP="00B802C6">
      <w:pPr>
        <w:pStyle w:val="FootnoteText"/>
      </w:pPr>
      <w:r>
        <w:rPr>
          <w:rStyle w:val="FootnoteReference"/>
        </w:rPr>
        <w:footnoteRef/>
      </w:r>
      <w:r>
        <w:t xml:space="preserve"> El CFC-11 y el CFC-12 (ambos, con un valor de PAO de 1,0) eran los CFC más comúnmente utilizados en los países que operan al amparo del artículo 5. También se utilizaban en menor grado en varios países que operan al amparo del artículo 5 el CFC-113 y el CFC-115, con valores de PAO de 0,8 y 0,6 respectivamente.</w:t>
      </w:r>
    </w:p>
  </w:footnote>
  <w:footnote w:id="17">
    <w:p w:rsidR="001F6707" w:rsidRPr="008B3ED5" w:rsidRDefault="001F6707" w:rsidP="00B802C6">
      <w:pPr>
        <w:pStyle w:val="FootnoteText"/>
      </w:pPr>
      <w:r>
        <w:rPr>
          <w:rStyle w:val="FootnoteReference"/>
        </w:rPr>
        <w:footnoteRef/>
      </w:r>
      <w:r>
        <w:t xml:space="preserve"> Sobre la base de la información de 99 países que operan al amparo del artículo 5 (64 países de bajo volumen de consumo y 35 países que no son de bajo volumen de consumo) disponible en la 35</w:t>
      </w:r>
      <w:r>
        <w:rPr>
          <w:vertAlign w:val="superscript"/>
        </w:rPr>
        <w:t>a </w:t>
      </w:r>
      <w:r>
        <w:t>reunión, el consumo de CFC remanente sin financiar ascendía a 71 873 toneladas PAO (que comprendían 3 183 toneladas PAO para los países de bajo volumen de consumo y 68 690 toneladas PAO para los países que no son de bajo volumen de consumo), lo que representa aproximadamente el 49</w:t>
      </w:r>
      <w:r w:rsidR="00E82C36" w:rsidRPr="00E82C36">
        <w:rPr>
          <w:color w:val="000000" w:themeColor="text1"/>
          <w:szCs w:val="20"/>
          <w:lang w:val="es-MX"/>
        </w:rPr>
        <w:t xml:space="preserve"> </w:t>
      </w:r>
      <w:r w:rsidR="00E82C36">
        <w:rPr>
          <w:color w:val="000000" w:themeColor="text1"/>
          <w:szCs w:val="20"/>
          <w:lang w:val="es-MX"/>
        </w:rPr>
        <w:t>por ciento</w:t>
      </w:r>
      <w:r>
        <w:t xml:space="preserve"> de sus niveles básicos para el cumplimiento.</w:t>
      </w:r>
    </w:p>
  </w:footnote>
  <w:footnote w:id="18">
    <w:p w:rsidR="001F6707" w:rsidRPr="004E2549" w:rsidRDefault="001F6707" w:rsidP="00B802C6">
      <w:pPr>
        <w:pStyle w:val="FootnoteText"/>
      </w:pPr>
      <w:r>
        <w:rPr>
          <w:rStyle w:val="FootnoteReference"/>
        </w:rPr>
        <w:footnoteRef/>
      </w:r>
      <w:r>
        <w:t xml:space="preserve"> Decisión 60/44.</w:t>
      </w:r>
    </w:p>
  </w:footnote>
  <w:footnote w:id="19">
    <w:p w:rsidR="001F6707" w:rsidRPr="00FB0015" w:rsidRDefault="001F6707" w:rsidP="00B802C6">
      <w:pPr>
        <w:pStyle w:val="FootnoteText"/>
      </w:pPr>
      <w:r>
        <w:rPr>
          <w:rStyle w:val="FootnoteReference"/>
        </w:rPr>
        <w:footnoteRef/>
      </w:r>
      <w:r>
        <w:t xml:space="preserve"> Consumo medio de HCFC durante el período desde 2009 hasta 2010. Los niveles básicos se establecieron después de septiembre de 2011, que era la fecha límite para notificar el consumo de HCFC para 2010 con arreglo al artículo 7.</w:t>
      </w:r>
    </w:p>
  </w:footnote>
  <w:footnote w:id="20">
    <w:p w:rsidR="001F6707" w:rsidRPr="006F1D58" w:rsidRDefault="001F6707" w:rsidP="00B802C6">
      <w:pPr>
        <w:pStyle w:val="FootnoteText"/>
      </w:pPr>
      <w:r>
        <w:rPr>
          <w:rStyle w:val="FootnoteReference"/>
        </w:rPr>
        <w:footnoteRef/>
      </w:r>
      <w:r>
        <w:t xml:space="preserve"> El punto de partida para el HCFC-141b contenido en sistemas con polioles premezclados importados es el tonelaje medio de HCFC-141b utilizado entre 2007 y 2009.</w:t>
      </w:r>
    </w:p>
  </w:footnote>
  <w:footnote w:id="21">
    <w:p w:rsidR="001F6707" w:rsidRPr="00953AB5" w:rsidRDefault="001F6707" w:rsidP="00B802C6">
      <w:pPr>
        <w:pStyle w:val="FootnoteText"/>
      </w:pPr>
      <w:r>
        <w:rPr>
          <w:rStyle w:val="FootnoteReference"/>
        </w:rPr>
        <w:footnoteRef/>
      </w:r>
      <w:r>
        <w:t xml:space="preserve"> Considerar la sustracción, del punto de partida de un país para la reducción acumulativa del consumo de HCFC, del volumen, o volumen promedio, del HCFC-141b contenido en polioles premezclados exportados el año (o los años) en que se había basado dicho punto de partida.</w:t>
      </w:r>
    </w:p>
  </w:footnote>
  <w:footnote w:id="22">
    <w:p w:rsidR="001F6707" w:rsidRPr="00953AB5" w:rsidRDefault="001F6707" w:rsidP="00B802C6">
      <w:pPr>
        <w:pStyle w:val="FootnoteText"/>
      </w:pPr>
      <w:r>
        <w:rPr>
          <w:rStyle w:val="FootnoteReference"/>
        </w:rPr>
        <w:footnoteRef/>
      </w:r>
      <w:r>
        <w:t xml:space="preserve"> Alentar a los países que operan al amparo del artículo 5 pertinentes a que consideren la creación de un registro nacional de las cantidades HCFC-141b contenidas en polioles premezclados importados y/o exportados (según corresponda) a efectos de respaldar la prohibición de las importaciones de esa sustancia pura y contenida en polioles premezclados, que entrará en vigor cuando se hayan convertido todas las empresas de espumas, así como de facilitar el seguimiento de esas empresas para sostener la eliminación del HCFC-141b.</w:t>
      </w:r>
    </w:p>
  </w:footnote>
  <w:footnote w:id="23">
    <w:p w:rsidR="001F6707" w:rsidRPr="00A0087F" w:rsidRDefault="001F6707" w:rsidP="00B802C6">
      <w:pPr>
        <w:pStyle w:val="FootnoteText"/>
        <w:rPr>
          <w:szCs w:val="20"/>
        </w:rPr>
      </w:pPr>
      <w:r>
        <w:rPr>
          <w:rStyle w:val="FootnoteReference"/>
          <w:szCs w:val="20"/>
        </w:rPr>
        <w:footnoteRef/>
      </w:r>
      <w:r>
        <w:t xml:space="preserve"> Informe del equipo de tareas del GETE sobre la Decisión XXVI/9, Información adicional sobre alternativas a las sustancias que agotan el ozono.</w:t>
      </w:r>
    </w:p>
  </w:footnote>
  <w:footnote w:id="24">
    <w:p w:rsidR="001F6707" w:rsidRPr="00B430EE" w:rsidRDefault="001F6707" w:rsidP="00B802C6">
      <w:pPr>
        <w:rPr>
          <w:sz w:val="20"/>
          <w:szCs w:val="20"/>
          <w:lang w:val="es-ES"/>
        </w:rPr>
      </w:pPr>
      <w:r>
        <w:rPr>
          <w:rStyle w:val="FootnoteReference"/>
          <w:sz w:val="20"/>
          <w:szCs w:val="20"/>
        </w:rPr>
        <w:footnoteRef/>
      </w:r>
      <w:r w:rsidRPr="00B430EE">
        <w:rPr>
          <w:sz w:val="20"/>
          <w:szCs w:val="20"/>
          <w:lang w:val="es-ES"/>
        </w:rPr>
        <w:t xml:space="preserve"> HFC-32 (50</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sz w:val="20"/>
          <w:szCs w:val="20"/>
          <w:lang w:val="es-ES"/>
        </w:rPr>
        <w:t>), HFC-125 (50</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sz w:val="20"/>
          <w:szCs w:val="20"/>
          <w:lang w:val="es-ES"/>
        </w:rPr>
        <w:t>).</w:t>
      </w:r>
    </w:p>
  </w:footnote>
  <w:footnote w:id="25">
    <w:p w:rsidR="001F6707" w:rsidRPr="00E606D9" w:rsidRDefault="001F6707" w:rsidP="00B802C6">
      <w:pPr>
        <w:pStyle w:val="FootnoteText"/>
        <w:rPr>
          <w:szCs w:val="20"/>
        </w:rPr>
      </w:pPr>
      <w:r>
        <w:rPr>
          <w:rStyle w:val="FootnoteReference"/>
          <w:szCs w:val="20"/>
        </w:rPr>
        <w:footnoteRef/>
      </w:r>
      <w:r>
        <w:t xml:space="preserve"> HFC-32 (23</w:t>
      </w:r>
      <w:r w:rsidR="00E42AEA" w:rsidRPr="00E42AEA">
        <w:rPr>
          <w:color w:val="000000" w:themeColor="text1"/>
          <w:szCs w:val="20"/>
          <w:lang w:val="es-MX"/>
        </w:rPr>
        <w:t xml:space="preserve"> </w:t>
      </w:r>
      <w:r w:rsidR="00E42AEA">
        <w:rPr>
          <w:color w:val="000000" w:themeColor="text1"/>
          <w:szCs w:val="20"/>
          <w:lang w:val="es-MX"/>
        </w:rPr>
        <w:t>por ciento</w:t>
      </w:r>
      <w:r>
        <w:t>), HFC-125 (25</w:t>
      </w:r>
      <w:r w:rsidR="00E42AEA" w:rsidRPr="00E42AEA">
        <w:rPr>
          <w:color w:val="000000" w:themeColor="text1"/>
          <w:szCs w:val="20"/>
          <w:lang w:val="es-MX"/>
        </w:rPr>
        <w:t xml:space="preserve"> </w:t>
      </w:r>
      <w:r w:rsidR="00E42AEA">
        <w:rPr>
          <w:color w:val="000000" w:themeColor="text1"/>
          <w:szCs w:val="20"/>
          <w:lang w:val="es-MX"/>
        </w:rPr>
        <w:t>por ciento</w:t>
      </w:r>
      <w:r>
        <w:t>), HFC-134a (52</w:t>
      </w:r>
      <w:r w:rsidR="00E42AEA" w:rsidRPr="00E42AEA">
        <w:rPr>
          <w:color w:val="000000" w:themeColor="text1"/>
          <w:szCs w:val="20"/>
          <w:lang w:val="es-MX"/>
        </w:rPr>
        <w:t xml:space="preserve"> </w:t>
      </w:r>
      <w:r w:rsidR="00E42AEA">
        <w:rPr>
          <w:color w:val="000000" w:themeColor="text1"/>
          <w:szCs w:val="20"/>
          <w:lang w:val="es-MX"/>
        </w:rPr>
        <w:t>por ciento</w:t>
      </w:r>
      <w:r>
        <w:t>).</w:t>
      </w:r>
    </w:p>
  </w:footnote>
  <w:footnote w:id="26">
    <w:p w:rsidR="001F6707" w:rsidRPr="00E606D9" w:rsidRDefault="001F6707" w:rsidP="00B802C6">
      <w:pPr>
        <w:pStyle w:val="FootnoteText"/>
        <w:rPr>
          <w:szCs w:val="20"/>
        </w:rPr>
      </w:pPr>
      <w:r>
        <w:rPr>
          <w:rStyle w:val="FootnoteReference"/>
          <w:szCs w:val="20"/>
        </w:rPr>
        <w:footnoteRef/>
      </w:r>
      <w:r>
        <w:t xml:space="preserve"> HFC-125 (44</w:t>
      </w:r>
      <w:r w:rsidR="00E42AEA" w:rsidRPr="00E42AEA">
        <w:rPr>
          <w:color w:val="000000" w:themeColor="text1"/>
          <w:szCs w:val="20"/>
          <w:lang w:val="es-MX"/>
        </w:rPr>
        <w:t xml:space="preserve"> </w:t>
      </w:r>
      <w:r w:rsidR="00E42AEA">
        <w:rPr>
          <w:color w:val="000000" w:themeColor="text1"/>
          <w:szCs w:val="20"/>
          <w:lang w:val="es-MX"/>
        </w:rPr>
        <w:t>por ciento</w:t>
      </w:r>
      <w:r>
        <w:t>), HFC-143a (52</w:t>
      </w:r>
      <w:r w:rsidR="00E42AEA" w:rsidRPr="00E42AEA">
        <w:rPr>
          <w:color w:val="000000" w:themeColor="text1"/>
          <w:szCs w:val="20"/>
          <w:lang w:val="es-MX"/>
        </w:rPr>
        <w:t xml:space="preserve"> </w:t>
      </w:r>
      <w:r w:rsidR="00E42AEA">
        <w:rPr>
          <w:color w:val="000000" w:themeColor="text1"/>
          <w:szCs w:val="20"/>
          <w:lang w:val="es-MX"/>
        </w:rPr>
        <w:t>por ciento</w:t>
      </w:r>
      <w:r>
        <w:t>), HFC-134a (4</w:t>
      </w:r>
      <w:r w:rsidR="00E42AEA" w:rsidRPr="00E42AEA">
        <w:rPr>
          <w:color w:val="000000" w:themeColor="text1"/>
          <w:szCs w:val="20"/>
          <w:lang w:val="es-MX"/>
        </w:rPr>
        <w:t xml:space="preserve"> </w:t>
      </w:r>
      <w:r w:rsidR="00E42AEA">
        <w:rPr>
          <w:color w:val="000000" w:themeColor="text1"/>
          <w:szCs w:val="20"/>
          <w:lang w:val="es-MX"/>
        </w:rPr>
        <w:t>por ciento</w:t>
      </w:r>
      <w:r>
        <w:t>).</w:t>
      </w:r>
    </w:p>
  </w:footnote>
  <w:footnote w:id="27">
    <w:p w:rsidR="001F6707" w:rsidRPr="00B430EE" w:rsidRDefault="001F6707" w:rsidP="00B802C6">
      <w:pPr>
        <w:rPr>
          <w:sz w:val="20"/>
          <w:szCs w:val="20"/>
          <w:lang w:val="es-ES"/>
        </w:rPr>
      </w:pPr>
      <w:r>
        <w:rPr>
          <w:rStyle w:val="FootnoteReference"/>
          <w:sz w:val="20"/>
          <w:szCs w:val="20"/>
        </w:rPr>
        <w:footnoteRef/>
      </w:r>
      <w:r w:rsidRPr="00B430EE">
        <w:rPr>
          <w:sz w:val="20"/>
          <w:szCs w:val="20"/>
          <w:lang w:val="es-ES"/>
        </w:rPr>
        <w:t xml:space="preserve"> HFC-32 (30</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sz w:val="20"/>
          <w:szCs w:val="20"/>
          <w:lang w:val="es-ES"/>
        </w:rPr>
        <w:t>), HFC-125 (30</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sz w:val="20"/>
          <w:szCs w:val="20"/>
          <w:lang w:val="es-ES"/>
        </w:rPr>
        <w:t>), HFC-134a (40</w:t>
      </w:r>
      <w:r w:rsidR="00E42AEA" w:rsidRPr="00E42AEA">
        <w:rPr>
          <w:color w:val="000000" w:themeColor="text1"/>
          <w:sz w:val="20"/>
          <w:szCs w:val="20"/>
          <w:lang w:val="es-MX"/>
        </w:rPr>
        <w:t xml:space="preserve"> </w:t>
      </w:r>
      <w:r w:rsidR="00E42AEA">
        <w:rPr>
          <w:color w:val="000000" w:themeColor="text1"/>
          <w:sz w:val="20"/>
          <w:szCs w:val="20"/>
          <w:lang w:val="es-MX"/>
        </w:rPr>
        <w:t>por ciento</w:t>
      </w:r>
      <w:r w:rsidRPr="00B430EE">
        <w:rPr>
          <w:sz w:val="20"/>
          <w:szCs w:val="20"/>
          <w:lang w:val="es-ES"/>
        </w:rPr>
        <w:t>).</w:t>
      </w:r>
    </w:p>
  </w:footnote>
  <w:footnote w:id="28">
    <w:p w:rsidR="001F6707" w:rsidRPr="004C3DF6" w:rsidRDefault="001F6707" w:rsidP="00B802C6">
      <w:pPr>
        <w:pStyle w:val="FootnoteText"/>
      </w:pPr>
      <w:r>
        <w:rPr>
          <w:rStyle w:val="FootnoteReference"/>
        </w:rPr>
        <w:footnoteRef/>
      </w:r>
      <w:r>
        <w:t xml:space="preserve"> HFC-125 (50</w:t>
      </w:r>
      <w:r w:rsidR="00E42AEA" w:rsidRPr="00E42AEA">
        <w:rPr>
          <w:color w:val="000000" w:themeColor="text1"/>
          <w:szCs w:val="20"/>
          <w:lang w:val="es-MX"/>
        </w:rPr>
        <w:t xml:space="preserve"> </w:t>
      </w:r>
      <w:r w:rsidR="00E42AEA">
        <w:rPr>
          <w:color w:val="000000" w:themeColor="text1"/>
          <w:szCs w:val="20"/>
          <w:lang w:val="es-MX"/>
        </w:rPr>
        <w:t>por ciento</w:t>
      </w:r>
      <w:r>
        <w:t>), HFC-143a (50</w:t>
      </w:r>
      <w:r w:rsidR="00E42AEA" w:rsidRPr="00E42AEA">
        <w:rPr>
          <w:color w:val="000000" w:themeColor="text1"/>
          <w:szCs w:val="20"/>
          <w:lang w:val="es-MX"/>
        </w:rPr>
        <w:t xml:space="preserve"> </w:t>
      </w:r>
      <w:r w:rsidR="00E42AEA">
        <w:rPr>
          <w:color w:val="000000" w:themeColor="text1"/>
          <w:szCs w:val="20"/>
          <w:lang w:val="es-MX"/>
        </w:rPr>
        <w:t>por ciento</w:t>
      </w:r>
      <w:r>
        <w:t>).</w:t>
      </w:r>
    </w:p>
  </w:footnote>
  <w:footnote w:id="29">
    <w:p w:rsidR="001F6707" w:rsidRPr="00E47524" w:rsidRDefault="001F6707" w:rsidP="00B802C6">
      <w:pPr>
        <w:pStyle w:val="FootnoteText"/>
      </w:pPr>
      <w:r>
        <w:rPr>
          <w:rStyle w:val="FootnoteReference"/>
        </w:rPr>
        <w:footnoteRef/>
      </w:r>
      <w:r>
        <w:t xml:space="preserve"> La tasa de crecimiento anual entre 2020 y 2025 se ha calculado utilizando el consumo acumulado indicado para cada uno de los HFC para los años 2020 y 2025 en los informes del equipo de tareas del GETE.</w:t>
      </w:r>
    </w:p>
  </w:footnote>
  <w:footnote w:id="30">
    <w:p w:rsidR="001F6707" w:rsidRPr="004C6701" w:rsidRDefault="001F6707" w:rsidP="00B802C6">
      <w:pPr>
        <w:pStyle w:val="FootnoteText"/>
      </w:pPr>
      <w:r>
        <w:rPr>
          <w:rStyle w:val="FootnoteReference"/>
        </w:rPr>
        <w:footnoteRef/>
      </w:r>
      <w:r>
        <w:t xml:space="preserve"> Como referencia, el nivel básico acumulado de HFC para el cumplimiento de los países que operan al amparo del artículo 5 del grupo 2, de 4 913 toneladas PAO, es equivalente al 13,7</w:t>
      </w:r>
      <w:r w:rsidR="00E42AEA" w:rsidRPr="00E42AEA">
        <w:rPr>
          <w:color w:val="000000" w:themeColor="text1"/>
          <w:szCs w:val="20"/>
          <w:lang w:val="es-MX"/>
        </w:rPr>
        <w:t xml:space="preserve"> </w:t>
      </w:r>
      <w:r w:rsidR="00E42AEA">
        <w:rPr>
          <w:color w:val="000000" w:themeColor="text1"/>
          <w:szCs w:val="20"/>
          <w:lang w:val="es-MX"/>
        </w:rPr>
        <w:t>por ciento</w:t>
      </w:r>
      <w:r>
        <w:t xml:space="preserve"> del nivel básico acumulado de HCFC, de 35 814 toneladas PAO para todos los países que operan al amparo del artículo 5.</w:t>
      </w:r>
    </w:p>
  </w:footnote>
  <w:footnote w:id="31">
    <w:p w:rsidR="001F6707" w:rsidRPr="006315B0" w:rsidRDefault="001F6707" w:rsidP="00B802C6">
      <w:pPr>
        <w:pStyle w:val="FootnoteText"/>
      </w:pPr>
      <w:r>
        <w:rPr>
          <w:rStyle w:val="FootnoteReference"/>
        </w:rPr>
        <w:footnoteRef/>
      </w:r>
      <w:r>
        <w:t xml:space="preserve"> El “componente de HCFC” no incluye el consumo de HCFC-123, HCFC-225, HCFC-124 y HCFC-141 dado que la Enmienda de Kigali ha asignado por defecto el valor 0 para estos HCFC (y otros) hasta tanto se decida acerca de un valor de PCA mediante el procedimiento previsto en el párrafo 9 a) ii) del artículo 2.</w:t>
      </w:r>
    </w:p>
  </w:footnote>
  <w:footnote w:id="32">
    <w:p w:rsidR="001F6707" w:rsidRPr="00786B15" w:rsidRDefault="001F6707" w:rsidP="00B802C6">
      <w:pPr>
        <w:pStyle w:val="FootnoteText"/>
      </w:pPr>
      <w:r>
        <w:rPr>
          <w:rStyle w:val="FootnoteReference"/>
        </w:rPr>
        <w:footnoteRef/>
      </w:r>
      <w:r>
        <w:t xml:space="preserve"> Se han aprobado proyectos de inversión relacionados con los HFC para la Argentina, Bangladesh, Jordania, el Líbano, México (dos) y la República Dominicana.</w:t>
      </w:r>
    </w:p>
  </w:footnote>
  <w:footnote w:id="33">
    <w:p w:rsidR="001F6707" w:rsidRPr="00987484" w:rsidRDefault="001F6707" w:rsidP="00B802C6">
      <w:pPr>
        <w:pStyle w:val="FootnoteText"/>
      </w:pPr>
      <w:r>
        <w:rPr>
          <w:rStyle w:val="FootnoteReference"/>
        </w:rPr>
        <w:footnoteRef/>
      </w:r>
      <w:r>
        <w:t xml:space="preserve"> La fecha límite para las capacidades subvencionables será el 1 de enero de 2020 para las Partes cuyos años de referencia se sitúen entre 2020 y 2022, y el 1 de enero de 2024 para las Partes cuyos años de referencia se sitúen entre 2024 y 2026.</w:t>
      </w:r>
    </w:p>
  </w:footnote>
  <w:footnote w:id="34">
    <w:p w:rsidR="001F6707" w:rsidRPr="002C722A" w:rsidRDefault="001F6707" w:rsidP="00B802C6">
      <w:pPr>
        <w:pStyle w:val="FootnoteText"/>
      </w:pPr>
      <w:r>
        <w:rPr>
          <w:rStyle w:val="FootnoteReference"/>
        </w:rPr>
        <w:footnoteRef/>
      </w:r>
      <w:r>
        <w:t xml:space="preserve"> Los países que operan al amparo del artículo 5 del grupo 1 deberían reducir el 80</w:t>
      </w:r>
      <w:r w:rsidR="003E41D9" w:rsidRPr="003E41D9">
        <w:rPr>
          <w:color w:val="000000" w:themeColor="text1"/>
          <w:szCs w:val="20"/>
          <w:lang w:val="es-MX"/>
        </w:rPr>
        <w:t xml:space="preserve"> </w:t>
      </w:r>
      <w:r w:rsidR="003E41D9">
        <w:rPr>
          <w:color w:val="000000" w:themeColor="text1"/>
          <w:szCs w:val="20"/>
          <w:lang w:val="es-MX"/>
        </w:rPr>
        <w:t>por ciento</w:t>
      </w:r>
      <w:r>
        <w:t xml:space="preserve"> del nivel básico de HFC a más tardar al alcanzar su medida de control final en 2045, mientras que los países que operan al amparo del artículo 5 del grupo 2 deberían reducir el 85</w:t>
      </w:r>
      <w:r w:rsidR="003E41D9" w:rsidRPr="003E41D9">
        <w:rPr>
          <w:color w:val="000000" w:themeColor="text1"/>
          <w:szCs w:val="20"/>
          <w:lang w:val="es-MX"/>
        </w:rPr>
        <w:t xml:space="preserve"> </w:t>
      </w:r>
      <w:r w:rsidR="003E41D9">
        <w:rPr>
          <w:color w:val="000000" w:themeColor="text1"/>
          <w:szCs w:val="20"/>
          <w:lang w:val="es-MX"/>
        </w:rPr>
        <w:t>por ciento</w:t>
      </w:r>
      <w:r>
        <w:t xml:space="preserve"> de su nivel básico de HFC a más tardar al alcanzar su medida de control final en 2047.</w:t>
      </w:r>
    </w:p>
  </w:footnote>
  <w:footnote w:id="35">
    <w:p w:rsidR="001F6707" w:rsidRPr="0000621F" w:rsidRDefault="001F6707" w:rsidP="00B802C6">
      <w:pPr>
        <w:pStyle w:val="FootnoteText"/>
      </w:pPr>
      <w:r>
        <w:rPr>
          <w:rStyle w:val="FootnoteReference"/>
        </w:rPr>
        <w:footnoteRef/>
      </w:r>
      <w:r>
        <w:t xml:space="preserve"> Esta cantidad supone que el consumo total de HCFC-142b se usa como agente coespumante con HCFC-22 en la fabricación de espuma de poliestireno extruido, a razón de 3 partes de HCFC-22 y 1 parte de HCFC-142b.</w:t>
      </w:r>
    </w:p>
  </w:footnote>
  <w:footnote w:id="36">
    <w:p w:rsidR="001F6707" w:rsidRPr="000753A1" w:rsidRDefault="001F6707" w:rsidP="00B802C6">
      <w:pPr>
        <w:pStyle w:val="FootnoteText"/>
      </w:pPr>
      <w:r>
        <w:rPr>
          <w:rStyle w:val="FootnoteReference"/>
        </w:rPr>
        <w:footnoteRef/>
      </w:r>
      <w:r>
        <w:t xml:space="preserve"> Párrafo 20 del documento UNEP/OzL.Pro.30/2.</w:t>
      </w:r>
    </w:p>
  </w:footnote>
  <w:footnote w:id="37">
    <w:p w:rsidR="001F6707" w:rsidRPr="00394261" w:rsidRDefault="001F6707" w:rsidP="00B802C6">
      <w:pPr>
        <w:pStyle w:val="FootnoteText"/>
      </w:pPr>
      <w:r>
        <w:rPr>
          <w:rStyle w:val="FootnoteReference"/>
        </w:rPr>
        <w:footnoteRef/>
      </w:r>
      <w:r>
        <w:t xml:space="preserve"> A menos que la Parte destruya el HFC-23 como subproducto con una tecnología aprobada por las Partes o que el HFC-23 como subproducto se utilice completamente como materia prima en la fabricación de otros productos químicos. La Secretaría no conoce que haya usos de HFC-23 como materia prima.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Default="00F97D2D">
    <w:r>
      <w:fldChar w:fldCharType="begin"/>
    </w:r>
    <w:r>
      <w:instrText xml:space="preserve"> DOCPROPERTY "Document number"  \* MERGEFORMAT </w:instrText>
    </w:r>
    <w:r>
      <w:fldChar w:fldCharType="separate"/>
    </w:r>
    <w:r>
      <w:t>UNEP/OzL.Pro/ExCom/82/66</w:t>
    </w:r>
    <w:r>
      <w:fldChar w:fldCharType="end"/>
    </w:r>
  </w:p>
  <w:p w:rsidR="001F6707" w:rsidRPr="0033525D" w:rsidRDefault="001F6707"/>
  <w:p w:rsidR="001F6707" w:rsidRPr="0033525D" w:rsidRDefault="001F670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Pr="0033525D" w:rsidRDefault="00F97D2D">
    <w:pPr>
      <w:jc w:val="right"/>
    </w:pPr>
    <w:r>
      <w:fldChar w:fldCharType="begin"/>
    </w:r>
    <w:r>
      <w:instrText xml:space="preserve"> DOCPROPERTY "Document number"  \* MERGEFORMAT </w:instrText>
    </w:r>
    <w:r>
      <w:fldChar w:fldCharType="separate"/>
    </w:r>
    <w:r w:rsidR="001F6707">
      <w:t>UNEP/OzL.Pro/ExCom/82/66</w:t>
    </w:r>
    <w:r>
      <w:fldChar w:fldCharType="end"/>
    </w:r>
  </w:p>
  <w:p w:rsidR="001F6707" w:rsidRPr="0033525D" w:rsidRDefault="001F6707"/>
  <w:p w:rsidR="001F6707" w:rsidRPr="0033525D" w:rsidRDefault="001F670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Pr="0033525D" w:rsidRDefault="00F97D2D">
    <w:r>
      <w:fldChar w:fldCharType="begin"/>
    </w:r>
    <w:r>
      <w:instrText xml:space="preserve"> DOCPROPERTY "Document number"  \* MERGEFORMAT </w:instrText>
    </w:r>
    <w:r>
      <w:fldChar w:fldCharType="separate"/>
    </w:r>
    <w:r w:rsidR="001F6707">
      <w:t>UNEP/OzL.Pro/ExCom/82/66</w:t>
    </w:r>
    <w:r>
      <w:fldChar w:fldCharType="end"/>
    </w:r>
  </w:p>
  <w:p w:rsidR="001F6707" w:rsidRPr="0033525D" w:rsidRDefault="001F6707">
    <w:r>
      <w:t>Anexo I</w:t>
    </w:r>
  </w:p>
  <w:p w:rsidR="001F6707" w:rsidRPr="0033525D" w:rsidRDefault="001F670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707" w:rsidRDefault="00F97D2D" w:rsidP="0073677A">
    <w:pPr>
      <w:jc w:val="right"/>
    </w:pPr>
    <w:r>
      <w:fldChar w:fldCharType="begin"/>
    </w:r>
    <w:r>
      <w:instrText xml:space="preserve"> DOCPROPERTY "Document number"  \* MERGEFORMAT </w:instrText>
    </w:r>
    <w:r>
      <w:fldChar w:fldCharType="separate"/>
    </w:r>
    <w:r w:rsidR="001F6707">
      <w:t>UNEP/OzL.Pro/ExCom/82/66</w:t>
    </w:r>
    <w:r>
      <w:fldChar w:fldCharType="end"/>
    </w:r>
  </w:p>
  <w:p w:rsidR="001F6707" w:rsidRDefault="001F6707" w:rsidP="0073677A">
    <w:pPr>
      <w:jc w:val="right"/>
    </w:pPr>
    <w:r>
      <w:t>Anexo I</w:t>
    </w:r>
  </w:p>
  <w:p w:rsidR="001F6707" w:rsidRDefault="001F6707" w:rsidP="0073677A">
    <w:pPr>
      <w:jc w:val="right"/>
    </w:pPr>
  </w:p>
  <w:p w:rsidR="001F6707" w:rsidRDefault="001F670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7DCD1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30E5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60B5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9816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3CE0E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1EB2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2C37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706E8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4865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78C8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458CB"/>
    <w:multiLevelType w:val="multilevel"/>
    <w:tmpl w:val="54A22C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1935D4"/>
    <w:multiLevelType w:val="hybridMultilevel"/>
    <w:tmpl w:val="916C81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6C0007B"/>
    <w:multiLevelType w:val="hybridMultilevel"/>
    <w:tmpl w:val="1C80D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1113A7"/>
    <w:multiLevelType w:val="multilevel"/>
    <w:tmpl w:val="48241D10"/>
    <w:numStyleLink w:val="Normallist"/>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012E"/>
    <w:multiLevelType w:val="hybridMultilevel"/>
    <w:tmpl w:val="5B040A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15:restartNumberingAfterBreak="0">
    <w:nsid w:val="6CE43570"/>
    <w:multiLevelType w:val="multilevel"/>
    <w:tmpl w:val="31DC2932"/>
    <w:lvl w:ilvl="0">
      <w:start w:val="1"/>
      <w:numFmt w:val="decimal"/>
      <w:lvlText w:val="%1."/>
      <w:lvlJc w:val="left"/>
      <w:pPr>
        <w:tabs>
          <w:tab w:val="num" w:pos="0"/>
        </w:tabs>
        <w:ind w:left="0" w:firstLine="0"/>
      </w:pPr>
      <w:rPr>
        <w:rFonts w:hint="default"/>
        <w:b w:val="0"/>
        <w:i w:val="0"/>
        <w:sz w:val="20"/>
        <w:szCs w:val="20"/>
        <w:lang w:val="en-GB"/>
      </w:rPr>
    </w:lvl>
    <w:lvl w:ilvl="1">
      <w:start w:val="1"/>
      <w:numFmt w:val="bullet"/>
      <w:lvlText w:val=""/>
      <w:lvlJc w:val="left"/>
      <w:pPr>
        <w:tabs>
          <w:tab w:val="num" w:pos="720"/>
        </w:tabs>
        <w:ind w:left="2160" w:hanging="720"/>
      </w:pPr>
      <w:rPr>
        <w:rFonts w:ascii="Symbol" w:hAnsi="Symbol" w:hint="default"/>
        <w:lang w:val="en-GB"/>
      </w:rPr>
    </w:lvl>
    <w:lvl w:ilvl="2">
      <w:start w:val="1"/>
      <w:numFmt w:val="lowerRoman"/>
      <w:lvlText w:val="(%3)"/>
      <w:lvlJc w:val="left"/>
      <w:pPr>
        <w:tabs>
          <w:tab w:val="num" w:pos="2955"/>
        </w:tabs>
        <w:ind w:left="5115"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9"/>
  </w:num>
  <w:num w:numId="21">
    <w:abstractNumId w:val="23"/>
  </w:num>
  <w:num w:numId="22">
    <w:abstractNumId w:val="14"/>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3">
    <w:abstractNumId w:val="25"/>
  </w:num>
  <w:num w:numId="24">
    <w:abstractNumId w:val="17"/>
  </w:num>
  <w:num w:numId="25">
    <w:abstractNumId w:val="16"/>
  </w:num>
  <w:num w:numId="26">
    <w:abstractNumId w:val="20"/>
  </w:num>
  <w:num w:numId="27">
    <w:abstractNumId w:val="13"/>
  </w:num>
  <w:num w:numId="28">
    <w:abstractNumId w:val="24"/>
  </w:num>
  <w:num w:numId="29">
    <w:abstractNumId w:val="18"/>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90171"/>
    <w:rsid w:val="000C29D6"/>
    <w:rsid w:val="000F7EE9"/>
    <w:rsid w:val="00106F6E"/>
    <w:rsid w:val="00114CAA"/>
    <w:rsid w:val="001F308F"/>
    <w:rsid w:val="001F6707"/>
    <w:rsid w:val="00235D4C"/>
    <w:rsid w:val="0024162E"/>
    <w:rsid w:val="002E68BB"/>
    <w:rsid w:val="003B7115"/>
    <w:rsid w:val="003D1A75"/>
    <w:rsid w:val="003E0D64"/>
    <w:rsid w:val="003E41D9"/>
    <w:rsid w:val="005F5535"/>
    <w:rsid w:val="0073677A"/>
    <w:rsid w:val="00812200"/>
    <w:rsid w:val="0087455A"/>
    <w:rsid w:val="0095073C"/>
    <w:rsid w:val="00AB56E5"/>
    <w:rsid w:val="00AE418B"/>
    <w:rsid w:val="00B430EE"/>
    <w:rsid w:val="00B55A21"/>
    <w:rsid w:val="00B802C6"/>
    <w:rsid w:val="00C14E67"/>
    <w:rsid w:val="00DB795B"/>
    <w:rsid w:val="00E17F97"/>
    <w:rsid w:val="00E42AEA"/>
    <w:rsid w:val="00E64A04"/>
    <w:rsid w:val="00E82C36"/>
    <w:rsid w:val="00E92562"/>
    <w:rsid w:val="00F07555"/>
    <w:rsid w:val="00F25F7C"/>
    <w:rsid w:val="00F968E4"/>
    <w:rsid w:val="00F97D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37A14"/>
  <w15:docId w15:val="{B4EFC712-5D85-4C9F-8515-274035E5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B802C6"/>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B802C6"/>
    <w:rPr>
      <w:sz w:val="22"/>
      <w:szCs w:val="22"/>
      <w:lang w:val="en-GB"/>
    </w:rPr>
  </w:style>
  <w:style w:type="character" w:customStyle="1" w:styleId="0Heading0Char">
    <w:name w:val="0 Heading 0 Char"/>
    <w:link w:val="0Heading0"/>
    <w:rsid w:val="00B802C6"/>
    <w:rPr>
      <w:sz w:val="22"/>
      <w:szCs w:val="22"/>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B802C6"/>
    <w:rPr>
      <w:vertAlign w:val="superscript"/>
    </w:rPr>
  </w:style>
  <w:style w:type="paragraph" w:styleId="FootnoteText">
    <w:name w:val="footnote text"/>
    <w:aliases w:val=" Char1, Char1 Char Char,Fußnotentextf,Char1,Char1 Char Char"/>
    <w:basedOn w:val="Normal"/>
    <w:link w:val="FootnoteTextChar"/>
    <w:uiPriority w:val="99"/>
    <w:qFormat/>
    <w:rsid w:val="00B802C6"/>
    <w:pPr>
      <w:tabs>
        <w:tab w:val="left" w:pos="720"/>
      </w:tabs>
    </w:pPr>
    <w:rPr>
      <w:snapToGrid w:val="0"/>
      <w:sz w:val="20"/>
      <w:szCs w:val="24"/>
      <w:lang w:val="es-ES"/>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B802C6"/>
    <w:rPr>
      <w:snapToGrid w:val="0"/>
      <w:szCs w:val="24"/>
      <w:lang w:val="es-ES"/>
    </w:rPr>
  </w:style>
  <w:style w:type="character" w:customStyle="1" w:styleId="Heading3Char3CharCharChar">
    <w:name w:val="Heading 3 Char3 Char Char Char"/>
    <w:basedOn w:val="DefaultParagraphFont"/>
    <w:rsid w:val="00B802C6"/>
    <w:rPr>
      <w:sz w:val="22"/>
      <w:szCs w:val="22"/>
      <w:lang w:val="es-ES" w:eastAsia="en-US" w:bidi="ar-SA"/>
    </w:rPr>
  </w:style>
  <w:style w:type="paragraph" w:styleId="EndnoteText">
    <w:name w:val="endnote text"/>
    <w:basedOn w:val="Normal"/>
    <w:link w:val="EndnoteTextChar"/>
    <w:uiPriority w:val="99"/>
    <w:semiHidden/>
    <w:unhideWhenUsed/>
    <w:rsid w:val="00B802C6"/>
    <w:rPr>
      <w:sz w:val="20"/>
      <w:szCs w:val="20"/>
      <w:lang w:val="es-ES"/>
    </w:rPr>
  </w:style>
  <w:style w:type="character" w:customStyle="1" w:styleId="EndnoteTextChar">
    <w:name w:val="Endnote Text Char"/>
    <w:basedOn w:val="DefaultParagraphFont"/>
    <w:link w:val="EndnoteText"/>
    <w:uiPriority w:val="99"/>
    <w:semiHidden/>
    <w:rsid w:val="00B802C6"/>
    <w:rPr>
      <w:lang w:val="es-ES"/>
    </w:rPr>
  </w:style>
  <w:style w:type="character" w:styleId="EndnoteReference">
    <w:name w:val="endnote reference"/>
    <w:basedOn w:val="DefaultParagraphFont"/>
    <w:uiPriority w:val="99"/>
    <w:semiHidden/>
    <w:unhideWhenUsed/>
    <w:rsid w:val="00B802C6"/>
    <w:rPr>
      <w:vertAlign w:val="superscript"/>
    </w:rPr>
  </w:style>
  <w:style w:type="paragraph" w:styleId="ListParagraph">
    <w:name w:val="List Paragraph"/>
    <w:basedOn w:val="Normal"/>
    <w:uiPriority w:val="34"/>
    <w:qFormat/>
    <w:rsid w:val="00B802C6"/>
    <w:pPr>
      <w:ind w:left="720"/>
      <w:contextualSpacing/>
    </w:pPr>
    <w:rPr>
      <w:lang w:val="es-ES"/>
    </w:rPr>
  </w:style>
  <w:style w:type="paragraph" w:styleId="BodyTextIndent">
    <w:name w:val="Body Text Indent"/>
    <w:basedOn w:val="Normal"/>
    <w:link w:val="BodyTextIndentChar"/>
    <w:semiHidden/>
    <w:rsid w:val="00B802C6"/>
    <w:pPr>
      <w:spacing w:after="120"/>
      <w:ind w:left="360"/>
    </w:pPr>
    <w:rPr>
      <w:szCs w:val="20"/>
      <w:lang w:val="es-ES"/>
    </w:rPr>
  </w:style>
  <w:style w:type="character" w:customStyle="1" w:styleId="BodyTextIndentChar">
    <w:name w:val="Body Text Indent Char"/>
    <w:basedOn w:val="DefaultParagraphFont"/>
    <w:link w:val="BodyTextIndent"/>
    <w:semiHidden/>
    <w:rsid w:val="00B802C6"/>
    <w:rPr>
      <w:sz w:val="22"/>
      <w:lang w:val="es-ES"/>
    </w:rPr>
  </w:style>
  <w:style w:type="paragraph" w:styleId="ListBullet">
    <w:name w:val="List Bullet"/>
    <w:basedOn w:val="Normal"/>
    <w:autoRedefine/>
    <w:semiHidden/>
    <w:rsid w:val="00B802C6"/>
    <w:pPr>
      <w:tabs>
        <w:tab w:val="num" w:pos="360"/>
      </w:tabs>
      <w:ind w:left="360" w:hanging="360"/>
    </w:pPr>
    <w:rPr>
      <w:lang w:val="es-ES"/>
    </w:rPr>
  </w:style>
  <w:style w:type="character" w:customStyle="1" w:styleId="hps">
    <w:name w:val="hps"/>
    <w:basedOn w:val="DefaultParagraphFont"/>
    <w:rsid w:val="00B802C6"/>
  </w:style>
  <w:style w:type="character" w:customStyle="1" w:styleId="HeaderChar">
    <w:name w:val="Header Char"/>
    <w:basedOn w:val="DefaultParagraphFont"/>
    <w:link w:val="Header"/>
    <w:rsid w:val="00B802C6"/>
    <w:rPr>
      <w:sz w:val="22"/>
      <w:szCs w:val="22"/>
      <w:lang w:val="en-GB"/>
    </w:rPr>
  </w:style>
  <w:style w:type="paragraph" w:styleId="BodyText">
    <w:name w:val="Body Text"/>
    <w:basedOn w:val="Normal"/>
    <w:link w:val="BodyTextChar"/>
    <w:uiPriority w:val="1"/>
    <w:unhideWhenUsed/>
    <w:qFormat/>
    <w:rsid w:val="00B802C6"/>
    <w:pPr>
      <w:spacing w:after="120"/>
    </w:pPr>
    <w:rPr>
      <w:lang w:val="es-ES"/>
    </w:rPr>
  </w:style>
  <w:style w:type="character" w:customStyle="1" w:styleId="BodyTextChar">
    <w:name w:val="Body Text Char"/>
    <w:basedOn w:val="DefaultParagraphFont"/>
    <w:link w:val="BodyText"/>
    <w:uiPriority w:val="1"/>
    <w:rsid w:val="00B802C6"/>
    <w:rPr>
      <w:sz w:val="22"/>
      <w:szCs w:val="22"/>
      <w:lang w:val="es-ES"/>
    </w:rPr>
  </w:style>
  <w:style w:type="paragraph" w:customStyle="1" w:styleId="CH1">
    <w:name w:val="CH1"/>
    <w:basedOn w:val="Normal"/>
    <w:next w:val="Normal"/>
    <w:link w:val="CH1Char"/>
    <w:rsid w:val="00B802C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link w:val="CH2Char"/>
    <w:rsid w:val="00B802C6"/>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s-ES"/>
    </w:rPr>
  </w:style>
  <w:style w:type="paragraph" w:customStyle="1" w:styleId="CH3">
    <w:name w:val="CH3"/>
    <w:basedOn w:val="Normal"/>
    <w:next w:val="Normal"/>
    <w:link w:val="CH3Char"/>
    <w:rsid w:val="00B802C6"/>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character" w:styleId="Hyperlink">
    <w:name w:val="Hyperlink"/>
    <w:uiPriority w:val="99"/>
    <w:rsid w:val="00B802C6"/>
    <w:rPr>
      <w:rFonts w:ascii="Times New Roman" w:hAnsi="Times New Roman"/>
      <w:color w:val="auto"/>
      <w:sz w:val="20"/>
      <w:szCs w:val="20"/>
      <w:u w:val="none"/>
      <w:lang w:val="es-ES"/>
    </w:rPr>
  </w:style>
  <w:style w:type="numbering" w:customStyle="1" w:styleId="Normallist">
    <w:name w:val="Normal_list"/>
    <w:basedOn w:val="NoList"/>
    <w:rsid w:val="00B802C6"/>
    <w:pPr>
      <w:numPr>
        <w:numId w:val="21"/>
      </w:numPr>
    </w:pPr>
  </w:style>
  <w:style w:type="paragraph" w:customStyle="1" w:styleId="NormalNonumber">
    <w:name w:val="Normal_No_number"/>
    <w:basedOn w:val="Normal"/>
    <w:link w:val="NormalNonumberChar"/>
    <w:autoRedefine/>
    <w:rsid w:val="00B802C6"/>
    <w:pPr>
      <w:tabs>
        <w:tab w:val="left" w:pos="1247"/>
        <w:tab w:val="left" w:pos="1814"/>
        <w:tab w:val="left" w:pos="2381"/>
        <w:tab w:val="left" w:pos="2948"/>
        <w:tab w:val="left" w:pos="3515"/>
      </w:tabs>
      <w:spacing w:after="120"/>
      <w:ind w:left="1247"/>
      <w:jc w:val="left"/>
    </w:pPr>
    <w:rPr>
      <w:sz w:val="20"/>
      <w:szCs w:val="20"/>
      <w:lang w:val="es-ES"/>
    </w:rPr>
  </w:style>
  <w:style w:type="paragraph" w:customStyle="1" w:styleId="Normalnumber">
    <w:name w:val="Normal_number"/>
    <w:basedOn w:val="Normal"/>
    <w:link w:val="NormalnumberChar"/>
    <w:rsid w:val="00B802C6"/>
    <w:pPr>
      <w:numPr>
        <w:numId w:val="22"/>
      </w:numPr>
      <w:spacing w:after="120"/>
      <w:jc w:val="left"/>
    </w:pPr>
    <w:rPr>
      <w:sz w:val="20"/>
      <w:szCs w:val="20"/>
      <w:lang w:val="es-ES"/>
    </w:rPr>
  </w:style>
  <w:style w:type="table" w:customStyle="1" w:styleId="Tabledocright">
    <w:name w:val="Table_doc_right"/>
    <w:basedOn w:val="TableNormal"/>
    <w:rsid w:val="00B802C6"/>
    <w:pPr>
      <w:spacing w:before="40" w:after="40"/>
    </w:pPr>
    <w:rPr>
      <w:sz w:val="18"/>
      <w:szCs w:val="18"/>
      <w:lang w:val="es-ES"/>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B802C6"/>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B802C6"/>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Normal-pool">
    <w:name w:val="Normal-pool"/>
    <w:link w:val="Normal-poolChar"/>
    <w:rsid w:val="00B802C6"/>
    <w:pPr>
      <w:tabs>
        <w:tab w:val="left" w:pos="1247"/>
        <w:tab w:val="left" w:pos="1814"/>
        <w:tab w:val="left" w:pos="2381"/>
        <w:tab w:val="left" w:pos="2948"/>
        <w:tab w:val="left" w:pos="3515"/>
        <w:tab w:val="left" w:pos="4082"/>
      </w:tabs>
    </w:pPr>
    <w:rPr>
      <w:lang w:val="es-ES"/>
    </w:rPr>
  </w:style>
  <w:style w:type="character" w:customStyle="1" w:styleId="CH1Char">
    <w:name w:val="CH1 Char"/>
    <w:link w:val="CH1"/>
    <w:locked/>
    <w:rsid w:val="00B802C6"/>
    <w:rPr>
      <w:b/>
      <w:sz w:val="28"/>
      <w:szCs w:val="28"/>
      <w:lang w:val="es-ES"/>
    </w:rPr>
  </w:style>
  <w:style w:type="character" w:customStyle="1" w:styleId="NormalnumberChar">
    <w:name w:val="Normal_number Char"/>
    <w:link w:val="Normalnumber"/>
    <w:locked/>
    <w:rsid w:val="00B802C6"/>
    <w:rPr>
      <w:lang w:val="es-ES"/>
    </w:rPr>
  </w:style>
  <w:style w:type="character" w:customStyle="1" w:styleId="CH2Char">
    <w:name w:val="CH2 Char"/>
    <w:link w:val="CH2"/>
    <w:locked/>
    <w:rsid w:val="00B802C6"/>
    <w:rPr>
      <w:b/>
      <w:sz w:val="24"/>
      <w:szCs w:val="24"/>
      <w:lang w:val="es-ES"/>
    </w:rPr>
  </w:style>
  <w:style w:type="character" w:customStyle="1" w:styleId="NormalNonumberChar">
    <w:name w:val="Normal_No_number Char"/>
    <w:link w:val="NormalNonumber"/>
    <w:locked/>
    <w:rsid w:val="00B802C6"/>
    <w:rPr>
      <w:lang w:val="es-ES"/>
    </w:rPr>
  </w:style>
  <w:style w:type="numbering" w:customStyle="1" w:styleId="List0">
    <w:name w:val="List 0"/>
    <w:basedOn w:val="NoList"/>
    <w:rsid w:val="00B802C6"/>
    <w:pPr>
      <w:numPr>
        <w:numId w:val="23"/>
      </w:numPr>
    </w:pPr>
  </w:style>
  <w:style w:type="character" w:customStyle="1" w:styleId="tgc">
    <w:name w:val="_tgc"/>
    <w:basedOn w:val="DefaultParagraphFont"/>
    <w:rsid w:val="00B802C6"/>
  </w:style>
  <w:style w:type="character" w:styleId="FollowedHyperlink">
    <w:name w:val="FollowedHyperlink"/>
    <w:basedOn w:val="DefaultParagraphFont"/>
    <w:semiHidden/>
    <w:unhideWhenUsed/>
    <w:rsid w:val="00B802C6"/>
    <w:rPr>
      <w:color w:val="800080"/>
      <w:u w:val="single"/>
    </w:rPr>
  </w:style>
  <w:style w:type="paragraph" w:customStyle="1" w:styleId="xl64">
    <w:name w:val="xl64"/>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ES"/>
    </w:rPr>
  </w:style>
  <w:style w:type="paragraph" w:customStyle="1" w:styleId="xl65">
    <w:name w:val="xl65"/>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66">
    <w:name w:val="xl66"/>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s-ES"/>
    </w:rPr>
  </w:style>
  <w:style w:type="paragraph" w:customStyle="1" w:styleId="xl67">
    <w:name w:val="xl67"/>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ES"/>
    </w:rPr>
  </w:style>
  <w:style w:type="paragraph" w:customStyle="1" w:styleId="xl68">
    <w:name w:val="xl68"/>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ES"/>
    </w:rPr>
  </w:style>
  <w:style w:type="paragraph" w:customStyle="1" w:styleId="xl69">
    <w:name w:val="xl69"/>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ES"/>
    </w:rPr>
  </w:style>
  <w:style w:type="paragraph" w:customStyle="1" w:styleId="xl70">
    <w:name w:val="xl70"/>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ES"/>
    </w:rPr>
  </w:style>
  <w:style w:type="paragraph" w:customStyle="1" w:styleId="xl71">
    <w:name w:val="xl71"/>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2">
    <w:name w:val="xl72"/>
    <w:basedOn w:val="Normal"/>
    <w:rsid w:val="00B802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ES"/>
    </w:rPr>
  </w:style>
  <w:style w:type="paragraph" w:styleId="NormalWeb">
    <w:name w:val="Normal (Web)"/>
    <w:basedOn w:val="Normal"/>
    <w:uiPriority w:val="99"/>
    <w:unhideWhenUsed/>
    <w:rsid w:val="00B802C6"/>
    <w:pPr>
      <w:spacing w:after="240"/>
      <w:jc w:val="left"/>
    </w:pPr>
    <w:rPr>
      <w:sz w:val="24"/>
      <w:szCs w:val="24"/>
      <w:lang w:val="es-ES"/>
    </w:rPr>
  </w:style>
  <w:style w:type="paragraph" w:customStyle="1" w:styleId="Default">
    <w:name w:val="Default"/>
    <w:rsid w:val="00B802C6"/>
    <w:pPr>
      <w:autoSpaceDE w:val="0"/>
      <w:autoSpaceDN w:val="0"/>
      <w:adjustRightInd w:val="0"/>
    </w:pPr>
    <w:rPr>
      <w:rFonts w:ascii="Merriweather Light" w:eastAsiaTheme="minorHAnsi" w:hAnsi="Merriweather Light" w:cs="Merriweather Light"/>
      <w:color w:val="000000"/>
      <w:sz w:val="24"/>
      <w:szCs w:val="24"/>
      <w:lang w:val="es-ES"/>
    </w:rPr>
  </w:style>
  <w:style w:type="paragraph" w:customStyle="1" w:styleId="Pa0">
    <w:name w:val="Pa0"/>
    <w:basedOn w:val="Default"/>
    <w:next w:val="Default"/>
    <w:uiPriority w:val="99"/>
    <w:rsid w:val="00B802C6"/>
    <w:pPr>
      <w:spacing w:line="241" w:lineRule="atLeast"/>
    </w:pPr>
    <w:rPr>
      <w:rFonts w:cstheme="minorBidi"/>
      <w:color w:val="auto"/>
    </w:rPr>
  </w:style>
  <w:style w:type="character" w:customStyle="1" w:styleId="A0">
    <w:name w:val="A0"/>
    <w:uiPriority w:val="99"/>
    <w:rsid w:val="00B802C6"/>
    <w:rPr>
      <w:rFonts w:cs="Merriweather Light"/>
      <w:color w:val="4C4F50"/>
      <w:sz w:val="16"/>
      <w:szCs w:val="16"/>
    </w:rPr>
  </w:style>
  <w:style w:type="character" w:customStyle="1" w:styleId="apple-converted-space">
    <w:name w:val="apple-converted-space"/>
    <w:basedOn w:val="DefaultParagraphFont"/>
    <w:rsid w:val="00B802C6"/>
  </w:style>
  <w:style w:type="character" w:customStyle="1" w:styleId="Heading5Char">
    <w:name w:val="Heading 5 Char"/>
    <w:basedOn w:val="DefaultParagraphFont"/>
    <w:link w:val="Heading5"/>
    <w:rsid w:val="00B802C6"/>
    <w:rPr>
      <w:sz w:val="22"/>
      <w:szCs w:val="22"/>
      <w:lang w:val="en-GB"/>
    </w:rPr>
  </w:style>
  <w:style w:type="paragraph" w:styleId="BodyTextIndent2">
    <w:name w:val="Body Text Indent 2"/>
    <w:basedOn w:val="Normal"/>
    <w:link w:val="BodyTextIndent2Char"/>
    <w:semiHidden/>
    <w:unhideWhenUsed/>
    <w:rsid w:val="00B802C6"/>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B802C6"/>
    <w:rPr>
      <w:sz w:val="22"/>
      <w:szCs w:val="22"/>
      <w:lang w:val="es-ES"/>
    </w:rPr>
  </w:style>
  <w:style w:type="paragraph" w:customStyle="1" w:styleId="p7">
    <w:name w:val="p7"/>
    <w:basedOn w:val="Normal"/>
    <w:rsid w:val="00B802C6"/>
    <w:pPr>
      <w:widowControl w:val="0"/>
      <w:tabs>
        <w:tab w:val="left" w:pos="204"/>
      </w:tabs>
      <w:autoSpaceDE w:val="0"/>
      <w:autoSpaceDN w:val="0"/>
      <w:adjustRightInd w:val="0"/>
      <w:jc w:val="left"/>
    </w:pPr>
    <w:rPr>
      <w:sz w:val="24"/>
      <w:szCs w:val="24"/>
      <w:lang w:val="es-ES"/>
    </w:rPr>
  </w:style>
  <w:style w:type="paragraph" w:customStyle="1" w:styleId="p9">
    <w:name w:val="p9"/>
    <w:basedOn w:val="Normal"/>
    <w:rsid w:val="00B802C6"/>
    <w:pPr>
      <w:widowControl w:val="0"/>
      <w:tabs>
        <w:tab w:val="left" w:pos="691"/>
      </w:tabs>
      <w:autoSpaceDE w:val="0"/>
      <w:autoSpaceDN w:val="0"/>
      <w:adjustRightInd w:val="0"/>
      <w:ind w:firstLine="691"/>
      <w:jc w:val="left"/>
    </w:pPr>
    <w:rPr>
      <w:sz w:val="24"/>
      <w:szCs w:val="24"/>
      <w:lang w:val="es-ES"/>
    </w:rPr>
  </w:style>
  <w:style w:type="paragraph" w:customStyle="1" w:styleId="Indent1">
    <w:name w:val="Indent 1"/>
    <w:basedOn w:val="Normal"/>
    <w:qFormat/>
    <w:rsid w:val="00B802C6"/>
    <w:pPr>
      <w:spacing w:after="240" w:line="360" w:lineRule="auto"/>
      <w:ind w:left="1440" w:hanging="720"/>
      <w:jc w:val="left"/>
    </w:pPr>
    <w:rPr>
      <w:sz w:val="24"/>
      <w:szCs w:val="24"/>
      <w:lang w:val="es-ES"/>
    </w:rPr>
  </w:style>
  <w:style w:type="paragraph" w:customStyle="1" w:styleId="Normalpool">
    <w:name w:val="Normal_pool"/>
    <w:link w:val="NormalpoolChar"/>
    <w:rsid w:val="00B802C6"/>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B802C6"/>
    <w:rPr>
      <w:lang w:val="es-ES"/>
    </w:rPr>
  </w:style>
  <w:style w:type="character" w:customStyle="1" w:styleId="CH3Char">
    <w:name w:val="CH3 Char"/>
    <w:link w:val="CH3"/>
    <w:rsid w:val="00B802C6"/>
    <w:rPr>
      <w:b/>
      <w:lang w:val="es-ES"/>
    </w:rPr>
  </w:style>
  <w:style w:type="character" w:customStyle="1" w:styleId="Normal-poolChar">
    <w:name w:val="Normal-pool Char"/>
    <w:link w:val="Normal-pool"/>
    <w:locked/>
    <w:rsid w:val="00B802C6"/>
    <w:rPr>
      <w:lang w:val="es-ES"/>
    </w:rPr>
  </w:style>
  <w:style w:type="paragraph" w:customStyle="1" w:styleId="CH4">
    <w:name w:val="CH4"/>
    <w:basedOn w:val="Normalpool"/>
    <w:next w:val="Normalnumber"/>
    <w:rsid w:val="00B802C6"/>
    <w:pPr>
      <w:keepNext/>
      <w:keepLines/>
      <w:tabs>
        <w:tab w:val="right" w:pos="851"/>
      </w:tabs>
      <w:suppressAutoHyphens/>
      <w:spacing w:after="120"/>
      <w:ind w:left="1247" w:right="284" w:hanging="1247"/>
    </w:pPr>
    <w:rPr>
      <w:b/>
    </w:rPr>
  </w:style>
  <w:style w:type="character" w:customStyle="1" w:styleId="Hyperlink0">
    <w:name w:val="Hyperlink.0"/>
    <w:rsid w:val="00B802C6"/>
    <w:rPr>
      <w:strike w:val="0"/>
      <w:dstrike w:val="0"/>
      <w:color w:val="000000"/>
      <w:sz w:val="18"/>
      <w:szCs w:val="18"/>
      <w:u w:val="none" w:color="000000"/>
      <w:effect w:val="none"/>
      <w:lang w:val="es-ES"/>
    </w:rPr>
  </w:style>
  <w:style w:type="paragraph" w:customStyle="1" w:styleId="Formatvorlage1">
    <w:name w:val="Formatvorlage1"/>
    <w:basedOn w:val="Heading1"/>
    <w:next w:val="Normal"/>
    <w:autoRedefine/>
    <w:qFormat/>
    <w:rsid w:val="00B802C6"/>
    <w:pPr>
      <w:numPr>
        <w:numId w:val="0"/>
      </w:numPr>
      <w:tabs>
        <w:tab w:val="num" w:pos="0"/>
      </w:tabs>
      <w:spacing w:after="120"/>
    </w:pPr>
    <w:rPr>
      <w:rFonts w:asciiTheme="minorHAnsi" w:hAnsiTheme="minorHAnsi"/>
      <w:bCs/>
      <w:sz w:val="24"/>
      <w:szCs w:val="24"/>
      <w:lang w:val="es-ES"/>
    </w:rPr>
  </w:style>
  <w:style w:type="character" w:customStyle="1" w:styleId="Heading4Char">
    <w:name w:val="Heading 4 Char"/>
    <w:aliases w:val="Heading 11 Char,para 4 Char,Título 41 Char,heading 4 Char,Heading 41 Char"/>
    <w:basedOn w:val="DefaultParagraphFont"/>
    <w:link w:val="Heading4"/>
    <w:rsid w:val="00B802C6"/>
    <w:rPr>
      <w:sz w:val="22"/>
      <w:szCs w:val="22"/>
      <w:lang w:val="en-GB"/>
    </w:rPr>
  </w:style>
  <w:style w:type="character" w:customStyle="1" w:styleId="Heading6Char">
    <w:name w:val="Heading 6 Char"/>
    <w:basedOn w:val="DefaultParagraphFont"/>
    <w:link w:val="Heading6"/>
    <w:rsid w:val="00B802C6"/>
    <w:rPr>
      <w:rFonts w:ascii="Arial" w:hAnsi="Arial"/>
      <w:i/>
      <w:sz w:val="22"/>
      <w:szCs w:val="22"/>
      <w:lang w:val="en-GB"/>
    </w:rPr>
  </w:style>
  <w:style w:type="character" w:customStyle="1" w:styleId="Heading7Char">
    <w:name w:val="Heading 7 Char"/>
    <w:basedOn w:val="DefaultParagraphFont"/>
    <w:link w:val="Heading7"/>
    <w:rsid w:val="00B802C6"/>
    <w:rPr>
      <w:rFonts w:ascii="Arial" w:hAnsi="Arial"/>
      <w:sz w:val="22"/>
      <w:szCs w:val="22"/>
      <w:lang w:val="en-GB"/>
    </w:rPr>
  </w:style>
  <w:style w:type="character" w:customStyle="1" w:styleId="Heading8Char">
    <w:name w:val="Heading 8 Char"/>
    <w:basedOn w:val="DefaultParagraphFont"/>
    <w:link w:val="Heading8"/>
    <w:rsid w:val="00B802C6"/>
    <w:rPr>
      <w:b/>
      <w:sz w:val="22"/>
      <w:szCs w:val="22"/>
      <w:lang w:val="en-GB"/>
    </w:rPr>
  </w:style>
  <w:style w:type="character" w:customStyle="1" w:styleId="Heading9Char">
    <w:name w:val="Heading 9 Char"/>
    <w:basedOn w:val="DefaultParagraphFont"/>
    <w:link w:val="Heading9"/>
    <w:rsid w:val="00B802C6"/>
    <w:rPr>
      <w:rFonts w:ascii="Arial" w:hAnsi="Arial"/>
      <w:i/>
      <w:sz w:val="18"/>
      <w:szCs w:val="22"/>
      <w:lang w:val="en-GB"/>
    </w:rPr>
  </w:style>
  <w:style w:type="numbering" w:customStyle="1" w:styleId="1111111">
    <w:name w:val="1 / 1.1 / 1.1.11"/>
    <w:basedOn w:val="NoList"/>
    <w:next w:val="111111"/>
    <w:semiHidden/>
    <w:rsid w:val="00B802C6"/>
    <w:pPr>
      <w:numPr>
        <w:numId w:val="24"/>
      </w:numPr>
    </w:pPr>
  </w:style>
  <w:style w:type="character" w:styleId="PageNumber">
    <w:name w:val="page number"/>
    <w:basedOn w:val="DefaultParagraphFont"/>
    <w:rsid w:val="00B802C6"/>
    <w:rPr>
      <w:sz w:val="22"/>
      <w:szCs w:val="22"/>
    </w:rPr>
  </w:style>
  <w:style w:type="numbering" w:customStyle="1" w:styleId="1ai1">
    <w:name w:val="1 / a / i1"/>
    <w:basedOn w:val="NoList"/>
    <w:next w:val="1ai"/>
    <w:semiHidden/>
    <w:rsid w:val="00B802C6"/>
    <w:pPr>
      <w:numPr>
        <w:numId w:val="25"/>
      </w:numPr>
    </w:pPr>
  </w:style>
  <w:style w:type="numbering" w:customStyle="1" w:styleId="ArticleSection1">
    <w:name w:val="Article / Section1"/>
    <w:basedOn w:val="NoList"/>
    <w:next w:val="ArticleSection"/>
    <w:semiHidden/>
    <w:rsid w:val="00B802C6"/>
    <w:pPr>
      <w:numPr>
        <w:numId w:val="26"/>
      </w:numPr>
    </w:pPr>
  </w:style>
  <w:style w:type="paragraph" w:styleId="BodyText2">
    <w:name w:val="Body Text 2"/>
    <w:basedOn w:val="Normal"/>
    <w:link w:val="BodyText2Char"/>
    <w:semiHidden/>
    <w:rsid w:val="00B802C6"/>
    <w:pPr>
      <w:spacing w:after="120" w:line="480" w:lineRule="auto"/>
    </w:pPr>
    <w:rPr>
      <w:lang w:val="es-ES"/>
    </w:rPr>
  </w:style>
  <w:style w:type="character" w:customStyle="1" w:styleId="BodyText2Char">
    <w:name w:val="Body Text 2 Char"/>
    <w:basedOn w:val="DefaultParagraphFont"/>
    <w:link w:val="BodyText2"/>
    <w:semiHidden/>
    <w:rsid w:val="00B802C6"/>
    <w:rPr>
      <w:sz w:val="22"/>
      <w:szCs w:val="22"/>
      <w:lang w:val="es-ES"/>
    </w:rPr>
  </w:style>
  <w:style w:type="character" w:customStyle="1" w:styleId="BodyText3Char">
    <w:name w:val="Body Text 3 Char"/>
    <w:basedOn w:val="DefaultParagraphFont"/>
    <w:link w:val="BodyText3"/>
    <w:semiHidden/>
    <w:rsid w:val="00B802C6"/>
    <w:rPr>
      <w:sz w:val="16"/>
      <w:szCs w:val="16"/>
      <w:lang w:val="en-GB"/>
    </w:rPr>
  </w:style>
  <w:style w:type="paragraph" w:styleId="BodyTextFirstIndent">
    <w:name w:val="Body Text First Indent"/>
    <w:basedOn w:val="BodyText"/>
    <w:link w:val="BodyTextFirstIndentChar"/>
    <w:semiHidden/>
    <w:rsid w:val="00B802C6"/>
    <w:pPr>
      <w:ind w:firstLine="210"/>
    </w:pPr>
  </w:style>
  <w:style w:type="character" w:customStyle="1" w:styleId="BodyTextFirstIndentChar">
    <w:name w:val="Body Text First Indent Char"/>
    <w:basedOn w:val="BodyTextChar"/>
    <w:link w:val="BodyTextFirstIndent"/>
    <w:semiHidden/>
    <w:rsid w:val="00B802C6"/>
    <w:rPr>
      <w:sz w:val="22"/>
      <w:szCs w:val="22"/>
      <w:lang w:val="es-ES"/>
    </w:rPr>
  </w:style>
  <w:style w:type="paragraph" w:styleId="BodyTextFirstIndent2">
    <w:name w:val="Body Text First Indent 2"/>
    <w:basedOn w:val="BodyTextIndent"/>
    <w:link w:val="BodyTextFirstIndent2Char"/>
    <w:semiHidden/>
    <w:rsid w:val="00B802C6"/>
    <w:pPr>
      <w:ind w:firstLine="210"/>
    </w:pPr>
    <w:rPr>
      <w:szCs w:val="22"/>
    </w:rPr>
  </w:style>
  <w:style w:type="character" w:customStyle="1" w:styleId="BodyTextFirstIndent2Char">
    <w:name w:val="Body Text First Indent 2 Char"/>
    <w:basedOn w:val="BodyTextIndentChar"/>
    <w:link w:val="BodyTextFirstIndent2"/>
    <w:semiHidden/>
    <w:rsid w:val="00B802C6"/>
    <w:rPr>
      <w:sz w:val="22"/>
      <w:szCs w:val="22"/>
      <w:lang w:val="es-ES"/>
    </w:rPr>
  </w:style>
  <w:style w:type="character" w:customStyle="1" w:styleId="BodyTextIndent3Char">
    <w:name w:val="Body Text Indent 3 Char"/>
    <w:basedOn w:val="DefaultParagraphFont"/>
    <w:link w:val="BodyTextIndent3"/>
    <w:semiHidden/>
    <w:rsid w:val="00B802C6"/>
    <w:rPr>
      <w:sz w:val="16"/>
      <w:szCs w:val="16"/>
      <w:lang w:val="en-GB"/>
    </w:rPr>
  </w:style>
  <w:style w:type="paragraph" w:styleId="Closing">
    <w:name w:val="Closing"/>
    <w:basedOn w:val="Normal"/>
    <w:link w:val="ClosingChar"/>
    <w:semiHidden/>
    <w:rsid w:val="00B802C6"/>
    <w:pPr>
      <w:ind w:left="4320"/>
    </w:pPr>
    <w:rPr>
      <w:lang w:val="es-ES"/>
    </w:rPr>
  </w:style>
  <w:style w:type="character" w:customStyle="1" w:styleId="ClosingChar">
    <w:name w:val="Closing Char"/>
    <w:basedOn w:val="DefaultParagraphFont"/>
    <w:link w:val="Closing"/>
    <w:semiHidden/>
    <w:rsid w:val="00B802C6"/>
    <w:rPr>
      <w:sz w:val="22"/>
      <w:szCs w:val="22"/>
      <w:lang w:val="es-ES"/>
    </w:rPr>
  </w:style>
  <w:style w:type="paragraph" w:styleId="E-mailSignature">
    <w:name w:val="E-mail Signature"/>
    <w:basedOn w:val="Normal"/>
    <w:link w:val="E-mailSignatureChar"/>
    <w:semiHidden/>
    <w:rsid w:val="00B802C6"/>
    <w:rPr>
      <w:lang w:val="es-ES"/>
    </w:rPr>
  </w:style>
  <w:style w:type="character" w:customStyle="1" w:styleId="E-mailSignatureChar">
    <w:name w:val="E-mail Signature Char"/>
    <w:basedOn w:val="DefaultParagraphFont"/>
    <w:link w:val="E-mailSignature"/>
    <w:semiHidden/>
    <w:rsid w:val="00B802C6"/>
    <w:rPr>
      <w:sz w:val="22"/>
      <w:szCs w:val="22"/>
      <w:lang w:val="es-ES"/>
    </w:rPr>
  </w:style>
  <w:style w:type="character" w:styleId="Emphasis">
    <w:name w:val="Emphasis"/>
    <w:basedOn w:val="DefaultParagraphFont"/>
    <w:qFormat/>
    <w:rsid w:val="00B802C6"/>
    <w:rPr>
      <w:i/>
      <w:iCs/>
    </w:rPr>
  </w:style>
  <w:style w:type="paragraph" w:styleId="EnvelopeAddress">
    <w:name w:val="envelope address"/>
    <w:basedOn w:val="Normal"/>
    <w:semiHidden/>
    <w:rsid w:val="00B802C6"/>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B802C6"/>
    <w:rPr>
      <w:rFonts w:ascii="Arial" w:hAnsi="Arial" w:cs="Arial"/>
      <w:sz w:val="20"/>
      <w:lang w:val="es-ES"/>
    </w:rPr>
  </w:style>
  <w:style w:type="character" w:styleId="HTMLAcronym">
    <w:name w:val="HTML Acronym"/>
    <w:basedOn w:val="DefaultParagraphFont"/>
    <w:semiHidden/>
    <w:rsid w:val="00B802C6"/>
  </w:style>
  <w:style w:type="paragraph" w:styleId="HTMLAddress">
    <w:name w:val="HTML Address"/>
    <w:basedOn w:val="Normal"/>
    <w:link w:val="HTMLAddressChar"/>
    <w:semiHidden/>
    <w:rsid w:val="00B802C6"/>
    <w:rPr>
      <w:i/>
      <w:iCs/>
      <w:lang w:val="es-ES"/>
    </w:rPr>
  </w:style>
  <w:style w:type="character" w:customStyle="1" w:styleId="HTMLAddressChar">
    <w:name w:val="HTML Address Char"/>
    <w:basedOn w:val="DefaultParagraphFont"/>
    <w:link w:val="HTMLAddress"/>
    <w:semiHidden/>
    <w:rsid w:val="00B802C6"/>
    <w:rPr>
      <w:i/>
      <w:iCs/>
      <w:sz w:val="22"/>
      <w:szCs w:val="22"/>
      <w:lang w:val="es-ES"/>
    </w:rPr>
  </w:style>
  <w:style w:type="character" w:styleId="HTMLCite">
    <w:name w:val="HTML Cite"/>
    <w:basedOn w:val="DefaultParagraphFont"/>
    <w:semiHidden/>
    <w:rsid w:val="00B802C6"/>
    <w:rPr>
      <w:i/>
      <w:iCs/>
    </w:rPr>
  </w:style>
  <w:style w:type="character" w:styleId="HTMLCode">
    <w:name w:val="HTML Code"/>
    <w:basedOn w:val="DefaultParagraphFont"/>
    <w:semiHidden/>
    <w:rsid w:val="00B802C6"/>
    <w:rPr>
      <w:rFonts w:ascii="Courier New" w:hAnsi="Courier New" w:cs="Courier New"/>
      <w:sz w:val="20"/>
      <w:szCs w:val="20"/>
    </w:rPr>
  </w:style>
  <w:style w:type="character" w:styleId="HTMLDefinition">
    <w:name w:val="HTML Definition"/>
    <w:basedOn w:val="DefaultParagraphFont"/>
    <w:semiHidden/>
    <w:rsid w:val="00B802C6"/>
    <w:rPr>
      <w:i/>
      <w:iCs/>
    </w:rPr>
  </w:style>
  <w:style w:type="character" w:styleId="HTMLKeyboard">
    <w:name w:val="HTML Keyboard"/>
    <w:basedOn w:val="DefaultParagraphFont"/>
    <w:semiHidden/>
    <w:rsid w:val="00B802C6"/>
    <w:rPr>
      <w:rFonts w:ascii="Courier New" w:hAnsi="Courier New" w:cs="Courier New"/>
      <w:sz w:val="20"/>
      <w:szCs w:val="20"/>
    </w:rPr>
  </w:style>
  <w:style w:type="paragraph" w:styleId="HTMLPreformatted">
    <w:name w:val="HTML Preformatted"/>
    <w:basedOn w:val="Normal"/>
    <w:link w:val="HTMLPreformattedChar"/>
    <w:semiHidden/>
    <w:rsid w:val="00B802C6"/>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B802C6"/>
    <w:rPr>
      <w:rFonts w:ascii="Courier New" w:hAnsi="Courier New" w:cs="Courier New"/>
      <w:szCs w:val="22"/>
      <w:lang w:val="es-ES"/>
    </w:rPr>
  </w:style>
  <w:style w:type="character" w:styleId="HTMLSample">
    <w:name w:val="HTML Sample"/>
    <w:basedOn w:val="DefaultParagraphFont"/>
    <w:semiHidden/>
    <w:rsid w:val="00B802C6"/>
    <w:rPr>
      <w:rFonts w:ascii="Courier New" w:hAnsi="Courier New" w:cs="Courier New"/>
    </w:rPr>
  </w:style>
  <w:style w:type="character" w:styleId="HTMLTypewriter">
    <w:name w:val="HTML Typewriter"/>
    <w:basedOn w:val="DefaultParagraphFont"/>
    <w:semiHidden/>
    <w:rsid w:val="00B802C6"/>
    <w:rPr>
      <w:rFonts w:ascii="Courier New" w:hAnsi="Courier New" w:cs="Courier New"/>
      <w:sz w:val="20"/>
      <w:szCs w:val="20"/>
    </w:rPr>
  </w:style>
  <w:style w:type="character" w:styleId="HTMLVariable">
    <w:name w:val="HTML Variable"/>
    <w:basedOn w:val="DefaultParagraphFont"/>
    <w:semiHidden/>
    <w:rsid w:val="00B802C6"/>
    <w:rPr>
      <w:i/>
      <w:iCs/>
    </w:rPr>
  </w:style>
  <w:style w:type="character" w:styleId="LineNumber">
    <w:name w:val="line number"/>
    <w:basedOn w:val="DefaultParagraphFont"/>
    <w:semiHidden/>
    <w:rsid w:val="00B802C6"/>
  </w:style>
  <w:style w:type="paragraph" w:styleId="List">
    <w:name w:val="List"/>
    <w:basedOn w:val="Normal"/>
    <w:semiHidden/>
    <w:rsid w:val="00B802C6"/>
    <w:pPr>
      <w:ind w:left="360" w:hanging="360"/>
    </w:pPr>
    <w:rPr>
      <w:lang w:val="es-ES"/>
    </w:rPr>
  </w:style>
  <w:style w:type="paragraph" w:styleId="List2">
    <w:name w:val="List 2"/>
    <w:basedOn w:val="Normal"/>
    <w:semiHidden/>
    <w:rsid w:val="00B802C6"/>
    <w:pPr>
      <w:ind w:left="720" w:hanging="360"/>
    </w:pPr>
    <w:rPr>
      <w:lang w:val="es-ES"/>
    </w:rPr>
  </w:style>
  <w:style w:type="paragraph" w:styleId="List3">
    <w:name w:val="List 3"/>
    <w:basedOn w:val="Normal"/>
    <w:semiHidden/>
    <w:rsid w:val="00B802C6"/>
    <w:pPr>
      <w:ind w:left="1080" w:hanging="360"/>
    </w:pPr>
    <w:rPr>
      <w:lang w:val="es-ES"/>
    </w:rPr>
  </w:style>
  <w:style w:type="paragraph" w:styleId="List4">
    <w:name w:val="List 4"/>
    <w:basedOn w:val="Normal"/>
    <w:semiHidden/>
    <w:rsid w:val="00B802C6"/>
    <w:pPr>
      <w:ind w:left="1440" w:hanging="360"/>
    </w:pPr>
    <w:rPr>
      <w:lang w:val="es-ES"/>
    </w:rPr>
  </w:style>
  <w:style w:type="paragraph" w:styleId="List5">
    <w:name w:val="List 5"/>
    <w:basedOn w:val="Normal"/>
    <w:semiHidden/>
    <w:rsid w:val="00B802C6"/>
    <w:pPr>
      <w:ind w:left="1800" w:hanging="360"/>
    </w:pPr>
    <w:rPr>
      <w:lang w:val="es-ES"/>
    </w:rPr>
  </w:style>
  <w:style w:type="paragraph" w:styleId="ListBullet2">
    <w:name w:val="List Bullet 2"/>
    <w:basedOn w:val="Normal"/>
    <w:autoRedefine/>
    <w:semiHidden/>
    <w:rsid w:val="00B802C6"/>
    <w:pPr>
      <w:tabs>
        <w:tab w:val="num" w:pos="720"/>
      </w:tabs>
      <w:ind w:left="720" w:hanging="360"/>
    </w:pPr>
    <w:rPr>
      <w:lang w:val="es-ES"/>
    </w:rPr>
  </w:style>
  <w:style w:type="paragraph" w:styleId="ListBullet3">
    <w:name w:val="List Bullet 3"/>
    <w:basedOn w:val="Normal"/>
    <w:autoRedefine/>
    <w:semiHidden/>
    <w:rsid w:val="00B802C6"/>
    <w:pPr>
      <w:tabs>
        <w:tab w:val="num" w:pos="1080"/>
      </w:tabs>
      <w:ind w:left="1080" w:hanging="360"/>
    </w:pPr>
    <w:rPr>
      <w:lang w:val="es-ES"/>
    </w:rPr>
  </w:style>
  <w:style w:type="paragraph" w:styleId="ListBullet4">
    <w:name w:val="List Bullet 4"/>
    <w:basedOn w:val="Normal"/>
    <w:autoRedefine/>
    <w:semiHidden/>
    <w:rsid w:val="00B802C6"/>
    <w:pPr>
      <w:tabs>
        <w:tab w:val="num" w:pos="1440"/>
      </w:tabs>
      <w:ind w:left="1440" w:hanging="360"/>
    </w:pPr>
    <w:rPr>
      <w:lang w:val="es-ES"/>
    </w:rPr>
  </w:style>
  <w:style w:type="paragraph" w:styleId="ListBullet5">
    <w:name w:val="List Bullet 5"/>
    <w:basedOn w:val="Normal"/>
    <w:autoRedefine/>
    <w:semiHidden/>
    <w:rsid w:val="00B802C6"/>
    <w:pPr>
      <w:tabs>
        <w:tab w:val="num" w:pos="1800"/>
      </w:tabs>
      <w:ind w:left="1800" w:hanging="360"/>
    </w:pPr>
    <w:rPr>
      <w:lang w:val="es-ES"/>
    </w:rPr>
  </w:style>
  <w:style w:type="paragraph" w:styleId="ListContinue">
    <w:name w:val="List Continue"/>
    <w:basedOn w:val="Normal"/>
    <w:semiHidden/>
    <w:rsid w:val="00B802C6"/>
    <w:pPr>
      <w:spacing w:after="120"/>
      <w:ind w:left="360"/>
    </w:pPr>
    <w:rPr>
      <w:lang w:val="es-ES"/>
    </w:rPr>
  </w:style>
  <w:style w:type="paragraph" w:styleId="ListContinue2">
    <w:name w:val="List Continue 2"/>
    <w:basedOn w:val="Normal"/>
    <w:semiHidden/>
    <w:rsid w:val="00B802C6"/>
    <w:pPr>
      <w:spacing w:after="120"/>
      <w:ind w:left="720"/>
    </w:pPr>
    <w:rPr>
      <w:lang w:val="es-ES"/>
    </w:rPr>
  </w:style>
  <w:style w:type="paragraph" w:styleId="ListContinue3">
    <w:name w:val="List Continue 3"/>
    <w:basedOn w:val="Normal"/>
    <w:semiHidden/>
    <w:rsid w:val="00B802C6"/>
    <w:pPr>
      <w:spacing w:after="120"/>
      <w:ind w:left="1080"/>
    </w:pPr>
    <w:rPr>
      <w:lang w:val="es-ES"/>
    </w:rPr>
  </w:style>
  <w:style w:type="paragraph" w:styleId="ListContinue4">
    <w:name w:val="List Continue 4"/>
    <w:basedOn w:val="Normal"/>
    <w:semiHidden/>
    <w:rsid w:val="00B802C6"/>
    <w:pPr>
      <w:spacing w:after="120"/>
      <w:ind w:left="1440"/>
    </w:pPr>
    <w:rPr>
      <w:lang w:val="es-ES"/>
    </w:rPr>
  </w:style>
  <w:style w:type="paragraph" w:styleId="ListContinue5">
    <w:name w:val="List Continue 5"/>
    <w:basedOn w:val="Normal"/>
    <w:semiHidden/>
    <w:rsid w:val="00B802C6"/>
    <w:pPr>
      <w:spacing w:after="120"/>
      <w:ind w:left="1800"/>
    </w:pPr>
    <w:rPr>
      <w:lang w:val="es-ES"/>
    </w:rPr>
  </w:style>
  <w:style w:type="paragraph" w:styleId="ListNumber">
    <w:name w:val="List Number"/>
    <w:basedOn w:val="Normal"/>
    <w:semiHidden/>
    <w:rsid w:val="00B802C6"/>
    <w:pPr>
      <w:tabs>
        <w:tab w:val="num" w:pos="360"/>
      </w:tabs>
      <w:ind w:left="360" w:hanging="360"/>
    </w:pPr>
    <w:rPr>
      <w:lang w:val="es-ES"/>
    </w:rPr>
  </w:style>
  <w:style w:type="paragraph" w:styleId="ListNumber2">
    <w:name w:val="List Number 2"/>
    <w:basedOn w:val="Normal"/>
    <w:semiHidden/>
    <w:rsid w:val="00B802C6"/>
    <w:pPr>
      <w:tabs>
        <w:tab w:val="num" w:pos="720"/>
      </w:tabs>
      <w:ind w:left="720" w:hanging="360"/>
    </w:pPr>
    <w:rPr>
      <w:lang w:val="es-ES"/>
    </w:rPr>
  </w:style>
  <w:style w:type="paragraph" w:styleId="ListNumber3">
    <w:name w:val="List Number 3"/>
    <w:basedOn w:val="Normal"/>
    <w:semiHidden/>
    <w:rsid w:val="00B802C6"/>
    <w:pPr>
      <w:tabs>
        <w:tab w:val="num" w:pos="1080"/>
      </w:tabs>
      <w:ind w:left="1080" w:hanging="360"/>
    </w:pPr>
    <w:rPr>
      <w:lang w:val="es-ES"/>
    </w:rPr>
  </w:style>
  <w:style w:type="paragraph" w:styleId="ListNumber4">
    <w:name w:val="List Number 4"/>
    <w:basedOn w:val="Normal"/>
    <w:semiHidden/>
    <w:rsid w:val="00B802C6"/>
    <w:pPr>
      <w:tabs>
        <w:tab w:val="num" w:pos="1440"/>
      </w:tabs>
      <w:ind w:left="1440" w:hanging="360"/>
    </w:pPr>
    <w:rPr>
      <w:lang w:val="es-ES"/>
    </w:rPr>
  </w:style>
  <w:style w:type="paragraph" w:styleId="ListNumber5">
    <w:name w:val="List Number 5"/>
    <w:basedOn w:val="Normal"/>
    <w:semiHidden/>
    <w:rsid w:val="00B802C6"/>
    <w:pPr>
      <w:tabs>
        <w:tab w:val="num" w:pos="1800"/>
      </w:tabs>
      <w:ind w:left="1800" w:hanging="360"/>
    </w:pPr>
    <w:rPr>
      <w:lang w:val="es-ES"/>
    </w:rPr>
  </w:style>
  <w:style w:type="paragraph" w:styleId="MessageHeader">
    <w:name w:val="Message Header"/>
    <w:basedOn w:val="Normal"/>
    <w:link w:val="MessageHeaderChar"/>
    <w:semiHidden/>
    <w:rsid w:val="00B802C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B802C6"/>
    <w:rPr>
      <w:rFonts w:ascii="Arial" w:hAnsi="Arial" w:cs="Arial"/>
      <w:sz w:val="22"/>
      <w:szCs w:val="24"/>
      <w:shd w:val="pct20" w:color="auto" w:fill="auto"/>
      <w:lang w:val="es-ES"/>
    </w:rPr>
  </w:style>
  <w:style w:type="paragraph" w:styleId="NormalIndent">
    <w:name w:val="Normal Indent"/>
    <w:basedOn w:val="Normal"/>
    <w:semiHidden/>
    <w:rsid w:val="00B802C6"/>
    <w:pPr>
      <w:ind w:left="720"/>
    </w:pPr>
    <w:rPr>
      <w:lang w:val="es-ES"/>
    </w:rPr>
  </w:style>
  <w:style w:type="paragraph" w:styleId="NoteHeading">
    <w:name w:val="Note Heading"/>
    <w:basedOn w:val="Normal"/>
    <w:next w:val="Normal"/>
    <w:link w:val="NoteHeadingChar"/>
    <w:semiHidden/>
    <w:rsid w:val="00B802C6"/>
    <w:rPr>
      <w:lang w:val="es-ES"/>
    </w:rPr>
  </w:style>
  <w:style w:type="character" w:customStyle="1" w:styleId="NoteHeadingChar">
    <w:name w:val="Note Heading Char"/>
    <w:basedOn w:val="DefaultParagraphFont"/>
    <w:link w:val="NoteHeading"/>
    <w:semiHidden/>
    <w:rsid w:val="00B802C6"/>
    <w:rPr>
      <w:sz w:val="22"/>
      <w:szCs w:val="22"/>
      <w:lang w:val="es-ES"/>
    </w:rPr>
  </w:style>
  <w:style w:type="character" w:customStyle="1" w:styleId="PlainTextChar">
    <w:name w:val="Plain Text Char"/>
    <w:basedOn w:val="DefaultParagraphFont"/>
    <w:link w:val="PlainText"/>
    <w:rsid w:val="00B802C6"/>
    <w:rPr>
      <w:rFonts w:ascii="Courier New" w:hAnsi="Courier New" w:cs="Courier New"/>
      <w:szCs w:val="22"/>
      <w:lang w:val="en-GB"/>
    </w:rPr>
  </w:style>
  <w:style w:type="paragraph" w:styleId="Salutation">
    <w:name w:val="Salutation"/>
    <w:basedOn w:val="Normal"/>
    <w:next w:val="Normal"/>
    <w:link w:val="SalutationChar"/>
    <w:semiHidden/>
    <w:rsid w:val="00B802C6"/>
    <w:rPr>
      <w:lang w:val="es-ES"/>
    </w:rPr>
  </w:style>
  <w:style w:type="character" w:customStyle="1" w:styleId="SalutationChar">
    <w:name w:val="Salutation Char"/>
    <w:basedOn w:val="DefaultParagraphFont"/>
    <w:link w:val="Salutation"/>
    <w:semiHidden/>
    <w:rsid w:val="00B802C6"/>
    <w:rPr>
      <w:sz w:val="22"/>
      <w:szCs w:val="22"/>
      <w:lang w:val="es-ES"/>
    </w:rPr>
  </w:style>
  <w:style w:type="paragraph" w:styleId="Signature">
    <w:name w:val="Signature"/>
    <w:basedOn w:val="Normal"/>
    <w:link w:val="SignatureChar"/>
    <w:semiHidden/>
    <w:rsid w:val="00B802C6"/>
    <w:pPr>
      <w:ind w:left="4320"/>
    </w:pPr>
    <w:rPr>
      <w:lang w:val="es-ES"/>
    </w:rPr>
  </w:style>
  <w:style w:type="character" w:customStyle="1" w:styleId="SignatureChar">
    <w:name w:val="Signature Char"/>
    <w:basedOn w:val="DefaultParagraphFont"/>
    <w:link w:val="Signature"/>
    <w:semiHidden/>
    <w:rsid w:val="00B802C6"/>
    <w:rPr>
      <w:sz w:val="22"/>
      <w:szCs w:val="22"/>
      <w:lang w:val="es-ES"/>
    </w:rPr>
  </w:style>
  <w:style w:type="character" w:styleId="Strong">
    <w:name w:val="Strong"/>
    <w:basedOn w:val="DefaultParagraphFont"/>
    <w:qFormat/>
    <w:rsid w:val="00B802C6"/>
    <w:rPr>
      <w:b/>
      <w:bCs/>
    </w:rPr>
  </w:style>
  <w:style w:type="character" w:customStyle="1" w:styleId="SubtitleChar">
    <w:name w:val="Subtitle Char"/>
    <w:basedOn w:val="DefaultParagraphFont"/>
    <w:link w:val="Subtitle"/>
    <w:rsid w:val="00B802C6"/>
    <w:rPr>
      <w:rFonts w:ascii="Arial" w:hAnsi="Arial" w:cs="Arial"/>
      <w:sz w:val="22"/>
      <w:szCs w:val="22"/>
      <w:lang w:val="en-GB"/>
    </w:rPr>
  </w:style>
  <w:style w:type="character" w:customStyle="1" w:styleId="TitleChar">
    <w:name w:val="Title Char"/>
    <w:basedOn w:val="DefaultParagraphFont"/>
    <w:link w:val="Title"/>
    <w:rsid w:val="00B802C6"/>
    <w:rPr>
      <w:rFonts w:ascii="Arial" w:hAnsi="Arial" w:cs="Arial"/>
      <w:b/>
      <w:bCs/>
      <w:kern w:val="28"/>
      <w:sz w:val="22"/>
      <w:szCs w:val="22"/>
      <w:lang w:val="en-GB"/>
    </w:rPr>
  </w:style>
  <w:style w:type="character" w:customStyle="1" w:styleId="DateChar">
    <w:name w:val="Date Char"/>
    <w:basedOn w:val="DefaultParagraphFont"/>
    <w:link w:val="Date"/>
    <w:rsid w:val="00B802C6"/>
    <w:rPr>
      <w:sz w:val="22"/>
      <w:szCs w:val="22"/>
      <w:lang w:val="en-GB"/>
    </w:rPr>
  </w:style>
  <w:style w:type="paragraph" w:customStyle="1" w:styleId="Title2">
    <w:name w:val="Title2"/>
    <w:rsid w:val="00B802C6"/>
    <w:pPr>
      <w:jc w:val="center"/>
      <w:outlineLvl w:val="0"/>
    </w:pPr>
    <w:rPr>
      <w:b/>
      <w:caps/>
      <w:sz w:val="22"/>
      <w:szCs w:val="22"/>
      <w:lang w:val="es-ES"/>
    </w:rPr>
  </w:style>
  <w:style w:type="paragraph" w:customStyle="1" w:styleId="titleChar0">
    <w:name w:val="title Char"/>
    <w:link w:val="titleCharChar"/>
    <w:rsid w:val="00B802C6"/>
    <w:pPr>
      <w:jc w:val="center"/>
      <w:outlineLvl w:val="0"/>
    </w:pPr>
    <w:rPr>
      <w:b/>
      <w:caps/>
      <w:sz w:val="24"/>
      <w:szCs w:val="22"/>
      <w:lang w:val="es-ES"/>
    </w:rPr>
  </w:style>
  <w:style w:type="character" w:customStyle="1" w:styleId="titleCharChar">
    <w:name w:val="title Char Char"/>
    <w:link w:val="titleChar0"/>
    <w:rsid w:val="00B802C6"/>
    <w:rPr>
      <w:b/>
      <w:caps/>
      <w:sz w:val="24"/>
      <w:szCs w:val="22"/>
      <w:lang w:val="es-ES"/>
    </w:rPr>
  </w:style>
  <w:style w:type="paragraph" w:customStyle="1" w:styleId="Footer1">
    <w:name w:val="Footer1"/>
    <w:basedOn w:val="Normal"/>
    <w:rsid w:val="00B802C6"/>
    <w:pPr>
      <w:widowControl w:val="0"/>
      <w:tabs>
        <w:tab w:val="center" w:pos="4320"/>
        <w:tab w:val="right" w:pos="8640"/>
        <w:tab w:val="left" w:pos="9000"/>
      </w:tabs>
      <w:jc w:val="left"/>
    </w:pPr>
    <w:rPr>
      <w:snapToGrid w:val="0"/>
      <w:sz w:val="20"/>
      <w:szCs w:val="20"/>
      <w:lang w:val="es-ES"/>
    </w:rPr>
  </w:style>
  <w:style w:type="paragraph" w:customStyle="1" w:styleId="Heading">
    <w:name w:val="Heading"/>
    <w:basedOn w:val="Header"/>
    <w:next w:val="Header"/>
    <w:rsid w:val="00B802C6"/>
    <w:pPr>
      <w:tabs>
        <w:tab w:val="clear" w:pos="4320"/>
        <w:tab w:val="clear" w:pos="8640"/>
      </w:tabs>
    </w:pPr>
    <w:rPr>
      <w:b/>
      <w:bCs/>
      <w:sz w:val="24"/>
      <w:szCs w:val="24"/>
      <w:u w:val="single"/>
      <w:lang w:val="es-ES"/>
    </w:rPr>
  </w:style>
  <w:style w:type="character" w:customStyle="1" w:styleId="0Heading0Char1">
    <w:name w:val="0 Heading 0 Char1"/>
    <w:rsid w:val="00B802C6"/>
    <w:rPr>
      <w:sz w:val="24"/>
      <w:lang w:val="es-ES" w:eastAsia="en-US" w:bidi="ar-SA"/>
    </w:rPr>
  </w:style>
  <w:style w:type="character" w:customStyle="1" w:styleId="0Heading0Char2">
    <w:name w:val="0 Heading 0 Char2"/>
    <w:rsid w:val="00B802C6"/>
    <w:rPr>
      <w:sz w:val="22"/>
      <w:szCs w:val="22"/>
      <w:lang w:val="es-ES" w:eastAsia="en-US" w:bidi="ar-SA"/>
    </w:rPr>
  </w:style>
  <w:style w:type="character" w:customStyle="1" w:styleId="Para1Char1">
    <w:name w:val="Para (1) Char1"/>
    <w:rsid w:val="00B802C6"/>
    <w:rPr>
      <w:sz w:val="24"/>
      <w:lang w:val="es-ES"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B802C6"/>
    <w:rPr>
      <w:sz w:val="24"/>
      <w:lang w:val="es-ES" w:eastAsia="en-US" w:bidi="ar-SA"/>
    </w:rPr>
  </w:style>
  <w:style w:type="paragraph" w:styleId="Revision">
    <w:name w:val="Revision"/>
    <w:hidden/>
    <w:uiPriority w:val="99"/>
    <w:semiHidden/>
    <w:rsid w:val="00B802C6"/>
    <w:rPr>
      <w:rFonts w:asciiTheme="minorHAnsi" w:eastAsiaTheme="minorEastAsia" w:hAnsiTheme="minorHAnsi" w:cstheme="minorBidi"/>
      <w:sz w:val="24"/>
      <w:szCs w:val="24"/>
      <w:lang w:val="es-ES" w:eastAsia="de-DE"/>
    </w:rPr>
  </w:style>
  <w:style w:type="paragraph" w:styleId="DocumentMap">
    <w:name w:val="Document Map"/>
    <w:basedOn w:val="Normal"/>
    <w:link w:val="DocumentMapChar"/>
    <w:uiPriority w:val="99"/>
    <w:semiHidden/>
    <w:unhideWhenUsed/>
    <w:rsid w:val="00B802C6"/>
    <w:pPr>
      <w:jc w:val="left"/>
    </w:pPr>
    <w:rPr>
      <w:rFonts w:ascii="Lucida Grande" w:eastAsiaTheme="minorEastAsia" w:hAnsi="Lucida Grande" w:cs="Lucida Grande"/>
      <w:sz w:val="24"/>
      <w:szCs w:val="24"/>
      <w:lang w:val="es-ES" w:eastAsia="de-DE"/>
    </w:rPr>
  </w:style>
  <w:style w:type="character" w:customStyle="1" w:styleId="DocumentMapChar">
    <w:name w:val="Document Map Char"/>
    <w:basedOn w:val="DefaultParagraphFont"/>
    <w:link w:val="DocumentMap"/>
    <w:uiPriority w:val="99"/>
    <w:semiHidden/>
    <w:rsid w:val="00B802C6"/>
    <w:rPr>
      <w:rFonts w:ascii="Lucida Grande" w:eastAsiaTheme="minorEastAsia" w:hAnsi="Lucida Grande" w:cs="Lucida Grande"/>
      <w:sz w:val="24"/>
      <w:szCs w:val="24"/>
      <w:lang w:val="es-ES" w:eastAsia="de-DE"/>
    </w:rPr>
  </w:style>
  <w:style w:type="paragraph" w:styleId="TOC1">
    <w:name w:val="toc 1"/>
    <w:basedOn w:val="Normal"/>
    <w:next w:val="Normal"/>
    <w:autoRedefine/>
    <w:uiPriority w:val="39"/>
    <w:unhideWhenUsed/>
    <w:rsid w:val="00B802C6"/>
    <w:pPr>
      <w:jc w:val="left"/>
    </w:pPr>
    <w:rPr>
      <w:rFonts w:asciiTheme="minorHAnsi" w:eastAsiaTheme="minorEastAsia" w:hAnsiTheme="minorHAnsi" w:cstheme="minorBidi"/>
      <w:sz w:val="24"/>
      <w:szCs w:val="24"/>
      <w:lang w:val="es-ES" w:eastAsia="de-DE"/>
    </w:rPr>
  </w:style>
  <w:style w:type="paragraph" w:styleId="TOC2">
    <w:name w:val="toc 2"/>
    <w:basedOn w:val="Normal"/>
    <w:next w:val="Normal"/>
    <w:autoRedefine/>
    <w:uiPriority w:val="39"/>
    <w:unhideWhenUsed/>
    <w:rsid w:val="00B802C6"/>
    <w:pPr>
      <w:ind w:left="240"/>
      <w:jc w:val="left"/>
    </w:pPr>
    <w:rPr>
      <w:rFonts w:asciiTheme="minorHAnsi" w:eastAsiaTheme="minorEastAsia" w:hAnsiTheme="minorHAnsi" w:cstheme="minorBidi"/>
      <w:sz w:val="24"/>
      <w:szCs w:val="24"/>
      <w:lang w:val="es-ES" w:eastAsia="de-DE"/>
    </w:rPr>
  </w:style>
  <w:style w:type="paragraph" w:styleId="TOC3">
    <w:name w:val="toc 3"/>
    <w:basedOn w:val="Normal"/>
    <w:next w:val="Normal"/>
    <w:autoRedefine/>
    <w:uiPriority w:val="39"/>
    <w:unhideWhenUsed/>
    <w:rsid w:val="00B802C6"/>
    <w:pPr>
      <w:ind w:left="480"/>
      <w:jc w:val="left"/>
    </w:pPr>
    <w:rPr>
      <w:rFonts w:asciiTheme="minorHAnsi" w:eastAsiaTheme="minorEastAsia" w:hAnsiTheme="minorHAnsi" w:cstheme="minorBidi"/>
      <w:sz w:val="24"/>
      <w:szCs w:val="24"/>
      <w:lang w:val="es-ES" w:eastAsia="de-DE"/>
    </w:rPr>
  </w:style>
  <w:style w:type="paragraph" w:styleId="TOC4">
    <w:name w:val="toc 4"/>
    <w:basedOn w:val="Normal"/>
    <w:next w:val="Normal"/>
    <w:autoRedefine/>
    <w:uiPriority w:val="39"/>
    <w:unhideWhenUsed/>
    <w:rsid w:val="00B802C6"/>
    <w:pPr>
      <w:ind w:left="720"/>
      <w:jc w:val="left"/>
    </w:pPr>
    <w:rPr>
      <w:rFonts w:asciiTheme="minorHAnsi" w:eastAsiaTheme="minorEastAsia" w:hAnsiTheme="minorHAnsi" w:cstheme="minorBidi"/>
      <w:sz w:val="24"/>
      <w:szCs w:val="24"/>
      <w:lang w:val="es-ES" w:eastAsia="de-DE"/>
    </w:rPr>
  </w:style>
  <w:style w:type="paragraph" w:styleId="TOC5">
    <w:name w:val="toc 5"/>
    <w:basedOn w:val="Normal"/>
    <w:next w:val="Normal"/>
    <w:autoRedefine/>
    <w:uiPriority w:val="39"/>
    <w:unhideWhenUsed/>
    <w:rsid w:val="00B802C6"/>
    <w:pPr>
      <w:ind w:left="960"/>
      <w:jc w:val="left"/>
    </w:pPr>
    <w:rPr>
      <w:rFonts w:asciiTheme="minorHAnsi" w:eastAsiaTheme="minorEastAsia" w:hAnsiTheme="minorHAnsi" w:cstheme="minorBidi"/>
      <w:sz w:val="24"/>
      <w:szCs w:val="24"/>
      <w:lang w:val="es-ES" w:eastAsia="de-DE"/>
    </w:rPr>
  </w:style>
  <w:style w:type="paragraph" w:styleId="TOC6">
    <w:name w:val="toc 6"/>
    <w:basedOn w:val="Normal"/>
    <w:next w:val="Normal"/>
    <w:autoRedefine/>
    <w:uiPriority w:val="39"/>
    <w:unhideWhenUsed/>
    <w:rsid w:val="00B802C6"/>
    <w:pPr>
      <w:ind w:left="1200"/>
      <w:jc w:val="left"/>
    </w:pPr>
    <w:rPr>
      <w:rFonts w:asciiTheme="minorHAnsi" w:eastAsiaTheme="minorEastAsia" w:hAnsiTheme="minorHAnsi" w:cstheme="minorBidi"/>
      <w:sz w:val="24"/>
      <w:szCs w:val="24"/>
      <w:lang w:val="es-ES" w:eastAsia="de-DE"/>
    </w:rPr>
  </w:style>
  <w:style w:type="paragraph" w:styleId="TOC7">
    <w:name w:val="toc 7"/>
    <w:basedOn w:val="Normal"/>
    <w:next w:val="Normal"/>
    <w:autoRedefine/>
    <w:uiPriority w:val="39"/>
    <w:unhideWhenUsed/>
    <w:rsid w:val="00B802C6"/>
    <w:pPr>
      <w:ind w:left="1440"/>
      <w:jc w:val="left"/>
    </w:pPr>
    <w:rPr>
      <w:rFonts w:asciiTheme="minorHAnsi" w:eastAsiaTheme="minorEastAsia" w:hAnsiTheme="minorHAnsi" w:cstheme="minorBidi"/>
      <w:sz w:val="24"/>
      <w:szCs w:val="24"/>
      <w:lang w:val="es-ES" w:eastAsia="de-DE"/>
    </w:rPr>
  </w:style>
  <w:style w:type="paragraph" w:styleId="TOC8">
    <w:name w:val="toc 8"/>
    <w:basedOn w:val="Normal"/>
    <w:next w:val="Normal"/>
    <w:autoRedefine/>
    <w:uiPriority w:val="39"/>
    <w:unhideWhenUsed/>
    <w:rsid w:val="00B802C6"/>
    <w:pPr>
      <w:ind w:left="1680"/>
      <w:jc w:val="left"/>
    </w:pPr>
    <w:rPr>
      <w:rFonts w:asciiTheme="minorHAnsi" w:eastAsiaTheme="minorEastAsia" w:hAnsiTheme="minorHAnsi" w:cstheme="minorBidi"/>
      <w:sz w:val="24"/>
      <w:szCs w:val="24"/>
      <w:lang w:val="es-ES" w:eastAsia="de-DE"/>
    </w:rPr>
  </w:style>
  <w:style w:type="paragraph" w:styleId="TOC9">
    <w:name w:val="toc 9"/>
    <w:basedOn w:val="Normal"/>
    <w:next w:val="Normal"/>
    <w:autoRedefine/>
    <w:uiPriority w:val="39"/>
    <w:unhideWhenUsed/>
    <w:rsid w:val="00B802C6"/>
    <w:pPr>
      <w:ind w:left="1920"/>
      <w:jc w:val="left"/>
    </w:pPr>
    <w:rPr>
      <w:rFonts w:asciiTheme="minorHAnsi" w:eastAsiaTheme="minorEastAsia" w:hAnsiTheme="minorHAnsi" w:cstheme="minorBidi"/>
      <w:sz w:val="24"/>
      <w:szCs w:val="24"/>
      <w:lang w:val="es-ES" w:eastAsia="de-DE"/>
    </w:rPr>
  </w:style>
  <w:style w:type="paragraph" w:customStyle="1" w:styleId="TableParagraph">
    <w:name w:val="Table Paragraph"/>
    <w:basedOn w:val="Normal"/>
    <w:uiPriority w:val="1"/>
    <w:qFormat/>
    <w:rsid w:val="00B802C6"/>
    <w:pPr>
      <w:widowControl w:val="0"/>
      <w:jc w:val="left"/>
    </w:pPr>
    <w:rPr>
      <w:rFonts w:asciiTheme="minorHAnsi" w:eastAsiaTheme="minorHAnsi" w:hAnsiTheme="minorHAnsi" w:cstheme="minorBid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B23894CCD14D948AEA729A179F515BA" ma:contentTypeVersion="5" ma:contentTypeDescription="Create a new document." ma:contentTypeScope="" ma:versionID="abef37c41c796890b00a36d15a8a5d0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UNEP/OzL.Pro/ExCom/82/66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968E90F-9E57-47B3-9568-9EEA84A8BA21}"/>
</file>

<file path=customXml/itemProps2.xml><?xml version="1.0" encoding="utf-8"?>
<ds:datastoreItem xmlns:ds="http://schemas.openxmlformats.org/officeDocument/2006/customXml" ds:itemID="{2DD80A2F-2724-4DFA-94FB-C094614BBB1F}"/>
</file>

<file path=customXml/itemProps3.xml><?xml version="1.0" encoding="utf-8"?>
<ds:datastoreItem xmlns:ds="http://schemas.openxmlformats.org/officeDocument/2006/customXml" ds:itemID="{FA423C37-297A-4000-A133-A0BBD20E04DF}"/>
</file>

<file path=customXml/itemProps4.xml><?xml version="1.0" encoding="utf-8"?>
<ds:datastoreItem xmlns:ds="http://schemas.openxmlformats.org/officeDocument/2006/customXml" ds:itemID="{6B77653F-20CE-4333-8F7A-77AAF95B32C4}"/>
</file>

<file path=docProps/app.xml><?xml version="1.0" encoding="utf-8"?>
<Properties xmlns="http://schemas.openxmlformats.org/officeDocument/2006/extended-properties" xmlns:vt="http://schemas.openxmlformats.org/officeDocument/2006/docPropsVTypes">
  <Template>normal</Template>
  <TotalTime>152</TotalTime>
  <Pages>24</Pages>
  <Words>11951</Words>
  <Characters>56299</Characters>
  <Application>Microsoft Office Word</Application>
  <DocSecurity>0</DocSecurity>
  <Lines>469</Lines>
  <Paragraphs>136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68114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Consideraciones esenciales para elaborar una metodología para determinar el punto de partida para las reducciones acumuladas sostenidas con arreglo a la Enmienda de Kigali para los sectores de consumo y producción (decisión 81/67 e))</dc:title>
  <dc:creator>Mulu Alem</dc:creator>
  <cp:lastModifiedBy>HBE</cp:lastModifiedBy>
  <cp:revision>16</cp:revision>
  <cp:lastPrinted>2001-05-26T16:40:00Z</cp:lastPrinted>
  <dcterms:created xsi:type="dcterms:W3CDTF">2018-11-06T15:21:00Z</dcterms:created>
  <dcterms:modified xsi:type="dcterms:W3CDTF">2018-11-16T16:59:00Z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UNEP/OzL.Pro/ExCom/82/66</vt:lpwstr>
  </property>
  <property fmtid="{D5CDD505-2E9C-101B-9397-08002B2CF9AE}" pid="3" name="Revision date">
    <vt:lpwstr>11/1/2018</vt:lpwstr>
  </property>
  <property fmtid="{D5CDD505-2E9C-101B-9397-08002B2CF9AE}" pid="4" name="ContentTypeId">
    <vt:lpwstr>0x010100CB23894CCD14D948AEA729A179F515BA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