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582"/>
        <w:gridCol w:w="4410"/>
      </w:tblGrid>
      <w:tr w:rsidR="00C15867" w:rsidRPr="009B0D30" w14:paraId="6B21492F" w14:textId="77777777" w:rsidTr="0083611B">
        <w:trPr>
          <w:trHeight w:val="720"/>
        </w:trPr>
        <w:tc>
          <w:tcPr>
            <w:tcW w:w="5652"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2A070A42"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B5E70EF" w14:textId="77777777" w:rsidTr="008361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4"/>
        </w:trPr>
        <w:tc>
          <w:tcPr>
            <w:tcW w:w="2070" w:type="dxa"/>
            <w:tcBorders>
              <w:top w:val="nil"/>
              <w:left w:val="nil"/>
              <w:bottom w:val="single" w:sz="36" w:space="0" w:color="auto"/>
              <w:right w:val="nil"/>
            </w:tcBorders>
          </w:tcPr>
          <w:p w14:paraId="77018DA7" w14:textId="233ED7AA" w:rsidR="00C15867" w:rsidRPr="009B0D30" w:rsidRDefault="009A60F5" w:rsidP="009C59F7">
            <w:pPr>
              <w:spacing w:before="120"/>
            </w:pPr>
            <w:r>
              <w:rPr>
                <w:noProof/>
                <w:lang w:eastAsia="en-CA"/>
              </w:rPr>
              <w:drawing>
                <wp:anchor distT="0" distB="0" distL="114300" distR="114300" simplePos="0" relativeHeight="251660288" behindDoc="0" locked="0" layoutInCell="1" allowOverlap="1" wp14:anchorId="38C6CE09" wp14:editId="1A9F0ED6">
                  <wp:simplePos x="0" y="0"/>
                  <wp:positionH relativeFrom="column">
                    <wp:posOffset>67945</wp:posOffset>
                  </wp:positionH>
                  <wp:positionV relativeFrom="paragraph">
                    <wp:posOffset>831850</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0" allowOverlap="1" wp14:anchorId="28BC53F3" wp14:editId="04F52C88">
                  <wp:simplePos x="0" y="0"/>
                  <wp:positionH relativeFrom="column">
                    <wp:posOffset>58480</wp:posOffset>
                  </wp:positionH>
                  <wp:positionV relativeFrom="paragraph">
                    <wp:posOffset>122675</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582" w:type="dxa"/>
            <w:tcBorders>
              <w:top w:val="nil"/>
              <w:left w:val="nil"/>
              <w:bottom w:val="single" w:sz="36" w:space="0" w:color="auto"/>
              <w:right w:val="nil"/>
            </w:tcBorders>
          </w:tcPr>
          <w:p w14:paraId="65532A93" w14:textId="77777777" w:rsidR="009A60F5" w:rsidRDefault="009A60F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F95AD17" w14:textId="77777777" w:rsidR="009A60F5" w:rsidRDefault="00C15867" w:rsidP="009A60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49CA42A" w14:textId="77777777" w:rsidR="009A60F5" w:rsidRDefault="00C15867" w:rsidP="009A60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Nations Unies pour</w:t>
            </w:r>
          </w:p>
          <w:p w14:paraId="4450A1A3" w14:textId="57925705" w:rsidR="00C15867" w:rsidRPr="009B0D30" w:rsidRDefault="00C15867" w:rsidP="009A60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l’environnement</w:t>
            </w:r>
          </w:p>
        </w:tc>
        <w:tc>
          <w:tcPr>
            <w:tcW w:w="4410" w:type="dxa"/>
            <w:tcBorders>
              <w:top w:val="nil"/>
              <w:left w:val="nil"/>
              <w:bottom w:val="single" w:sz="36" w:space="0" w:color="auto"/>
              <w:right w:val="nil"/>
            </w:tcBorders>
          </w:tcPr>
          <w:p w14:paraId="1C503967" w14:textId="77777777" w:rsidR="009A60F5" w:rsidRDefault="009A60F5" w:rsidP="009C59F7"/>
          <w:p w14:paraId="6455D536" w14:textId="0A3131CD" w:rsidR="00C15867" w:rsidRPr="009B0D30" w:rsidRDefault="00C15867" w:rsidP="009C59F7">
            <w:r>
              <w:t>Distr.</w:t>
            </w:r>
          </w:p>
          <w:p w14:paraId="4BE16124" w14:textId="77777777" w:rsidR="00923540" w:rsidRPr="009B0D30" w:rsidRDefault="00923540" w:rsidP="00923540">
            <w:r>
              <w:t>GÉNÉRALE</w:t>
            </w:r>
          </w:p>
          <w:p w14:paraId="20588AD5" w14:textId="77777777" w:rsidR="00C15867" w:rsidRPr="009B0D30" w:rsidRDefault="00C15867" w:rsidP="009C59F7"/>
          <w:p w14:paraId="52DBA7A0" w14:textId="76CAEE07" w:rsidR="00C15867" w:rsidRPr="009B0D30" w:rsidRDefault="009A60F5" w:rsidP="009C59F7">
            <w:fldSimple w:instr=" DOCPROPERTY &quot;Document number&quot;  \* MERGEFORMAT ">
              <w:r w:rsidR="0083611B">
                <w:t>UNEP/OzL.Pro/ExCom/97/3</w:t>
              </w:r>
            </w:fldSimple>
          </w:p>
          <w:p w14:paraId="4FBA978A" w14:textId="0283686D" w:rsidR="00C15867" w:rsidRPr="009B0D30" w:rsidRDefault="00BC2495" w:rsidP="009C59F7">
            <w:r w:rsidRPr="00841462">
              <w:fldChar w:fldCharType="begin"/>
            </w:r>
            <w:r w:rsidR="00851352" w:rsidRPr="00841462">
              <w:instrText xml:space="preserve"> DOCPROPERTY "Revision date" \@ "d MMMM YYYY"  \* MERGEFORMAT </w:instrText>
            </w:r>
            <w:r w:rsidRPr="00841462">
              <w:fldChar w:fldCharType="separate"/>
            </w:r>
            <w:r w:rsidR="009A60F5">
              <w:t>22 octobre 2025</w:t>
            </w:r>
            <w:r w:rsidRPr="00841462">
              <w:fldChar w:fldCharType="end"/>
            </w:r>
          </w:p>
          <w:p w14:paraId="445470FC" w14:textId="77777777" w:rsidR="00C15867" w:rsidRPr="009B0D30" w:rsidRDefault="00C15867" w:rsidP="009C59F7">
            <w:pPr>
              <w:rPr>
                <w:caps/>
              </w:rPr>
            </w:pPr>
          </w:p>
          <w:p w14:paraId="784F118F" w14:textId="77777777" w:rsidR="009A60F5" w:rsidRDefault="009A60F5" w:rsidP="009A60F5">
            <w:pPr>
              <w:rPr>
                <w:caps/>
              </w:rPr>
            </w:pPr>
            <w:r>
              <w:rPr>
                <w:caps/>
              </w:rPr>
              <w:t>FRANÇAIS</w:t>
            </w:r>
          </w:p>
          <w:p w14:paraId="767F43F1" w14:textId="77777777" w:rsidR="00C15867" w:rsidRPr="009B0D30" w:rsidRDefault="00C15867" w:rsidP="009C59F7">
            <w:r>
              <w:t>ORIGINAL: ANGLAIS</w:t>
            </w:r>
          </w:p>
        </w:tc>
      </w:tr>
    </w:tbl>
    <w:p w14:paraId="0AEE8616" w14:textId="2623C19F" w:rsidR="005D611E" w:rsidRDefault="005D611E" w:rsidP="005D611E">
      <w:pPr>
        <w:jc w:val="left"/>
      </w:pPr>
      <w:r>
        <w:t>COMITÉ EXÉCUTIF</w:t>
      </w:r>
      <w:r>
        <w:br/>
        <w:t xml:space="preserve"> DU FONDS MULTILATÉRAL AUX FINS</w:t>
      </w:r>
      <w:r>
        <w:br/>
        <w:t xml:space="preserve"> D’APPLICATION DU PROTOCOLE DE MONTRÉAL</w:t>
      </w:r>
      <w:r>
        <w:br/>
        <w:t>Quatre-vingt-dix-septième réunion</w:t>
      </w:r>
    </w:p>
    <w:p w14:paraId="7B9AB7F4" w14:textId="497AADB8" w:rsidR="005D611E" w:rsidRDefault="005D611E" w:rsidP="005D611E">
      <w:pPr>
        <w:jc w:val="left"/>
      </w:pPr>
      <w:r>
        <w:t>Montréal, 1-5 décembre 2025</w:t>
      </w:r>
    </w:p>
    <w:p w14:paraId="615DBCFC" w14:textId="6013D8E1" w:rsidR="008B1688" w:rsidRDefault="008B1688" w:rsidP="008B1688">
      <w:pPr>
        <w:jc w:val="left"/>
      </w:pPr>
      <w:r>
        <w:t>Point 4 b) de l’ordre du jour provisoire</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Pr>
          <w:b/>
          <w:sz w:val="24"/>
        </w:rPr>
        <w:t>ÉTAT DES CONTRIBUTIONS ET DES DÉCAISSEMENTS</w:t>
      </w:r>
    </w:p>
    <w:p w14:paraId="59BAABD0" w14:textId="1A9E512F" w:rsidR="00CB3FF8" w:rsidRDefault="00CB3FF8" w:rsidP="00CB3FF8">
      <w:pPr>
        <w:pStyle w:val="0Heading0"/>
        <w:jc w:val="center"/>
        <w:rPr>
          <w:b/>
          <w:bCs/>
        </w:rPr>
      </w:pPr>
      <w:r>
        <w:rPr>
          <w:b/>
          <w:sz w:val="24"/>
        </w:rPr>
        <w:t>Rapport du Trésorier</w:t>
      </w:r>
    </w:p>
    <w:p w14:paraId="469D2FBF" w14:textId="77777777" w:rsidR="004E6CBB" w:rsidRPr="00894AEE" w:rsidRDefault="004E6CBB" w:rsidP="00CB3FF8">
      <w:pPr>
        <w:pStyle w:val="0Heading0"/>
        <w:jc w:val="center"/>
        <w:rPr>
          <w:b/>
          <w:bCs/>
        </w:rPr>
      </w:pPr>
    </w:p>
    <w:p w14:paraId="6687389C" w14:textId="0449CB4E" w:rsidR="005C5171" w:rsidRPr="00F61CFE" w:rsidRDefault="005C5171" w:rsidP="00F61CFE">
      <w:pPr>
        <w:pStyle w:val="0Heading0"/>
        <w:rPr>
          <w:b/>
          <w:bCs/>
          <w:sz w:val="24"/>
          <w:szCs w:val="24"/>
        </w:rPr>
      </w:pPr>
      <w:r>
        <w:rPr>
          <w:b/>
          <w:sz w:val="24"/>
        </w:rPr>
        <w:t>Introduction</w:t>
      </w:r>
    </w:p>
    <w:p w14:paraId="0C9AC546" w14:textId="77777777" w:rsidR="005C5171" w:rsidRDefault="005C5171" w:rsidP="00CB3FF8">
      <w:pPr>
        <w:pStyle w:val="0Heading0"/>
        <w:jc w:val="center"/>
        <w:rPr>
          <w:b/>
          <w:bCs/>
        </w:rPr>
      </w:pPr>
    </w:p>
    <w:p w14:paraId="609A1993" w14:textId="1E09249D" w:rsidR="00D118F2" w:rsidRDefault="00CB3FF8" w:rsidP="00CB3FF8">
      <w:pPr>
        <w:pStyle w:val="Heading1"/>
      </w:pPr>
      <w:r>
        <w:t>Le présent document fournit des renseignements sur l’état du Fonds multilatéral</w:t>
      </w:r>
      <w:r w:rsidRPr="004B5029">
        <w:rPr>
          <w:rStyle w:val="FootnoteReference"/>
        </w:rPr>
        <w:footnoteReference w:id="2"/>
      </w:r>
      <w:r>
        <w:t>, tel qu’il a été consigné par le PNUE au 21 octobre 2025.</w:t>
      </w:r>
    </w:p>
    <w:p w14:paraId="54A834D5" w14:textId="359B8964" w:rsidR="00CB3FF8" w:rsidRPr="004B5029" w:rsidRDefault="00CB3FF8" w:rsidP="00FD79CE">
      <w:pPr>
        <w:pStyle w:val="Heading1"/>
      </w:pPr>
      <w:r>
        <w:t xml:space="preserve">L’annexe I </w:t>
      </w:r>
      <w:r w:rsidR="00BB5DDB">
        <w:t>a</w:t>
      </w:r>
      <w:r>
        <w:t>u présent document contient les tableaux suivants :</w:t>
      </w:r>
    </w:p>
    <w:p w14:paraId="53FFA9AB" w14:textId="42D38E94" w:rsidR="00CB3FF8" w:rsidRPr="004B5029" w:rsidRDefault="00CB3FF8" w:rsidP="00CB3FF8">
      <w:pPr>
        <w:pStyle w:val="0Heading0"/>
        <w:numPr>
          <w:ilvl w:val="0"/>
          <w:numId w:val="21"/>
        </w:numPr>
        <w:tabs>
          <w:tab w:val="clear" w:pos="2500"/>
        </w:tabs>
        <w:ind w:left="1440" w:hanging="720"/>
      </w:pPr>
      <w:r>
        <w:t>Tableau 1. État du Fonds de 1991 à 2025</w:t>
      </w:r>
    </w:p>
    <w:p w14:paraId="121CDA3E" w14:textId="555B1D2F" w:rsidR="00CB3FF8" w:rsidRPr="004B5029" w:rsidRDefault="00CB3FF8" w:rsidP="00CB3FF8">
      <w:pPr>
        <w:pStyle w:val="0Heading0"/>
        <w:numPr>
          <w:ilvl w:val="0"/>
          <w:numId w:val="21"/>
        </w:numPr>
        <w:tabs>
          <w:tab w:val="clear" w:pos="2500"/>
        </w:tabs>
        <w:ind w:left="1440" w:hanging="720"/>
        <w:jc w:val="both"/>
      </w:pPr>
      <w:r>
        <w:t>Tableau 2. Synthèse de l’état des contributions et autres revenus pour la période 1991–2025</w:t>
      </w:r>
    </w:p>
    <w:p w14:paraId="77ED3D2F" w14:textId="53E93C83" w:rsidR="00CB3FF8" w:rsidRDefault="00CB3FF8" w:rsidP="00CB3FF8">
      <w:pPr>
        <w:pStyle w:val="0Heading0"/>
        <w:numPr>
          <w:ilvl w:val="0"/>
          <w:numId w:val="21"/>
        </w:numPr>
        <w:tabs>
          <w:tab w:val="clear" w:pos="2500"/>
        </w:tabs>
        <w:ind w:left="1440" w:hanging="720"/>
      </w:pPr>
      <w:r>
        <w:t>Tableau 3. Synthèse de l’état des contributions pour la période 1991–2025</w:t>
      </w:r>
    </w:p>
    <w:p w14:paraId="465B8D20" w14:textId="5B06F901" w:rsidR="000C254C" w:rsidRDefault="000C254C" w:rsidP="000C254C">
      <w:pPr>
        <w:pStyle w:val="0Heading0"/>
        <w:numPr>
          <w:ilvl w:val="0"/>
          <w:numId w:val="21"/>
        </w:numPr>
        <w:tabs>
          <w:tab w:val="clear" w:pos="2500"/>
        </w:tabs>
        <w:ind w:left="1440" w:hanging="720"/>
        <w:jc w:val="both"/>
      </w:pPr>
      <w:r>
        <w:t>Tableau 4. État des contributions pour la période 2024–2026</w:t>
      </w:r>
    </w:p>
    <w:p w14:paraId="6FE6D399" w14:textId="62872956" w:rsidR="0062158F" w:rsidRDefault="0062158F" w:rsidP="00DF1F58">
      <w:pPr>
        <w:pStyle w:val="0Heading0"/>
        <w:numPr>
          <w:ilvl w:val="0"/>
          <w:numId w:val="21"/>
        </w:numPr>
        <w:tabs>
          <w:tab w:val="clear" w:pos="2500"/>
        </w:tabs>
        <w:ind w:left="1440" w:hanging="720"/>
        <w:jc w:val="both"/>
      </w:pPr>
      <w:r>
        <w:t>Tableau 5. État des contributions pour 2025</w:t>
      </w:r>
    </w:p>
    <w:p w14:paraId="71D5618B" w14:textId="06B2B991" w:rsidR="00210EAD" w:rsidRDefault="00BC1823" w:rsidP="006D45FC">
      <w:pPr>
        <w:pStyle w:val="0Heading0"/>
        <w:numPr>
          <w:ilvl w:val="0"/>
          <w:numId w:val="21"/>
        </w:numPr>
        <w:tabs>
          <w:tab w:val="clear" w:pos="2500"/>
        </w:tabs>
        <w:ind w:left="1440" w:hanging="720"/>
        <w:jc w:val="both"/>
      </w:pPr>
      <w:r>
        <w:t>Tableau 6. État des contributions pour 2024</w:t>
      </w:r>
    </w:p>
    <w:p w14:paraId="63512AE9" w14:textId="4D0AB546" w:rsidR="00CB3FF8" w:rsidRDefault="00CB3FF8" w:rsidP="00CB3FF8">
      <w:pPr>
        <w:pStyle w:val="0Heading0"/>
        <w:numPr>
          <w:ilvl w:val="0"/>
          <w:numId w:val="21"/>
        </w:numPr>
        <w:tabs>
          <w:tab w:val="clear" w:pos="2500"/>
        </w:tabs>
        <w:ind w:left="1440" w:hanging="720"/>
        <w:jc w:val="both"/>
      </w:pPr>
      <w:r>
        <w:t>Tableau 7. État des contributions pour la période 2021–2023</w:t>
      </w:r>
    </w:p>
    <w:p w14:paraId="092DD79D" w14:textId="594B6353" w:rsidR="002377B1" w:rsidRDefault="002377B1" w:rsidP="002377B1">
      <w:pPr>
        <w:pStyle w:val="0Heading0"/>
        <w:numPr>
          <w:ilvl w:val="0"/>
          <w:numId w:val="21"/>
        </w:numPr>
        <w:tabs>
          <w:tab w:val="clear" w:pos="2500"/>
        </w:tabs>
        <w:ind w:left="1440" w:hanging="720"/>
        <w:jc w:val="both"/>
      </w:pPr>
      <w:r>
        <w:t>Tableau 8. État des contributions pour 2023</w:t>
      </w:r>
    </w:p>
    <w:p w14:paraId="3BE809C8" w14:textId="564958E4" w:rsidR="00CB3FF8" w:rsidRDefault="00CB3FF8" w:rsidP="00CB3FF8">
      <w:pPr>
        <w:pStyle w:val="0Heading0"/>
        <w:numPr>
          <w:ilvl w:val="0"/>
          <w:numId w:val="21"/>
        </w:numPr>
        <w:tabs>
          <w:tab w:val="clear" w:pos="2500"/>
        </w:tabs>
        <w:ind w:left="1440" w:hanging="720"/>
        <w:jc w:val="both"/>
      </w:pPr>
      <w:r>
        <w:t>Tableau 9. État des contributions pour 2022</w:t>
      </w:r>
    </w:p>
    <w:p w14:paraId="4FCC0F07" w14:textId="1CF873E6" w:rsidR="00CB3FF8" w:rsidRDefault="00CB3FF8" w:rsidP="00CB3FF8">
      <w:pPr>
        <w:pStyle w:val="0Heading0"/>
        <w:numPr>
          <w:ilvl w:val="0"/>
          <w:numId w:val="21"/>
        </w:numPr>
        <w:tabs>
          <w:tab w:val="clear" w:pos="2500"/>
        </w:tabs>
        <w:ind w:left="1440" w:hanging="720"/>
        <w:jc w:val="both"/>
      </w:pPr>
      <w:r>
        <w:t>Tableau 10. État des contributions pour 2021</w:t>
      </w:r>
    </w:p>
    <w:p w14:paraId="6269636C" w14:textId="74C84BDC" w:rsidR="00CB3FF8" w:rsidRPr="004B5029" w:rsidRDefault="00CB3FF8" w:rsidP="00CB3FF8">
      <w:pPr>
        <w:pStyle w:val="0Heading0"/>
        <w:numPr>
          <w:ilvl w:val="0"/>
          <w:numId w:val="21"/>
        </w:numPr>
        <w:tabs>
          <w:tab w:val="clear" w:pos="2500"/>
        </w:tabs>
        <w:ind w:left="1440" w:hanging="720"/>
        <w:jc w:val="both"/>
      </w:pPr>
      <w:r>
        <w:t>Tableau 11. État des contributions pour la période 2018–2020</w:t>
      </w:r>
    </w:p>
    <w:p w14:paraId="001804F3" w14:textId="51ACE117" w:rsidR="00CB3FF8" w:rsidRDefault="00CB3FF8" w:rsidP="00CB3FF8">
      <w:pPr>
        <w:pStyle w:val="0Heading0"/>
        <w:numPr>
          <w:ilvl w:val="0"/>
          <w:numId w:val="21"/>
        </w:numPr>
        <w:tabs>
          <w:tab w:val="clear" w:pos="2500"/>
        </w:tabs>
        <w:ind w:left="1440" w:hanging="720"/>
        <w:jc w:val="both"/>
      </w:pPr>
      <w:r>
        <w:t>Tableau 12. État des contributions pour 2020</w:t>
      </w:r>
    </w:p>
    <w:p w14:paraId="3482822B" w14:textId="00DEC9C6" w:rsidR="00CB3FF8" w:rsidRDefault="00CB3FF8" w:rsidP="00CB3FF8">
      <w:pPr>
        <w:pStyle w:val="0Heading0"/>
        <w:numPr>
          <w:ilvl w:val="0"/>
          <w:numId w:val="21"/>
        </w:numPr>
        <w:tabs>
          <w:tab w:val="clear" w:pos="2500"/>
        </w:tabs>
        <w:ind w:left="1440" w:hanging="720"/>
        <w:jc w:val="both"/>
      </w:pPr>
      <w:r>
        <w:t>Tableau 13. État des contributions pour 2019</w:t>
      </w:r>
    </w:p>
    <w:p w14:paraId="30E62DF7" w14:textId="77777777" w:rsidR="0055678F" w:rsidRDefault="0055678F" w:rsidP="00F61CFE">
      <w:pPr>
        <w:pStyle w:val="0Heading0"/>
        <w:ind w:left="1440"/>
        <w:jc w:val="both"/>
      </w:pPr>
    </w:p>
    <w:p w14:paraId="628EA5A4" w14:textId="17C2F66A" w:rsidR="00FA2414" w:rsidRDefault="00175F3B" w:rsidP="001F0105">
      <w:pPr>
        <w:pStyle w:val="Heading1"/>
        <w:spacing w:after="0"/>
      </w:pPr>
      <w:r>
        <w:lastRenderedPageBreak/>
        <w:t>Le document inclut aussi, à l’annexe II, la liste des pays non visés à l’article 5 utilisant le mécanisme de taux de change fixe (FERM)</w:t>
      </w:r>
      <w:r w:rsidR="00822450">
        <w:rPr>
          <w:rStyle w:val="FootnoteReference"/>
        </w:rPr>
        <w:footnoteReference w:id="3"/>
      </w:r>
      <w:r>
        <w:t xml:space="preserve"> pour la période triennale 2024–2026.</w:t>
      </w:r>
    </w:p>
    <w:p w14:paraId="097E5F91" w14:textId="77777777" w:rsidR="00743BE5" w:rsidRPr="00743BE5" w:rsidRDefault="00743BE5" w:rsidP="00743BE5"/>
    <w:p w14:paraId="3483965E" w14:textId="378E85E0" w:rsidR="00737C8E" w:rsidRDefault="00737C8E" w:rsidP="001F0105">
      <w:pPr>
        <w:pStyle w:val="0Heading0"/>
        <w:tabs>
          <w:tab w:val="left" w:pos="0"/>
        </w:tabs>
        <w:jc w:val="both"/>
        <w:rPr>
          <w:b/>
          <w:bCs/>
          <w:sz w:val="24"/>
          <w:szCs w:val="24"/>
        </w:rPr>
      </w:pPr>
      <w:r>
        <w:rPr>
          <w:b/>
          <w:sz w:val="24"/>
        </w:rPr>
        <w:t>État du Fonds</w:t>
      </w:r>
    </w:p>
    <w:p w14:paraId="71B2BBD6" w14:textId="77777777" w:rsidR="00737C8E" w:rsidRPr="001F0105" w:rsidRDefault="00737C8E" w:rsidP="001F0105">
      <w:pPr>
        <w:pStyle w:val="0Heading0"/>
        <w:tabs>
          <w:tab w:val="left" w:pos="0"/>
        </w:tabs>
        <w:jc w:val="both"/>
        <w:rPr>
          <w:b/>
          <w:bCs/>
          <w:sz w:val="20"/>
          <w:szCs w:val="20"/>
        </w:rPr>
      </w:pPr>
    </w:p>
    <w:p w14:paraId="1DC21120" w14:textId="0E634D4A" w:rsidR="00CB3FF8" w:rsidRPr="00AE3FC7" w:rsidRDefault="00CB3FF8" w:rsidP="00AA6852">
      <w:pPr>
        <w:pStyle w:val="Heading1"/>
      </w:pPr>
      <w:r>
        <w:t>En date du 21 octobre 2025, le solde du Fonds est de 642 928 645 $US en espèces, après la prise en compte de tous les fonds approuvés par le Comité exécutif jusqu’à l’issue de la 96</w:t>
      </w:r>
      <w:r>
        <w:rPr>
          <w:vertAlign w:val="superscript"/>
        </w:rPr>
        <w:t>e</w:t>
      </w:r>
      <w:r>
        <w:t> réunion.</w:t>
      </w:r>
    </w:p>
    <w:p w14:paraId="3917C248" w14:textId="5024EE87" w:rsidR="00CB3FF8" w:rsidRPr="00AE3FC7" w:rsidRDefault="00CB3FF8" w:rsidP="00CB3FF8">
      <w:pPr>
        <w:pStyle w:val="Heading1"/>
      </w:pPr>
      <w:r>
        <w:t>Par suite de la décision XXXV/1 des Parties et de son annexe portant sur le barème des contributions, 38 Parties ont versé leurs contributions pour 2025. Le montant total des contributions reçues représente 92 pour cent des contributions annoncées pour l’année 2025</w:t>
      </w:r>
      <w:r w:rsidR="004E69F2" w:rsidRPr="00AE3FC7">
        <w:rPr>
          <w:rStyle w:val="FootnoteReference"/>
          <w:lang w:val="en-US"/>
        </w:rPr>
        <w:footnoteReference w:id="4"/>
      </w:r>
      <w:r>
        <w:t>.</w:t>
      </w:r>
    </w:p>
    <w:p w14:paraId="5F850CD6" w14:textId="695EE9F6" w:rsidR="00CB3FF8" w:rsidRPr="00C33342" w:rsidRDefault="00F15505" w:rsidP="007F7C3F">
      <w:pPr>
        <w:pStyle w:val="Heading1"/>
      </w:pPr>
      <w:r>
        <w:t>Par suite de la décision XXXV/2 des Parties, la prolongation du FERM pour la reconstitution du Fonds pour la période 2024</w:t>
      </w:r>
      <w:r w:rsidR="00F75DA3">
        <w:t>–</w:t>
      </w:r>
      <w:r>
        <w:t>2026 a été approuvée. Jusqu’à présent, 24 Parties ont avisé le Trésorier qu’elles opteraient pour le FERM durant la période triennale actuelle. La perte cumulée du FERM au 21 octobre 2025 s’élève à 29 652 773 $US.</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rPr>
      </w:pPr>
      <w:r>
        <w:rPr>
          <w:b/>
          <w:sz w:val="24"/>
        </w:rPr>
        <w:t>Mesures prises concernant les contributions</w:t>
      </w:r>
    </w:p>
    <w:p w14:paraId="31098D75" w14:textId="77777777" w:rsidR="001F0105" w:rsidRPr="001F0105" w:rsidRDefault="001F0105" w:rsidP="001F0105">
      <w:pPr>
        <w:rPr>
          <w:sz w:val="20"/>
          <w:szCs w:val="20"/>
          <w:lang w:val="en-US" w:bidi="hi-IN"/>
        </w:rPr>
      </w:pPr>
    </w:p>
    <w:p w14:paraId="32ABEF09" w14:textId="24583553" w:rsidR="008C081B" w:rsidRDefault="00CB3FF8" w:rsidP="00950C77">
      <w:pPr>
        <w:pStyle w:val="Heading1"/>
        <w:spacing w:after="0"/>
      </w:pPr>
      <w:r>
        <w:t>Conformément aux décisions des Parties, le Trésorier a envoyé des factures pour les contributions de 2025 au Fonds multilatéral ainsi que des lettres de rappel aux Parties qui ont des arriérés. Les efforts de suivi se poursuivront auprès des Parties qui ont des contributions en souffrance pour une ou plusieurs périodes triennales.</w:t>
      </w:r>
    </w:p>
    <w:p w14:paraId="62234A0A" w14:textId="77777777" w:rsidR="0065524E" w:rsidRPr="0065524E" w:rsidRDefault="0065524E" w:rsidP="0065524E">
      <w:pPr>
        <w:rPr>
          <w:lang w:bidi="hi-IN"/>
        </w:rPr>
      </w:pPr>
    </w:p>
    <w:p w14:paraId="6492BD61" w14:textId="11173818" w:rsidR="00CB3FF8" w:rsidRPr="001F0105" w:rsidRDefault="00CB3FF8" w:rsidP="001F0105">
      <w:pPr>
        <w:pStyle w:val="0Heading0"/>
        <w:autoSpaceDE w:val="0"/>
        <w:autoSpaceDN w:val="0"/>
        <w:adjustRightInd w:val="0"/>
        <w:spacing w:after="240"/>
        <w:jc w:val="both"/>
        <w:rPr>
          <w:b/>
          <w:bCs/>
          <w:sz w:val="24"/>
          <w:szCs w:val="24"/>
        </w:rPr>
      </w:pPr>
      <w:r>
        <w:rPr>
          <w:b/>
          <w:sz w:val="24"/>
        </w:rPr>
        <w:t>Recommandation</w:t>
      </w:r>
    </w:p>
    <w:p w14:paraId="6C7824A7" w14:textId="77777777" w:rsidR="00CB3FF8" w:rsidRPr="00BD736C" w:rsidRDefault="00CB3FF8" w:rsidP="001F0105">
      <w:pPr>
        <w:pStyle w:val="Heading1"/>
        <w:rPr>
          <w:sz w:val="20"/>
          <w:szCs w:val="20"/>
        </w:rPr>
      </w:pPr>
      <w:r>
        <w:t>Le Comité exécutif pourrait souhaiter :</w:t>
      </w:r>
    </w:p>
    <w:p w14:paraId="149309C4" w14:textId="67027243" w:rsidR="009124D5" w:rsidRPr="00A70420" w:rsidRDefault="00CB3FF8" w:rsidP="00BB5DDB">
      <w:pPr>
        <w:pStyle w:val="Heading2"/>
      </w:pPr>
      <w:r>
        <w:t>Prendre note du rapport du Trésorier sur l’état des contributions et des décaissements, figurant à l’annexe I au présent document ;</w:t>
      </w:r>
    </w:p>
    <w:p w14:paraId="6A9C4BCE" w14:textId="543D530D" w:rsidR="00E85409" w:rsidRDefault="00CB3FF8" w:rsidP="00F86D90">
      <w:pPr>
        <w:pStyle w:val="Heading2"/>
      </w:pPr>
      <w:r>
        <w:t>Demander à la Cheffe du Secrétariat et au Trésorier de poursuivre le suivi auprès des Parties ayant des contributions en souffrance pour une ou plusieurs périodes triennales, et d’en rendre compte à la 98</w:t>
      </w:r>
      <w:r>
        <w:rPr>
          <w:vertAlign w:val="superscript"/>
        </w:rPr>
        <w:t>e</w:t>
      </w:r>
      <w:r>
        <w:t> réunion ; et</w:t>
      </w:r>
    </w:p>
    <w:p w14:paraId="3F063ADF" w14:textId="63E66E9F" w:rsidR="00FD1072" w:rsidRPr="00FD1072" w:rsidRDefault="00FD1072" w:rsidP="00FD1072">
      <w:pPr>
        <w:pStyle w:val="Heading2"/>
      </w:pPr>
      <w:r>
        <w:t>Prier instamment toutes les Parties de verser leurs contributions au Fonds multilatéral en totalité et le plus tôt possible.</w:t>
      </w:r>
    </w:p>
    <w:sectPr w:rsidR="00FD1072" w:rsidRPr="00FD1072" w:rsidSect="00AF14B0">
      <w:headerReference w:type="even" r:id="rId13"/>
      <w:headerReference w:type="default" r:id="rId14"/>
      <w:footerReference w:type="even" r:id="rId15"/>
      <w:footerReference w:type="first" r:id="rId16"/>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FECB5" w14:textId="77777777" w:rsidR="00074A2E" w:rsidRDefault="00074A2E" w:rsidP="004A504B">
      <w:r>
        <w:separator/>
      </w:r>
    </w:p>
  </w:endnote>
  <w:endnote w:type="continuationSeparator" w:id="0">
    <w:p w14:paraId="52DD4101" w14:textId="77777777" w:rsidR="00074A2E" w:rsidRDefault="00074A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441773"/>
      <w:docPartObj>
        <w:docPartGallery w:val="Page Numbers (Bottom of Page)"/>
        <w:docPartUnique/>
      </w:docPartObj>
    </w:sdtPr>
    <w:sdtEndPr>
      <w:rPr>
        <w:noProof/>
      </w:rPr>
    </w:sdtEndPr>
    <w:sdtContent>
      <w:p w14:paraId="0D52CFBF" w14:textId="2AE8C2FF" w:rsidR="0083611B" w:rsidRDefault="008361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F05F" w14:textId="77777777" w:rsidR="009A60F5" w:rsidRDefault="009A60F5" w:rsidP="009A60F5">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0B7529A5" w14:textId="0144F9FE" w:rsidR="00D47476" w:rsidRPr="009A60F5" w:rsidRDefault="009A60F5" w:rsidP="009A60F5">
    <w:pPr>
      <w:pBdr>
        <w:top w:val="single" w:sz="4" w:space="1" w:color="auto"/>
        <w:left w:val="single" w:sz="4" w:space="4" w:color="auto"/>
        <w:bottom w:val="single" w:sz="4" w:space="1" w:color="auto"/>
        <w:right w:val="single" w:sz="4" w:space="4" w:color="auto"/>
      </w:pBdr>
      <w:jc w:val="center"/>
      <w:rPr>
        <w:sz w:val="18"/>
        <w:szCs w:val="18"/>
      </w:rPr>
    </w:pPr>
    <w:r>
      <w:rPr>
        <w:sz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BD620" w14:textId="77777777" w:rsidR="00074A2E" w:rsidRDefault="00074A2E" w:rsidP="004A504B">
      <w:r>
        <w:separator/>
      </w:r>
    </w:p>
  </w:footnote>
  <w:footnote w:type="continuationSeparator" w:id="0">
    <w:p w14:paraId="180DE9DD" w14:textId="77777777" w:rsidR="00074A2E" w:rsidRDefault="00074A2E" w:rsidP="004A504B">
      <w:r>
        <w:continuationSeparator/>
      </w:r>
    </w:p>
  </w:footnote>
  <w:footnote w:id="1">
    <w:p w14:paraId="6427E7CF" w14:textId="37CEFCD4" w:rsidR="008B1688" w:rsidRPr="00B60240" w:rsidRDefault="008B1688" w:rsidP="008B1688">
      <w:pPr>
        <w:pStyle w:val="FootnoteText"/>
      </w:pPr>
      <w:r>
        <w:rPr>
          <w:rStyle w:val="FootnoteReference"/>
        </w:rPr>
        <w:footnoteRef/>
      </w:r>
      <w:r>
        <w:t> UNEP/OzL.Pro/ExCom/97/1</w:t>
      </w:r>
    </w:p>
  </w:footnote>
  <w:footnote w:id="2">
    <w:p w14:paraId="04942D3E" w14:textId="77777777" w:rsidR="00CB3FF8" w:rsidRPr="004B5029" w:rsidRDefault="00CB3FF8" w:rsidP="00CB3FF8">
      <w:pPr>
        <w:pStyle w:val="FootnoteText"/>
      </w:pPr>
      <w:r>
        <w:rPr>
          <w:rStyle w:val="FootnoteReference"/>
        </w:rPr>
        <w:footnoteRef/>
      </w:r>
      <w:r>
        <w:t> Le Comité exécutif a demandé à ce que l’explication de la méthodologie et des hypothèses utilisées par le Trésorier soient mises en ligne sur l’intranet (décision 40/2 b) i)). Cet exposé des hypothèses et de la méthodologie, publié pour la première fois dans le rapport du Trésorier correspondant au document UNEP/OzL.Pro/ExCom/39/3/Rev.1, est encore à la disposition des membres du Comité exécutif, à titre de référence, dans la zone d’accès restreint du site web du Fonds multilatéral.</w:t>
      </w:r>
    </w:p>
  </w:footnote>
  <w:footnote w:id="3">
    <w:p w14:paraId="33109AE7" w14:textId="1A2EB463" w:rsidR="00822450" w:rsidRPr="00822450" w:rsidRDefault="00822450" w:rsidP="002D492C">
      <w:pPr>
        <w:autoSpaceDE w:val="0"/>
        <w:autoSpaceDN w:val="0"/>
        <w:adjustRightInd w:val="0"/>
      </w:pPr>
      <w:r>
        <w:rPr>
          <w:rStyle w:val="FootnoteReference"/>
        </w:rPr>
        <w:footnoteRef/>
      </w:r>
      <w:r>
        <w:t> </w:t>
      </w:r>
      <w:r>
        <w:rPr>
          <w:rFonts w:ascii="TimesNewRomanPSMT" w:hAnsi="TimesNewRomanPSMT"/>
          <w:sz w:val="20"/>
        </w:rPr>
        <w:t>Les Parties ont demandé au Trésorier de prolonger le FERM pour la période 2024</w:t>
      </w:r>
      <w:r>
        <w:rPr>
          <w:rFonts w:ascii="TimesNewRomanPSMT" w:hAnsi="TimesNewRomanPSMT"/>
          <w:sz w:val="20"/>
        </w:rPr>
        <w:noBreakHyphen/>
        <w:t>2026 (décision XXXV/2).</w:t>
      </w:r>
    </w:p>
  </w:footnote>
  <w:footnote w:id="4">
    <w:p w14:paraId="466BD32D" w14:textId="5E6BAFD9" w:rsidR="004E69F2" w:rsidRPr="00BD736C" w:rsidRDefault="004E69F2" w:rsidP="0055678F">
      <w:pPr>
        <w:pStyle w:val="FootnoteText"/>
      </w:pPr>
      <w:r>
        <w:rPr>
          <w:rStyle w:val="FootnoteReference"/>
        </w:rPr>
        <w:footnoteRef/>
      </w:r>
      <w:r>
        <w:t> En réponse à la décision 41/2, la liste des contributions en souffrance de certains pays a économie en transition sera disponible sur demande.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E105" w14:textId="18EE5A7D" w:rsidR="00612301" w:rsidRDefault="00612301" w:rsidP="008B2B6F">
    <w:pPr>
      <w:pStyle w:val="Header"/>
      <w:jc w:val="left"/>
    </w:pPr>
    <w:r>
      <w:t>UNEP/OzL.Pro/ExCom/97/3</w:t>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UNEP/OzL.Pro/ExCom/94/3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9CB6F4"/>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21036"/>
    <w:rsid w:val="000211A9"/>
    <w:rsid w:val="00021238"/>
    <w:rsid w:val="00022EC9"/>
    <w:rsid w:val="0002513D"/>
    <w:rsid w:val="00025382"/>
    <w:rsid w:val="00031260"/>
    <w:rsid w:val="00031FEB"/>
    <w:rsid w:val="00033BE7"/>
    <w:rsid w:val="00034D70"/>
    <w:rsid w:val="00036453"/>
    <w:rsid w:val="0003681A"/>
    <w:rsid w:val="000372B7"/>
    <w:rsid w:val="000378C8"/>
    <w:rsid w:val="00045B05"/>
    <w:rsid w:val="000461E7"/>
    <w:rsid w:val="00047C28"/>
    <w:rsid w:val="00050F6E"/>
    <w:rsid w:val="00052EB4"/>
    <w:rsid w:val="00053EEF"/>
    <w:rsid w:val="00054C97"/>
    <w:rsid w:val="00061EC2"/>
    <w:rsid w:val="0006355F"/>
    <w:rsid w:val="00065DD7"/>
    <w:rsid w:val="00066AC2"/>
    <w:rsid w:val="00066CE8"/>
    <w:rsid w:val="00074A2E"/>
    <w:rsid w:val="0007542A"/>
    <w:rsid w:val="000761DA"/>
    <w:rsid w:val="00080ED0"/>
    <w:rsid w:val="00081759"/>
    <w:rsid w:val="000851FA"/>
    <w:rsid w:val="00085B8F"/>
    <w:rsid w:val="00090481"/>
    <w:rsid w:val="000A0F6C"/>
    <w:rsid w:val="000A27F5"/>
    <w:rsid w:val="000A3074"/>
    <w:rsid w:val="000A3826"/>
    <w:rsid w:val="000A41C4"/>
    <w:rsid w:val="000A62F7"/>
    <w:rsid w:val="000A6C26"/>
    <w:rsid w:val="000A7D62"/>
    <w:rsid w:val="000B04E7"/>
    <w:rsid w:val="000B08FB"/>
    <w:rsid w:val="000B64FC"/>
    <w:rsid w:val="000C0898"/>
    <w:rsid w:val="000C254C"/>
    <w:rsid w:val="000C3B90"/>
    <w:rsid w:val="000C4836"/>
    <w:rsid w:val="000D0F0E"/>
    <w:rsid w:val="000D4FE7"/>
    <w:rsid w:val="000D52A4"/>
    <w:rsid w:val="000D638D"/>
    <w:rsid w:val="000D7120"/>
    <w:rsid w:val="000E07BC"/>
    <w:rsid w:val="000E3DF9"/>
    <w:rsid w:val="000E52E4"/>
    <w:rsid w:val="000E7E06"/>
    <w:rsid w:val="000F104C"/>
    <w:rsid w:val="000F10F9"/>
    <w:rsid w:val="000F1CD4"/>
    <w:rsid w:val="000F307E"/>
    <w:rsid w:val="000F319C"/>
    <w:rsid w:val="000F4103"/>
    <w:rsid w:val="000F5099"/>
    <w:rsid w:val="000F528E"/>
    <w:rsid w:val="000F70A7"/>
    <w:rsid w:val="001001B6"/>
    <w:rsid w:val="001074AB"/>
    <w:rsid w:val="00111566"/>
    <w:rsid w:val="00113CCA"/>
    <w:rsid w:val="0011422D"/>
    <w:rsid w:val="00117E5C"/>
    <w:rsid w:val="0012184C"/>
    <w:rsid w:val="00122EB5"/>
    <w:rsid w:val="00122F25"/>
    <w:rsid w:val="00135980"/>
    <w:rsid w:val="00135DAA"/>
    <w:rsid w:val="0013782A"/>
    <w:rsid w:val="0013786F"/>
    <w:rsid w:val="00140EA2"/>
    <w:rsid w:val="00142D07"/>
    <w:rsid w:val="0014772C"/>
    <w:rsid w:val="00153C64"/>
    <w:rsid w:val="00153E52"/>
    <w:rsid w:val="001617BD"/>
    <w:rsid w:val="00164719"/>
    <w:rsid w:val="00165363"/>
    <w:rsid w:val="00166FC4"/>
    <w:rsid w:val="00167042"/>
    <w:rsid w:val="001674DA"/>
    <w:rsid w:val="001677AC"/>
    <w:rsid w:val="00175F3B"/>
    <w:rsid w:val="001761C6"/>
    <w:rsid w:val="001762B6"/>
    <w:rsid w:val="00176CFA"/>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0105"/>
    <w:rsid w:val="001F2159"/>
    <w:rsid w:val="001F53FD"/>
    <w:rsid w:val="001F6A5A"/>
    <w:rsid w:val="00203093"/>
    <w:rsid w:val="00210B8B"/>
    <w:rsid w:val="00210EAD"/>
    <w:rsid w:val="00211D43"/>
    <w:rsid w:val="00214863"/>
    <w:rsid w:val="002156B4"/>
    <w:rsid w:val="00224FCD"/>
    <w:rsid w:val="00226F80"/>
    <w:rsid w:val="00230B98"/>
    <w:rsid w:val="00233749"/>
    <w:rsid w:val="00235140"/>
    <w:rsid w:val="002377B1"/>
    <w:rsid w:val="00237813"/>
    <w:rsid w:val="002407C4"/>
    <w:rsid w:val="00241B22"/>
    <w:rsid w:val="00242578"/>
    <w:rsid w:val="002426A0"/>
    <w:rsid w:val="00243843"/>
    <w:rsid w:val="00253222"/>
    <w:rsid w:val="00253FE2"/>
    <w:rsid w:val="002564BD"/>
    <w:rsid w:val="0026017B"/>
    <w:rsid w:val="00261B54"/>
    <w:rsid w:val="00261C13"/>
    <w:rsid w:val="00262847"/>
    <w:rsid w:val="00267A4D"/>
    <w:rsid w:val="00275158"/>
    <w:rsid w:val="0027558F"/>
    <w:rsid w:val="00281BB2"/>
    <w:rsid w:val="002822A3"/>
    <w:rsid w:val="0028518B"/>
    <w:rsid w:val="002869FA"/>
    <w:rsid w:val="00287D2C"/>
    <w:rsid w:val="002957D7"/>
    <w:rsid w:val="00296E7A"/>
    <w:rsid w:val="002A03C3"/>
    <w:rsid w:val="002A53B7"/>
    <w:rsid w:val="002A7E87"/>
    <w:rsid w:val="002B254E"/>
    <w:rsid w:val="002B3CFD"/>
    <w:rsid w:val="002B4A18"/>
    <w:rsid w:val="002B52E1"/>
    <w:rsid w:val="002B5AC4"/>
    <w:rsid w:val="002B72E9"/>
    <w:rsid w:val="002B7CBD"/>
    <w:rsid w:val="002C14AB"/>
    <w:rsid w:val="002C2507"/>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6E1"/>
    <w:rsid w:val="003320E4"/>
    <w:rsid w:val="00332866"/>
    <w:rsid w:val="0033525D"/>
    <w:rsid w:val="00336257"/>
    <w:rsid w:val="003414F3"/>
    <w:rsid w:val="00341788"/>
    <w:rsid w:val="00347456"/>
    <w:rsid w:val="00355829"/>
    <w:rsid w:val="0035613E"/>
    <w:rsid w:val="003579B3"/>
    <w:rsid w:val="00360178"/>
    <w:rsid w:val="00363EE9"/>
    <w:rsid w:val="003665DF"/>
    <w:rsid w:val="0037332D"/>
    <w:rsid w:val="003742CD"/>
    <w:rsid w:val="00376128"/>
    <w:rsid w:val="0037742E"/>
    <w:rsid w:val="00377D56"/>
    <w:rsid w:val="0038245A"/>
    <w:rsid w:val="003836D0"/>
    <w:rsid w:val="003840E6"/>
    <w:rsid w:val="00385CFC"/>
    <w:rsid w:val="00392015"/>
    <w:rsid w:val="0039337A"/>
    <w:rsid w:val="00394CB4"/>
    <w:rsid w:val="003A3189"/>
    <w:rsid w:val="003A3CA7"/>
    <w:rsid w:val="003A3FEF"/>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3F4E3E"/>
    <w:rsid w:val="003F58B6"/>
    <w:rsid w:val="003F7489"/>
    <w:rsid w:val="004009D8"/>
    <w:rsid w:val="00401D3B"/>
    <w:rsid w:val="00406202"/>
    <w:rsid w:val="00406A6A"/>
    <w:rsid w:val="00406B22"/>
    <w:rsid w:val="0040734D"/>
    <w:rsid w:val="0041480F"/>
    <w:rsid w:val="00415F2C"/>
    <w:rsid w:val="004176C6"/>
    <w:rsid w:val="00417B4F"/>
    <w:rsid w:val="00423424"/>
    <w:rsid w:val="004249B2"/>
    <w:rsid w:val="004275D4"/>
    <w:rsid w:val="00430DC4"/>
    <w:rsid w:val="0043146F"/>
    <w:rsid w:val="004328A7"/>
    <w:rsid w:val="00434C74"/>
    <w:rsid w:val="00437240"/>
    <w:rsid w:val="00437F09"/>
    <w:rsid w:val="00440F2D"/>
    <w:rsid w:val="004461D5"/>
    <w:rsid w:val="00447189"/>
    <w:rsid w:val="00453386"/>
    <w:rsid w:val="004539C9"/>
    <w:rsid w:val="00456EB4"/>
    <w:rsid w:val="00457827"/>
    <w:rsid w:val="004622A7"/>
    <w:rsid w:val="0046365D"/>
    <w:rsid w:val="00463F86"/>
    <w:rsid w:val="004718F3"/>
    <w:rsid w:val="00471D11"/>
    <w:rsid w:val="00474A7A"/>
    <w:rsid w:val="00475040"/>
    <w:rsid w:val="004820A5"/>
    <w:rsid w:val="00483DBA"/>
    <w:rsid w:val="00493B7E"/>
    <w:rsid w:val="00493D40"/>
    <w:rsid w:val="00493EE3"/>
    <w:rsid w:val="00495342"/>
    <w:rsid w:val="004967B6"/>
    <w:rsid w:val="004A3408"/>
    <w:rsid w:val="004A504B"/>
    <w:rsid w:val="004A6911"/>
    <w:rsid w:val="004B04B3"/>
    <w:rsid w:val="004B0DEC"/>
    <w:rsid w:val="004B16E0"/>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530F"/>
    <w:rsid w:val="004E69F2"/>
    <w:rsid w:val="004E6CBB"/>
    <w:rsid w:val="004E73DB"/>
    <w:rsid w:val="004E7F9C"/>
    <w:rsid w:val="004F3493"/>
    <w:rsid w:val="004F3ED9"/>
    <w:rsid w:val="004F4E18"/>
    <w:rsid w:val="004F5143"/>
    <w:rsid w:val="00502723"/>
    <w:rsid w:val="00502A2A"/>
    <w:rsid w:val="005030AC"/>
    <w:rsid w:val="005035FB"/>
    <w:rsid w:val="005129F0"/>
    <w:rsid w:val="00512B09"/>
    <w:rsid w:val="00512FF8"/>
    <w:rsid w:val="00516F13"/>
    <w:rsid w:val="00521D1C"/>
    <w:rsid w:val="005220ED"/>
    <w:rsid w:val="00533796"/>
    <w:rsid w:val="00533C65"/>
    <w:rsid w:val="00536038"/>
    <w:rsid w:val="00537343"/>
    <w:rsid w:val="00543102"/>
    <w:rsid w:val="005438A3"/>
    <w:rsid w:val="00546901"/>
    <w:rsid w:val="00546914"/>
    <w:rsid w:val="00547B99"/>
    <w:rsid w:val="005511FD"/>
    <w:rsid w:val="005542A7"/>
    <w:rsid w:val="00555D75"/>
    <w:rsid w:val="0055678F"/>
    <w:rsid w:val="00560634"/>
    <w:rsid w:val="00560DF0"/>
    <w:rsid w:val="00560EAC"/>
    <w:rsid w:val="00561B30"/>
    <w:rsid w:val="00562ABF"/>
    <w:rsid w:val="0056759C"/>
    <w:rsid w:val="00567E34"/>
    <w:rsid w:val="00572EFC"/>
    <w:rsid w:val="0057553F"/>
    <w:rsid w:val="00575EED"/>
    <w:rsid w:val="00583A29"/>
    <w:rsid w:val="005840A6"/>
    <w:rsid w:val="00590514"/>
    <w:rsid w:val="00591EB1"/>
    <w:rsid w:val="0059513E"/>
    <w:rsid w:val="005963A7"/>
    <w:rsid w:val="005A13D2"/>
    <w:rsid w:val="005A2FB4"/>
    <w:rsid w:val="005A3C61"/>
    <w:rsid w:val="005A6AA4"/>
    <w:rsid w:val="005A6D9F"/>
    <w:rsid w:val="005B48FF"/>
    <w:rsid w:val="005B5B19"/>
    <w:rsid w:val="005C1E32"/>
    <w:rsid w:val="005C5171"/>
    <w:rsid w:val="005D34D2"/>
    <w:rsid w:val="005D363F"/>
    <w:rsid w:val="005D5F9E"/>
    <w:rsid w:val="005D60CA"/>
    <w:rsid w:val="005D611E"/>
    <w:rsid w:val="005D7CED"/>
    <w:rsid w:val="005E0129"/>
    <w:rsid w:val="005F2E28"/>
    <w:rsid w:val="005F3E81"/>
    <w:rsid w:val="00604C15"/>
    <w:rsid w:val="006119BB"/>
    <w:rsid w:val="00612301"/>
    <w:rsid w:val="006158D5"/>
    <w:rsid w:val="0062158F"/>
    <w:rsid w:val="006244F1"/>
    <w:rsid w:val="00625D83"/>
    <w:rsid w:val="006277CF"/>
    <w:rsid w:val="006329BB"/>
    <w:rsid w:val="00632E04"/>
    <w:rsid w:val="00634570"/>
    <w:rsid w:val="00634D59"/>
    <w:rsid w:val="00640383"/>
    <w:rsid w:val="006407A6"/>
    <w:rsid w:val="00641DC3"/>
    <w:rsid w:val="006541A1"/>
    <w:rsid w:val="0065524E"/>
    <w:rsid w:val="00655A0B"/>
    <w:rsid w:val="00655AE5"/>
    <w:rsid w:val="00655F8C"/>
    <w:rsid w:val="006600A7"/>
    <w:rsid w:val="006623E7"/>
    <w:rsid w:val="00662B80"/>
    <w:rsid w:val="00664A0E"/>
    <w:rsid w:val="00670ADD"/>
    <w:rsid w:val="00670F6C"/>
    <w:rsid w:val="00673C68"/>
    <w:rsid w:val="006755B2"/>
    <w:rsid w:val="00675E0E"/>
    <w:rsid w:val="00676E58"/>
    <w:rsid w:val="00680FF2"/>
    <w:rsid w:val="00683990"/>
    <w:rsid w:val="00683C58"/>
    <w:rsid w:val="006852C7"/>
    <w:rsid w:val="006852CE"/>
    <w:rsid w:val="006918F9"/>
    <w:rsid w:val="00692D14"/>
    <w:rsid w:val="006A46C9"/>
    <w:rsid w:val="006B115D"/>
    <w:rsid w:val="006B21CB"/>
    <w:rsid w:val="006B3A2C"/>
    <w:rsid w:val="006B65C7"/>
    <w:rsid w:val="006C1727"/>
    <w:rsid w:val="006C32FD"/>
    <w:rsid w:val="006C39CE"/>
    <w:rsid w:val="006D0FCC"/>
    <w:rsid w:val="006D21F5"/>
    <w:rsid w:val="006D3089"/>
    <w:rsid w:val="006D65FD"/>
    <w:rsid w:val="006D7707"/>
    <w:rsid w:val="006E126D"/>
    <w:rsid w:val="006E1FC3"/>
    <w:rsid w:val="006E5670"/>
    <w:rsid w:val="006F236A"/>
    <w:rsid w:val="006F43F9"/>
    <w:rsid w:val="0070344C"/>
    <w:rsid w:val="00704CE9"/>
    <w:rsid w:val="0070616B"/>
    <w:rsid w:val="00706295"/>
    <w:rsid w:val="00706FDA"/>
    <w:rsid w:val="00711F9A"/>
    <w:rsid w:val="00712B73"/>
    <w:rsid w:val="00713810"/>
    <w:rsid w:val="00725498"/>
    <w:rsid w:val="007303A5"/>
    <w:rsid w:val="00730B3E"/>
    <w:rsid w:val="0073420B"/>
    <w:rsid w:val="00736367"/>
    <w:rsid w:val="00737C8E"/>
    <w:rsid w:val="00743BD6"/>
    <w:rsid w:val="00743BE5"/>
    <w:rsid w:val="00746DFC"/>
    <w:rsid w:val="0074760E"/>
    <w:rsid w:val="00754ABA"/>
    <w:rsid w:val="00754BC0"/>
    <w:rsid w:val="007566DA"/>
    <w:rsid w:val="007608DA"/>
    <w:rsid w:val="00764A26"/>
    <w:rsid w:val="00782B0D"/>
    <w:rsid w:val="00784F59"/>
    <w:rsid w:val="007A028A"/>
    <w:rsid w:val="007A1546"/>
    <w:rsid w:val="007A228C"/>
    <w:rsid w:val="007A368E"/>
    <w:rsid w:val="007A47E1"/>
    <w:rsid w:val="007A5868"/>
    <w:rsid w:val="007A603F"/>
    <w:rsid w:val="007A7B1A"/>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E1394"/>
    <w:rsid w:val="007E2387"/>
    <w:rsid w:val="007E4DC7"/>
    <w:rsid w:val="007F7C3F"/>
    <w:rsid w:val="00801715"/>
    <w:rsid w:val="008029D2"/>
    <w:rsid w:val="00804BAF"/>
    <w:rsid w:val="00806000"/>
    <w:rsid w:val="008163BE"/>
    <w:rsid w:val="00821508"/>
    <w:rsid w:val="00822450"/>
    <w:rsid w:val="0082282C"/>
    <w:rsid w:val="0082370B"/>
    <w:rsid w:val="00823A94"/>
    <w:rsid w:val="00825EE0"/>
    <w:rsid w:val="0083055B"/>
    <w:rsid w:val="00830E96"/>
    <w:rsid w:val="00831979"/>
    <w:rsid w:val="008345C5"/>
    <w:rsid w:val="00835E07"/>
    <w:rsid w:val="0083611B"/>
    <w:rsid w:val="00840C1C"/>
    <w:rsid w:val="00841462"/>
    <w:rsid w:val="008434C2"/>
    <w:rsid w:val="00851352"/>
    <w:rsid w:val="00857077"/>
    <w:rsid w:val="008579B0"/>
    <w:rsid w:val="00863230"/>
    <w:rsid w:val="00864726"/>
    <w:rsid w:val="00865BD0"/>
    <w:rsid w:val="008717D8"/>
    <w:rsid w:val="00871BF6"/>
    <w:rsid w:val="0087215C"/>
    <w:rsid w:val="00875D25"/>
    <w:rsid w:val="008760C9"/>
    <w:rsid w:val="00880E35"/>
    <w:rsid w:val="00882306"/>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D63E6"/>
    <w:rsid w:val="008E3AE2"/>
    <w:rsid w:val="008E63B5"/>
    <w:rsid w:val="008E7BA9"/>
    <w:rsid w:val="008F0F81"/>
    <w:rsid w:val="008F27BF"/>
    <w:rsid w:val="009124D5"/>
    <w:rsid w:val="0091291C"/>
    <w:rsid w:val="009142EC"/>
    <w:rsid w:val="009154C3"/>
    <w:rsid w:val="009162C5"/>
    <w:rsid w:val="00923540"/>
    <w:rsid w:val="00926767"/>
    <w:rsid w:val="00934AC5"/>
    <w:rsid w:val="009361D5"/>
    <w:rsid w:val="00937400"/>
    <w:rsid w:val="00937904"/>
    <w:rsid w:val="00937B59"/>
    <w:rsid w:val="00941251"/>
    <w:rsid w:val="009422A9"/>
    <w:rsid w:val="009428A4"/>
    <w:rsid w:val="009437D8"/>
    <w:rsid w:val="00943C9E"/>
    <w:rsid w:val="00944354"/>
    <w:rsid w:val="00946226"/>
    <w:rsid w:val="00946458"/>
    <w:rsid w:val="009474BC"/>
    <w:rsid w:val="00950907"/>
    <w:rsid w:val="00950C77"/>
    <w:rsid w:val="00951345"/>
    <w:rsid w:val="009557D5"/>
    <w:rsid w:val="00961812"/>
    <w:rsid w:val="00962ED5"/>
    <w:rsid w:val="009659F4"/>
    <w:rsid w:val="00970D60"/>
    <w:rsid w:val="00971695"/>
    <w:rsid w:val="00971774"/>
    <w:rsid w:val="009759B2"/>
    <w:rsid w:val="00976107"/>
    <w:rsid w:val="00981199"/>
    <w:rsid w:val="00983FD9"/>
    <w:rsid w:val="0099390E"/>
    <w:rsid w:val="00994E2F"/>
    <w:rsid w:val="009960E5"/>
    <w:rsid w:val="009A60F5"/>
    <w:rsid w:val="009A61F2"/>
    <w:rsid w:val="009A7ADC"/>
    <w:rsid w:val="009B0D30"/>
    <w:rsid w:val="009B3B6A"/>
    <w:rsid w:val="009B71D3"/>
    <w:rsid w:val="009C19B7"/>
    <w:rsid w:val="009C54EA"/>
    <w:rsid w:val="009C5ABB"/>
    <w:rsid w:val="009D0DAA"/>
    <w:rsid w:val="009D2682"/>
    <w:rsid w:val="009D3C9E"/>
    <w:rsid w:val="009D7C51"/>
    <w:rsid w:val="009D7E7D"/>
    <w:rsid w:val="009E107D"/>
    <w:rsid w:val="009E196C"/>
    <w:rsid w:val="009E599E"/>
    <w:rsid w:val="009E7A1B"/>
    <w:rsid w:val="009F2D86"/>
    <w:rsid w:val="009F36BF"/>
    <w:rsid w:val="009F3CA2"/>
    <w:rsid w:val="009F48D0"/>
    <w:rsid w:val="00A03A9D"/>
    <w:rsid w:val="00A045F9"/>
    <w:rsid w:val="00A04738"/>
    <w:rsid w:val="00A04F92"/>
    <w:rsid w:val="00A06CCD"/>
    <w:rsid w:val="00A111B6"/>
    <w:rsid w:val="00A14859"/>
    <w:rsid w:val="00A14EC5"/>
    <w:rsid w:val="00A16773"/>
    <w:rsid w:val="00A23ADA"/>
    <w:rsid w:val="00A25F8E"/>
    <w:rsid w:val="00A26D27"/>
    <w:rsid w:val="00A270F5"/>
    <w:rsid w:val="00A34E7D"/>
    <w:rsid w:val="00A376EE"/>
    <w:rsid w:val="00A423FD"/>
    <w:rsid w:val="00A42A99"/>
    <w:rsid w:val="00A50653"/>
    <w:rsid w:val="00A5151A"/>
    <w:rsid w:val="00A53BE2"/>
    <w:rsid w:val="00A55D11"/>
    <w:rsid w:val="00A57E0A"/>
    <w:rsid w:val="00A70420"/>
    <w:rsid w:val="00A723FD"/>
    <w:rsid w:val="00A73C23"/>
    <w:rsid w:val="00A74CBD"/>
    <w:rsid w:val="00A823F6"/>
    <w:rsid w:val="00A83380"/>
    <w:rsid w:val="00A8719E"/>
    <w:rsid w:val="00A9737D"/>
    <w:rsid w:val="00AA0A89"/>
    <w:rsid w:val="00AA1F53"/>
    <w:rsid w:val="00AA32CE"/>
    <w:rsid w:val="00AA4A6C"/>
    <w:rsid w:val="00AA5368"/>
    <w:rsid w:val="00AA6429"/>
    <w:rsid w:val="00AA650B"/>
    <w:rsid w:val="00AA6852"/>
    <w:rsid w:val="00AA6A95"/>
    <w:rsid w:val="00AA7C8B"/>
    <w:rsid w:val="00AB4009"/>
    <w:rsid w:val="00AB66DC"/>
    <w:rsid w:val="00AC01AA"/>
    <w:rsid w:val="00AC1127"/>
    <w:rsid w:val="00AC37D1"/>
    <w:rsid w:val="00AC38D1"/>
    <w:rsid w:val="00AC4F72"/>
    <w:rsid w:val="00AC549E"/>
    <w:rsid w:val="00AC629F"/>
    <w:rsid w:val="00AD244D"/>
    <w:rsid w:val="00AD2C08"/>
    <w:rsid w:val="00AD2CDC"/>
    <w:rsid w:val="00AD5846"/>
    <w:rsid w:val="00AD6F0D"/>
    <w:rsid w:val="00AD79FC"/>
    <w:rsid w:val="00AE3195"/>
    <w:rsid w:val="00AE3FC7"/>
    <w:rsid w:val="00AF14B0"/>
    <w:rsid w:val="00AF1C2B"/>
    <w:rsid w:val="00AF2579"/>
    <w:rsid w:val="00AF741A"/>
    <w:rsid w:val="00AF7A18"/>
    <w:rsid w:val="00B01ADB"/>
    <w:rsid w:val="00B02634"/>
    <w:rsid w:val="00B04161"/>
    <w:rsid w:val="00B056F9"/>
    <w:rsid w:val="00B073EE"/>
    <w:rsid w:val="00B11E3D"/>
    <w:rsid w:val="00B11E6E"/>
    <w:rsid w:val="00B124FF"/>
    <w:rsid w:val="00B14D2C"/>
    <w:rsid w:val="00B16690"/>
    <w:rsid w:val="00B16E07"/>
    <w:rsid w:val="00B17E82"/>
    <w:rsid w:val="00B22A2F"/>
    <w:rsid w:val="00B2503F"/>
    <w:rsid w:val="00B36E15"/>
    <w:rsid w:val="00B4575A"/>
    <w:rsid w:val="00B463FE"/>
    <w:rsid w:val="00B51B1F"/>
    <w:rsid w:val="00B556A3"/>
    <w:rsid w:val="00B575BA"/>
    <w:rsid w:val="00B60544"/>
    <w:rsid w:val="00B71388"/>
    <w:rsid w:val="00B71608"/>
    <w:rsid w:val="00B76429"/>
    <w:rsid w:val="00B809E7"/>
    <w:rsid w:val="00B81C1C"/>
    <w:rsid w:val="00B83AF8"/>
    <w:rsid w:val="00B84C02"/>
    <w:rsid w:val="00B8577E"/>
    <w:rsid w:val="00B86471"/>
    <w:rsid w:val="00B86B65"/>
    <w:rsid w:val="00B86D32"/>
    <w:rsid w:val="00B91E1D"/>
    <w:rsid w:val="00B956D4"/>
    <w:rsid w:val="00B9711E"/>
    <w:rsid w:val="00B97446"/>
    <w:rsid w:val="00B97F62"/>
    <w:rsid w:val="00BA5CFD"/>
    <w:rsid w:val="00BA6700"/>
    <w:rsid w:val="00BA7432"/>
    <w:rsid w:val="00BB2116"/>
    <w:rsid w:val="00BB2764"/>
    <w:rsid w:val="00BB5DDB"/>
    <w:rsid w:val="00BC1823"/>
    <w:rsid w:val="00BC1AA0"/>
    <w:rsid w:val="00BC2495"/>
    <w:rsid w:val="00BC314A"/>
    <w:rsid w:val="00BC38DC"/>
    <w:rsid w:val="00BC64D8"/>
    <w:rsid w:val="00BC7EB9"/>
    <w:rsid w:val="00BD03BA"/>
    <w:rsid w:val="00BD14F3"/>
    <w:rsid w:val="00BD2643"/>
    <w:rsid w:val="00BD4322"/>
    <w:rsid w:val="00BD56B1"/>
    <w:rsid w:val="00BD6187"/>
    <w:rsid w:val="00BD6558"/>
    <w:rsid w:val="00BD736C"/>
    <w:rsid w:val="00BD76FA"/>
    <w:rsid w:val="00BE4C2A"/>
    <w:rsid w:val="00BE5728"/>
    <w:rsid w:val="00BE611C"/>
    <w:rsid w:val="00BE6E09"/>
    <w:rsid w:val="00BF2AD7"/>
    <w:rsid w:val="00BF2F76"/>
    <w:rsid w:val="00BF3022"/>
    <w:rsid w:val="00BF3214"/>
    <w:rsid w:val="00BF5573"/>
    <w:rsid w:val="00C04181"/>
    <w:rsid w:val="00C12204"/>
    <w:rsid w:val="00C142FD"/>
    <w:rsid w:val="00C15867"/>
    <w:rsid w:val="00C15A97"/>
    <w:rsid w:val="00C1782B"/>
    <w:rsid w:val="00C20DAB"/>
    <w:rsid w:val="00C2296D"/>
    <w:rsid w:val="00C23155"/>
    <w:rsid w:val="00C24139"/>
    <w:rsid w:val="00C352D8"/>
    <w:rsid w:val="00C362C8"/>
    <w:rsid w:val="00C40C41"/>
    <w:rsid w:val="00C4353B"/>
    <w:rsid w:val="00C45885"/>
    <w:rsid w:val="00C45F95"/>
    <w:rsid w:val="00C47050"/>
    <w:rsid w:val="00C50F22"/>
    <w:rsid w:val="00C51B1D"/>
    <w:rsid w:val="00C54C5F"/>
    <w:rsid w:val="00C57971"/>
    <w:rsid w:val="00C60E23"/>
    <w:rsid w:val="00C63D46"/>
    <w:rsid w:val="00C65BD7"/>
    <w:rsid w:val="00C7254B"/>
    <w:rsid w:val="00C735A5"/>
    <w:rsid w:val="00C73B2F"/>
    <w:rsid w:val="00C74A74"/>
    <w:rsid w:val="00C76BA4"/>
    <w:rsid w:val="00C81B0F"/>
    <w:rsid w:val="00C83A48"/>
    <w:rsid w:val="00C85865"/>
    <w:rsid w:val="00C85E85"/>
    <w:rsid w:val="00C871CD"/>
    <w:rsid w:val="00C90842"/>
    <w:rsid w:val="00C93EC1"/>
    <w:rsid w:val="00C96161"/>
    <w:rsid w:val="00CA1AEA"/>
    <w:rsid w:val="00CA2AD2"/>
    <w:rsid w:val="00CA2EAE"/>
    <w:rsid w:val="00CA36CF"/>
    <w:rsid w:val="00CA4AC1"/>
    <w:rsid w:val="00CA4FA3"/>
    <w:rsid w:val="00CA59B0"/>
    <w:rsid w:val="00CB0316"/>
    <w:rsid w:val="00CB0B11"/>
    <w:rsid w:val="00CB2039"/>
    <w:rsid w:val="00CB3FF8"/>
    <w:rsid w:val="00CB426A"/>
    <w:rsid w:val="00CB5354"/>
    <w:rsid w:val="00CC2C6E"/>
    <w:rsid w:val="00CC2CF9"/>
    <w:rsid w:val="00CC3C9E"/>
    <w:rsid w:val="00CC4503"/>
    <w:rsid w:val="00CC6A14"/>
    <w:rsid w:val="00CC70A3"/>
    <w:rsid w:val="00CC7E81"/>
    <w:rsid w:val="00CD06AB"/>
    <w:rsid w:val="00CD2DE0"/>
    <w:rsid w:val="00CD376E"/>
    <w:rsid w:val="00CD433E"/>
    <w:rsid w:val="00CD4442"/>
    <w:rsid w:val="00CD4AA5"/>
    <w:rsid w:val="00CD53C3"/>
    <w:rsid w:val="00CD574E"/>
    <w:rsid w:val="00CD6E7B"/>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31BDD"/>
    <w:rsid w:val="00D4088C"/>
    <w:rsid w:val="00D47171"/>
    <w:rsid w:val="00D4741C"/>
    <w:rsid w:val="00D47476"/>
    <w:rsid w:val="00D57918"/>
    <w:rsid w:val="00D61F2E"/>
    <w:rsid w:val="00D6338F"/>
    <w:rsid w:val="00D73DC6"/>
    <w:rsid w:val="00D74C1A"/>
    <w:rsid w:val="00D754C1"/>
    <w:rsid w:val="00D764C5"/>
    <w:rsid w:val="00D77393"/>
    <w:rsid w:val="00D77A35"/>
    <w:rsid w:val="00D81B3E"/>
    <w:rsid w:val="00D842E2"/>
    <w:rsid w:val="00D84AC9"/>
    <w:rsid w:val="00D90AA4"/>
    <w:rsid w:val="00D90C70"/>
    <w:rsid w:val="00D90E49"/>
    <w:rsid w:val="00D946EA"/>
    <w:rsid w:val="00D96ADE"/>
    <w:rsid w:val="00DA06FE"/>
    <w:rsid w:val="00DA0CE2"/>
    <w:rsid w:val="00DA210C"/>
    <w:rsid w:val="00DA3CE9"/>
    <w:rsid w:val="00DA44DF"/>
    <w:rsid w:val="00DB782B"/>
    <w:rsid w:val="00DC1DBB"/>
    <w:rsid w:val="00DC41F5"/>
    <w:rsid w:val="00DC6A10"/>
    <w:rsid w:val="00DD1108"/>
    <w:rsid w:val="00DD2E18"/>
    <w:rsid w:val="00DE1889"/>
    <w:rsid w:val="00DE4240"/>
    <w:rsid w:val="00DE57CF"/>
    <w:rsid w:val="00DE657E"/>
    <w:rsid w:val="00DE7391"/>
    <w:rsid w:val="00DE758B"/>
    <w:rsid w:val="00DF22D9"/>
    <w:rsid w:val="00DF4704"/>
    <w:rsid w:val="00DF537C"/>
    <w:rsid w:val="00E00B9C"/>
    <w:rsid w:val="00E024AA"/>
    <w:rsid w:val="00E0541E"/>
    <w:rsid w:val="00E1152C"/>
    <w:rsid w:val="00E12B78"/>
    <w:rsid w:val="00E13EF4"/>
    <w:rsid w:val="00E15C77"/>
    <w:rsid w:val="00E23EBB"/>
    <w:rsid w:val="00E2409D"/>
    <w:rsid w:val="00E250F1"/>
    <w:rsid w:val="00E3550D"/>
    <w:rsid w:val="00E37749"/>
    <w:rsid w:val="00E413FD"/>
    <w:rsid w:val="00E42CEC"/>
    <w:rsid w:val="00E42D6B"/>
    <w:rsid w:val="00E43290"/>
    <w:rsid w:val="00E45C76"/>
    <w:rsid w:val="00E47A57"/>
    <w:rsid w:val="00E508B7"/>
    <w:rsid w:val="00E52838"/>
    <w:rsid w:val="00E60C9A"/>
    <w:rsid w:val="00E614E0"/>
    <w:rsid w:val="00E61A4D"/>
    <w:rsid w:val="00E73F7F"/>
    <w:rsid w:val="00E753E8"/>
    <w:rsid w:val="00E76A21"/>
    <w:rsid w:val="00E76DE3"/>
    <w:rsid w:val="00E82A31"/>
    <w:rsid w:val="00E8334A"/>
    <w:rsid w:val="00E85409"/>
    <w:rsid w:val="00E8598A"/>
    <w:rsid w:val="00E92AF6"/>
    <w:rsid w:val="00E9308D"/>
    <w:rsid w:val="00E951C4"/>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43D1"/>
    <w:rsid w:val="00EC5EDC"/>
    <w:rsid w:val="00ED1A48"/>
    <w:rsid w:val="00ED27E8"/>
    <w:rsid w:val="00ED7137"/>
    <w:rsid w:val="00ED7270"/>
    <w:rsid w:val="00EE39F8"/>
    <w:rsid w:val="00EE4CE1"/>
    <w:rsid w:val="00EE57F8"/>
    <w:rsid w:val="00EE679D"/>
    <w:rsid w:val="00EF06EA"/>
    <w:rsid w:val="00EF4D88"/>
    <w:rsid w:val="00EF731E"/>
    <w:rsid w:val="00F00B6E"/>
    <w:rsid w:val="00F03E9D"/>
    <w:rsid w:val="00F06373"/>
    <w:rsid w:val="00F065B6"/>
    <w:rsid w:val="00F10FA0"/>
    <w:rsid w:val="00F110B4"/>
    <w:rsid w:val="00F126E4"/>
    <w:rsid w:val="00F1442A"/>
    <w:rsid w:val="00F15505"/>
    <w:rsid w:val="00F17B7C"/>
    <w:rsid w:val="00F21088"/>
    <w:rsid w:val="00F23E32"/>
    <w:rsid w:val="00F27BEF"/>
    <w:rsid w:val="00F304EE"/>
    <w:rsid w:val="00F322B2"/>
    <w:rsid w:val="00F327E7"/>
    <w:rsid w:val="00F3479E"/>
    <w:rsid w:val="00F35746"/>
    <w:rsid w:val="00F35D8A"/>
    <w:rsid w:val="00F379C1"/>
    <w:rsid w:val="00F40862"/>
    <w:rsid w:val="00F41F38"/>
    <w:rsid w:val="00F447C7"/>
    <w:rsid w:val="00F459B4"/>
    <w:rsid w:val="00F5211B"/>
    <w:rsid w:val="00F5404A"/>
    <w:rsid w:val="00F554A9"/>
    <w:rsid w:val="00F56612"/>
    <w:rsid w:val="00F605E2"/>
    <w:rsid w:val="00F61CFE"/>
    <w:rsid w:val="00F63C85"/>
    <w:rsid w:val="00F66FB0"/>
    <w:rsid w:val="00F716FD"/>
    <w:rsid w:val="00F75DA3"/>
    <w:rsid w:val="00F80355"/>
    <w:rsid w:val="00F87958"/>
    <w:rsid w:val="00F87C43"/>
    <w:rsid w:val="00F91F07"/>
    <w:rsid w:val="00F94FBD"/>
    <w:rsid w:val="00FA214C"/>
    <w:rsid w:val="00FA2414"/>
    <w:rsid w:val="00FA3FCE"/>
    <w:rsid w:val="00FA5722"/>
    <w:rsid w:val="00FB0771"/>
    <w:rsid w:val="00FB0C81"/>
    <w:rsid w:val="00FB2D83"/>
    <w:rsid w:val="00FC2200"/>
    <w:rsid w:val="00FC2540"/>
    <w:rsid w:val="00FC5B35"/>
    <w:rsid w:val="00FD1072"/>
    <w:rsid w:val="00FD4368"/>
    <w:rsid w:val="00FD43AD"/>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fr-FR"/>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eastAsia="en-GB"/>
    </w:rPr>
  </w:style>
  <w:style w:type="character" w:customStyle="1" w:styleId="FooterChar">
    <w:name w:val="Footer Char"/>
    <w:basedOn w:val="DefaultParagraphFont"/>
    <w:link w:val="Footer"/>
    <w:uiPriority w:val="99"/>
    <w:rsid w:val="0083611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4.xml><?xml version="1.0" encoding="utf-8"?>
<ds:datastoreItem xmlns:ds="http://schemas.openxmlformats.org/officeDocument/2006/customXml" ds:itemID="{1A699A89-C339-4DED-92D6-3746B336A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528</Words>
  <Characters>2817</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Status of contributions and disbursements (without annexes)                                                                                                                            .</vt:lpstr>
      <vt:lpstr>Status of contributions and disbursements (without annexes)                                                                                                                            .</vt:lpstr>
    </vt:vector>
  </TitlesOfParts>
  <Company>UNMFS</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Angela Xue He Yan</cp:lastModifiedBy>
  <cp:revision>13</cp:revision>
  <cp:lastPrinted>2023-11-10T12:49:00Z</cp:lastPrinted>
  <dcterms:created xsi:type="dcterms:W3CDTF">2025-11-10T15:59:00Z</dcterms:created>
  <dcterms:modified xsi:type="dcterms:W3CDTF">2025-11-13T17:38:00Z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vt:lpwstr>
  </property>
  <property fmtid="{D5CDD505-2E9C-101B-9397-08002B2CF9AE}" pid="3" name="Revision date">
    <vt:lpwstr>22/10/2025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17255abc-8de7-4754-986b-7c75322193ae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