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103AB1" w14:paraId="7FBAC00E" w14:textId="77777777" w:rsidTr="00103AB1">
        <w:trPr>
          <w:trHeight w:val="720"/>
        </w:trPr>
        <w:tc>
          <w:tcPr>
            <w:tcW w:w="5922" w:type="dxa"/>
            <w:gridSpan w:val="2"/>
            <w:tcBorders>
              <w:bottom w:val="single" w:sz="18" w:space="0" w:color="auto"/>
            </w:tcBorders>
          </w:tcPr>
          <w:p w14:paraId="4851CBF4"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50A2BCE" w14:textId="70F29D9A"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3870" w:type="dxa"/>
            <w:tcBorders>
              <w:bottom w:val="single" w:sz="18" w:space="0" w:color="auto"/>
            </w:tcBorders>
          </w:tcPr>
          <w:p w14:paraId="723F4158" w14:textId="77777777" w:rsidR="00103AB1" w:rsidRDefault="00103AB1" w:rsidP="00AA523A">
            <w:pPr>
              <w:tabs>
                <w:tab w:val="left" w:pos="3010"/>
              </w:tabs>
              <w:jc w:val="center"/>
              <w:rPr>
                <w:sz w:val="52"/>
                <w:szCs w:val="52"/>
              </w:rPr>
            </w:pPr>
            <w:r>
              <w:rPr>
                <w:rFonts w:ascii="Univers Bold" w:hAnsi="Univers Bold"/>
                <w:b/>
                <w:sz w:val="72"/>
                <w:lang w:val="fr-CA"/>
              </w:rPr>
              <w:t xml:space="preserve">          EP</w:t>
            </w:r>
          </w:p>
        </w:tc>
      </w:tr>
      <w:tr w:rsidR="00103AB1" w:rsidRPr="00F65F7C" w14:paraId="5D923A2B" w14:textId="77777777" w:rsidTr="00103A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3A66D94A" w14:textId="77777777" w:rsidR="00103AB1" w:rsidRDefault="00103AB1" w:rsidP="00AA523A">
            <w:pPr>
              <w:spacing w:before="120"/>
            </w:pPr>
            <w:r>
              <w:rPr>
                <w:noProof/>
                <w:lang w:eastAsia="en-CA"/>
              </w:rPr>
              <w:drawing>
                <wp:anchor distT="0" distB="0" distL="114300" distR="114300" simplePos="0" relativeHeight="251659264" behindDoc="0" locked="0" layoutInCell="1" allowOverlap="1" wp14:anchorId="2B18EA3C" wp14:editId="75DED729">
                  <wp:simplePos x="0" y="0"/>
                  <wp:positionH relativeFrom="column">
                    <wp:posOffset>134197</wp:posOffset>
                  </wp:positionH>
                  <wp:positionV relativeFrom="paragraph">
                    <wp:posOffset>828675</wp:posOffset>
                  </wp:positionV>
                  <wp:extent cx="672769"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00F13829" wp14:editId="41041E8A">
                  <wp:simplePos x="0" y="0"/>
                  <wp:positionH relativeFrom="column">
                    <wp:posOffset>100965</wp:posOffset>
                  </wp:positionH>
                  <wp:positionV relativeFrom="paragraph">
                    <wp:posOffset>111125</wp:posOffset>
                  </wp:positionV>
                  <wp:extent cx="703580" cy="67620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16AABDA2"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F39A9D9"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235B3EF" w14:textId="77777777" w:rsidR="00103AB1" w:rsidRDefault="00103AB1" w:rsidP="00AA523A">
            <w:pPr>
              <w:rPr>
                <w:rFonts w:ascii="Univers" w:hAnsi="Univers"/>
                <w:b/>
                <w:sz w:val="32"/>
                <w:lang w:val="fr-CA"/>
              </w:rPr>
            </w:pPr>
            <w:r>
              <w:rPr>
                <w:rFonts w:ascii="Univers" w:hAnsi="Univers"/>
                <w:b/>
                <w:sz w:val="32"/>
                <w:lang w:val="fr-CA"/>
              </w:rPr>
              <w:t>Nations Unies pour</w:t>
            </w:r>
          </w:p>
          <w:p w14:paraId="7144CA50" w14:textId="77777777" w:rsidR="00103AB1" w:rsidRPr="00542808" w:rsidRDefault="00103AB1" w:rsidP="00AA523A">
            <w:pPr>
              <w:rPr>
                <w:rFonts w:ascii="Univers" w:hAnsi="Univers"/>
                <w:b/>
                <w:sz w:val="32"/>
                <w:lang w:val="fr-CA"/>
              </w:rPr>
            </w:pPr>
            <w:proofErr w:type="gramStart"/>
            <w:r>
              <w:rPr>
                <w:rFonts w:ascii="Univers" w:hAnsi="Univers"/>
                <w:b/>
                <w:sz w:val="32"/>
                <w:lang w:val="fr-CA"/>
              </w:rPr>
              <w:t>l’environnement</w:t>
            </w:r>
            <w:proofErr w:type="gramEnd"/>
          </w:p>
        </w:tc>
        <w:tc>
          <w:tcPr>
            <w:tcW w:w="3870" w:type="dxa"/>
            <w:tcBorders>
              <w:top w:val="nil"/>
              <w:left w:val="nil"/>
              <w:bottom w:val="single" w:sz="36" w:space="0" w:color="auto"/>
              <w:right w:val="nil"/>
            </w:tcBorders>
          </w:tcPr>
          <w:p w14:paraId="77124DE1" w14:textId="77777777" w:rsidR="00103AB1" w:rsidRDefault="00103AB1" w:rsidP="00AA523A">
            <w:pPr>
              <w:rPr>
                <w:lang w:val="fr-FR"/>
              </w:rPr>
            </w:pPr>
          </w:p>
          <w:p w14:paraId="1442A375" w14:textId="77777777"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5B857693" w14:textId="77777777" w:rsidR="00103AB1" w:rsidRPr="00DD3433" w:rsidRDefault="00103AB1" w:rsidP="00AA523A">
            <w:pPr>
              <w:rPr>
                <w:lang w:val="fr-FR"/>
              </w:rPr>
            </w:pPr>
            <w:r w:rsidRPr="00DD3433">
              <w:rPr>
                <w:lang w:val="fr-FR"/>
              </w:rPr>
              <w:t>GÉNÉRALE</w:t>
            </w:r>
          </w:p>
          <w:p w14:paraId="2A22D2A6" w14:textId="77777777" w:rsidR="00103AB1" w:rsidRPr="00DD3433" w:rsidRDefault="00103AB1" w:rsidP="00AA523A">
            <w:pPr>
              <w:rPr>
                <w:lang w:val="fr-FR"/>
              </w:rPr>
            </w:pPr>
          </w:p>
          <w:p w14:paraId="14F7FDB4" w14:textId="4E5BE234"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F65F7C">
              <w:rPr>
                <w:lang w:val="fr-CA"/>
              </w:rPr>
              <w:t>UNEP/</w:t>
            </w:r>
            <w:proofErr w:type="spellStart"/>
            <w:r w:rsidR="00F65F7C">
              <w:rPr>
                <w:lang w:val="fr-CA"/>
              </w:rPr>
              <w:t>OzL.Pro</w:t>
            </w:r>
            <w:proofErr w:type="spellEnd"/>
            <w:r w:rsidR="00F65F7C">
              <w:rPr>
                <w:lang w:val="fr-CA"/>
              </w:rPr>
              <w:t>/</w:t>
            </w:r>
            <w:proofErr w:type="spellStart"/>
            <w:r w:rsidR="00F65F7C">
              <w:rPr>
                <w:lang w:val="fr-CA"/>
              </w:rPr>
              <w:t>ExCom</w:t>
            </w:r>
            <w:proofErr w:type="spellEnd"/>
            <w:r w:rsidR="00F65F7C">
              <w:rPr>
                <w:lang w:val="fr-CA"/>
              </w:rPr>
              <w:t>/95/58</w:t>
            </w:r>
            <w:r>
              <w:fldChar w:fldCharType="end"/>
            </w:r>
          </w:p>
          <w:p w14:paraId="08CC9C3D" w14:textId="0362C815" w:rsidR="00103AB1" w:rsidRPr="00DB2922" w:rsidRDefault="00F65F7C" w:rsidP="00AA523A">
            <w:pPr>
              <w:rPr>
                <w:lang w:val="fr-CA"/>
              </w:rPr>
            </w:pPr>
            <w:r>
              <w:rPr>
                <w:lang w:val="fr-CA"/>
              </w:rPr>
              <w:t>21 novembre</w:t>
            </w:r>
            <w:r w:rsidR="00103AB1" w:rsidRPr="007778F9">
              <w:rPr>
                <w:lang w:val="fr-CA"/>
              </w:rPr>
              <w:t xml:space="preserve"> 2024</w:t>
            </w:r>
          </w:p>
          <w:p w14:paraId="2C928C54" w14:textId="77777777" w:rsidR="00103AB1" w:rsidRDefault="00103AB1" w:rsidP="00AA523A">
            <w:pPr>
              <w:rPr>
                <w:caps/>
                <w:lang w:val="fr-FR"/>
              </w:rPr>
            </w:pPr>
            <w:r w:rsidRPr="00DB2922">
              <w:rPr>
                <w:caps/>
                <w:lang w:val="fr-CA"/>
              </w:rPr>
              <w:br/>
            </w:r>
            <w:r>
              <w:rPr>
                <w:caps/>
                <w:lang w:val="fr-FR"/>
              </w:rPr>
              <w:t>FRANÇAIS</w:t>
            </w:r>
          </w:p>
          <w:p w14:paraId="0D1E46E3" w14:textId="698DF905" w:rsidR="00103AB1" w:rsidRPr="00E5237E" w:rsidRDefault="00103AB1" w:rsidP="00AA523A">
            <w:pPr>
              <w:rPr>
                <w:lang w:val="fr-CA"/>
              </w:rPr>
            </w:pPr>
            <w:r w:rsidRPr="00E5237E">
              <w:rPr>
                <w:lang w:val="fr-CA"/>
              </w:rPr>
              <w:t>ORIGINAL</w:t>
            </w:r>
            <w:r w:rsidR="0010737E">
              <w:rPr>
                <w:lang w:val="fr-CA"/>
              </w:rPr>
              <w:t> </w:t>
            </w:r>
            <w:r w:rsidRPr="00E5237E">
              <w:rPr>
                <w:lang w:val="fr-CA"/>
              </w:rPr>
              <w:t>: ANGLAIS</w:t>
            </w:r>
          </w:p>
        </w:tc>
      </w:tr>
    </w:tbl>
    <w:p w14:paraId="4DCE7D4E"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05A9F294"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63CBD80D" w14:textId="23BF7067" w:rsidR="00103AB1" w:rsidRPr="00550019" w:rsidRDefault="00103AB1" w:rsidP="00103AB1">
      <w:pPr>
        <w:jc w:val="left"/>
        <w:rPr>
          <w:lang w:val="fr-FR"/>
        </w:rPr>
      </w:pPr>
      <w:r w:rsidRPr="00550019">
        <w:rPr>
          <w:lang w:val="fr-FR"/>
        </w:rPr>
        <w:t>Point</w:t>
      </w:r>
      <w:r w:rsidR="00F65F7C">
        <w:rPr>
          <w:lang w:val="fr-FR"/>
        </w:rPr>
        <w:t xml:space="preserve"> 9(d) </w:t>
      </w:r>
      <w:r w:rsidRPr="00550019">
        <w:rPr>
          <w:lang w:val="fr-FR"/>
        </w:rPr>
        <w:t>de l'ordre du jour provisoire</w:t>
      </w:r>
      <w:r w:rsidRPr="00550019">
        <w:rPr>
          <w:rStyle w:val="FootnoteReference"/>
          <w:lang w:val="fr-FR"/>
        </w:rPr>
        <w:footnoteReference w:id="1"/>
      </w:r>
    </w:p>
    <w:p w14:paraId="1E2C6515" w14:textId="77777777" w:rsidR="00C15867" w:rsidRPr="00103AB1" w:rsidRDefault="00C15867" w:rsidP="00CA59FB">
      <w:pPr>
        <w:jc w:val="left"/>
        <w:rPr>
          <w:lang w:val="fr-FR"/>
        </w:rPr>
      </w:pPr>
    </w:p>
    <w:p w14:paraId="2004367D" w14:textId="77777777" w:rsidR="00066CE8" w:rsidRDefault="00066CE8" w:rsidP="00857077">
      <w:pPr>
        <w:jc w:val="left"/>
        <w:rPr>
          <w:lang w:val="fr-CA"/>
        </w:rPr>
      </w:pPr>
    </w:p>
    <w:p w14:paraId="619B1143" w14:textId="77777777" w:rsidR="009615A5" w:rsidRDefault="009615A5" w:rsidP="00857077">
      <w:pPr>
        <w:jc w:val="left"/>
        <w:rPr>
          <w:lang w:val="fr-CA"/>
        </w:rPr>
      </w:pPr>
    </w:p>
    <w:p w14:paraId="288680FC" w14:textId="77777777" w:rsidR="009615A5" w:rsidRPr="00103AB1" w:rsidRDefault="009615A5" w:rsidP="00857077">
      <w:pPr>
        <w:jc w:val="left"/>
        <w:rPr>
          <w:lang w:val="fr-CA"/>
        </w:rPr>
      </w:pPr>
    </w:p>
    <w:p w14:paraId="5CAB0A69" w14:textId="77777777" w:rsidR="004E7F9C" w:rsidRPr="00103AB1" w:rsidRDefault="004E7F9C" w:rsidP="005C670D">
      <w:pPr>
        <w:pStyle w:val="Title1"/>
        <w:jc w:val="right"/>
        <w:rPr>
          <w:b w:val="0"/>
          <w:lang w:val="fr-CA"/>
        </w:rPr>
      </w:pPr>
    </w:p>
    <w:p w14:paraId="2DFB8B88" w14:textId="77777777" w:rsidR="00F65F7C" w:rsidRPr="00F65F7C" w:rsidRDefault="00F65F7C" w:rsidP="00F65F7C">
      <w:pPr>
        <w:jc w:val="center"/>
        <w:rPr>
          <w:b/>
          <w:lang w:val="fr-FR"/>
        </w:rPr>
      </w:pPr>
      <w:r>
        <w:rPr>
          <w:b/>
          <w:bCs/>
          <w:lang w:val="fr"/>
        </w:rPr>
        <w:t>PROPOSITION DE PROJET : INDE</w:t>
      </w:r>
    </w:p>
    <w:p w14:paraId="2624B321" w14:textId="77777777" w:rsidR="00F65F7C" w:rsidRPr="00F65F7C" w:rsidRDefault="00F65F7C" w:rsidP="00F65F7C">
      <w:pPr>
        <w:rPr>
          <w:lang w:val="fr-FR"/>
        </w:rPr>
      </w:pPr>
    </w:p>
    <w:p w14:paraId="68F8C0D8" w14:textId="77777777" w:rsidR="00F65F7C" w:rsidRPr="00F65F7C" w:rsidRDefault="00F65F7C" w:rsidP="00F65F7C">
      <w:pPr>
        <w:rPr>
          <w:lang w:val="fr-FR"/>
        </w:rPr>
      </w:pPr>
    </w:p>
    <w:p w14:paraId="2A0AFFBA" w14:textId="77777777" w:rsidR="00F65F7C" w:rsidRPr="00F65F7C" w:rsidRDefault="00F65F7C" w:rsidP="00F65F7C">
      <w:pPr>
        <w:ind w:firstLine="720"/>
        <w:rPr>
          <w:lang w:val="fr-FR"/>
        </w:rPr>
      </w:pPr>
      <w:r>
        <w:rPr>
          <w:lang w:val="fr"/>
        </w:rPr>
        <w:t>Le présent document contient les commentaires et la recommandation du Secrétariat du Fonds sur la proposition de projet suivante :</w:t>
      </w:r>
    </w:p>
    <w:p w14:paraId="03015392" w14:textId="77777777" w:rsidR="00F65F7C" w:rsidRPr="00F65F7C" w:rsidRDefault="00F65F7C" w:rsidP="00F65F7C">
      <w:pPr>
        <w:rPr>
          <w:lang w:val="fr-FR"/>
        </w:rPr>
      </w:pPr>
    </w:p>
    <w:p w14:paraId="64EFC913" w14:textId="77777777" w:rsidR="00F65F7C" w:rsidRPr="00814516" w:rsidRDefault="00F65F7C" w:rsidP="00F65F7C">
      <w:pPr>
        <w:spacing w:after="240"/>
        <w:rPr>
          <w:u w:val="single"/>
        </w:rPr>
      </w:pPr>
      <w:r>
        <w:rPr>
          <w:u w:val="single"/>
          <w:lang w:val="fr"/>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F65F7C" w:rsidRPr="00814516" w14:paraId="7D27C3AF" w14:textId="77777777" w:rsidTr="006B1FAA">
        <w:tc>
          <w:tcPr>
            <w:tcW w:w="5589" w:type="dxa"/>
          </w:tcPr>
          <w:p w14:paraId="5E01D138" w14:textId="77777777" w:rsidR="00F65F7C" w:rsidRPr="00F65F7C" w:rsidRDefault="00F65F7C" w:rsidP="00F65F7C">
            <w:pPr>
              <w:pStyle w:val="ListParagraph"/>
              <w:numPr>
                <w:ilvl w:val="0"/>
                <w:numId w:val="21"/>
              </w:numPr>
              <w:ind w:left="337" w:hanging="447"/>
              <w:rPr>
                <w:lang w:val="fr-FR"/>
              </w:rPr>
            </w:pPr>
            <w:r>
              <w:rPr>
                <w:lang w:val="fr"/>
              </w:rPr>
              <w:t>Plan de gestion de l’élimination des HCFC (phase III, deuxième tranche)</w:t>
            </w:r>
          </w:p>
        </w:tc>
        <w:tc>
          <w:tcPr>
            <w:tcW w:w="1968" w:type="dxa"/>
          </w:tcPr>
          <w:p w14:paraId="06C430BB" w14:textId="77777777" w:rsidR="00F65F7C" w:rsidRPr="00814516" w:rsidRDefault="00F65F7C" w:rsidP="006B1FAA">
            <w:pPr>
              <w:jc w:val="right"/>
            </w:pPr>
            <w:r>
              <w:rPr>
                <w:lang w:val="fr"/>
              </w:rPr>
              <w:t>PNUD, PNUE et Allemagne</w:t>
            </w:r>
          </w:p>
        </w:tc>
        <w:tc>
          <w:tcPr>
            <w:tcW w:w="1803" w:type="dxa"/>
          </w:tcPr>
          <w:p w14:paraId="2F8E322D" w14:textId="77777777" w:rsidR="00F65F7C" w:rsidRPr="00814516" w:rsidRDefault="00F65F7C" w:rsidP="006B1FAA">
            <w:pPr>
              <w:ind w:left="347"/>
              <w:jc w:val="center"/>
            </w:pPr>
            <w:r>
              <w:rPr>
                <w:lang w:val="fr"/>
              </w:rPr>
              <w:t>Pour examen individuel</w:t>
            </w:r>
          </w:p>
        </w:tc>
      </w:tr>
    </w:tbl>
    <w:p w14:paraId="798AFA85" w14:textId="77777777" w:rsidR="00F65F7C" w:rsidRPr="0034371D" w:rsidRDefault="00F65F7C" w:rsidP="00F65F7C"/>
    <w:p w14:paraId="63B9BA86" w14:textId="77777777" w:rsidR="00F65F7C" w:rsidRPr="0034371D" w:rsidRDefault="00F65F7C" w:rsidP="00F65F7C"/>
    <w:p w14:paraId="67358A68" w14:textId="77777777" w:rsidR="00F65F7C" w:rsidRPr="0034371D" w:rsidRDefault="00F65F7C" w:rsidP="00F65F7C">
      <w:r>
        <w:rPr>
          <w:lang w:val="fr"/>
        </w:rPr>
        <w:br w:type="page"/>
      </w:r>
    </w:p>
    <w:p w14:paraId="0C0BAEEC" w14:textId="77777777" w:rsidR="00F65F7C" w:rsidRPr="00F65F7C" w:rsidRDefault="00F65F7C" w:rsidP="00F65F7C">
      <w:pPr>
        <w:spacing w:after="120"/>
        <w:jc w:val="center"/>
        <w:rPr>
          <w:b/>
          <w:lang w:val="fr-FR"/>
        </w:rPr>
      </w:pPr>
      <w:r>
        <w:rPr>
          <w:b/>
          <w:bCs/>
          <w:lang w:val="fr"/>
        </w:rPr>
        <w:lastRenderedPageBreak/>
        <w:t>FICHE D’ÉVALUATION DE PROJET - PROJETS PLURIANNUELS</w:t>
      </w:r>
    </w:p>
    <w:p w14:paraId="37423FDE" w14:textId="11FC77A4" w:rsidR="00F65F7C" w:rsidRPr="009B6C52" w:rsidRDefault="00F65F7C" w:rsidP="00F65F7C">
      <w:pPr>
        <w:spacing w:after="200"/>
        <w:jc w:val="center"/>
        <w:rPr>
          <w:b/>
          <w:bCs/>
        </w:rPr>
      </w:pPr>
      <w:r>
        <w:rPr>
          <w:b/>
          <w:bCs/>
          <w:lang w:val="fr"/>
        </w:rPr>
        <w:t>I</w:t>
      </w:r>
      <w:r w:rsidR="00E55045">
        <w:rPr>
          <w:b/>
          <w:bCs/>
          <w:lang w:val="fr"/>
        </w:rPr>
        <w:t>nde</w:t>
      </w:r>
    </w:p>
    <w:tbl>
      <w:tblPr>
        <w:tblStyle w:val="TableGrid"/>
        <w:tblW w:w="10864" w:type="dxa"/>
        <w:jc w:val="center"/>
        <w:tblLook w:val="04A0" w:firstRow="1" w:lastRow="0" w:firstColumn="1" w:lastColumn="0" w:noHBand="0" w:noVBand="1"/>
      </w:tblPr>
      <w:tblGrid>
        <w:gridCol w:w="3539"/>
        <w:gridCol w:w="2552"/>
        <w:gridCol w:w="2131"/>
        <w:gridCol w:w="2642"/>
      </w:tblGrid>
      <w:tr w:rsidR="00F65F7C" w:rsidRPr="00830019" w14:paraId="1791ED2B" w14:textId="77777777" w:rsidTr="00F930E7">
        <w:trPr>
          <w:trHeight w:val="240"/>
          <w:jc w:val="center"/>
        </w:trPr>
        <w:tc>
          <w:tcPr>
            <w:tcW w:w="3539" w:type="dxa"/>
            <w:hideMark/>
          </w:tcPr>
          <w:p w14:paraId="039900F8" w14:textId="77777777" w:rsidR="00F65F7C" w:rsidRPr="00830019" w:rsidRDefault="00F65F7C" w:rsidP="006B1FAA">
            <w:pPr>
              <w:jc w:val="left"/>
              <w:rPr>
                <w:b/>
                <w:sz w:val="20"/>
                <w:szCs w:val="20"/>
              </w:rPr>
            </w:pPr>
            <w:r>
              <w:rPr>
                <w:b/>
                <w:bCs/>
                <w:sz w:val="20"/>
                <w:szCs w:val="20"/>
                <w:lang w:val="fr"/>
              </w:rPr>
              <w:t>(I) TITRE DU PROJET</w:t>
            </w:r>
          </w:p>
        </w:tc>
        <w:tc>
          <w:tcPr>
            <w:tcW w:w="2552" w:type="dxa"/>
            <w:hideMark/>
          </w:tcPr>
          <w:p w14:paraId="1FC6CAFD" w14:textId="77777777" w:rsidR="00F65F7C" w:rsidRPr="00830019" w:rsidRDefault="00F65F7C" w:rsidP="006B1FAA">
            <w:pPr>
              <w:jc w:val="center"/>
              <w:rPr>
                <w:b/>
                <w:sz w:val="20"/>
                <w:szCs w:val="20"/>
              </w:rPr>
            </w:pPr>
            <w:r>
              <w:rPr>
                <w:b/>
                <w:bCs/>
                <w:sz w:val="20"/>
                <w:szCs w:val="20"/>
                <w:lang w:val="fr"/>
              </w:rPr>
              <w:t>AGENCE</w:t>
            </w:r>
          </w:p>
        </w:tc>
        <w:tc>
          <w:tcPr>
            <w:tcW w:w="2131" w:type="dxa"/>
            <w:hideMark/>
          </w:tcPr>
          <w:p w14:paraId="28661BC9" w14:textId="77777777" w:rsidR="00F65F7C" w:rsidRPr="00830019" w:rsidRDefault="00F65F7C" w:rsidP="006B1FAA">
            <w:pPr>
              <w:jc w:val="center"/>
              <w:rPr>
                <w:b/>
                <w:sz w:val="20"/>
                <w:szCs w:val="20"/>
              </w:rPr>
            </w:pPr>
            <w:r>
              <w:rPr>
                <w:b/>
                <w:bCs/>
                <w:sz w:val="20"/>
                <w:szCs w:val="20"/>
                <w:lang w:val="fr"/>
              </w:rPr>
              <w:t>RÉUNION D’APPROBATION</w:t>
            </w:r>
          </w:p>
        </w:tc>
        <w:tc>
          <w:tcPr>
            <w:tcW w:w="2642" w:type="dxa"/>
            <w:hideMark/>
          </w:tcPr>
          <w:p w14:paraId="7044B99F" w14:textId="77777777" w:rsidR="00F65F7C" w:rsidRPr="00830019" w:rsidRDefault="00F65F7C" w:rsidP="006B1FAA">
            <w:pPr>
              <w:jc w:val="center"/>
              <w:rPr>
                <w:b/>
                <w:sz w:val="20"/>
                <w:szCs w:val="20"/>
              </w:rPr>
            </w:pPr>
            <w:r>
              <w:rPr>
                <w:b/>
                <w:bCs/>
                <w:sz w:val="20"/>
                <w:szCs w:val="20"/>
                <w:lang w:val="fr"/>
              </w:rPr>
              <w:t>MESURE DE RÉGLEMENTATION</w:t>
            </w:r>
          </w:p>
        </w:tc>
      </w:tr>
      <w:tr w:rsidR="00F65F7C" w:rsidRPr="00830019" w14:paraId="50D2AF62" w14:textId="77777777" w:rsidTr="00F930E7">
        <w:trPr>
          <w:trHeight w:val="240"/>
          <w:jc w:val="center"/>
        </w:trPr>
        <w:tc>
          <w:tcPr>
            <w:tcW w:w="3539" w:type="dxa"/>
            <w:vAlign w:val="center"/>
            <w:hideMark/>
          </w:tcPr>
          <w:p w14:paraId="54444D62" w14:textId="77777777" w:rsidR="00F65F7C" w:rsidRPr="00F65F7C" w:rsidRDefault="00F65F7C" w:rsidP="006B1FAA">
            <w:pPr>
              <w:jc w:val="center"/>
              <w:rPr>
                <w:sz w:val="20"/>
                <w:szCs w:val="20"/>
                <w:lang w:val="fr-FR"/>
              </w:rPr>
            </w:pPr>
            <w:r>
              <w:rPr>
                <w:sz w:val="20"/>
                <w:szCs w:val="20"/>
                <w:lang w:val="fr"/>
              </w:rPr>
              <w:t>Plan d’élimination des HCFC (phase III)</w:t>
            </w:r>
          </w:p>
        </w:tc>
        <w:tc>
          <w:tcPr>
            <w:tcW w:w="2552" w:type="dxa"/>
            <w:vAlign w:val="center"/>
          </w:tcPr>
          <w:p w14:paraId="5B597C5F" w14:textId="77777777" w:rsidR="00F65F7C" w:rsidRPr="00F65F7C" w:rsidRDefault="00F65F7C" w:rsidP="006B1FAA">
            <w:pPr>
              <w:jc w:val="center"/>
              <w:rPr>
                <w:sz w:val="20"/>
                <w:szCs w:val="20"/>
                <w:lang w:val="fr-FR"/>
              </w:rPr>
            </w:pPr>
            <w:r>
              <w:rPr>
                <w:color w:val="000000" w:themeColor="text1"/>
                <w:sz w:val="20"/>
                <w:szCs w:val="20"/>
                <w:lang w:val="fr"/>
              </w:rPr>
              <w:t>PNUD (agence principale) PNUE, Allemagne</w:t>
            </w:r>
          </w:p>
        </w:tc>
        <w:tc>
          <w:tcPr>
            <w:tcW w:w="2131" w:type="dxa"/>
            <w:vAlign w:val="center"/>
          </w:tcPr>
          <w:p w14:paraId="13052533" w14:textId="77777777" w:rsidR="00F65F7C" w:rsidRPr="00830019" w:rsidRDefault="00F65F7C" w:rsidP="006B1FAA">
            <w:pPr>
              <w:jc w:val="center"/>
              <w:rPr>
                <w:sz w:val="20"/>
                <w:szCs w:val="20"/>
              </w:rPr>
            </w:pPr>
            <w:r>
              <w:rPr>
                <w:sz w:val="20"/>
                <w:szCs w:val="20"/>
                <w:lang w:val="fr"/>
              </w:rPr>
              <w:t>91</w:t>
            </w:r>
            <w:r>
              <w:rPr>
                <w:sz w:val="20"/>
                <w:szCs w:val="20"/>
                <w:vertAlign w:val="superscript"/>
                <w:lang w:val="fr"/>
              </w:rPr>
              <w:t>e</w:t>
            </w:r>
          </w:p>
        </w:tc>
        <w:tc>
          <w:tcPr>
            <w:tcW w:w="2642" w:type="dxa"/>
            <w:vAlign w:val="center"/>
          </w:tcPr>
          <w:p w14:paraId="4770E374" w14:textId="77777777" w:rsidR="00F65F7C" w:rsidRPr="00830019" w:rsidRDefault="00F65F7C" w:rsidP="006B1FAA">
            <w:pPr>
              <w:jc w:val="center"/>
              <w:rPr>
                <w:sz w:val="20"/>
                <w:szCs w:val="20"/>
              </w:rPr>
            </w:pPr>
            <w:r>
              <w:rPr>
                <w:sz w:val="20"/>
                <w:szCs w:val="20"/>
                <w:lang w:val="fr"/>
              </w:rPr>
              <w:t>100 % d’élimination d’ici 2030</w:t>
            </w:r>
          </w:p>
        </w:tc>
      </w:tr>
    </w:tbl>
    <w:p w14:paraId="3D9F1F10" w14:textId="77777777" w:rsidR="00F65F7C" w:rsidRPr="00862FA7" w:rsidRDefault="00F65F7C" w:rsidP="00F65F7C">
      <w:pPr>
        <w:jc w:val="center"/>
        <w:rPr>
          <w:sz w:val="18"/>
          <w:szCs w:val="18"/>
        </w:rPr>
      </w:pPr>
    </w:p>
    <w:tbl>
      <w:tblPr>
        <w:tblStyle w:val="TableGrid"/>
        <w:tblW w:w="10856" w:type="dxa"/>
        <w:jc w:val="center"/>
        <w:tblLook w:val="04A0" w:firstRow="1" w:lastRow="0" w:firstColumn="1" w:lastColumn="0" w:noHBand="0" w:noVBand="1"/>
      </w:tblPr>
      <w:tblGrid>
        <w:gridCol w:w="6056"/>
        <w:gridCol w:w="2400"/>
        <w:gridCol w:w="2400"/>
      </w:tblGrid>
      <w:tr w:rsidR="00F65F7C" w:rsidRPr="00830019" w14:paraId="3A496FDE" w14:textId="77777777" w:rsidTr="00243D0C">
        <w:trPr>
          <w:trHeight w:val="43"/>
          <w:jc w:val="center"/>
        </w:trPr>
        <w:tc>
          <w:tcPr>
            <w:tcW w:w="6056" w:type="dxa"/>
            <w:hideMark/>
          </w:tcPr>
          <w:p w14:paraId="1C778833" w14:textId="77777777" w:rsidR="00F65F7C" w:rsidRPr="00F65F7C" w:rsidRDefault="00F65F7C" w:rsidP="006B1FAA">
            <w:pPr>
              <w:jc w:val="left"/>
              <w:rPr>
                <w:b/>
                <w:sz w:val="20"/>
                <w:szCs w:val="20"/>
                <w:lang w:val="fr-FR"/>
              </w:rPr>
            </w:pPr>
            <w:r>
              <w:rPr>
                <w:b/>
                <w:bCs/>
                <w:sz w:val="20"/>
                <w:szCs w:val="20"/>
                <w:lang w:val="fr"/>
              </w:rPr>
              <w:t>(II) DERNIÈRES DONNÉES COMMUNIQUÉES EN VERTU DE L’ARTICLE 7 (Annexe C Groupe l)</w:t>
            </w:r>
          </w:p>
        </w:tc>
        <w:tc>
          <w:tcPr>
            <w:tcW w:w="2400" w:type="dxa"/>
            <w:hideMark/>
          </w:tcPr>
          <w:p w14:paraId="30B0C8C5" w14:textId="77777777" w:rsidR="00F65F7C" w:rsidRPr="00830019" w:rsidRDefault="00F65F7C" w:rsidP="006B1FAA">
            <w:pPr>
              <w:jc w:val="center"/>
              <w:rPr>
                <w:sz w:val="20"/>
                <w:szCs w:val="20"/>
              </w:rPr>
            </w:pPr>
            <w:r>
              <w:rPr>
                <w:sz w:val="20"/>
                <w:szCs w:val="20"/>
                <w:lang w:val="fr"/>
              </w:rPr>
              <w:t>Année : 2023</w:t>
            </w:r>
          </w:p>
        </w:tc>
        <w:tc>
          <w:tcPr>
            <w:tcW w:w="2400" w:type="dxa"/>
            <w:hideMark/>
          </w:tcPr>
          <w:p w14:paraId="091308E8" w14:textId="77777777" w:rsidR="00F65F7C" w:rsidRPr="00830019" w:rsidRDefault="00F65F7C" w:rsidP="006B1FAA">
            <w:pPr>
              <w:jc w:val="right"/>
              <w:rPr>
                <w:sz w:val="20"/>
                <w:szCs w:val="20"/>
              </w:rPr>
            </w:pPr>
            <w:r>
              <w:rPr>
                <w:color w:val="000000" w:themeColor="text1"/>
                <w:sz w:val="20"/>
                <w:szCs w:val="20"/>
                <w:lang w:val="fr"/>
              </w:rPr>
              <w:t>322,44 </w:t>
            </w:r>
            <w:r>
              <w:rPr>
                <w:sz w:val="20"/>
                <w:szCs w:val="20"/>
                <w:lang w:val="fr"/>
              </w:rPr>
              <w:t>tonnes PAO</w:t>
            </w:r>
          </w:p>
        </w:tc>
      </w:tr>
    </w:tbl>
    <w:p w14:paraId="2E556B58" w14:textId="77777777" w:rsidR="00F65F7C" w:rsidRPr="00862FA7" w:rsidRDefault="00F65F7C" w:rsidP="00F65F7C">
      <w:pPr>
        <w:jc w:val="center"/>
        <w:rPr>
          <w:sz w:val="18"/>
          <w:szCs w:val="18"/>
        </w:rPr>
      </w:pPr>
    </w:p>
    <w:tbl>
      <w:tblPr>
        <w:tblStyle w:val="TableGrid"/>
        <w:tblW w:w="10885" w:type="dxa"/>
        <w:jc w:val="center"/>
        <w:tblLayout w:type="fixed"/>
        <w:tblLook w:val="04A0" w:firstRow="1" w:lastRow="0" w:firstColumn="1" w:lastColumn="0" w:noHBand="0" w:noVBand="1"/>
      </w:tblPr>
      <w:tblGrid>
        <w:gridCol w:w="1165"/>
        <w:gridCol w:w="990"/>
        <w:gridCol w:w="900"/>
        <w:gridCol w:w="1080"/>
        <w:gridCol w:w="1080"/>
        <w:gridCol w:w="900"/>
        <w:gridCol w:w="817"/>
        <w:gridCol w:w="1417"/>
        <w:gridCol w:w="1006"/>
        <w:gridCol w:w="1530"/>
      </w:tblGrid>
      <w:tr w:rsidR="00F65F7C" w:rsidRPr="00830019" w14:paraId="56176A6A" w14:textId="77777777" w:rsidTr="00AF426F">
        <w:trPr>
          <w:trHeight w:val="249"/>
          <w:jc w:val="center"/>
        </w:trPr>
        <w:tc>
          <w:tcPr>
            <w:tcW w:w="8349" w:type="dxa"/>
            <w:gridSpan w:val="8"/>
            <w:hideMark/>
          </w:tcPr>
          <w:p w14:paraId="1E03E4B0" w14:textId="77777777" w:rsidR="00F65F7C" w:rsidRPr="00F65F7C" w:rsidRDefault="00F65F7C" w:rsidP="006B1FAA">
            <w:pPr>
              <w:jc w:val="left"/>
              <w:rPr>
                <w:b/>
                <w:sz w:val="20"/>
                <w:szCs w:val="20"/>
                <w:lang w:val="fr-FR"/>
              </w:rPr>
            </w:pPr>
            <w:r>
              <w:rPr>
                <w:b/>
                <w:bCs/>
                <w:sz w:val="20"/>
                <w:szCs w:val="20"/>
                <w:lang w:val="fr"/>
              </w:rPr>
              <w:t>(III) DERNIÈRES DONNÉES SECTORIELLES DU PROGRAMME DE PAYS (tonnes PAO)</w:t>
            </w:r>
          </w:p>
        </w:tc>
        <w:tc>
          <w:tcPr>
            <w:tcW w:w="2536" w:type="dxa"/>
            <w:gridSpan w:val="2"/>
            <w:hideMark/>
          </w:tcPr>
          <w:p w14:paraId="166905FD" w14:textId="77777777" w:rsidR="00F65F7C" w:rsidRPr="00830019" w:rsidRDefault="00F65F7C" w:rsidP="006B1FAA">
            <w:pPr>
              <w:jc w:val="right"/>
              <w:rPr>
                <w:b/>
                <w:sz w:val="20"/>
                <w:szCs w:val="20"/>
              </w:rPr>
            </w:pPr>
            <w:r>
              <w:rPr>
                <w:b/>
                <w:bCs/>
                <w:sz w:val="20"/>
                <w:szCs w:val="20"/>
                <w:lang w:val="fr"/>
              </w:rPr>
              <w:t>Année : 2023</w:t>
            </w:r>
          </w:p>
        </w:tc>
      </w:tr>
      <w:tr w:rsidR="00F65F7C" w:rsidRPr="00830019" w14:paraId="1C2E1D1E" w14:textId="77777777" w:rsidTr="00E40720">
        <w:trPr>
          <w:trHeight w:val="249"/>
          <w:jc w:val="center"/>
        </w:trPr>
        <w:tc>
          <w:tcPr>
            <w:tcW w:w="1165" w:type="dxa"/>
            <w:vAlign w:val="center"/>
            <w:hideMark/>
          </w:tcPr>
          <w:p w14:paraId="5B5A447D" w14:textId="77777777" w:rsidR="00F65F7C" w:rsidRPr="00AF426F" w:rsidRDefault="00F65F7C" w:rsidP="006B1FAA">
            <w:pPr>
              <w:jc w:val="center"/>
              <w:rPr>
                <w:sz w:val="18"/>
                <w:szCs w:val="18"/>
              </w:rPr>
            </w:pPr>
            <w:r w:rsidRPr="00AF426F">
              <w:rPr>
                <w:sz w:val="18"/>
                <w:szCs w:val="18"/>
                <w:lang w:val="fr"/>
              </w:rPr>
              <w:t>Produits chimiques</w:t>
            </w:r>
          </w:p>
        </w:tc>
        <w:tc>
          <w:tcPr>
            <w:tcW w:w="990" w:type="dxa"/>
            <w:vAlign w:val="center"/>
            <w:hideMark/>
          </w:tcPr>
          <w:p w14:paraId="31026366" w14:textId="77777777" w:rsidR="00F65F7C" w:rsidRPr="00AF426F" w:rsidRDefault="00F65F7C" w:rsidP="006B1FAA">
            <w:pPr>
              <w:jc w:val="center"/>
              <w:rPr>
                <w:sz w:val="18"/>
                <w:szCs w:val="18"/>
              </w:rPr>
            </w:pPr>
            <w:r w:rsidRPr="00AF426F">
              <w:rPr>
                <w:sz w:val="18"/>
                <w:szCs w:val="18"/>
                <w:lang w:val="fr"/>
              </w:rPr>
              <w:t>Aérosols</w:t>
            </w:r>
          </w:p>
        </w:tc>
        <w:tc>
          <w:tcPr>
            <w:tcW w:w="900" w:type="dxa"/>
            <w:vAlign w:val="center"/>
            <w:hideMark/>
          </w:tcPr>
          <w:p w14:paraId="43AC20CA" w14:textId="77777777" w:rsidR="00F65F7C" w:rsidRPr="00AF426F" w:rsidRDefault="00F65F7C" w:rsidP="006B1FAA">
            <w:pPr>
              <w:jc w:val="center"/>
              <w:rPr>
                <w:sz w:val="18"/>
                <w:szCs w:val="18"/>
              </w:rPr>
            </w:pPr>
            <w:r w:rsidRPr="00AF426F">
              <w:rPr>
                <w:sz w:val="18"/>
                <w:szCs w:val="18"/>
                <w:lang w:val="fr"/>
              </w:rPr>
              <w:t>Mousses</w:t>
            </w:r>
          </w:p>
        </w:tc>
        <w:tc>
          <w:tcPr>
            <w:tcW w:w="1080" w:type="dxa"/>
            <w:vAlign w:val="center"/>
            <w:hideMark/>
          </w:tcPr>
          <w:p w14:paraId="3D72ABF7" w14:textId="77777777" w:rsidR="00F65F7C" w:rsidRPr="00AF426F" w:rsidRDefault="00F65F7C" w:rsidP="006B1FAA">
            <w:pPr>
              <w:jc w:val="center"/>
              <w:rPr>
                <w:sz w:val="18"/>
                <w:szCs w:val="18"/>
              </w:rPr>
            </w:pPr>
            <w:r w:rsidRPr="00AF426F">
              <w:rPr>
                <w:sz w:val="18"/>
                <w:szCs w:val="18"/>
                <w:lang w:val="fr"/>
              </w:rPr>
              <w:t>Lutte contre l’incendie</w:t>
            </w:r>
          </w:p>
        </w:tc>
        <w:tc>
          <w:tcPr>
            <w:tcW w:w="1980" w:type="dxa"/>
            <w:gridSpan w:val="2"/>
            <w:vAlign w:val="center"/>
            <w:hideMark/>
          </w:tcPr>
          <w:p w14:paraId="733C009D" w14:textId="77777777" w:rsidR="00F65F7C" w:rsidRPr="00AF426F" w:rsidRDefault="00F65F7C" w:rsidP="006B1FAA">
            <w:pPr>
              <w:jc w:val="center"/>
              <w:rPr>
                <w:sz w:val="18"/>
                <w:szCs w:val="18"/>
              </w:rPr>
            </w:pPr>
            <w:r w:rsidRPr="00AF426F">
              <w:rPr>
                <w:sz w:val="18"/>
                <w:szCs w:val="18"/>
                <w:lang w:val="fr"/>
              </w:rPr>
              <w:t>Réfrigération</w:t>
            </w:r>
          </w:p>
        </w:tc>
        <w:tc>
          <w:tcPr>
            <w:tcW w:w="817" w:type="dxa"/>
            <w:vAlign w:val="center"/>
            <w:hideMark/>
          </w:tcPr>
          <w:p w14:paraId="5FF077BA" w14:textId="77777777" w:rsidR="00F65F7C" w:rsidRPr="00AF426F" w:rsidRDefault="00F65F7C" w:rsidP="006B1FAA">
            <w:pPr>
              <w:jc w:val="center"/>
              <w:rPr>
                <w:sz w:val="18"/>
                <w:szCs w:val="18"/>
              </w:rPr>
            </w:pPr>
            <w:r w:rsidRPr="00AF426F">
              <w:rPr>
                <w:sz w:val="18"/>
                <w:szCs w:val="18"/>
                <w:lang w:val="fr"/>
              </w:rPr>
              <w:t>Solvant</w:t>
            </w:r>
          </w:p>
        </w:tc>
        <w:tc>
          <w:tcPr>
            <w:tcW w:w="1417" w:type="dxa"/>
            <w:vAlign w:val="center"/>
            <w:hideMark/>
          </w:tcPr>
          <w:p w14:paraId="272DFB9B" w14:textId="77777777" w:rsidR="00F65F7C" w:rsidRPr="00AF426F" w:rsidRDefault="00F65F7C" w:rsidP="006B1FAA">
            <w:pPr>
              <w:jc w:val="center"/>
              <w:rPr>
                <w:sz w:val="18"/>
                <w:szCs w:val="18"/>
              </w:rPr>
            </w:pPr>
            <w:r w:rsidRPr="00AF426F">
              <w:rPr>
                <w:sz w:val="18"/>
                <w:szCs w:val="18"/>
                <w:lang w:val="fr"/>
              </w:rPr>
              <w:t>Agents de transformation</w:t>
            </w:r>
          </w:p>
        </w:tc>
        <w:tc>
          <w:tcPr>
            <w:tcW w:w="1006" w:type="dxa"/>
            <w:vAlign w:val="center"/>
            <w:hideMark/>
          </w:tcPr>
          <w:p w14:paraId="2A1A2567" w14:textId="77777777" w:rsidR="00F65F7C" w:rsidRPr="00AF426F" w:rsidRDefault="00F65F7C" w:rsidP="006B1FAA">
            <w:pPr>
              <w:jc w:val="center"/>
              <w:rPr>
                <w:sz w:val="18"/>
                <w:szCs w:val="18"/>
              </w:rPr>
            </w:pPr>
            <w:r w:rsidRPr="00AF426F">
              <w:rPr>
                <w:sz w:val="18"/>
                <w:szCs w:val="18"/>
                <w:lang w:val="fr"/>
              </w:rPr>
              <w:t>Utilisation en laboratoire</w:t>
            </w:r>
          </w:p>
        </w:tc>
        <w:tc>
          <w:tcPr>
            <w:tcW w:w="1530" w:type="dxa"/>
            <w:vAlign w:val="center"/>
            <w:hideMark/>
          </w:tcPr>
          <w:p w14:paraId="4819ADD2" w14:textId="77777777" w:rsidR="00F65F7C" w:rsidRPr="00AF426F" w:rsidRDefault="00F65F7C" w:rsidP="006B1FAA">
            <w:pPr>
              <w:jc w:val="center"/>
              <w:rPr>
                <w:sz w:val="18"/>
                <w:szCs w:val="18"/>
              </w:rPr>
            </w:pPr>
            <w:r w:rsidRPr="00AF426F">
              <w:rPr>
                <w:sz w:val="18"/>
                <w:szCs w:val="18"/>
                <w:lang w:val="fr"/>
              </w:rPr>
              <w:t>Consommation totale par secteur</w:t>
            </w:r>
          </w:p>
        </w:tc>
      </w:tr>
      <w:tr w:rsidR="00F65F7C" w:rsidRPr="00830019" w14:paraId="2A813F0D" w14:textId="77777777" w:rsidTr="00E40720">
        <w:trPr>
          <w:trHeight w:val="249"/>
          <w:jc w:val="center"/>
        </w:trPr>
        <w:tc>
          <w:tcPr>
            <w:tcW w:w="4135" w:type="dxa"/>
            <w:gridSpan w:val="4"/>
            <w:hideMark/>
          </w:tcPr>
          <w:p w14:paraId="301FDAD8" w14:textId="77777777" w:rsidR="00F65F7C" w:rsidRPr="00AF426F" w:rsidRDefault="00F65F7C" w:rsidP="006B1FAA">
            <w:pPr>
              <w:jc w:val="center"/>
              <w:rPr>
                <w:sz w:val="18"/>
                <w:szCs w:val="18"/>
              </w:rPr>
            </w:pPr>
          </w:p>
        </w:tc>
        <w:tc>
          <w:tcPr>
            <w:tcW w:w="1080" w:type="dxa"/>
            <w:hideMark/>
          </w:tcPr>
          <w:p w14:paraId="511B6D3B" w14:textId="77777777" w:rsidR="00F65F7C" w:rsidRPr="00AF426F" w:rsidRDefault="00F65F7C" w:rsidP="006B1FAA">
            <w:pPr>
              <w:jc w:val="center"/>
              <w:rPr>
                <w:sz w:val="18"/>
                <w:szCs w:val="18"/>
              </w:rPr>
            </w:pPr>
            <w:r w:rsidRPr="00AF426F">
              <w:rPr>
                <w:sz w:val="18"/>
                <w:szCs w:val="18"/>
                <w:lang w:val="fr"/>
              </w:rPr>
              <w:t>Fabrication</w:t>
            </w:r>
          </w:p>
        </w:tc>
        <w:tc>
          <w:tcPr>
            <w:tcW w:w="900" w:type="dxa"/>
            <w:hideMark/>
          </w:tcPr>
          <w:p w14:paraId="243A4554" w14:textId="77777777" w:rsidR="00F65F7C" w:rsidRPr="00AF426F" w:rsidRDefault="00F65F7C" w:rsidP="006B1FAA">
            <w:pPr>
              <w:jc w:val="center"/>
              <w:rPr>
                <w:sz w:val="18"/>
                <w:szCs w:val="18"/>
              </w:rPr>
            </w:pPr>
            <w:r w:rsidRPr="00AF426F">
              <w:rPr>
                <w:sz w:val="18"/>
                <w:szCs w:val="18"/>
                <w:lang w:val="fr"/>
              </w:rPr>
              <w:t>Entretien</w:t>
            </w:r>
          </w:p>
        </w:tc>
        <w:tc>
          <w:tcPr>
            <w:tcW w:w="4770" w:type="dxa"/>
            <w:gridSpan w:val="4"/>
          </w:tcPr>
          <w:p w14:paraId="6A8279A2" w14:textId="77777777" w:rsidR="00F65F7C" w:rsidRPr="00AF426F" w:rsidRDefault="00F65F7C" w:rsidP="006B1FAA">
            <w:pPr>
              <w:jc w:val="center"/>
              <w:rPr>
                <w:sz w:val="18"/>
                <w:szCs w:val="18"/>
              </w:rPr>
            </w:pPr>
          </w:p>
        </w:tc>
      </w:tr>
      <w:tr w:rsidR="00F65F7C" w:rsidRPr="00830019" w14:paraId="00376012" w14:textId="77777777" w:rsidTr="00E40720">
        <w:trPr>
          <w:trHeight w:val="249"/>
          <w:jc w:val="center"/>
        </w:trPr>
        <w:tc>
          <w:tcPr>
            <w:tcW w:w="1165" w:type="dxa"/>
            <w:hideMark/>
          </w:tcPr>
          <w:p w14:paraId="3B5CB196" w14:textId="77777777" w:rsidR="00F65F7C" w:rsidRPr="00AF426F" w:rsidRDefault="00F65F7C" w:rsidP="006B1FAA">
            <w:pPr>
              <w:ind w:left="32"/>
              <w:jc w:val="left"/>
              <w:rPr>
                <w:sz w:val="18"/>
                <w:szCs w:val="18"/>
              </w:rPr>
            </w:pPr>
            <w:r w:rsidRPr="00AF426F">
              <w:rPr>
                <w:sz w:val="18"/>
                <w:szCs w:val="18"/>
                <w:lang w:val="fr"/>
              </w:rPr>
              <w:t>HCFC-22</w:t>
            </w:r>
          </w:p>
        </w:tc>
        <w:tc>
          <w:tcPr>
            <w:tcW w:w="990" w:type="dxa"/>
          </w:tcPr>
          <w:p w14:paraId="6E15957D" w14:textId="77777777" w:rsidR="00F65F7C" w:rsidRPr="00AF426F" w:rsidRDefault="00F65F7C" w:rsidP="006B1FAA">
            <w:pPr>
              <w:jc w:val="right"/>
              <w:rPr>
                <w:sz w:val="18"/>
                <w:szCs w:val="18"/>
              </w:rPr>
            </w:pPr>
          </w:p>
        </w:tc>
        <w:tc>
          <w:tcPr>
            <w:tcW w:w="900" w:type="dxa"/>
          </w:tcPr>
          <w:p w14:paraId="4D14DFFC" w14:textId="77777777" w:rsidR="00F65F7C" w:rsidRPr="00AF426F" w:rsidRDefault="00F65F7C" w:rsidP="006B1FAA">
            <w:pPr>
              <w:jc w:val="right"/>
              <w:rPr>
                <w:sz w:val="18"/>
                <w:szCs w:val="18"/>
              </w:rPr>
            </w:pPr>
          </w:p>
        </w:tc>
        <w:tc>
          <w:tcPr>
            <w:tcW w:w="1080" w:type="dxa"/>
          </w:tcPr>
          <w:p w14:paraId="34E19EE3" w14:textId="77777777" w:rsidR="00F65F7C" w:rsidRPr="00AF426F" w:rsidRDefault="00F65F7C" w:rsidP="006B1FAA">
            <w:pPr>
              <w:jc w:val="right"/>
              <w:rPr>
                <w:sz w:val="18"/>
                <w:szCs w:val="18"/>
              </w:rPr>
            </w:pPr>
          </w:p>
        </w:tc>
        <w:tc>
          <w:tcPr>
            <w:tcW w:w="1080" w:type="dxa"/>
          </w:tcPr>
          <w:p w14:paraId="4E994A39" w14:textId="77777777" w:rsidR="00F65F7C" w:rsidRPr="00AF426F" w:rsidRDefault="00F65F7C" w:rsidP="006B1FAA">
            <w:pPr>
              <w:jc w:val="center"/>
              <w:rPr>
                <w:sz w:val="18"/>
                <w:szCs w:val="18"/>
              </w:rPr>
            </w:pPr>
            <w:r w:rsidRPr="00AF426F">
              <w:rPr>
                <w:sz w:val="18"/>
                <w:szCs w:val="18"/>
                <w:lang w:val="fr"/>
              </w:rPr>
              <w:t>25,55</w:t>
            </w:r>
          </w:p>
        </w:tc>
        <w:tc>
          <w:tcPr>
            <w:tcW w:w="900" w:type="dxa"/>
          </w:tcPr>
          <w:p w14:paraId="69C14BCA" w14:textId="77777777" w:rsidR="00F65F7C" w:rsidRPr="00AF426F" w:rsidRDefault="00F65F7C" w:rsidP="006B1FAA">
            <w:pPr>
              <w:jc w:val="right"/>
              <w:rPr>
                <w:sz w:val="18"/>
                <w:szCs w:val="18"/>
              </w:rPr>
            </w:pPr>
            <w:r w:rsidRPr="00AF426F">
              <w:rPr>
                <w:sz w:val="18"/>
                <w:szCs w:val="18"/>
                <w:lang w:val="fr"/>
              </w:rPr>
              <w:t>294,50</w:t>
            </w:r>
          </w:p>
        </w:tc>
        <w:tc>
          <w:tcPr>
            <w:tcW w:w="817" w:type="dxa"/>
          </w:tcPr>
          <w:p w14:paraId="3785717B" w14:textId="77777777" w:rsidR="00F65F7C" w:rsidRPr="00AF426F" w:rsidRDefault="00F65F7C" w:rsidP="006B1FAA">
            <w:pPr>
              <w:jc w:val="right"/>
              <w:rPr>
                <w:sz w:val="18"/>
                <w:szCs w:val="18"/>
              </w:rPr>
            </w:pPr>
          </w:p>
        </w:tc>
        <w:tc>
          <w:tcPr>
            <w:tcW w:w="1417" w:type="dxa"/>
          </w:tcPr>
          <w:p w14:paraId="155F4125" w14:textId="77777777" w:rsidR="00F65F7C" w:rsidRPr="00AF426F" w:rsidRDefault="00F65F7C" w:rsidP="006B1FAA">
            <w:pPr>
              <w:jc w:val="right"/>
              <w:rPr>
                <w:sz w:val="18"/>
                <w:szCs w:val="18"/>
              </w:rPr>
            </w:pPr>
          </w:p>
        </w:tc>
        <w:tc>
          <w:tcPr>
            <w:tcW w:w="1006" w:type="dxa"/>
          </w:tcPr>
          <w:p w14:paraId="0252EA88" w14:textId="77777777" w:rsidR="00F65F7C" w:rsidRPr="00AF426F" w:rsidRDefault="00F65F7C" w:rsidP="006B1FAA">
            <w:pPr>
              <w:jc w:val="right"/>
              <w:rPr>
                <w:sz w:val="18"/>
                <w:szCs w:val="18"/>
              </w:rPr>
            </w:pPr>
          </w:p>
        </w:tc>
        <w:tc>
          <w:tcPr>
            <w:tcW w:w="1530" w:type="dxa"/>
          </w:tcPr>
          <w:p w14:paraId="41FC1ED3" w14:textId="77777777" w:rsidR="00F65F7C" w:rsidRPr="00AF426F" w:rsidRDefault="00F65F7C" w:rsidP="006B1FAA">
            <w:pPr>
              <w:jc w:val="right"/>
              <w:rPr>
                <w:sz w:val="18"/>
                <w:szCs w:val="18"/>
              </w:rPr>
            </w:pPr>
            <w:r w:rsidRPr="00AF426F">
              <w:rPr>
                <w:color w:val="000000" w:themeColor="text1"/>
                <w:sz w:val="18"/>
                <w:szCs w:val="18"/>
                <w:lang w:val="fr"/>
              </w:rPr>
              <w:t>320,05</w:t>
            </w:r>
          </w:p>
        </w:tc>
      </w:tr>
      <w:tr w:rsidR="00F65F7C" w:rsidRPr="00830019" w14:paraId="0C6C7D1C" w14:textId="77777777" w:rsidTr="00E40720">
        <w:trPr>
          <w:trHeight w:val="249"/>
          <w:jc w:val="center"/>
        </w:trPr>
        <w:tc>
          <w:tcPr>
            <w:tcW w:w="1165" w:type="dxa"/>
            <w:hideMark/>
          </w:tcPr>
          <w:p w14:paraId="676D4DBB" w14:textId="77777777" w:rsidR="00F65F7C" w:rsidRPr="00AF426F" w:rsidRDefault="00F65F7C" w:rsidP="006B1FAA">
            <w:pPr>
              <w:ind w:left="32"/>
              <w:jc w:val="left"/>
              <w:rPr>
                <w:sz w:val="18"/>
                <w:szCs w:val="18"/>
              </w:rPr>
            </w:pPr>
            <w:r w:rsidRPr="00AF426F">
              <w:rPr>
                <w:sz w:val="18"/>
                <w:szCs w:val="18"/>
                <w:lang w:val="fr"/>
              </w:rPr>
              <w:t>HCFC-123</w:t>
            </w:r>
          </w:p>
        </w:tc>
        <w:tc>
          <w:tcPr>
            <w:tcW w:w="990" w:type="dxa"/>
          </w:tcPr>
          <w:p w14:paraId="674BEBCE" w14:textId="77777777" w:rsidR="00F65F7C" w:rsidRPr="00AF426F" w:rsidRDefault="00F65F7C" w:rsidP="006B1FAA">
            <w:pPr>
              <w:jc w:val="right"/>
              <w:rPr>
                <w:sz w:val="18"/>
                <w:szCs w:val="18"/>
              </w:rPr>
            </w:pPr>
          </w:p>
        </w:tc>
        <w:tc>
          <w:tcPr>
            <w:tcW w:w="900" w:type="dxa"/>
          </w:tcPr>
          <w:p w14:paraId="66A22323" w14:textId="77777777" w:rsidR="00F65F7C" w:rsidRPr="00AF426F" w:rsidRDefault="00F65F7C" w:rsidP="006B1FAA">
            <w:pPr>
              <w:jc w:val="right"/>
              <w:rPr>
                <w:sz w:val="18"/>
                <w:szCs w:val="18"/>
              </w:rPr>
            </w:pPr>
          </w:p>
        </w:tc>
        <w:tc>
          <w:tcPr>
            <w:tcW w:w="1080" w:type="dxa"/>
          </w:tcPr>
          <w:p w14:paraId="752AE5BB" w14:textId="77777777" w:rsidR="00F65F7C" w:rsidRPr="00AF426F" w:rsidRDefault="00F65F7C" w:rsidP="006B1FAA">
            <w:pPr>
              <w:jc w:val="right"/>
              <w:rPr>
                <w:sz w:val="18"/>
                <w:szCs w:val="18"/>
              </w:rPr>
            </w:pPr>
            <w:r w:rsidRPr="00AF426F">
              <w:rPr>
                <w:sz w:val="18"/>
                <w:szCs w:val="18"/>
                <w:lang w:val="fr"/>
              </w:rPr>
              <w:t>0,22</w:t>
            </w:r>
          </w:p>
        </w:tc>
        <w:tc>
          <w:tcPr>
            <w:tcW w:w="1080" w:type="dxa"/>
          </w:tcPr>
          <w:p w14:paraId="09BC25FB" w14:textId="77777777" w:rsidR="00F65F7C" w:rsidRPr="00AF426F" w:rsidRDefault="00F65F7C" w:rsidP="006B1FAA">
            <w:pPr>
              <w:jc w:val="right"/>
              <w:rPr>
                <w:sz w:val="18"/>
                <w:szCs w:val="18"/>
              </w:rPr>
            </w:pPr>
          </w:p>
        </w:tc>
        <w:tc>
          <w:tcPr>
            <w:tcW w:w="900" w:type="dxa"/>
          </w:tcPr>
          <w:p w14:paraId="1209C928" w14:textId="77777777" w:rsidR="00F65F7C" w:rsidRPr="00AF426F" w:rsidRDefault="00F65F7C" w:rsidP="006B1FAA">
            <w:pPr>
              <w:jc w:val="right"/>
              <w:rPr>
                <w:sz w:val="18"/>
                <w:szCs w:val="18"/>
              </w:rPr>
            </w:pPr>
            <w:r w:rsidRPr="00AF426F">
              <w:rPr>
                <w:sz w:val="18"/>
                <w:szCs w:val="18"/>
                <w:lang w:val="fr"/>
              </w:rPr>
              <w:t>1,47</w:t>
            </w:r>
          </w:p>
        </w:tc>
        <w:tc>
          <w:tcPr>
            <w:tcW w:w="817" w:type="dxa"/>
          </w:tcPr>
          <w:p w14:paraId="1C76B523" w14:textId="77777777" w:rsidR="00F65F7C" w:rsidRPr="00AF426F" w:rsidRDefault="00F65F7C" w:rsidP="006B1FAA">
            <w:pPr>
              <w:jc w:val="right"/>
              <w:rPr>
                <w:sz w:val="18"/>
                <w:szCs w:val="18"/>
              </w:rPr>
            </w:pPr>
          </w:p>
        </w:tc>
        <w:tc>
          <w:tcPr>
            <w:tcW w:w="1417" w:type="dxa"/>
          </w:tcPr>
          <w:p w14:paraId="110FBCA2" w14:textId="77777777" w:rsidR="00F65F7C" w:rsidRPr="00AF426F" w:rsidRDefault="00F65F7C" w:rsidP="006B1FAA">
            <w:pPr>
              <w:jc w:val="right"/>
              <w:rPr>
                <w:sz w:val="18"/>
                <w:szCs w:val="18"/>
              </w:rPr>
            </w:pPr>
          </w:p>
        </w:tc>
        <w:tc>
          <w:tcPr>
            <w:tcW w:w="1006" w:type="dxa"/>
          </w:tcPr>
          <w:p w14:paraId="23C4602E" w14:textId="77777777" w:rsidR="00F65F7C" w:rsidRPr="00AF426F" w:rsidRDefault="00F65F7C" w:rsidP="006B1FAA">
            <w:pPr>
              <w:jc w:val="right"/>
              <w:rPr>
                <w:sz w:val="18"/>
                <w:szCs w:val="18"/>
              </w:rPr>
            </w:pPr>
          </w:p>
        </w:tc>
        <w:tc>
          <w:tcPr>
            <w:tcW w:w="1530" w:type="dxa"/>
          </w:tcPr>
          <w:p w14:paraId="3FAA8992" w14:textId="77777777" w:rsidR="00F65F7C" w:rsidRPr="00AF426F" w:rsidRDefault="00F65F7C" w:rsidP="006B1FAA">
            <w:pPr>
              <w:jc w:val="right"/>
              <w:rPr>
                <w:sz w:val="18"/>
                <w:szCs w:val="18"/>
              </w:rPr>
            </w:pPr>
            <w:r w:rsidRPr="00AF426F">
              <w:rPr>
                <w:sz w:val="18"/>
                <w:szCs w:val="18"/>
                <w:lang w:val="fr"/>
              </w:rPr>
              <w:t>1,69</w:t>
            </w:r>
          </w:p>
        </w:tc>
      </w:tr>
    </w:tbl>
    <w:p w14:paraId="39085132" w14:textId="77777777" w:rsidR="00F65F7C" w:rsidRPr="00862FA7" w:rsidRDefault="00F65F7C" w:rsidP="00F65F7C">
      <w:pPr>
        <w:jc w:val="center"/>
        <w:rPr>
          <w:sz w:val="18"/>
          <w:szCs w:val="18"/>
        </w:rPr>
      </w:pPr>
    </w:p>
    <w:tbl>
      <w:tblPr>
        <w:tblStyle w:val="TableGrid"/>
        <w:tblW w:w="10839" w:type="dxa"/>
        <w:jc w:val="center"/>
        <w:tblLook w:val="04A0" w:firstRow="1" w:lastRow="0" w:firstColumn="1" w:lastColumn="0" w:noHBand="0" w:noVBand="1"/>
      </w:tblPr>
      <w:tblGrid>
        <w:gridCol w:w="3261"/>
        <w:gridCol w:w="1701"/>
        <w:gridCol w:w="4394"/>
        <w:gridCol w:w="1483"/>
      </w:tblGrid>
      <w:tr w:rsidR="00F65F7C" w:rsidRPr="00AF426F" w14:paraId="509EEB7E" w14:textId="77777777" w:rsidTr="00243D0C">
        <w:trPr>
          <w:trHeight w:val="276"/>
          <w:jc w:val="center"/>
        </w:trPr>
        <w:tc>
          <w:tcPr>
            <w:tcW w:w="10839" w:type="dxa"/>
            <w:gridSpan w:val="4"/>
            <w:hideMark/>
          </w:tcPr>
          <w:p w14:paraId="0F1FC395" w14:textId="77777777" w:rsidR="00F65F7C" w:rsidRPr="00F65F7C" w:rsidRDefault="00F65F7C" w:rsidP="006B1FAA">
            <w:pPr>
              <w:jc w:val="left"/>
              <w:rPr>
                <w:b/>
                <w:sz w:val="20"/>
                <w:szCs w:val="20"/>
                <w:lang w:val="fr-FR"/>
              </w:rPr>
            </w:pPr>
            <w:r>
              <w:rPr>
                <w:b/>
                <w:bCs/>
                <w:sz w:val="20"/>
                <w:szCs w:val="20"/>
                <w:lang w:val="fr"/>
              </w:rPr>
              <w:t>(IV) DONNÉES SUR LA CONSOMMATION (tonnes PAO)</w:t>
            </w:r>
          </w:p>
        </w:tc>
      </w:tr>
      <w:tr w:rsidR="00F65F7C" w:rsidRPr="00E64920" w14:paraId="673F3C4C" w14:textId="77777777" w:rsidTr="00243D0C">
        <w:trPr>
          <w:trHeight w:val="276"/>
          <w:jc w:val="center"/>
        </w:trPr>
        <w:tc>
          <w:tcPr>
            <w:tcW w:w="3261" w:type="dxa"/>
            <w:hideMark/>
          </w:tcPr>
          <w:p w14:paraId="7BBD1BBC" w14:textId="77777777" w:rsidR="00F65F7C" w:rsidRPr="00830019" w:rsidRDefault="00F65F7C" w:rsidP="006B1FAA">
            <w:pPr>
              <w:jc w:val="center"/>
              <w:rPr>
                <w:sz w:val="20"/>
                <w:szCs w:val="20"/>
              </w:rPr>
            </w:pPr>
            <w:r>
              <w:rPr>
                <w:sz w:val="20"/>
                <w:szCs w:val="20"/>
                <w:lang w:val="fr"/>
              </w:rPr>
              <w:t>Valeur de référence 2009-2010 :</w:t>
            </w:r>
          </w:p>
        </w:tc>
        <w:tc>
          <w:tcPr>
            <w:tcW w:w="1701" w:type="dxa"/>
            <w:hideMark/>
          </w:tcPr>
          <w:p w14:paraId="20DDE8C5" w14:textId="77777777" w:rsidR="00F65F7C" w:rsidRPr="00E64920" w:rsidRDefault="00F65F7C" w:rsidP="006B1FAA">
            <w:pPr>
              <w:jc w:val="right"/>
              <w:rPr>
                <w:sz w:val="20"/>
                <w:szCs w:val="20"/>
              </w:rPr>
            </w:pPr>
            <w:r>
              <w:rPr>
                <w:color w:val="000000" w:themeColor="text1"/>
                <w:sz w:val="20"/>
                <w:szCs w:val="20"/>
                <w:lang w:val="fr"/>
              </w:rPr>
              <w:t>1 608,2</w:t>
            </w:r>
          </w:p>
        </w:tc>
        <w:tc>
          <w:tcPr>
            <w:tcW w:w="4394" w:type="dxa"/>
            <w:hideMark/>
          </w:tcPr>
          <w:p w14:paraId="7C378F93" w14:textId="77777777" w:rsidR="00F65F7C" w:rsidRPr="00F65F7C" w:rsidRDefault="00F65F7C" w:rsidP="006B1FAA">
            <w:pPr>
              <w:jc w:val="center"/>
              <w:rPr>
                <w:sz w:val="20"/>
                <w:szCs w:val="20"/>
                <w:lang w:val="fr-FR"/>
              </w:rPr>
            </w:pPr>
            <w:r>
              <w:rPr>
                <w:sz w:val="20"/>
                <w:szCs w:val="20"/>
                <w:lang w:val="fr"/>
              </w:rPr>
              <w:t>Point de départ des réductions globales durables :</w:t>
            </w:r>
          </w:p>
        </w:tc>
        <w:tc>
          <w:tcPr>
            <w:tcW w:w="1483" w:type="dxa"/>
            <w:hideMark/>
          </w:tcPr>
          <w:p w14:paraId="7A8BFB93" w14:textId="77777777" w:rsidR="00F65F7C" w:rsidRPr="00E64920" w:rsidRDefault="00F65F7C" w:rsidP="006B1FAA">
            <w:pPr>
              <w:jc w:val="right"/>
              <w:rPr>
                <w:sz w:val="20"/>
                <w:szCs w:val="20"/>
              </w:rPr>
            </w:pPr>
            <w:r>
              <w:rPr>
                <w:color w:val="000000" w:themeColor="text1"/>
                <w:sz w:val="20"/>
                <w:szCs w:val="20"/>
                <w:lang w:val="fr"/>
              </w:rPr>
              <w:t>1 691,25</w:t>
            </w:r>
          </w:p>
        </w:tc>
      </w:tr>
      <w:tr w:rsidR="00F65F7C" w:rsidRPr="00E64920" w14:paraId="13562B23" w14:textId="77777777" w:rsidTr="00243D0C">
        <w:trPr>
          <w:trHeight w:val="276"/>
          <w:jc w:val="center"/>
        </w:trPr>
        <w:tc>
          <w:tcPr>
            <w:tcW w:w="10839" w:type="dxa"/>
            <w:gridSpan w:val="4"/>
            <w:hideMark/>
          </w:tcPr>
          <w:p w14:paraId="7FF92039" w14:textId="77777777" w:rsidR="00F65F7C" w:rsidRPr="00E64920" w:rsidRDefault="00F65F7C" w:rsidP="006B1FAA">
            <w:pPr>
              <w:ind w:left="316"/>
              <w:rPr>
                <w:b/>
                <w:sz w:val="20"/>
                <w:szCs w:val="20"/>
              </w:rPr>
            </w:pPr>
            <w:r>
              <w:rPr>
                <w:b/>
                <w:bCs/>
                <w:sz w:val="20"/>
                <w:szCs w:val="20"/>
                <w:lang w:val="fr"/>
              </w:rPr>
              <w:t>CONSOMMATION ADMISSIBLE AU FINANCEMENT</w:t>
            </w:r>
          </w:p>
        </w:tc>
      </w:tr>
      <w:tr w:rsidR="00F65F7C" w:rsidRPr="00E64920" w14:paraId="2206F5D3" w14:textId="77777777" w:rsidTr="00243D0C">
        <w:trPr>
          <w:trHeight w:val="276"/>
          <w:jc w:val="center"/>
        </w:trPr>
        <w:tc>
          <w:tcPr>
            <w:tcW w:w="3261" w:type="dxa"/>
            <w:hideMark/>
          </w:tcPr>
          <w:p w14:paraId="6BC19E13" w14:textId="77777777" w:rsidR="00F65F7C" w:rsidRPr="00830019" w:rsidRDefault="00F65F7C" w:rsidP="006B1FAA">
            <w:pPr>
              <w:jc w:val="center"/>
              <w:rPr>
                <w:sz w:val="20"/>
                <w:szCs w:val="20"/>
              </w:rPr>
            </w:pPr>
            <w:r>
              <w:rPr>
                <w:sz w:val="20"/>
                <w:szCs w:val="20"/>
                <w:lang w:val="fr"/>
              </w:rPr>
              <w:t>Déjà approuvée :</w:t>
            </w:r>
          </w:p>
        </w:tc>
        <w:tc>
          <w:tcPr>
            <w:tcW w:w="1701" w:type="dxa"/>
            <w:hideMark/>
          </w:tcPr>
          <w:p w14:paraId="7DDA403A" w14:textId="77777777" w:rsidR="00F65F7C" w:rsidRPr="00E64920" w:rsidRDefault="00F65F7C" w:rsidP="006B1FAA">
            <w:pPr>
              <w:jc w:val="right"/>
              <w:rPr>
                <w:sz w:val="20"/>
                <w:szCs w:val="20"/>
              </w:rPr>
            </w:pPr>
            <w:r>
              <w:rPr>
                <w:color w:val="000000" w:themeColor="text1"/>
                <w:sz w:val="20"/>
                <w:szCs w:val="20"/>
                <w:lang w:val="fr"/>
              </w:rPr>
              <w:t>1 691,25</w:t>
            </w:r>
          </w:p>
        </w:tc>
        <w:tc>
          <w:tcPr>
            <w:tcW w:w="4394" w:type="dxa"/>
            <w:hideMark/>
          </w:tcPr>
          <w:p w14:paraId="38DEDEB1" w14:textId="77777777" w:rsidR="00F65F7C" w:rsidRPr="00E64920" w:rsidRDefault="00F65F7C" w:rsidP="006B1FAA">
            <w:pPr>
              <w:jc w:val="center"/>
              <w:rPr>
                <w:i/>
                <w:sz w:val="20"/>
                <w:szCs w:val="20"/>
              </w:rPr>
            </w:pPr>
            <w:r>
              <w:rPr>
                <w:sz w:val="20"/>
                <w:szCs w:val="20"/>
                <w:lang w:val="fr"/>
              </w:rPr>
              <w:t>Restante :</w:t>
            </w:r>
          </w:p>
        </w:tc>
        <w:tc>
          <w:tcPr>
            <w:tcW w:w="1483" w:type="dxa"/>
            <w:hideMark/>
          </w:tcPr>
          <w:p w14:paraId="5911FC40" w14:textId="77777777" w:rsidR="00F65F7C" w:rsidRPr="00E64920" w:rsidRDefault="00F65F7C" w:rsidP="006B1FAA">
            <w:pPr>
              <w:jc w:val="right"/>
              <w:rPr>
                <w:sz w:val="20"/>
                <w:szCs w:val="20"/>
              </w:rPr>
            </w:pPr>
            <w:r>
              <w:rPr>
                <w:color w:val="000000" w:themeColor="text1"/>
                <w:sz w:val="20"/>
                <w:szCs w:val="20"/>
                <w:lang w:val="fr"/>
              </w:rPr>
              <w:t>0,00</w:t>
            </w:r>
          </w:p>
        </w:tc>
      </w:tr>
    </w:tbl>
    <w:p w14:paraId="00115993" w14:textId="77777777" w:rsidR="00F65F7C" w:rsidRPr="00862FA7" w:rsidRDefault="00F65F7C" w:rsidP="00F65F7C">
      <w:pPr>
        <w:jc w:val="center"/>
        <w:rPr>
          <w:sz w:val="18"/>
          <w:szCs w:val="18"/>
        </w:rPr>
      </w:pPr>
    </w:p>
    <w:tbl>
      <w:tblPr>
        <w:tblStyle w:val="TableGrid"/>
        <w:tblW w:w="5794" w:type="pct"/>
        <w:jc w:val="center"/>
        <w:tblLook w:val="04A0" w:firstRow="1" w:lastRow="0" w:firstColumn="1" w:lastColumn="0" w:noHBand="0" w:noVBand="1"/>
      </w:tblPr>
      <w:tblGrid>
        <w:gridCol w:w="1845"/>
        <w:gridCol w:w="3084"/>
        <w:gridCol w:w="1458"/>
        <w:gridCol w:w="1458"/>
        <w:gridCol w:w="1458"/>
        <w:gridCol w:w="1532"/>
      </w:tblGrid>
      <w:tr w:rsidR="00F65F7C" w:rsidRPr="00830019" w14:paraId="6E6D88CD" w14:textId="77777777" w:rsidTr="00243D0C">
        <w:trPr>
          <w:trHeight w:val="264"/>
          <w:jc w:val="center"/>
        </w:trPr>
        <w:tc>
          <w:tcPr>
            <w:tcW w:w="2274" w:type="pct"/>
            <w:gridSpan w:val="2"/>
            <w:hideMark/>
          </w:tcPr>
          <w:p w14:paraId="34A61F8A" w14:textId="77777777" w:rsidR="00F65F7C" w:rsidRPr="00830019" w:rsidRDefault="00F65F7C" w:rsidP="006B1FAA">
            <w:pPr>
              <w:jc w:val="left"/>
              <w:rPr>
                <w:b/>
                <w:sz w:val="20"/>
                <w:szCs w:val="20"/>
              </w:rPr>
            </w:pPr>
            <w:r>
              <w:rPr>
                <w:b/>
                <w:bCs/>
                <w:sz w:val="20"/>
                <w:szCs w:val="20"/>
                <w:lang w:val="fr"/>
              </w:rPr>
              <w:t>(V) PLAN D’ACTIVITÉS ENTÉRINÉ</w:t>
            </w:r>
          </w:p>
        </w:tc>
        <w:tc>
          <w:tcPr>
            <w:tcW w:w="673" w:type="pct"/>
            <w:vAlign w:val="center"/>
            <w:hideMark/>
          </w:tcPr>
          <w:p w14:paraId="6414C161" w14:textId="77777777" w:rsidR="00F65F7C" w:rsidRPr="00830019" w:rsidRDefault="00F65F7C" w:rsidP="006B1FAA">
            <w:pPr>
              <w:jc w:val="center"/>
              <w:rPr>
                <w:b/>
                <w:sz w:val="20"/>
                <w:szCs w:val="20"/>
              </w:rPr>
            </w:pPr>
            <w:r>
              <w:rPr>
                <w:b/>
                <w:bCs/>
                <w:sz w:val="20"/>
                <w:szCs w:val="20"/>
                <w:lang w:val="fr"/>
              </w:rPr>
              <w:t>2024</w:t>
            </w:r>
          </w:p>
        </w:tc>
        <w:tc>
          <w:tcPr>
            <w:tcW w:w="673" w:type="pct"/>
            <w:vAlign w:val="center"/>
            <w:hideMark/>
          </w:tcPr>
          <w:p w14:paraId="0B4BA253" w14:textId="77777777" w:rsidR="00F65F7C" w:rsidRPr="00830019" w:rsidRDefault="00F65F7C" w:rsidP="006B1FAA">
            <w:pPr>
              <w:jc w:val="center"/>
              <w:rPr>
                <w:b/>
                <w:sz w:val="20"/>
                <w:szCs w:val="20"/>
              </w:rPr>
            </w:pPr>
            <w:r>
              <w:rPr>
                <w:b/>
                <w:bCs/>
                <w:sz w:val="20"/>
                <w:szCs w:val="20"/>
                <w:lang w:val="fr"/>
              </w:rPr>
              <w:t>2025</w:t>
            </w:r>
          </w:p>
        </w:tc>
        <w:tc>
          <w:tcPr>
            <w:tcW w:w="673" w:type="pct"/>
            <w:vAlign w:val="center"/>
            <w:hideMark/>
          </w:tcPr>
          <w:p w14:paraId="6F9EF5D5" w14:textId="77777777" w:rsidR="00F65F7C" w:rsidRPr="00830019" w:rsidRDefault="00F65F7C" w:rsidP="006B1FAA">
            <w:pPr>
              <w:jc w:val="center"/>
              <w:rPr>
                <w:b/>
                <w:sz w:val="20"/>
                <w:szCs w:val="20"/>
              </w:rPr>
            </w:pPr>
            <w:r>
              <w:rPr>
                <w:b/>
                <w:bCs/>
                <w:sz w:val="20"/>
                <w:szCs w:val="20"/>
                <w:lang w:val="fr"/>
              </w:rPr>
              <w:t>2026</w:t>
            </w:r>
          </w:p>
        </w:tc>
        <w:tc>
          <w:tcPr>
            <w:tcW w:w="707" w:type="pct"/>
            <w:vAlign w:val="center"/>
            <w:hideMark/>
          </w:tcPr>
          <w:p w14:paraId="4049E89C" w14:textId="77777777" w:rsidR="00F65F7C" w:rsidRPr="00830019" w:rsidRDefault="00F65F7C" w:rsidP="006B1FAA">
            <w:pPr>
              <w:jc w:val="center"/>
              <w:rPr>
                <w:b/>
                <w:sz w:val="20"/>
                <w:szCs w:val="20"/>
              </w:rPr>
            </w:pPr>
            <w:r>
              <w:rPr>
                <w:b/>
                <w:bCs/>
                <w:sz w:val="20"/>
                <w:szCs w:val="20"/>
                <w:lang w:val="fr"/>
              </w:rPr>
              <w:t>Total</w:t>
            </w:r>
          </w:p>
        </w:tc>
      </w:tr>
      <w:tr w:rsidR="00F65F7C" w:rsidRPr="00830019" w14:paraId="1159B326" w14:textId="77777777" w:rsidTr="00243D0C">
        <w:trPr>
          <w:trHeight w:val="187"/>
          <w:jc w:val="center"/>
        </w:trPr>
        <w:tc>
          <w:tcPr>
            <w:tcW w:w="851" w:type="pct"/>
            <w:vMerge w:val="restart"/>
            <w:vAlign w:val="center"/>
            <w:hideMark/>
          </w:tcPr>
          <w:p w14:paraId="7B262265" w14:textId="77777777" w:rsidR="00F65F7C" w:rsidRPr="00830019" w:rsidRDefault="00F65F7C" w:rsidP="006B1FAA">
            <w:pPr>
              <w:jc w:val="center"/>
              <w:rPr>
                <w:sz w:val="20"/>
                <w:szCs w:val="20"/>
              </w:rPr>
            </w:pPr>
            <w:r>
              <w:rPr>
                <w:color w:val="000000" w:themeColor="text1"/>
                <w:sz w:val="20"/>
                <w:szCs w:val="20"/>
                <w:lang w:val="fr"/>
              </w:rPr>
              <w:t>PNUD</w:t>
            </w:r>
          </w:p>
        </w:tc>
        <w:tc>
          <w:tcPr>
            <w:tcW w:w="1423" w:type="pct"/>
            <w:hideMark/>
          </w:tcPr>
          <w:p w14:paraId="01027BB3" w14:textId="77777777" w:rsidR="00F65F7C" w:rsidRPr="00F65F7C" w:rsidRDefault="00F65F7C" w:rsidP="006B1FAA">
            <w:pPr>
              <w:jc w:val="left"/>
              <w:rPr>
                <w:sz w:val="20"/>
                <w:szCs w:val="20"/>
                <w:lang w:val="fr-FR"/>
              </w:rPr>
            </w:pPr>
            <w:r>
              <w:rPr>
                <w:sz w:val="20"/>
                <w:szCs w:val="20"/>
                <w:lang w:val="fr"/>
              </w:rPr>
              <w:t>Élimination des SAO (tonnes PAO)</w:t>
            </w:r>
          </w:p>
        </w:tc>
        <w:tc>
          <w:tcPr>
            <w:tcW w:w="673" w:type="pct"/>
          </w:tcPr>
          <w:p w14:paraId="57503102" w14:textId="77777777" w:rsidR="00F65F7C" w:rsidRPr="00830019" w:rsidRDefault="00F65F7C" w:rsidP="006B1FAA">
            <w:pPr>
              <w:jc w:val="right"/>
              <w:rPr>
                <w:sz w:val="20"/>
                <w:szCs w:val="20"/>
              </w:rPr>
            </w:pPr>
            <w:r>
              <w:rPr>
                <w:sz w:val="20"/>
                <w:szCs w:val="20"/>
                <w:lang w:val="fr"/>
              </w:rPr>
              <w:t>126,70</w:t>
            </w:r>
          </w:p>
        </w:tc>
        <w:tc>
          <w:tcPr>
            <w:tcW w:w="673" w:type="pct"/>
          </w:tcPr>
          <w:p w14:paraId="3A74EF4C" w14:textId="77777777" w:rsidR="00F65F7C" w:rsidRPr="00830019" w:rsidRDefault="00F65F7C" w:rsidP="006B1FAA">
            <w:pPr>
              <w:jc w:val="right"/>
              <w:rPr>
                <w:sz w:val="20"/>
                <w:szCs w:val="20"/>
              </w:rPr>
            </w:pPr>
            <w:r>
              <w:rPr>
                <w:sz w:val="20"/>
                <w:szCs w:val="20"/>
                <w:lang w:val="fr"/>
              </w:rPr>
              <w:t>0,00</w:t>
            </w:r>
          </w:p>
        </w:tc>
        <w:tc>
          <w:tcPr>
            <w:tcW w:w="673" w:type="pct"/>
          </w:tcPr>
          <w:p w14:paraId="330D062F" w14:textId="77777777" w:rsidR="00F65F7C" w:rsidRPr="00830019" w:rsidRDefault="00F65F7C" w:rsidP="006B1FAA">
            <w:pPr>
              <w:jc w:val="right"/>
              <w:rPr>
                <w:sz w:val="20"/>
                <w:szCs w:val="20"/>
              </w:rPr>
            </w:pPr>
            <w:r>
              <w:rPr>
                <w:sz w:val="20"/>
                <w:szCs w:val="20"/>
                <w:lang w:val="fr"/>
              </w:rPr>
              <w:t>61,40</w:t>
            </w:r>
          </w:p>
        </w:tc>
        <w:tc>
          <w:tcPr>
            <w:tcW w:w="707" w:type="pct"/>
          </w:tcPr>
          <w:p w14:paraId="15B30F2B" w14:textId="77777777" w:rsidR="00F65F7C" w:rsidRPr="00830019" w:rsidRDefault="00F65F7C" w:rsidP="006B1FAA">
            <w:pPr>
              <w:jc w:val="right"/>
              <w:rPr>
                <w:sz w:val="20"/>
                <w:szCs w:val="20"/>
              </w:rPr>
            </w:pPr>
            <w:r>
              <w:rPr>
                <w:sz w:val="20"/>
                <w:szCs w:val="20"/>
                <w:lang w:val="fr"/>
              </w:rPr>
              <w:t>188,10</w:t>
            </w:r>
          </w:p>
        </w:tc>
      </w:tr>
      <w:tr w:rsidR="00F65F7C" w:rsidRPr="00830019" w14:paraId="52D437B2" w14:textId="77777777" w:rsidTr="00243D0C">
        <w:trPr>
          <w:trHeight w:val="55"/>
          <w:jc w:val="center"/>
        </w:trPr>
        <w:tc>
          <w:tcPr>
            <w:tcW w:w="851" w:type="pct"/>
            <w:vMerge/>
            <w:vAlign w:val="center"/>
            <w:hideMark/>
          </w:tcPr>
          <w:p w14:paraId="393A7A11" w14:textId="77777777" w:rsidR="00F65F7C" w:rsidRPr="00830019" w:rsidRDefault="00F65F7C" w:rsidP="006B1FAA">
            <w:pPr>
              <w:rPr>
                <w:sz w:val="20"/>
                <w:szCs w:val="20"/>
              </w:rPr>
            </w:pPr>
          </w:p>
        </w:tc>
        <w:tc>
          <w:tcPr>
            <w:tcW w:w="1423" w:type="pct"/>
            <w:hideMark/>
          </w:tcPr>
          <w:p w14:paraId="1369C009" w14:textId="77777777" w:rsidR="00F65F7C" w:rsidRPr="00830019" w:rsidRDefault="00F65F7C" w:rsidP="006B1FAA">
            <w:pPr>
              <w:jc w:val="left"/>
              <w:rPr>
                <w:sz w:val="20"/>
                <w:szCs w:val="20"/>
              </w:rPr>
            </w:pPr>
            <w:r>
              <w:rPr>
                <w:sz w:val="20"/>
                <w:szCs w:val="20"/>
                <w:lang w:val="fr"/>
              </w:rPr>
              <w:t>Financement ($ US)</w:t>
            </w:r>
          </w:p>
        </w:tc>
        <w:tc>
          <w:tcPr>
            <w:tcW w:w="673" w:type="pct"/>
          </w:tcPr>
          <w:p w14:paraId="5AF8D549" w14:textId="77777777" w:rsidR="00F65F7C" w:rsidRPr="00830019" w:rsidRDefault="00F65F7C" w:rsidP="006B1FAA">
            <w:pPr>
              <w:jc w:val="right"/>
              <w:rPr>
                <w:sz w:val="20"/>
                <w:szCs w:val="20"/>
              </w:rPr>
            </w:pPr>
            <w:r>
              <w:rPr>
                <w:sz w:val="20"/>
                <w:szCs w:val="20"/>
                <w:lang w:val="fr"/>
              </w:rPr>
              <w:t>5 880 648</w:t>
            </w:r>
          </w:p>
        </w:tc>
        <w:tc>
          <w:tcPr>
            <w:tcW w:w="673" w:type="pct"/>
          </w:tcPr>
          <w:p w14:paraId="171B3E51" w14:textId="77777777" w:rsidR="00F65F7C" w:rsidRPr="00830019" w:rsidRDefault="00F65F7C" w:rsidP="006B1FAA">
            <w:pPr>
              <w:jc w:val="right"/>
              <w:rPr>
                <w:sz w:val="20"/>
                <w:szCs w:val="20"/>
              </w:rPr>
            </w:pPr>
            <w:r>
              <w:rPr>
                <w:sz w:val="20"/>
                <w:szCs w:val="20"/>
                <w:lang w:val="fr"/>
              </w:rPr>
              <w:t>0</w:t>
            </w:r>
          </w:p>
        </w:tc>
        <w:tc>
          <w:tcPr>
            <w:tcW w:w="673" w:type="pct"/>
          </w:tcPr>
          <w:p w14:paraId="0B327961" w14:textId="77777777" w:rsidR="00F65F7C" w:rsidRPr="00830019" w:rsidRDefault="00F65F7C" w:rsidP="006B1FAA">
            <w:pPr>
              <w:jc w:val="right"/>
              <w:rPr>
                <w:sz w:val="20"/>
                <w:szCs w:val="20"/>
              </w:rPr>
            </w:pPr>
            <w:r>
              <w:rPr>
                <w:sz w:val="20"/>
                <w:szCs w:val="20"/>
                <w:lang w:val="fr"/>
              </w:rPr>
              <w:t>2 849 726</w:t>
            </w:r>
          </w:p>
        </w:tc>
        <w:tc>
          <w:tcPr>
            <w:tcW w:w="707" w:type="pct"/>
          </w:tcPr>
          <w:p w14:paraId="2A672A73" w14:textId="77777777" w:rsidR="00F65F7C" w:rsidRPr="00830019" w:rsidRDefault="00F65F7C" w:rsidP="006B1FAA">
            <w:pPr>
              <w:jc w:val="right"/>
              <w:rPr>
                <w:sz w:val="20"/>
                <w:szCs w:val="20"/>
              </w:rPr>
            </w:pPr>
            <w:r>
              <w:rPr>
                <w:sz w:val="20"/>
                <w:szCs w:val="20"/>
                <w:lang w:val="fr"/>
              </w:rPr>
              <w:t>8 730 374</w:t>
            </w:r>
          </w:p>
        </w:tc>
      </w:tr>
      <w:tr w:rsidR="00F65F7C" w:rsidRPr="00830019" w14:paraId="4F95C804" w14:textId="77777777" w:rsidTr="00243D0C">
        <w:trPr>
          <w:trHeight w:val="264"/>
          <w:jc w:val="center"/>
        </w:trPr>
        <w:tc>
          <w:tcPr>
            <w:tcW w:w="851" w:type="pct"/>
            <w:vMerge w:val="restart"/>
            <w:vAlign w:val="center"/>
            <w:hideMark/>
          </w:tcPr>
          <w:p w14:paraId="3269912A" w14:textId="77777777" w:rsidR="00F65F7C" w:rsidRPr="00830019" w:rsidRDefault="00F65F7C" w:rsidP="006B1FAA">
            <w:pPr>
              <w:jc w:val="center"/>
              <w:rPr>
                <w:sz w:val="20"/>
                <w:szCs w:val="20"/>
              </w:rPr>
            </w:pPr>
            <w:r>
              <w:rPr>
                <w:color w:val="000000" w:themeColor="text1"/>
                <w:sz w:val="20"/>
                <w:szCs w:val="20"/>
                <w:lang w:val="fr"/>
              </w:rPr>
              <w:t>PNUE</w:t>
            </w:r>
          </w:p>
        </w:tc>
        <w:tc>
          <w:tcPr>
            <w:tcW w:w="1423" w:type="pct"/>
            <w:hideMark/>
          </w:tcPr>
          <w:p w14:paraId="16F2C882" w14:textId="77777777" w:rsidR="00F65F7C" w:rsidRPr="00F65F7C" w:rsidRDefault="00F65F7C" w:rsidP="006B1FAA">
            <w:pPr>
              <w:jc w:val="left"/>
              <w:rPr>
                <w:sz w:val="20"/>
                <w:szCs w:val="20"/>
                <w:lang w:val="fr-FR"/>
              </w:rPr>
            </w:pPr>
            <w:r>
              <w:rPr>
                <w:sz w:val="20"/>
                <w:szCs w:val="20"/>
                <w:lang w:val="fr"/>
              </w:rPr>
              <w:t>Élimination des SAO (tonnes PAO)</w:t>
            </w:r>
          </w:p>
        </w:tc>
        <w:tc>
          <w:tcPr>
            <w:tcW w:w="673" w:type="pct"/>
          </w:tcPr>
          <w:p w14:paraId="7B02EB4E" w14:textId="77777777" w:rsidR="00F65F7C" w:rsidRPr="00830019" w:rsidRDefault="00F65F7C" w:rsidP="006B1FAA">
            <w:pPr>
              <w:jc w:val="right"/>
              <w:rPr>
                <w:sz w:val="20"/>
                <w:szCs w:val="20"/>
              </w:rPr>
            </w:pPr>
            <w:r>
              <w:rPr>
                <w:sz w:val="20"/>
                <w:szCs w:val="20"/>
                <w:lang w:val="fr"/>
              </w:rPr>
              <w:t>23,31</w:t>
            </w:r>
          </w:p>
        </w:tc>
        <w:tc>
          <w:tcPr>
            <w:tcW w:w="673" w:type="pct"/>
          </w:tcPr>
          <w:p w14:paraId="3A0A0580" w14:textId="77777777" w:rsidR="00F65F7C" w:rsidRPr="00830019" w:rsidRDefault="00F65F7C" w:rsidP="006B1FAA">
            <w:pPr>
              <w:jc w:val="right"/>
              <w:rPr>
                <w:sz w:val="20"/>
                <w:szCs w:val="20"/>
              </w:rPr>
            </w:pPr>
            <w:r>
              <w:rPr>
                <w:sz w:val="20"/>
                <w:szCs w:val="20"/>
                <w:lang w:val="fr"/>
              </w:rPr>
              <w:t>0,00</w:t>
            </w:r>
          </w:p>
        </w:tc>
        <w:tc>
          <w:tcPr>
            <w:tcW w:w="673" w:type="pct"/>
          </w:tcPr>
          <w:p w14:paraId="2D81C436" w14:textId="77777777" w:rsidR="00F65F7C" w:rsidRPr="00830019" w:rsidRDefault="00F65F7C" w:rsidP="006B1FAA">
            <w:pPr>
              <w:jc w:val="right"/>
              <w:rPr>
                <w:sz w:val="20"/>
                <w:szCs w:val="20"/>
              </w:rPr>
            </w:pPr>
            <w:r>
              <w:rPr>
                <w:sz w:val="20"/>
                <w:szCs w:val="20"/>
                <w:lang w:val="fr"/>
              </w:rPr>
              <w:t>26,95</w:t>
            </w:r>
          </w:p>
        </w:tc>
        <w:tc>
          <w:tcPr>
            <w:tcW w:w="707" w:type="pct"/>
          </w:tcPr>
          <w:p w14:paraId="665114BF" w14:textId="77777777" w:rsidR="00F65F7C" w:rsidRPr="00830019" w:rsidRDefault="00F65F7C" w:rsidP="006B1FAA">
            <w:pPr>
              <w:jc w:val="right"/>
              <w:rPr>
                <w:sz w:val="20"/>
                <w:szCs w:val="20"/>
              </w:rPr>
            </w:pPr>
            <w:r>
              <w:rPr>
                <w:sz w:val="20"/>
                <w:szCs w:val="20"/>
                <w:lang w:val="fr"/>
              </w:rPr>
              <w:t>50,26</w:t>
            </w:r>
          </w:p>
        </w:tc>
      </w:tr>
      <w:tr w:rsidR="00F65F7C" w:rsidRPr="00830019" w14:paraId="366EDE17" w14:textId="77777777" w:rsidTr="00243D0C">
        <w:trPr>
          <w:trHeight w:val="264"/>
          <w:jc w:val="center"/>
        </w:trPr>
        <w:tc>
          <w:tcPr>
            <w:tcW w:w="851" w:type="pct"/>
            <w:vMerge/>
            <w:vAlign w:val="center"/>
            <w:hideMark/>
          </w:tcPr>
          <w:p w14:paraId="4027191F" w14:textId="77777777" w:rsidR="00F65F7C" w:rsidRPr="00830019" w:rsidRDefault="00F65F7C" w:rsidP="006B1FAA">
            <w:pPr>
              <w:rPr>
                <w:sz w:val="20"/>
                <w:szCs w:val="20"/>
              </w:rPr>
            </w:pPr>
          </w:p>
        </w:tc>
        <w:tc>
          <w:tcPr>
            <w:tcW w:w="1423" w:type="pct"/>
            <w:hideMark/>
          </w:tcPr>
          <w:p w14:paraId="36FB81AB" w14:textId="77777777" w:rsidR="00F65F7C" w:rsidRPr="00830019" w:rsidRDefault="00F65F7C" w:rsidP="006B1FAA">
            <w:pPr>
              <w:jc w:val="left"/>
              <w:rPr>
                <w:sz w:val="20"/>
                <w:szCs w:val="20"/>
              </w:rPr>
            </w:pPr>
            <w:r>
              <w:rPr>
                <w:sz w:val="20"/>
                <w:szCs w:val="20"/>
                <w:lang w:val="fr"/>
              </w:rPr>
              <w:t>Financement ($ US)</w:t>
            </w:r>
          </w:p>
        </w:tc>
        <w:tc>
          <w:tcPr>
            <w:tcW w:w="673" w:type="pct"/>
          </w:tcPr>
          <w:p w14:paraId="69AA5AEE" w14:textId="77777777" w:rsidR="00F65F7C" w:rsidRPr="00830019" w:rsidRDefault="00F65F7C" w:rsidP="006B1FAA">
            <w:pPr>
              <w:jc w:val="right"/>
              <w:rPr>
                <w:sz w:val="20"/>
                <w:szCs w:val="20"/>
              </w:rPr>
            </w:pPr>
            <w:r>
              <w:rPr>
                <w:sz w:val="20"/>
                <w:szCs w:val="20"/>
                <w:lang w:val="fr"/>
              </w:rPr>
              <w:t>1 125 210</w:t>
            </w:r>
          </w:p>
        </w:tc>
        <w:tc>
          <w:tcPr>
            <w:tcW w:w="673" w:type="pct"/>
          </w:tcPr>
          <w:p w14:paraId="476F462F" w14:textId="77777777" w:rsidR="00F65F7C" w:rsidRPr="00830019" w:rsidRDefault="00F65F7C" w:rsidP="006B1FAA">
            <w:pPr>
              <w:jc w:val="right"/>
              <w:rPr>
                <w:sz w:val="20"/>
                <w:szCs w:val="20"/>
              </w:rPr>
            </w:pPr>
            <w:r>
              <w:rPr>
                <w:sz w:val="20"/>
                <w:szCs w:val="20"/>
                <w:lang w:val="fr"/>
              </w:rPr>
              <w:t>0</w:t>
            </w:r>
          </w:p>
        </w:tc>
        <w:tc>
          <w:tcPr>
            <w:tcW w:w="673" w:type="pct"/>
          </w:tcPr>
          <w:p w14:paraId="12E45E3B" w14:textId="77777777" w:rsidR="00F65F7C" w:rsidRPr="00830019" w:rsidRDefault="00F65F7C" w:rsidP="006B1FAA">
            <w:pPr>
              <w:jc w:val="right"/>
              <w:rPr>
                <w:sz w:val="20"/>
                <w:szCs w:val="20"/>
              </w:rPr>
            </w:pPr>
            <w:r>
              <w:rPr>
                <w:sz w:val="20"/>
                <w:szCs w:val="20"/>
                <w:lang w:val="fr"/>
              </w:rPr>
              <w:t>1 300 864</w:t>
            </w:r>
          </w:p>
        </w:tc>
        <w:tc>
          <w:tcPr>
            <w:tcW w:w="707" w:type="pct"/>
          </w:tcPr>
          <w:p w14:paraId="5DFFB926" w14:textId="77777777" w:rsidR="00F65F7C" w:rsidRPr="00830019" w:rsidRDefault="00F65F7C" w:rsidP="006B1FAA">
            <w:pPr>
              <w:jc w:val="right"/>
              <w:rPr>
                <w:sz w:val="20"/>
                <w:szCs w:val="20"/>
              </w:rPr>
            </w:pPr>
            <w:r>
              <w:rPr>
                <w:sz w:val="20"/>
                <w:szCs w:val="20"/>
                <w:lang w:val="fr"/>
              </w:rPr>
              <w:t>2 426 074</w:t>
            </w:r>
          </w:p>
        </w:tc>
      </w:tr>
      <w:tr w:rsidR="00F65F7C" w:rsidRPr="00830019" w14:paraId="7AC298DE" w14:textId="77777777" w:rsidTr="00243D0C">
        <w:trPr>
          <w:trHeight w:val="264"/>
          <w:jc w:val="center"/>
        </w:trPr>
        <w:tc>
          <w:tcPr>
            <w:tcW w:w="851" w:type="pct"/>
            <w:vMerge w:val="restart"/>
            <w:vAlign w:val="center"/>
          </w:tcPr>
          <w:p w14:paraId="564AF8CA" w14:textId="77777777" w:rsidR="00F65F7C" w:rsidRPr="00830019" w:rsidRDefault="00F65F7C" w:rsidP="006B1FAA">
            <w:pPr>
              <w:jc w:val="center"/>
              <w:rPr>
                <w:sz w:val="20"/>
                <w:szCs w:val="20"/>
              </w:rPr>
            </w:pPr>
            <w:r>
              <w:rPr>
                <w:color w:val="000000" w:themeColor="text1"/>
                <w:sz w:val="20"/>
                <w:szCs w:val="20"/>
                <w:lang w:val="fr"/>
              </w:rPr>
              <w:t>Allemagne</w:t>
            </w:r>
          </w:p>
        </w:tc>
        <w:tc>
          <w:tcPr>
            <w:tcW w:w="1423" w:type="pct"/>
          </w:tcPr>
          <w:p w14:paraId="15372E75" w14:textId="77777777" w:rsidR="00F65F7C" w:rsidRPr="00F65F7C" w:rsidRDefault="00F65F7C" w:rsidP="006B1FAA">
            <w:pPr>
              <w:jc w:val="left"/>
              <w:rPr>
                <w:sz w:val="20"/>
                <w:szCs w:val="20"/>
                <w:lang w:val="fr-FR"/>
              </w:rPr>
            </w:pPr>
            <w:r>
              <w:rPr>
                <w:sz w:val="20"/>
                <w:szCs w:val="20"/>
                <w:lang w:val="fr"/>
              </w:rPr>
              <w:t>Élimination des SAO (tonnes PAO)</w:t>
            </w:r>
          </w:p>
        </w:tc>
        <w:tc>
          <w:tcPr>
            <w:tcW w:w="673" w:type="pct"/>
          </w:tcPr>
          <w:p w14:paraId="00FE0684" w14:textId="77777777" w:rsidR="00F65F7C" w:rsidRPr="002E4463" w:rsidRDefault="00F65F7C" w:rsidP="006B1FAA">
            <w:pPr>
              <w:jc w:val="right"/>
              <w:rPr>
                <w:sz w:val="20"/>
                <w:szCs w:val="20"/>
              </w:rPr>
            </w:pPr>
            <w:r>
              <w:rPr>
                <w:sz w:val="20"/>
                <w:szCs w:val="20"/>
                <w:lang w:val="fr"/>
              </w:rPr>
              <w:t>49,35</w:t>
            </w:r>
          </w:p>
        </w:tc>
        <w:tc>
          <w:tcPr>
            <w:tcW w:w="673" w:type="pct"/>
          </w:tcPr>
          <w:p w14:paraId="2C4C986C" w14:textId="77777777" w:rsidR="00F65F7C" w:rsidRPr="00830019" w:rsidRDefault="00F65F7C" w:rsidP="006B1FAA">
            <w:pPr>
              <w:jc w:val="right"/>
              <w:rPr>
                <w:sz w:val="20"/>
                <w:szCs w:val="20"/>
              </w:rPr>
            </w:pPr>
            <w:r>
              <w:rPr>
                <w:sz w:val="20"/>
                <w:szCs w:val="20"/>
                <w:lang w:val="fr"/>
              </w:rPr>
              <w:t>0,00</w:t>
            </w:r>
          </w:p>
        </w:tc>
        <w:tc>
          <w:tcPr>
            <w:tcW w:w="673" w:type="pct"/>
          </w:tcPr>
          <w:p w14:paraId="11802FFE" w14:textId="77777777" w:rsidR="00F65F7C" w:rsidRPr="00830019" w:rsidRDefault="00F65F7C" w:rsidP="006B1FAA">
            <w:pPr>
              <w:jc w:val="right"/>
              <w:rPr>
                <w:sz w:val="20"/>
                <w:szCs w:val="20"/>
              </w:rPr>
            </w:pPr>
            <w:r>
              <w:rPr>
                <w:sz w:val="20"/>
                <w:szCs w:val="20"/>
                <w:lang w:val="fr"/>
              </w:rPr>
              <w:t>55,26</w:t>
            </w:r>
          </w:p>
        </w:tc>
        <w:tc>
          <w:tcPr>
            <w:tcW w:w="707" w:type="pct"/>
          </w:tcPr>
          <w:p w14:paraId="7DBDF08F" w14:textId="77777777" w:rsidR="00F65F7C" w:rsidRPr="00247EAE" w:rsidRDefault="00F65F7C" w:rsidP="006B1FAA">
            <w:pPr>
              <w:jc w:val="right"/>
              <w:rPr>
                <w:sz w:val="20"/>
                <w:szCs w:val="20"/>
              </w:rPr>
            </w:pPr>
            <w:r>
              <w:rPr>
                <w:sz w:val="20"/>
                <w:szCs w:val="20"/>
                <w:lang w:val="fr"/>
              </w:rPr>
              <w:t>104,61</w:t>
            </w:r>
          </w:p>
        </w:tc>
      </w:tr>
      <w:tr w:rsidR="00F65F7C" w:rsidRPr="00830019" w14:paraId="50AFDD8E" w14:textId="77777777" w:rsidTr="00243D0C">
        <w:trPr>
          <w:trHeight w:val="264"/>
          <w:jc w:val="center"/>
        </w:trPr>
        <w:tc>
          <w:tcPr>
            <w:tcW w:w="851" w:type="pct"/>
            <w:vMerge/>
            <w:vAlign w:val="center"/>
          </w:tcPr>
          <w:p w14:paraId="166F6913" w14:textId="77777777" w:rsidR="00F65F7C" w:rsidRPr="00830019" w:rsidRDefault="00F65F7C" w:rsidP="006B1FAA">
            <w:pPr>
              <w:rPr>
                <w:sz w:val="20"/>
                <w:szCs w:val="20"/>
              </w:rPr>
            </w:pPr>
          </w:p>
        </w:tc>
        <w:tc>
          <w:tcPr>
            <w:tcW w:w="1423" w:type="pct"/>
          </w:tcPr>
          <w:p w14:paraId="4B1EAB15" w14:textId="77777777" w:rsidR="00F65F7C" w:rsidRPr="00830019" w:rsidRDefault="00F65F7C" w:rsidP="006B1FAA">
            <w:pPr>
              <w:jc w:val="left"/>
              <w:rPr>
                <w:sz w:val="20"/>
                <w:szCs w:val="20"/>
              </w:rPr>
            </w:pPr>
            <w:r>
              <w:rPr>
                <w:sz w:val="20"/>
                <w:szCs w:val="20"/>
                <w:lang w:val="fr"/>
              </w:rPr>
              <w:t>Financement ($ US)</w:t>
            </w:r>
          </w:p>
        </w:tc>
        <w:tc>
          <w:tcPr>
            <w:tcW w:w="673" w:type="pct"/>
          </w:tcPr>
          <w:p w14:paraId="729632C5" w14:textId="77777777" w:rsidR="00F65F7C" w:rsidRPr="002E4463" w:rsidRDefault="00F65F7C" w:rsidP="006B1FAA">
            <w:pPr>
              <w:jc w:val="right"/>
              <w:rPr>
                <w:sz w:val="20"/>
                <w:szCs w:val="20"/>
              </w:rPr>
            </w:pPr>
            <w:r>
              <w:rPr>
                <w:sz w:val="20"/>
                <w:szCs w:val="20"/>
                <w:lang w:val="fr"/>
              </w:rPr>
              <w:t>2 379 336</w:t>
            </w:r>
          </w:p>
        </w:tc>
        <w:tc>
          <w:tcPr>
            <w:tcW w:w="673" w:type="pct"/>
          </w:tcPr>
          <w:p w14:paraId="0726B039" w14:textId="77777777" w:rsidR="00F65F7C" w:rsidRPr="00830019" w:rsidRDefault="00F65F7C" w:rsidP="006B1FAA">
            <w:pPr>
              <w:jc w:val="right"/>
              <w:rPr>
                <w:sz w:val="20"/>
                <w:szCs w:val="20"/>
              </w:rPr>
            </w:pPr>
            <w:r>
              <w:rPr>
                <w:sz w:val="20"/>
                <w:szCs w:val="20"/>
                <w:lang w:val="fr"/>
              </w:rPr>
              <w:t>0</w:t>
            </w:r>
          </w:p>
        </w:tc>
        <w:tc>
          <w:tcPr>
            <w:tcW w:w="673" w:type="pct"/>
          </w:tcPr>
          <w:p w14:paraId="72432989" w14:textId="77777777" w:rsidR="00F65F7C" w:rsidRPr="00830019" w:rsidRDefault="00F65F7C" w:rsidP="006B1FAA">
            <w:pPr>
              <w:jc w:val="right"/>
              <w:rPr>
                <w:sz w:val="20"/>
                <w:szCs w:val="20"/>
              </w:rPr>
            </w:pPr>
            <w:r>
              <w:rPr>
                <w:sz w:val="20"/>
                <w:szCs w:val="20"/>
                <w:lang w:val="fr"/>
              </w:rPr>
              <w:t>2 663 992</w:t>
            </w:r>
          </w:p>
        </w:tc>
        <w:tc>
          <w:tcPr>
            <w:tcW w:w="707" w:type="pct"/>
          </w:tcPr>
          <w:p w14:paraId="159D5AC4" w14:textId="77777777" w:rsidR="00F65F7C" w:rsidRPr="00247EAE" w:rsidRDefault="00F65F7C" w:rsidP="006B1FAA">
            <w:pPr>
              <w:jc w:val="right"/>
              <w:rPr>
                <w:sz w:val="20"/>
                <w:szCs w:val="20"/>
              </w:rPr>
            </w:pPr>
            <w:r>
              <w:rPr>
                <w:sz w:val="20"/>
                <w:szCs w:val="20"/>
                <w:lang w:val="fr"/>
              </w:rPr>
              <w:t>5 043 328</w:t>
            </w:r>
          </w:p>
        </w:tc>
      </w:tr>
    </w:tbl>
    <w:p w14:paraId="05D36DF3" w14:textId="77777777" w:rsidR="00F65F7C" w:rsidRPr="00862FA7" w:rsidRDefault="00F65F7C" w:rsidP="00F65F7C">
      <w:pPr>
        <w:jc w:val="left"/>
        <w:rPr>
          <w:sz w:val="18"/>
          <w:szCs w:val="18"/>
        </w:rPr>
      </w:pPr>
    </w:p>
    <w:tbl>
      <w:tblPr>
        <w:tblStyle w:val="TableGrid"/>
        <w:tblW w:w="10872" w:type="dxa"/>
        <w:jc w:val="center"/>
        <w:tblLayout w:type="fixed"/>
        <w:tblCellMar>
          <w:left w:w="57" w:type="dxa"/>
          <w:right w:w="85" w:type="dxa"/>
        </w:tblCellMar>
        <w:tblLook w:val="04A0" w:firstRow="1" w:lastRow="0" w:firstColumn="1" w:lastColumn="0" w:noHBand="0" w:noVBand="1"/>
      </w:tblPr>
      <w:tblGrid>
        <w:gridCol w:w="1319"/>
        <w:gridCol w:w="990"/>
        <w:gridCol w:w="1363"/>
        <w:gridCol w:w="900"/>
        <w:gridCol w:w="810"/>
        <w:gridCol w:w="900"/>
        <w:gridCol w:w="720"/>
        <w:gridCol w:w="900"/>
        <w:gridCol w:w="648"/>
        <w:gridCol w:w="792"/>
        <w:gridCol w:w="540"/>
        <w:gridCol w:w="990"/>
      </w:tblGrid>
      <w:tr w:rsidR="00F65F7C" w:rsidRPr="00B31181" w14:paraId="4BC02A04" w14:textId="77777777" w:rsidTr="00AF426F">
        <w:trPr>
          <w:trHeight w:val="281"/>
          <w:jc w:val="center"/>
        </w:trPr>
        <w:tc>
          <w:tcPr>
            <w:tcW w:w="3672" w:type="dxa"/>
            <w:gridSpan w:val="3"/>
            <w:hideMark/>
          </w:tcPr>
          <w:p w14:paraId="1B2DC332" w14:textId="77777777" w:rsidR="00F65F7C" w:rsidRPr="004210C0" w:rsidRDefault="00F65F7C" w:rsidP="006B1FAA">
            <w:pPr>
              <w:spacing w:afterLines="20" w:after="48"/>
              <w:ind w:left="38"/>
              <w:jc w:val="left"/>
              <w:rPr>
                <w:b/>
                <w:sz w:val="18"/>
                <w:szCs w:val="18"/>
              </w:rPr>
            </w:pPr>
            <w:r>
              <w:rPr>
                <w:b/>
                <w:bCs/>
                <w:sz w:val="18"/>
                <w:szCs w:val="18"/>
                <w:lang w:val="fr"/>
              </w:rPr>
              <w:t xml:space="preserve">(VI) DONNÉES DU PROJET </w:t>
            </w:r>
          </w:p>
        </w:tc>
        <w:tc>
          <w:tcPr>
            <w:tcW w:w="900" w:type="dxa"/>
            <w:shd w:val="clear" w:color="auto" w:fill="auto"/>
            <w:vAlign w:val="center"/>
            <w:hideMark/>
          </w:tcPr>
          <w:p w14:paraId="45A60651" w14:textId="77777777" w:rsidR="00F65F7C" w:rsidRPr="004210C0" w:rsidRDefault="00F65F7C" w:rsidP="006B1FAA">
            <w:pPr>
              <w:spacing w:afterLines="20" w:after="48"/>
              <w:ind w:left="38"/>
              <w:jc w:val="center"/>
              <w:rPr>
                <w:b/>
                <w:sz w:val="18"/>
                <w:szCs w:val="18"/>
                <w:highlight w:val="cyan"/>
              </w:rPr>
            </w:pPr>
            <w:r>
              <w:rPr>
                <w:b/>
                <w:bCs/>
                <w:sz w:val="18"/>
                <w:szCs w:val="18"/>
                <w:lang w:val="fr"/>
              </w:rPr>
              <w:t>2022</w:t>
            </w:r>
          </w:p>
        </w:tc>
        <w:tc>
          <w:tcPr>
            <w:tcW w:w="810" w:type="dxa"/>
            <w:shd w:val="clear" w:color="auto" w:fill="auto"/>
            <w:vAlign w:val="center"/>
          </w:tcPr>
          <w:p w14:paraId="0D4D3143" w14:textId="77777777" w:rsidR="00F65F7C" w:rsidRPr="004210C0" w:rsidRDefault="00F65F7C" w:rsidP="006B1FAA">
            <w:pPr>
              <w:spacing w:afterLines="20" w:after="48"/>
              <w:jc w:val="center"/>
              <w:rPr>
                <w:b/>
                <w:sz w:val="18"/>
                <w:szCs w:val="18"/>
              </w:rPr>
            </w:pPr>
            <w:r>
              <w:rPr>
                <w:b/>
                <w:bCs/>
                <w:sz w:val="18"/>
                <w:szCs w:val="18"/>
                <w:lang w:val="fr"/>
              </w:rPr>
              <w:t>2023</w:t>
            </w:r>
          </w:p>
        </w:tc>
        <w:tc>
          <w:tcPr>
            <w:tcW w:w="900" w:type="dxa"/>
            <w:shd w:val="clear" w:color="auto" w:fill="auto"/>
            <w:vAlign w:val="center"/>
          </w:tcPr>
          <w:p w14:paraId="65679707" w14:textId="77777777" w:rsidR="00F65F7C" w:rsidRPr="004210C0" w:rsidRDefault="00F65F7C" w:rsidP="006B1FAA">
            <w:pPr>
              <w:spacing w:afterLines="20" w:after="48"/>
              <w:jc w:val="center"/>
              <w:rPr>
                <w:b/>
                <w:sz w:val="18"/>
                <w:szCs w:val="18"/>
              </w:rPr>
            </w:pPr>
            <w:r>
              <w:rPr>
                <w:b/>
                <w:bCs/>
                <w:sz w:val="18"/>
                <w:szCs w:val="18"/>
                <w:lang w:val="fr"/>
              </w:rPr>
              <w:t>2024</w:t>
            </w:r>
          </w:p>
        </w:tc>
        <w:tc>
          <w:tcPr>
            <w:tcW w:w="720" w:type="dxa"/>
            <w:shd w:val="clear" w:color="auto" w:fill="auto"/>
            <w:vAlign w:val="center"/>
          </w:tcPr>
          <w:p w14:paraId="5219D084" w14:textId="77777777" w:rsidR="00F65F7C" w:rsidRPr="004210C0" w:rsidRDefault="00F65F7C" w:rsidP="006B1FAA">
            <w:pPr>
              <w:spacing w:afterLines="20" w:after="48"/>
              <w:jc w:val="center"/>
              <w:rPr>
                <w:b/>
                <w:sz w:val="18"/>
                <w:szCs w:val="18"/>
              </w:rPr>
            </w:pPr>
            <w:r>
              <w:rPr>
                <w:b/>
                <w:bCs/>
                <w:sz w:val="18"/>
                <w:szCs w:val="18"/>
                <w:lang w:val="fr"/>
              </w:rPr>
              <w:t>2025</w:t>
            </w:r>
          </w:p>
        </w:tc>
        <w:tc>
          <w:tcPr>
            <w:tcW w:w="900" w:type="dxa"/>
            <w:vAlign w:val="center"/>
          </w:tcPr>
          <w:p w14:paraId="43614426" w14:textId="77777777" w:rsidR="00F65F7C" w:rsidRPr="004210C0" w:rsidRDefault="00F65F7C" w:rsidP="006B1FAA">
            <w:pPr>
              <w:spacing w:afterLines="20" w:after="48"/>
              <w:jc w:val="center"/>
              <w:rPr>
                <w:b/>
                <w:sz w:val="18"/>
                <w:szCs w:val="18"/>
              </w:rPr>
            </w:pPr>
            <w:r>
              <w:rPr>
                <w:b/>
                <w:bCs/>
                <w:sz w:val="18"/>
                <w:szCs w:val="18"/>
                <w:lang w:val="fr"/>
              </w:rPr>
              <w:t>2026</w:t>
            </w:r>
          </w:p>
        </w:tc>
        <w:tc>
          <w:tcPr>
            <w:tcW w:w="648" w:type="dxa"/>
            <w:vAlign w:val="center"/>
            <w:hideMark/>
          </w:tcPr>
          <w:p w14:paraId="05804ABD" w14:textId="77777777" w:rsidR="00F65F7C" w:rsidRPr="004210C0" w:rsidRDefault="00F65F7C" w:rsidP="006B1FAA">
            <w:pPr>
              <w:spacing w:afterLines="20" w:after="48"/>
              <w:jc w:val="center"/>
              <w:rPr>
                <w:b/>
                <w:sz w:val="18"/>
                <w:szCs w:val="18"/>
                <w:highlight w:val="cyan"/>
              </w:rPr>
            </w:pPr>
            <w:r>
              <w:rPr>
                <w:b/>
                <w:bCs/>
                <w:sz w:val="18"/>
                <w:szCs w:val="18"/>
                <w:lang w:val="fr"/>
              </w:rPr>
              <w:t>2027-2028</w:t>
            </w:r>
          </w:p>
        </w:tc>
        <w:tc>
          <w:tcPr>
            <w:tcW w:w="792" w:type="dxa"/>
            <w:vAlign w:val="center"/>
            <w:hideMark/>
          </w:tcPr>
          <w:p w14:paraId="25BFDB7A" w14:textId="77777777" w:rsidR="00F65F7C" w:rsidRPr="004210C0" w:rsidRDefault="00F65F7C" w:rsidP="006B1FAA">
            <w:pPr>
              <w:spacing w:afterLines="20" w:after="48"/>
              <w:jc w:val="center"/>
              <w:rPr>
                <w:b/>
                <w:sz w:val="18"/>
                <w:szCs w:val="18"/>
                <w:highlight w:val="cyan"/>
              </w:rPr>
            </w:pPr>
            <w:r>
              <w:rPr>
                <w:b/>
                <w:bCs/>
                <w:sz w:val="18"/>
                <w:szCs w:val="18"/>
                <w:lang w:val="fr"/>
              </w:rPr>
              <w:t>2029</w:t>
            </w:r>
          </w:p>
        </w:tc>
        <w:tc>
          <w:tcPr>
            <w:tcW w:w="540" w:type="dxa"/>
            <w:vAlign w:val="center"/>
            <w:hideMark/>
          </w:tcPr>
          <w:p w14:paraId="4C538E3E" w14:textId="77777777" w:rsidR="00F65F7C" w:rsidRPr="004210C0" w:rsidRDefault="00F65F7C" w:rsidP="006B1FAA">
            <w:pPr>
              <w:spacing w:afterLines="20" w:after="48"/>
              <w:jc w:val="center"/>
              <w:rPr>
                <w:b/>
                <w:sz w:val="18"/>
                <w:szCs w:val="18"/>
                <w:highlight w:val="cyan"/>
              </w:rPr>
            </w:pPr>
            <w:r>
              <w:rPr>
                <w:b/>
                <w:bCs/>
                <w:sz w:val="18"/>
                <w:szCs w:val="18"/>
                <w:lang w:val="fr"/>
              </w:rPr>
              <w:t>2030</w:t>
            </w:r>
          </w:p>
        </w:tc>
        <w:tc>
          <w:tcPr>
            <w:tcW w:w="990" w:type="dxa"/>
            <w:shd w:val="clear" w:color="auto" w:fill="auto"/>
            <w:vAlign w:val="center"/>
            <w:hideMark/>
          </w:tcPr>
          <w:p w14:paraId="3C84BFD5" w14:textId="77777777" w:rsidR="00F65F7C" w:rsidRPr="004210C0" w:rsidRDefault="00F65F7C" w:rsidP="006B1FAA">
            <w:pPr>
              <w:spacing w:afterLines="20" w:after="48"/>
              <w:jc w:val="center"/>
              <w:rPr>
                <w:b/>
                <w:sz w:val="18"/>
                <w:szCs w:val="18"/>
              </w:rPr>
            </w:pPr>
            <w:r>
              <w:rPr>
                <w:b/>
                <w:bCs/>
                <w:sz w:val="18"/>
                <w:szCs w:val="18"/>
                <w:lang w:val="fr"/>
              </w:rPr>
              <w:t>Total</w:t>
            </w:r>
          </w:p>
        </w:tc>
      </w:tr>
      <w:tr w:rsidR="00F65F7C" w:rsidRPr="00B31181" w14:paraId="350FC26E" w14:textId="77777777" w:rsidTr="00AF426F">
        <w:trPr>
          <w:trHeight w:val="233"/>
          <w:jc w:val="center"/>
        </w:trPr>
        <w:tc>
          <w:tcPr>
            <w:tcW w:w="3672" w:type="dxa"/>
            <w:gridSpan w:val="3"/>
            <w:hideMark/>
          </w:tcPr>
          <w:p w14:paraId="2618BAEA" w14:textId="77777777" w:rsidR="00F65F7C" w:rsidRPr="00F65F7C" w:rsidRDefault="00F65F7C" w:rsidP="006B1FAA">
            <w:pPr>
              <w:spacing w:after="60"/>
              <w:ind w:left="38"/>
              <w:jc w:val="left"/>
              <w:rPr>
                <w:sz w:val="18"/>
                <w:szCs w:val="18"/>
                <w:lang w:val="fr-FR"/>
              </w:rPr>
            </w:pPr>
            <w:r>
              <w:rPr>
                <w:sz w:val="18"/>
                <w:szCs w:val="18"/>
                <w:lang w:val="fr"/>
              </w:rPr>
              <w:t>Limites de consommation du Protocole de Montréal (tonnes PAO)</w:t>
            </w:r>
          </w:p>
        </w:tc>
        <w:tc>
          <w:tcPr>
            <w:tcW w:w="900" w:type="dxa"/>
            <w:shd w:val="clear" w:color="auto" w:fill="auto"/>
          </w:tcPr>
          <w:p w14:paraId="1DC76639" w14:textId="77777777" w:rsidR="00F65F7C" w:rsidRPr="004210C0" w:rsidRDefault="00F65F7C" w:rsidP="004D2A66">
            <w:pPr>
              <w:spacing w:after="60"/>
              <w:ind w:left="38"/>
              <w:jc w:val="right"/>
              <w:rPr>
                <w:sz w:val="18"/>
                <w:szCs w:val="18"/>
              </w:rPr>
            </w:pPr>
            <w:r>
              <w:rPr>
                <w:color w:val="000000"/>
                <w:sz w:val="18"/>
                <w:szCs w:val="18"/>
                <w:lang w:val="fr"/>
              </w:rPr>
              <w:t>1 045,33</w:t>
            </w:r>
          </w:p>
        </w:tc>
        <w:tc>
          <w:tcPr>
            <w:tcW w:w="810" w:type="dxa"/>
          </w:tcPr>
          <w:p w14:paraId="05A94990" w14:textId="77777777" w:rsidR="00F65F7C" w:rsidRPr="004210C0" w:rsidRDefault="00F65F7C" w:rsidP="004D2A66">
            <w:pPr>
              <w:spacing w:after="60"/>
              <w:jc w:val="right"/>
              <w:rPr>
                <w:sz w:val="18"/>
                <w:szCs w:val="18"/>
              </w:rPr>
            </w:pPr>
            <w:r>
              <w:rPr>
                <w:color w:val="000000"/>
                <w:sz w:val="18"/>
                <w:szCs w:val="18"/>
                <w:lang w:val="fr"/>
              </w:rPr>
              <w:t>1 045,33</w:t>
            </w:r>
          </w:p>
        </w:tc>
        <w:tc>
          <w:tcPr>
            <w:tcW w:w="900" w:type="dxa"/>
            <w:shd w:val="clear" w:color="auto" w:fill="auto"/>
          </w:tcPr>
          <w:p w14:paraId="4A77DD46" w14:textId="77777777" w:rsidR="00F65F7C" w:rsidRPr="004210C0" w:rsidRDefault="00F65F7C" w:rsidP="004D2A66">
            <w:pPr>
              <w:spacing w:after="60"/>
              <w:jc w:val="right"/>
              <w:rPr>
                <w:sz w:val="18"/>
                <w:szCs w:val="18"/>
              </w:rPr>
            </w:pPr>
            <w:r>
              <w:rPr>
                <w:sz w:val="18"/>
                <w:szCs w:val="18"/>
                <w:lang w:val="fr"/>
              </w:rPr>
              <w:t>1 045,33</w:t>
            </w:r>
          </w:p>
        </w:tc>
        <w:tc>
          <w:tcPr>
            <w:tcW w:w="720" w:type="dxa"/>
            <w:shd w:val="clear" w:color="auto" w:fill="auto"/>
          </w:tcPr>
          <w:p w14:paraId="7370969A" w14:textId="77777777" w:rsidR="00F65F7C" w:rsidRPr="004210C0" w:rsidRDefault="00F65F7C" w:rsidP="004D2A66">
            <w:pPr>
              <w:spacing w:after="60"/>
              <w:jc w:val="right"/>
              <w:rPr>
                <w:sz w:val="18"/>
                <w:szCs w:val="18"/>
              </w:rPr>
            </w:pPr>
            <w:r>
              <w:rPr>
                <w:sz w:val="18"/>
                <w:szCs w:val="18"/>
                <w:lang w:val="fr"/>
              </w:rPr>
              <w:t>522,67</w:t>
            </w:r>
          </w:p>
        </w:tc>
        <w:tc>
          <w:tcPr>
            <w:tcW w:w="900" w:type="dxa"/>
          </w:tcPr>
          <w:p w14:paraId="414E796C" w14:textId="77777777" w:rsidR="00F65F7C" w:rsidRPr="004210C0" w:rsidRDefault="00F65F7C" w:rsidP="004D2A66">
            <w:pPr>
              <w:spacing w:after="60"/>
              <w:jc w:val="right"/>
              <w:rPr>
                <w:sz w:val="18"/>
                <w:szCs w:val="18"/>
              </w:rPr>
            </w:pPr>
            <w:r>
              <w:rPr>
                <w:sz w:val="18"/>
                <w:szCs w:val="18"/>
                <w:lang w:val="fr"/>
              </w:rPr>
              <w:t>522,67</w:t>
            </w:r>
          </w:p>
        </w:tc>
        <w:tc>
          <w:tcPr>
            <w:tcW w:w="648" w:type="dxa"/>
          </w:tcPr>
          <w:p w14:paraId="7A94F83A" w14:textId="77777777" w:rsidR="00F65F7C" w:rsidRPr="004210C0" w:rsidRDefault="00F65F7C" w:rsidP="004D2A66">
            <w:pPr>
              <w:spacing w:after="60"/>
              <w:jc w:val="right"/>
              <w:rPr>
                <w:sz w:val="18"/>
                <w:szCs w:val="18"/>
              </w:rPr>
            </w:pPr>
            <w:r>
              <w:rPr>
                <w:sz w:val="18"/>
                <w:szCs w:val="18"/>
                <w:lang w:val="fr"/>
              </w:rPr>
              <w:t>522,67</w:t>
            </w:r>
          </w:p>
        </w:tc>
        <w:tc>
          <w:tcPr>
            <w:tcW w:w="792" w:type="dxa"/>
          </w:tcPr>
          <w:p w14:paraId="4003BAA9" w14:textId="77777777" w:rsidR="00F65F7C" w:rsidRPr="004210C0" w:rsidRDefault="00F65F7C" w:rsidP="004D2A66">
            <w:pPr>
              <w:spacing w:after="60"/>
              <w:jc w:val="right"/>
              <w:rPr>
                <w:sz w:val="18"/>
                <w:szCs w:val="18"/>
              </w:rPr>
            </w:pPr>
            <w:r>
              <w:rPr>
                <w:sz w:val="18"/>
                <w:szCs w:val="18"/>
                <w:lang w:val="fr"/>
              </w:rPr>
              <w:t>522,67</w:t>
            </w:r>
          </w:p>
        </w:tc>
        <w:tc>
          <w:tcPr>
            <w:tcW w:w="540" w:type="dxa"/>
          </w:tcPr>
          <w:p w14:paraId="6A1CCD51" w14:textId="77777777" w:rsidR="00F65F7C" w:rsidRPr="004210C0" w:rsidRDefault="00F65F7C" w:rsidP="004D2A66">
            <w:pPr>
              <w:spacing w:after="60"/>
              <w:jc w:val="right"/>
              <w:rPr>
                <w:sz w:val="18"/>
                <w:szCs w:val="18"/>
              </w:rPr>
            </w:pPr>
            <w:r>
              <w:rPr>
                <w:sz w:val="18"/>
                <w:szCs w:val="18"/>
                <w:lang w:val="fr"/>
              </w:rPr>
              <w:t>0,00</w:t>
            </w:r>
          </w:p>
        </w:tc>
        <w:tc>
          <w:tcPr>
            <w:tcW w:w="990" w:type="dxa"/>
            <w:hideMark/>
          </w:tcPr>
          <w:p w14:paraId="6DFD9A27" w14:textId="77777777" w:rsidR="00F65F7C" w:rsidRPr="004210C0" w:rsidRDefault="00F65F7C" w:rsidP="004D2A66">
            <w:pPr>
              <w:spacing w:after="60"/>
              <w:jc w:val="right"/>
              <w:rPr>
                <w:sz w:val="18"/>
                <w:szCs w:val="18"/>
              </w:rPr>
            </w:pPr>
            <w:proofErr w:type="spellStart"/>
            <w:r>
              <w:rPr>
                <w:sz w:val="18"/>
                <w:szCs w:val="18"/>
                <w:lang w:val="fr"/>
              </w:rPr>
              <w:t>s.o</w:t>
            </w:r>
            <w:proofErr w:type="spellEnd"/>
            <w:r>
              <w:rPr>
                <w:sz w:val="18"/>
                <w:szCs w:val="18"/>
                <w:lang w:val="fr"/>
              </w:rPr>
              <w:t>.</w:t>
            </w:r>
          </w:p>
        </w:tc>
      </w:tr>
      <w:tr w:rsidR="00F65F7C" w:rsidRPr="00B31181" w14:paraId="660BA05C" w14:textId="77777777" w:rsidTr="00AF426F">
        <w:trPr>
          <w:trHeight w:val="269"/>
          <w:jc w:val="center"/>
        </w:trPr>
        <w:tc>
          <w:tcPr>
            <w:tcW w:w="3672" w:type="dxa"/>
            <w:gridSpan w:val="3"/>
            <w:hideMark/>
          </w:tcPr>
          <w:p w14:paraId="38A2BDF8" w14:textId="77777777" w:rsidR="00F65F7C" w:rsidRPr="00F65F7C" w:rsidRDefault="00F65F7C" w:rsidP="006B1FAA">
            <w:pPr>
              <w:spacing w:after="60"/>
              <w:ind w:left="38"/>
              <w:jc w:val="left"/>
              <w:rPr>
                <w:sz w:val="18"/>
                <w:szCs w:val="18"/>
                <w:lang w:val="fr-FR"/>
              </w:rPr>
            </w:pPr>
            <w:r>
              <w:rPr>
                <w:sz w:val="18"/>
                <w:szCs w:val="18"/>
                <w:lang w:val="fr"/>
              </w:rPr>
              <w:t>Consommation maximale admissible (tonnes PAO)</w:t>
            </w:r>
          </w:p>
        </w:tc>
        <w:tc>
          <w:tcPr>
            <w:tcW w:w="900" w:type="dxa"/>
            <w:shd w:val="clear" w:color="auto" w:fill="auto"/>
          </w:tcPr>
          <w:p w14:paraId="565E9BEC" w14:textId="77777777" w:rsidR="00F65F7C" w:rsidRPr="004210C0" w:rsidRDefault="00F65F7C" w:rsidP="004D2A66">
            <w:pPr>
              <w:spacing w:after="60"/>
              <w:ind w:left="38"/>
              <w:jc w:val="right"/>
              <w:rPr>
                <w:sz w:val="18"/>
                <w:szCs w:val="18"/>
              </w:rPr>
            </w:pPr>
            <w:r>
              <w:rPr>
                <w:color w:val="000000"/>
                <w:sz w:val="18"/>
                <w:szCs w:val="18"/>
                <w:lang w:val="fr"/>
              </w:rPr>
              <w:t xml:space="preserve">698,82 </w:t>
            </w:r>
          </w:p>
        </w:tc>
        <w:tc>
          <w:tcPr>
            <w:tcW w:w="810" w:type="dxa"/>
          </w:tcPr>
          <w:p w14:paraId="06909BDB" w14:textId="77777777" w:rsidR="00F65F7C" w:rsidRPr="004210C0" w:rsidRDefault="00F65F7C" w:rsidP="004D2A66">
            <w:pPr>
              <w:spacing w:after="60"/>
              <w:jc w:val="right"/>
              <w:rPr>
                <w:sz w:val="18"/>
                <w:szCs w:val="18"/>
              </w:rPr>
            </w:pPr>
            <w:r>
              <w:rPr>
                <w:color w:val="000000"/>
                <w:sz w:val="18"/>
                <w:szCs w:val="18"/>
                <w:lang w:val="fr"/>
              </w:rPr>
              <w:t xml:space="preserve">643,28 </w:t>
            </w:r>
          </w:p>
        </w:tc>
        <w:tc>
          <w:tcPr>
            <w:tcW w:w="900" w:type="dxa"/>
            <w:shd w:val="clear" w:color="auto" w:fill="auto"/>
          </w:tcPr>
          <w:p w14:paraId="74B7E258" w14:textId="77777777" w:rsidR="00F65F7C" w:rsidRPr="004210C0" w:rsidRDefault="00F65F7C" w:rsidP="004D2A66">
            <w:pPr>
              <w:spacing w:after="60"/>
              <w:jc w:val="right"/>
              <w:rPr>
                <w:sz w:val="18"/>
                <w:szCs w:val="18"/>
              </w:rPr>
            </w:pPr>
            <w:r>
              <w:rPr>
                <w:sz w:val="18"/>
                <w:szCs w:val="18"/>
                <w:lang w:val="fr"/>
              </w:rPr>
              <w:t>643,28</w:t>
            </w:r>
          </w:p>
        </w:tc>
        <w:tc>
          <w:tcPr>
            <w:tcW w:w="720" w:type="dxa"/>
            <w:shd w:val="clear" w:color="auto" w:fill="auto"/>
          </w:tcPr>
          <w:p w14:paraId="4D73363D" w14:textId="77777777" w:rsidR="00F65F7C" w:rsidRPr="004210C0" w:rsidRDefault="00F65F7C" w:rsidP="004D2A66">
            <w:pPr>
              <w:spacing w:after="60"/>
              <w:jc w:val="right"/>
              <w:rPr>
                <w:sz w:val="18"/>
                <w:szCs w:val="18"/>
              </w:rPr>
            </w:pPr>
            <w:r>
              <w:rPr>
                <w:sz w:val="18"/>
                <w:szCs w:val="18"/>
                <w:lang w:val="fr"/>
              </w:rPr>
              <w:t>75,85</w:t>
            </w:r>
          </w:p>
        </w:tc>
        <w:tc>
          <w:tcPr>
            <w:tcW w:w="900" w:type="dxa"/>
          </w:tcPr>
          <w:p w14:paraId="57F4AE21" w14:textId="77777777" w:rsidR="00F65F7C" w:rsidRPr="004210C0" w:rsidRDefault="00F65F7C" w:rsidP="004D2A66">
            <w:pPr>
              <w:spacing w:after="60"/>
              <w:jc w:val="right"/>
              <w:rPr>
                <w:sz w:val="18"/>
                <w:szCs w:val="18"/>
              </w:rPr>
            </w:pPr>
            <w:r>
              <w:rPr>
                <w:sz w:val="18"/>
                <w:szCs w:val="18"/>
                <w:lang w:val="fr"/>
              </w:rPr>
              <w:t>75,85</w:t>
            </w:r>
          </w:p>
        </w:tc>
        <w:tc>
          <w:tcPr>
            <w:tcW w:w="648" w:type="dxa"/>
          </w:tcPr>
          <w:p w14:paraId="60C91E60" w14:textId="77777777" w:rsidR="00F65F7C" w:rsidRPr="004210C0" w:rsidRDefault="00F65F7C" w:rsidP="004D2A66">
            <w:pPr>
              <w:spacing w:after="60"/>
              <w:jc w:val="right"/>
              <w:rPr>
                <w:sz w:val="18"/>
                <w:szCs w:val="18"/>
              </w:rPr>
            </w:pPr>
            <w:r>
              <w:rPr>
                <w:sz w:val="18"/>
                <w:szCs w:val="18"/>
                <w:lang w:val="fr"/>
              </w:rPr>
              <w:t>75,85</w:t>
            </w:r>
          </w:p>
        </w:tc>
        <w:tc>
          <w:tcPr>
            <w:tcW w:w="792" w:type="dxa"/>
          </w:tcPr>
          <w:p w14:paraId="1E9F226B" w14:textId="77777777" w:rsidR="00F65F7C" w:rsidRPr="004210C0" w:rsidRDefault="00F65F7C" w:rsidP="004D2A66">
            <w:pPr>
              <w:spacing w:after="60"/>
              <w:jc w:val="right"/>
              <w:rPr>
                <w:sz w:val="18"/>
                <w:szCs w:val="18"/>
              </w:rPr>
            </w:pPr>
            <w:r>
              <w:rPr>
                <w:sz w:val="18"/>
                <w:szCs w:val="18"/>
                <w:lang w:val="fr"/>
              </w:rPr>
              <w:t>75,85</w:t>
            </w:r>
          </w:p>
        </w:tc>
        <w:tc>
          <w:tcPr>
            <w:tcW w:w="540" w:type="dxa"/>
          </w:tcPr>
          <w:p w14:paraId="59F818AB" w14:textId="77777777" w:rsidR="00F65F7C" w:rsidRPr="004210C0" w:rsidRDefault="00F65F7C" w:rsidP="004D2A66">
            <w:pPr>
              <w:spacing w:after="60"/>
              <w:jc w:val="right"/>
              <w:rPr>
                <w:sz w:val="18"/>
                <w:szCs w:val="18"/>
              </w:rPr>
            </w:pPr>
            <w:r>
              <w:rPr>
                <w:sz w:val="18"/>
                <w:szCs w:val="18"/>
                <w:lang w:val="fr"/>
              </w:rPr>
              <w:t>0,00</w:t>
            </w:r>
          </w:p>
        </w:tc>
        <w:tc>
          <w:tcPr>
            <w:tcW w:w="990" w:type="dxa"/>
            <w:hideMark/>
          </w:tcPr>
          <w:p w14:paraId="1DD741FF" w14:textId="77777777" w:rsidR="00F65F7C" w:rsidRPr="004210C0" w:rsidRDefault="00F65F7C" w:rsidP="004D2A66">
            <w:pPr>
              <w:spacing w:after="60"/>
              <w:jc w:val="right"/>
              <w:rPr>
                <w:sz w:val="18"/>
                <w:szCs w:val="18"/>
              </w:rPr>
            </w:pPr>
            <w:proofErr w:type="spellStart"/>
            <w:r>
              <w:rPr>
                <w:sz w:val="18"/>
                <w:szCs w:val="18"/>
                <w:lang w:val="fr"/>
              </w:rPr>
              <w:t>s.o</w:t>
            </w:r>
            <w:proofErr w:type="spellEnd"/>
            <w:r>
              <w:rPr>
                <w:sz w:val="18"/>
                <w:szCs w:val="18"/>
                <w:lang w:val="fr"/>
              </w:rPr>
              <w:t>.</w:t>
            </w:r>
          </w:p>
        </w:tc>
      </w:tr>
      <w:tr w:rsidR="00F65F7C" w:rsidRPr="00B31181" w14:paraId="7473423F" w14:textId="77777777" w:rsidTr="00AF426F">
        <w:trPr>
          <w:trHeight w:val="233"/>
          <w:jc w:val="center"/>
        </w:trPr>
        <w:tc>
          <w:tcPr>
            <w:tcW w:w="1319" w:type="dxa"/>
            <w:vMerge w:val="restart"/>
            <w:hideMark/>
          </w:tcPr>
          <w:p w14:paraId="6713E99F" w14:textId="77777777" w:rsidR="00F65F7C" w:rsidRPr="00F65F7C" w:rsidRDefault="00F65F7C" w:rsidP="006B1FAA">
            <w:pPr>
              <w:spacing w:after="60"/>
              <w:ind w:left="38"/>
              <w:jc w:val="left"/>
              <w:rPr>
                <w:sz w:val="18"/>
                <w:szCs w:val="18"/>
                <w:lang w:val="fr-FR"/>
              </w:rPr>
            </w:pPr>
            <w:r>
              <w:rPr>
                <w:sz w:val="18"/>
                <w:szCs w:val="18"/>
                <w:lang w:val="fr"/>
              </w:rPr>
              <w:t>Financement convenu en principe ($ US)</w:t>
            </w:r>
          </w:p>
        </w:tc>
        <w:tc>
          <w:tcPr>
            <w:tcW w:w="990" w:type="dxa"/>
            <w:vMerge w:val="restart"/>
            <w:vAlign w:val="center"/>
            <w:hideMark/>
          </w:tcPr>
          <w:p w14:paraId="01F670CD" w14:textId="77777777" w:rsidR="00F65F7C" w:rsidRPr="004210C0" w:rsidRDefault="00F65F7C" w:rsidP="006B1FAA">
            <w:pPr>
              <w:spacing w:after="60"/>
              <w:ind w:left="38"/>
              <w:jc w:val="center"/>
              <w:rPr>
                <w:sz w:val="18"/>
                <w:szCs w:val="18"/>
              </w:rPr>
            </w:pPr>
            <w:r>
              <w:rPr>
                <w:color w:val="000000" w:themeColor="text1"/>
                <w:sz w:val="18"/>
                <w:szCs w:val="18"/>
                <w:lang w:val="fr"/>
              </w:rPr>
              <w:t>PNUD</w:t>
            </w:r>
          </w:p>
        </w:tc>
        <w:tc>
          <w:tcPr>
            <w:tcW w:w="1363" w:type="dxa"/>
            <w:hideMark/>
          </w:tcPr>
          <w:p w14:paraId="66521B7F" w14:textId="77777777" w:rsidR="00F65F7C" w:rsidRPr="004210C0" w:rsidRDefault="00F65F7C" w:rsidP="006B1FAA">
            <w:pPr>
              <w:spacing w:after="60"/>
              <w:ind w:left="38"/>
              <w:jc w:val="left"/>
              <w:rPr>
                <w:sz w:val="18"/>
                <w:szCs w:val="18"/>
              </w:rPr>
            </w:pPr>
            <w:r>
              <w:rPr>
                <w:sz w:val="18"/>
                <w:szCs w:val="18"/>
                <w:lang w:val="fr"/>
              </w:rPr>
              <w:t>Coûts du projet</w:t>
            </w:r>
          </w:p>
        </w:tc>
        <w:tc>
          <w:tcPr>
            <w:tcW w:w="900" w:type="dxa"/>
            <w:shd w:val="clear" w:color="auto" w:fill="auto"/>
          </w:tcPr>
          <w:p w14:paraId="76F5CBB9" w14:textId="77777777" w:rsidR="00F65F7C" w:rsidRPr="004210C0" w:rsidRDefault="00F65F7C" w:rsidP="004D2A66">
            <w:pPr>
              <w:spacing w:after="60"/>
              <w:ind w:left="38"/>
              <w:jc w:val="right"/>
              <w:rPr>
                <w:color w:val="000000"/>
                <w:sz w:val="18"/>
                <w:szCs w:val="18"/>
              </w:rPr>
            </w:pPr>
            <w:r>
              <w:rPr>
                <w:sz w:val="18"/>
                <w:szCs w:val="18"/>
                <w:lang w:val="fr"/>
              </w:rPr>
              <w:t>6 166 500</w:t>
            </w:r>
          </w:p>
        </w:tc>
        <w:tc>
          <w:tcPr>
            <w:tcW w:w="810" w:type="dxa"/>
          </w:tcPr>
          <w:p w14:paraId="4E958153" w14:textId="77777777" w:rsidR="00F65F7C" w:rsidRPr="004210C0" w:rsidRDefault="00F65F7C" w:rsidP="004D2A66">
            <w:pPr>
              <w:spacing w:after="60"/>
              <w:jc w:val="right"/>
              <w:rPr>
                <w:color w:val="000000"/>
                <w:sz w:val="18"/>
                <w:szCs w:val="18"/>
              </w:rPr>
            </w:pPr>
            <w:r>
              <w:rPr>
                <w:sz w:val="18"/>
                <w:szCs w:val="18"/>
                <w:lang w:val="fr"/>
              </w:rPr>
              <w:t>0</w:t>
            </w:r>
          </w:p>
        </w:tc>
        <w:tc>
          <w:tcPr>
            <w:tcW w:w="900" w:type="dxa"/>
            <w:shd w:val="clear" w:color="auto" w:fill="auto"/>
          </w:tcPr>
          <w:p w14:paraId="588F3693" w14:textId="77777777" w:rsidR="00F65F7C" w:rsidRPr="004210C0" w:rsidRDefault="00F65F7C" w:rsidP="004D2A66">
            <w:pPr>
              <w:spacing w:after="60"/>
              <w:jc w:val="right"/>
              <w:rPr>
                <w:color w:val="000000"/>
                <w:sz w:val="18"/>
                <w:szCs w:val="18"/>
              </w:rPr>
            </w:pPr>
            <w:r>
              <w:rPr>
                <w:sz w:val="18"/>
                <w:szCs w:val="18"/>
                <w:lang w:val="fr"/>
              </w:rPr>
              <w:t>5 495 933</w:t>
            </w:r>
          </w:p>
        </w:tc>
        <w:tc>
          <w:tcPr>
            <w:tcW w:w="720" w:type="dxa"/>
            <w:shd w:val="clear" w:color="auto" w:fill="auto"/>
          </w:tcPr>
          <w:p w14:paraId="092D950D" w14:textId="77777777" w:rsidR="00F65F7C" w:rsidRPr="004210C0" w:rsidRDefault="00F65F7C" w:rsidP="004D2A66">
            <w:pPr>
              <w:spacing w:after="60"/>
              <w:jc w:val="right"/>
              <w:rPr>
                <w:color w:val="000000"/>
                <w:sz w:val="18"/>
                <w:szCs w:val="18"/>
              </w:rPr>
            </w:pPr>
            <w:r>
              <w:rPr>
                <w:sz w:val="18"/>
                <w:szCs w:val="18"/>
                <w:lang w:val="fr"/>
              </w:rPr>
              <w:t>0</w:t>
            </w:r>
          </w:p>
        </w:tc>
        <w:tc>
          <w:tcPr>
            <w:tcW w:w="900" w:type="dxa"/>
          </w:tcPr>
          <w:p w14:paraId="34BBB990" w14:textId="77777777" w:rsidR="00F65F7C" w:rsidRPr="004210C0" w:rsidRDefault="00F65F7C" w:rsidP="004D2A66">
            <w:pPr>
              <w:spacing w:after="60"/>
              <w:jc w:val="right"/>
              <w:rPr>
                <w:color w:val="000000"/>
                <w:sz w:val="18"/>
                <w:szCs w:val="18"/>
              </w:rPr>
            </w:pPr>
            <w:r>
              <w:rPr>
                <w:sz w:val="18"/>
                <w:szCs w:val="18"/>
                <w:lang w:val="fr"/>
              </w:rPr>
              <w:t>2 663 295</w:t>
            </w:r>
          </w:p>
        </w:tc>
        <w:tc>
          <w:tcPr>
            <w:tcW w:w="648" w:type="dxa"/>
          </w:tcPr>
          <w:p w14:paraId="20CA98BD" w14:textId="77777777" w:rsidR="00F65F7C" w:rsidRPr="004210C0" w:rsidRDefault="00F65F7C" w:rsidP="004D2A66">
            <w:pPr>
              <w:spacing w:after="60"/>
              <w:jc w:val="right"/>
              <w:rPr>
                <w:color w:val="000000"/>
                <w:sz w:val="18"/>
                <w:szCs w:val="18"/>
              </w:rPr>
            </w:pPr>
            <w:r>
              <w:rPr>
                <w:sz w:val="18"/>
                <w:szCs w:val="18"/>
                <w:lang w:val="fr"/>
              </w:rPr>
              <w:t>0</w:t>
            </w:r>
          </w:p>
        </w:tc>
        <w:tc>
          <w:tcPr>
            <w:tcW w:w="792" w:type="dxa"/>
          </w:tcPr>
          <w:p w14:paraId="175252D2" w14:textId="77777777" w:rsidR="00F65F7C" w:rsidRPr="004210C0" w:rsidRDefault="00F65F7C" w:rsidP="004D2A66">
            <w:pPr>
              <w:spacing w:after="60"/>
              <w:jc w:val="right"/>
              <w:rPr>
                <w:color w:val="000000"/>
                <w:sz w:val="18"/>
                <w:szCs w:val="18"/>
              </w:rPr>
            </w:pPr>
            <w:r>
              <w:rPr>
                <w:sz w:val="18"/>
                <w:szCs w:val="18"/>
                <w:lang w:val="fr"/>
              </w:rPr>
              <w:t>509 332</w:t>
            </w:r>
          </w:p>
        </w:tc>
        <w:tc>
          <w:tcPr>
            <w:tcW w:w="540" w:type="dxa"/>
          </w:tcPr>
          <w:p w14:paraId="4C3FF2B1" w14:textId="77777777" w:rsidR="00F65F7C" w:rsidRPr="004210C0" w:rsidRDefault="00F65F7C" w:rsidP="004D2A66">
            <w:pPr>
              <w:spacing w:after="60"/>
              <w:jc w:val="right"/>
              <w:rPr>
                <w:color w:val="000000"/>
                <w:sz w:val="18"/>
                <w:szCs w:val="18"/>
              </w:rPr>
            </w:pPr>
            <w:r>
              <w:rPr>
                <w:sz w:val="18"/>
                <w:szCs w:val="18"/>
                <w:lang w:val="fr"/>
              </w:rPr>
              <w:t>0</w:t>
            </w:r>
          </w:p>
        </w:tc>
        <w:tc>
          <w:tcPr>
            <w:tcW w:w="990" w:type="dxa"/>
          </w:tcPr>
          <w:p w14:paraId="4C4E572D" w14:textId="77777777" w:rsidR="00F65F7C" w:rsidRPr="004210C0" w:rsidRDefault="00F65F7C" w:rsidP="004D2A66">
            <w:pPr>
              <w:spacing w:after="60"/>
              <w:jc w:val="right"/>
              <w:rPr>
                <w:color w:val="000000"/>
                <w:sz w:val="18"/>
                <w:szCs w:val="18"/>
              </w:rPr>
            </w:pPr>
            <w:r>
              <w:rPr>
                <w:color w:val="000000"/>
                <w:sz w:val="18"/>
                <w:szCs w:val="18"/>
                <w:lang w:val="fr"/>
              </w:rPr>
              <w:t>14 835 060</w:t>
            </w:r>
          </w:p>
        </w:tc>
      </w:tr>
      <w:tr w:rsidR="00F65F7C" w:rsidRPr="00B31181" w14:paraId="78732F50" w14:textId="77777777" w:rsidTr="00AF426F">
        <w:trPr>
          <w:trHeight w:val="49"/>
          <w:jc w:val="center"/>
        </w:trPr>
        <w:tc>
          <w:tcPr>
            <w:tcW w:w="1319" w:type="dxa"/>
            <w:vMerge/>
            <w:vAlign w:val="center"/>
            <w:hideMark/>
          </w:tcPr>
          <w:p w14:paraId="04C1501E" w14:textId="77777777" w:rsidR="00F65F7C" w:rsidRPr="00FC78C1" w:rsidRDefault="00F65F7C" w:rsidP="006B1FAA">
            <w:pPr>
              <w:spacing w:after="60"/>
              <w:ind w:left="38"/>
              <w:rPr>
                <w:sz w:val="18"/>
                <w:szCs w:val="18"/>
              </w:rPr>
            </w:pPr>
          </w:p>
        </w:tc>
        <w:tc>
          <w:tcPr>
            <w:tcW w:w="990" w:type="dxa"/>
            <w:vMerge/>
            <w:vAlign w:val="center"/>
            <w:hideMark/>
          </w:tcPr>
          <w:p w14:paraId="072B51AA" w14:textId="77777777" w:rsidR="00F65F7C" w:rsidRPr="00FC78C1" w:rsidRDefault="00F65F7C" w:rsidP="006B1FAA">
            <w:pPr>
              <w:spacing w:after="60"/>
              <w:ind w:left="38"/>
              <w:jc w:val="center"/>
              <w:rPr>
                <w:sz w:val="18"/>
                <w:szCs w:val="18"/>
              </w:rPr>
            </w:pPr>
          </w:p>
        </w:tc>
        <w:tc>
          <w:tcPr>
            <w:tcW w:w="1363" w:type="dxa"/>
            <w:hideMark/>
          </w:tcPr>
          <w:p w14:paraId="23E8942B" w14:textId="77777777" w:rsidR="00F65F7C" w:rsidRPr="00FC78C1" w:rsidRDefault="00F65F7C" w:rsidP="006B1FAA">
            <w:pPr>
              <w:spacing w:after="60"/>
              <w:ind w:left="38"/>
              <w:jc w:val="left"/>
              <w:rPr>
                <w:sz w:val="18"/>
                <w:szCs w:val="18"/>
              </w:rPr>
            </w:pPr>
            <w:r>
              <w:rPr>
                <w:sz w:val="18"/>
                <w:szCs w:val="18"/>
                <w:lang w:val="fr"/>
              </w:rPr>
              <w:t>Coûts d’appui</w:t>
            </w:r>
          </w:p>
        </w:tc>
        <w:tc>
          <w:tcPr>
            <w:tcW w:w="900" w:type="dxa"/>
            <w:shd w:val="clear" w:color="auto" w:fill="auto"/>
          </w:tcPr>
          <w:p w14:paraId="2C88EBF2" w14:textId="77777777" w:rsidR="00F65F7C" w:rsidRPr="00FC78C1" w:rsidRDefault="00F65F7C" w:rsidP="004D2A66">
            <w:pPr>
              <w:spacing w:after="60"/>
              <w:ind w:left="38"/>
              <w:jc w:val="right"/>
              <w:rPr>
                <w:color w:val="000000"/>
                <w:sz w:val="18"/>
                <w:szCs w:val="18"/>
              </w:rPr>
            </w:pPr>
            <w:r>
              <w:rPr>
                <w:sz w:val="18"/>
                <w:szCs w:val="18"/>
                <w:lang w:val="fr"/>
              </w:rPr>
              <w:t>431 655</w:t>
            </w:r>
          </w:p>
        </w:tc>
        <w:tc>
          <w:tcPr>
            <w:tcW w:w="810" w:type="dxa"/>
          </w:tcPr>
          <w:p w14:paraId="1BD070D8" w14:textId="77777777" w:rsidR="00F65F7C" w:rsidRPr="00FC78C1" w:rsidRDefault="00F65F7C" w:rsidP="004D2A66">
            <w:pPr>
              <w:spacing w:after="60"/>
              <w:jc w:val="right"/>
              <w:rPr>
                <w:color w:val="000000"/>
                <w:sz w:val="18"/>
                <w:szCs w:val="18"/>
              </w:rPr>
            </w:pPr>
            <w:r>
              <w:rPr>
                <w:sz w:val="18"/>
                <w:szCs w:val="18"/>
                <w:lang w:val="fr"/>
              </w:rPr>
              <w:t>0</w:t>
            </w:r>
          </w:p>
        </w:tc>
        <w:tc>
          <w:tcPr>
            <w:tcW w:w="900" w:type="dxa"/>
            <w:shd w:val="clear" w:color="auto" w:fill="auto"/>
          </w:tcPr>
          <w:p w14:paraId="2685BE5A" w14:textId="77777777" w:rsidR="00F65F7C" w:rsidRPr="00FC78C1" w:rsidRDefault="00F65F7C" w:rsidP="004D2A66">
            <w:pPr>
              <w:spacing w:after="60"/>
              <w:jc w:val="right"/>
              <w:rPr>
                <w:color w:val="000000"/>
                <w:sz w:val="18"/>
                <w:szCs w:val="18"/>
              </w:rPr>
            </w:pPr>
            <w:r>
              <w:rPr>
                <w:sz w:val="18"/>
                <w:szCs w:val="18"/>
                <w:lang w:val="fr"/>
              </w:rPr>
              <w:t>384 715</w:t>
            </w:r>
          </w:p>
        </w:tc>
        <w:tc>
          <w:tcPr>
            <w:tcW w:w="720" w:type="dxa"/>
            <w:shd w:val="clear" w:color="auto" w:fill="auto"/>
          </w:tcPr>
          <w:p w14:paraId="73E438CA" w14:textId="77777777" w:rsidR="00F65F7C" w:rsidRPr="00FC78C1" w:rsidRDefault="00F65F7C" w:rsidP="004D2A66">
            <w:pPr>
              <w:spacing w:after="60"/>
              <w:jc w:val="right"/>
              <w:rPr>
                <w:color w:val="000000"/>
                <w:sz w:val="18"/>
                <w:szCs w:val="18"/>
              </w:rPr>
            </w:pPr>
            <w:r>
              <w:rPr>
                <w:sz w:val="18"/>
                <w:szCs w:val="18"/>
                <w:lang w:val="fr"/>
              </w:rPr>
              <w:t>0</w:t>
            </w:r>
          </w:p>
        </w:tc>
        <w:tc>
          <w:tcPr>
            <w:tcW w:w="900" w:type="dxa"/>
          </w:tcPr>
          <w:p w14:paraId="1563A322" w14:textId="77777777" w:rsidR="00F65F7C" w:rsidRPr="00FC78C1" w:rsidRDefault="00F65F7C" w:rsidP="004D2A66">
            <w:pPr>
              <w:spacing w:after="60"/>
              <w:jc w:val="right"/>
              <w:rPr>
                <w:color w:val="000000"/>
                <w:sz w:val="18"/>
                <w:szCs w:val="18"/>
              </w:rPr>
            </w:pPr>
            <w:r>
              <w:rPr>
                <w:sz w:val="18"/>
                <w:szCs w:val="18"/>
                <w:lang w:val="fr"/>
              </w:rPr>
              <w:t>186 431</w:t>
            </w:r>
          </w:p>
        </w:tc>
        <w:tc>
          <w:tcPr>
            <w:tcW w:w="648" w:type="dxa"/>
          </w:tcPr>
          <w:p w14:paraId="2A760BAC" w14:textId="77777777" w:rsidR="00F65F7C" w:rsidRPr="00FC78C1" w:rsidRDefault="00F65F7C" w:rsidP="004D2A66">
            <w:pPr>
              <w:spacing w:after="60"/>
              <w:jc w:val="right"/>
              <w:rPr>
                <w:color w:val="000000"/>
                <w:sz w:val="18"/>
                <w:szCs w:val="18"/>
              </w:rPr>
            </w:pPr>
            <w:r>
              <w:rPr>
                <w:sz w:val="18"/>
                <w:szCs w:val="18"/>
                <w:lang w:val="fr"/>
              </w:rPr>
              <w:t>0</w:t>
            </w:r>
          </w:p>
        </w:tc>
        <w:tc>
          <w:tcPr>
            <w:tcW w:w="792" w:type="dxa"/>
          </w:tcPr>
          <w:p w14:paraId="0DAA816E" w14:textId="77777777" w:rsidR="00F65F7C" w:rsidRPr="00FC78C1" w:rsidRDefault="00F65F7C" w:rsidP="004D2A66">
            <w:pPr>
              <w:spacing w:after="60"/>
              <w:jc w:val="right"/>
              <w:rPr>
                <w:color w:val="000000"/>
                <w:sz w:val="18"/>
                <w:szCs w:val="18"/>
              </w:rPr>
            </w:pPr>
            <w:r>
              <w:rPr>
                <w:sz w:val="18"/>
                <w:szCs w:val="18"/>
                <w:lang w:val="fr"/>
              </w:rPr>
              <w:t>35 653</w:t>
            </w:r>
          </w:p>
        </w:tc>
        <w:tc>
          <w:tcPr>
            <w:tcW w:w="540" w:type="dxa"/>
          </w:tcPr>
          <w:p w14:paraId="6134186C" w14:textId="77777777" w:rsidR="00F65F7C" w:rsidRPr="00FC78C1" w:rsidRDefault="00F65F7C" w:rsidP="004D2A66">
            <w:pPr>
              <w:spacing w:after="60"/>
              <w:jc w:val="right"/>
              <w:rPr>
                <w:color w:val="000000"/>
                <w:sz w:val="18"/>
                <w:szCs w:val="18"/>
              </w:rPr>
            </w:pPr>
            <w:r>
              <w:rPr>
                <w:sz w:val="18"/>
                <w:szCs w:val="18"/>
                <w:lang w:val="fr"/>
              </w:rPr>
              <w:t>0</w:t>
            </w:r>
          </w:p>
        </w:tc>
        <w:tc>
          <w:tcPr>
            <w:tcW w:w="990" w:type="dxa"/>
          </w:tcPr>
          <w:p w14:paraId="2699E1AB" w14:textId="77777777" w:rsidR="00F65F7C" w:rsidRPr="00FC78C1" w:rsidRDefault="00F65F7C" w:rsidP="004D2A66">
            <w:pPr>
              <w:spacing w:after="60"/>
              <w:jc w:val="right"/>
              <w:rPr>
                <w:color w:val="000000"/>
                <w:sz w:val="18"/>
                <w:szCs w:val="18"/>
              </w:rPr>
            </w:pPr>
            <w:r>
              <w:rPr>
                <w:color w:val="000000"/>
                <w:sz w:val="18"/>
                <w:szCs w:val="18"/>
                <w:lang w:val="fr"/>
              </w:rPr>
              <w:t>1 038 454</w:t>
            </w:r>
          </w:p>
        </w:tc>
      </w:tr>
      <w:tr w:rsidR="00F65F7C" w:rsidRPr="00B31181" w14:paraId="178F3298" w14:textId="77777777" w:rsidTr="00AF426F">
        <w:trPr>
          <w:trHeight w:val="139"/>
          <w:jc w:val="center"/>
        </w:trPr>
        <w:tc>
          <w:tcPr>
            <w:tcW w:w="1319" w:type="dxa"/>
            <w:vMerge/>
            <w:vAlign w:val="center"/>
            <w:hideMark/>
          </w:tcPr>
          <w:p w14:paraId="75EB1A3A" w14:textId="77777777" w:rsidR="00F65F7C" w:rsidRPr="00FC78C1" w:rsidRDefault="00F65F7C" w:rsidP="006B1FAA">
            <w:pPr>
              <w:spacing w:after="60"/>
              <w:ind w:left="38"/>
              <w:rPr>
                <w:sz w:val="18"/>
                <w:szCs w:val="18"/>
              </w:rPr>
            </w:pPr>
          </w:p>
        </w:tc>
        <w:tc>
          <w:tcPr>
            <w:tcW w:w="990" w:type="dxa"/>
            <w:vMerge w:val="restart"/>
            <w:vAlign w:val="center"/>
            <w:hideMark/>
          </w:tcPr>
          <w:p w14:paraId="575A212C" w14:textId="77777777" w:rsidR="00F65F7C" w:rsidRPr="00FC78C1" w:rsidRDefault="00F65F7C" w:rsidP="006B1FAA">
            <w:pPr>
              <w:spacing w:after="60"/>
              <w:ind w:left="38"/>
              <w:jc w:val="center"/>
              <w:rPr>
                <w:caps/>
                <w:sz w:val="18"/>
                <w:szCs w:val="18"/>
              </w:rPr>
            </w:pPr>
            <w:r>
              <w:rPr>
                <w:color w:val="000000" w:themeColor="text1"/>
                <w:sz w:val="18"/>
                <w:szCs w:val="18"/>
                <w:lang w:val="fr"/>
              </w:rPr>
              <w:t>PNUE</w:t>
            </w:r>
          </w:p>
        </w:tc>
        <w:tc>
          <w:tcPr>
            <w:tcW w:w="1363" w:type="dxa"/>
            <w:hideMark/>
          </w:tcPr>
          <w:p w14:paraId="37B789CC" w14:textId="77777777" w:rsidR="00F65F7C" w:rsidRPr="00FC78C1" w:rsidRDefault="00F65F7C" w:rsidP="006B1FAA">
            <w:pPr>
              <w:spacing w:after="60"/>
              <w:ind w:left="38"/>
              <w:jc w:val="left"/>
              <w:rPr>
                <w:sz w:val="18"/>
                <w:szCs w:val="18"/>
              </w:rPr>
            </w:pPr>
            <w:r>
              <w:rPr>
                <w:sz w:val="18"/>
                <w:szCs w:val="18"/>
                <w:lang w:val="fr"/>
              </w:rPr>
              <w:t>Coûts du projet</w:t>
            </w:r>
          </w:p>
        </w:tc>
        <w:tc>
          <w:tcPr>
            <w:tcW w:w="900" w:type="dxa"/>
            <w:shd w:val="clear" w:color="auto" w:fill="auto"/>
          </w:tcPr>
          <w:p w14:paraId="172E37C5" w14:textId="77777777" w:rsidR="00F65F7C" w:rsidRPr="00FC78C1" w:rsidRDefault="00F65F7C" w:rsidP="004D2A66">
            <w:pPr>
              <w:spacing w:after="60"/>
              <w:ind w:left="38"/>
              <w:jc w:val="right"/>
              <w:rPr>
                <w:color w:val="000000"/>
                <w:sz w:val="18"/>
                <w:szCs w:val="18"/>
              </w:rPr>
            </w:pPr>
            <w:r>
              <w:rPr>
                <w:sz w:val="18"/>
                <w:szCs w:val="18"/>
                <w:lang w:val="fr"/>
              </w:rPr>
              <w:t>668 215</w:t>
            </w:r>
          </w:p>
        </w:tc>
        <w:tc>
          <w:tcPr>
            <w:tcW w:w="810" w:type="dxa"/>
          </w:tcPr>
          <w:p w14:paraId="631E402E" w14:textId="77777777" w:rsidR="00F65F7C" w:rsidRPr="00FC78C1" w:rsidRDefault="00F65F7C" w:rsidP="004D2A66">
            <w:pPr>
              <w:spacing w:after="60"/>
              <w:jc w:val="right"/>
              <w:rPr>
                <w:color w:val="000000"/>
                <w:sz w:val="18"/>
                <w:szCs w:val="18"/>
              </w:rPr>
            </w:pPr>
            <w:r>
              <w:rPr>
                <w:sz w:val="18"/>
                <w:szCs w:val="18"/>
                <w:lang w:val="fr"/>
              </w:rPr>
              <w:t>0</w:t>
            </w:r>
          </w:p>
        </w:tc>
        <w:tc>
          <w:tcPr>
            <w:tcW w:w="900" w:type="dxa"/>
            <w:shd w:val="clear" w:color="auto" w:fill="auto"/>
          </w:tcPr>
          <w:p w14:paraId="1A9106B8" w14:textId="77777777" w:rsidR="00F65F7C" w:rsidRPr="00FC78C1" w:rsidRDefault="00F65F7C" w:rsidP="004D2A66">
            <w:pPr>
              <w:spacing w:after="60"/>
              <w:jc w:val="right"/>
              <w:rPr>
                <w:color w:val="000000"/>
                <w:sz w:val="18"/>
                <w:szCs w:val="18"/>
              </w:rPr>
            </w:pPr>
            <w:r>
              <w:rPr>
                <w:sz w:val="18"/>
                <w:szCs w:val="18"/>
                <w:lang w:val="fr"/>
              </w:rPr>
              <w:t>1 011 000</w:t>
            </w:r>
          </w:p>
        </w:tc>
        <w:tc>
          <w:tcPr>
            <w:tcW w:w="720" w:type="dxa"/>
            <w:shd w:val="clear" w:color="auto" w:fill="auto"/>
          </w:tcPr>
          <w:p w14:paraId="48BB8ACC" w14:textId="77777777" w:rsidR="00F65F7C" w:rsidRPr="00FC78C1" w:rsidRDefault="00F65F7C" w:rsidP="004D2A66">
            <w:pPr>
              <w:spacing w:after="60"/>
              <w:jc w:val="right"/>
              <w:rPr>
                <w:color w:val="000000"/>
                <w:sz w:val="18"/>
                <w:szCs w:val="18"/>
              </w:rPr>
            </w:pPr>
            <w:r>
              <w:rPr>
                <w:sz w:val="18"/>
                <w:szCs w:val="18"/>
                <w:lang w:val="fr"/>
              </w:rPr>
              <w:t>0</w:t>
            </w:r>
          </w:p>
        </w:tc>
        <w:tc>
          <w:tcPr>
            <w:tcW w:w="900" w:type="dxa"/>
          </w:tcPr>
          <w:p w14:paraId="5DC898A9" w14:textId="77777777" w:rsidR="00F65F7C" w:rsidRPr="00FC78C1" w:rsidRDefault="00F65F7C" w:rsidP="004D2A66">
            <w:pPr>
              <w:spacing w:after="60"/>
              <w:jc w:val="right"/>
              <w:rPr>
                <w:color w:val="000000"/>
                <w:sz w:val="18"/>
                <w:szCs w:val="18"/>
              </w:rPr>
            </w:pPr>
            <w:r>
              <w:rPr>
                <w:sz w:val="18"/>
                <w:szCs w:val="18"/>
                <w:lang w:val="fr"/>
              </w:rPr>
              <w:t>1 168 825</w:t>
            </w:r>
          </w:p>
        </w:tc>
        <w:tc>
          <w:tcPr>
            <w:tcW w:w="648" w:type="dxa"/>
          </w:tcPr>
          <w:p w14:paraId="73958274" w14:textId="77777777" w:rsidR="00F65F7C" w:rsidRPr="00FC78C1" w:rsidRDefault="00F65F7C" w:rsidP="004D2A66">
            <w:pPr>
              <w:spacing w:after="60"/>
              <w:jc w:val="right"/>
              <w:rPr>
                <w:color w:val="000000"/>
                <w:sz w:val="18"/>
                <w:szCs w:val="18"/>
              </w:rPr>
            </w:pPr>
            <w:r>
              <w:rPr>
                <w:sz w:val="18"/>
                <w:szCs w:val="18"/>
                <w:lang w:val="fr"/>
              </w:rPr>
              <w:t>0</w:t>
            </w:r>
          </w:p>
        </w:tc>
        <w:tc>
          <w:tcPr>
            <w:tcW w:w="792" w:type="dxa"/>
          </w:tcPr>
          <w:p w14:paraId="49BA8E08" w14:textId="77777777" w:rsidR="00F65F7C" w:rsidRPr="00FC78C1" w:rsidRDefault="00F65F7C" w:rsidP="004D2A66">
            <w:pPr>
              <w:spacing w:after="60"/>
              <w:jc w:val="right"/>
              <w:rPr>
                <w:color w:val="000000"/>
                <w:sz w:val="18"/>
                <w:szCs w:val="18"/>
              </w:rPr>
            </w:pPr>
            <w:r>
              <w:rPr>
                <w:sz w:val="18"/>
                <w:szCs w:val="18"/>
                <w:lang w:val="fr"/>
              </w:rPr>
              <w:t>521 960</w:t>
            </w:r>
          </w:p>
        </w:tc>
        <w:tc>
          <w:tcPr>
            <w:tcW w:w="540" w:type="dxa"/>
          </w:tcPr>
          <w:p w14:paraId="14E7A658" w14:textId="77777777" w:rsidR="00F65F7C" w:rsidRPr="00FC78C1" w:rsidRDefault="00F65F7C" w:rsidP="004D2A66">
            <w:pPr>
              <w:spacing w:after="60"/>
              <w:jc w:val="right"/>
              <w:rPr>
                <w:color w:val="000000"/>
                <w:sz w:val="18"/>
                <w:szCs w:val="18"/>
              </w:rPr>
            </w:pPr>
            <w:r>
              <w:rPr>
                <w:sz w:val="18"/>
                <w:szCs w:val="18"/>
                <w:lang w:val="fr"/>
              </w:rPr>
              <w:t>0</w:t>
            </w:r>
          </w:p>
        </w:tc>
        <w:tc>
          <w:tcPr>
            <w:tcW w:w="990" w:type="dxa"/>
          </w:tcPr>
          <w:p w14:paraId="15E544DB" w14:textId="77777777" w:rsidR="00F65F7C" w:rsidRPr="00FC78C1" w:rsidRDefault="00F65F7C" w:rsidP="004D2A66">
            <w:pPr>
              <w:spacing w:after="60"/>
              <w:jc w:val="right"/>
              <w:rPr>
                <w:color w:val="000000"/>
                <w:sz w:val="18"/>
                <w:szCs w:val="18"/>
              </w:rPr>
            </w:pPr>
            <w:r>
              <w:rPr>
                <w:color w:val="000000"/>
                <w:sz w:val="18"/>
                <w:szCs w:val="18"/>
                <w:lang w:val="fr"/>
              </w:rPr>
              <w:t>3 370 000</w:t>
            </w:r>
          </w:p>
        </w:tc>
      </w:tr>
      <w:tr w:rsidR="00F65F7C" w:rsidRPr="00B31181" w14:paraId="68C707B0" w14:textId="77777777" w:rsidTr="00AF426F">
        <w:trPr>
          <w:trHeight w:val="131"/>
          <w:jc w:val="center"/>
        </w:trPr>
        <w:tc>
          <w:tcPr>
            <w:tcW w:w="1319" w:type="dxa"/>
            <w:vMerge/>
            <w:vAlign w:val="center"/>
            <w:hideMark/>
          </w:tcPr>
          <w:p w14:paraId="6B94AB10" w14:textId="77777777" w:rsidR="00F65F7C" w:rsidRPr="00FC78C1" w:rsidRDefault="00F65F7C" w:rsidP="006B1FAA">
            <w:pPr>
              <w:spacing w:after="60"/>
              <w:ind w:left="38"/>
              <w:rPr>
                <w:sz w:val="18"/>
                <w:szCs w:val="18"/>
              </w:rPr>
            </w:pPr>
          </w:p>
        </w:tc>
        <w:tc>
          <w:tcPr>
            <w:tcW w:w="990" w:type="dxa"/>
            <w:vMerge/>
            <w:hideMark/>
          </w:tcPr>
          <w:p w14:paraId="41736758" w14:textId="77777777" w:rsidR="00F65F7C" w:rsidRPr="00FC78C1" w:rsidRDefault="00F65F7C" w:rsidP="006B1FAA">
            <w:pPr>
              <w:spacing w:after="60"/>
              <w:ind w:left="38"/>
              <w:rPr>
                <w:sz w:val="18"/>
                <w:szCs w:val="18"/>
              </w:rPr>
            </w:pPr>
          </w:p>
        </w:tc>
        <w:tc>
          <w:tcPr>
            <w:tcW w:w="1363" w:type="dxa"/>
            <w:hideMark/>
          </w:tcPr>
          <w:p w14:paraId="03506F6B" w14:textId="77777777" w:rsidR="00F65F7C" w:rsidRPr="00FC78C1" w:rsidRDefault="00F65F7C" w:rsidP="006B1FAA">
            <w:pPr>
              <w:spacing w:after="60"/>
              <w:ind w:left="38"/>
              <w:jc w:val="left"/>
              <w:rPr>
                <w:sz w:val="18"/>
                <w:szCs w:val="18"/>
              </w:rPr>
            </w:pPr>
            <w:r>
              <w:rPr>
                <w:sz w:val="18"/>
                <w:szCs w:val="18"/>
                <w:lang w:val="fr"/>
              </w:rPr>
              <w:t>Coûts d’appui</w:t>
            </w:r>
          </w:p>
        </w:tc>
        <w:tc>
          <w:tcPr>
            <w:tcW w:w="900" w:type="dxa"/>
            <w:shd w:val="clear" w:color="auto" w:fill="auto"/>
          </w:tcPr>
          <w:p w14:paraId="3FCF042F" w14:textId="77777777" w:rsidR="00F65F7C" w:rsidRPr="00FC78C1" w:rsidRDefault="00F65F7C" w:rsidP="004D2A66">
            <w:pPr>
              <w:spacing w:after="60"/>
              <w:ind w:left="38"/>
              <w:jc w:val="right"/>
              <w:rPr>
                <w:color w:val="000000"/>
                <w:sz w:val="18"/>
                <w:szCs w:val="18"/>
              </w:rPr>
            </w:pPr>
            <w:r>
              <w:rPr>
                <w:color w:val="000000"/>
                <w:sz w:val="18"/>
                <w:szCs w:val="18"/>
                <w:lang w:val="fr"/>
              </w:rPr>
              <w:t>75 486</w:t>
            </w:r>
          </w:p>
        </w:tc>
        <w:tc>
          <w:tcPr>
            <w:tcW w:w="810" w:type="dxa"/>
          </w:tcPr>
          <w:p w14:paraId="03E04E48" w14:textId="77777777" w:rsidR="00F65F7C" w:rsidRPr="00FC78C1" w:rsidRDefault="00F65F7C" w:rsidP="004D2A66">
            <w:pPr>
              <w:spacing w:after="60"/>
              <w:jc w:val="right"/>
              <w:rPr>
                <w:color w:val="000000"/>
                <w:sz w:val="18"/>
                <w:szCs w:val="18"/>
              </w:rPr>
            </w:pPr>
            <w:r>
              <w:rPr>
                <w:color w:val="000000"/>
                <w:sz w:val="18"/>
                <w:szCs w:val="18"/>
                <w:lang w:val="fr"/>
              </w:rPr>
              <w:t>0</w:t>
            </w:r>
          </w:p>
        </w:tc>
        <w:tc>
          <w:tcPr>
            <w:tcW w:w="900" w:type="dxa"/>
            <w:shd w:val="clear" w:color="auto" w:fill="auto"/>
          </w:tcPr>
          <w:p w14:paraId="4F27C40C" w14:textId="77777777" w:rsidR="00F65F7C" w:rsidRPr="00FC78C1" w:rsidRDefault="00F65F7C" w:rsidP="004D2A66">
            <w:pPr>
              <w:spacing w:after="60"/>
              <w:jc w:val="right"/>
              <w:rPr>
                <w:color w:val="000000"/>
                <w:sz w:val="18"/>
                <w:szCs w:val="18"/>
              </w:rPr>
            </w:pPr>
            <w:r>
              <w:rPr>
                <w:color w:val="000000"/>
                <w:sz w:val="18"/>
                <w:szCs w:val="18"/>
                <w:lang w:val="fr"/>
              </w:rPr>
              <w:t>114 210</w:t>
            </w:r>
          </w:p>
        </w:tc>
        <w:tc>
          <w:tcPr>
            <w:tcW w:w="720" w:type="dxa"/>
            <w:shd w:val="clear" w:color="auto" w:fill="auto"/>
          </w:tcPr>
          <w:p w14:paraId="4398DA6C" w14:textId="77777777" w:rsidR="00F65F7C" w:rsidRPr="00FC78C1" w:rsidRDefault="00F65F7C" w:rsidP="004D2A66">
            <w:pPr>
              <w:spacing w:after="60"/>
              <w:jc w:val="right"/>
              <w:rPr>
                <w:color w:val="000000"/>
                <w:sz w:val="18"/>
                <w:szCs w:val="18"/>
              </w:rPr>
            </w:pPr>
            <w:r>
              <w:rPr>
                <w:color w:val="000000"/>
                <w:sz w:val="18"/>
                <w:szCs w:val="18"/>
                <w:lang w:val="fr"/>
              </w:rPr>
              <w:t>0</w:t>
            </w:r>
          </w:p>
        </w:tc>
        <w:tc>
          <w:tcPr>
            <w:tcW w:w="900" w:type="dxa"/>
          </w:tcPr>
          <w:p w14:paraId="5A0047CF" w14:textId="77777777" w:rsidR="00F65F7C" w:rsidRPr="00FC78C1" w:rsidRDefault="00F65F7C" w:rsidP="004D2A66">
            <w:pPr>
              <w:spacing w:after="60"/>
              <w:jc w:val="right"/>
              <w:rPr>
                <w:color w:val="000000"/>
                <w:sz w:val="18"/>
                <w:szCs w:val="18"/>
              </w:rPr>
            </w:pPr>
            <w:r>
              <w:rPr>
                <w:color w:val="000000"/>
                <w:sz w:val="18"/>
                <w:szCs w:val="18"/>
                <w:lang w:val="fr"/>
              </w:rPr>
              <w:t>132 039</w:t>
            </w:r>
          </w:p>
        </w:tc>
        <w:tc>
          <w:tcPr>
            <w:tcW w:w="648" w:type="dxa"/>
          </w:tcPr>
          <w:p w14:paraId="57CFC396" w14:textId="77777777" w:rsidR="00F65F7C" w:rsidRPr="00FC78C1" w:rsidRDefault="00F65F7C" w:rsidP="004D2A66">
            <w:pPr>
              <w:spacing w:after="60"/>
              <w:jc w:val="right"/>
              <w:rPr>
                <w:color w:val="000000"/>
                <w:sz w:val="18"/>
                <w:szCs w:val="18"/>
              </w:rPr>
            </w:pPr>
            <w:r>
              <w:rPr>
                <w:color w:val="000000"/>
                <w:sz w:val="18"/>
                <w:szCs w:val="18"/>
                <w:lang w:val="fr"/>
              </w:rPr>
              <w:t>0</w:t>
            </w:r>
          </w:p>
        </w:tc>
        <w:tc>
          <w:tcPr>
            <w:tcW w:w="792" w:type="dxa"/>
          </w:tcPr>
          <w:p w14:paraId="588F4734" w14:textId="77777777" w:rsidR="00F65F7C" w:rsidRPr="00FC78C1" w:rsidRDefault="00F65F7C" w:rsidP="004D2A66">
            <w:pPr>
              <w:spacing w:after="60"/>
              <w:jc w:val="right"/>
              <w:rPr>
                <w:color w:val="000000"/>
                <w:sz w:val="18"/>
                <w:szCs w:val="18"/>
              </w:rPr>
            </w:pPr>
            <w:r>
              <w:rPr>
                <w:color w:val="000000"/>
                <w:sz w:val="18"/>
                <w:szCs w:val="18"/>
                <w:lang w:val="fr"/>
              </w:rPr>
              <w:t>58 965</w:t>
            </w:r>
          </w:p>
        </w:tc>
        <w:tc>
          <w:tcPr>
            <w:tcW w:w="540" w:type="dxa"/>
          </w:tcPr>
          <w:p w14:paraId="0BAB7D72" w14:textId="77777777" w:rsidR="00F65F7C" w:rsidRPr="00FC78C1" w:rsidRDefault="00F65F7C" w:rsidP="004D2A66">
            <w:pPr>
              <w:spacing w:after="60"/>
              <w:jc w:val="right"/>
              <w:rPr>
                <w:color w:val="000000"/>
                <w:sz w:val="18"/>
                <w:szCs w:val="18"/>
              </w:rPr>
            </w:pPr>
            <w:r>
              <w:rPr>
                <w:sz w:val="18"/>
                <w:szCs w:val="18"/>
                <w:lang w:val="fr"/>
              </w:rPr>
              <w:t>0</w:t>
            </w:r>
          </w:p>
        </w:tc>
        <w:tc>
          <w:tcPr>
            <w:tcW w:w="990" w:type="dxa"/>
          </w:tcPr>
          <w:p w14:paraId="4CF832F0" w14:textId="77777777" w:rsidR="00F65F7C" w:rsidRPr="00FC78C1" w:rsidRDefault="00F65F7C" w:rsidP="004D2A66">
            <w:pPr>
              <w:spacing w:after="60"/>
              <w:jc w:val="right"/>
              <w:rPr>
                <w:color w:val="000000"/>
                <w:sz w:val="18"/>
                <w:szCs w:val="18"/>
              </w:rPr>
            </w:pPr>
            <w:r>
              <w:rPr>
                <w:color w:val="000000"/>
                <w:sz w:val="18"/>
                <w:szCs w:val="18"/>
                <w:lang w:val="fr"/>
              </w:rPr>
              <w:t>380 700</w:t>
            </w:r>
          </w:p>
        </w:tc>
      </w:tr>
      <w:tr w:rsidR="00F65F7C" w:rsidRPr="00B31181" w14:paraId="7B4DDC10" w14:textId="77777777" w:rsidTr="00AF426F">
        <w:trPr>
          <w:trHeight w:val="100"/>
          <w:jc w:val="center"/>
        </w:trPr>
        <w:tc>
          <w:tcPr>
            <w:tcW w:w="1319" w:type="dxa"/>
            <w:vMerge/>
          </w:tcPr>
          <w:p w14:paraId="367ED75C" w14:textId="77777777" w:rsidR="00F65F7C" w:rsidRPr="00FC78C1" w:rsidRDefault="00F65F7C" w:rsidP="006B1FAA">
            <w:pPr>
              <w:spacing w:after="60"/>
              <w:ind w:left="38"/>
              <w:jc w:val="left"/>
              <w:rPr>
                <w:sz w:val="18"/>
                <w:szCs w:val="18"/>
              </w:rPr>
            </w:pPr>
          </w:p>
        </w:tc>
        <w:tc>
          <w:tcPr>
            <w:tcW w:w="990" w:type="dxa"/>
            <w:vMerge w:val="restart"/>
            <w:vAlign w:val="center"/>
          </w:tcPr>
          <w:p w14:paraId="3B18B7E5" w14:textId="77777777" w:rsidR="00F65F7C" w:rsidRPr="00FC78C1" w:rsidRDefault="00F65F7C" w:rsidP="006B1FAA">
            <w:pPr>
              <w:spacing w:after="60"/>
              <w:ind w:left="38"/>
              <w:jc w:val="center"/>
              <w:rPr>
                <w:sz w:val="18"/>
                <w:szCs w:val="18"/>
              </w:rPr>
            </w:pPr>
            <w:r>
              <w:rPr>
                <w:sz w:val="18"/>
                <w:szCs w:val="18"/>
                <w:lang w:val="fr"/>
              </w:rPr>
              <w:t>Allemagne</w:t>
            </w:r>
          </w:p>
        </w:tc>
        <w:tc>
          <w:tcPr>
            <w:tcW w:w="1363" w:type="dxa"/>
          </w:tcPr>
          <w:p w14:paraId="3E538D01" w14:textId="77777777" w:rsidR="00F65F7C" w:rsidRPr="00FC78C1" w:rsidRDefault="00F65F7C" w:rsidP="006B1FAA">
            <w:pPr>
              <w:spacing w:after="60"/>
              <w:ind w:left="38"/>
              <w:jc w:val="left"/>
              <w:rPr>
                <w:sz w:val="18"/>
                <w:szCs w:val="18"/>
              </w:rPr>
            </w:pPr>
            <w:r>
              <w:rPr>
                <w:sz w:val="18"/>
                <w:szCs w:val="18"/>
                <w:lang w:val="fr"/>
              </w:rPr>
              <w:t>Coûts du projet</w:t>
            </w:r>
          </w:p>
        </w:tc>
        <w:tc>
          <w:tcPr>
            <w:tcW w:w="900" w:type="dxa"/>
            <w:shd w:val="clear" w:color="auto" w:fill="auto"/>
          </w:tcPr>
          <w:p w14:paraId="26553DC6" w14:textId="77777777" w:rsidR="00F65F7C" w:rsidRPr="00FC78C1" w:rsidRDefault="00F65F7C" w:rsidP="004D2A66">
            <w:pPr>
              <w:spacing w:after="60"/>
              <w:ind w:left="38"/>
              <w:jc w:val="right"/>
              <w:rPr>
                <w:color w:val="000000"/>
                <w:sz w:val="18"/>
                <w:szCs w:val="18"/>
              </w:rPr>
            </w:pPr>
            <w:r>
              <w:rPr>
                <w:sz w:val="18"/>
                <w:szCs w:val="18"/>
                <w:lang w:val="fr"/>
              </w:rPr>
              <w:t>1 700 643</w:t>
            </w:r>
          </w:p>
        </w:tc>
        <w:tc>
          <w:tcPr>
            <w:tcW w:w="810" w:type="dxa"/>
          </w:tcPr>
          <w:p w14:paraId="2F2FA9AD" w14:textId="77777777" w:rsidR="00F65F7C" w:rsidRPr="00FC78C1" w:rsidRDefault="00F65F7C" w:rsidP="004D2A66">
            <w:pPr>
              <w:spacing w:after="60"/>
              <w:jc w:val="right"/>
              <w:rPr>
                <w:color w:val="000000"/>
                <w:sz w:val="18"/>
                <w:szCs w:val="18"/>
              </w:rPr>
            </w:pPr>
            <w:r>
              <w:rPr>
                <w:sz w:val="18"/>
                <w:szCs w:val="18"/>
                <w:lang w:val="fr"/>
              </w:rPr>
              <w:t>0</w:t>
            </w:r>
          </w:p>
        </w:tc>
        <w:tc>
          <w:tcPr>
            <w:tcW w:w="900" w:type="dxa"/>
            <w:shd w:val="clear" w:color="auto" w:fill="auto"/>
          </w:tcPr>
          <w:p w14:paraId="528D1608" w14:textId="77777777" w:rsidR="00F65F7C" w:rsidRPr="00FC78C1" w:rsidRDefault="00F65F7C" w:rsidP="004D2A66">
            <w:pPr>
              <w:spacing w:after="60"/>
              <w:jc w:val="right"/>
              <w:rPr>
                <w:color w:val="000000"/>
                <w:sz w:val="18"/>
                <w:szCs w:val="18"/>
              </w:rPr>
            </w:pPr>
            <w:r>
              <w:rPr>
                <w:sz w:val="18"/>
                <w:szCs w:val="18"/>
                <w:lang w:val="fr"/>
              </w:rPr>
              <w:t>2 140 772</w:t>
            </w:r>
          </w:p>
        </w:tc>
        <w:tc>
          <w:tcPr>
            <w:tcW w:w="720" w:type="dxa"/>
            <w:shd w:val="clear" w:color="auto" w:fill="auto"/>
          </w:tcPr>
          <w:p w14:paraId="099315FD" w14:textId="77777777" w:rsidR="00F65F7C" w:rsidRPr="00FC78C1" w:rsidRDefault="00F65F7C" w:rsidP="004D2A66">
            <w:pPr>
              <w:spacing w:after="60"/>
              <w:jc w:val="right"/>
              <w:rPr>
                <w:color w:val="000000"/>
                <w:sz w:val="18"/>
                <w:szCs w:val="18"/>
              </w:rPr>
            </w:pPr>
            <w:r>
              <w:rPr>
                <w:sz w:val="18"/>
                <w:szCs w:val="18"/>
                <w:lang w:val="fr"/>
              </w:rPr>
              <w:t>0</w:t>
            </w:r>
          </w:p>
        </w:tc>
        <w:tc>
          <w:tcPr>
            <w:tcW w:w="900" w:type="dxa"/>
          </w:tcPr>
          <w:p w14:paraId="6ABF3FA8" w14:textId="77777777" w:rsidR="00F65F7C" w:rsidRPr="00FC78C1" w:rsidRDefault="00F65F7C" w:rsidP="004D2A66">
            <w:pPr>
              <w:spacing w:after="60"/>
              <w:jc w:val="right"/>
              <w:rPr>
                <w:color w:val="000000"/>
                <w:sz w:val="18"/>
                <w:szCs w:val="18"/>
              </w:rPr>
            </w:pPr>
            <w:r>
              <w:rPr>
                <w:sz w:val="18"/>
                <w:szCs w:val="18"/>
                <w:lang w:val="fr"/>
              </w:rPr>
              <w:t>2 396 887</w:t>
            </w:r>
          </w:p>
        </w:tc>
        <w:tc>
          <w:tcPr>
            <w:tcW w:w="648" w:type="dxa"/>
          </w:tcPr>
          <w:p w14:paraId="45FA0B70" w14:textId="77777777" w:rsidR="00F65F7C" w:rsidRPr="00FC78C1" w:rsidRDefault="00F65F7C" w:rsidP="004D2A66">
            <w:pPr>
              <w:spacing w:after="60"/>
              <w:jc w:val="right"/>
              <w:rPr>
                <w:color w:val="000000"/>
                <w:sz w:val="18"/>
                <w:szCs w:val="18"/>
              </w:rPr>
            </w:pPr>
            <w:r>
              <w:rPr>
                <w:sz w:val="18"/>
                <w:szCs w:val="18"/>
                <w:lang w:val="fr"/>
              </w:rPr>
              <w:t>0</w:t>
            </w:r>
          </w:p>
        </w:tc>
        <w:tc>
          <w:tcPr>
            <w:tcW w:w="792" w:type="dxa"/>
          </w:tcPr>
          <w:p w14:paraId="2495A7BF" w14:textId="77777777" w:rsidR="00F65F7C" w:rsidRPr="00FC78C1" w:rsidRDefault="00F65F7C" w:rsidP="004D2A66">
            <w:pPr>
              <w:spacing w:after="60"/>
              <w:jc w:val="right"/>
              <w:rPr>
                <w:color w:val="000000"/>
                <w:sz w:val="18"/>
                <w:szCs w:val="18"/>
              </w:rPr>
            </w:pPr>
            <w:r>
              <w:rPr>
                <w:sz w:val="18"/>
                <w:szCs w:val="18"/>
                <w:lang w:val="fr"/>
              </w:rPr>
              <w:t>714 270</w:t>
            </w:r>
          </w:p>
        </w:tc>
        <w:tc>
          <w:tcPr>
            <w:tcW w:w="540" w:type="dxa"/>
          </w:tcPr>
          <w:p w14:paraId="1C511EFC" w14:textId="77777777" w:rsidR="00F65F7C" w:rsidRPr="00FC78C1" w:rsidRDefault="00F65F7C" w:rsidP="004D2A66">
            <w:pPr>
              <w:spacing w:after="60"/>
              <w:jc w:val="right"/>
              <w:rPr>
                <w:color w:val="000000"/>
                <w:sz w:val="18"/>
                <w:szCs w:val="18"/>
              </w:rPr>
            </w:pPr>
            <w:r>
              <w:rPr>
                <w:sz w:val="18"/>
                <w:szCs w:val="18"/>
                <w:lang w:val="fr"/>
              </w:rPr>
              <w:t>0</w:t>
            </w:r>
          </w:p>
        </w:tc>
        <w:tc>
          <w:tcPr>
            <w:tcW w:w="990" w:type="dxa"/>
          </w:tcPr>
          <w:p w14:paraId="6F1E5FCB" w14:textId="77777777" w:rsidR="00F65F7C" w:rsidRPr="00FC78C1" w:rsidRDefault="00F65F7C" w:rsidP="004D2A66">
            <w:pPr>
              <w:spacing w:after="60"/>
              <w:jc w:val="right"/>
              <w:rPr>
                <w:color w:val="000000"/>
                <w:sz w:val="18"/>
                <w:szCs w:val="18"/>
              </w:rPr>
            </w:pPr>
            <w:r>
              <w:rPr>
                <w:color w:val="000000"/>
                <w:sz w:val="18"/>
                <w:szCs w:val="18"/>
                <w:lang w:val="fr"/>
              </w:rPr>
              <w:t>6 952 572</w:t>
            </w:r>
          </w:p>
        </w:tc>
      </w:tr>
      <w:tr w:rsidR="00F65F7C" w:rsidRPr="00B31181" w14:paraId="1C93A4FB" w14:textId="77777777" w:rsidTr="00AF426F">
        <w:trPr>
          <w:trHeight w:val="100"/>
          <w:jc w:val="center"/>
        </w:trPr>
        <w:tc>
          <w:tcPr>
            <w:tcW w:w="1319" w:type="dxa"/>
            <w:vMerge/>
          </w:tcPr>
          <w:p w14:paraId="7500529C" w14:textId="77777777" w:rsidR="00F65F7C" w:rsidRPr="00FC78C1" w:rsidRDefault="00F65F7C" w:rsidP="006B1FAA">
            <w:pPr>
              <w:spacing w:after="60"/>
              <w:ind w:left="38"/>
              <w:jc w:val="left"/>
              <w:rPr>
                <w:sz w:val="18"/>
                <w:szCs w:val="18"/>
              </w:rPr>
            </w:pPr>
          </w:p>
        </w:tc>
        <w:tc>
          <w:tcPr>
            <w:tcW w:w="990" w:type="dxa"/>
            <w:vMerge/>
          </w:tcPr>
          <w:p w14:paraId="286E342B" w14:textId="77777777" w:rsidR="00F65F7C" w:rsidRPr="00FC78C1" w:rsidRDefault="00F65F7C" w:rsidP="006B1FAA">
            <w:pPr>
              <w:spacing w:after="60"/>
              <w:ind w:left="38"/>
              <w:jc w:val="center"/>
              <w:rPr>
                <w:sz w:val="18"/>
                <w:szCs w:val="18"/>
              </w:rPr>
            </w:pPr>
          </w:p>
        </w:tc>
        <w:tc>
          <w:tcPr>
            <w:tcW w:w="1363" w:type="dxa"/>
          </w:tcPr>
          <w:p w14:paraId="26D41516" w14:textId="77777777" w:rsidR="00F65F7C" w:rsidRPr="00FC78C1" w:rsidRDefault="00F65F7C" w:rsidP="006B1FAA">
            <w:pPr>
              <w:spacing w:after="60"/>
              <w:ind w:left="38"/>
              <w:jc w:val="left"/>
              <w:rPr>
                <w:sz w:val="18"/>
                <w:szCs w:val="18"/>
              </w:rPr>
            </w:pPr>
            <w:r>
              <w:rPr>
                <w:sz w:val="18"/>
                <w:szCs w:val="18"/>
                <w:lang w:val="fr"/>
              </w:rPr>
              <w:t>Coûts d’appui</w:t>
            </w:r>
          </w:p>
        </w:tc>
        <w:tc>
          <w:tcPr>
            <w:tcW w:w="900" w:type="dxa"/>
            <w:shd w:val="clear" w:color="auto" w:fill="auto"/>
          </w:tcPr>
          <w:p w14:paraId="3139C110" w14:textId="77777777" w:rsidR="00F65F7C" w:rsidRPr="00FC78C1" w:rsidRDefault="00F65F7C" w:rsidP="004D2A66">
            <w:pPr>
              <w:spacing w:after="60"/>
              <w:ind w:left="38"/>
              <w:jc w:val="right"/>
              <w:rPr>
                <w:color w:val="000000"/>
                <w:sz w:val="18"/>
                <w:szCs w:val="18"/>
              </w:rPr>
            </w:pPr>
            <w:r>
              <w:rPr>
                <w:color w:val="000000"/>
                <w:sz w:val="18"/>
                <w:szCs w:val="18"/>
                <w:lang w:val="fr"/>
              </w:rPr>
              <w:t>189 517</w:t>
            </w:r>
          </w:p>
        </w:tc>
        <w:tc>
          <w:tcPr>
            <w:tcW w:w="810" w:type="dxa"/>
          </w:tcPr>
          <w:p w14:paraId="0FB05503" w14:textId="77777777" w:rsidR="00F65F7C" w:rsidRPr="00FC78C1" w:rsidRDefault="00F65F7C" w:rsidP="004D2A66">
            <w:pPr>
              <w:spacing w:after="60"/>
              <w:jc w:val="right"/>
              <w:rPr>
                <w:color w:val="000000"/>
                <w:sz w:val="18"/>
                <w:szCs w:val="18"/>
              </w:rPr>
            </w:pPr>
            <w:r>
              <w:rPr>
                <w:color w:val="000000"/>
                <w:sz w:val="18"/>
                <w:szCs w:val="18"/>
                <w:lang w:val="fr"/>
              </w:rPr>
              <w:t>0</w:t>
            </w:r>
          </w:p>
        </w:tc>
        <w:tc>
          <w:tcPr>
            <w:tcW w:w="900" w:type="dxa"/>
            <w:shd w:val="clear" w:color="auto" w:fill="auto"/>
          </w:tcPr>
          <w:p w14:paraId="7ABA1187" w14:textId="77777777" w:rsidR="00F65F7C" w:rsidRPr="00FC78C1" w:rsidRDefault="00F65F7C" w:rsidP="004D2A66">
            <w:pPr>
              <w:spacing w:after="60"/>
              <w:jc w:val="right"/>
              <w:rPr>
                <w:color w:val="000000"/>
                <w:sz w:val="18"/>
                <w:szCs w:val="18"/>
              </w:rPr>
            </w:pPr>
            <w:r>
              <w:rPr>
                <w:color w:val="000000"/>
                <w:sz w:val="18"/>
                <w:szCs w:val="18"/>
                <w:lang w:val="fr"/>
              </w:rPr>
              <w:t>238 564</w:t>
            </w:r>
          </w:p>
        </w:tc>
        <w:tc>
          <w:tcPr>
            <w:tcW w:w="720" w:type="dxa"/>
            <w:shd w:val="clear" w:color="auto" w:fill="auto"/>
          </w:tcPr>
          <w:p w14:paraId="4F3F6626" w14:textId="77777777" w:rsidR="00F65F7C" w:rsidRPr="00FC78C1" w:rsidRDefault="00F65F7C" w:rsidP="004D2A66">
            <w:pPr>
              <w:spacing w:after="60"/>
              <w:jc w:val="right"/>
              <w:rPr>
                <w:color w:val="000000"/>
                <w:sz w:val="18"/>
                <w:szCs w:val="18"/>
              </w:rPr>
            </w:pPr>
            <w:r>
              <w:rPr>
                <w:color w:val="000000"/>
                <w:sz w:val="18"/>
                <w:szCs w:val="18"/>
                <w:lang w:val="fr"/>
              </w:rPr>
              <w:t>0</w:t>
            </w:r>
          </w:p>
        </w:tc>
        <w:tc>
          <w:tcPr>
            <w:tcW w:w="900" w:type="dxa"/>
          </w:tcPr>
          <w:p w14:paraId="4E3E8E41" w14:textId="77777777" w:rsidR="00F65F7C" w:rsidRPr="00FC78C1" w:rsidRDefault="00F65F7C" w:rsidP="004D2A66">
            <w:pPr>
              <w:spacing w:after="60"/>
              <w:jc w:val="right"/>
              <w:rPr>
                <w:color w:val="000000"/>
                <w:sz w:val="18"/>
                <w:szCs w:val="18"/>
              </w:rPr>
            </w:pPr>
            <w:r>
              <w:rPr>
                <w:color w:val="000000"/>
                <w:sz w:val="18"/>
                <w:szCs w:val="18"/>
                <w:lang w:val="fr"/>
              </w:rPr>
              <w:t>267 105</w:t>
            </w:r>
          </w:p>
        </w:tc>
        <w:tc>
          <w:tcPr>
            <w:tcW w:w="648" w:type="dxa"/>
          </w:tcPr>
          <w:p w14:paraId="50E43445" w14:textId="77777777" w:rsidR="00F65F7C" w:rsidRPr="00FC78C1" w:rsidRDefault="00F65F7C" w:rsidP="004D2A66">
            <w:pPr>
              <w:spacing w:after="60"/>
              <w:jc w:val="right"/>
              <w:rPr>
                <w:color w:val="000000"/>
                <w:sz w:val="18"/>
                <w:szCs w:val="18"/>
              </w:rPr>
            </w:pPr>
            <w:r>
              <w:rPr>
                <w:color w:val="000000"/>
                <w:sz w:val="18"/>
                <w:szCs w:val="18"/>
                <w:lang w:val="fr"/>
              </w:rPr>
              <w:t>0</w:t>
            </w:r>
          </w:p>
        </w:tc>
        <w:tc>
          <w:tcPr>
            <w:tcW w:w="792" w:type="dxa"/>
          </w:tcPr>
          <w:p w14:paraId="5DB6210B" w14:textId="77777777" w:rsidR="00F65F7C" w:rsidRPr="00FC78C1" w:rsidRDefault="00F65F7C" w:rsidP="004D2A66">
            <w:pPr>
              <w:spacing w:after="60"/>
              <w:jc w:val="right"/>
              <w:rPr>
                <w:color w:val="000000"/>
                <w:sz w:val="18"/>
                <w:szCs w:val="18"/>
              </w:rPr>
            </w:pPr>
            <w:r>
              <w:rPr>
                <w:color w:val="000000"/>
                <w:sz w:val="18"/>
                <w:szCs w:val="18"/>
                <w:lang w:val="fr"/>
              </w:rPr>
              <w:t>79 597</w:t>
            </w:r>
          </w:p>
        </w:tc>
        <w:tc>
          <w:tcPr>
            <w:tcW w:w="540" w:type="dxa"/>
          </w:tcPr>
          <w:p w14:paraId="2F1E8501" w14:textId="77777777" w:rsidR="00F65F7C" w:rsidRPr="00FC78C1" w:rsidRDefault="00F65F7C" w:rsidP="004D2A66">
            <w:pPr>
              <w:spacing w:after="60"/>
              <w:jc w:val="right"/>
              <w:rPr>
                <w:color w:val="000000"/>
                <w:sz w:val="18"/>
                <w:szCs w:val="18"/>
              </w:rPr>
            </w:pPr>
            <w:r>
              <w:rPr>
                <w:sz w:val="18"/>
                <w:szCs w:val="18"/>
                <w:lang w:val="fr"/>
              </w:rPr>
              <w:t>0</w:t>
            </w:r>
          </w:p>
        </w:tc>
        <w:tc>
          <w:tcPr>
            <w:tcW w:w="990" w:type="dxa"/>
          </w:tcPr>
          <w:p w14:paraId="40E14151" w14:textId="77777777" w:rsidR="00F65F7C" w:rsidRPr="00FC78C1" w:rsidRDefault="00F65F7C" w:rsidP="004D2A66">
            <w:pPr>
              <w:spacing w:after="60"/>
              <w:jc w:val="right"/>
              <w:rPr>
                <w:color w:val="000000"/>
                <w:sz w:val="18"/>
                <w:szCs w:val="18"/>
              </w:rPr>
            </w:pPr>
            <w:r>
              <w:rPr>
                <w:color w:val="000000"/>
                <w:sz w:val="18"/>
                <w:szCs w:val="18"/>
                <w:lang w:val="fr"/>
              </w:rPr>
              <w:t>774 783</w:t>
            </w:r>
          </w:p>
        </w:tc>
      </w:tr>
      <w:tr w:rsidR="00F65F7C" w:rsidRPr="00B31181" w14:paraId="435413E1" w14:textId="77777777" w:rsidTr="00AF426F">
        <w:trPr>
          <w:trHeight w:val="106"/>
          <w:jc w:val="center"/>
        </w:trPr>
        <w:tc>
          <w:tcPr>
            <w:tcW w:w="2309" w:type="dxa"/>
            <w:gridSpan w:val="2"/>
            <w:vMerge w:val="restart"/>
            <w:hideMark/>
          </w:tcPr>
          <w:p w14:paraId="672D01E1" w14:textId="77777777" w:rsidR="00F65F7C" w:rsidRPr="00F65F7C" w:rsidRDefault="00F65F7C" w:rsidP="006B1FAA">
            <w:pPr>
              <w:spacing w:after="60"/>
              <w:ind w:left="38"/>
              <w:jc w:val="left"/>
              <w:rPr>
                <w:sz w:val="18"/>
                <w:szCs w:val="18"/>
                <w:lang w:val="fr-FR"/>
              </w:rPr>
            </w:pPr>
            <w:r>
              <w:rPr>
                <w:sz w:val="18"/>
                <w:szCs w:val="18"/>
                <w:lang w:val="fr"/>
              </w:rPr>
              <w:t xml:space="preserve">Financement approuvé par </w:t>
            </w:r>
            <w:proofErr w:type="spellStart"/>
            <w:r>
              <w:rPr>
                <w:sz w:val="18"/>
                <w:szCs w:val="18"/>
                <w:lang w:val="fr"/>
              </w:rPr>
              <w:t>ExCom</w:t>
            </w:r>
            <w:proofErr w:type="spellEnd"/>
            <w:r>
              <w:rPr>
                <w:sz w:val="18"/>
                <w:szCs w:val="18"/>
                <w:lang w:val="fr"/>
              </w:rPr>
              <w:t xml:space="preserve"> ($ US)</w:t>
            </w:r>
          </w:p>
        </w:tc>
        <w:tc>
          <w:tcPr>
            <w:tcW w:w="1363" w:type="dxa"/>
            <w:hideMark/>
          </w:tcPr>
          <w:p w14:paraId="44AE06A1" w14:textId="77777777" w:rsidR="00F65F7C" w:rsidRPr="00FC78C1" w:rsidRDefault="00F65F7C" w:rsidP="006B1FAA">
            <w:pPr>
              <w:spacing w:after="60"/>
              <w:ind w:left="38"/>
              <w:jc w:val="left"/>
              <w:rPr>
                <w:sz w:val="18"/>
                <w:szCs w:val="18"/>
              </w:rPr>
            </w:pPr>
            <w:r>
              <w:rPr>
                <w:sz w:val="18"/>
                <w:szCs w:val="18"/>
                <w:lang w:val="fr"/>
              </w:rPr>
              <w:t>Coûts du projet</w:t>
            </w:r>
          </w:p>
        </w:tc>
        <w:tc>
          <w:tcPr>
            <w:tcW w:w="900" w:type="dxa"/>
          </w:tcPr>
          <w:p w14:paraId="63412BEC" w14:textId="77777777" w:rsidR="00F65F7C" w:rsidRPr="00FC78C1" w:rsidRDefault="00F65F7C" w:rsidP="004D2A66">
            <w:pPr>
              <w:spacing w:after="60"/>
              <w:ind w:left="38"/>
              <w:jc w:val="right"/>
              <w:rPr>
                <w:color w:val="000000"/>
                <w:sz w:val="18"/>
                <w:szCs w:val="18"/>
              </w:rPr>
            </w:pPr>
            <w:r>
              <w:rPr>
                <w:color w:val="000000"/>
                <w:sz w:val="18"/>
                <w:szCs w:val="18"/>
                <w:lang w:val="fr"/>
              </w:rPr>
              <w:t>8 535 358</w:t>
            </w:r>
          </w:p>
        </w:tc>
        <w:tc>
          <w:tcPr>
            <w:tcW w:w="810" w:type="dxa"/>
          </w:tcPr>
          <w:p w14:paraId="563EE9FB" w14:textId="77777777" w:rsidR="00F65F7C" w:rsidRPr="00FC78C1" w:rsidRDefault="00F65F7C" w:rsidP="004D2A66">
            <w:pPr>
              <w:spacing w:after="60"/>
              <w:jc w:val="right"/>
              <w:rPr>
                <w:color w:val="000000"/>
                <w:sz w:val="18"/>
                <w:szCs w:val="18"/>
              </w:rPr>
            </w:pPr>
            <w:r>
              <w:rPr>
                <w:color w:val="000000"/>
                <w:sz w:val="18"/>
                <w:szCs w:val="18"/>
                <w:lang w:val="fr"/>
              </w:rPr>
              <w:t>0</w:t>
            </w:r>
          </w:p>
        </w:tc>
        <w:tc>
          <w:tcPr>
            <w:tcW w:w="900" w:type="dxa"/>
          </w:tcPr>
          <w:p w14:paraId="46A31594" w14:textId="77777777" w:rsidR="00F65F7C" w:rsidRPr="00FC78C1" w:rsidRDefault="00F65F7C" w:rsidP="004D2A66">
            <w:pPr>
              <w:spacing w:after="60"/>
              <w:jc w:val="right"/>
              <w:rPr>
                <w:color w:val="000000"/>
                <w:sz w:val="18"/>
                <w:szCs w:val="18"/>
              </w:rPr>
            </w:pPr>
          </w:p>
        </w:tc>
        <w:tc>
          <w:tcPr>
            <w:tcW w:w="720" w:type="dxa"/>
          </w:tcPr>
          <w:p w14:paraId="797FAEF8" w14:textId="77777777" w:rsidR="00F65F7C" w:rsidRPr="00FC78C1" w:rsidRDefault="00F65F7C" w:rsidP="004D2A66">
            <w:pPr>
              <w:spacing w:after="60"/>
              <w:jc w:val="right"/>
              <w:rPr>
                <w:color w:val="000000"/>
                <w:sz w:val="18"/>
                <w:szCs w:val="18"/>
              </w:rPr>
            </w:pPr>
          </w:p>
        </w:tc>
        <w:tc>
          <w:tcPr>
            <w:tcW w:w="900" w:type="dxa"/>
          </w:tcPr>
          <w:p w14:paraId="326868FD" w14:textId="77777777" w:rsidR="00F65F7C" w:rsidRPr="00FC78C1" w:rsidRDefault="00F65F7C" w:rsidP="004D2A66">
            <w:pPr>
              <w:spacing w:after="60"/>
              <w:jc w:val="right"/>
              <w:rPr>
                <w:color w:val="000000"/>
                <w:sz w:val="18"/>
                <w:szCs w:val="18"/>
              </w:rPr>
            </w:pPr>
          </w:p>
        </w:tc>
        <w:tc>
          <w:tcPr>
            <w:tcW w:w="648" w:type="dxa"/>
          </w:tcPr>
          <w:p w14:paraId="6A90865A" w14:textId="77777777" w:rsidR="00F65F7C" w:rsidRPr="00FC78C1" w:rsidRDefault="00F65F7C" w:rsidP="004D2A66">
            <w:pPr>
              <w:spacing w:after="60"/>
              <w:jc w:val="right"/>
              <w:rPr>
                <w:color w:val="000000"/>
                <w:sz w:val="18"/>
                <w:szCs w:val="18"/>
              </w:rPr>
            </w:pPr>
          </w:p>
        </w:tc>
        <w:tc>
          <w:tcPr>
            <w:tcW w:w="792" w:type="dxa"/>
          </w:tcPr>
          <w:p w14:paraId="457F1FBC" w14:textId="77777777" w:rsidR="00F65F7C" w:rsidRPr="00FC78C1" w:rsidRDefault="00F65F7C" w:rsidP="004D2A66">
            <w:pPr>
              <w:spacing w:after="60"/>
              <w:jc w:val="right"/>
              <w:rPr>
                <w:color w:val="000000"/>
                <w:sz w:val="18"/>
                <w:szCs w:val="18"/>
              </w:rPr>
            </w:pPr>
          </w:p>
        </w:tc>
        <w:tc>
          <w:tcPr>
            <w:tcW w:w="540" w:type="dxa"/>
          </w:tcPr>
          <w:p w14:paraId="38F13E7F" w14:textId="77777777" w:rsidR="00F65F7C" w:rsidRPr="00FC78C1" w:rsidRDefault="00F65F7C" w:rsidP="004D2A66">
            <w:pPr>
              <w:spacing w:after="60"/>
              <w:jc w:val="right"/>
              <w:rPr>
                <w:color w:val="000000"/>
                <w:sz w:val="18"/>
                <w:szCs w:val="18"/>
              </w:rPr>
            </w:pPr>
          </w:p>
        </w:tc>
        <w:tc>
          <w:tcPr>
            <w:tcW w:w="990" w:type="dxa"/>
          </w:tcPr>
          <w:p w14:paraId="19F767C1" w14:textId="77777777" w:rsidR="00F65F7C" w:rsidRPr="00FC78C1" w:rsidRDefault="00F65F7C" w:rsidP="004D2A66">
            <w:pPr>
              <w:spacing w:after="60"/>
              <w:jc w:val="right"/>
              <w:rPr>
                <w:color w:val="000000"/>
                <w:sz w:val="18"/>
                <w:szCs w:val="18"/>
              </w:rPr>
            </w:pPr>
            <w:r>
              <w:rPr>
                <w:color w:val="000000"/>
                <w:sz w:val="18"/>
                <w:szCs w:val="18"/>
                <w:lang w:val="fr"/>
              </w:rPr>
              <w:t>8 535 358</w:t>
            </w:r>
          </w:p>
        </w:tc>
      </w:tr>
      <w:tr w:rsidR="00F65F7C" w:rsidRPr="00B31181" w14:paraId="53FF74F3" w14:textId="77777777" w:rsidTr="00AF426F">
        <w:trPr>
          <w:trHeight w:val="83"/>
          <w:jc w:val="center"/>
        </w:trPr>
        <w:tc>
          <w:tcPr>
            <w:tcW w:w="2309" w:type="dxa"/>
            <w:gridSpan w:val="2"/>
            <w:vMerge/>
            <w:hideMark/>
          </w:tcPr>
          <w:p w14:paraId="0B8B847F" w14:textId="77777777" w:rsidR="00F65F7C" w:rsidRPr="00FC78C1" w:rsidRDefault="00F65F7C" w:rsidP="006B1FAA">
            <w:pPr>
              <w:spacing w:after="60"/>
              <w:ind w:left="38"/>
              <w:jc w:val="left"/>
              <w:rPr>
                <w:sz w:val="18"/>
                <w:szCs w:val="18"/>
              </w:rPr>
            </w:pPr>
          </w:p>
        </w:tc>
        <w:tc>
          <w:tcPr>
            <w:tcW w:w="1363" w:type="dxa"/>
            <w:hideMark/>
          </w:tcPr>
          <w:p w14:paraId="0266A2E1" w14:textId="77777777" w:rsidR="00F65F7C" w:rsidRPr="00FC78C1" w:rsidRDefault="00F65F7C" w:rsidP="006B1FAA">
            <w:pPr>
              <w:spacing w:after="60"/>
              <w:ind w:left="38"/>
              <w:jc w:val="left"/>
              <w:rPr>
                <w:sz w:val="18"/>
                <w:szCs w:val="18"/>
              </w:rPr>
            </w:pPr>
            <w:r>
              <w:rPr>
                <w:sz w:val="18"/>
                <w:szCs w:val="18"/>
                <w:lang w:val="fr"/>
              </w:rPr>
              <w:t>Coûts d’appui</w:t>
            </w:r>
          </w:p>
        </w:tc>
        <w:tc>
          <w:tcPr>
            <w:tcW w:w="900" w:type="dxa"/>
          </w:tcPr>
          <w:p w14:paraId="368341B1" w14:textId="77777777" w:rsidR="00F65F7C" w:rsidRPr="00FC78C1" w:rsidRDefault="00F65F7C" w:rsidP="004D2A66">
            <w:pPr>
              <w:spacing w:after="60"/>
              <w:ind w:left="38"/>
              <w:jc w:val="right"/>
              <w:rPr>
                <w:color w:val="000000"/>
                <w:sz w:val="18"/>
                <w:szCs w:val="18"/>
              </w:rPr>
            </w:pPr>
            <w:r>
              <w:rPr>
                <w:color w:val="000000"/>
                <w:sz w:val="18"/>
                <w:szCs w:val="18"/>
                <w:lang w:val="fr"/>
              </w:rPr>
              <w:t>696 658</w:t>
            </w:r>
          </w:p>
        </w:tc>
        <w:tc>
          <w:tcPr>
            <w:tcW w:w="810" w:type="dxa"/>
          </w:tcPr>
          <w:p w14:paraId="647C06BB" w14:textId="77777777" w:rsidR="00F65F7C" w:rsidRPr="00FC78C1" w:rsidRDefault="00F65F7C" w:rsidP="004D2A66">
            <w:pPr>
              <w:spacing w:after="60"/>
              <w:jc w:val="right"/>
              <w:rPr>
                <w:color w:val="000000"/>
                <w:sz w:val="18"/>
                <w:szCs w:val="18"/>
              </w:rPr>
            </w:pPr>
            <w:r>
              <w:rPr>
                <w:color w:val="000000"/>
                <w:sz w:val="18"/>
                <w:szCs w:val="18"/>
                <w:lang w:val="fr"/>
              </w:rPr>
              <w:t>0</w:t>
            </w:r>
          </w:p>
        </w:tc>
        <w:tc>
          <w:tcPr>
            <w:tcW w:w="900" w:type="dxa"/>
          </w:tcPr>
          <w:p w14:paraId="051B2634" w14:textId="77777777" w:rsidR="00F65F7C" w:rsidRPr="00FC78C1" w:rsidRDefault="00F65F7C" w:rsidP="004D2A66">
            <w:pPr>
              <w:spacing w:after="60"/>
              <w:jc w:val="right"/>
              <w:rPr>
                <w:color w:val="000000"/>
                <w:sz w:val="18"/>
                <w:szCs w:val="18"/>
              </w:rPr>
            </w:pPr>
          </w:p>
        </w:tc>
        <w:tc>
          <w:tcPr>
            <w:tcW w:w="720" w:type="dxa"/>
          </w:tcPr>
          <w:p w14:paraId="7D954C70" w14:textId="77777777" w:rsidR="00F65F7C" w:rsidRPr="00FC78C1" w:rsidRDefault="00F65F7C" w:rsidP="004D2A66">
            <w:pPr>
              <w:spacing w:after="60"/>
              <w:jc w:val="right"/>
              <w:rPr>
                <w:color w:val="000000"/>
                <w:sz w:val="18"/>
                <w:szCs w:val="18"/>
              </w:rPr>
            </w:pPr>
          </w:p>
        </w:tc>
        <w:tc>
          <w:tcPr>
            <w:tcW w:w="900" w:type="dxa"/>
          </w:tcPr>
          <w:p w14:paraId="63A263B0" w14:textId="77777777" w:rsidR="00F65F7C" w:rsidRPr="00FC78C1" w:rsidRDefault="00F65F7C" w:rsidP="004D2A66">
            <w:pPr>
              <w:spacing w:after="60"/>
              <w:jc w:val="right"/>
              <w:rPr>
                <w:color w:val="000000"/>
                <w:sz w:val="18"/>
                <w:szCs w:val="18"/>
              </w:rPr>
            </w:pPr>
          </w:p>
        </w:tc>
        <w:tc>
          <w:tcPr>
            <w:tcW w:w="648" w:type="dxa"/>
          </w:tcPr>
          <w:p w14:paraId="67D752A4" w14:textId="77777777" w:rsidR="00F65F7C" w:rsidRPr="00FC78C1" w:rsidRDefault="00F65F7C" w:rsidP="004D2A66">
            <w:pPr>
              <w:spacing w:after="60"/>
              <w:jc w:val="right"/>
              <w:rPr>
                <w:color w:val="000000"/>
                <w:sz w:val="18"/>
                <w:szCs w:val="18"/>
              </w:rPr>
            </w:pPr>
          </w:p>
        </w:tc>
        <w:tc>
          <w:tcPr>
            <w:tcW w:w="792" w:type="dxa"/>
          </w:tcPr>
          <w:p w14:paraId="4A8A5982" w14:textId="77777777" w:rsidR="00F65F7C" w:rsidRPr="00FC78C1" w:rsidRDefault="00F65F7C" w:rsidP="004D2A66">
            <w:pPr>
              <w:spacing w:after="60"/>
              <w:jc w:val="right"/>
              <w:rPr>
                <w:color w:val="000000"/>
                <w:sz w:val="18"/>
                <w:szCs w:val="18"/>
              </w:rPr>
            </w:pPr>
          </w:p>
        </w:tc>
        <w:tc>
          <w:tcPr>
            <w:tcW w:w="540" w:type="dxa"/>
          </w:tcPr>
          <w:p w14:paraId="3898BAB3" w14:textId="77777777" w:rsidR="00F65F7C" w:rsidRPr="00FC78C1" w:rsidRDefault="00F65F7C" w:rsidP="004D2A66">
            <w:pPr>
              <w:spacing w:after="60"/>
              <w:jc w:val="right"/>
              <w:rPr>
                <w:color w:val="000000"/>
                <w:sz w:val="18"/>
                <w:szCs w:val="18"/>
              </w:rPr>
            </w:pPr>
          </w:p>
        </w:tc>
        <w:tc>
          <w:tcPr>
            <w:tcW w:w="990" w:type="dxa"/>
          </w:tcPr>
          <w:p w14:paraId="563F4323" w14:textId="77777777" w:rsidR="00F65F7C" w:rsidRPr="00FC78C1" w:rsidRDefault="00F65F7C" w:rsidP="004D2A66">
            <w:pPr>
              <w:spacing w:after="60"/>
              <w:jc w:val="right"/>
              <w:rPr>
                <w:color w:val="000000"/>
                <w:sz w:val="18"/>
                <w:szCs w:val="18"/>
              </w:rPr>
            </w:pPr>
            <w:r>
              <w:rPr>
                <w:color w:val="000000"/>
                <w:sz w:val="18"/>
                <w:szCs w:val="18"/>
                <w:lang w:val="fr"/>
              </w:rPr>
              <w:t>696 658</w:t>
            </w:r>
          </w:p>
        </w:tc>
      </w:tr>
      <w:tr w:rsidR="00F65F7C" w:rsidRPr="00B31181" w14:paraId="36201172" w14:textId="77777777" w:rsidTr="00AF426F">
        <w:trPr>
          <w:trHeight w:val="358"/>
          <w:jc w:val="center"/>
        </w:trPr>
        <w:tc>
          <w:tcPr>
            <w:tcW w:w="2309" w:type="dxa"/>
            <w:gridSpan w:val="2"/>
            <w:vMerge w:val="restart"/>
            <w:hideMark/>
          </w:tcPr>
          <w:p w14:paraId="0A3662F3" w14:textId="77777777" w:rsidR="00F65F7C" w:rsidRPr="00F65F7C" w:rsidRDefault="00F65F7C" w:rsidP="006B1FAA">
            <w:pPr>
              <w:spacing w:after="60"/>
              <w:ind w:left="38" w:right="-85"/>
              <w:jc w:val="left"/>
              <w:rPr>
                <w:sz w:val="18"/>
                <w:szCs w:val="18"/>
                <w:lang w:val="fr-FR"/>
              </w:rPr>
            </w:pPr>
            <w:r>
              <w:rPr>
                <w:sz w:val="18"/>
                <w:szCs w:val="18"/>
                <w:lang w:val="fr"/>
              </w:rPr>
              <w:t>Total des fonds recommandés aux fins d’approbation lors de la présente réunion ($ US)</w:t>
            </w:r>
          </w:p>
        </w:tc>
        <w:tc>
          <w:tcPr>
            <w:tcW w:w="1363" w:type="dxa"/>
            <w:hideMark/>
          </w:tcPr>
          <w:p w14:paraId="637EC17E" w14:textId="77777777" w:rsidR="00F65F7C" w:rsidRPr="00FC78C1" w:rsidRDefault="00F65F7C" w:rsidP="006B1FAA">
            <w:pPr>
              <w:spacing w:after="60"/>
              <w:ind w:left="38"/>
              <w:jc w:val="left"/>
              <w:rPr>
                <w:sz w:val="18"/>
                <w:szCs w:val="18"/>
              </w:rPr>
            </w:pPr>
            <w:r>
              <w:rPr>
                <w:sz w:val="18"/>
                <w:szCs w:val="18"/>
                <w:lang w:val="fr"/>
              </w:rPr>
              <w:t>Coûts du projet</w:t>
            </w:r>
          </w:p>
        </w:tc>
        <w:tc>
          <w:tcPr>
            <w:tcW w:w="900" w:type="dxa"/>
          </w:tcPr>
          <w:p w14:paraId="10D1E7FA" w14:textId="77777777" w:rsidR="00F65F7C" w:rsidRPr="00FC78C1" w:rsidRDefault="00F65F7C" w:rsidP="004D2A66">
            <w:pPr>
              <w:spacing w:after="60"/>
              <w:ind w:left="38"/>
              <w:jc w:val="right"/>
              <w:rPr>
                <w:color w:val="000000"/>
                <w:sz w:val="18"/>
                <w:szCs w:val="18"/>
              </w:rPr>
            </w:pPr>
            <w:r>
              <w:rPr>
                <w:color w:val="000000"/>
                <w:sz w:val="18"/>
                <w:szCs w:val="18"/>
                <w:lang w:val="fr"/>
              </w:rPr>
              <w:t>0</w:t>
            </w:r>
          </w:p>
        </w:tc>
        <w:tc>
          <w:tcPr>
            <w:tcW w:w="810" w:type="dxa"/>
          </w:tcPr>
          <w:p w14:paraId="5FBD1632" w14:textId="77777777" w:rsidR="00F65F7C" w:rsidRPr="00FC78C1" w:rsidRDefault="00F65F7C" w:rsidP="004D2A66">
            <w:pPr>
              <w:spacing w:after="60"/>
              <w:jc w:val="right"/>
              <w:rPr>
                <w:color w:val="000000"/>
                <w:sz w:val="18"/>
                <w:szCs w:val="18"/>
              </w:rPr>
            </w:pPr>
            <w:r>
              <w:rPr>
                <w:color w:val="000000"/>
                <w:sz w:val="18"/>
                <w:szCs w:val="18"/>
                <w:lang w:val="fr"/>
              </w:rPr>
              <w:t>0</w:t>
            </w:r>
          </w:p>
        </w:tc>
        <w:tc>
          <w:tcPr>
            <w:tcW w:w="900" w:type="dxa"/>
          </w:tcPr>
          <w:p w14:paraId="740954BA" w14:textId="77777777" w:rsidR="00F65F7C" w:rsidRPr="00FC78C1" w:rsidRDefault="00F65F7C" w:rsidP="004D2A66">
            <w:pPr>
              <w:spacing w:after="60"/>
              <w:jc w:val="right"/>
              <w:rPr>
                <w:color w:val="000000"/>
                <w:sz w:val="18"/>
                <w:szCs w:val="18"/>
              </w:rPr>
            </w:pPr>
            <w:r>
              <w:rPr>
                <w:color w:val="000000"/>
                <w:sz w:val="18"/>
                <w:szCs w:val="18"/>
                <w:lang w:val="fr"/>
              </w:rPr>
              <w:t>8 647 705</w:t>
            </w:r>
          </w:p>
        </w:tc>
        <w:tc>
          <w:tcPr>
            <w:tcW w:w="720" w:type="dxa"/>
          </w:tcPr>
          <w:p w14:paraId="2504583C" w14:textId="77777777" w:rsidR="00F65F7C" w:rsidRPr="00FC78C1" w:rsidRDefault="00F65F7C" w:rsidP="004D2A66">
            <w:pPr>
              <w:spacing w:after="60"/>
              <w:jc w:val="right"/>
              <w:rPr>
                <w:color w:val="000000"/>
                <w:sz w:val="18"/>
                <w:szCs w:val="18"/>
              </w:rPr>
            </w:pPr>
          </w:p>
        </w:tc>
        <w:tc>
          <w:tcPr>
            <w:tcW w:w="900" w:type="dxa"/>
          </w:tcPr>
          <w:p w14:paraId="32B9C898" w14:textId="77777777" w:rsidR="00F65F7C" w:rsidRPr="00FC78C1" w:rsidRDefault="00F65F7C" w:rsidP="004D2A66">
            <w:pPr>
              <w:spacing w:after="60"/>
              <w:jc w:val="right"/>
              <w:rPr>
                <w:color w:val="000000"/>
                <w:sz w:val="18"/>
                <w:szCs w:val="18"/>
              </w:rPr>
            </w:pPr>
          </w:p>
        </w:tc>
        <w:tc>
          <w:tcPr>
            <w:tcW w:w="648" w:type="dxa"/>
          </w:tcPr>
          <w:p w14:paraId="1C513E0C" w14:textId="77777777" w:rsidR="00F65F7C" w:rsidRPr="00FC78C1" w:rsidRDefault="00F65F7C" w:rsidP="004D2A66">
            <w:pPr>
              <w:spacing w:after="60"/>
              <w:jc w:val="right"/>
              <w:rPr>
                <w:color w:val="000000"/>
                <w:sz w:val="18"/>
                <w:szCs w:val="18"/>
              </w:rPr>
            </w:pPr>
          </w:p>
        </w:tc>
        <w:tc>
          <w:tcPr>
            <w:tcW w:w="792" w:type="dxa"/>
          </w:tcPr>
          <w:p w14:paraId="73C60921" w14:textId="77777777" w:rsidR="00F65F7C" w:rsidRPr="00FC78C1" w:rsidRDefault="00F65F7C" w:rsidP="004D2A66">
            <w:pPr>
              <w:spacing w:after="60"/>
              <w:jc w:val="right"/>
              <w:rPr>
                <w:color w:val="000000"/>
                <w:sz w:val="18"/>
                <w:szCs w:val="18"/>
              </w:rPr>
            </w:pPr>
          </w:p>
        </w:tc>
        <w:tc>
          <w:tcPr>
            <w:tcW w:w="540" w:type="dxa"/>
          </w:tcPr>
          <w:p w14:paraId="0F592EBA" w14:textId="77777777" w:rsidR="00F65F7C" w:rsidRPr="00FC78C1" w:rsidRDefault="00F65F7C" w:rsidP="004D2A66">
            <w:pPr>
              <w:spacing w:after="60"/>
              <w:jc w:val="right"/>
              <w:rPr>
                <w:color w:val="000000"/>
                <w:sz w:val="18"/>
                <w:szCs w:val="18"/>
              </w:rPr>
            </w:pPr>
          </w:p>
        </w:tc>
        <w:tc>
          <w:tcPr>
            <w:tcW w:w="990" w:type="dxa"/>
          </w:tcPr>
          <w:p w14:paraId="6B62533C" w14:textId="77777777" w:rsidR="00F65F7C" w:rsidRPr="00FC78C1" w:rsidRDefault="00F65F7C" w:rsidP="004D2A66">
            <w:pPr>
              <w:spacing w:after="60"/>
              <w:jc w:val="right"/>
              <w:rPr>
                <w:color w:val="000000"/>
                <w:sz w:val="18"/>
                <w:szCs w:val="18"/>
              </w:rPr>
            </w:pPr>
            <w:r>
              <w:rPr>
                <w:color w:val="000000"/>
                <w:sz w:val="18"/>
                <w:szCs w:val="18"/>
                <w:lang w:val="fr"/>
              </w:rPr>
              <w:t>8 647 705</w:t>
            </w:r>
          </w:p>
        </w:tc>
      </w:tr>
      <w:tr w:rsidR="00F65F7C" w:rsidRPr="00B31181" w14:paraId="465CA4A7" w14:textId="77777777" w:rsidTr="00AF426F">
        <w:trPr>
          <w:trHeight w:val="358"/>
          <w:jc w:val="center"/>
        </w:trPr>
        <w:tc>
          <w:tcPr>
            <w:tcW w:w="2309" w:type="dxa"/>
            <w:gridSpan w:val="2"/>
            <w:vMerge/>
            <w:vAlign w:val="center"/>
            <w:hideMark/>
          </w:tcPr>
          <w:p w14:paraId="074A0494" w14:textId="77777777" w:rsidR="00F65F7C" w:rsidRPr="00FC78C1" w:rsidRDefault="00F65F7C" w:rsidP="006B1FAA">
            <w:pPr>
              <w:ind w:left="38"/>
              <w:rPr>
                <w:sz w:val="18"/>
                <w:szCs w:val="18"/>
              </w:rPr>
            </w:pPr>
          </w:p>
        </w:tc>
        <w:tc>
          <w:tcPr>
            <w:tcW w:w="1363" w:type="dxa"/>
            <w:hideMark/>
          </w:tcPr>
          <w:p w14:paraId="3D9E6427" w14:textId="77777777" w:rsidR="00F65F7C" w:rsidRPr="00FC78C1" w:rsidRDefault="00F65F7C" w:rsidP="006B1FAA">
            <w:pPr>
              <w:spacing w:afterLines="20" w:after="48"/>
              <w:ind w:left="38"/>
              <w:jc w:val="left"/>
              <w:rPr>
                <w:sz w:val="18"/>
                <w:szCs w:val="18"/>
              </w:rPr>
            </w:pPr>
            <w:r>
              <w:rPr>
                <w:sz w:val="18"/>
                <w:szCs w:val="18"/>
                <w:lang w:val="fr"/>
              </w:rPr>
              <w:t>Coûts d’appui</w:t>
            </w:r>
          </w:p>
        </w:tc>
        <w:tc>
          <w:tcPr>
            <w:tcW w:w="900" w:type="dxa"/>
          </w:tcPr>
          <w:p w14:paraId="00750377" w14:textId="77777777" w:rsidR="00F65F7C" w:rsidRPr="00FC78C1" w:rsidRDefault="00F65F7C" w:rsidP="004D2A66">
            <w:pPr>
              <w:spacing w:afterLines="20" w:after="48"/>
              <w:ind w:left="38"/>
              <w:jc w:val="right"/>
              <w:rPr>
                <w:color w:val="000000"/>
                <w:sz w:val="18"/>
                <w:szCs w:val="18"/>
              </w:rPr>
            </w:pPr>
            <w:r>
              <w:rPr>
                <w:color w:val="000000"/>
                <w:sz w:val="18"/>
                <w:szCs w:val="18"/>
                <w:lang w:val="fr"/>
              </w:rPr>
              <w:t>0</w:t>
            </w:r>
          </w:p>
        </w:tc>
        <w:tc>
          <w:tcPr>
            <w:tcW w:w="810" w:type="dxa"/>
          </w:tcPr>
          <w:p w14:paraId="241290CC" w14:textId="77777777" w:rsidR="00F65F7C" w:rsidRPr="00FC78C1" w:rsidRDefault="00F65F7C" w:rsidP="004D2A66">
            <w:pPr>
              <w:spacing w:afterLines="20" w:after="48"/>
              <w:jc w:val="right"/>
              <w:rPr>
                <w:color w:val="000000"/>
                <w:sz w:val="18"/>
                <w:szCs w:val="18"/>
              </w:rPr>
            </w:pPr>
            <w:r>
              <w:rPr>
                <w:color w:val="000000"/>
                <w:sz w:val="18"/>
                <w:szCs w:val="18"/>
                <w:lang w:val="fr"/>
              </w:rPr>
              <w:t>0</w:t>
            </w:r>
          </w:p>
        </w:tc>
        <w:tc>
          <w:tcPr>
            <w:tcW w:w="900" w:type="dxa"/>
          </w:tcPr>
          <w:p w14:paraId="7749AE29" w14:textId="77777777" w:rsidR="00F65F7C" w:rsidRPr="00FC78C1" w:rsidRDefault="00F65F7C" w:rsidP="004D2A66">
            <w:pPr>
              <w:spacing w:afterLines="20" w:after="48"/>
              <w:jc w:val="right"/>
              <w:rPr>
                <w:color w:val="000000"/>
                <w:sz w:val="18"/>
                <w:szCs w:val="18"/>
              </w:rPr>
            </w:pPr>
            <w:r>
              <w:rPr>
                <w:color w:val="000000"/>
                <w:sz w:val="18"/>
                <w:szCs w:val="18"/>
                <w:lang w:val="fr"/>
              </w:rPr>
              <w:t>737 489</w:t>
            </w:r>
          </w:p>
        </w:tc>
        <w:tc>
          <w:tcPr>
            <w:tcW w:w="720" w:type="dxa"/>
          </w:tcPr>
          <w:p w14:paraId="60AB4E3F" w14:textId="77777777" w:rsidR="00F65F7C" w:rsidRPr="00FC78C1" w:rsidRDefault="00F65F7C" w:rsidP="004D2A66">
            <w:pPr>
              <w:spacing w:afterLines="20" w:after="48"/>
              <w:jc w:val="right"/>
              <w:rPr>
                <w:color w:val="000000"/>
                <w:sz w:val="18"/>
                <w:szCs w:val="18"/>
              </w:rPr>
            </w:pPr>
          </w:p>
        </w:tc>
        <w:tc>
          <w:tcPr>
            <w:tcW w:w="900" w:type="dxa"/>
          </w:tcPr>
          <w:p w14:paraId="26E5A5F9" w14:textId="77777777" w:rsidR="00F65F7C" w:rsidRPr="00FC78C1" w:rsidRDefault="00F65F7C" w:rsidP="004D2A66">
            <w:pPr>
              <w:spacing w:afterLines="20" w:after="48"/>
              <w:jc w:val="right"/>
              <w:rPr>
                <w:color w:val="000000"/>
                <w:sz w:val="18"/>
                <w:szCs w:val="18"/>
              </w:rPr>
            </w:pPr>
          </w:p>
        </w:tc>
        <w:tc>
          <w:tcPr>
            <w:tcW w:w="648" w:type="dxa"/>
          </w:tcPr>
          <w:p w14:paraId="531D0830" w14:textId="77777777" w:rsidR="00F65F7C" w:rsidRPr="00FC78C1" w:rsidRDefault="00F65F7C" w:rsidP="004D2A66">
            <w:pPr>
              <w:spacing w:afterLines="20" w:after="48"/>
              <w:jc w:val="right"/>
              <w:rPr>
                <w:color w:val="000000"/>
                <w:sz w:val="18"/>
                <w:szCs w:val="18"/>
              </w:rPr>
            </w:pPr>
          </w:p>
        </w:tc>
        <w:tc>
          <w:tcPr>
            <w:tcW w:w="792" w:type="dxa"/>
          </w:tcPr>
          <w:p w14:paraId="1BD00543" w14:textId="77777777" w:rsidR="00F65F7C" w:rsidRPr="00FC78C1" w:rsidRDefault="00F65F7C" w:rsidP="004D2A66">
            <w:pPr>
              <w:spacing w:afterLines="20" w:after="48"/>
              <w:jc w:val="right"/>
              <w:rPr>
                <w:color w:val="000000"/>
                <w:sz w:val="18"/>
                <w:szCs w:val="18"/>
              </w:rPr>
            </w:pPr>
          </w:p>
        </w:tc>
        <w:tc>
          <w:tcPr>
            <w:tcW w:w="540" w:type="dxa"/>
          </w:tcPr>
          <w:p w14:paraId="16669D6E" w14:textId="77777777" w:rsidR="00F65F7C" w:rsidRPr="00FC78C1" w:rsidRDefault="00F65F7C" w:rsidP="004D2A66">
            <w:pPr>
              <w:spacing w:afterLines="20" w:after="48"/>
              <w:jc w:val="right"/>
              <w:rPr>
                <w:color w:val="000000"/>
                <w:sz w:val="18"/>
                <w:szCs w:val="18"/>
              </w:rPr>
            </w:pPr>
          </w:p>
        </w:tc>
        <w:tc>
          <w:tcPr>
            <w:tcW w:w="990" w:type="dxa"/>
          </w:tcPr>
          <w:p w14:paraId="79B24060" w14:textId="77777777" w:rsidR="00F65F7C" w:rsidRPr="00FC78C1" w:rsidRDefault="00F65F7C" w:rsidP="004D2A66">
            <w:pPr>
              <w:spacing w:afterLines="20" w:after="48"/>
              <w:jc w:val="right"/>
              <w:rPr>
                <w:color w:val="000000"/>
                <w:sz w:val="18"/>
                <w:szCs w:val="18"/>
              </w:rPr>
            </w:pPr>
            <w:r>
              <w:rPr>
                <w:color w:val="000000"/>
                <w:sz w:val="18"/>
                <w:szCs w:val="18"/>
                <w:lang w:val="fr"/>
              </w:rPr>
              <w:t>737 489</w:t>
            </w:r>
          </w:p>
        </w:tc>
      </w:tr>
    </w:tbl>
    <w:p w14:paraId="6B256538" w14:textId="77777777" w:rsidR="00F65F7C" w:rsidRPr="00862FA7" w:rsidRDefault="00F65F7C" w:rsidP="00F65F7C">
      <w:pPr>
        <w:jc w:val="left"/>
        <w:rPr>
          <w:sz w:val="18"/>
          <w:szCs w:val="18"/>
        </w:rPr>
      </w:pPr>
    </w:p>
    <w:tbl>
      <w:tblPr>
        <w:tblStyle w:val="TableGrid"/>
        <w:tblW w:w="10901"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726"/>
        <w:gridCol w:w="6175"/>
      </w:tblGrid>
      <w:tr w:rsidR="00F65F7C" w:rsidRPr="00830019" w14:paraId="2F49E884" w14:textId="77777777" w:rsidTr="003D2025">
        <w:trPr>
          <w:trHeight w:val="42"/>
          <w:jc w:val="center"/>
        </w:trPr>
        <w:tc>
          <w:tcPr>
            <w:tcW w:w="4726" w:type="dxa"/>
            <w:hideMark/>
          </w:tcPr>
          <w:p w14:paraId="14A90B49" w14:textId="77777777" w:rsidR="00F65F7C" w:rsidRPr="00830019" w:rsidRDefault="00F65F7C" w:rsidP="006B1FAA">
            <w:pPr>
              <w:spacing w:after="60"/>
              <w:jc w:val="left"/>
              <w:rPr>
                <w:b/>
                <w:sz w:val="20"/>
                <w:szCs w:val="20"/>
              </w:rPr>
            </w:pPr>
            <w:r>
              <w:rPr>
                <w:b/>
                <w:bCs/>
                <w:sz w:val="20"/>
                <w:szCs w:val="20"/>
                <w:lang w:val="fr"/>
              </w:rPr>
              <w:t>Recommandation du Secrétariat :</w:t>
            </w:r>
          </w:p>
        </w:tc>
        <w:tc>
          <w:tcPr>
            <w:tcW w:w="6175" w:type="dxa"/>
            <w:hideMark/>
          </w:tcPr>
          <w:p w14:paraId="34229F66" w14:textId="77777777" w:rsidR="00F65F7C" w:rsidRPr="00830019" w:rsidRDefault="00F65F7C" w:rsidP="006B1FAA">
            <w:pPr>
              <w:spacing w:after="60"/>
              <w:jc w:val="center"/>
              <w:rPr>
                <w:sz w:val="20"/>
                <w:szCs w:val="20"/>
              </w:rPr>
            </w:pPr>
            <w:r>
              <w:rPr>
                <w:sz w:val="20"/>
                <w:szCs w:val="20"/>
                <w:lang w:val="fr"/>
              </w:rPr>
              <w:t xml:space="preserve">Pour examen individuel </w:t>
            </w:r>
          </w:p>
        </w:tc>
      </w:tr>
    </w:tbl>
    <w:p w14:paraId="4169EF56" w14:textId="77777777" w:rsidR="00F65F7C" w:rsidRPr="0034371D" w:rsidRDefault="00F65F7C" w:rsidP="00F65F7C">
      <w:r>
        <w:rPr>
          <w:lang w:val="fr"/>
        </w:rPr>
        <w:br w:type="page"/>
      </w:r>
    </w:p>
    <w:p w14:paraId="180F98DA" w14:textId="77777777" w:rsidR="00F65F7C" w:rsidRPr="00C54561" w:rsidRDefault="00F65F7C" w:rsidP="00F65F7C">
      <w:pPr>
        <w:keepNext/>
        <w:spacing w:after="240"/>
        <w:jc w:val="center"/>
        <w:rPr>
          <w:b/>
        </w:rPr>
      </w:pPr>
      <w:r>
        <w:rPr>
          <w:b/>
          <w:bCs/>
          <w:lang w:val="fr"/>
        </w:rPr>
        <w:lastRenderedPageBreak/>
        <w:t>DESCRIPTION DU PROJET</w:t>
      </w:r>
    </w:p>
    <w:p w14:paraId="2967982C" w14:textId="77777777" w:rsidR="00F65F7C" w:rsidRPr="00F65F7C" w:rsidRDefault="00F65F7C" w:rsidP="00F65F7C">
      <w:pPr>
        <w:pStyle w:val="Heading1"/>
        <w:rPr>
          <w:lang w:val="fr-FR"/>
        </w:rPr>
      </w:pPr>
      <w:r>
        <w:rPr>
          <w:lang w:val="fr"/>
        </w:rPr>
        <w:t>Au nom du gouvernement de l’Inde, le PNUD, en qualité d’agence d’exécution principale, a soumis une demande de financement pour la deuxième tranche de la phase III du plan de gestion de l’élimination des HCFC (PGEH) pour un montant total de 9 385 194 $ US, soit 5 495 933 $ US plus coûts d’appui d’agence de 384 715 $ US pour le PNUD, 1 011 000 $ US plus coûts d’appui d’agence de 114 210 $ US pour le PNUE, et 2 140 772 $ US plus coûts d’appui d’agence de 238 564 $ US pour le gouvernement de l’Allemagne.</w:t>
      </w:r>
      <w:bookmarkStart w:id="0" w:name="_Hlk181021186"/>
      <w:r>
        <w:rPr>
          <w:rStyle w:val="FootnoteReference"/>
          <w:lang w:val="fr"/>
        </w:rPr>
        <w:footnoteReference w:id="2"/>
      </w:r>
      <w:bookmarkEnd w:id="0"/>
      <w:r>
        <w:rPr>
          <w:lang w:val="fr"/>
        </w:rPr>
        <w:t xml:space="preserve"> La proposition comprend un rapport périodique sur la mise en œuvre de la première tranche, le rapport de vérification de la consommation de HCFC pour la période 2022-2023 et le plan de mise en œuvre de la tranche pour 2025-2027.</w:t>
      </w:r>
    </w:p>
    <w:p w14:paraId="06459393" w14:textId="77777777" w:rsidR="00F65F7C" w:rsidRPr="00F65F7C" w:rsidRDefault="00F65F7C" w:rsidP="00F65F7C">
      <w:pPr>
        <w:keepNext/>
        <w:spacing w:after="240"/>
        <w:rPr>
          <w:u w:val="single"/>
          <w:lang w:val="fr-FR"/>
        </w:rPr>
      </w:pPr>
      <w:r>
        <w:rPr>
          <w:u w:val="single"/>
          <w:lang w:val="fr"/>
        </w:rPr>
        <w:t>Rapport sur la consommation de HCFC</w:t>
      </w:r>
    </w:p>
    <w:p w14:paraId="363B1BBC" w14:textId="77777777" w:rsidR="00F65F7C" w:rsidRPr="00F65F7C" w:rsidRDefault="00F65F7C" w:rsidP="00F65F7C">
      <w:pPr>
        <w:pStyle w:val="Heading1"/>
        <w:rPr>
          <w:lang w:val="fr-FR"/>
        </w:rPr>
      </w:pPr>
      <w:r>
        <w:rPr>
          <w:lang w:val="fr"/>
        </w:rPr>
        <w:t>Le gouvernement de l’Inde a fait part d’une consommation de 322,44 tonnes PAO de HCFC en 2023, quantité de 80 pour cent inférieure à la valeur de référence des HCFC aux fins de conformité. La consommation de HCFC pour la période 2019-2023 est indiquée au tableau 1.</w:t>
      </w:r>
    </w:p>
    <w:p w14:paraId="14A3D105" w14:textId="77777777" w:rsidR="00F65F7C" w:rsidRPr="00F65F7C" w:rsidRDefault="00F65F7C" w:rsidP="00F65F7C">
      <w:pPr>
        <w:keepNext/>
        <w:rPr>
          <w:b/>
          <w:lang w:val="fr-FR"/>
        </w:rPr>
      </w:pPr>
      <w:r>
        <w:rPr>
          <w:b/>
          <w:bCs/>
          <w:lang w:val="fr"/>
        </w:rPr>
        <w:t>Tableau 1. Consommation de HCFC en Inde (2019-2023, données au titre de l’article 7)</w:t>
      </w:r>
    </w:p>
    <w:tbl>
      <w:tblPr>
        <w:tblW w:w="5000" w:type="pct"/>
        <w:tblLayout w:type="fixed"/>
        <w:tblLook w:val="04A0" w:firstRow="1" w:lastRow="0" w:firstColumn="1" w:lastColumn="0" w:noHBand="0" w:noVBand="1"/>
      </w:tblPr>
      <w:tblGrid>
        <w:gridCol w:w="2555"/>
        <w:gridCol w:w="1276"/>
        <w:gridCol w:w="993"/>
        <w:gridCol w:w="991"/>
        <w:gridCol w:w="1131"/>
        <w:gridCol w:w="1275"/>
        <w:gridCol w:w="1129"/>
      </w:tblGrid>
      <w:tr w:rsidR="00F65F7C" w:rsidRPr="0034371D" w14:paraId="446FAC9E" w14:textId="77777777" w:rsidTr="00BB37A2">
        <w:trPr>
          <w:tblHeader/>
        </w:trPr>
        <w:tc>
          <w:tcPr>
            <w:tcW w:w="13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96587F" w14:textId="77777777" w:rsidR="00F65F7C" w:rsidRPr="0034371D" w:rsidRDefault="00F65F7C" w:rsidP="00BB37A2">
            <w:pPr>
              <w:keepNext/>
              <w:jc w:val="center"/>
              <w:rPr>
                <w:b/>
                <w:bCs/>
                <w:color w:val="000000"/>
                <w:sz w:val="20"/>
                <w:szCs w:val="20"/>
              </w:rPr>
            </w:pPr>
            <w:r>
              <w:rPr>
                <w:b/>
                <w:bCs/>
                <w:color w:val="000000"/>
                <w:sz w:val="20"/>
                <w:szCs w:val="20"/>
                <w:lang w:val="fr"/>
              </w:rPr>
              <w:t>HCFC</w:t>
            </w:r>
          </w:p>
        </w:tc>
        <w:tc>
          <w:tcPr>
            <w:tcW w:w="682" w:type="pct"/>
            <w:tcBorders>
              <w:top w:val="single" w:sz="4" w:space="0" w:color="auto"/>
              <w:left w:val="nil"/>
              <w:bottom w:val="single" w:sz="4" w:space="0" w:color="auto"/>
              <w:right w:val="single" w:sz="4" w:space="0" w:color="auto"/>
            </w:tcBorders>
            <w:shd w:val="clear" w:color="auto" w:fill="auto"/>
            <w:noWrap/>
            <w:vAlign w:val="center"/>
            <w:hideMark/>
          </w:tcPr>
          <w:p w14:paraId="01CDFC5F" w14:textId="77777777" w:rsidR="00F65F7C" w:rsidRPr="0034371D" w:rsidRDefault="00F65F7C" w:rsidP="00BB37A2">
            <w:pPr>
              <w:keepNext/>
              <w:jc w:val="center"/>
              <w:rPr>
                <w:b/>
                <w:bCs/>
                <w:color w:val="000000"/>
                <w:sz w:val="20"/>
                <w:szCs w:val="20"/>
              </w:rPr>
            </w:pPr>
            <w:r>
              <w:rPr>
                <w:b/>
                <w:bCs/>
                <w:color w:val="000000"/>
                <w:sz w:val="20"/>
                <w:szCs w:val="20"/>
                <w:lang w:val="fr"/>
              </w:rPr>
              <w:t>2019</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14:paraId="56578248" w14:textId="77777777" w:rsidR="00F65F7C" w:rsidRPr="0034371D" w:rsidRDefault="00F65F7C" w:rsidP="00BB37A2">
            <w:pPr>
              <w:keepNext/>
              <w:jc w:val="center"/>
              <w:rPr>
                <w:b/>
                <w:bCs/>
                <w:color w:val="000000"/>
                <w:sz w:val="20"/>
                <w:szCs w:val="20"/>
              </w:rPr>
            </w:pPr>
            <w:r>
              <w:rPr>
                <w:b/>
                <w:bCs/>
                <w:color w:val="000000"/>
                <w:sz w:val="20"/>
                <w:szCs w:val="20"/>
                <w:lang w:val="fr"/>
              </w:rPr>
              <w:t>2020</w:t>
            </w:r>
          </w:p>
        </w:tc>
        <w:tc>
          <w:tcPr>
            <w:tcW w:w="530" w:type="pct"/>
            <w:tcBorders>
              <w:top w:val="single" w:sz="4" w:space="0" w:color="auto"/>
              <w:left w:val="nil"/>
              <w:bottom w:val="single" w:sz="4" w:space="0" w:color="auto"/>
              <w:right w:val="single" w:sz="4" w:space="0" w:color="auto"/>
            </w:tcBorders>
            <w:shd w:val="clear" w:color="auto" w:fill="auto"/>
            <w:noWrap/>
            <w:vAlign w:val="center"/>
            <w:hideMark/>
          </w:tcPr>
          <w:p w14:paraId="762DDFB8" w14:textId="77777777" w:rsidR="00F65F7C" w:rsidRPr="0034371D" w:rsidRDefault="00F65F7C" w:rsidP="00BB37A2">
            <w:pPr>
              <w:keepNext/>
              <w:jc w:val="center"/>
              <w:rPr>
                <w:b/>
                <w:bCs/>
                <w:color w:val="000000"/>
                <w:sz w:val="20"/>
                <w:szCs w:val="20"/>
              </w:rPr>
            </w:pPr>
            <w:r>
              <w:rPr>
                <w:b/>
                <w:bCs/>
                <w:color w:val="000000"/>
                <w:sz w:val="20"/>
                <w:szCs w:val="20"/>
                <w:lang w:val="fr"/>
              </w:rPr>
              <w:t>2021</w:t>
            </w:r>
          </w:p>
        </w:tc>
        <w:tc>
          <w:tcPr>
            <w:tcW w:w="605" w:type="pct"/>
            <w:tcBorders>
              <w:top w:val="single" w:sz="4" w:space="0" w:color="auto"/>
              <w:left w:val="nil"/>
              <w:bottom w:val="single" w:sz="4" w:space="0" w:color="auto"/>
              <w:right w:val="single" w:sz="4" w:space="0" w:color="auto"/>
            </w:tcBorders>
            <w:vAlign w:val="center"/>
          </w:tcPr>
          <w:p w14:paraId="58EC8556" w14:textId="77777777" w:rsidR="00F65F7C" w:rsidRPr="0034371D" w:rsidRDefault="00F65F7C" w:rsidP="00BB37A2">
            <w:pPr>
              <w:keepNext/>
              <w:jc w:val="center"/>
              <w:rPr>
                <w:b/>
                <w:bCs/>
                <w:color w:val="000000"/>
                <w:sz w:val="20"/>
                <w:szCs w:val="20"/>
              </w:rPr>
            </w:pPr>
            <w:r>
              <w:rPr>
                <w:b/>
                <w:bCs/>
                <w:color w:val="000000"/>
                <w:sz w:val="20"/>
                <w:szCs w:val="20"/>
                <w:lang w:val="fr"/>
              </w:rPr>
              <w:t>2022</w:t>
            </w:r>
          </w:p>
        </w:tc>
        <w:tc>
          <w:tcPr>
            <w:tcW w:w="682" w:type="pct"/>
            <w:tcBorders>
              <w:top w:val="single" w:sz="4" w:space="0" w:color="auto"/>
              <w:left w:val="single" w:sz="4" w:space="0" w:color="auto"/>
              <w:bottom w:val="single" w:sz="4" w:space="0" w:color="auto"/>
              <w:right w:val="single" w:sz="4" w:space="0" w:color="auto"/>
            </w:tcBorders>
            <w:vAlign w:val="center"/>
          </w:tcPr>
          <w:p w14:paraId="04C418E0" w14:textId="77777777" w:rsidR="00F65F7C" w:rsidRPr="0034371D" w:rsidRDefault="00F65F7C" w:rsidP="00BB37A2">
            <w:pPr>
              <w:keepNext/>
              <w:jc w:val="center"/>
              <w:rPr>
                <w:b/>
                <w:bCs/>
                <w:color w:val="000000"/>
                <w:sz w:val="20"/>
                <w:szCs w:val="20"/>
              </w:rPr>
            </w:pPr>
            <w:r>
              <w:rPr>
                <w:b/>
                <w:bCs/>
                <w:color w:val="000000"/>
                <w:sz w:val="20"/>
                <w:szCs w:val="20"/>
                <w:lang w:val="fr"/>
              </w:rPr>
              <w:t>2023</w:t>
            </w:r>
          </w:p>
        </w:tc>
        <w:tc>
          <w:tcPr>
            <w:tcW w:w="6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FAFAAD" w14:textId="77777777" w:rsidR="00F65F7C" w:rsidRPr="0034371D" w:rsidRDefault="00F65F7C" w:rsidP="00BB37A2">
            <w:pPr>
              <w:keepNext/>
              <w:jc w:val="center"/>
              <w:rPr>
                <w:b/>
                <w:bCs/>
                <w:color w:val="000000"/>
                <w:sz w:val="20"/>
                <w:szCs w:val="20"/>
              </w:rPr>
            </w:pPr>
            <w:r>
              <w:rPr>
                <w:b/>
                <w:bCs/>
                <w:color w:val="000000"/>
                <w:sz w:val="20"/>
                <w:szCs w:val="20"/>
                <w:lang w:val="fr"/>
              </w:rPr>
              <w:t>Valeur de référence</w:t>
            </w:r>
          </w:p>
        </w:tc>
      </w:tr>
      <w:tr w:rsidR="00F65F7C" w:rsidRPr="00152C75" w14:paraId="65AA45D9" w14:textId="77777777" w:rsidTr="006B1FAA">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3E074A" w14:textId="77777777" w:rsidR="00F65F7C" w:rsidRPr="00152C75" w:rsidRDefault="00F65F7C" w:rsidP="006B1FAA">
            <w:pPr>
              <w:keepNext/>
              <w:ind w:left="98"/>
              <w:jc w:val="left"/>
              <w:rPr>
                <w:b/>
                <w:bCs/>
                <w:color w:val="000000"/>
                <w:sz w:val="20"/>
                <w:szCs w:val="20"/>
              </w:rPr>
            </w:pPr>
            <w:r>
              <w:rPr>
                <w:b/>
                <w:bCs/>
                <w:color w:val="000000"/>
                <w:sz w:val="20"/>
                <w:szCs w:val="20"/>
                <w:lang w:val="fr"/>
              </w:rPr>
              <w:t>Tonnes métriques (</w:t>
            </w:r>
            <w:proofErr w:type="spellStart"/>
            <w:r>
              <w:rPr>
                <w:b/>
                <w:bCs/>
                <w:color w:val="000000"/>
                <w:sz w:val="20"/>
                <w:szCs w:val="20"/>
                <w:lang w:val="fr"/>
              </w:rPr>
              <w:t>tm</w:t>
            </w:r>
            <w:proofErr w:type="spellEnd"/>
            <w:r>
              <w:rPr>
                <w:b/>
                <w:bCs/>
                <w:color w:val="000000"/>
                <w:sz w:val="20"/>
                <w:szCs w:val="20"/>
                <w:lang w:val="fr"/>
              </w:rPr>
              <w:t>)</w:t>
            </w:r>
          </w:p>
        </w:tc>
      </w:tr>
      <w:tr w:rsidR="00F65F7C" w:rsidRPr="00152C75" w14:paraId="340E4322" w14:textId="77777777" w:rsidTr="006B1FAA">
        <w:tc>
          <w:tcPr>
            <w:tcW w:w="13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4676DD" w14:textId="77777777" w:rsidR="00F65F7C" w:rsidRPr="00152C75" w:rsidRDefault="00F65F7C" w:rsidP="006B1FAA">
            <w:pPr>
              <w:widowControl w:val="0"/>
              <w:ind w:left="98"/>
              <w:jc w:val="left"/>
              <w:rPr>
                <w:color w:val="000000"/>
                <w:sz w:val="20"/>
                <w:szCs w:val="20"/>
              </w:rPr>
            </w:pPr>
            <w:r>
              <w:rPr>
                <w:color w:val="000000"/>
                <w:sz w:val="20"/>
                <w:szCs w:val="20"/>
                <w:lang w:val="fr"/>
              </w:rPr>
              <w:t>HCFC-22</w:t>
            </w:r>
          </w:p>
        </w:tc>
        <w:tc>
          <w:tcPr>
            <w:tcW w:w="682" w:type="pct"/>
            <w:tcBorders>
              <w:top w:val="nil"/>
              <w:left w:val="nil"/>
              <w:bottom w:val="single" w:sz="4" w:space="0" w:color="auto"/>
              <w:right w:val="single" w:sz="4" w:space="0" w:color="auto"/>
            </w:tcBorders>
            <w:shd w:val="clear" w:color="auto" w:fill="auto"/>
            <w:noWrap/>
          </w:tcPr>
          <w:p w14:paraId="3A4ADEBE" w14:textId="77777777" w:rsidR="00F65F7C" w:rsidRPr="00152C75" w:rsidRDefault="00F65F7C" w:rsidP="006B1FAA">
            <w:pPr>
              <w:widowControl w:val="0"/>
              <w:tabs>
                <w:tab w:val="left" w:pos="430"/>
              </w:tabs>
              <w:ind w:left="-137" w:right="63"/>
              <w:jc w:val="right"/>
              <w:rPr>
                <w:sz w:val="20"/>
                <w:szCs w:val="20"/>
              </w:rPr>
            </w:pPr>
            <w:r>
              <w:rPr>
                <w:sz w:val="20"/>
                <w:szCs w:val="20"/>
                <w:lang w:val="fr"/>
              </w:rPr>
              <w:t>9 988,45</w:t>
            </w:r>
          </w:p>
        </w:tc>
        <w:tc>
          <w:tcPr>
            <w:tcW w:w="531" w:type="pct"/>
            <w:tcBorders>
              <w:top w:val="nil"/>
              <w:left w:val="nil"/>
              <w:bottom w:val="single" w:sz="4" w:space="0" w:color="auto"/>
              <w:right w:val="single" w:sz="4" w:space="0" w:color="auto"/>
            </w:tcBorders>
            <w:shd w:val="clear" w:color="auto" w:fill="auto"/>
            <w:noWrap/>
          </w:tcPr>
          <w:p w14:paraId="654FEC6C" w14:textId="77777777" w:rsidR="00F65F7C" w:rsidRPr="00152C75" w:rsidRDefault="00F65F7C" w:rsidP="006B1FAA">
            <w:pPr>
              <w:widowControl w:val="0"/>
              <w:tabs>
                <w:tab w:val="left" w:pos="430"/>
              </w:tabs>
              <w:ind w:left="-137" w:right="63"/>
              <w:jc w:val="right"/>
              <w:rPr>
                <w:sz w:val="20"/>
                <w:szCs w:val="20"/>
              </w:rPr>
            </w:pPr>
            <w:r>
              <w:rPr>
                <w:sz w:val="20"/>
                <w:szCs w:val="20"/>
                <w:lang w:val="fr"/>
              </w:rPr>
              <w:t>5 404,19</w:t>
            </w:r>
          </w:p>
        </w:tc>
        <w:tc>
          <w:tcPr>
            <w:tcW w:w="530" w:type="pct"/>
            <w:tcBorders>
              <w:top w:val="nil"/>
              <w:left w:val="nil"/>
              <w:bottom w:val="single" w:sz="4" w:space="0" w:color="auto"/>
              <w:right w:val="single" w:sz="4" w:space="0" w:color="auto"/>
            </w:tcBorders>
            <w:shd w:val="clear" w:color="auto" w:fill="auto"/>
            <w:noWrap/>
          </w:tcPr>
          <w:p w14:paraId="462DDD6D" w14:textId="77777777" w:rsidR="00F65F7C" w:rsidRPr="00152C75" w:rsidRDefault="00F65F7C" w:rsidP="006B1FAA">
            <w:pPr>
              <w:widowControl w:val="0"/>
              <w:tabs>
                <w:tab w:val="left" w:pos="430"/>
              </w:tabs>
              <w:ind w:left="-137" w:right="63"/>
              <w:jc w:val="right"/>
              <w:rPr>
                <w:color w:val="000000"/>
                <w:sz w:val="20"/>
                <w:szCs w:val="20"/>
              </w:rPr>
            </w:pPr>
            <w:r>
              <w:rPr>
                <w:color w:val="000000"/>
                <w:sz w:val="20"/>
                <w:szCs w:val="20"/>
                <w:lang w:val="fr"/>
              </w:rPr>
              <w:t>4 278,99</w:t>
            </w:r>
          </w:p>
        </w:tc>
        <w:tc>
          <w:tcPr>
            <w:tcW w:w="605" w:type="pct"/>
            <w:tcBorders>
              <w:top w:val="single" w:sz="4" w:space="0" w:color="auto"/>
              <w:left w:val="nil"/>
              <w:bottom w:val="single" w:sz="4" w:space="0" w:color="auto"/>
              <w:right w:val="single" w:sz="2" w:space="0" w:color="auto"/>
            </w:tcBorders>
          </w:tcPr>
          <w:p w14:paraId="6894718B" w14:textId="77777777" w:rsidR="00F65F7C" w:rsidRPr="00152C75" w:rsidRDefault="00F65F7C" w:rsidP="006B1FAA">
            <w:pPr>
              <w:widowControl w:val="0"/>
              <w:tabs>
                <w:tab w:val="left" w:pos="430"/>
              </w:tabs>
              <w:ind w:left="-137" w:right="63"/>
              <w:jc w:val="right"/>
              <w:rPr>
                <w:color w:val="000000"/>
                <w:sz w:val="20"/>
                <w:szCs w:val="20"/>
              </w:rPr>
            </w:pPr>
            <w:r>
              <w:rPr>
                <w:color w:val="000000"/>
                <w:sz w:val="20"/>
                <w:szCs w:val="20"/>
                <w:lang w:val="fr"/>
              </w:rPr>
              <w:t>6 220,55</w:t>
            </w:r>
          </w:p>
        </w:tc>
        <w:tc>
          <w:tcPr>
            <w:tcW w:w="682" w:type="pct"/>
            <w:tcBorders>
              <w:top w:val="single" w:sz="2" w:space="0" w:color="auto"/>
              <w:left w:val="single" w:sz="2" w:space="0" w:color="auto"/>
              <w:bottom w:val="single" w:sz="2" w:space="0" w:color="auto"/>
              <w:right w:val="single" w:sz="2" w:space="0" w:color="auto"/>
            </w:tcBorders>
          </w:tcPr>
          <w:p w14:paraId="21D4BE42" w14:textId="77777777" w:rsidR="00F65F7C" w:rsidRPr="00152C75" w:rsidRDefault="00F65F7C" w:rsidP="006B1FAA">
            <w:pPr>
              <w:widowControl w:val="0"/>
              <w:tabs>
                <w:tab w:val="left" w:pos="430"/>
              </w:tabs>
              <w:ind w:left="-137" w:right="63"/>
              <w:jc w:val="right"/>
              <w:rPr>
                <w:color w:val="000000"/>
                <w:sz w:val="20"/>
                <w:szCs w:val="20"/>
              </w:rPr>
            </w:pPr>
            <w:r>
              <w:rPr>
                <w:color w:val="000000" w:themeColor="text1"/>
                <w:sz w:val="20"/>
                <w:szCs w:val="20"/>
                <w:lang w:val="fr"/>
              </w:rPr>
              <w:t>5 819,05</w:t>
            </w:r>
          </w:p>
        </w:tc>
        <w:tc>
          <w:tcPr>
            <w:tcW w:w="604" w:type="pct"/>
            <w:tcBorders>
              <w:top w:val="nil"/>
              <w:left w:val="single" w:sz="2" w:space="0" w:color="auto"/>
              <w:bottom w:val="single" w:sz="4" w:space="0" w:color="auto"/>
              <w:right w:val="single" w:sz="4" w:space="0" w:color="auto"/>
            </w:tcBorders>
            <w:shd w:val="clear" w:color="auto" w:fill="auto"/>
            <w:noWrap/>
          </w:tcPr>
          <w:p w14:paraId="7993BEDE" w14:textId="77777777" w:rsidR="00F65F7C" w:rsidRPr="00152C75" w:rsidRDefault="00F65F7C" w:rsidP="006B1FAA">
            <w:pPr>
              <w:widowControl w:val="0"/>
              <w:tabs>
                <w:tab w:val="left" w:pos="430"/>
              </w:tabs>
              <w:ind w:left="-137" w:right="63"/>
              <w:jc w:val="right"/>
              <w:rPr>
                <w:color w:val="000000"/>
                <w:sz w:val="20"/>
                <w:szCs w:val="20"/>
              </w:rPr>
            </w:pPr>
            <w:r>
              <w:rPr>
                <w:color w:val="000000"/>
                <w:sz w:val="20"/>
                <w:szCs w:val="20"/>
                <w:lang w:val="fr"/>
              </w:rPr>
              <w:t>10 944,7</w:t>
            </w:r>
          </w:p>
        </w:tc>
      </w:tr>
      <w:tr w:rsidR="00F65F7C" w:rsidRPr="00152C75" w14:paraId="5F3A29B8" w14:textId="77777777" w:rsidTr="006B1FAA">
        <w:tc>
          <w:tcPr>
            <w:tcW w:w="13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324C31" w14:textId="77777777" w:rsidR="00F65F7C" w:rsidRPr="00152C75" w:rsidRDefault="00F65F7C" w:rsidP="006B1FAA">
            <w:pPr>
              <w:widowControl w:val="0"/>
              <w:ind w:left="98"/>
              <w:jc w:val="left"/>
              <w:rPr>
                <w:color w:val="000000"/>
                <w:sz w:val="20"/>
                <w:szCs w:val="20"/>
              </w:rPr>
            </w:pPr>
            <w:r>
              <w:rPr>
                <w:color w:val="000000"/>
                <w:sz w:val="20"/>
                <w:szCs w:val="20"/>
                <w:lang w:val="fr"/>
              </w:rPr>
              <w:t>HCFC-123</w:t>
            </w:r>
          </w:p>
        </w:tc>
        <w:tc>
          <w:tcPr>
            <w:tcW w:w="682" w:type="pct"/>
            <w:tcBorders>
              <w:top w:val="nil"/>
              <w:left w:val="nil"/>
              <w:bottom w:val="single" w:sz="4" w:space="0" w:color="auto"/>
              <w:right w:val="single" w:sz="4" w:space="0" w:color="auto"/>
            </w:tcBorders>
            <w:shd w:val="clear" w:color="auto" w:fill="auto"/>
            <w:noWrap/>
          </w:tcPr>
          <w:p w14:paraId="7EA1A94C" w14:textId="77777777" w:rsidR="00F65F7C" w:rsidRPr="00152C75" w:rsidRDefault="00F65F7C" w:rsidP="006B1FAA">
            <w:pPr>
              <w:widowControl w:val="0"/>
              <w:tabs>
                <w:tab w:val="left" w:pos="430"/>
              </w:tabs>
              <w:ind w:left="-137" w:right="63"/>
              <w:jc w:val="right"/>
              <w:rPr>
                <w:sz w:val="20"/>
                <w:szCs w:val="20"/>
              </w:rPr>
            </w:pPr>
            <w:r>
              <w:rPr>
                <w:sz w:val="20"/>
                <w:szCs w:val="20"/>
                <w:lang w:val="fr"/>
              </w:rPr>
              <w:t>77,48</w:t>
            </w:r>
          </w:p>
        </w:tc>
        <w:tc>
          <w:tcPr>
            <w:tcW w:w="531" w:type="pct"/>
            <w:tcBorders>
              <w:top w:val="nil"/>
              <w:left w:val="nil"/>
              <w:bottom w:val="single" w:sz="4" w:space="0" w:color="auto"/>
              <w:right w:val="single" w:sz="4" w:space="0" w:color="auto"/>
            </w:tcBorders>
            <w:shd w:val="clear" w:color="auto" w:fill="auto"/>
            <w:noWrap/>
          </w:tcPr>
          <w:p w14:paraId="1AE8BCFA" w14:textId="77777777" w:rsidR="00F65F7C" w:rsidRPr="00152C75" w:rsidRDefault="00F65F7C" w:rsidP="006B1FAA">
            <w:pPr>
              <w:widowControl w:val="0"/>
              <w:tabs>
                <w:tab w:val="left" w:pos="430"/>
              </w:tabs>
              <w:ind w:left="-137" w:right="63"/>
              <w:jc w:val="right"/>
              <w:rPr>
                <w:sz w:val="20"/>
                <w:szCs w:val="20"/>
              </w:rPr>
            </w:pPr>
            <w:r>
              <w:rPr>
                <w:sz w:val="20"/>
                <w:szCs w:val="20"/>
                <w:lang w:val="fr"/>
              </w:rPr>
              <w:t>12,99</w:t>
            </w:r>
          </w:p>
        </w:tc>
        <w:tc>
          <w:tcPr>
            <w:tcW w:w="530" w:type="pct"/>
            <w:tcBorders>
              <w:top w:val="nil"/>
              <w:left w:val="nil"/>
              <w:bottom w:val="single" w:sz="4" w:space="0" w:color="auto"/>
              <w:right w:val="single" w:sz="4" w:space="0" w:color="auto"/>
            </w:tcBorders>
            <w:shd w:val="clear" w:color="auto" w:fill="auto"/>
            <w:noWrap/>
          </w:tcPr>
          <w:p w14:paraId="6DA679BE" w14:textId="77777777" w:rsidR="00F65F7C" w:rsidRPr="00152C75" w:rsidRDefault="00F65F7C" w:rsidP="006B1FAA">
            <w:pPr>
              <w:widowControl w:val="0"/>
              <w:tabs>
                <w:tab w:val="left" w:pos="430"/>
              </w:tabs>
              <w:ind w:left="-137" w:right="63"/>
              <w:jc w:val="right"/>
              <w:rPr>
                <w:color w:val="000000"/>
                <w:sz w:val="20"/>
                <w:szCs w:val="20"/>
              </w:rPr>
            </w:pPr>
            <w:r>
              <w:rPr>
                <w:color w:val="000000"/>
                <w:sz w:val="20"/>
                <w:szCs w:val="20"/>
                <w:lang w:val="fr"/>
              </w:rPr>
              <w:t>47,19</w:t>
            </w:r>
          </w:p>
        </w:tc>
        <w:tc>
          <w:tcPr>
            <w:tcW w:w="605" w:type="pct"/>
            <w:tcBorders>
              <w:top w:val="single" w:sz="4" w:space="0" w:color="auto"/>
              <w:left w:val="nil"/>
              <w:bottom w:val="single" w:sz="4" w:space="0" w:color="auto"/>
              <w:right w:val="single" w:sz="2" w:space="0" w:color="auto"/>
            </w:tcBorders>
          </w:tcPr>
          <w:p w14:paraId="26994D56" w14:textId="77777777" w:rsidR="00F65F7C" w:rsidRPr="00152C75" w:rsidRDefault="00F65F7C" w:rsidP="006B1FAA">
            <w:pPr>
              <w:widowControl w:val="0"/>
              <w:tabs>
                <w:tab w:val="left" w:pos="430"/>
              </w:tabs>
              <w:ind w:left="-137" w:right="63"/>
              <w:jc w:val="right"/>
              <w:rPr>
                <w:color w:val="000000"/>
                <w:sz w:val="20"/>
                <w:szCs w:val="20"/>
              </w:rPr>
            </w:pPr>
            <w:r>
              <w:rPr>
                <w:color w:val="000000"/>
                <w:sz w:val="20"/>
                <w:szCs w:val="20"/>
                <w:lang w:val="fr"/>
              </w:rPr>
              <w:t>173,38</w:t>
            </w:r>
          </w:p>
        </w:tc>
        <w:tc>
          <w:tcPr>
            <w:tcW w:w="682" w:type="pct"/>
            <w:tcBorders>
              <w:top w:val="single" w:sz="2" w:space="0" w:color="auto"/>
              <w:left w:val="single" w:sz="2" w:space="0" w:color="auto"/>
              <w:bottom w:val="single" w:sz="2" w:space="0" w:color="auto"/>
              <w:right w:val="single" w:sz="2" w:space="0" w:color="auto"/>
            </w:tcBorders>
          </w:tcPr>
          <w:p w14:paraId="62389184" w14:textId="77777777" w:rsidR="00F65F7C" w:rsidRPr="00152C75" w:rsidRDefault="00F65F7C" w:rsidP="006B1FAA">
            <w:pPr>
              <w:widowControl w:val="0"/>
              <w:tabs>
                <w:tab w:val="left" w:pos="430"/>
              </w:tabs>
              <w:ind w:left="-137" w:right="63"/>
              <w:jc w:val="right"/>
              <w:rPr>
                <w:color w:val="000000"/>
                <w:sz w:val="20"/>
                <w:szCs w:val="20"/>
              </w:rPr>
            </w:pPr>
            <w:r>
              <w:rPr>
                <w:color w:val="000000"/>
                <w:sz w:val="20"/>
                <w:szCs w:val="20"/>
                <w:lang w:val="fr"/>
              </w:rPr>
              <w:t>84,38</w:t>
            </w:r>
          </w:p>
        </w:tc>
        <w:tc>
          <w:tcPr>
            <w:tcW w:w="604" w:type="pct"/>
            <w:tcBorders>
              <w:top w:val="nil"/>
              <w:left w:val="single" w:sz="2" w:space="0" w:color="auto"/>
              <w:bottom w:val="single" w:sz="4" w:space="0" w:color="auto"/>
              <w:right w:val="single" w:sz="4" w:space="0" w:color="auto"/>
            </w:tcBorders>
            <w:shd w:val="clear" w:color="auto" w:fill="auto"/>
            <w:noWrap/>
          </w:tcPr>
          <w:p w14:paraId="2F33546A" w14:textId="77777777" w:rsidR="00F65F7C" w:rsidRPr="00152C75" w:rsidRDefault="00F65F7C" w:rsidP="006B1FAA">
            <w:pPr>
              <w:widowControl w:val="0"/>
              <w:tabs>
                <w:tab w:val="left" w:pos="430"/>
              </w:tabs>
              <w:ind w:left="-137" w:right="63"/>
              <w:jc w:val="right"/>
              <w:rPr>
                <w:color w:val="000000"/>
                <w:sz w:val="20"/>
                <w:szCs w:val="20"/>
              </w:rPr>
            </w:pPr>
            <w:r>
              <w:rPr>
                <w:color w:val="000000"/>
                <w:sz w:val="20"/>
                <w:szCs w:val="20"/>
                <w:lang w:val="fr"/>
              </w:rPr>
              <w:t>176,5</w:t>
            </w:r>
          </w:p>
        </w:tc>
      </w:tr>
      <w:tr w:rsidR="00F65F7C" w:rsidRPr="00152C75" w14:paraId="60523D9A" w14:textId="77777777" w:rsidTr="006B1FAA">
        <w:tc>
          <w:tcPr>
            <w:tcW w:w="13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5F4F0F" w14:textId="77777777" w:rsidR="00F65F7C" w:rsidRPr="00152C75" w:rsidRDefault="00F65F7C" w:rsidP="006B1FAA">
            <w:pPr>
              <w:widowControl w:val="0"/>
              <w:ind w:left="98"/>
              <w:jc w:val="left"/>
              <w:rPr>
                <w:color w:val="000000"/>
                <w:sz w:val="20"/>
                <w:szCs w:val="20"/>
              </w:rPr>
            </w:pPr>
            <w:r>
              <w:rPr>
                <w:color w:val="000000"/>
                <w:sz w:val="20"/>
                <w:szCs w:val="20"/>
                <w:lang w:val="fr"/>
              </w:rPr>
              <w:t>HCFC-141b</w:t>
            </w:r>
          </w:p>
        </w:tc>
        <w:tc>
          <w:tcPr>
            <w:tcW w:w="682" w:type="pct"/>
            <w:tcBorders>
              <w:top w:val="nil"/>
              <w:left w:val="nil"/>
              <w:bottom w:val="single" w:sz="4" w:space="0" w:color="auto"/>
              <w:right w:val="single" w:sz="4" w:space="0" w:color="auto"/>
            </w:tcBorders>
            <w:shd w:val="clear" w:color="auto" w:fill="auto"/>
            <w:noWrap/>
          </w:tcPr>
          <w:p w14:paraId="4468DCC6" w14:textId="77777777" w:rsidR="00F65F7C" w:rsidRPr="00152C75" w:rsidRDefault="00F65F7C" w:rsidP="006B1FAA">
            <w:pPr>
              <w:widowControl w:val="0"/>
              <w:tabs>
                <w:tab w:val="left" w:pos="430"/>
              </w:tabs>
              <w:ind w:left="-137" w:right="63"/>
              <w:jc w:val="right"/>
              <w:rPr>
                <w:sz w:val="20"/>
                <w:szCs w:val="20"/>
              </w:rPr>
            </w:pPr>
            <w:r>
              <w:rPr>
                <w:sz w:val="20"/>
                <w:szCs w:val="20"/>
                <w:lang w:val="fr"/>
              </w:rPr>
              <w:t>3 494,18</w:t>
            </w:r>
          </w:p>
        </w:tc>
        <w:tc>
          <w:tcPr>
            <w:tcW w:w="531" w:type="pct"/>
            <w:tcBorders>
              <w:top w:val="nil"/>
              <w:left w:val="nil"/>
              <w:bottom w:val="single" w:sz="4" w:space="0" w:color="auto"/>
              <w:right w:val="single" w:sz="4" w:space="0" w:color="auto"/>
            </w:tcBorders>
            <w:shd w:val="clear" w:color="auto" w:fill="auto"/>
            <w:noWrap/>
          </w:tcPr>
          <w:p w14:paraId="05EA681B" w14:textId="77777777" w:rsidR="00F65F7C" w:rsidRPr="00152C75" w:rsidRDefault="00F65F7C" w:rsidP="006B1FAA">
            <w:pPr>
              <w:widowControl w:val="0"/>
              <w:tabs>
                <w:tab w:val="left" w:pos="430"/>
              </w:tabs>
              <w:ind w:left="-137" w:right="63"/>
              <w:jc w:val="right"/>
              <w:rPr>
                <w:sz w:val="20"/>
                <w:szCs w:val="20"/>
              </w:rPr>
            </w:pPr>
            <w:r>
              <w:rPr>
                <w:sz w:val="20"/>
                <w:szCs w:val="20"/>
                <w:lang w:val="fr"/>
              </w:rPr>
              <w:t>0,00</w:t>
            </w:r>
          </w:p>
        </w:tc>
        <w:tc>
          <w:tcPr>
            <w:tcW w:w="530" w:type="pct"/>
            <w:tcBorders>
              <w:top w:val="nil"/>
              <w:left w:val="nil"/>
              <w:bottom w:val="single" w:sz="4" w:space="0" w:color="auto"/>
              <w:right w:val="single" w:sz="4" w:space="0" w:color="auto"/>
            </w:tcBorders>
            <w:shd w:val="clear" w:color="auto" w:fill="auto"/>
            <w:noWrap/>
          </w:tcPr>
          <w:p w14:paraId="0CA894ED" w14:textId="77777777" w:rsidR="00F65F7C" w:rsidRPr="00152C75" w:rsidRDefault="00F65F7C" w:rsidP="006B1FAA">
            <w:pPr>
              <w:widowControl w:val="0"/>
              <w:tabs>
                <w:tab w:val="left" w:pos="430"/>
              </w:tabs>
              <w:ind w:left="-137" w:right="63"/>
              <w:jc w:val="right"/>
              <w:rPr>
                <w:color w:val="000000"/>
                <w:sz w:val="20"/>
                <w:szCs w:val="20"/>
              </w:rPr>
            </w:pPr>
            <w:r>
              <w:rPr>
                <w:color w:val="000000"/>
                <w:sz w:val="20"/>
                <w:szCs w:val="20"/>
                <w:lang w:val="fr"/>
              </w:rPr>
              <w:t>0,00</w:t>
            </w:r>
          </w:p>
        </w:tc>
        <w:tc>
          <w:tcPr>
            <w:tcW w:w="605" w:type="pct"/>
            <w:tcBorders>
              <w:top w:val="single" w:sz="4" w:space="0" w:color="auto"/>
              <w:left w:val="nil"/>
              <w:bottom w:val="single" w:sz="4" w:space="0" w:color="auto"/>
              <w:right w:val="single" w:sz="4" w:space="0" w:color="auto"/>
            </w:tcBorders>
          </w:tcPr>
          <w:p w14:paraId="3A65F5A8" w14:textId="77777777" w:rsidR="00F65F7C" w:rsidRPr="00152C75" w:rsidRDefault="00F65F7C" w:rsidP="006B1FAA">
            <w:pPr>
              <w:widowControl w:val="0"/>
              <w:tabs>
                <w:tab w:val="left" w:pos="430"/>
              </w:tabs>
              <w:ind w:left="-137" w:right="63"/>
              <w:jc w:val="right"/>
              <w:rPr>
                <w:color w:val="000000"/>
                <w:sz w:val="20"/>
                <w:szCs w:val="20"/>
              </w:rPr>
            </w:pPr>
            <w:r>
              <w:rPr>
                <w:color w:val="000000"/>
                <w:sz w:val="20"/>
                <w:szCs w:val="20"/>
                <w:lang w:val="fr"/>
              </w:rPr>
              <w:t>0,00</w:t>
            </w:r>
          </w:p>
        </w:tc>
        <w:tc>
          <w:tcPr>
            <w:tcW w:w="682" w:type="pct"/>
            <w:tcBorders>
              <w:top w:val="nil"/>
              <w:left w:val="single" w:sz="4" w:space="0" w:color="auto"/>
              <w:bottom w:val="single" w:sz="4" w:space="0" w:color="auto"/>
              <w:right w:val="single" w:sz="4" w:space="0" w:color="auto"/>
            </w:tcBorders>
          </w:tcPr>
          <w:p w14:paraId="748DF24A" w14:textId="77777777" w:rsidR="00F65F7C" w:rsidRPr="00152C75" w:rsidRDefault="00F65F7C" w:rsidP="006B1FAA">
            <w:pPr>
              <w:widowControl w:val="0"/>
              <w:tabs>
                <w:tab w:val="left" w:pos="430"/>
              </w:tabs>
              <w:ind w:left="-137" w:right="63"/>
              <w:jc w:val="right"/>
              <w:rPr>
                <w:color w:val="000000"/>
                <w:sz w:val="20"/>
                <w:szCs w:val="20"/>
              </w:rPr>
            </w:pPr>
            <w:r>
              <w:rPr>
                <w:color w:val="000000"/>
                <w:sz w:val="20"/>
                <w:szCs w:val="20"/>
                <w:lang w:val="fr"/>
              </w:rPr>
              <w:t>0,00</w:t>
            </w:r>
          </w:p>
        </w:tc>
        <w:tc>
          <w:tcPr>
            <w:tcW w:w="604" w:type="pct"/>
            <w:tcBorders>
              <w:top w:val="nil"/>
              <w:left w:val="single" w:sz="4" w:space="0" w:color="auto"/>
              <w:bottom w:val="single" w:sz="4" w:space="0" w:color="auto"/>
              <w:right w:val="single" w:sz="4" w:space="0" w:color="auto"/>
            </w:tcBorders>
            <w:shd w:val="clear" w:color="auto" w:fill="auto"/>
            <w:noWrap/>
          </w:tcPr>
          <w:p w14:paraId="0494ECEF" w14:textId="77777777" w:rsidR="00F65F7C" w:rsidRPr="00152C75" w:rsidRDefault="00F65F7C" w:rsidP="006B1FAA">
            <w:pPr>
              <w:widowControl w:val="0"/>
              <w:tabs>
                <w:tab w:val="left" w:pos="430"/>
              </w:tabs>
              <w:ind w:left="-137" w:right="63"/>
              <w:jc w:val="right"/>
              <w:rPr>
                <w:color w:val="000000"/>
                <w:sz w:val="20"/>
                <w:szCs w:val="20"/>
              </w:rPr>
            </w:pPr>
            <w:r>
              <w:rPr>
                <w:color w:val="000000"/>
                <w:sz w:val="20"/>
                <w:szCs w:val="20"/>
                <w:lang w:val="fr"/>
              </w:rPr>
              <w:t>7 868,4</w:t>
            </w:r>
          </w:p>
        </w:tc>
      </w:tr>
      <w:tr w:rsidR="00F65F7C" w:rsidRPr="00152C75" w14:paraId="28BADC21" w14:textId="77777777" w:rsidTr="006B1FAA">
        <w:tc>
          <w:tcPr>
            <w:tcW w:w="13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12204D" w14:textId="77777777" w:rsidR="00F65F7C" w:rsidRPr="00152C75" w:rsidRDefault="00F65F7C" w:rsidP="006B1FAA">
            <w:pPr>
              <w:widowControl w:val="0"/>
              <w:ind w:left="98"/>
              <w:jc w:val="left"/>
              <w:rPr>
                <w:color w:val="000000"/>
                <w:sz w:val="20"/>
                <w:szCs w:val="20"/>
              </w:rPr>
            </w:pPr>
            <w:r>
              <w:rPr>
                <w:color w:val="000000"/>
                <w:sz w:val="20"/>
                <w:szCs w:val="20"/>
                <w:lang w:val="fr"/>
              </w:rPr>
              <w:t>HCFC-225**</w:t>
            </w:r>
          </w:p>
        </w:tc>
        <w:tc>
          <w:tcPr>
            <w:tcW w:w="682" w:type="pct"/>
            <w:tcBorders>
              <w:top w:val="nil"/>
              <w:left w:val="nil"/>
              <w:bottom w:val="single" w:sz="4" w:space="0" w:color="auto"/>
              <w:right w:val="single" w:sz="4" w:space="0" w:color="auto"/>
            </w:tcBorders>
            <w:shd w:val="clear" w:color="auto" w:fill="auto"/>
            <w:noWrap/>
          </w:tcPr>
          <w:p w14:paraId="286DFE45" w14:textId="77777777" w:rsidR="00F65F7C" w:rsidRPr="00152C75" w:rsidRDefault="00F65F7C" w:rsidP="006B1FAA">
            <w:pPr>
              <w:widowControl w:val="0"/>
              <w:tabs>
                <w:tab w:val="left" w:pos="430"/>
              </w:tabs>
              <w:ind w:left="-137" w:right="63"/>
              <w:jc w:val="right"/>
              <w:rPr>
                <w:sz w:val="20"/>
                <w:szCs w:val="20"/>
              </w:rPr>
            </w:pPr>
            <w:r>
              <w:rPr>
                <w:sz w:val="20"/>
                <w:szCs w:val="20"/>
                <w:lang w:val="fr"/>
              </w:rPr>
              <w:t>55,50</w:t>
            </w:r>
          </w:p>
        </w:tc>
        <w:tc>
          <w:tcPr>
            <w:tcW w:w="531" w:type="pct"/>
            <w:tcBorders>
              <w:top w:val="nil"/>
              <w:left w:val="nil"/>
              <w:bottom w:val="single" w:sz="4" w:space="0" w:color="auto"/>
              <w:right w:val="single" w:sz="4" w:space="0" w:color="auto"/>
            </w:tcBorders>
            <w:shd w:val="clear" w:color="auto" w:fill="auto"/>
            <w:noWrap/>
          </w:tcPr>
          <w:p w14:paraId="1EC05DCF" w14:textId="77777777" w:rsidR="00F65F7C" w:rsidRPr="00152C75" w:rsidRDefault="00F65F7C" w:rsidP="006B1FAA">
            <w:pPr>
              <w:widowControl w:val="0"/>
              <w:tabs>
                <w:tab w:val="left" w:pos="430"/>
              </w:tabs>
              <w:ind w:left="-137" w:right="63"/>
              <w:jc w:val="right"/>
              <w:rPr>
                <w:sz w:val="20"/>
                <w:szCs w:val="20"/>
              </w:rPr>
            </w:pPr>
            <w:r>
              <w:rPr>
                <w:sz w:val="20"/>
                <w:szCs w:val="20"/>
                <w:lang w:val="fr"/>
              </w:rPr>
              <w:t>0,00</w:t>
            </w:r>
          </w:p>
        </w:tc>
        <w:tc>
          <w:tcPr>
            <w:tcW w:w="530" w:type="pct"/>
            <w:tcBorders>
              <w:top w:val="nil"/>
              <w:left w:val="nil"/>
              <w:bottom w:val="single" w:sz="4" w:space="0" w:color="auto"/>
              <w:right w:val="single" w:sz="4" w:space="0" w:color="auto"/>
            </w:tcBorders>
            <w:shd w:val="clear" w:color="auto" w:fill="auto"/>
            <w:noWrap/>
          </w:tcPr>
          <w:p w14:paraId="54DB7F47" w14:textId="77777777" w:rsidR="00F65F7C" w:rsidRPr="00152C75" w:rsidRDefault="00F65F7C" w:rsidP="006B1FAA">
            <w:pPr>
              <w:widowControl w:val="0"/>
              <w:tabs>
                <w:tab w:val="left" w:pos="430"/>
              </w:tabs>
              <w:ind w:left="-137" w:right="63"/>
              <w:jc w:val="right"/>
              <w:rPr>
                <w:color w:val="000000"/>
                <w:sz w:val="20"/>
                <w:szCs w:val="20"/>
              </w:rPr>
            </w:pPr>
            <w:r>
              <w:rPr>
                <w:color w:val="000000"/>
                <w:sz w:val="20"/>
                <w:szCs w:val="20"/>
                <w:lang w:val="fr"/>
              </w:rPr>
              <w:t>-254,49</w:t>
            </w:r>
          </w:p>
        </w:tc>
        <w:tc>
          <w:tcPr>
            <w:tcW w:w="605" w:type="pct"/>
            <w:tcBorders>
              <w:top w:val="single" w:sz="4" w:space="0" w:color="auto"/>
              <w:left w:val="nil"/>
              <w:bottom w:val="single" w:sz="4" w:space="0" w:color="auto"/>
              <w:right w:val="single" w:sz="4" w:space="0" w:color="auto"/>
            </w:tcBorders>
          </w:tcPr>
          <w:p w14:paraId="03AE9FA9" w14:textId="77777777" w:rsidR="00F65F7C" w:rsidRPr="00152C75" w:rsidRDefault="00F65F7C" w:rsidP="006B1FAA">
            <w:pPr>
              <w:widowControl w:val="0"/>
              <w:tabs>
                <w:tab w:val="left" w:pos="430"/>
              </w:tabs>
              <w:ind w:left="-137" w:right="63"/>
              <w:jc w:val="right"/>
              <w:rPr>
                <w:color w:val="000000"/>
                <w:sz w:val="20"/>
                <w:szCs w:val="20"/>
              </w:rPr>
            </w:pPr>
            <w:r>
              <w:rPr>
                <w:color w:val="000000"/>
                <w:sz w:val="20"/>
                <w:szCs w:val="20"/>
                <w:lang w:val="fr"/>
              </w:rPr>
              <w:t>-44,26</w:t>
            </w:r>
          </w:p>
        </w:tc>
        <w:tc>
          <w:tcPr>
            <w:tcW w:w="682" w:type="pct"/>
            <w:tcBorders>
              <w:top w:val="nil"/>
              <w:left w:val="single" w:sz="4" w:space="0" w:color="auto"/>
              <w:bottom w:val="single" w:sz="4" w:space="0" w:color="auto"/>
              <w:right w:val="single" w:sz="4" w:space="0" w:color="auto"/>
            </w:tcBorders>
          </w:tcPr>
          <w:p w14:paraId="5D2FDA34" w14:textId="77777777" w:rsidR="00F65F7C" w:rsidRPr="00152C75" w:rsidRDefault="00F65F7C" w:rsidP="006B1FAA">
            <w:pPr>
              <w:widowControl w:val="0"/>
              <w:tabs>
                <w:tab w:val="left" w:pos="430"/>
              </w:tabs>
              <w:ind w:left="-137" w:right="63"/>
              <w:jc w:val="right"/>
              <w:rPr>
                <w:color w:val="000000"/>
                <w:sz w:val="20"/>
                <w:szCs w:val="20"/>
              </w:rPr>
            </w:pPr>
            <w:r>
              <w:rPr>
                <w:color w:val="000000"/>
                <w:sz w:val="20"/>
                <w:szCs w:val="20"/>
                <w:lang w:val="fr"/>
              </w:rPr>
              <w:t>10,09</w:t>
            </w:r>
          </w:p>
        </w:tc>
        <w:tc>
          <w:tcPr>
            <w:tcW w:w="604" w:type="pct"/>
            <w:tcBorders>
              <w:top w:val="nil"/>
              <w:left w:val="single" w:sz="4" w:space="0" w:color="auto"/>
              <w:bottom w:val="single" w:sz="4" w:space="0" w:color="auto"/>
              <w:right w:val="single" w:sz="4" w:space="0" w:color="auto"/>
            </w:tcBorders>
            <w:shd w:val="clear" w:color="auto" w:fill="auto"/>
            <w:noWrap/>
          </w:tcPr>
          <w:p w14:paraId="0FD2E57E" w14:textId="77777777" w:rsidR="00F65F7C" w:rsidRPr="00152C75" w:rsidRDefault="00F65F7C" w:rsidP="006B1FAA">
            <w:pPr>
              <w:widowControl w:val="0"/>
              <w:tabs>
                <w:tab w:val="left" w:pos="430"/>
              </w:tabs>
              <w:ind w:left="-137" w:right="63"/>
              <w:jc w:val="right"/>
              <w:rPr>
                <w:color w:val="000000"/>
                <w:sz w:val="20"/>
                <w:szCs w:val="20"/>
              </w:rPr>
            </w:pPr>
            <w:r>
              <w:rPr>
                <w:color w:val="000000"/>
                <w:sz w:val="20"/>
                <w:szCs w:val="20"/>
                <w:lang w:val="fr"/>
              </w:rPr>
              <w:t>1 903,0</w:t>
            </w:r>
          </w:p>
        </w:tc>
      </w:tr>
      <w:tr w:rsidR="00F65F7C" w:rsidRPr="00152C75" w14:paraId="758A636B" w14:textId="77777777" w:rsidTr="006B1FAA">
        <w:tc>
          <w:tcPr>
            <w:tcW w:w="136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39BB129" w14:textId="77777777" w:rsidR="00F65F7C" w:rsidRPr="00152C75" w:rsidRDefault="00F65F7C" w:rsidP="006B1FAA">
            <w:pPr>
              <w:ind w:left="98"/>
              <w:jc w:val="left"/>
              <w:rPr>
                <w:rFonts w:eastAsiaTheme="minorHAnsi"/>
                <w:b/>
                <w:color w:val="000000"/>
                <w:sz w:val="20"/>
                <w:szCs w:val="20"/>
              </w:rPr>
            </w:pPr>
            <w:r>
              <w:rPr>
                <w:b/>
                <w:bCs/>
                <w:color w:val="000000"/>
                <w:sz w:val="20"/>
                <w:szCs w:val="20"/>
                <w:lang w:val="fr"/>
              </w:rPr>
              <w:t>Total (</w:t>
            </w:r>
            <w:proofErr w:type="spellStart"/>
            <w:r>
              <w:rPr>
                <w:b/>
                <w:bCs/>
                <w:color w:val="000000"/>
                <w:sz w:val="20"/>
                <w:szCs w:val="20"/>
                <w:lang w:val="fr"/>
              </w:rPr>
              <w:t>tm</w:t>
            </w:r>
            <w:proofErr w:type="spellEnd"/>
            <w:r>
              <w:rPr>
                <w:b/>
                <w:bCs/>
                <w:color w:val="000000"/>
                <w:sz w:val="20"/>
                <w:szCs w:val="20"/>
                <w:lang w:val="fr"/>
              </w:rPr>
              <w:t>)</w:t>
            </w:r>
          </w:p>
        </w:tc>
        <w:tc>
          <w:tcPr>
            <w:tcW w:w="682" w:type="pct"/>
            <w:tcBorders>
              <w:top w:val="nil"/>
              <w:left w:val="nil"/>
              <w:bottom w:val="single" w:sz="4" w:space="0" w:color="auto"/>
              <w:right w:val="single" w:sz="4" w:space="0" w:color="auto"/>
            </w:tcBorders>
            <w:shd w:val="clear" w:color="auto" w:fill="auto"/>
            <w:noWrap/>
          </w:tcPr>
          <w:p w14:paraId="26E83D33" w14:textId="77777777" w:rsidR="00F65F7C" w:rsidRPr="00152C75" w:rsidRDefault="00F65F7C" w:rsidP="006B1FAA">
            <w:pPr>
              <w:widowControl w:val="0"/>
              <w:tabs>
                <w:tab w:val="left" w:pos="430"/>
              </w:tabs>
              <w:ind w:left="-137" w:right="63"/>
              <w:jc w:val="right"/>
              <w:rPr>
                <w:b/>
                <w:color w:val="000000"/>
                <w:sz w:val="20"/>
                <w:szCs w:val="20"/>
              </w:rPr>
            </w:pPr>
            <w:r>
              <w:rPr>
                <w:b/>
                <w:bCs/>
                <w:color w:val="000000"/>
                <w:sz w:val="20"/>
                <w:szCs w:val="20"/>
                <w:lang w:val="fr"/>
              </w:rPr>
              <w:t>13 615,61</w:t>
            </w:r>
          </w:p>
        </w:tc>
        <w:tc>
          <w:tcPr>
            <w:tcW w:w="531" w:type="pct"/>
            <w:tcBorders>
              <w:top w:val="nil"/>
              <w:left w:val="nil"/>
              <w:bottom w:val="single" w:sz="4" w:space="0" w:color="auto"/>
              <w:right w:val="single" w:sz="4" w:space="0" w:color="auto"/>
            </w:tcBorders>
            <w:shd w:val="clear" w:color="auto" w:fill="auto"/>
            <w:noWrap/>
          </w:tcPr>
          <w:p w14:paraId="3680960F" w14:textId="77777777" w:rsidR="00F65F7C" w:rsidRPr="00152C75" w:rsidRDefault="00F65F7C" w:rsidP="006B1FAA">
            <w:pPr>
              <w:widowControl w:val="0"/>
              <w:tabs>
                <w:tab w:val="left" w:pos="430"/>
              </w:tabs>
              <w:ind w:left="-137" w:right="63"/>
              <w:jc w:val="right"/>
              <w:rPr>
                <w:b/>
                <w:color w:val="000000"/>
                <w:sz w:val="20"/>
                <w:szCs w:val="20"/>
              </w:rPr>
            </w:pPr>
            <w:r>
              <w:rPr>
                <w:b/>
                <w:bCs/>
                <w:color w:val="000000"/>
                <w:sz w:val="20"/>
                <w:szCs w:val="20"/>
                <w:lang w:val="fr"/>
              </w:rPr>
              <w:t>5 417,18</w:t>
            </w:r>
          </w:p>
        </w:tc>
        <w:tc>
          <w:tcPr>
            <w:tcW w:w="530" w:type="pct"/>
            <w:tcBorders>
              <w:top w:val="nil"/>
              <w:left w:val="nil"/>
              <w:bottom w:val="single" w:sz="4" w:space="0" w:color="auto"/>
              <w:right w:val="single" w:sz="4" w:space="0" w:color="auto"/>
            </w:tcBorders>
            <w:shd w:val="clear" w:color="auto" w:fill="auto"/>
            <w:noWrap/>
          </w:tcPr>
          <w:p w14:paraId="7E0990B1" w14:textId="77777777" w:rsidR="00F65F7C" w:rsidRPr="00152C75" w:rsidRDefault="00F65F7C" w:rsidP="006B1FAA">
            <w:pPr>
              <w:widowControl w:val="0"/>
              <w:tabs>
                <w:tab w:val="left" w:pos="430"/>
              </w:tabs>
              <w:ind w:left="-137" w:right="63"/>
              <w:jc w:val="right"/>
              <w:rPr>
                <w:b/>
                <w:color w:val="000000"/>
                <w:sz w:val="20"/>
                <w:szCs w:val="20"/>
              </w:rPr>
            </w:pPr>
            <w:r>
              <w:rPr>
                <w:b/>
                <w:bCs/>
                <w:color w:val="000000"/>
                <w:sz w:val="20"/>
                <w:szCs w:val="20"/>
                <w:lang w:val="fr"/>
              </w:rPr>
              <w:t>4 071,69</w:t>
            </w:r>
          </w:p>
        </w:tc>
        <w:tc>
          <w:tcPr>
            <w:tcW w:w="605" w:type="pct"/>
            <w:tcBorders>
              <w:top w:val="single" w:sz="4" w:space="0" w:color="auto"/>
              <w:left w:val="nil"/>
              <w:bottom w:val="single" w:sz="4" w:space="0" w:color="auto"/>
              <w:right w:val="single" w:sz="4" w:space="0" w:color="auto"/>
            </w:tcBorders>
          </w:tcPr>
          <w:p w14:paraId="5000CEEF" w14:textId="77777777" w:rsidR="00F65F7C" w:rsidRPr="00152C75" w:rsidRDefault="00F65F7C" w:rsidP="006B1FAA">
            <w:pPr>
              <w:widowControl w:val="0"/>
              <w:tabs>
                <w:tab w:val="left" w:pos="430"/>
              </w:tabs>
              <w:ind w:left="-137" w:right="63"/>
              <w:jc w:val="right"/>
              <w:rPr>
                <w:b/>
                <w:color w:val="000000"/>
                <w:sz w:val="20"/>
                <w:szCs w:val="20"/>
              </w:rPr>
            </w:pPr>
            <w:r>
              <w:rPr>
                <w:b/>
                <w:bCs/>
                <w:color w:val="000000"/>
                <w:sz w:val="20"/>
                <w:szCs w:val="20"/>
                <w:lang w:val="fr"/>
              </w:rPr>
              <w:t>6 349,67</w:t>
            </w:r>
          </w:p>
        </w:tc>
        <w:tc>
          <w:tcPr>
            <w:tcW w:w="682" w:type="pct"/>
            <w:tcBorders>
              <w:top w:val="nil"/>
              <w:left w:val="single" w:sz="4" w:space="0" w:color="auto"/>
              <w:bottom w:val="single" w:sz="4" w:space="0" w:color="auto"/>
              <w:right w:val="single" w:sz="4" w:space="0" w:color="auto"/>
            </w:tcBorders>
          </w:tcPr>
          <w:p w14:paraId="4A0F91BF" w14:textId="77777777" w:rsidR="00F65F7C" w:rsidRPr="00152C75" w:rsidRDefault="00F65F7C" w:rsidP="006B1FAA">
            <w:pPr>
              <w:widowControl w:val="0"/>
              <w:tabs>
                <w:tab w:val="left" w:pos="430"/>
              </w:tabs>
              <w:ind w:left="-137" w:right="63"/>
              <w:jc w:val="right"/>
              <w:rPr>
                <w:b/>
                <w:color w:val="000000"/>
                <w:sz w:val="20"/>
                <w:szCs w:val="20"/>
              </w:rPr>
            </w:pPr>
            <w:r>
              <w:rPr>
                <w:b/>
                <w:bCs/>
                <w:color w:val="000000"/>
                <w:sz w:val="20"/>
                <w:szCs w:val="20"/>
                <w:lang w:val="fr"/>
              </w:rPr>
              <w:t>5 903,43</w:t>
            </w:r>
          </w:p>
        </w:tc>
        <w:tc>
          <w:tcPr>
            <w:tcW w:w="604" w:type="pct"/>
            <w:tcBorders>
              <w:top w:val="nil"/>
              <w:left w:val="single" w:sz="4" w:space="0" w:color="auto"/>
              <w:bottom w:val="single" w:sz="4" w:space="0" w:color="auto"/>
              <w:right w:val="single" w:sz="4" w:space="0" w:color="auto"/>
            </w:tcBorders>
            <w:shd w:val="clear" w:color="auto" w:fill="auto"/>
            <w:noWrap/>
          </w:tcPr>
          <w:p w14:paraId="52572DF1" w14:textId="77777777" w:rsidR="00F65F7C" w:rsidRPr="00152C75" w:rsidRDefault="00F65F7C" w:rsidP="006B1FAA">
            <w:pPr>
              <w:widowControl w:val="0"/>
              <w:tabs>
                <w:tab w:val="left" w:pos="430"/>
              </w:tabs>
              <w:ind w:left="-137" w:right="63"/>
              <w:jc w:val="right"/>
              <w:rPr>
                <w:b/>
                <w:color w:val="000000"/>
                <w:sz w:val="20"/>
                <w:szCs w:val="20"/>
              </w:rPr>
            </w:pPr>
            <w:r>
              <w:rPr>
                <w:b/>
                <w:bCs/>
                <w:color w:val="000000"/>
                <w:sz w:val="20"/>
                <w:szCs w:val="20"/>
                <w:lang w:val="fr"/>
              </w:rPr>
              <w:t>21 504,4</w:t>
            </w:r>
          </w:p>
        </w:tc>
      </w:tr>
      <w:tr w:rsidR="00F65F7C" w:rsidRPr="00152C75" w14:paraId="15408F9F" w14:textId="77777777" w:rsidTr="006B1FAA">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914FD26" w14:textId="77777777" w:rsidR="00F65F7C" w:rsidRPr="00152C75" w:rsidRDefault="00F65F7C" w:rsidP="006B1FAA">
            <w:pPr>
              <w:keepNext/>
              <w:ind w:left="98"/>
              <w:jc w:val="left"/>
              <w:rPr>
                <w:color w:val="000000"/>
                <w:sz w:val="20"/>
                <w:szCs w:val="20"/>
              </w:rPr>
            </w:pPr>
            <w:r>
              <w:rPr>
                <w:b/>
                <w:bCs/>
                <w:color w:val="000000"/>
                <w:sz w:val="20"/>
                <w:szCs w:val="20"/>
                <w:lang w:val="fr"/>
              </w:rPr>
              <w:t>Tonnes PAO</w:t>
            </w:r>
          </w:p>
        </w:tc>
      </w:tr>
      <w:tr w:rsidR="00F65F7C" w:rsidRPr="00152C75" w14:paraId="78FF7F69" w14:textId="77777777" w:rsidTr="006B1FAA">
        <w:tc>
          <w:tcPr>
            <w:tcW w:w="13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D2810E" w14:textId="77777777" w:rsidR="00F65F7C" w:rsidRPr="00152C75" w:rsidRDefault="00F65F7C" w:rsidP="006B1FAA">
            <w:pPr>
              <w:widowControl w:val="0"/>
              <w:ind w:left="98"/>
              <w:jc w:val="left"/>
              <w:rPr>
                <w:color w:val="000000"/>
                <w:sz w:val="20"/>
                <w:szCs w:val="20"/>
              </w:rPr>
            </w:pPr>
            <w:r>
              <w:rPr>
                <w:color w:val="000000"/>
                <w:sz w:val="20"/>
                <w:szCs w:val="20"/>
                <w:lang w:val="fr"/>
              </w:rPr>
              <w:t>HCFC-22</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14:paraId="6EADDC10" w14:textId="77777777" w:rsidR="00F65F7C" w:rsidRPr="00152C75" w:rsidRDefault="00F65F7C" w:rsidP="006B1FAA">
            <w:pPr>
              <w:widowControl w:val="0"/>
              <w:ind w:left="-279" w:right="63"/>
              <w:jc w:val="right"/>
              <w:rPr>
                <w:color w:val="000000"/>
                <w:sz w:val="20"/>
                <w:szCs w:val="20"/>
              </w:rPr>
            </w:pPr>
            <w:r>
              <w:rPr>
                <w:color w:val="000000"/>
                <w:sz w:val="20"/>
                <w:szCs w:val="20"/>
                <w:lang w:val="fr"/>
              </w:rPr>
              <w:t>549,37</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1EE033D2" w14:textId="77777777" w:rsidR="00F65F7C" w:rsidRPr="00152C75" w:rsidRDefault="00F65F7C" w:rsidP="006B1FAA">
            <w:pPr>
              <w:widowControl w:val="0"/>
              <w:ind w:left="-279" w:right="63"/>
              <w:jc w:val="right"/>
              <w:rPr>
                <w:color w:val="000000"/>
                <w:sz w:val="20"/>
                <w:szCs w:val="20"/>
              </w:rPr>
            </w:pPr>
            <w:r>
              <w:rPr>
                <w:color w:val="000000"/>
                <w:sz w:val="20"/>
                <w:szCs w:val="20"/>
                <w:lang w:val="fr"/>
              </w:rPr>
              <w:t>297,23</w:t>
            </w:r>
          </w:p>
        </w:tc>
        <w:tc>
          <w:tcPr>
            <w:tcW w:w="530" w:type="pct"/>
            <w:tcBorders>
              <w:top w:val="single" w:sz="4" w:space="0" w:color="auto"/>
              <w:left w:val="single" w:sz="4" w:space="0" w:color="auto"/>
              <w:bottom w:val="single" w:sz="4" w:space="0" w:color="auto"/>
              <w:right w:val="single" w:sz="4" w:space="0" w:color="auto"/>
            </w:tcBorders>
            <w:shd w:val="clear" w:color="auto" w:fill="auto"/>
            <w:noWrap/>
          </w:tcPr>
          <w:p w14:paraId="1A30C93F" w14:textId="77777777" w:rsidR="00F65F7C" w:rsidRPr="00152C75" w:rsidRDefault="00F65F7C" w:rsidP="006B1FAA">
            <w:pPr>
              <w:widowControl w:val="0"/>
              <w:ind w:left="-279" w:right="63"/>
              <w:jc w:val="right"/>
              <w:rPr>
                <w:color w:val="000000"/>
                <w:sz w:val="20"/>
                <w:szCs w:val="20"/>
              </w:rPr>
            </w:pPr>
            <w:r>
              <w:rPr>
                <w:color w:val="000000"/>
                <w:sz w:val="20"/>
                <w:szCs w:val="20"/>
                <w:lang w:val="fr"/>
              </w:rPr>
              <w:t>235,34</w:t>
            </w:r>
          </w:p>
        </w:tc>
        <w:tc>
          <w:tcPr>
            <w:tcW w:w="605" w:type="pct"/>
            <w:tcBorders>
              <w:top w:val="single" w:sz="4" w:space="0" w:color="auto"/>
              <w:left w:val="single" w:sz="4" w:space="0" w:color="auto"/>
              <w:bottom w:val="single" w:sz="4" w:space="0" w:color="auto"/>
              <w:right w:val="single" w:sz="4" w:space="0" w:color="auto"/>
            </w:tcBorders>
          </w:tcPr>
          <w:p w14:paraId="5CA53413" w14:textId="77777777" w:rsidR="00F65F7C" w:rsidRPr="00152C75" w:rsidRDefault="00F65F7C" w:rsidP="006B1FAA">
            <w:pPr>
              <w:widowControl w:val="0"/>
              <w:ind w:left="-279" w:right="63"/>
              <w:jc w:val="right"/>
              <w:rPr>
                <w:color w:val="000000"/>
                <w:sz w:val="20"/>
                <w:szCs w:val="20"/>
              </w:rPr>
            </w:pPr>
            <w:r>
              <w:rPr>
                <w:color w:val="000000"/>
                <w:sz w:val="20"/>
                <w:szCs w:val="20"/>
                <w:lang w:val="fr"/>
              </w:rPr>
              <w:t>342,13</w:t>
            </w:r>
          </w:p>
        </w:tc>
        <w:tc>
          <w:tcPr>
            <w:tcW w:w="682" w:type="pct"/>
            <w:tcBorders>
              <w:top w:val="single" w:sz="4" w:space="0" w:color="auto"/>
              <w:left w:val="single" w:sz="4" w:space="0" w:color="auto"/>
              <w:bottom w:val="single" w:sz="4" w:space="0" w:color="auto"/>
              <w:right w:val="single" w:sz="4" w:space="0" w:color="auto"/>
            </w:tcBorders>
          </w:tcPr>
          <w:p w14:paraId="48CBB3F7" w14:textId="77777777" w:rsidR="00F65F7C" w:rsidRPr="00152C75" w:rsidRDefault="00F65F7C" w:rsidP="006B1FAA">
            <w:pPr>
              <w:widowControl w:val="0"/>
              <w:ind w:left="-279" w:right="63"/>
              <w:jc w:val="right"/>
              <w:rPr>
                <w:color w:val="000000"/>
                <w:sz w:val="20"/>
                <w:szCs w:val="20"/>
              </w:rPr>
            </w:pPr>
            <w:r>
              <w:rPr>
                <w:color w:val="000000"/>
                <w:sz w:val="20"/>
                <w:szCs w:val="20"/>
                <w:lang w:val="fr"/>
              </w:rPr>
              <w:t>320,05</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49C3D642" w14:textId="77777777" w:rsidR="00F65F7C" w:rsidRPr="00152C75" w:rsidRDefault="00F65F7C" w:rsidP="006B1FAA">
            <w:pPr>
              <w:widowControl w:val="0"/>
              <w:ind w:left="-279" w:right="63"/>
              <w:jc w:val="right"/>
              <w:rPr>
                <w:color w:val="000000"/>
                <w:sz w:val="20"/>
                <w:szCs w:val="20"/>
              </w:rPr>
            </w:pPr>
            <w:r>
              <w:rPr>
                <w:color w:val="000000"/>
                <w:sz w:val="20"/>
                <w:szCs w:val="20"/>
                <w:lang w:val="fr"/>
              </w:rPr>
              <w:t>602,0</w:t>
            </w:r>
          </w:p>
        </w:tc>
      </w:tr>
      <w:tr w:rsidR="00F65F7C" w:rsidRPr="00152C75" w14:paraId="41D3D461" w14:textId="77777777" w:rsidTr="006B1FAA">
        <w:tc>
          <w:tcPr>
            <w:tcW w:w="13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C7CC63" w14:textId="77777777" w:rsidR="00F65F7C" w:rsidRPr="00152C75" w:rsidRDefault="00F65F7C" w:rsidP="006B1FAA">
            <w:pPr>
              <w:widowControl w:val="0"/>
              <w:ind w:left="98"/>
              <w:jc w:val="left"/>
              <w:rPr>
                <w:color w:val="000000"/>
                <w:sz w:val="20"/>
                <w:szCs w:val="20"/>
              </w:rPr>
            </w:pPr>
            <w:r>
              <w:rPr>
                <w:color w:val="000000"/>
                <w:sz w:val="20"/>
                <w:szCs w:val="20"/>
                <w:lang w:val="fr"/>
              </w:rPr>
              <w:t>HCFC-123</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14:paraId="17F8EBE0" w14:textId="77777777" w:rsidR="00F65F7C" w:rsidRPr="00152C75" w:rsidRDefault="00F65F7C" w:rsidP="006B1FAA">
            <w:pPr>
              <w:widowControl w:val="0"/>
              <w:ind w:left="-279" w:right="63"/>
              <w:jc w:val="right"/>
              <w:rPr>
                <w:color w:val="000000"/>
                <w:sz w:val="20"/>
                <w:szCs w:val="20"/>
              </w:rPr>
            </w:pPr>
            <w:r>
              <w:rPr>
                <w:color w:val="000000"/>
                <w:sz w:val="20"/>
                <w:szCs w:val="20"/>
                <w:lang w:val="fr"/>
              </w:rPr>
              <w:t>1,55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437DB83B" w14:textId="77777777" w:rsidR="00F65F7C" w:rsidRPr="00152C75" w:rsidRDefault="00F65F7C" w:rsidP="006B1FAA">
            <w:pPr>
              <w:widowControl w:val="0"/>
              <w:ind w:left="-279" w:right="63"/>
              <w:jc w:val="right"/>
              <w:rPr>
                <w:color w:val="000000"/>
                <w:sz w:val="20"/>
                <w:szCs w:val="20"/>
              </w:rPr>
            </w:pPr>
            <w:r>
              <w:rPr>
                <w:color w:val="000000"/>
                <w:sz w:val="20"/>
                <w:szCs w:val="20"/>
                <w:lang w:val="fr"/>
              </w:rPr>
              <w:t>0,26</w:t>
            </w:r>
          </w:p>
        </w:tc>
        <w:tc>
          <w:tcPr>
            <w:tcW w:w="530" w:type="pct"/>
            <w:tcBorders>
              <w:top w:val="single" w:sz="4" w:space="0" w:color="auto"/>
              <w:left w:val="single" w:sz="4" w:space="0" w:color="auto"/>
              <w:bottom w:val="single" w:sz="4" w:space="0" w:color="auto"/>
              <w:right w:val="single" w:sz="4" w:space="0" w:color="auto"/>
            </w:tcBorders>
            <w:shd w:val="clear" w:color="auto" w:fill="auto"/>
            <w:noWrap/>
          </w:tcPr>
          <w:p w14:paraId="491190B1" w14:textId="77777777" w:rsidR="00F65F7C" w:rsidRPr="00152C75" w:rsidRDefault="00F65F7C" w:rsidP="006B1FAA">
            <w:pPr>
              <w:widowControl w:val="0"/>
              <w:ind w:left="-279" w:right="63"/>
              <w:jc w:val="right"/>
              <w:rPr>
                <w:color w:val="000000"/>
                <w:sz w:val="20"/>
                <w:szCs w:val="20"/>
              </w:rPr>
            </w:pPr>
            <w:r>
              <w:rPr>
                <w:color w:val="000000"/>
                <w:sz w:val="20"/>
                <w:szCs w:val="20"/>
                <w:lang w:val="fr"/>
              </w:rPr>
              <w:t>0,94</w:t>
            </w:r>
          </w:p>
        </w:tc>
        <w:tc>
          <w:tcPr>
            <w:tcW w:w="605" w:type="pct"/>
            <w:tcBorders>
              <w:top w:val="single" w:sz="4" w:space="0" w:color="auto"/>
              <w:left w:val="single" w:sz="4" w:space="0" w:color="auto"/>
              <w:bottom w:val="single" w:sz="4" w:space="0" w:color="auto"/>
              <w:right w:val="single" w:sz="4" w:space="0" w:color="auto"/>
            </w:tcBorders>
          </w:tcPr>
          <w:p w14:paraId="41E8A74C" w14:textId="77777777" w:rsidR="00F65F7C" w:rsidRPr="00152C75" w:rsidRDefault="00F65F7C" w:rsidP="006B1FAA">
            <w:pPr>
              <w:widowControl w:val="0"/>
              <w:ind w:left="-279" w:right="63"/>
              <w:jc w:val="right"/>
              <w:rPr>
                <w:color w:val="000000"/>
                <w:sz w:val="20"/>
                <w:szCs w:val="20"/>
              </w:rPr>
            </w:pPr>
            <w:r>
              <w:rPr>
                <w:color w:val="000000"/>
                <w:sz w:val="20"/>
                <w:szCs w:val="20"/>
                <w:lang w:val="fr"/>
              </w:rPr>
              <w:t>3,47</w:t>
            </w:r>
          </w:p>
        </w:tc>
        <w:tc>
          <w:tcPr>
            <w:tcW w:w="682" w:type="pct"/>
            <w:tcBorders>
              <w:top w:val="single" w:sz="4" w:space="0" w:color="auto"/>
              <w:left w:val="single" w:sz="4" w:space="0" w:color="auto"/>
              <w:bottom w:val="single" w:sz="4" w:space="0" w:color="auto"/>
              <w:right w:val="single" w:sz="4" w:space="0" w:color="auto"/>
            </w:tcBorders>
          </w:tcPr>
          <w:p w14:paraId="1566F603" w14:textId="77777777" w:rsidR="00F65F7C" w:rsidRPr="00152C75" w:rsidRDefault="00F65F7C" w:rsidP="006B1FAA">
            <w:pPr>
              <w:widowControl w:val="0"/>
              <w:ind w:left="-279" w:right="63"/>
              <w:jc w:val="right"/>
              <w:rPr>
                <w:color w:val="000000"/>
                <w:sz w:val="20"/>
                <w:szCs w:val="20"/>
              </w:rPr>
            </w:pPr>
            <w:r>
              <w:rPr>
                <w:color w:val="000000"/>
                <w:sz w:val="20"/>
                <w:szCs w:val="20"/>
                <w:lang w:val="fr"/>
              </w:rPr>
              <w:t>1,69</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29F89E0B" w14:textId="77777777" w:rsidR="00F65F7C" w:rsidRPr="00152C75" w:rsidRDefault="00F65F7C" w:rsidP="006B1FAA">
            <w:pPr>
              <w:widowControl w:val="0"/>
              <w:ind w:left="-279" w:right="63"/>
              <w:jc w:val="right"/>
              <w:rPr>
                <w:color w:val="000000"/>
                <w:sz w:val="20"/>
                <w:szCs w:val="20"/>
              </w:rPr>
            </w:pPr>
            <w:r>
              <w:rPr>
                <w:color w:val="000000"/>
                <w:sz w:val="20"/>
                <w:szCs w:val="20"/>
                <w:lang w:val="fr"/>
              </w:rPr>
              <w:t>3,5</w:t>
            </w:r>
          </w:p>
        </w:tc>
      </w:tr>
      <w:tr w:rsidR="00F65F7C" w:rsidRPr="00152C75" w14:paraId="4313B91E" w14:textId="77777777" w:rsidTr="006B1FAA">
        <w:tc>
          <w:tcPr>
            <w:tcW w:w="13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87528B" w14:textId="77777777" w:rsidR="00F65F7C" w:rsidRPr="00152C75" w:rsidRDefault="00F65F7C" w:rsidP="006B1FAA">
            <w:pPr>
              <w:widowControl w:val="0"/>
              <w:ind w:left="98"/>
              <w:jc w:val="left"/>
              <w:rPr>
                <w:color w:val="000000"/>
                <w:sz w:val="20"/>
                <w:szCs w:val="20"/>
              </w:rPr>
            </w:pPr>
            <w:r>
              <w:rPr>
                <w:color w:val="000000"/>
                <w:sz w:val="20"/>
                <w:szCs w:val="20"/>
                <w:lang w:val="fr"/>
              </w:rPr>
              <w:t>HCFC-141b</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14:paraId="40769F60" w14:textId="77777777" w:rsidR="00F65F7C" w:rsidRPr="00152C75" w:rsidRDefault="00F65F7C" w:rsidP="006B1FAA">
            <w:pPr>
              <w:widowControl w:val="0"/>
              <w:ind w:left="-279" w:right="63"/>
              <w:jc w:val="right"/>
              <w:rPr>
                <w:color w:val="000000"/>
                <w:sz w:val="20"/>
                <w:szCs w:val="20"/>
              </w:rPr>
            </w:pPr>
            <w:r>
              <w:rPr>
                <w:color w:val="000000"/>
                <w:sz w:val="20"/>
                <w:szCs w:val="20"/>
                <w:lang w:val="fr"/>
              </w:rPr>
              <w:t>384,36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21CCE98A" w14:textId="77777777" w:rsidR="00F65F7C" w:rsidRPr="00152C75" w:rsidRDefault="00F65F7C" w:rsidP="006B1FAA">
            <w:pPr>
              <w:widowControl w:val="0"/>
              <w:ind w:left="-279" w:right="63"/>
              <w:jc w:val="right"/>
              <w:rPr>
                <w:color w:val="000000"/>
                <w:sz w:val="20"/>
                <w:szCs w:val="20"/>
              </w:rPr>
            </w:pPr>
            <w:r>
              <w:rPr>
                <w:color w:val="000000"/>
                <w:sz w:val="20"/>
                <w:szCs w:val="20"/>
                <w:lang w:val="fr"/>
              </w:rPr>
              <w:t>0,00</w:t>
            </w:r>
          </w:p>
        </w:tc>
        <w:tc>
          <w:tcPr>
            <w:tcW w:w="530" w:type="pct"/>
            <w:tcBorders>
              <w:top w:val="single" w:sz="4" w:space="0" w:color="auto"/>
              <w:left w:val="single" w:sz="4" w:space="0" w:color="auto"/>
              <w:bottom w:val="single" w:sz="4" w:space="0" w:color="auto"/>
              <w:right w:val="single" w:sz="4" w:space="0" w:color="auto"/>
            </w:tcBorders>
            <w:shd w:val="clear" w:color="auto" w:fill="auto"/>
            <w:noWrap/>
          </w:tcPr>
          <w:p w14:paraId="4D28076F" w14:textId="77777777" w:rsidR="00F65F7C" w:rsidRPr="00152C75" w:rsidRDefault="00F65F7C" w:rsidP="006B1FAA">
            <w:pPr>
              <w:widowControl w:val="0"/>
              <w:ind w:left="-279" w:right="63"/>
              <w:jc w:val="right"/>
              <w:rPr>
                <w:color w:val="000000"/>
                <w:sz w:val="20"/>
                <w:szCs w:val="20"/>
              </w:rPr>
            </w:pPr>
            <w:r>
              <w:rPr>
                <w:color w:val="000000"/>
                <w:sz w:val="20"/>
                <w:szCs w:val="20"/>
                <w:lang w:val="fr"/>
              </w:rPr>
              <w:t>0,00</w:t>
            </w:r>
          </w:p>
        </w:tc>
        <w:tc>
          <w:tcPr>
            <w:tcW w:w="605" w:type="pct"/>
            <w:tcBorders>
              <w:top w:val="single" w:sz="4" w:space="0" w:color="auto"/>
              <w:left w:val="single" w:sz="4" w:space="0" w:color="auto"/>
              <w:bottom w:val="single" w:sz="4" w:space="0" w:color="auto"/>
              <w:right w:val="single" w:sz="4" w:space="0" w:color="auto"/>
            </w:tcBorders>
          </w:tcPr>
          <w:p w14:paraId="13B1FEED" w14:textId="77777777" w:rsidR="00F65F7C" w:rsidRPr="00152C75" w:rsidRDefault="00F65F7C" w:rsidP="006B1FAA">
            <w:pPr>
              <w:widowControl w:val="0"/>
              <w:ind w:left="-279" w:right="63"/>
              <w:jc w:val="right"/>
              <w:rPr>
                <w:color w:val="000000"/>
                <w:sz w:val="20"/>
                <w:szCs w:val="20"/>
              </w:rPr>
            </w:pPr>
            <w:r>
              <w:rPr>
                <w:color w:val="000000"/>
                <w:sz w:val="20"/>
                <w:szCs w:val="20"/>
                <w:lang w:val="fr"/>
              </w:rPr>
              <w:t>0,00</w:t>
            </w:r>
          </w:p>
        </w:tc>
        <w:tc>
          <w:tcPr>
            <w:tcW w:w="682" w:type="pct"/>
            <w:tcBorders>
              <w:top w:val="single" w:sz="4" w:space="0" w:color="auto"/>
              <w:left w:val="single" w:sz="4" w:space="0" w:color="auto"/>
              <w:bottom w:val="single" w:sz="4" w:space="0" w:color="auto"/>
              <w:right w:val="single" w:sz="4" w:space="0" w:color="auto"/>
            </w:tcBorders>
          </w:tcPr>
          <w:p w14:paraId="2E8D7628" w14:textId="77777777" w:rsidR="00F65F7C" w:rsidRPr="00152C75" w:rsidRDefault="00F65F7C" w:rsidP="006B1FAA">
            <w:pPr>
              <w:widowControl w:val="0"/>
              <w:ind w:left="-279" w:right="63"/>
              <w:jc w:val="right"/>
              <w:rPr>
                <w:color w:val="000000"/>
                <w:sz w:val="20"/>
                <w:szCs w:val="20"/>
              </w:rPr>
            </w:pPr>
            <w:r>
              <w:rPr>
                <w:color w:val="000000"/>
                <w:sz w:val="20"/>
                <w:szCs w:val="20"/>
                <w:lang w:val="fr"/>
              </w:rPr>
              <w:t>0,00</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03FAAEE2" w14:textId="77777777" w:rsidR="00F65F7C" w:rsidRPr="00152C75" w:rsidRDefault="00F65F7C" w:rsidP="006B1FAA">
            <w:pPr>
              <w:widowControl w:val="0"/>
              <w:ind w:left="-279" w:right="63"/>
              <w:jc w:val="right"/>
              <w:rPr>
                <w:color w:val="000000"/>
                <w:sz w:val="20"/>
                <w:szCs w:val="20"/>
              </w:rPr>
            </w:pPr>
            <w:r>
              <w:rPr>
                <w:color w:val="000000"/>
                <w:sz w:val="20"/>
                <w:szCs w:val="20"/>
                <w:lang w:val="fr"/>
              </w:rPr>
              <w:t>865,5</w:t>
            </w:r>
          </w:p>
        </w:tc>
      </w:tr>
      <w:tr w:rsidR="00F65F7C" w:rsidRPr="00152C75" w14:paraId="2C91536A" w14:textId="77777777" w:rsidTr="006B1FAA">
        <w:tc>
          <w:tcPr>
            <w:tcW w:w="13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B18365" w14:textId="77777777" w:rsidR="00F65F7C" w:rsidRPr="00152C75" w:rsidRDefault="00F65F7C" w:rsidP="006B1FAA">
            <w:pPr>
              <w:widowControl w:val="0"/>
              <w:ind w:left="98"/>
              <w:jc w:val="left"/>
              <w:rPr>
                <w:color w:val="000000"/>
                <w:sz w:val="20"/>
                <w:szCs w:val="20"/>
              </w:rPr>
            </w:pPr>
            <w:r>
              <w:rPr>
                <w:color w:val="000000"/>
                <w:sz w:val="20"/>
                <w:szCs w:val="20"/>
                <w:lang w:val="fr"/>
              </w:rPr>
              <w:t>HCFC-225**</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14:paraId="430AAF2E" w14:textId="77777777" w:rsidR="00F65F7C" w:rsidRPr="00152C75" w:rsidRDefault="00F65F7C" w:rsidP="006B1FAA">
            <w:pPr>
              <w:widowControl w:val="0"/>
              <w:ind w:left="-279" w:right="63"/>
              <w:jc w:val="right"/>
              <w:rPr>
                <w:color w:val="000000"/>
                <w:sz w:val="20"/>
                <w:szCs w:val="20"/>
              </w:rPr>
            </w:pPr>
            <w:r>
              <w:rPr>
                <w:color w:val="000000"/>
                <w:sz w:val="20"/>
                <w:szCs w:val="20"/>
                <w:lang w:val="fr"/>
              </w:rPr>
              <w:t>3,89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0BEF4A5C" w14:textId="77777777" w:rsidR="00F65F7C" w:rsidRPr="00152C75" w:rsidRDefault="00F65F7C" w:rsidP="006B1FAA">
            <w:pPr>
              <w:widowControl w:val="0"/>
              <w:ind w:left="-279" w:right="63"/>
              <w:jc w:val="right"/>
              <w:rPr>
                <w:color w:val="000000"/>
                <w:sz w:val="20"/>
                <w:szCs w:val="20"/>
              </w:rPr>
            </w:pPr>
            <w:r>
              <w:rPr>
                <w:color w:val="000000"/>
                <w:sz w:val="20"/>
                <w:szCs w:val="20"/>
                <w:lang w:val="fr"/>
              </w:rPr>
              <w:t>0,00</w:t>
            </w:r>
          </w:p>
        </w:tc>
        <w:tc>
          <w:tcPr>
            <w:tcW w:w="530" w:type="pct"/>
            <w:tcBorders>
              <w:top w:val="single" w:sz="4" w:space="0" w:color="auto"/>
              <w:left w:val="single" w:sz="4" w:space="0" w:color="auto"/>
              <w:bottom w:val="single" w:sz="4" w:space="0" w:color="auto"/>
              <w:right w:val="single" w:sz="4" w:space="0" w:color="auto"/>
            </w:tcBorders>
            <w:shd w:val="clear" w:color="auto" w:fill="auto"/>
            <w:noWrap/>
          </w:tcPr>
          <w:p w14:paraId="76046C4F" w14:textId="77777777" w:rsidR="00F65F7C" w:rsidRPr="00152C75" w:rsidRDefault="00F65F7C" w:rsidP="006B1FAA">
            <w:pPr>
              <w:widowControl w:val="0"/>
              <w:ind w:left="-279" w:right="63"/>
              <w:jc w:val="right"/>
              <w:rPr>
                <w:color w:val="000000"/>
                <w:sz w:val="20"/>
                <w:szCs w:val="20"/>
              </w:rPr>
            </w:pPr>
            <w:r>
              <w:rPr>
                <w:color w:val="000000"/>
                <w:sz w:val="20"/>
                <w:szCs w:val="20"/>
                <w:lang w:val="fr"/>
              </w:rPr>
              <w:t>-17,81</w:t>
            </w:r>
          </w:p>
        </w:tc>
        <w:tc>
          <w:tcPr>
            <w:tcW w:w="605" w:type="pct"/>
            <w:tcBorders>
              <w:top w:val="single" w:sz="4" w:space="0" w:color="auto"/>
              <w:left w:val="single" w:sz="4" w:space="0" w:color="auto"/>
              <w:bottom w:val="single" w:sz="4" w:space="0" w:color="auto"/>
              <w:right w:val="single" w:sz="4" w:space="0" w:color="auto"/>
            </w:tcBorders>
          </w:tcPr>
          <w:p w14:paraId="22BBF814" w14:textId="77777777" w:rsidR="00F65F7C" w:rsidRPr="00152C75" w:rsidRDefault="00F65F7C" w:rsidP="006B1FAA">
            <w:pPr>
              <w:widowControl w:val="0"/>
              <w:ind w:left="-279" w:right="63"/>
              <w:jc w:val="right"/>
              <w:rPr>
                <w:color w:val="000000"/>
                <w:sz w:val="20"/>
                <w:szCs w:val="20"/>
              </w:rPr>
            </w:pPr>
            <w:r>
              <w:rPr>
                <w:color w:val="000000"/>
                <w:sz w:val="20"/>
                <w:szCs w:val="20"/>
                <w:lang w:val="fr"/>
              </w:rPr>
              <w:t>-3,10</w:t>
            </w:r>
          </w:p>
        </w:tc>
        <w:tc>
          <w:tcPr>
            <w:tcW w:w="682" w:type="pct"/>
            <w:tcBorders>
              <w:top w:val="single" w:sz="4" w:space="0" w:color="auto"/>
              <w:left w:val="single" w:sz="4" w:space="0" w:color="auto"/>
              <w:bottom w:val="single" w:sz="4" w:space="0" w:color="auto"/>
              <w:right w:val="single" w:sz="4" w:space="0" w:color="auto"/>
            </w:tcBorders>
          </w:tcPr>
          <w:p w14:paraId="2028E7F7" w14:textId="77777777" w:rsidR="00F65F7C" w:rsidRPr="00152C75" w:rsidRDefault="00F65F7C" w:rsidP="006B1FAA">
            <w:pPr>
              <w:widowControl w:val="0"/>
              <w:ind w:left="-279" w:right="63"/>
              <w:jc w:val="right"/>
              <w:rPr>
                <w:color w:val="000000"/>
                <w:sz w:val="20"/>
                <w:szCs w:val="20"/>
              </w:rPr>
            </w:pPr>
            <w:r>
              <w:rPr>
                <w:color w:val="000000"/>
                <w:sz w:val="20"/>
                <w:szCs w:val="20"/>
                <w:lang w:val="fr"/>
              </w:rPr>
              <w:t>0,71*</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5C57BA42" w14:textId="77777777" w:rsidR="00F65F7C" w:rsidRPr="00152C75" w:rsidRDefault="00F65F7C" w:rsidP="006B1FAA">
            <w:pPr>
              <w:widowControl w:val="0"/>
              <w:ind w:left="-279" w:right="63"/>
              <w:jc w:val="right"/>
              <w:rPr>
                <w:color w:val="000000"/>
                <w:sz w:val="20"/>
                <w:szCs w:val="20"/>
              </w:rPr>
            </w:pPr>
            <w:r>
              <w:rPr>
                <w:color w:val="000000"/>
                <w:sz w:val="20"/>
                <w:szCs w:val="20"/>
                <w:lang w:val="fr"/>
              </w:rPr>
              <w:t>123,7</w:t>
            </w:r>
          </w:p>
        </w:tc>
      </w:tr>
      <w:tr w:rsidR="00F65F7C" w:rsidRPr="00152C75" w14:paraId="3426B55E" w14:textId="77777777" w:rsidTr="006B1FAA">
        <w:tc>
          <w:tcPr>
            <w:tcW w:w="13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E39D063" w14:textId="77777777" w:rsidR="00F65F7C" w:rsidRPr="00152C75" w:rsidRDefault="00F65F7C" w:rsidP="006B1FAA">
            <w:pPr>
              <w:ind w:left="98"/>
              <w:jc w:val="left"/>
              <w:rPr>
                <w:rFonts w:eastAsiaTheme="minorHAnsi"/>
                <w:b/>
                <w:sz w:val="20"/>
                <w:szCs w:val="20"/>
              </w:rPr>
            </w:pPr>
            <w:r>
              <w:rPr>
                <w:b/>
                <w:bCs/>
                <w:sz w:val="20"/>
                <w:szCs w:val="20"/>
                <w:lang w:val="fr"/>
              </w:rPr>
              <w:t>Total (tonnes PAO)</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14:paraId="6AFC5FB9" w14:textId="77777777" w:rsidR="00F65F7C" w:rsidRPr="00152C75" w:rsidRDefault="00F65F7C" w:rsidP="006B1FAA">
            <w:pPr>
              <w:widowControl w:val="0"/>
              <w:ind w:left="-279" w:right="63"/>
              <w:jc w:val="right"/>
              <w:rPr>
                <w:b/>
                <w:color w:val="000000"/>
                <w:sz w:val="20"/>
                <w:szCs w:val="20"/>
              </w:rPr>
            </w:pPr>
            <w:r>
              <w:rPr>
                <w:b/>
                <w:bCs/>
                <w:color w:val="000000"/>
                <w:sz w:val="20"/>
                <w:szCs w:val="20"/>
                <w:lang w:val="fr"/>
              </w:rPr>
              <w:t>939,16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6EF11C6A" w14:textId="77777777" w:rsidR="00F65F7C" w:rsidRPr="00152C75" w:rsidRDefault="00F65F7C" w:rsidP="006B1FAA">
            <w:pPr>
              <w:widowControl w:val="0"/>
              <w:ind w:left="-279" w:right="63"/>
              <w:jc w:val="right"/>
              <w:rPr>
                <w:b/>
                <w:color w:val="000000"/>
                <w:sz w:val="20"/>
                <w:szCs w:val="20"/>
              </w:rPr>
            </w:pPr>
            <w:r>
              <w:rPr>
                <w:b/>
                <w:bCs/>
                <w:color w:val="000000"/>
                <w:sz w:val="20"/>
                <w:szCs w:val="20"/>
                <w:lang w:val="fr"/>
              </w:rPr>
              <w:t>297,49</w:t>
            </w:r>
          </w:p>
        </w:tc>
        <w:tc>
          <w:tcPr>
            <w:tcW w:w="530" w:type="pct"/>
            <w:tcBorders>
              <w:top w:val="single" w:sz="4" w:space="0" w:color="auto"/>
              <w:left w:val="single" w:sz="4" w:space="0" w:color="auto"/>
              <w:bottom w:val="single" w:sz="4" w:space="0" w:color="auto"/>
              <w:right w:val="single" w:sz="4" w:space="0" w:color="auto"/>
            </w:tcBorders>
            <w:shd w:val="clear" w:color="auto" w:fill="auto"/>
            <w:noWrap/>
          </w:tcPr>
          <w:p w14:paraId="32DBF10A" w14:textId="77777777" w:rsidR="00F65F7C" w:rsidRPr="00152C75" w:rsidRDefault="00F65F7C" w:rsidP="006B1FAA">
            <w:pPr>
              <w:widowControl w:val="0"/>
              <w:ind w:left="-279" w:right="63"/>
              <w:jc w:val="right"/>
              <w:rPr>
                <w:b/>
                <w:color w:val="000000"/>
                <w:sz w:val="20"/>
                <w:szCs w:val="20"/>
              </w:rPr>
            </w:pPr>
            <w:r>
              <w:rPr>
                <w:b/>
                <w:bCs/>
                <w:color w:val="000000"/>
                <w:sz w:val="20"/>
                <w:szCs w:val="20"/>
                <w:lang w:val="fr"/>
              </w:rPr>
              <w:t>218,47</w:t>
            </w:r>
          </w:p>
        </w:tc>
        <w:tc>
          <w:tcPr>
            <w:tcW w:w="605" w:type="pct"/>
            <w:tcBorders>
              <w:top w:val="single" w:sz="4" w:space="0" w:color="auto"/>
              <w:left w:val="single" w:sz="4" w:space="0" w:color="auto"/>
              <w:bottom w:val="single" w:sz="4" w:space="0" w:color="auto"/>
              <w:right w:val="single" w:sz="4" w:space="0" w:color="auto"/>
            </w:tcBorders>
          </w:tcPr>
          <w:p w14:paraId="3ABAE114" w14:textId="77777777" w:rsidR="00F65F7C" w:rsidRPr="00152C75" w:rsidRDefault="00F65F7C" w:rsidP="006B1FAA">
            <w:pPr>
              <w:ind w:left="-279" w:right="63"/>
              <w:jc w:val="right"/>
              <w:rPr>
                <w:b/>
                <w:color w:val="000000"/>
                <w:sz w:val="20"/>
                <w:szCs w:val="20"/>
              </w:rPr>
            </w:pPr>
            <w:r>
              <w:rPr>
                <w:b/>
                <w:bCs/>
                <w:color w:val="000000"/>
                <w:sz w:val="20"/>
                <w:szCs w:val="20"/>
                <w:lang w:val="fr"/>
              </w:rPr>
              <w:t>342,50</w:t>
            </w:r>
          </w:p>
        </w:tc>
        <w:tc>
          <w:tcPr>
            <w:tcW w:w="682" w:type="pct"/>
            <w:tcBorders>
              <w:top w:val="single" w:sz="4" w:space="0" w:color="auto"/>
              <w:left w:val="single" w:sz="4" w:space="0" w:color="auto"/>
              <w:bottom w:val="single" w:sz="4" w:space="0" w:color="auto"/>
              <w:right w:val="single" w:sz="4" w:space="0" w:color="auto"/>
            </w:tcBorders>
          </w:tcPr>
          <w:p w14:paraId="2E598AF1" w14:textId="77777777" w:rsidR="00F65F7C" w:rsidRPr="00152C75" w:rsidRDefault="00F65F7C" w:rsidP="006B1FAA">
            <w:pPr>
              <w:ind w:left="-279" w:right="63"/>
              <w:jc w:val="right"/>
              <w:rPr>
                <w:b/>
                <w:color w:val="000000"/>
                <w:sz w:val="20"/>
                <w:szCs w:val="20"/>
              </w:rPr>
            </w:pPr>
            <w:r>
              <w:rPr>
                <w:b/>
                <w:bCs/>
                <w:color w:val="000000"/>
                <w:sz w:val="20"/>
                <w:szCs w:val="20"/>
                <w:lang w:val="fr"/>
              </w:rPr>
              <w:t>322,44</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3C340EC0" w14:textId="77777777" w:rsidR="00F65F7C" w:rsidRPr="00152C75" w:rsidRDefault="00F65F7C" w:rsidP="006B1FAA">
            <w:pPr>
              <w:ind w:left="-279" w:right="63"/>
              <w:jc w:val="right"/>
              <w:rPr>
                <w:rFonts w:eastAsiaTheme="minorHAnsi"/>
                <w:b/>
                <w:color w:val="000000"/>
                <w:sz w:val="20"/>
                <w:szCs w:val="20"/>
              </w:rPr>
            </w:pPr>
            <w:r>
              <w:rPr>
                <w:rFonts w:eastAsiaTheme="minorHAnsi"/>
                <w:b/>
                <w:bCs/>
                <w:color w:val="000000"/>
                <w:sz w:val="20"/>
                <w:szCs w:val="20"/>
                <w:lang w:val="fr"/>
              </w:rPr>
              <w:t>1 608,2</w:t>
            </w:r>
          </w:p>
        </w:tc>
      </w:tr>
    </w:tbl>
    <w:p w14:paraId="4C0893EA" w14:textId="6008845C" w:rsidR="00F65F7C" w:rsidRPr="00F65F7C" w:rsidRDefault="00F65F7C" w:rsidP="00F65F7C">
      <w:pPr>
        <w:rPr>
          <w:sz w:val="18"/>
          <w:szCs w:val="18"/>
          <w:lang w:val="fr-FR"/>
        </w:rPr>
      </w:pPr>
      <w:r>
        <w:rPr>
          <w:sz w:val="18"/>
          <w:szCs w:val="18"/>
          <w:lang w:val="fr"/>
        </w:rPr>
        <w:t>*Le total n’est pas juste en raison des arrondis.</w:t>
      </w:r>
    </w:p>
    <w:p w14:paraId="001F5DC4" w14:textId="1559CE3D" w:rsidR="00F65F7C" w:rsidRPr="00F65F7C" w:rsidRDefault="00F65F7C" w:rsidP="00F65F7C">
      <w:pPr>
        <w:rPr>
          <w:sz w:val="18"/>
          <w:szCs w:val="18"/>
          <w:lang w:val="fr-FR"/>
        </w:rPr>
      </w:pPr>
      <w:r>
        <w:rPr>
          <w:sz w:val="18"/>
          <w:szCs w:val="18"/>
          <w:lang w:val="fr"/>
        </w:rPr>
        <w:t>**L’Inde a produit d</w:t>
      </w:r>
      <w:r w:rsidR="00022BA0">
        <w:rPr>
          <w:sz w:val="18"/>
          <w:szCs w:val="18"/>
          <w:lang w:val="fr"/>
        </w:rPr>
        <w:t>u</w:t>
      </w:r>
      <w:r>
        <w:rPr>
          <w:sz w:val="18"/>
          <w:szCs w:val="18"/>
          <w:lang w:val="fr"/>
        </w:rPr>
        <w:t xml:space="preserve"> HCFC-225 en 2018, 2019, 2022 et 2023 </w:t>
      </w:r>
      <w:r w:rsidR="00EF4929">
        <w:rPr>
          <w:sz w:val="18"/>
          <w:szCs w:val="18"/>
          <w:lang w:val="fr"/>
        </w:rPr>
        <w:t xml:space="preserve">pour </w:t>
      </w:r>
      <w:r w:rsidR="007144C5">
        <w:rPr>
          <w:sz w:val="18"/>
          <w:szCs w:val="18"/>
          <w:lang w:val="fr"/>
        </w:rPr>
        <w:t>usage</w:t>
      </w:r>
      <w:r w:rsidR="00EF4929">
        <w:rPr>
          <w:sz w:val="18"/>
          <w:szCs w:val="18"/>
          <w:lang w:val="fr"/>
        </w:rPr>
        <w:t xml:space="preserve"> comme</w:t>
      </w:r>
      <w:r>
        <w:rPr>
          <w:sz w:val="18"/>
          <w:szCs w:val="18"/>
          <w:lang w:val="fr"/>
        </w:rPr>
        <w:t xml:space="preserve"> matière première. Les exportations de HCFC-225 en 2021 et 2022 étaient </w:t>
      </w:r>
      <w:r w:rsidR="007144C5">
        <w:rPr>
          <w:sz w:val="18"/>
          <w:szCs w:val="18"/>
          <w:lang w:val="fr"/>
        </w:rPr>
        <w:t>pour usage comme</w:t>
      </w:r>
      <w:r>
        <w:rPr>
          <w:sz w:val="18"/>
          <w:szCs w:val="18"/>
          <w:lang w:val="fr"/>
        </w:rPr>
        <w:t xml:space="preserve"> matières premières et avaient été produites partiellement en 2022 et les années précédentes.</w:t>
      </w:r>
    </w:p>
    <w:p w14:paraId="4E5CCEF1" w14:textId="10360879" w:rsidR="00F65F7C" w:rsidRPr="00F65F7C" w:rsidRDefault="00F65F7C" w:rsidP="00F65F7C">
      <w:pPr>
        <w:pStyle w:val="Heading1"/>
        <w:spacing w:before="240"/>
        <w:rPr>
          <w:rStyle w:val="normaltextrun"/>
          <w:lang w:val="fr-FR"/>
        </w:rPr>
      </w:pPr>
      <w:r>
        <w:rPr>
          <w:shd w:val="clear" w:color="auto" w:fill="FFFFFF"/>
          <w:lang w:val="fr"/>
        </w:rPr>
        <w:t xml:space="preserve">Une diminution globale de la consommation de HFC a été observée en 2020 et 2021 </w:t>
      </w:r>
      <w:r>
        <w:rPr>
          <w:rStyle w:val="normaltextrun"/>
          <w:shd w:val="clear" w:color="auto" w:fill="FFFFFF"/>
          <w:lang w:val="fr"/>
        </w:rPr>
        <w:t xml:space="preserve">en raison de la pandémie de COVID-19, suivie d’une augmentation en 2022 accompagnant la reprise économique. La diminution en 2023 était </w:t>
      </w:r>
      <w:r w:rsidR="00D85644">
        <w:rPr>
          <w:rStyle w:val="normaltextrun"/>
          <w:shd w:val="clear" w:color="auto" w:fill="FFFFFF"/>
          <w:lang w:val="fr"/>
        </w:rPr>
        <w:t>attribuable</w:t>
      </w:r>
      <w:r>
        <w:rPr>
          <w:rStyle w:val="normaltextrun"/>
          <w:shd w:val="clear" w:color="auto" w:fill="FFFFFF"/>
          <w:lang w:val="fr"/>
        </w:rPr>
        <w:t xml:space="preserve"> à la transition vers de substances de remplacement, principalement par les entreprises inéligibles </w:t>
      </w:r>
      <w:r w:rsidR="0041548A">
        <w:rPr>
          <w:rStyle w:val="normaltextrun"/>
          <w:shd w:val="clear" w:color="auto" w:fill="FFFFFF"/>
          <w:lang w:val="fr"/>
        </w:rPr>
        <w:t>au titre</w:t>
      </w:r>
      <w:r>
        <w:rPr>
          <w:rStyle w:val="normaltextrun"/>
          <w:shd w:val="clear" w:color="auto" w:fill="FFFFFF"/>
          <w:lang w:val="fr"/>
        </w:rPr>
        <w:t xml:space="preserve"> de la phase III du PGEH en fonction de la demande du marché. L’utilisation de HCFC-22 dans le secteur de l’entretien de l’équipement de réfrigération représente 50</w:t>
      </w:r>
      <w:r w:rsidR="0088488B">
        <w:rPr>
          <w:rStyle w:val="normaltextrun"/>
          <w:shd w:val="clear" w:color="auto" w:fill="FFFFFF"/>
          <w:lang w:val="fr"/>
        </w:rPr>
        <w:t xml:space="preserve"> à </w:t>
      </w:r>
      <w:r>
        <w:rPr>
          <w:rStyle w:val="normaltextrun"/>
          <w:shd w:val="clear" w:color="auto" w:fill="FFFFFF"/>
          <w:lang w:val="fr"/>
        </w:rPr>
        <w:t>60 pour cent de la consommation globale de HCFC du pays, et ce depuis 2017. La consommation devrait augmenter dans les prochaines années tout en restant dans les limites admissibles.</w:t>
      </w:r>
      <w:r w:rsidR="0088488B">
        <w:rPr>
          <w:rStyle w:val="eop"/>
          <w:shd w:val="clear" w:color="auto" w:fill="FFFFFF"/>
          <w:lang w:val="fr"/>
        </w:rPr>
        <w:t xml:space="preserve"> </w:t>
      </w:r>
      <w:r>
        <w:rPr>
          <w:rStyle w:val="normaltextrun"/>
          <w:shd w:val="clear" w:color="auto" w:fill="FFFFFF"/>
          <w:lang w:val="fr"/>
        </w:rPr>
        <w:t>Le Gouvernement a interdit les importations et la fabrication d’équipements utilisant du HCFC à compter du 1</w:t>
      </w:r>
      <w:r w:rsidRPr="00840394">
        <w:rPr>
          <w:rStyle w:val="normaltextrun"/>
          <w:shd w:val="clear" w:color="auto" w:fill="FFFFFF"/>
          <w:vertAlign w:val="superscript"/>
          <w:lang w:val="fr"/>
        </w:rPr>
        <w:t>er</w:t>
      </w:r>
      <w:r>
        <w:rPr>
          <w:rStyle w:val="normaltextrun"/>
          <w:shd w:val="clear" w:color="auto" w:fill="FFFFFF"/>
          <w:lang w:val="fr"/>
        </w:rPr>
        <w:t> janvier 2025.</w:t>
      </w:r>
    </w:p>
    <w:p w14:paraId="597BC9DE" w14:textId="5989E7AF" w:rsidR="00F65F7C" w:rsidRPr="00F65F7C" w:rsidRDefault="00F65F7C" w:rsidP="00F65F7C">
      <w:pPr>
        <w:pStyle w:val="Heading1"/>
        <w:spacing w:before="240"/>
        <w:rPr>
          <w:lang w:val="fr-FR"/>
        </w:rPr>
      </w:pPr>
      <w:r>
        <w:rPr>
          <w:lang w:val="fr"/>
        </w:rPr>
        <w:t>La consommation de HCFC-141b a été éliminée en 2020, conformément à l’interdiction en vigueur depuis le 1</w:t>
      </w:r>
      <w:r>
        <w:rPr>
          <w:vertAlign w:val="superscript"/>
          <w:lang w:val="fr"/>
        </w:rPr>
        <w:t>er </w:t>
      </w:r>
      <w:r>
        <w:rPr>
          <w:lang w:val="fr"/>
        </w:rPr>
        <w:t xml:space="preserve">janvier 2020. Le HCFC-123 est importé et utilisé dans la fabrication et l’entretien des équipements de </w:t>
      </w:r>
      <w:r w:rsidR="0075537D">
        <w:rPr>
          <w:lang w:val="fr"/>
        </w:rPr>
        <w:t>lutte contre l’</w:t>
      </w:r>
      <w:r>
        <w:rPr>
          <w:lang w:val="fr"/>
        </w:rPr>
        <w:t>incendie et dans l’entretien des refroidisseurs</w:t>
      </w:r>
      <w:r>
        <w:rPr>
          <w:rStyle w:val="normaltextrun"/>
          <w:shd w:val="clear" w:color="auto" w:fill="FFFFFF"/>
          <w:lang w:val="fr"/>
        </w:rPr>
        <w:t>. La fluctuation de consommation durant la période rapportée est due aux conditions du marché et au fait que les importations sur un an peuvent servir pendant plus d’un an.</w:t>
      </w:r>
    </w:p>
    <w:p w14:paraId="7CFC3B76" w14:textId="77777777" w:rsidR="00F65F7C" w:rsidRPr="00F65F7C" w:rsidRDefault="00F65F7C" w:rsidP="00F65F7C">
      <w:pPr>
        <w:keepNext/>
        <w:spacing w:after="240"/>
        <w:rPr>
          <w:i/>
          <w:lang w:val="fr-FR"/>
        </w:rPr>
      </w:pPr>
      <w:r>
        <w:rPr>
          <w:i/>
          <w:iCs/>
          <w:lang w:val="fr"/>
        </w:rPr>
        <w:lastRenderedPageBreak/>
        <w:t>Rapport de mise en œuvre du programme du pays</w:t>
      </w:r>
    </w:p>
    <w:p w14:paraId="73821AB2" w14:textId="48C79C89" w:rsidR="00F65F7C" w:rsidRPr="00F65F7C" w:rsidRDefault="00F65F7C" w:rsidP="00F65F7C">
      <w:pPr>
        <w:pStyle w:val="Heading1"/>
        <w:rPr>
          <w:lang w:val="fr-FR"/>
        </w:rPr>
      </w:pPr>
      <w:r>
        <w:rPr>
          <w:lang w:val="fr"/>
        </w:rPr>
        <w:t>Le gouvernement de l’Inde a déclaré une consommation sectorielle de HCFC dans le rapport de mise en œuvre du programme de pays 2023 conforme aux données communiquées en vertu de l’article 7 du Protocole de Montréal. Les données communiquées au titre de l’Article 7 montrent un taux de consommation légèrement plus élevé (une différence de 0,71 tonne PAO)</w:t>
      </w:r>
      <w:r>
        <w:rPr>
          <w:shd w:val="clear" w:color="auto" w:fill="FFFFFF"/>
          <w:lang w:val="fr"/>
        </w:rPr>
        <w:t xml:space="preserve"> </w:t>
      </w:r>
      <w:r>
        <w:rPr>
          <w:rStyle w:val="normaltextrun"/>
          <w:shd w:val="clear" w:color="auto" w:fill="FFFFFF"/>
          <w:lang w:val="fr"/>
        </w:rPr>
        <w:t>en raison de la production de HCFC-225 pour l’exportation les années suivantes pour des applications en tant que matière première, qui n’a pas été déclarée dans les données du programme du pays, conformément au format standard.</w:t>
      </w:r>
    </w:p>
    <w:p w14:paraId="6147102E" w14:textId="77777777" w:rsidR="00F65F7C" w:rsidRPr="0034371D" w:rsidRDefault="00F65F7C" w:rsidP="00F65F7C">
      <w:pPr>
        <w:keepNext/>
        <w:spacing w:after="240"/>
        <w:rPr>
          <w:i/>
        </w:rPr>
      </w:pPr>
      <w:r>
        <w:rPr>
          <w:i/>
          <w:iCs/>
          <w:lang w:val="fr"/>
        </w:rPr>
        <w:t xml:space="preserve">Rapport de vérification </w:t>
      </w:r>
    </w:p>
    <w:p w14:paraId="7E4495BD" w14:textId="2CCD1E2B" w:rsidR="00F65F7C" w:rsidRPr="00F65F7C" w:rsidRDefault="00F65F7C" w:rsidP="00F65F7C">
      <w:pPr>
        <w:pStyle w:val="Heading1"/>
        <w:keepNext/>
        <w:rPr>
          <w:u w:val="single"/>
          <w:lang w:val="fr-FR"/>
        </w:rPr>
      </w:pPr>
      <w:r>
        <w:rPr>
          <w:lang w:val="fr"/>
        </w:rPr>
        <w:t>Le rapport de vérification a confirmé que le Gouvernement met en œuvre un système d’octroi de licences et de quotas des importations et des exportations de HCFC, et que la consommation totale de HCFC déclarée au titre de l’article 7 du Protocole de Montréal de 2022 à 2023 était correcte (comme indiqué dans le tableau 1 ci-dessus). La vérification a conclu que l’Inde est en conformité pour les années 2022 et 2023 conformément au calendrier d’élimination accélérée du Protocole de Montréal, et que la consommation est inférieure à la consommation maximale admissible pour ces mêmes années aux termes de l’accord conclu entre le gouvernement d’Inde et le Comité exécutif.</w:t>
      </w:r>
    </w:p>
    <w:p w14:paraId="28317C7B" w14:textId="29E62602" w:rsidR="00F65F7C" w:rsidRPr="00F65F7C" w:rsidRDefault="00F65F7C" w:rsidP="00F65F7C">
      <w:pPr>
        <w:pStyle w:val="Heading1"/>
        <w:rPr>
          <w:rStyle w:val="normaltextrun"/>
          <w:color w:val="000000"/>
          <w:shd w:val="clear" w:color="auto" w:fill="FFFFFF"/>
          <w:lang w:val="fr-FR"/>
        </w:rPr>
      </w:pPr>
      <w:r>
        <w:rPr>
          <w:lang w:val="fr"/>
        </w:rPr>
        <w:t xml:space="preserve">Il est à noter que le </w:t>
      </w:r>
      <w:r>
        <w:rPr>
          <w:rStyle w:val="normaltextrun"/>
          <w:color w:val="000000"/>
          <w:shd w:val="clear" w:color="auto" w:fill="FFFFFF"/>
          <w:lang w:val="fr"/>
        </w:rPr>
        <w:t>HCFC-225 n’a pas été intégré dans le champ d’application du rapport de vérification. Il n’y a pas eu de production de HCFC-225 en 2009 et 2010 et celle-ci n’est pas comprise dans la valeur de production de HCFC de référence. Annuellement, la production et l’exportation de HCFC-225 sont comprises dans la déclaration des données du pays au titre de l’Article 7. La différence entre la consommation au titre de l’Article 7 en 2021 et en 2022, la consommation vérifiée pour ces mêmes années et les données déclarées dans le cadre du rapport de données du programme du pays est attribuable aux faibles quantités de HCFC-225 utilisé</w:t>
      </w:r>
      <w:r w:rsidR="000609FE">
        <w:rPr>
          <w:rStyle w:val="normaltextrun"/>
          <w:color w:val="000000"/>
          <w:shd w:val="clear" w:color="auto" w:fill="FFFFFF"/>
          <w:lang w:val="fr"/>
        </w:rPr>
        <w:t>es</w:t>
      </w:r>
      <w:r>
        <w:rPr>
          <w:rStyle w:val="normaltextrun"/>
          <w:color w:val="000000"/>
          <w:shd w:val="clear" w:color="auto" w:fill="FFFFFF"/>
          <w:lang w:val="fr"/>
        </w:rPr>
        <w:t xml:space="preserve"> en tant que matière première qui ont été partiellement produites les années précédentes. De même, le HCFC-225 produit en 2023 sera exporté pour être utilisé en tant que matière première les années ultérieures. Le HCFC-225 produit est exclusivement exporté vers un pays pour être utilisé en tant que matière première et pour des usages réglementés.</w:t>
      </w:r>
    </w:p>
    <w:p w14:paraId="0D81483D" w14:textId="77777777" w:rsidR="00F65F7C" w:rsidRPr="00F65F7C" w:rsidRDefault="00F65F7C" w:rsidP="00F65F7C">
      <w:pPr>
        <w:pStyle w:val="Heading1"/>
        <w:keepNext/>
        <w:numPr>
          <w:ilvl w:val="0"/>
          <w:numId w:val="0"/>
        </w:numPr>
        <w:rPr>
          <w:u w:val="single"/>
          <w:lang w:val="fr-FR"/>
        </w:rPr>
      </w:pPr>
      <w:r>
        <w:rPr>
          <w:u w:val="single"/>
          <w:lang w:val="fr"/>
        </w:rPr>
        <w:t xml:space="preserve">État de la mise en œuvre de la phase II du plan de gestion de l’élimination des HCFC </w:t>
      </w:r>
    </w:p>
    <w:p w14:paraId="33BCFF90" w14:textId="77777777" w:rsidR="00F65F7C" w:rsidRPr="00F65F7C" w:rsidRDefault="00F65F7C" w:rsidP="00F65F7C">
      <w:pPr>
        <w:pStyle w:val="Heading1"/>
        <w:rPr>
          <w:lang w:val="fr-FR"/>
        </w:rPr>
      </w:pPr>
      <w:r>
        <w:rPr>
          <w:lang w:val="fr"/>
        </w:rPr>
        <w:t>La phase II du PGEH sera achevée d’ici le 31 décembre 2024.</w:t>
      </w:r>
    </w:p>
    <w:p w14:paraId="74A50203" w14:textId="77777777" w:rsidR="00F65F7C" w:rsidRPr="00F65F7C" w:rsidRDefault="00F65F7C" w:rsidP="00F65F7C">
      <w:pPr>
        <w:keepNext/>
        <w:spacing w:after="240"/>
        <w:rPr>
          <w:u w:val="single"/>
          <w:lang w:val="fr-FR"/>
        </w:rPr>
      </w:pPr>
      <w:r>
        <w:rPr>
          <w:u w:val="single"/>
          <w:lang w:val="fr"/>
        </w:rPr>
        <w:t>Rapport périodique sur la mise en œuvre de la première tranche de la phase III du plan de gestion de l’élimination des HCFC</w:t>
      </w:r>
    </w:p>
    <w:p w14:paraId="794B30F6" w14:textId="77777777" w:rsidR="00F65F7C" w:rsidRDefault="00F65F7C" w:rsidP="00F65F7C">
      <w:pPr>
        <w:keepNext/>
        <w:spacing w:after="240"/>
        <w:rPr>
          <w:i/>
        </w:rPr>
      </w:pPr>
      <w:r>
        <w:rPr>
          <w:i/>
          <w:iCs/>
          <w:lang w:val="fr"/>
        </w:rPr>
        <w:t>Cadre juridique</w:t>
      </w:r>
    </w:p>
    <w:p w14:paraId="54A24194" w14:textId="3873CD29" w:rsidR="00F65F7C" w:rsidRPr="00F65F7C" w:rsidRDefault="00F65F7C" w:rsidP="00F65F7C">
      <w:pPr>
        <w:pStyle w:val="Heading1"/>
        <w:rPr>
          <w:lang w:val="fr-FR"/>
        </w:rPr>
      </w:pPr>
      <w:r>
        <w:rPr>
          <w:lang w:val="fr"/>
        </w:rPr>
        <w:t>Un système d’octroi de licence, un système de quotas et des quotas nationaux d’importation sont en vigueur. Une interdiction a été prononcée portant sur la fabrication de produits et d’équipements utilisant du HCFC (y compris la fabrication de climatiseurs, d’autres appareils de réfrigération et de climatisation, d’extincteurs ou de système d’extinction incendie et tous les autres équipements ou produits) qui entrera en vigueur le 1</w:t>
      </w:r>
      <w:r w:rsidRPr="008708C2">
        <w:rPr>
          <w:vertAlign w:val="superscript"/>
          <w:lang w:val="fr"/>
        </w:rPr>
        <w:t>er</w:t>
      </w:r>
      <w:r>
        <w:rPr>
          <w:lang w:val="fr"/>
        </w:rPr>
        <w:t xml:space="preserve"> janvier 2025. Conformément à la ratification par le pays de l’Amendement de Kigali le 27 septembre 2021, l’Inde a établi un système d’octroi de licences pour les HFC en mars 2022 et mettra en œuvre un système de quotas de HFC </w:t>
      </w:r>
      <w:r w:rsidRPr="00B55DF1">
        <w:rPr>
          <w:rStyle w:val="Style1"/>
          <w:sz w:val="22"/>
          <w:szCs w:val="24"/>
          <w:lang w:val="fr"/>
        </w:rPr>
        <w:t>une fois que la stratégie nationale de réduction des HFC aura été finalisée en 2024 et que les réglementations relatives aux HFC seront en vigueur courant 2025 et 2026.</w:t>
      </w:r>
    </w:p>
    <w:p w14:paraId="6FBAC07A" w14:textId="77777777" w:rsidR="00F65F7C" w:rsidRPr="00F65F7C" w:rsidRDefault="00F65F7C" w:rsidP="00F65F7C">
      <w:pPr>
        <w:keepNext/>
        <w:spacing w:after="240"/>
        <w:rPr>
          <w:iCs/>
          <w:lang w:val="fr-FR"/>
        </w:rPr>
      </w:pPr>
      <w:r>
        <w:rPr>
          <w:i/>
          <w:iCs/>
          <w:lang w:val="fr"/>
        </w:rPr>
        <w:t>Secteur de la fabrication d’équipements de climatisation (PNUD)</w:t>
      </w:r>
    </w:p>
    <w:p w14:paraId="6A76EFDE" w14:textId="252E9D7B" w:rsidR="00F65F7C" w:rsidRPr="00F65F7C" w:rsidRDefault="00F65F7C" w:rsidP="00F65F7C">
      <w:pPr>
        <w:pStyle w:val="Heading1"/>
        <w:rPr>
          <w:iCs/>
          <w:lang w:val="fr-FR"/>
        </w:rPr>
      </w:pPr>
      <w:r>
        <w:rPr>
          <w:lang w:val="fr"/>
        </w:rPr>
        <w:t>Un total de 16 entreprises (13</w:t>
      </w:r>
      <w:r w:rsidR="00100638">
        <w:rPr>
          <w:lang w:val="fr"/>
        </w:rPr>
        <w:t> </w:t>
      </w:r>
      <w:r>
        <w:rPr>
          <w:lang w:val="fr"/>
        </w:rPr>
        <w:t>entreprises dans le secteur de climatiseurs individuels et trois dans le secteur des climatiseurs à usage commercial léger) consommant 222,92 </w:t>
      </w:r>
      <w:proofErr w:type="spellStart"/>
      <w:r>
        <w:rPr>
          <w:lang w:val="fr"/>
        </w:rPr>
        <w:t>tm</w:t>
      </w:r>
      <w:proofErr w:type="spellEnd"/>
      <w:r>
        <w:rPr>
          <w:lang w:val="fr"/>
        </w:rPr>
        <w:t xml:space="preserve"> de HCFC-22 a été vérifié et déclaré éligible à participer au PGEH. Des mémorandums d’accord ont été signés avec 11 d’entre elles pour </w:t>
      </w:r>
      <w:r>
        <w:rPr>
          <w:lang w:val="fr"/>
        </w:rPr>
        <w:lastRenderedPageBreak/>
        <w:t>une conversion vers le HFC-32, tandis que les cinq entreprises restantes, qui nécessitent plus de soutien au niveau de la technologie de conversion, travaillent sur leur plan de conversion et sur des essais techniques avant de signer leur mémorandum d’accord, ce qui devrait arriver au dernier trimestre 2024. Quatorze entreprises supplémentaires (155,71 </w:t>
      </w:r>
      <w:proofErr w:type="spellStart"/>
      <w:r>
        <w:rPr>
          <w:lang w:val="fr"/>
        </w:rPr>
        <w:t>tm</w:t>
      </w:r>
      <w:proofErr w:type="spellEnd"/>
      <w:r>
        <w:rPr>
          <w:lang w:val="fr"/>
        </w:rPr>
        <w:t xml:space="preserve"> de HCFC-22) établies après le 21 septembre 2007 ou appartenant à des pays non visés à l’Article 5 </w:t>
      </w:r>
      <w:r w:rsidR="007701A2">
        <w:rPr>
          <w:lang w:val="fr"/>
        </w:rPr>
        <w:t xml:space="preserve">devraient </w:t>
      </w:r>
      <w:r>
        <w:rPr>
          <w:lang w:val="fr"/>
        </w:rPr>
        <w:t>effectuer leur conversion sur leurs propres fonds.</w:t>
      </w:r>
    </w:p>
    <w:p w14:paraId="6FDD190C" w14:textId="77777777" w:rsidR="00F65F7C" w:rsidRPr="00F65F7C" w:rsidRDefault="00F65F7C" w:rsidP="00F65F7C">
      <w:pPr>
        <w:pStyle w:val="Heading1"/>
        <w:keepNext/>
        <w:numPr>
          <w:ilvl w:val="0"/>
          <w:numId w:val="0"/>
        </w:numPr>
        <w:rPr>
          <w:iCs/>
          <w:lang w:val="fr-FR"/>
        </w:rPr>
      </w:pPr>
      <w:r>
        <w:rPr>
          <w:i/>
          <w:iCs/>
          <w:lang w:val="fr"/>
        </w:rPr>
        <w:t>Secteur de la fabrication d’équipements de réfrigération commerciale (PNUD)</w:t>
      </w:r>
    </w:p>
    <w:p w14:paraId="1016D5CD" w14:textId="371E98E2" w:rsidR="00F65F7C" w:rsidRPr="00F65F7C" w:rsidRDefault="00F65F7C" w:rsidP="00F65F7C">
      <w:pPr>
        <w:pStyle w:val="Heading1"/>
        <w:rPr>
          <w:lang w:val="fr-FR"/>
        </w:rPr>
      </w:pPr>
      <w:r>
        <w:rPr>
          <w:lang w:val="fr"/>
        </w:rPr>
        <w:t xml:space="preserve">Un total de 48 entreprises de fabrication de réfrigération commerciale et de refroidisseurs de procédés (principalement </w:t>
      </w:r>
      <w:proofErr w:type="gramStart"/>
      <w:r>
        <w:rPr>
          <w:lang w:val="fr"/>
        </w:rPr>
        <w:t>des</w:t>
      </w:r>
      <w:r w:rsidR="00FC2A71">
        <w:rPr>
          <w:lang w:val="fr"/>
        </w:rPr>
        <w:t xml:space="preserve"> </w:t>
      </w:r>
      <w:r w:rsidR="00021BE9">
        <w:rPr>
          <w:lang w:val="fr"/>
        </w:rPr>
        <w:t>micro</w:t>
      </w:r>
      <w:proofErr w:type="gramEnd"/>
      <w:r w:rsidR="00FC2A71">
        <w:rPr>
          <w:lang w:val="fr"/>
        </w:rPr>
        <w:t>,</w:t>
      </w:r>
      <w:r>
        <w:rPr>
          <w:lang w:val="fr"/>
        </w:rPr>
        <w:t xml:space="preserve"> petites et moyennes entreprises (</w:t>
      </w:r>
      <w:r w:rsidR="0035328D">
        <w:rPr>
          <w:lang w:val="fr"/>
        </w:rPr>
        <w:t xml:space="preserve">TPE et </w:t>
      </w:r>
      <w:r>
        <w:rPr>
          <w:lang w:val="fr"/>
        </w:rPr>
        <w:t>PME)) consommant 163,19 </w:t>
      </w:r>
      <w:proofErr w:type="spellStart"/>
      <w:r>
        <w:rPr>
          <w:lang w:val="fr"/>
        </w:rPr>
        <w:t>tm</w:t>
      </w:r>
      <w:proofErr w:type="spellEnd"/>
      <w:r>
        <w:rPr>
          <w:lang w:val="fr"/>
        </w:rPr>
        <w:t xml:space="preserve"> de HCFC-22 a été vérifié et déclaré éligible à participer au PGEH. Des mémorandums d’accord ont été signés avec 33 d’entre elles pour une conversion vers le R-290, le R-600a et le HFC-32, et toutes ces entreprises ont fourni un plan de conversion technique et progressent dans leurs activités de conversion ; les 15 entreprises restantes, qui nécessitent plus de soutien au niveau de la technologie de conversion, travaillent sur leur plan de conversion et sur des essais techniques avant de signer leur mémorandum d’accord, ce qui devrait arriver au dernier trimestre 2024. Quatre-vingt-onze entreprises supplémentaires (38,93 </w:t>
      </w:r>
      <w:proofErr w:type="spellStart"/>
      <w:r>
        <w:rPr>
          <w:lang w:val="fr"/>
        </w:rPr>
        <w:t>tm</w:t>
      </w:r>
      <w:proofErr w:type="spellEnd"/>
      <w:r>
        <w:rPr>
          <w:lang w:val="fr"/>
        </w:rPr>
        <w:t xml:space="preserve"> de HCFC-22) établies après le 21 septembre 2007 ou appartenant à des pays non visés à l’Article 5 </w:t>
      </w:r>
      <w:r w:rsidR="000F29CC">
        <w:rPr>
          <w:lang w:val="fr"/>
        </w:rPr>
        <w:t xml:space="preserve">devraient </w:t>
      </w:r>
      <w:r>
        <w:rPr>
          <w:lang w:val="fr"/>
        </w:rPr>
        <w:t>effectuer leur conversion sur leurs propres fonds.</w:t>
      </w:r>
    </w:p>
    <w:p w14:paraId="5714D770" w14:textId="77777777" w:rsidR="00F65F7C" w:rsidRPr="00F65F7C" w:rsidRDefault="00F65F7C" w:rsidP="00F65F7C">
      <w:pPr>
        <w:pStyle w:val="Heading1"/>
        <w:numPr>
          <w:ilvl w:val="0"/>
          <w:numId w:val="0"/>
        </w:numPr>
        <w:rPr>
          <w:i/>
          <w:lang w:val="fr-FR"/>
        </w:rPr>
      </w:pPr>
      <w:r>
        <w:rPr>
          <w:i/>
          <w:iCs/>
          <w:lang w:val="fr"/>
        </w:rPr>
        <w:t>Assistance technique pour le secteur de la fabrication</w:t>
      </w:r>
    </w:p>
    <w:p w14:paraId="5599C5D8" w14:textId="7C470649" w:rsidR="00F65F7C" w:rsidRPr="00F65F7C" w:rsidRDefault="00F65F7C" w:rsidP="00F65F7C">
      <w:pPr>
        <w:pStyle w:val="Heading1"/>
        <w:rPr>
          <w:iCs/>
          <w:lang w:val="fr-FR"/>
        </w:rPr>
      </w:pPr>
      <w:r>
        <w:rPr>
          <w:lang w:val="fr"/>
        </w:rPr>
        <w:t xml:space="preserve">Une institution technique gouvernementale nationale spécialisée dans le secteur du refroidissement a été identifiée pour fournir une assistance technique aux entreprises </w:t>
      </w:r>
      <w:r w:rsidR="00526A08">
        <w:rPr>
          <w:lang w:val="fr"/>
        </w:rPr>
        <w:t>du</w:t>
      </w:r>
      <w:r>
        <w:rPr>
          <w:lang w:val="fr"/>
        </w:rPr>
        <w:t xml:space="preserve"> secteur aux côtés d’experts internationaux. Un accord de coopération avec cette institution est en cours de signature.</w:t>
      </w:r>
    </w:p>
    <w:p w14:paraId="0747C75D" w14:textId="4400CE23" w:rsidR="00F65F7C" w:rsidRPr="00F65F7C" w:rsidRDefault="00F65F7C" w:rsidP="00F65F7C">
      <w:pPr>
        <w:keepNext/>
        <w:spacing w:after="240"/>
        <w:rPr>
          <w:i/>
          <w:lang w:val="fr-FR"/>
        </w:rPr>
      </w:pPr>
      <w:r>
        <w:rPr>
          <w:i/>
          <w:iCs/>
          <w:lang w:val="fr"/>
        </w:rPr>
        <w:t>Secteur de l’entretien de l’équipement de réfrigération</w:t>
      </w:r>
    </w:p>
    <w:p w14:paraId="67B7F0BB" w14:textId="5BFEFCE6" w:rsidR="00F65F7C" w:rsidRPr="00F65F7C" w:rsidRDefault="00F65F7C" w:rsidP="00F65F7C">
      <w:pPr>
        <w:pStyle w:val="Heading1"/>
        <w:rPr>
          <w:lang w:val="fr-FR"/>
        </w:rPr>
      </w:pPr>
      <w:r>
        <w:rPr>
          <w:i/>
          <w:iCs/>
          <w:lang w:val="fr"/>
        </w:rPr>
        <w:t>Renforcement de la capacité dans le secteur de l’entretien d’équipement de réfrigération (PNUD) :</w:t>
      </w:r>
      <w:r>
        <w:rPr>
          <w:lang w:val="fr"/>
        </w:rPr>
        <w:t xml:space="preserve"> </w:t>
      </w:r>
      <w:r w:rsidR="00E35872">
        <w:rPr>
          <w:lang w:val="fr"/>
        </w:rPr>
        <w:t>u</w:t>
      </w:r>
      <w:r>
        <w:rPr>
          <w:lang w:val="fr"/>
        </w:rPr>
        <w:t>n processus d’achats a été entamé pour fournir des équipements</w:t>
      </w:r>
      <w:r>
        <w:rPr>
          <w:vertAlign w:val="superscript"/>
          <w:lang w:val="fr"/>
        </w:rPr>
        <w:footnoteReference w:id="3"/>
      </w:r>
      <w:r>
        <w:rPr>
          <w:lang w:val="fr"/>
        </w:rPr>
        <w:t xml:space="preserve"> aux centres de formation industrielle</w:t>
      </w:r>
      <w:r w:rsidR="00E04DDB">
        <w:rPr>
          <w:lang w:val="fr"/>
        </w:rPr>
        <w:t xml:space="preserve"> (ITI)</w:t>
      </w:r>
      <w:r>
        <w:rPr>
          <w:lang w:val="fr"/>
        </w:rPr>
        <w:t>. Sur les 120 kits d’équipement à fournir aux centres de formation industrielle, 25 centres devraient être approvisionnés en 2024 et le reste en 2025, comme indiqué dans le plan de mise en œuvre de la tranche.</w:t>
      </w:r>
    </w:p>
    <w:p w14:paraId="169B2DBF" w14:textId="35F55506" w:rsidR="00F65F7C" w:rsidRPr="00F65F7C" w:rsidRDefault="00F65F7C" w:rsidP="00F65F7C">
      <w:pPr>
        <w:pStyle w:val="Heading1"/>
        <w:rPr>
          <w:lang w:val="fr-FR"/>
        </w:rPr>
      </w:pPr>
      <w:r>
        <w:rPr>
          <w:i/>
          <w:iCs/>
          <w:lang w:val="fr"/>
        </w:rPr>
        <w:t>Renforcement de la capacité dans le secteur de l’entretien d’équipement de réfrigération (Allemagne) :</w:t>
      </w:r>
      <w:r>
        <w:rPr>
          <w:lang w:val="fr"/>
        </w:rPr>
        <w:t xml:space="preserve"> </w:t>
      </w:r>
      <w:r w:rsidR="00B95500">
        <w:rPr>
          <w:lang w:val="fr"/>
        </w:rPr>
        <w:t>u</w:t>
      </w:r>
      <w:r>
        <w:rPr>
          <w:lang w:val="fr"/>
        </w:rPr>
        <w:t>ne proposition soumise par la Cellule</w:t>
      </w:r>
      <w:r w:rsidR="003221F4">
        <w:rPr>
          <w:lang w:val="fr"/>
        </w:rPr>
        <w:t> </w:t>
      </w:r>
      <w:r>
        <w:rPr>
          <w:lang w:val="fr"/>
        </w:rPr>
        <w:t>Ozone du Ministère de l’environnement, des forêts et du changement climatique (</w:t>
      </w:r>
      <w:proofErr w:type="spellStart"/>
      <w:r>
        <w:rPr>
          <w:lang w:val="fr"/>
        </w:rPr>
        <w:t>MoEFCC</w:t>
      </w:r>
      <w:proofErr w:type="spellEnd"/>
      <w:r>
        <w:rPr>
          <w:lang w:val="fr"/>
        </w:rPr>
        <w:t xml:space="preserve">) pour le contenu pédagogique et un système de certification unifié pour les techniciens d’entretien a été approuvé par le Conseil national pour l’enseignement et la formation professionnelle (NVCET) et indique que la formation peut être délivrée par n’importe quelle agence, mais que c’est le NCVET qui délivre les certifications en fonction de l’évaluation des techniciens formés. Les candidats recalés seront de nouveau formés et réévalués jusqu’à l’obtention de leur certification par le NVCET. L’Allemagne finalise </w:t>
      </w:r>
      <w:r w:rsidR="00564DCD">
        <w:rPr>
          <w:lang w:val="fr"/>
        </w:rPr>
        <w:t xml:space="preserve">actuellement </w:t>
      </w:r>
      <w:r>
        <w:rPr>
          <w:lang w:val="fr"/>
        </w:rPr>
        <w:t>les contrats avec les partenaires pédagogiques afin d’entamer les formations de 25 000 techniciens d’entretien en décembre 2024. L’a</w:t>
      </w:r>
      <w:r w:rsidR="000C5655">
        <w:rPr>
          <w:lang w:val="fr"/>
        </w:rPr>
        <w:t>pprovisionnement</w:t>
      </w:r>
      <w:r>
        <w:rPr>
          <w:lang w:val="fr"/>
        </w:rPr>
        <w:t xml:space="preserve"> des équipements et du matériel pour la formation a été entamé et </w:t>
      </w:r>
      <w:r w:rsidR="004E13A1">
        <w:rPr>
          <w:lang w:val="fr"/>
        </w:rPr>
        <w:t>l’élaboration</w:t>
      </w:r>
      <w:r>
        <w:rPr>
          <w:lang w:val="fr"/>
        </w:rPr>
        <w:t xml:space="preserve"> et la mise à jour du matériel pédagogique ont été achevé</w:t>
      </w:r>
      <w:r w:rsidR="008764C5">
        <w:rPr>
          <w:lang w:val="fr"/>
        </w:rPr>
        <w:t>e</w:t>
      </w:r>
      <w:r>
        <w:rPr>
          <w:lang w:val="fr"/>
        </w:rPr>
        <w:t xml:space="preserve">s, celui-ci a été révisé par des experts et publié en septembre 2024. Le contenu pour les sessions de formation de formateurs a été finalisé, révisé par des experts et deux sessions de formation de formateurs </w:t>
      </w:r>
      <w:r>
        <w:rPr>
          <w:lang w:val="fr"/>
        </w:rPr>
        <w:lastRenderedPageBreak/>
        <w:t>seront réalisées auprès de 50 formateurs en novembre 2024. Le financement total de la première tranche de cette activité sera décaissé d’ici le deuxième trimestre 2025.</w:t>
      </w:r>
    </w:p>
    <w:p w14:paraId="5A36BCDF" w14:textId="77777777" w:rsidR="00F65F7C" w:rsidRPr="00F65F7C" w:rsidRDefault="00F65F7C" w:rsidP="00F65F7C">
      <w:pPr>
        <w:keepNext/>
        <w:spacing w:after="240"/>
        <w:rPr>
          <w:i/>
          <w:lang w:val="fr-FR"/>
        </w:rPr>
      </w:pPr>
      <w:r>
        <w:rPr>
          <w:i/>
          <w:iCs/>
          <w:lang w:val="fr"/>
        </w:rPr>
        <w:t>Activités de facilitation du secteur de l’entretien (PNUE)</w:t>
      </w:r>
    </w:p>
    <w:p w14:paraId="5AF68B93" w14:textId="647B1F48" w:rsidR="00F65F7C" w:rsidRPr="009E5490" w:rsidRDefault="00F65F7C" w:rsidP="009E5490">
      <w:pPr>
        <w:pStyle w:val="Heading1"/>
        <w:rPr>
          <w:lang w:val="fr-FR"/>
        </w:rPr>
      </w:pPr>
      <w:r>
        <w:rPr>
          <w:i/>
          <w:iCs/>
          <w:lang w:val="fr"/>
        </w:rPr>
        <w:t>Cadre politique et de mise en application :</w:t>
      </w:r>
      <w:r>
        <w:rPr>
          <w:lang w:val="fr"/>
        </w:rPr>
        <w:t xml:space="preserve"> </w:t>
      </w:r>
      <w:r w:rsidR="00E8784C">
        <w:rPr>
          <w:lang w:val="fr"/>
        </w:rPr>
        <w:t>d</w:t>
      </w:r>
      <w:r>
        <w:rPr>
          <w:lang w:val="fr"/>
        </w:rPr>
        <w:t xml:space="preserve">es zones de renforcement de la capacité des responsables du Comité de contrôle de la pollution (PCB) ont été déterminées, le matériel pédagogique a été révisé, et la mise en œuvre a commencé en octobre 2024, un mémorandum d’accord avec l’Académie nationale des douanes, des droits indirects et des stupéfiants (NACIN) lié au renforcement de la capacité des responsables des douanes et des forces de l’ordre ainsi </w:t>
      </w:r>
      <w:r w:rsidR="008B73B9">
        <w:rPr>
          <w:lang w:val="fr"/>
        </w:rPr>
        <w:t>qu’au</w:t>
      </w:r>
      <w:r>
        <w:rPr>
          <w:lang w:val="fr"/>
        </w:rPr>
        <w:t xml:space="preserve"> profilage des risques a été finalisé et la formation de 100 agents des douanes a commencé en septembre 2024, l’achat de 25 identificateurs de frigorigènes pour tous les ports douaniers a été initié et deux dialogues frontaliers avec des agents des douanes ont été finalisés en septembre 2024. À la suite de discussions au sein de la NACIN, des douanes et des services répressifs portant sur le besoin de procédures opérationnelles normalisées relatives aux procédures de mise en application de la lutte contre le commerce illégal, des SOP seront élaborées et comprendront des procédures pour l’application de quotas/licences, la déclaration des imports/exports, la vérification des déclarations, l’inspection des cargaisons, la gestion des saisies, les sanctions/amendes, la déclaration des cas et l’enregistrement des données.</w:t>
      </w:r>
    </w:p>
    <w:p w14:paraId="3F555CF2" w14:textId="20B99D6F" w:rsidR="00F65F7C" w:rsidRPr="00F65F7C" w:rsidRDefault="00F65F7C" w:rsidP="00F65F7C">
      <w:pPr>
        <w:pStyle w:val="Heading1"/>
        <w:rPr>
          <w:lang w:val="fr-FR"/>
        </w:rPr>
      </w:pPr>
      <w:r>
        <w:rPr>
          <w:i/>
          <w:iCs/>
          <w:lang w:val="fr"/>
        </w:rPr>
        <w:t>Élaboration de politiques sectorielles sur les SAO :</w:t>
      </w:r>
      <w:r>
        <w:rPr>
          <w:lang w:val="fr"/>
        </w:rPr>
        <w:t xml:space="preserve"> </w:t>
      </w:r>
      <w:r w:rsidR="00265127">
        <w:rPr>
          <w:lang w:val="fr"/>
        </w:rPr>
        <w:t>l</w:t>
      </w:r>
      <w:r>
        <w:rPr>
          <w:lang w:val="fr"/>
        </w:rPr>
        <w:t xml:space="preserve">es </w:t>
      </w:r>
      <w:r w:rsidR="00D3108B">
        <w:rPr>
          <w:lang w:val="fr"/>
        </w:rPr>
        <w:t>mandats</w:t>
      </w:r>
      <w:r>
        <w:rPr>
          <w:lang w:val="fr"/>
        </w:rPr>
        <w:t xml:space="preserve"> sont en cours de finalisation pour les six études qui doivent démarrer en décembre 2024 : </w:t>
      </w:r>
      <w:r w:rsidR="00D1711C">
        <w:rPr>
          <w:lang w:val="fr"/>
        </w:rPr>
        <w:t>s</w:t>
      </w:r>
      <w:r>
        <w:rPr>
          <w:lang w:val="fr"/>
        </w:rPr>
        <w:t>ynthèse des législations/mesures politiques sur l’élimination des SAO, étude des politiques publiques sur les femmes dans le secteur du refroidissement, étude sur le refroidissement urbain/passif, étude sur le développement de la réfrigération dans le secteur des transports, guide pratique comprenant les meilleures pratiques d’installation et de maintenance pour les systèmes utilisant de l’ammoniac/des substances de remplacement à faible PRP et étude sur les technologies indiennes indigènes/de nature différente (NIK).</w:t>
      </w:r>
    </w:p>
    <w:p w14:paraId="48DB8D59" w14:textId="1EB18F14" w:rsidR="00F65F7C" w:rsidRPr="00F65F7C" w:rsidRDefault="00F65F7C" w:rsidP="00F65F7C">
      <w:pPr>
        <w:pStyle w:val="Heading1"/>
        <w:rPr>
          <w:lang w:val="fr-FR"/>
        </w:rPr>
      </w:pPr>
      <w:r>
        <w:rPr>
          <w:i/>
          <w:iCs/>
          <w:lang w:val="fr"/>
        </w:rPr>
        <w:t>Sensibilisation, informations et communication :</w:t>
      </w:r>
      <w:r>
        <w:rPr>
          <w:lang w:val="fr"/>
        </w:rPr>
        <w:t xml:space="preserve"> </w:t>
      </w:r>
      <w:r w:rsidR="00DE5D66">
        <w:rPr>
          <w:lang w:val="fr"/>
        </w:rPr>
        <w:t>u</w:t>
      </w:r>
      <w:r>
        <w:rPr>
          <w:lang w:val="fr"/>
        </w:rPr>
        <w:t xml:space="preserve">n comité consultatif a été constitué pour la lettre d’information électronique, avec le premier numéro prévu pour décembre 2024 et qui devrait paraître sur une base trimestrielle, deux </w:t>
      </w:r>
      <w:r w:rsidR="00805DD9">
        <w:rPr>
          <w:lang w:val="fr"/>
        </w:rPr>
        <w:t xml:space="preserve">documentaires </w:t>
      </w:r>
      <w:r>
        <w:rPr>
          <w:lang w:val="fr"/>
        </w:rPr>
        <w:t>vidéos</w:t>
      </w:r>
      <w:bookmarkStart w:id="1" w:name="_Hlk181089034"/>
      <w:r>
        <w:rPr>
          <w:vertAlign w:val="superscript"/>
          <w:lang w:val="fr"/>
        </w:rPr>
        <w:footnoteReference w:id="4"/>
      </w:r>
      <w:bookmarkEnd w:id="1"/>
      <w:r>
        <w:rPr>
          <w:lang w:val="fr"/>
        </w:rPr>
        <w:t xml:space="preserve"> sur le système de certification unifié pour les techniciens frigoristes ont été lancés durant la Journée mondiale de l’ozone 2024, et une campagne de sensibilisation des utilisateurs finaux est en cours dans tout le pays dans le cadre des célébrations de la Journée mondiale de l’ozone, 400 participants ont assisté à cinq ateliers de consultation des parties prenantes destinés à promouvoir les campagnes de sensibilisation sur l’élimination/interdiction des HCFC d’ici 2025, la certification, la gestion des frigorigènes et d’autres thèmes pertinents relatifs à la phase III du PGEH.</w:t>
      </w:r>
    </w:p>
    <w:p w14:paraId="29CA7C94" w14:textId="77777777" w:rsidR="00F65F7C" w:rsidRPr="00F65F7C" w:rsidRDefault="00F65F7C" w:rsidP="00F65F7C">
      <w:pPr>
        <w:keepNext/>
        <w:spacing w:after="240"/>
        <w:rPr>
          <w:i/>
          <w:lang w:val="fr-FR"/>
        </w:rPr>
      </w:pPr>
      <w:r>
        <w:rPr>
          <w:i/>
          <w:iCs/>
          <w:lang w:val="fr"/>
        </w:rPr>
        <w:t>Mise en œuvre et suivi du projet</w:t>
      </w:r>
    </w:p>
    <w:p w14:paraId="581A0D29" w14:textId="14501FBC" w:rsidR="00F65F7C" w:rsidRPr="00F65F7C" w:rsidRDefault="00F65F7C" w:rsidP="00F65F7C">
      <w:pPr>
        <w:pStyle w:val="Heading1"/>
        <w:rPr>
          <w:lang w:val="fr-FR"/>
        </w:rPr>
      </w:pPr>
      <w:r>
        <w:rPr>
          <w:lang w:val="fr"/>
        </w:rPr>
        <w:t xml:space="preserve">L’unité de mise en œuvre et de supervision du projet (PMU), établie au sein de la Cellule Ozone, coordonne la mise en œuvre du PGEH, facilitant la communication entre les parties prenantes et renforçant la sensibilisation des décideurs de haut niveau aux problèmes liés aux SAO. Les tâches entreprises par la PMU comprennent la vérification par </w:t>
      </w:r>
      <w:r w:rsidR="002572C1">
        <w:rPr>
          <w:lang w:val="fr"/>
        </w:rPr>
        <w:t>une tierce partie</w:t>
      </w:r>
      <w:r>
        <w:rPr>
          <w:lang w:val="fr"/>
        </w:rPr>
        <w:t xml:space="preserve"> de l’éligibilité de</w:t>
      </w:r>
      <w:r w:rsidR="00263600">
        <w:rPr>
          <w:lang w:val="fr"/>
        </w:rPr>
        <w:t xml:space="preserve">s </w:t>
      </w:r>
      <w:r>
        <w:rPr>
          <w:lang w:val="fr"/>
        </w:rPr>
        <w:t>entreprise</w:t>
      </w:r>
      <w:r w:rsidR="00263600">
        <w:rPr>
          <w:lang w:val="fr"/>
        </w:rPr>
        <w:t>s</w:t>
      </w:r>
      <w:r>
        <w:rPr>
          <w:lang w:val="fr"/>
        </w:rPr>
        <w:t xml:space="preserve"> et des étapes de mise en œuvre par le biais de visites sur site ; l’apport d’une assistance technique aux entreprises éligibles ; la gestion de la mise en œuvre des projets d’investissement ; l’organisation de missions, de réunions et de visites techniques dans les entreprises ; et la préparation des rapports d’avancement et des rapports financiers périodiques à soumettre au Comité directeur du Projet, à la Cellule Ozone et au PNUD.</w:t>
      </w:r>
    </w:p>
    <w:p w14:paraId="7A77BE19" w14:textId="724D4095" w:rsidR="00F65F7C" w:rsidRPr="00F65F7C" w:rsidRDefault="00F65F7C" w:rsidP="00F65F7C">
      <w:pPr>
        <w:pStyle w:val="Heading1"/>
        <w:rPr>
          <w:lang w:val="fr-FR"/>
        </w:rPr>
      </w:pPr>
      <w:r>
        <w:rPr>
          <w:lang w:val="fr"/>
        </w:rPr>
        <w:t xml:space="preserve">Durant la première tranche, la PMU a été renforcée pour garantir une bonne coordination avec le PNUD et les entreprises participantes pour un achèvement dans un délai convenable des activités de conversion technologique par les entreprises participantes. Le financement alloué à la PMU dans le cadre </w:t>
      </w:r>
      <w:r>
        <w:rPr>
          <w:lang w:val="fr"/>
        </w:rPr>
        <w:lastRenderedPageBreak/>
        <w:t xml:space="preserve">de la première tranche s’élève à 448 930 $ US et comprend les frais liés aux membres du personnel de projet et aux consultations (120 000 $ US) ; les missions techniques de soutien aux entreprises aidées dans leur processus de conversion (30 000 $ US) ; la vérification par une tierce partie de l’éligibilité </w:t>
      </w:r>
      <w:r w:rsidR="00D617B1">
        <w:rPr>
          <w:lang w:val="fr"/>
        </w:rPr>
        <w:t xml:space="preserve">des entreprises </w:t>
      </w:r>
      <w:r>
        <w:rPr>
          <w:lang w:val="fr"/>
        </w:rPr>
        <w:t xml:space="preserve">et </w:t>
      </w:r>
      <w:r w:rsidR="00D617B1">
        <w:rPr>
          <w:lang w:val="fr"/>
        </w:rPr>
        <w:t xml:space="preserve">de </w:t>
      </w:r>
      <w:r>
        <w:rPr>
          <w:lang w:val="fr"/>
        </w:rPr>
        <w:t>l</w:t>
      </w:r>
      <w:r w:rsidR="00864AFD">
        <w:rPr>
          <w:lang w:val="fr"/>
        </w:rPr>
        <w:t xml:space="preserve">’avancement </w:t>
      </w:r>
      <w:r>
        <w:rPr>
          <w:lang w:val="fr"/>
        </w:rPr>
        <w:t xml:space="preserve">des étapes, et la vérification indépendante de la consommation (200 000 $ US) ; les coûts opérationnels (50 000 $ US) ; et </w:t>
      </w:r>
      <w:r w:rsidR="00350AE3">
        <w:rPr>
          <w:lang w:val="fr"/>
        </w:rPr>
        <w:t>l</w:t>
      </w:r>
      <w:r>
        <w:rPr>
          <w:lang w:val="fr"/>
        </w:rPr>
        <w:t>es réunions, ateliers, sensibilisation et élaboration d’un plan d’action sur l’égalité de genre</w:t>
      </w:r>
      <w:r w:rsidR="00D074A7">
        <w:rPr>
          <w:lang w:val="fr"/>
        </w:rPr>
        <w:t>s</w:t>
      </w:r>
      <w:r>
        <w:rPr>
          <w:lang w:val="fr"/>
        </w:rPr>
        <w:t xml:space="preserve"> (48 930 $ US).</w:t>
      </w:r>
    </w:p>
    <w:p w14:paraId="5EC4CDF9" w14:textId="2A58A2F6" w:rsidR="00F65F7C" w:rsidRPr="00B70169" w:rsidRDefault="00F65F7C" w:rsidP="00F65F7C">
      <w:pPr>
        <w:keepNext/>
        <w:spacing w:after="240"/>
      </w:pPr>
      <w:r>
        <w:rPr>
          <w:u w:val="single"/>
          <w:lang w:val="fr"/>
        </w:rPr>
        <w:t>Niveau de décaissement des fonds</w:t>
      </w:r>
    </w:p>
    <w:p w14:paraId="3F1EC444" w14:textId="6E41B735" w:rsidR="00F65F7C" w:rsidRPr="00DB0E18" w:rsidRDefault="00F65F7C" w:rsidP="00F65F7C">
      <w:pPr>
        <w:pStyle w:val="Heading1"/>
        <w:rPr>
          <w:lang w:val="fr-FR"/>
        </w:rPr>
      </w:pPr>
      <w:r>
        <w:rPr>
          <w:lang w:val="fr"/>
        </w:rPr>
        <w:t>En date du 19 octobre 2024, sur le montant de 8 535 358 $ US approuvé jusqu’ici (6 166 500 $ US pour le PNUD, 688 215 $ US pour le PNUE et 1 700 643 $ US pour le gouvernement de l’Allemagne), 2 196 017 $ US (26 pour cent) ont été décaissés (1 281 909 $ US pour le PNUD (21</w:t>
      </w:r>
      <w:r w:rsidR="00DB0E18">
        <w:rPr>
          <w:lang w:val="fr"/>
        </w:rPr>
        <w:t> </w:t>
      </w:r>
      <w:r>
        <w:rPr>
          <w:lang w:val="fr"/>
        </w:rPr>
        <w:t>pour cent), 269 108 $ US pour le PNUE (39</w:t>
      </w:r>
      <w:r w:rsidR="005A1491">
        <w:rPr>
          <w:lang w:val="fr"/>
        </w:rPr>
        <w:t> </w:t>
      </w:r>
      <w:r>
        <w:rPr>
          <w:lang w:val="fr"/>
        </w:rPr>
        <w:t>pour cent) et 645 000 $ US pour le gouvernement de l’Allemagne (38</w:t>
      </w:r>
      <w:r w:rsidR="00E31431">
        <w:rPr>
          <w:lang w:val="fr"/>
        </w:rPr>
        <w:t> </w:t>
      </w:r>
      <w:r>
        <w:rPr>
          <w:lang w:val="fr"/>
        </w:rPr>
        <w:t>pour cent). Le solde de 6 339 341 $</w:t>
      </w:r>
      <w:r w:rsidR="0007333F">
        <w:rPr>
          <w:lang w:val="fr"/>
        </w:rPr>
        <w:t> </w:t>
      </w:r>
      <w:r>
        <w:rPr>
          <w:lang w:val="fr"/>
        </w:rPr>
        <w:t>US sera décaissé en 2025 et 2026.</w:t>
      </w:r>
    </w:p>
    <w:p w14:paraId="1A5C3361" w14:textId="77777777" w:rsidR="00F65F7C" w:rsidRPr="00F65F7C" w:rsidRDefault="00F65F7C" w:rsidP="00F65F7C">
      <w:pPr>
        <w:keepNext/>
        <w:spacing w:before="240" w:after="240"/>
        <w:rPr>
          <w:u w:val="single"/>
          <w:lang w:val="fr-FR"/>
        </w:rPr>
      </w:pPr>
      <w:r>
        <w:rPr>
          <w:u w:val="single"/>
          <w:lang w:val="fr"/>
        </w:rPr>
        <w:t>Plan de mise en œuvre de la deuxième tranche de la phase III du plan de gestion de l’élimination des HCFC</w:t>
      </w:r>
    </w:p>
    <w:p w14:paraId="5E2BDF70" w14:textId="035219CA" w:rsidR="00F65F7C" w:rsidRPr="00F65F7C" w:rsidRDefault="00F65F7C" w:rsidP="00F65F7C">
      <w:pPr>
        <w:pStyle w:val="Heading1"/>
        <w:rPr>
          <w:lang w:val="fr-FR"/>
        </w:rPr>
      </w:pPr>
      <w:bookmarkStart w:id="2" w:name="_Hlk126934425"/>
      <w:bookmarkStart w:id="3" w:name="_Hlk126663552"/>
      <w:r>
        <w:rPr>
          <w:lang w:val="fr"/>
        </w:rPr>
        <w:t>Les activités suivantes seront mises en œuvre entre janvier</w:t>
      </w:r>
      <w:r w:rsidR="003F000A">
        <w:rPr>
          <w:lang w:val="fr"/>
        </w:rPr>
        <w:t> </w:t>
      </w:r>
      <w:r>
        <w:rPr>
          <w:lang w:val="fr"/>
        </w:rPr>
        <w:t>2025 et décembre</w:t>
      </w:r>
      <w:r w:rsidR="003F000A">
        <w:rPr>
          <w:lang w:val="fr"/>
        </w:rPr>
        <w:t> </w:t>
      </w:r>
      <w:r>
        <w:rPr>
          <w:lang w:val="fr"/>
        </w:rPr>
        <w:t>2027 :</w:t>
      </w:r>
    </w:p>
    <w:p w14:paraId="5427A54D" w14:textId="3344823B" w:rsidR="00F65F7C" w:rsidRPr="00F65F7C" w:rsidRDefault="00F65F7C" w:rsidP="00F65F7C">
      <w:pPr>
        <w:pStyle w:val="Heading2"/>
        <w:widowControl/>
        <w:numPr>
          <w:ilvl w:val="1"/>
          <w:numId w:val="1"/>
        </w:numPr>
        <w:rPr>
          <w:lang w:val="fr-FR"/>
        </w:rPr>
      </w:pPr>
      <w:r>
        <w:rPr>
          <w:i/>
          <w:iCs/>
          <w:lang w:val="fr"/>
        </w:rPr>
        <w:t>Secteur de la fabrication d’équipements de climatisation (PNUD) :</w:t>
      </w:r>
      <w:r>
        <w:rPr>
          <w:lang w:val="fr"/>
        </w:rPr>
        <w:t xml:space="preserve"> </w:t>
      </w:r>
      <w:r w:rsidR="00A245E0">
        <w:rPr>
          <w:lang w:val="fr"/>
        </w:rPr>
        <w:t>é</w:t>
      </w:r>
      <w:r>
        <w:rPr>
          <w:lang w:val="fr"/>
        </w:rPr>
        <w:t xml:space="preserve">tablissement </w:t>
      </w:r>
      <w:r w:rsidR="00645B38">
        <w:rPr>
          <w:lang w:val="fr"/>
        </w:rPr>
        <w:t>de</w:t>
      </w:r>
      <w:r>
        <w:rPr>
          <w:lang w:val="fr"/>
        </w:rPr>
        <w:t xml:space="preserve"> mémorandum</w:t>
      </w:r>
      <w:r w:rsidR="00645B38">
        <w:rPr>
          <w:lang w:val="fr"/>
        </w:rPr>
        <w:t>s</w:t>
      </w:r>
      <w:r>
        <w:rPr>
          <w:lang w:val="fr"/>
        </w:rPr>
        <w:t xml:space="preserve"> d’accord avec 5 entreprises restantes du secteur de la climatisation, et finalisation et supervision de la conversion de 16 entreprises participantes (879 420 $ US) ;</w:t>
      </w:r>
    </w:p>
    <w:p w14:paraId="0FFD5E1B" w14:textId="478C9860" w:rsidR="00F65F7C" w:rsidRPr="00F65F7C" w:rsidRDefault="00F65F7C" w:rsidP="00F65F7C">
      <w:pPr>
        <w:pStyle w:val="Heading2"/>
        <w:widowControl/>
        <w:numPr>
          <w:ilvl w:val="1"/>
          <w:numId w:val="1"/>
        </w:numPr>
        <w:rPr>
          <w:lang w:val="fr-FR"/>
        </w:rPr>
      </w:pPr>
      <w:r>
        <w:rPr>
          <w:i/>
          <w:iCs/>
          <w:lang w:val="fr"/>
        </w:rPr>
        <w:t>Secteur de la fabrication d’équipements de réfrigération (PNUD) :</w:t>
      </w:r>
      <w:r>
        <w:rPr>
          <w:lang w:val="fr"/>
        </w:rPr>
        <w:t xml:space="preserve"> </w:t>
      </w:r>
      <w:r w:rsidR="00F72E97">
        <w:rPr>
          <w:lang w:val="fr"/>
        </w:rPr>
        <w:t>é</w:t>
      </w:r>
      <w:r>
        <w:rPr>
          <w:lang w:val="fr"/>
        </w:rPr>
        <w:t>tablissement d</w:t>
      </w:r>
      <w:r w:rsidR="004A3D3E">
        <w:rPr>
          <w:lang w:val="fr"/>
        </w:rPr>
        <w:t>e</w:t>
      </w:r>
      <w:r>
        <w:rPr>
          <w:lang w:val="fr"/>
        </w:rPr>
        <w:t xml:space="preserve"> mémorandum</w:t>
      </w:r>
      <w:r w:rsidR="004A3D3E">
        <w:rPr>
          <w:lang w:val="fr"/>
        </w:rPr>
        <w:t>s</w:t>
      </w:r>
      <w:r>
        <w:rPr>
          <w:lang w:val="fr"/>
        </w:rPr>
        <w:t xml:space="preserve"> d’accord avec 15 entreprises restantes ; finalisation et supervision de la conversion de 48 entreprises participantes (921 941 $ US) ;</w:t>
      </w:r>
    </w:p>
    <w:p w14:paraId="060FF134" w14:textId="1F461BA9" w:rsidR="00F65F7C" w:rsidRPr="00F65F7C" w:rsidRDefault="00F65F7C" w:rsidP="00F65F7C">
      <w:pPr>
        <w:pStyle w:val="Heading2"/>
        <w:widowControl/>
        <w:numPr>
          <w:ilvl w:val="1"/>
          <w:numId w:val="1"/>
        </w:numPr>
        <w:rPr>
          <w:lang w:val="fr-FR"/>
        </w:rPr>
      </w:pPr>
      <w:r>
        <w:rPr>
          <w:i/>
          <w:iCs/>
          <w:lang w:val="fr"/>
        </w:rPr>
        <w:t xml:space="preserve">Assistance technique pour le secteur de la fabrication (PNUD) : </w:t>
      </w:r>
      <w:r w:rsidR="00BF051C">
        <w:rPr>
          <w:lang w:val="fr"/>
        </w:rPr>
        <w:t>é</w:t>
      </w:r>
      <w:r>
        <w:rPr>
          <w:lang w:val="fr"/>
        </w:rPr>
        <w:t>tablissement d’un accord avec l’Institut national ; fourniture d’un soutien aux entreprises dans leurs activités de conversion technologique (200 000 $ US) ;</w:t>
      </w:r>
    </w:p>
    <w:p w14:paraId="2CA4FEA1" w14:textId="759FAE5C" w:rsidR="00F65F7C" w:rsidRPr="00F65F7C" w:rsidRDefault="00F65F7C" w:rsidP="00F65F7C">
      <w:pPr>
        <w:pStyle w:val="Heading2"/>
        <w:widowControl/>
        <w:numPr>
          <w:ilvl w:val="1"/>
          <w:numId w:val="1"/>
        </w:numPr>
        <w:rPr>
          <w:lang w:val="fr-FR"/>
        </w:rPr>
      </w:pPr>
      <w:r>
        <w:rPr>
          <w:i/>
          <w:iCs/>
          <w:lang w:val="fr"/>
        </w:rPr>
        <w:t>Renforcement de la capacité dans le secteur de l’entretien d’équipement de réfrigération (PNUD) :</w:t>
      </w:r>
      <w:r>
        <w:rPr>
          <w:lang w:val="fr"/>
        </w:rPr>
        <w:t xml:space="preserve"> </w:t>
      </w:r>
      <w:r w:rsidR="00AF5AF7">
        <w:rPr>
          <w:lang w:val="fr"/>
        </w:rPr>
        <w:t>f</w:t>
      </w:r>
      <w:r>
        <w:rPr>
          <w:lang w:val="fr"/>
        </w:rPr>
        <w:t>ourniture de kits pédagogiques dans le cadre de la première tranche à 25 TVET/centres de formation industrielle et fourniture et délivrance d’outils d’entretien supplémentaires pour les techniciens et les entreprises (2 820 000 $ US) ;</w:t>
      </w:r>
    </w:p>
    <w:p w14:paraId="50C93CCE" w14:textId="30B854F1" w:rsidR="00F65F7C" w:rsidRPr="00F65F7C" w:rsidRDefault="00F65F7C" w:rsidP="00F65F7C">
      <w:pPr>
        <w:pStyle w:val="Heading2"/>
        <w:widowControl/>
        <w:numPr>
          <w:ilvl w:val="1"/>
          <w:numId w:val="1"/>
        </w:numPr>
        <w:rPr>
          <w:lang w:val="fr-FR"/>
        </w:rPr>
      </w:pPr>
      <w:r>
        <w:rPr>
          <w:i/>
          <w:iCs/>
          <w:lang w:val="fr"/>
        </w:rPr>
        <w:t xml:space="preserve">Renforcement de la capacité dans le secteur de l’entretien d’équipements de réfrigération (Allemagne) : </w:t>
      </w:r>
      <w:r w:rsidR="00B10E8A">
        <w:rPr>
          <w:lang w:val="fr"/>
        </w:rPr>
        <w:t>r</w:t>
      </w:r>
      <w:r>
        <w:rPr>
          <w:lang w:val="fr"/>
        </w:rPr>
        <w:t xml:space="preserve">éalisation de deux ateliers de formation de formateurs auprès de 150 formateurs, formation de 10 000 techniciens aux bonnes pratiques d’entretien et à l’installation de climatiseurs individuels utilisant des frigorigènes inflammables, et certification de 3 000 techniciens dans le cadre du système approuvé par le NCVET ; finalisation de l’approvisionnement d’équipement en collaboration avec le PNUD et livraison aux centres de formation industrielle ; finalisation des critères d’achat d’outils pour les techniciens formés et certifiés et les centres d’entretien en réfrigération et climatisation ; et livraison d’outils à 500 techniciens d’entretien formés et certifiés, et à 10 centres d’entretien en réfrigération et climatisation ; et étude de faisabilité sur la pérennité des centres </w:t>
      </w:r>
      <w:r w:rsidR="0095764D">
        <w:rPr>
          <w:lang w:val="fr"/>
        </w:rPr>
        <w:t xml:space="preserve">de </w:t>
      </w:r>
      <w:r>
        <w:rPr>
          <w:lang w:val="fr"/>
        </w:rPr>
        <w:t>régénération dans le cadre de l’assistance technique au programme de RRR (2 140 772 $ US) ;</w:t>
      </w:r>
    </w:p>
    <w:p w14:paraId="532E8E44" w14:textId="71A86A4E" w:rsidR="00F65F7C" w:rsidRPr="00F65F7C" w:rsidRDefault="00F65F7C" w:rsidP="00F65F7C">
      <w:pPr>
        <w:pStyle w:val="Heading2"/>
        <w:widowControl/>
        <w:numPr>
          <w:ilvl w:val="1"/>
          <w:numId w:val="1"/>
        </w:numPr>
        <w:rPr>
          <w:lang w:val="fr-FR"/>
        </w:rPr>
      </w:pPr>
      <w:r>
        <w:rPr>
          <w:i/>
          <w:iCs/>
          <w:lang w:val="fr"/>
        </w:rPr>
        <w:t>Activités de facilitation pour le secteur de l’entretien (PNUE) :</w:t>
      </w:r>
      <w:r>
        <w:rPr>
          <w:lang w:val="fr"/>
        </w:rPr>
        <w:t xml:space="preserve"> </w:t>
      </w:r>
      <w:r w:rsidR="000F5AA8">
        <w:rPr>
          <w:lang w:val="fr"/>
        </w:rPr>
        <w:t>l</w:t>
      </w:r>
      <w:r>
        <w:rPr>
          <w:lang w:val="fr"/>
        </w:rPr>
        <w:t>es activités de facilitation seront mises en œuvre avec l’aide du PNUE pour un coût total de 1 011 000 $ US et comprendront :</w:t>
      </w:r>
    </w:p>
    <w:p w14:paraId="3C14A1F7" w14:textId="30F17311" w:rsidR="00F65F7C" w:rsidRPr="00F65F7C" w:rsidRDefault="00F65F7C" w:rsidP="00F65F7C">
      <w:pPr>
        <w:pStyle w:val="Heading3"/>
        <w:numPr>
          <w:ilvl w:val="2"/>
          <w:numId w:val="1"/>
        </w:numPr>
        <w:rPr>
          <w:lang w:val="fr-FR"/>
        </w:rPr>
      </w:pPr>
      <w:r>
        <w:rPr>
          <w:i/>
          <w:iCs/>
          <w:lang w:val="fr"/>
        </w:rPr>
        <w:lastRenderedPageBreak/>
        <w:t>Un cadre politique et de mise en application :</w:t>
      </w:r>
      <w:r>
        <w:rPr>
          <w:lang w:val="fr"/>
        </w:rPr>
        <w:t xml:space="preserve"> </w:t>
      </w:r>
      <w:r w:rsidR="00407F0A">
        <w:rPr>
          <w:lang w:val="fr"/>
        </w:rPr>
        <w:t>o</w:t>
      </w:r>
      <w:r>
        <w:rPr>
          <w:lang w:val="fr"/>
        </w:rPr>
        <w:t>rganisation de trois ateliers de renforcement de la capacité pour le Comité de contrôle de la pollution (PCB)/les responsables du PCB central comprenant la fourniture de matériel pédagogique, un atelier de profilage des risques pour les responsables de la mise en application des autorités douanières ; organisation d’une formation des formateurs et de quatre ateliers pour les responsables des douanes sur le contrôle du commerce des HCFC ; élaboration de deux vidéos de soutien aux formations ; fourniture et distribution d’identificateurs de frigorigènes à tous les ports douaniers ; élaboration de procédures opérationnelles normalisées pour les agents des forces de l’ordre et d’un atelier sur la lutte contre le commerce illégal ; un atelier ciblé pour les importateurs/exportateurs et négociants ; élaboration de matériel ciblé pour l</w:t>
      </w:r>
      <w:r w:rsidR="00011914">
        <w:rPr>
          <w:lang w:val="fr"/>
        </w:rPr>
        <w:t xml:space="preserve">e personnel </w:t>
      </w:r>
      <w:r w:rsidR="0098562A">
        <w:rPr>
          <w:lang w:val="fr"/>
        </w:rPr>
        <w:t>en charge</w:t>
      </w:r>
      <w:r w:rsidR="00011914">
        <w:rPr>
          <w:lang w:val="fr"/>
        </w:rPr>
        <w:t xml:space="preserve"> de la sécurité au travail</w:t>
      </w:r>
      <w:r>
        <w:rPr>
          <w:lang w:val="fr"/>
        </w:rPr>
        <w:t xml:space="preserve"> ; et quatre formations ciblées pour </w:t>
      </w:r>
      <w:r w:rsidR="00393799">
        <w:rPr>
          <w:lang w:val="fr"/>
        </w:rPr>
        <w:t>l</w:t>
      </w:r>
      <w:r>
        <w:rPr>
          <w:lang w:val="fr"/>
        </w:rPr>
        <w:t xml:space="preserve">es superviseurs/responsables </w:t>
      </w:r>
      <w:r w:rsidR="00393799">
        <w:rPr>
          <w:lang w:val="fr"/>
        </w:rPr>
        <w:t xml:space="preserve">de la sécurité au travail </w:t>
      </w:r>
      <w:r>
        <w:rPr>
          <w:lang w:val="fr"/>
        </w:rPr>
        <w:t>(142 000 $ US) ;</w:t>
      </w:r>
    </w:p>
    <w:p w14:paraId="7E9663B5" w14:textId="0DAC043F" w:rsidR="00F65F7C" w:rsidRPr="00F65F7C" w:rsidRDefault="00F65F7C" w:rsidP="00F65F7C">
      <w:pPr>
        <w:pStyle w:val="Heading3"/>
        <w:numPr>
          <w:ilvl w:val="2"/>
          <w:numId w:val="1"/>
        </w:numPr>
        <w:rPr>
          <w:lang w:val="fr-FR"/>
        </w:rPr>
      </w:pPr>
      <w:r>
        <w:rPr>
          <w:i/>
          <w:iCs/>
          <w:lang w:val="fr"/>
        </w:rPr>
        <w:t>L’élaboration de politiques sectorielles sur les SAO :</w:t>
      </w:r>
      <w:r>
        <w:rPr>
          <w:lang w:val="fr"/>
        </w:rPr>
        <w:t xml:space="preserve"> </w:t>
      </w:r>
      <w:r w:rsidR="00512CCE">
        <w:rPr>
          <w:lang w:val="fr"/>
        </w:rPr>
        <w:t>p</w:t>
      </w:r>
      <w:r>
        <w:rPr>
          <w:lang w:val="fr"/>
        </w:rPr>
        <w:t xml:space="preserve">oursuite de la révision du cadre réglementaire et juridique ; traduction du code des bonnes pratiques d’entretien pour les techniciens frigoristes dans huit langues ; poursuite du travail sur le guide de l’écoconstruction ; production d’un guide pratique </w:t>
      </w:r>
      <w:r w:rsidR="008D7FC1">
        <w:rPr>
          <w:lang w:val="fr"/>
        </w:rPr>
        <w:t>sur</w:t>
      </w:r>
      <w:r>
        <w:rPr>
          <w:lang w:val="fr"/>
        </w:rPr>
        <w:t xml:space="preserve"> les équipements de refroidissement dans les centres de données informatiques et élaboration d’un module de cours universitaire ; élaboration de matériel pour réaliser des ateliers ciblés de sensibilisation aux technologies à faible PRP pour différents secteurs ; poursuite du travail sur le guide pratique sur l’ammoniac/les substances de remplacement à faible PRP ; étude sur la manipulation des systèmes utilisant des SAO et non efficients ; étude sur le développement de la réfrigération dans le secteur des transports ; étude sur les magasins de proximité ; poursuite du travail sur l’étude des technologies indiennes indigènes/de nature différente (NIK) ; étude sur le programme de normes et d’étiquetage ; élaboration d’un code national des normes ; étude des politiques publiques sur les femmes dans le secteur de l’entretien en réfrigération afin d’identifier des mesures politiques intégrant l’égalité de genre</w:t>
      </w:r>
      <w:r w:rsidR="00BF39C2">
        <w:rPr>
          <w:lang w:val="fr"/>
        </w:rPr>
        <w:t>s</w:t>
      </w:r>
      <w:r>
        <w:rPr>
          <w:lang w:val="fr"/>
        </w:rPr>
        <w:t xml:space="preserve"> et une campagne sur les réseaux sociaux pour sensibiliser au rôle des femmes dans la mise en œuvre du Protocole de Montréal et pour promouvoir les opportunités de carrière pour les femmes dans le secteur de l’entretien (616 000 $ US) ;</w:t>
      </w:r>
    </w:p>
    <w:p w14:paraId="6A7C14EE" w14:textId="67D97281" w:rsidR="00F65F7C" w:rsidRPr="00F65F7C" w:rsidRDefault="00F65F7C" w:rsidP="00F65F7C">
      <w:pPr>
        <w:pStyle w:val="Heading3"/>
        <w:numPr>
          <w:ilvl w:val="2"/>
          <w:numId w:val="1"/>
        </w:numPr>
        <w:rPr>
          <w:lang w:val="fr-FR"/>
        </w:rPr>
      </w:pPr>
      <w:r>
        <w:rPr>
          <w:i/>
          <w:iCs/>
          <w:lang w:val="fr"/>
        </w:rPr>
        <w:t>Sensibilisation, informations et communication :</w:t>
      </w:r>
      <w:r>
        <w:rPr>
          <w:lang w:val="fr"/>
        </w:rPr>
        <w:t xml:space="preserve"> </w:t>
      </w:r>
      <w:r w:rsidR="00545884">
        <w:rPr>
          <w:lang w:val="fr"/>
        </w:rPr>
        <w:t>p</w:t>
      </w:r>
      <w:r>
        <w:rPr>
          <w:lang w:val="fr"/>
        </w:rPr>
        <w:t>ublication et diffusion de huit numéros d’une lettre d’information trimestrielle, élaboration de deux vidéos pour promouvoir la sensibilisation à l’interdiction des HCFC, traduction du matériel d’une campagne de sensibilisation des utilisateurs finaux dans huit langues locales, maintenance annuelle du site internet et organisation de deux tournées de présentation itinérantes « Ozone2Climate » (120 500 $ US) ;</w:t>
      </w:r>
    </w:p>
    <w:p w14:paraId="353BEA2B" w14:textId="08ABAE92" w:rsidR="00F65F7C" w:rsidRPr="00F65F7C" w:rsidRDefault="00F65F7C" w:rsidP="00F65F7C">
      <w:pPr>
        <w:pStyle w:val="Heading3"/>
        <w:widowControl/>
        <w:numPr>
          <w:ilvl w:val="2"/>
          <w:numId w:val="1"/>
        </w:numPr>
        <w:rPr>
          <w:lang w:val="fr-FR"/>
        </w:rPr>
      </w:pPr>
      <w:r>
        <w:rPr>
          <w:i/>
          <w:iCs/>
          <w:lang w:val="fr"/>
        </w:rPr>
        <w:t>Assistance technique, intégration et suivi de l’impact :</w:t>
      </w:r>
      <w:r>
        <w:rPr>
          <w:lang w:val="fr"/>
        </w:rPr>
        <w:t xml:space="preserve"> élaboration de trois campagnes sur les réseaux sociaux pour promouvoir la sensibilisation aux questions de genre</w:t>
      </w:r>
      <w:r w:rsidR="004547C8">
        <w:rPr>
          <w:lang w:val="fr"/>
        </w:rPr>
        <w:t>s</w:t>
      </w:r>
      <w:r>
        <w:rPr>
          <w:lang w:val="fr"/>
        </w:rPr>
        <w:t xml:space="preserve"> et organisation de deux ateliers en coopération avec les centres de formation industrielle pour promouvoir la place des femmes dans le secteur de la réfrigération et de la climatisation (132 500 $ US) ; et</w:t>
      </w:r>
    </w:p>
    <w:p w14:paraId="56934930" w14:textId="704F30FE" w:rsidR="00F65F7C" w:rsidRPr="00F65F7C" w:rsidRDefault="00F65F7C" w:rsidP="00F65F7C">
      <w:pPr>
        <w:pStyle w:val="Heading2"/>
        <w:widowControl/>
        <w:numPr>
          <w:ilvl w:val="1"/>
          <w:numId w:val="1"/>
        </w:numPr>
        <w:rPr>
          <w:lang w:val="fr-FR"/>
        </w:rPr>
      </w:pPr>
      <w:r>
        <w:rPr>
          <w:i/>
          <w:iCs/>
          <w:lang w:val="fr"/>
        </w:rPr>
        <w:t>Supervision de projet (PNUD) :</w:t>
      </w:r>
      <w:r>
        <w:rPr>
          <w:lang w:val="fr"/>
        </w:rPr>
        <w:t xml:space="preserve"> </w:t>
      </w:r>
      <w:r w:rsidR="00351DB6">
        <w:rPr>
          <w:lang w:val="fr"/>
        </w:rPr>
        <w:t xml:space="preserve">fourniture d’un </w:t>
      </w:r>
      <w:r w:rsidR="00CC2773">
        <w:rPr>
          <w:lang w:val="fr"/>
        </w:rPr>
        <w:t>s</w:t>
      </w:r>
      <w:r>
        <w:rPr>
          <w:lang w:val="fr"/>
        </w:rPr>
        <w:t xml:space="preserve">outien à la coordination, à la gestion et à la supervision au </w:t>
      </w:r>
      <w:proofErr w:type="gramStart"/>
      <w:r>
        <w:rPr>
          <w:lang w:val="fr"/>
        </w:rPr>
        <w:t>Ministère de l’environnement</w:t>
      </w:r>
      <w:proofErr w:type="gramEnd"/>
      <w:r>
        <w:rPr>
          <w:lang w:val="fr"/>
        </w:rPr>
        <w:t>, des forêts et du changement climatique (</w:t>
      </w:r>
      <w:proofErr w:type="spellStart"/>
      <w:r>
        <w:rPr>
          <w:lang w:val="fr"/>
        </w:rPr>
        <w:t>MoEFCC</w:t>
      </w:r>
      <w:proofErr w:type="spellEnd"/>
      <w:r>
        <w:rPr>
          <w:lang w:val="fr"/>
        </w:rPr>
        <w:t xml:space="preserve">) comprenant l’assistance aux entreprises de fabrication dans leurs conversions, la mise en place d’une procédure d’achat des outils pour les techniciens, l’organisation de deux réunions du comité de projet et </w:t>
      </w:r>
      <w:r w:rsidR="00351DB6">
        <w:rPr>
          <w:lang w:val="fr"/>
        </w:rPr>
        <w:t xml:space="preserve">la </w:t>
      </w:r>
      <w:r>
        <w:rPr>
          <w:lang w:val="fr"/>
        </w:rPr>
        <w:t>soumission de la demande pour la troisième tranche (674 572 $ US</w:t>
      </w:r>
      <w:bookmarkEnd w:id="2"/>
      <w:bookmarkEnd w:id="3"/>
      <w:r>
        <w:rPr>
          <w:lang w:val="fr"/>
        </w:rPr>
        <w:t>).</w:t>
      </w:r>
    </w:p>
    <w:p w14:paraId="6B6BA0E9" w14:textId="77777777" w:rsidR="00F65F7C" w:rsidRPr="00F65F7C" w:rsidRDefault="00F65F7C" w:rsidP="00F65F7C">
      <w:pPr>
        <w:keepNext/>
        <w:keepLines/>
        <w:spacing w:before="360" w:after="240"/>
        <w:jc w:val="center"/>
        <w:rPr>
          <w:b/>
          <w:lang w:val="fr-FR"/>
        </w:rPr>
      </w:pPr>
      <w:r>
        <w:rPr>
          <w:b/>
          <w:bCs/>
          <w:lang w:val="fr"/>
        </w:rPr>
        <w:lastRenderedPageBreak/>
        <w:t>OBSERVATIONS ET RECOMMANDATION DU SECRÉTARIAT</w:t>
      </w:r>
    </w:p>
    <w:p w14:paraId="1B08E8C2" w14:textId="77777777" w:rsidR="00F65F7C" w:rsidRPr="00F65F7C" w:rsidRDefault="00F65F7C" w:rsidP="00F65F7C">
      <w:pPr>
        <w:keepNext/>
        <w:keepLines/>
        <w:rPr>
          <w:b/>
          <w:lang w:val="fr-FR"/>
        </w:rPr>
      </w:pPr>
      <w:r>
        <w:rPr>
          <w:b/>
          <w:bCs/>
          <w:lang w:val="fr"/>
        </w:rPr>
        <w:t>OBSERVATIONS</w:t>
      </w:r>
    </w:p>
    <w:p w14:paraId="3FD61359" w14:textId="77777777" w:rsidR="00F65F7C" w:rsidRPr="00F65F7C" w:rsidRDefault="00F65F7C" w:rsidP="00F65F7C">
      <w:pPr>
        <w:keepNext/>
        <w:keepLines/>
        <w:spacing w:before="240" w:after="240"/>
        <w:rPr>
          <w:u w:val="single"/>
          <w:lang w:val="fr-FR"/>
        </w:rPr>
      </w:pPr>
      <w:r>
        <w:rPr>
          <w:u w:val="single"/>
          <w:lang w:val="fr"/>
        </w:rPr>
        <w:t>Rapport périodique sur la mise en œuvre de la première tranche de la phase III du plan de gestion de l’élimination des HCFC</w:t>
      </w:r>
    </w:p>
    <w:p w14:paraId="12B11201" w14:textId="77777777" w:rsidR="00F65F7C" w:rsidRPr="003D1668" w:rsidRDefault="00F65F7C" w:rsidP="00F65F7C">
      <w:pPr>
        <w:keepNext/>
        <w:keepLines/>
        <w:spacing w:before="240" w:after="240"/>
        <w:rPr>
          <w:i/>
        </w:rPr>
      </w:pPr>
      <w:r>
        <w:rPr>
          <w:i/>
          <w:iCs/>
          <w:lang w:val="fr"/>
        </w:rPr>
        <w:t>Cadre juridique</w:t>
      </w:r>
    </w:p>
    <w:p w14:paraId="2E0C6D95" w14:textId="77777777" w:rsidR="00F65F7C" w:rsidRPr="00F65F7C" w:rsidRDefault="00F65F7C" w:rsidP="00F65F7C">
      <w:pPr>
        <w:pStyle w:val="Heading1"/>
        <w:rPr>
          <w:lang w:val="fr-FR"/>
        </w:rPr>
      </w:pPr>
      <w:r>
        <w:rPr>
          <w:lang w:val="fr"/>
        </w:rPr>
        <w:t>Le gouvernement de l’Inde a déjà émis des quotas d’importation de HCFC pour 2024 conformes aux objectifs de réglementation du Protocole de Montréal et de son Accord avec le Comité exécutif.</w:t>
      </w:r>
    </w:p>
    <w:p w14:paraId="2DD4AFF7" w14:textId="77777777" w:rsidR="00F65F7C" w:rsidRPr="00F65F7C" w:rsidRDefault="00F65F7C" w:rsidP="00F65F7C">
      <w:pPr>
        <w:pStyle w:val="Heading1"/>
        <w:keepNext/>
        <w:widowControl w:val="0"/>
        <w:numPr>
          <w:ilvl w:val="0"/>
          <w:numId w:val="0"/>
        </w:numPr>
        <w:rPr>
          <w:i/>
          <w:lang w:val="fr-FR"/>
        </w:rPr>
      </w:pPr>
      <w:r>
        <w:rPr>
          <w:i/>
          <w:iCs/>
          <w:lang w:val="fr"/>
        </w:rPr>
        <w:t xml:space="preserve">Secteur de la fabrication des équipements de réfrigération commerciale </w:t>
      </w:r>
    </w:p>
    <w:p w14:paraId="536F7178" w14:textId="448D2066" w:rsidR="00F65F7C" w:rsidRPr="00F65F7C" w:rsidRDefault="00F65F7C" w:rsidP="00F65F7C">
      <w:pPr>
        <w:pStyle w:val="Heading1"/>
        <w:rPr>
          <w:lang w:val="fr-FR"/>
        </w:rPr>
      </w:pPr>
      <w:r>
        <w:rPr>
          <w:lang w:val="fr"/>
        </w:rPr>
        <w:t>Concernant les 15 entreprises n’ayant pas encore signé de mémorandum d’accord pour leur conversion, le PNUD a expliqué que sept d’entre elles sont des très petites entreprises, cinq sont des petites entreprises et trois sont des entreprises de taille moyenne ; une tierce partie leur a rendu visite et a vérifié que tous les critères d’éligibilité nationaux et liés au Fonds multilatéral étaient remplis, et que leurs mémorandums d’accord sont à l’étude et devraient être signés durant le quatrième trimestre 2024. Pour ce qui est des 91 entreprises non éligibles et qui éliminent le HCFC-22 sur leurs propres fonds, les principaux défis qu’elles doivent relever sont les choix technologiques/les capacités techniques, comme prévu. La Cellule Ozone facilite le conseil technique à ces entreprises inéligibles par l’entremise d’experts, et celles-ci doivent soumettre des rapports trimestriels à la Cellule Ozone, conformément aux clauses des Règles (de réglementation et de contrôle) sur les SAO. La Cellule Ozone supervise étroitement la consommation de HCFC-22 de ces entreprises pour s’assurer que son utilisation cesse d’ici le 31 décembre 2024.</w:t>
      </w:r>
    </w:p>
    <w:p w14:paraId="7560E128" w14:textId="77777777" w:rsidR="00F65F7C" w:rsidRPr="00F65F7C" w:rsidRDefault="00F65F7C" w:rsidP="00F65F7C">
      <w:pPr>
        <w:pStyle w:val="Heading1"/>
        <w:numPr>
          <w:ilvl w:val="0"/>
          <w:numId w:val="0"/>
        </w:numPr>
        <w:rPr>
          <w:i/>
          <w:lang w:val="fr-FR"/>
        </w:rPr>
      </w:pPr>
      <w:r>
        <w:rPr>
          <w:i/>
          <w:iCs/>
          <w:lang w:val="fr"/>
        </w:rPr>
        <w:t xml:space="preserve">Secteur de la fabrication d’équipements de climatisation </w:t>
      </w:r>
    </w:p>
    <w:p w14:paraId="20AAB032" w14:textId="77777777" w:rsidR="00F65F7C" w:rsidRPr="00F65F7C" w:rsidRDefault="00F65F7C" w:rsidP="00F65F7C">
      <w:pPr>
        <w:pStyle w:val="Heading1"/>
        <w:rPr>
          <w:lang w:val="fr-FR"/>
        </w:rPr>
      </w:pPr>
      <w:r>
        <w:rPr>
          <w:lang w:val="fr"/>
        </w:rPr>
        <w:t>Le PNUD a expliqué que parmi les cinq entreprises restantes devant se convertir aux substances de remplacement à faible PRP, deux sont de très petites entreprises, une est une petite entreprise, une est une entreprise de taille moyenne et une est une grande entreprise. Une tierce partie leur a rendu visite et a vérifié que tous les critères d’éligibilité nationaux et liés au Fonds multilatéral étaient remplis, et que leurs mémorandums d’accord étaient à l’étude et devaient être signés durant le quatrième trimestre 2024. Tout comme pour les entreprises du secteur de la réfrigération commerciale non éligibles, les principaux défis que ces 14 entreprises non éligibles et qui éliminent le HCFC-22 sur leurs propres fonds doivent relever sont les choix technologiques/les capacités techniques. La Cellule Ozone facilite le conseil technique à ces entreprises inéligibles par l’entremise d’experts, et celles-ci doivent soumettre des rapports trimestriels à la Cellule Ozone, conformément aux clauses des Règles (de réglementation et de contrôle) sur les SAO. La Cellule Ozone supervise étroitement la consommation de HCFC-22 de ces entreprises pour s’assurer que son utilisation cesse d’ici le 31 décembre 2024.</w:t>
      </w:r>
    </w:p>
    <w:p w14:paraId="4F3640F6" w14:textId="77777777" w:rsidR="00F65F7C" w:rsidRPr="00F65F7C" w:rsidRDefault="00F65F7C" w:rsidP="00F65F7C">
      <w:pPr>
        <w:pStyle w:val="Heading1"/>
        <w:numPr>
          <w:ilvl w:val="0"/>
          <w:numId w:val="0"/>
        </w:numPr>
        <w:rPr>
          <w:i/>
          <w:iCs/>
          <w:lang w:val="fr-FR"/>
        </w:rPr>
      </w:pPr>
      <w:r>
        <w:rPr>
          <w:i/>
          <w:iCs/>
          <w:lang w:val="fr"/>
        </w:rPr>
        <w:t>Assistance technique pour le secteur de la fabrication</w:t>
      </w:r>
    </w:p>
    <w:p w14:paraId="6F66EC30" w14:textId="5FF7E3E2" w:rsidR="00F65F7C" w:rsidRPr="00F65F7C" w:rsidRDefault="00F65F7C" w:rsidP="00F65F7C">
      <w:pPr>
        <w:pStyle w:val="Heading1"/>
        <w:rPr>
          <w:lang w:val="fr-FR"/>
        </w:rPr>
      </w:pPr>
      <w:r>
        <w:rPr>
          <w:lang w:val="fr"/>
        </w:rPr>
        <w:t xml:space="preserve">Le Secrétariat a demandé si un mémorandum d’accord serait signé avec l’institution technique gouvernementale nationale identifiée pour fournir un soutien technique aux entreprises dans le secteur de la fabrication. Le PNUD a confirmé qu’en se basant sur une visite et des discussions ayant eu lieu entre la Cellule Ozone et l’institution, les modalités de poursuite du soutien technique pour au moins trois ans après l’achèvement des activités de conversion sont en cours de finalisation, après quoi le mémorandum d’accord sera signé d’ici décembre 2024. Le Secrétariat a aussi noté avec satisfaction </w:t>
      </w:r>
      <w:r w:rsidR="00F83AFC">
        <w:rPr>
          <w:lang w:val="fr"/>
        </w:rPr>
        <w:t>que bien que l’</w:t>
      </w:r>
      <w:r>
        <w:rPr>
          <w:lang w:val="fr"/>
        </w:rPr>
        <w:t>accord n</w:t>
      </w:r>
      <w:r w:rsidR="00F83AFC">
        <w:rPr>
          <w:lang w:val="fr"/>
        </w:rPr>
        <w:t>e soit pas encore</w:t>
      </w:r>
      <w:r>
        <w:rPr>
          <w:lang w:val="fr"/>
        </w:rPr>
        <w:t xml:space="preserve"> signé, l’institution place déjà ses équipes techniques à la disposition des entreprises pour soutenir leur transition technologique, en participant à des réunions avec les entreprises et en guidant les entreprises dans leurs activités de conversion technologique, aux côtés des consultants internationaux mis à disposition dans le cadre du PGEH.</w:t>
      </w:r>
    </w:p>
    <w:p w14:paraId="5A7FF0EF" w14:textId="77777777" w:rsidR="00F65F7C" w:rsidRPr="00F65F7C" w:rsidRDefault="00F65F7C" w:rsidP="00F65F7C">
      <w:pPr>
        <w:pStyle w:val="Heading1"/>
        <w:numPr>
          <w:ilvl w:val="0"/>
          <w:numId w:val="0"/>
        </w:numPr>
        <w:rPr>
          <w:i/>
          <w:lang w:val="fr-FR"/>
        </w:rPr>
      </w:pPr>
      <w:r>
        <w:rPr>
          <w:i/>
          <w:iCs/>
          <w:lang w:val="fr"/>
        </w:rPr>
        <w:lastRenderedPageBreak/>
        <w:t>Secteur de l’entretien de l’équipement de réfrigération</w:t>
      </w:r>
    </w:p>
    <w:p w14:paraId="794AF8A2" w14:textId="43867EF8" w:rsidR="00F65F7C" w:rsidRPr="00F65F7C" w:rsidRDefault="00F65F7C" w:rsidP="00F65F7C">
      <w:pPr>
        <w:pStyle w:val="Heading1"/>
        <w:rPr>
          <w:lang w:val="fr-FR"/>
        </w:rPr>
      </w:pPr>
      <w:r>
        <w:rPr>
          <w:lang w:val="fr"/>
        </w:rPr>
        <w:t xml:space="preserve">Le Secrétariat note avec satisfaction que la proposition soumise par la Cellule Ozone pour un système de certification unifié pour les techniciens d’entretien a été approuvée par le NVCET, que le programme de formation a été mis à jour et que le matériel pédagogique a été élaboré. En fournissant plus de détails sur le système de certification, le gouvernement de l’Allemagne a expliqué que le Conseil des compétences du secteur de l’électronique de l’Inde (ESCCI) est l’un des organismes de délivrance enregistrés auprès du NVCET ; le contenu pédagogique (connu comme le « pack de qualifications ») élaboré conjointement avec la Cellule Ozone, l’ESCCI et l’Allemagne, a été soumis au NVCET, et approuvé pour le système de certification des techniciens frigoristes. Le </w:t>
      </w:r>
      <w:proofErr w:type="gramStart"/>
      <w:r>
        <w:rPr>
          <w:lang w:val="fr"/>
        </w:rPr>
        <w:t>Ministère de l’environnement</w:t>
      </w:r>
      <w:proofErr w:type="gramEnd"/>
      <w:r>
        <w:rPr>
          <w:lang w:val="fr"/>
        </w:rPr>
        <w:t>, des forêts et du changement climatique (</w:t>
      </w:r>
      <w:proofErr w:type="spellStart"/>
      <w:r>
        <w:rPr>
          <w:lang w:val="fr"/>
        </w:rPr>
        <w:t>MoEFCC</w:t>
      </w:r>
      <w:proofErr w:type="spellEnd"/>
      <w:r>
        <w:rPr>
          <w:lang w:val="fr"/>
        </w:rPr>
        <w:t xml:space="preserve">) a envoyé une communication à toutes les agences concernées </w:t>
      </w:r>
      <w:r w:rsidR="000D5DDC">
        <w:rPr>
          <w:lang w:val="fr"/>
        </w:rPr>
        <w:t>par</w:t>
      </w:r>
      <w:r>
        <w:rPr>
          <w:lang w:val="fr"/>
        </w:rPr>
        <w:t xml:space="preserve"> la formation des techniciens d’entretien en réfrigération et climatisation pour qu’elles adoptent et mettent en œuvre le système de certification approuvé. Le NVCET délivrera la certification en fonction de l’évaluation des techniciens formés, effectuée par 12 agences d’évaluation constituées par l’ESCCI. Un mémorandum d’entente tripartite a été signé entre l’ESCCI, l’Allemagne et la Cellule Ozone pour la mise en œuvre du système de certification. À la suite du mémorandum d’entente, des accords spécifiques bisannuels couvrant les détails des modalités comprenant le coût de certification par technicien sont en cours d’élaboration pour commencer une mise en œuvre à partir de décembre 2024. Cela se synchronisera avec les activités pédagogiques devant être initiées par l’Allemagne en décembre après révision du plan de cours des centres de formation industrielle pour que ce dernier intègre les connaissances sur les frigorigènes de remplacement à faible PRP, la mise en œuvre de protocoles de sécurités pour les frigorigènes inflammables, et une vue d’ensemble de l’efficacité énergétique comprenant les initiatives d’étiquetage à étoiles (Star Label) et le Taux d’efficacité énergétique saisonni</w:t>
      </w:r>
      <w:r w:rsidR="00107880">
        <w:rPr>
          <w:lang w:val="fr"/>
        </w:rPr>
        <w:t>ère</w:t>
      </w:r>
      <w:r>
        <w:rPr>
          <w:lang w:val="fr"/>
        </w:rPr>
        <w:t xml:space="preserve"> </w:t>
      </w:r>
      <w:r w:rsidR="00107880">
        <w:rPr>
          <w:lang w:val="fr"/>
        </w:rPr>
        <w:t>de l’Inde</w:t>
      </w:r>
      <w:bookmarkStart w:id="4" w:name="_Hlk125544833"/>
      <w:r w:rsidR="00107880">
        <w:rPr>
          <w:lang w:val="fr"/>
        </w:rPr>
        <w:t>.</w:t>
      </w:r>
    </w:p>
    <w:p w14:paraId="4C3149B3" w14:textId="77777777" w:rsidR="00F65F7C" w:rsidRDefault="00F65F7C" w:rsidP="00F65F7C">
      <w:pPr>
        <w:pStyle w:val="Heading1"/>
        <w:keepNext/>
        <w:numPr>
          <w:ilvl w:val="0"/>
          <w:numId w:val="0"/>
        </w:numPr>
        <w:rPr>
          <w:i/>
        </w:rPr>
      </w:pPr>
      <w:r>
        <w:rPr>
          <w:i/>
          <w:iCs/>
          <w:lang w:val="fr"/>
        </w:rPr>
        <w:t>Activités de facilitation</w:t>
      </w:r>
    </w:p>
    <w:p w14:paraId="19E532C5" w14:textId="672C800C" w:rsidR="00F65F7C" w:rsidRPr="00F65F7C" w:rsidRDefault="00AB23B9" w:rsidP="00F65F7C">
      <w:pPr>
        <w:pStyle w:val="Heading1"/>
        <w:rPr>
          <w:lang w:val="fr-FR"/>
        </w:rPr>
      </w:pPr>
      <w:r w:rsidRPr="00AB23B9">
        <w:rPr>
          <w:i/>
          <w:iCs/>
          <w:lang w:val="fr-FR"/>
        </w:rPr>
        <w:t>C</w:t>
      </w:r>
      <w:proofErr w:type="spellStart"/>
      <w:r w:rsidR="00F65F7C">
        <w:rPr>
          <w:i/>
          <w:iCs/>
          <w:lang w:val="fr"/>
        </w:rPr>
        <w:t>adre</w:t>
      </w:r>
      <w:proofErr w:type="spellEnd"/>
      <w:r w:rsidR="00F65F7C">
        <w:rPr>
          <w:i/>
          <w:iCs/>
          <w:lang w:val="fr"/>
        </w:rPr>
        <w:t xml:space="preserve"> politique et de mise en application :</w:t>
      </w:r>
      <w:r w:rsidR="00F65F7C">
        <w:rPr>
          <w:lang w:val="fr"/>
        </w:rPr>
        <w:t xml:space="preserve"> </w:t>
      </w:r>
      <w:r w:rsidR="00B13B4F">
        <w:rPr>
          <w:lang w:val="fr"/>
        </w:rPr>
        <w:t>c</w:t>
      </w:r>
      <w:r w:rsidR="00F65F7C">
        <w:rPr>
          <w:lang w:val="fr"/>
        </w:rPr>
        <w:t xml:space="preserve">oncernant la formation des responsables du PCB débutée en octobre 2024, le PNUE a expliqué qu’il y aurait sept ateliers qui courraient jusqu’au troisième trimestre 2025 avec pour but, entre autres, d’accroître les connaissances sur les clauses du Protocole de Montréal et la gestion du cycle de vie des frigorigènes afin de soutenir l’achèvement des directives pour la gestion et l’élimination correctes des frigorigènes à la fin de vie des équipements de réfrigération et de climatisation, la supervision des entreprises utilisant des substances réglementées en tenant compte des dispositions des réglementations </w:t>
      </w:r>
      <w:r w:rsidR="00184390">
        <w:rPr>
          <w:lang w:val="fr"/>
        </w:rPr>
        <w:t xml:space="preserve">portant sur les SAO </w:t>
      </w:r>
      <w:r w:rsidR="00F65F7C">
        <w:rPr>
          <w:lang w:val="fr"/>
        </w:rPr>
        <w:t xml:space="preserve">et des modalités </w:t>
      </w:r>
      <w:r w:rsidR="00184390">
        <w:rPr>
          <w:lang w:val="fr"/>
        </w:rPr>
        <w:t>de</w:t>
      </w:r>
      <w:r w:rsidR="00F65F7C">
        <w:rPr>
          <w:lang w:val="fr"/>
        </w:rPr>
        <w:t xml:space="preserve"> supervis</w:t>
      </w:r>
      <w:r w:rsidR="00184390">
        <w:rPr>
          <w:lang w:val="fr"/>
        </w:rPr>
        <w:t>ion</w:t>
      </w:r>
      <w:r w:rsidR="00F65F7C">
        <w:rPr>
          <w:lang w:val="fr"/>
        </w:rPr>
        <w:t xml:space="preserve"> </w:t>
      </w:r>
      <w:r w:rsidR="005672D3">
        <w:rPr>
          <w:lang w:val="fr"/>
        </w:rPr>
        <w:t>d</w:t>
      </w:r>
      <w:r w:rsidR="00F65F7C">
        <w:rPr>
          <w:lang w:val="fr"/>
        </w:rPr>
        <w:t xml:space="preserve">es techniques de destruction approuvées. Le Secrétariat </w:t>
      </w:r>
      <w:r w:rsidR="004E70F7">
        <w:rPr>
          <w:lang w:val="fr"/>
        </w:rPr>
        <w:t>a aussi demandé des précisions sur les</w:t>
      </w:r>
      <w:r w:rsidR="00F65F7C">
        <w:rPr>
          <w:lang w:val="fr"/>
        </w:rPr>
        <w:t xml:space="preserve"> procédures opérationnelles normalisées et </w:t>
      </w:r>
      <w:r w:rsidR="008957A2">
        <w:rPr>
          <w:lang w:val="fr"/>
        </w:rPr>
        <w:t>le</w:t>
      </w:r>
      <w:r w:rsidR="00F65F7C">
        <w:rPr>
          <w:lang w:val="fr"/>
        </w:rPr>
        <w:t xml:space="preserve"> matériel pour le personnel </w:t>
      </w:r>
      <w:r w:rsidR="006F0A0F">
        <w:rPr>
          <w:lang w:val="fr"/>
        </w:rPr>
        <w:t>en charge</w:t>
      </w:r>
      <w:r w:rsidR="00F65F7C">
        <w:rPr>
          <w:lang w:val="fr"/>
        </w:rPr>
        <w:t xml:space="preserve"> de la sécurité au travail, le PNUE a expliqué que le travail sur ces sujets devrait commencer en janvier 2025 avec une série de consultations auprès du personnel </w:t>
      </w:r>
      <w:r w:rsidR="000D4E79">
        <w:rPr>
          <w:lang w:val="fr"/>
        </w:rPr>
        <w:t>en charge</w:t>
      </w:r>
      <w:r w:rsidR="00F65F7C">
        <w:rPr>
          <w:lang w:val="fr"/>
        </w:rPr>
        <w:t xml:space="preserve"> de la sécurité au travail, du Bureau des normes indiennes (BIS), qui travaille actuellement sur des normes de sécurité pour les frigorigènes conformément au Plan d’action de l’Inde sur le refroidissement (ICAP), et des parties prenantes du secteur privé. En fonction des résultats de ces consultations, le développement </w:t>
      </w:r>
      <w:r w:rsidR="00737A95">
        <w:rPr>
          <w:lang w:val="fr"/>
        </w:rPr>
        <w:t xml:space="preserve">des procédures opérationnelles normalisées et </w:t>
      </w:r>
      <w:r w:rsidR="00F65F7C">
        <w:rPr>
          <w:lang w:val="fr"/>
        </w:rPr>
        <w:t>d</w:t>
      </w:r>
      <w:r w:rsidR="00737A95">
        <w:rPr>
          <w:lang w:val="fr"/>
        </w:rPr>
        <w:t>u</w:t>
      </w:r>
      <w:r w:rsidR="00F65F7C">
        <w:rPr>
          <w:lang w:val="fr"/>
        </w:rPr>
        <w:t xml:space="preserve"> matériel débuteront au deuxième trimestre 2025.</w:t>
      </w:r>
    </w:p>
    <w:p w14:paraId="08D961C6" w14:textId="2903B3A5" w:rsidR="00F65F7C" w:rsidRPr="00F65F7C" w:rsidRDefault="00AB23B9" w:rsidP="00F65F7C">
      <w:pPr>
        <w:pStyle w:val="Heading1"/>
        <w:rPr>
          <w:lang w:val="fr-FR"/>
        </w:rPr>
      </w:pPr>
      <w:r>
        <w:rPr>
          <w:i/>
          <w:iCs/>
          <w:lang w:val="fr"/>
        </w:rPr>
        <w:t>É</w:t>
      </w:r>
      <w:r w:rsidR="00F65F7C">
        <w:rPr>
          <w:i/>
          <w:iCs/>
          <w:lang w:val="fr"/>
        </w:rPr>
        <w:t>laboration de politiques sectorielles sur les SAO :</w:t>
      </w:r>
      <w:r w:rsidR="00F65F7C">
        <w:rPr>
          <w:lang w:val="fr"/>
        </w:rPr>
        <w:t xml:space="preserve"> </w:t>
      </w:r>
      <w:r w:rsidR="00842706">
        <w:rPr>
          <w:lang w:val="fr"/>
        </w:rPr>
        <w:t>e</w:t>
      </w:r>
      <w:r w:rsidR="00F65F7C">
        <w:rPr>
          <w:lang w:val="fr"/>
        </w:rPr>
        <w:t xml:space="preserve">n expliquant les raisons pour lesquelles aucun </w:t>
      </w:r>
      <w:r w:rsidR="00D24BA0">
        <w:rPr>
          <w:lang w:val="fr"/>
        </w:rPr>
        <w:t>d</w:t>
      </w:r>
      <w:r w:rsidR="00F65F7C">
        <w:rPr>
          <w:lang w:val="fr"/>
        </w:rPr>
        <w:t>es mandats pour les études proposées dans le cadre de cette activité n’ont été achevés, le PNUE a expliqué qu’il a fallu un certain temps pour transférer les fonds dans le pays et que commencer la mise en œuvre rapidement après l’approbation s’est avéré difficile. En outre, comme plusieurs des activités sont liées de près aux domaines thématiques de l’ICAP, les ministères/départements sectoriels impliqués ont été contactés pour faire part de leurs commentaires après la finalisation des points d’action pour toutes les thématiques relatives à l’ICAP en 2023 et 2024. Le PNUE a assuré que les projets de mandats ont déjà été discutés avec les parties prenantes impliquées et que les études débuteront avec les partenaires nationaux pertinents en décembre 2024.</w:t>
      </w:r>
    </w:p>
    <w:bookmarkEnd w:id="4"/>
    <w:p w14:paraId="168890DF" w14:textId="77777777" w:rsidR="00F65F7C" w:rsidRPr="00F65F7C" w:rsidRDefault="00F65F7C" w:rsidP="00F65F7C">
      <w:pPr>
        <w:keepNext/>
        <w:spacing w:after="240"/>
        <w:rPr>
          <w:u w:val="single"/>
          <w:lang w:val="fr-FR"/>
        </w:rPr>
      </w:pPr>
      <w:r>
        <w:rPr>
          <w:u w:val="single"/>
          <w:lang w:val="fr"/>
        </w:rPr>
        <w:lastRenderedPageBreak/>
        <w:t>Plan de mise en œuvre de la deuxième tranche de la phase III du plan de gestion de l’élimination des HCFC</w:t>
      </w:r>
    </w:p>
    <w:p w14:paraId="102A675F" w14:textId="77777777" w:rsidR="00F65F7C" w:rsidRPr="00F65F7C" w:rsidRDefault="00F65F7C" w:rsidP="00F65F7C">
      <w:pPr>
        <w:keepNext/>
        <w:spacing w:after="240"/>
        <w:rPr>
          <w:i/>
          <w:iCs/>
          <w:lang w:val="fr-FR"/>
        </w:rPr>
      </w:pPr>
      <w:r>
        <w:rPr>
          <w:i/>
          <w:iCs/>
          <w:lang w:val="fr"/>
        </w:rPr>
        <w:t>Secteur de l’entretien de l’équipement de réfrigération</w:t>
      </w:r>
    </w:p>
    <w:p w14:paraId="45CC6F5E" w14:textId="747DDB09" w:rsidR="00F65F7C" w:rsidRPr="00F65F7C" w:rsidRDefault="00F65F7C" w:rsidP="00F65F7C">
      <w:pPr>
        <w:pStyle w:val="Heading1"/>
        <w:rPr>
          <w:lang w:val="fr-FR"/>
        </w:rPr>
      </w:pPr>
      <w:r>
        <w:rPr>
          <w:i/>
          <w:iCs/>
          <w:lang w:val="fr"/>
        </w:rPr>
        <w:t>Composante de soutien à l’équipement (PNUD)</w:t>
      </w:r>
      <w:r w:rsidR="001A5B37">
        <w:rPr>
          <w:i/>
          <w:iCs/>
          <w:lang w:val="fr"/>
        </w:rPr>
        <w:t> </w:t>
      </w:r>
      <w:r w:rsidRPr="00DE461D">
        <w:rPr>
          <w:lang w:val="fr"/>
        </w:rPr>
        <w:t>:</w:t>
      </w:r>
      <w:r>
        <w:rPr>
          <w:lang w:val="fr"/>
        </w:rPr>
        <w:t xml:space="preserve"> </w:t>
      </w:r>
      <w:r w:rsidR="00005A98">
        <w:rPr>
          <w:lang w:val="fr"/>
        </w:rPr>
        <w:t>c</w:t>
      </w:r>
      <w:r>
        <w:rPr>
          <w:lang w:val="fr"/>
        </w:rPr>
        <w:t xml:space="preserve">oncernant les 2 820 000 $ US demandés dans le cadre de la deuxième tranche, le PNUD a indiqué qu’ils seraient utilisés pour acheter et distribuer des ensembles d’équipements supplémentaires pour les centres de formation </w:t>
      </w:r>
      <w:r w:rsidR="00001A45">
        <w:rPr>
          <w:lang w:val="fr"/>
        </w:rPr>
        <w:t>industrielle (ITI)</w:t>
      </w:r>
      <w:r>
        <w:rPr>
          <w:lang w:val="fr"/>
        </w:rPr>
        <w:t xml:space="preserve"> et des kits d’outils et d’équipements pour les techniciens certifiés et les centres d’entretien en réfrigération et climatisation. Le PNUD a confirmé que la demande était conforme au </w:t>
      </w:r>
      <w:proofErr w:type="gramStart"/>
      <w:r>
        <w:rPr>
          <w:lang w:val="fr"/>
        </w:rPr>
        <w:t>plan</w:t>
      </w:r>
      <w:proofErr w:type="gramEnd"/>
      <w:r>
        <w:rPr>
          <w:lang w:val="fr"/>
        </w:rPr>
        <w:t xml:space="preserve"> de la phase III du PGEH de fournir des équipements pour 100 à 120 centres de formation </w:t>
      </w:r>
      <w:r w:rsidR="00534996">
        <w:rPr>
          <w:lang w:val="fr"/>
        </w:rPr>
        <w:t>industrielle</w:t>
      </w:r>
      <w:r>
        <w:rPr>
          <w:lang w:val="fr"/>
        </w:rPr>
        <w:t>, 2 000 techniciens certifiés et 1 000 ateliers d’entretien en réfrigération et climatisation.</w:t>
      </w:r>
    </w:p>
    <w:p w14:paraId="4ED94A68" w14:textId="2F443FFA" w:rsidR="00F65F7C" w:rsidRPr="00F65F7C" w:rsidRDefault="00F65F7C" w:rsidP="00F65F7C">
      <w:pPr>
        <w:pStyle w:val="Heading1"/>
        <w:rPr>
          <w:lang w:val="fr-FR"/>
        </w:rPr>
      </w:pPr>
      <w:r>
        <w:rPr>
          <w:i/>
          <w:iCs/>
          <w:lang w:val="fr"/>
        </w:rPr>
        <w:t>Renforcement de la capacité dans le secteur de l’entretien d’équipements de réfrigération (Allemagne) </w:t>
      </w:r>
      <w:r w:rsidRPr="00CD53CB">
        <w:rPr>
          <w:lang w:val="fr"/>
        </w:rPr>
        <w:t>:</w:t>
      </w:r>
      <w:r>
        <w:rPr>
          <w:lang w:val="fr"/>
        </w:rPr>
        <w:t xml:space="preserve"> </w:t>
      </w:r>
      <w:r w:rsidR="00CD53CB">
        <w:rPr>
          <w:lang w:val="fr"/>
        </w:rPr>
        <w:t>l</w:t>
      </w:r>
      <w:r>
        <w:rPr>
          <w:lang w:val="fr"/>
        </w:rPr>
        <w:t xml:space="preserve">’Allemagne a clarifié qu’elle prévoyait de former 250 formateurs, 100 dans le cadre de la première tranche et 150 dans le cadre de la deuxième. Cinquante de ces formateurs seront issus de la formation allemande, et dispenseront ensuite une formation aux 25 000 techniciens ciblés dans le cadre de la phase III, les formateurs restants seront les 100 à 120 centres de formation </w:t>
      </w:r>
      <w:r w:rsidR="000F563E">
        <w:rPr>
          <w:lang w:val="fr"/>
        </w:rPr>
        <w:t>industrielle</w:t>
      </w:r>
      <w:r>
        <w:rPr>
          <w:lang w:val="fr"/>
        </w:rPr>
        <w:t xml:space="preserve"> qui seront renforcés aussi grâce à de l’équipement </w:t>
      </w:r>
      <w:r w:rsidR="002F426B">
        <w:rPr>
          <w:lang w:val="fr"/>
        </w:rPr>
        <w:t>dans le cadre de la</w:t>
      </w:r>
      <w:r>
        <w:rPr>
          <w:lang w:val="fr"/>
        </w:rPr>
        <w:t xml:space="preserve"> phase III. En plus de la cible globale d</w:t>
      </w:r>
      <w:r w:rsidR="00D672CA">
        <w:rPr>
          <w:lang w:val="fr"/>
        </w:rPr>
        <w:t>’</w:t>
      </w:r>
      <w:r>
        <w:rPr>
          <w:lang w:val="fr"/>
        </w:rPr>
        <w:t>e</w:t>
      </w:r>
      <w:r w:rsidR="00D672CA">
        <w:rPr>
          <w:lang w:val="fr"/>
        </w:rPr>
        <w:t>nviron</w:t>
      </w:r>
      <w:r>
        <w:rPr>
          <w:lang w:val="fr"/>
        </w:rPr>
        <w:t xml:space="preserve"> 25 000 techniciens à former directement par le PGEH, 100 000 techniciens supplémentaires devraient être formés par les centres de formation </w:t>
      </w:r>
      <w:r w:rsidR="00F96630">
        <w:rPr>
          <w:lang w:val="fr"/>
        </w:rPr>
        <w:t>industrielle</w:t>
      </w:r>
      <w:r>
        <w:rPr>
          <w:lang w:val="fr"/>
        </w:rPr>
        <w:t xml:space="preserve"> et d’autres partenaires de formation durant la phase III du PGEH.</w:t>
      </w:r>
    </w:p>
    <w:p w14:paraId="010848C8" w14:textId="77777777" w:rsidR="00F65F7C" w:rsidRPr="00F65F7C" w:rsidRDefault="00F65F7C" w:rsidP="00F65F7C">
      <w:pPr>
        <w:keepNext/>
        <w:spacing w:after="240"/>
        <w:rPr>
          <w:u w:val="single"/>
          <w:lang w:val="fr-FR"/>
        </w:rPr>
      </w:pPr>
      <w:r>
        <w:rPr>
          <w:u w:val="single"/>
          <w:lang w:val="fr"/>
        </w:rPr>
        <w:t>Mise en œuvre de la politique d’égalité des genres</w:t>
      </w:r>
    </w:p>
    <w:p w14:paraId="35DCE1B2" w14:textId="26377918" w:rsidR="00F65F7C" w:rsidRPr="00F65F7C" w:rsidRDefault="00F65F7C" w:rsidP="00F65F7C">
      <w:pPr>
        <w:pStyle w:val="Heading1"/>
        <w:rPr>
          <w:lang w:val="fr-FR"/>
        </w:rPr>
      </w:pPr>
      <w:r>
        <w:rPr>
          <w:lang w:val="fr"/>
        </w:rPr>
        <w:t>À la suite de la décision 84/92, la politique opérationnelle d’intégration de l’égalité de genre</w:t>
      </w:r>
      <w:r w:rsidR="00F96630">
        <w:rPr>
          <w:lang w:val="fr"/>
        </w:rPr>
        <w:t>s</w:t>
      </w:r>
      <w:r>
        <w:rPr>
          <w:lang w:val="fr"/>
        </w:rPr>
        <w:t xml:space="preserve"> a été intégrée à la conception de la phase III du PGEH. Des informations ventilées par genre ont été collectées par </w:t>
      </w:r>
      <w:r w:rsidR="00037451">
        <w:rPr>
          <w:lang w:val="fr"/>
        </w:rPr>
        <w:t xml:space="preserve">le biais de </w:t>
      </w:r>
      <w:r>
        <w:rPr>
          <w:lang w:val="fr"/>
        </w:rPr>
        <w:t>sondage</w:t>
      </w:r>
      <w:r w:rsidR="00037451">
        <w:rPr>
          <w:lang w:val="fr"/>
        </w:rPr>
        <w:t>s</w:t>
      </w:r>
      <w:r>
        <w:rPr>
          <w:lang w:val="fr"/>
        </w:rPr>
        <w:t xml:space="preserve">, et une analyse des actions de référence </w:t>
      </w:r>
      <w:r w:rsidR="00573A93">
        <w:rPr>
          <w:lang w:val="fr"/>
        </w:rPr>
        <w:t>mises en place</w:t>
      </w:r>
      <w:r>
        <w:rPr>
          <w:lang w:val="fr"/>
        </w:rPr>
        <w:t xml:space="preserve"> par les entreprises et les parties prenantes a révélé qu’il y avait des femmes dans le personnel de plus de 50 pour cent des entreprises visitées durant les vérifications sur site. Dans certaines entreprises, les femmes représentaient jusqu’à un tiers du personnel</w:t>
      </w:r>
      <w:r w:rsidR="00FC5307">
        <w:rPr>
          <w:lang w:val="fr"/>
        </w:rPr>
        <w:t xml:space="preserve"> total</w:t>
      </w:r>
      <w:r>
        <w:rPr>
          <w:lang w:val="fr"/>
        </w:rPr>
        <w:t>. Parmi les entreprises éligibles, 62 pour cent ont déclaré une part de femmes d’en moyenne 11 pour cent, avec la part la plus importante s’élevant à 35 pour cent. Il a été observé que les femmes sont plus souvent employées en service de soutien, en comptabilité et dans des positions administratives, plutôt que dans les ateliers. Les femmes représentaient plus de 25 pour cent des 400 participants aux activités de sensibilisation au titre de la première tranche. En outre, le personnel de l’UNO et de la PMU comprend plus de 50 pour cent de femmes.</w:t>
      </w:r>
    </w:p>
    <w:p w14:paraId="75CB369D" w14:textId="02D07D3C" w:rsidR="00F65F7C" w:rsidRPr="00F65F7C" w:rsidRDefault="00F65F7C" w:rsidP="00F65F7C">
      <w:pPr>
        <w:pStyle w:val="Heading1"/>
        <w:rPr>
          <w:lang w:val="fr-FR"/>
        </w:rPr>
      </w:pPr>
      <w:r>
        <w:rPr>
          <w:lang w:val="fr"/>
        </w:rPr>
        <w:t>La composante du secteur de l’entretien s’est concentrée sur le renforcement des infrastructures de formation et des programmes de renforcement de la capacité, avec une attention particulière portant sur le soutien aux techniciennes dans le secteur de la réfrigération et de la climatisation. Les efforts comprennent la fourniture d’équipements et d’outils pour aider les femmes à travailler de manière efficace dans ce domaine spécialisé, ainsi qu’en créant des opportunités de formation conçues spécifiquement pour encourager les femmes à rejoindre ce secteur. Le soutien aux centres de formation en réfrigération et climatisation comprend des critères de sélection qui promeuvent les candidatures de</w:t>
      </w:r>
      <w:r w:rsidR="007750E2">
        <w:rPr>
          <w:lang w:val="fr"/>
        </w:rPr>
        <w:t>s</w:t>
      </w:r>
      <w:r>
        <w:rPr>
          <w:lang w:val="fr"/>
        </w:rPr>
        <w:t xml:space="preserve"> femmes pour les formations techniques et professionnelles. En outre, les programmes de formation ont été conçus pour aborder les besoins spécifiques des hommes comme des femmes. Une étude a été lancée pour développer un plan d’action </w:t>
      </w:r>
      <w:r w:rsidR="0065667F">
        <w:rPr>
          <w:lang w:val="fr"/>
        </w:rPr>
        <w:t xml:space="preserve">global </w:t>
      </w:r>
      <w:r>
        <w:rPr>
          <w:lang w:val="fr"/>
        </w:rPr>
        <w:t>pour l’égalité des genres, qui étudiera et analysera les problèmes clés liés au genre dans ce secteur. L’avancement de ces activités ainsi que les indicateurs de performances obligatoires seront fournis dans la soumission de la prochaine tranche.</w:t>
      </w:r>
    </w:p>
    <w:p w14:paraId="0FFB1F3F" w14:textId="07638323" w:rsidR="00F65F7C" w:rsidRPr="00F65F7C" w:rsidRDefault="005745C7" w:rsidP="00F65F7C">
      <w:pPr>
        <w:pStyle w:val="NormalWeb"/>
        <w:keepNext/>
        <w:rPr>
          <w:sz w:val="22"/>
          <w:szCs w:val="22"/>
          <w:u w:val="single"/>
          <w:lang w:val="fr-FR"/>
        </w:rPr>
      </w:pPr>
      <w:r>
        <w:rPr>
          <w:sz w:val="22"/>
          <w:szCs w:val="22"/>
          <w:u w:val="single"/>
          <w:lang w:val="fr"/>
        </w:rPr>
        <w:t>Pérennité</w:t>
      </w:r>
      <w:r w:rsidR="00F65F7C">
        <w:rPr>
          <w:sz w:val="22"/>
          <w:szCs w:val="22"/>
          <w:u w:val="single"/>
          <w:lang w:val="fr"/>
        </w:rPr>
        <w:t xml:space="preserve"> de l’élimination des HCFC et évaluation des risques</w:t>
      </w:r>
    </w:p>
    <w:p w14:paraId="2FEA7141" w14:textId="5651957F" w:rsidR="00F65F7C" w:rsidRPr="00F65F7C" w:rsidRDefault="00F65F7C" w:rsidP="00F65F7C">
      <w:pPr>
        <w:pStyle w:val="Heading1"/>
        <w:rPr>
          <w:lang w:val="fr-FR"/>
        </w:rPr>
      </w:pPr>
      <w:r>
        <w:rPr>
          <w:lang w:val="fr"/>
        </w:rPr>
        <w:t>Dans le cadre de la phase III, l’Inde renforcera ses actions de mise en application et son cadre réglementaire afin de soutenir et de pérenniser l’élimination des HCFC</w:t>
      </w:r>
      <w:r w:rsidR="008E1AE9">
        <w:rPr>
          <w:lang w:val="fr"/>
        </w:rPr>
        <w:t>, en particulier</w:t>
      </w:r>
      <w:r>
        <w:rPr>
          <w:lang w:val="fr"/>
        </w:rPr>
        <w:t xml:space="preserve"> dans les secteurs et </w:t>
      </w:r>
      <w:r>
        <w:rPr>
          <w:lang w:val="fr"/>
        </w:rPr>
        <w:lastRenderedPageBreak/>
        <w:t>entreprises non éligibles à l’assistance du Fonds multilatéral. Cela contribuera à éliminer 194,64 </w:t>
      </w:r>
      <w:proofErr w:type="spellStart"/>
      <w:r>
        <w:rPr>
          <w:lang w:val="fr"/>
        </w:rPr>
        <w:t>tm</w:t>
      </w:r>
      <w:proofErr w:type="spellEnd"/>
      <w:r>
        <w:rPr>
          <w:lang w:val="fr"/>
        </w:rPr>
        <w:t xml:space="preserve"> de consommation de HCFC-22 dans le secteur de la fabrication en réfrigération et climatisation sans coût additionnel pour l</w:t>
      </w:r>
      <w:r w:rsidR="00E37D91">
        <w:rPr>
          <w:lang w:val="fr"/>
        </w:rPr>
        <w:t>e</w:t>
      </w:r>
      <w:r>
        <w:rPr>
          <w:lang w:val="fr"/>
        </w:rPr>
        <w:t xml:space="preserve"> Fonds. Le PNUD et le Ministère de l’environnement, des forêts et du changement climatique (</w:t>
      </w:r>
      <w:proofErr w:type="spellStart"/>
      <w:r>
        <w:rPr>
          <w:lang w:val="fr"/>
        </w:rPr>
        <w:t>MoEFCC</w:t>
      </w:r>
      <w:proofErr w:type="spellEnd"/>
      <w:r>
        <w:rPr>
          <w:lang w:val="fr"/>
        </w:rPr>
        <w:t xml:space="preserve">) ont aussi élaboré un registre des risques qui comprend une discussion qualitative sur les risques liés à la mise en œuvre réussie du projet et à sa pérennité ; et des plans de gestion, des activités et des mesures politiques et réglementaires qui contribueront à aider à garantir la pérennité de l’élimination des HCFC comprenant des conversions dans le secteur de la fabrication, l’amélioration des pratiques d’entretien et la pérennité des programmes de formation. La phase III du PGEH a proposé l’établissement d’une composante d’assistance technique pour que le secteur de la réfrigération et de la climatisation continue à proposer une assistance aux entreprises et aux </w:t>
      </w:r>
      <w:r w:rsidR="002C4299">
        <w:rPr>
          <w:lang w:val="fr"/>
        </w:rPr>
        <w:t>entités</w:t>
      </w:r>
      <w:r>
        <w:rPr>
          <w:lang w:val="fr"/>
        </w:rPr>
        <w:t xml:space="preserve"> locales après l’achèvement du PGEH (stratégie de sortie de projet) et une pérennité globale des réductions de HCFC obtenues par le biais de la conversion du secteur de la fabrication en réfrigération et climatisation. En outre, le PNUD a appliqué son Outil d’évaluation de la capacité des partenaires (PCAT) au partenaire de la mise en œuvre (</w:t>
      </w:r>
      <w:proofErr w:type="spellStart"/>
      <w:r>
        <w:rPr>
          <w:lang w:val="fr"/>
        </w:rPr>
        <w:t>MoEFCC</w:t>
      </w:r>
      <w:proofErr w:type="spellEnd"/>
      <w:r>
        <w:rPr>
          <w:lang w:val="fr"/>
        </w:rPr>
        <w:t>) afin d’évaluer ses capacités d’exécution de projet et les risques internes, et la Politique de gestion du risque institutionnel du PNUD a été appliquée comme outil clé stratégique de gestion des risques durant le cycle de vie du projet.</w:t>
      </w:r>
    </w:p>
    <w:p w14:paraId="50079B63" w14:textId="1BD2614F" w:rsidR="00F65F7C" w:rsidRPr="00F65F7C" w:rsidRDefault="00F65F7C" w:rsidP="00F65F7C">
      <w:pPr>
        <w:pStyle w:val="Heading1"/>
        <w:rPr>
          <w:lang w:val="fr-FR"/>
        </w:rPr>
      </w:pPr>
      <w:r>
        <w:rPr>
          <w:lang w:val="fr"/>
        </w:rPr>
        <w:t xml:space="preserve">Le Secrétariat a noté des retards dans le lancement des activités dans le secteur de l’entretien en réfrigération et des activités de facilitation durant la première tranche. Pour la composante du PNUD, les retards étaient attribuables aux étapes nécessaires à la signature de la phase III du PGEH, approuvée en juin 2023, qui comprenait l’enregistrement du projet, la conformité avec les exigences légales et la confirmation de l’éligibilité d’une partie tiers. Les activités de facilitation mises en œuvre par le PNUE sont harmonisées avec les points d’action 2023-2024 de l’ICAP, </w:t>
      </w:r>
      <w:r w:rsidR="008657B5">
        <w:rPr>
          <w:lang w:val="fr"/>
        </w:rPr>
        <w:t xml:space="preserve">ce </w:t>
      </w:r>
      <w:r>
        <w:rPr>
          <w:lang w:val="fr"/>
        </w:rPr>
        <w:t>qui impliqu</w:t>
      </w:r>
      <w:r w:rsidR="008657B5">
        <w:rPr>
          <w:lang w:val="fr"/>
        </w:rPr>
        <w:t>ait</w:t>
      </w:r>
      <w:r>
        <w:rPr>
          <w:lang w:val="fr"/>
        </w:rPr>
        <w:t xml:space="preserve"> la coordination entre les deux initiatives, ce qui a retardé le lancement. Malgré tout, le projet reste sur la bonne voie, avec des cadres comme le Comité directeur de projet et des mesures d’atténuation des risques pour garantir un achèvement dans un délai convenable, en particulier en ce qui concerne la conversion des entreprises.</w:t>
      </w:r>
    </w:p>
    <w:p w14:paraId="4EE0F776" w14:textId="18FD3210" w:rsidR="00F65F7C" w:rsidRPr="00F65F7C" w:rsidRDefault="00F65F7C" w:rsidP="00F65F7C">
      <w:pPr>
        <w:pStyle w:val="Heading1"/>
        <w:rPr>
          <w:lang w:val="fr-FR"/>
        </w:rPr>
      </w:pPr>
      <w:r>
        <w:rPr>
          <w:lang w:val="fr"/>
        </w:rPr>
        <w:t xml:space="preserve">Bien que le HCFC-225 n’entre pas dans le champ d’application des vérifications de consommation de HCFC soumises par le pays, et qu’il </w:t>
      </w:r>
      <w:r w:rsidR="007D6DA5">
        <w:rPr>
          <w:lang w:val="fr"/>
        </w:rPr>
        <w:t>existe</w:t>
      </w:r>
      <w:r>
        <w:rPr>
          <w:lang w:val="fr"/>
        </w:rPr>
        <w:t xml:space="preserve"> de</w:t>
      </w:r>
      <w:r w:rsidR="007D6DA5">
        <w:rPr>
          <w:lang w:val="fr"/>
        </w:rPr>
        <w:t>s</w:t>
      </w:r>
      <w:r>
        <w:rPr>
          <w:lang w:val="fr"/>
        </w:rPr>
        <w:t xml:space="preserve"> stock</w:t>
      </w:r>
      <w:r w:rsidR="00A0141C">
        <w:rPr>
          <w:lang w:val="fr"/>
        </w:rPr>
        <w:t>s</w:t>
      </w:r>
      <w:r>
        <w:rPr>
          <w:lang w:val="fr"/>
        </w:rPr>
        <w:t xml:space="preserve"> substantiel</w:t>
      </w:r>
      <w:r w:rsidR="00A0141C">
        <w:rPr>
          <w:lang w:val="fr"/>
        </w:rPr>
        <w:t>s</w:t>
      </w:r>
      <w:r>
        <w:rPr>
          <w:lang w:val="fr"/>
        </w:rPr>
        <w:t xml:space="preserve"> de cette substance, le Secrétariat estime que le risque que le HCFC-225 produit pour être utilisé comme matière première soit détourné pour des usages réglementés est minime </w:t>
      </w:r>
      <w:r w:rsidR="008B20DE">
        <w:rPr>
          <w:lang w:val="fr"/>
        </w:rPr>
        <w:t>compte tenu des</w:t>
      </w:r>
      <w:r>
        <w:rPr>
          <w:lang w:val="fr"/>
        </w:rPr>
        <w:t xml:space="preserve"> contrôles exhaustifs spécifiés dans les Règles </w:t>
      </w:r>
      <w:r w:rsidR="00196922">
        <w:rPr>
          <w:lang w:val="fr"/>
        </w:rPr>
        <w:t xml:space="preserve">2000 </w:t>
      </w:r>
      <w:r>
        <w:rPr>
          <w:lang w:val="fr"/>
        </w:rPr>
        <w:t>(de réglementation et de contrôle) sur les SAO</w:t>
      </w:r>
      <w:r w:rsidR="008F6B94">
        <w:rPr>
          <w:lang w:val="fr"/>
        </w:rPr>
        <w:t xml:space="preserve"> </w:t>
      </w:r>
      <w:r>
        <w:rPr>
          <w:lang w:val="fr"/>
        </w:rPr>
        <w:t xml:space="preserve">et ses amendements, qui permettent au Gouvernement de superviser étroitement la production et les stocks. Le producteur enregistré doit envoyer des rapports trimestriels sur les quantités produites et exportées, et la licence d’exportation est délivrée par la Direction générale du commerce extérieur uniquement après recommandation de la Cellule Ozone, qui exige qu’avec sa demande de licence, l’entreprise produise une lettre provenant du pays importateur dans laquelle </w:t>
      </w:r>
      <w:r w:rsidR="006940B6">
        <w:rPr>
          <w:lang w:val="fr"/>
        </w:rPr>
        <w:t>ce dernier</w:t>
      </w:r>
      <w:r>
        <w:rPr>
          <w:lang w:val="fr"/>
        </w:rPr>
        <w:t xml:space="preserve"> s’engage à ce que le HCFC-225 importé soit utilisé comme matière première uniquement, conformément aux décisions VII/30 et XXIV/6 des Réunions des Parties.</w:t>
      </w:r>
    </w:p>
    <w:p w14:paraId="2782432F" w14:textId="77777777" w:rsidR="00F65F7C" w:rsidRPr="0034371D" w:rsidRDefault="00F65F7C" w:rsidP="00F65F7C">
      <w:pPr>
        <w:pStyle w:val="Heading1"/>
        <w:numPr>
          <w:ilvl w:val="0"/>
          <w:numId w:val="0"/>
        </w:numPr>
        <w:rPr>
          <w:u w:val="single"/>
        </w:rPr>
      </w:pPr>
      <w:r>
        <w:rPr>
          <w:u w:val="single"/>
          <w:lang w:val="fr"/>
        </w:rPr>
        <w:t>Conclusion</w:t>
      </w:r>
    </w:p>
    <w:p w14:paraId="4B582955" w14:textId="4A5F3BD3" w:rsidR="00F65F7C" w:rsidRPr="00F65F7C" w:rsidRDefault="00F65F7C" w:rsidP="00F65F7C">
      <w:pPr>
        <w:pStyle w:val="Heading1"/>
        <w:rPr>
          <w:lang w:val="fr-FR"/>
        </w:rPr>
      </w:pPr>
      <w:r>
        <w:rPr>
          <w:lang w:val="fr"/>
        </w:rPr>
        <w:t xml:space="preserve">Le gouvernement de l’Inde continue d’être en conformité avec le Protocole de Montréal et avec les objectifs de consommation de HCFC fixés dans son Accord avec le Comité exécutif. La consommation de HCFC du pays en 2023 est inférieure de 80 % au niveau de référence pour le HCFC aux fins de conformité et de 50 % à la limite établie dans l’Accord. Le rapport de vérification a confirmé que le Gouvernement met en œuvre un système d’octroi de licences et de quotas des importations et des exportations de HCFC, sauf pour la production de HCFC-225 utilisé comme matière première qui sera exporté les années suivantes, et que la consommation de HCFC déclarée au titre de l’article 7 du Protocole de Montréal de 2022 à 2023 était correcte. Des mémorandums d’accord ont été signés avec 11 entreprises de fabrication en climatisation et avec 33 entreprises de réfrigération commerciale pour qu’elles se convertissent au R-290, au R-600a ou au HFC-32. Un système de certification unifié pour les techniciens a été approuvé, de l’équipement pour 25 centres de formation </w:t>
      </w:r>
      <w:r w:rsidR="00BC4A80">
        <w:rPr>
          <w:lang w:val="fr"/>
        </w:rPr>
        <w:t>industrielle</w:t>
      </w:r>
      <w:r>
        <w:rPr>
          <w:lang w:val="fr"/>
        </w:rPr>
        <w:t xml:space="preserve"> est en cours d’approvisionnement et la formation de 25 000 techniciens va commencer en décembre 2024. Des activités de facilitation dans le secteur de l’entretien ont aussi débuté, </w:t>
      </w:r>
      <w:r>
        <w:rPr>
          <w:lang w:val="fr"/>
        </w:rPr>
        <w:lastRenderedPageBreak/>
        <w:t xml:space="preserve">comprenant la formation d’agents des douanes, la rédaction de mandats pour plusieurs études qui débuteront en décembre 2024 et des activités de sensibilisation comprenant cinq ateliers sur le PGEH et les réglementations relatives aux HCFC avec la participation de 400 parties prenantes. Les agences bilatérales et d’exécution ont atteint le seuil de décaissement de 20 pour cent </w:t>
      </w:r>
      <w:r w:rsidR="00121569">
        <w:rPr>
          <w:lang w:val="fr"/>
        </w:rPr>
        <w:t>pour</w:t>
      </w:r>
      <w:r>
        <w:rPr>
          <w:lang w:val="fr"/>
        </w:rPr>
        <w:t xml:space="preserve"> la tranche précédente, décaissant 26 pour cent du financement approuvé.</w:t>
      </w:r>
    </w:p>
    <w:p w14:paraId="103671C1" w14:textId="77777777" w:rsidR="00F65F7C" w:rsidRDefault="00F65F7C" w:rsidP="00F65F7C">
      <w:pPr>
        <w:spacing w:before="360" w:after="240"/>
        <w:rPr>
          <w:b/>
        </w:rPr>
      </w:pPr>
      <w:r>
        <w:rPr>
          <w:b/>
          <w:bCs/>
          <w:lang w:val="fr"/>
        </w:rPr>
        <w:t>RECOMMANDATION</w:t>
      </w:r>
    </w:p>
    <w:p w14:paraId="13B6C4B8" w14:textId="77777777" w:rsidR="00F65F7C" w:rsidRPr="00F65F7C" w:rsidRDefault="00F65F7C" w:rsidP="00F65F7C">
      <w:pPr>
        <w:pStyle w:val="Heading1"/>
        <w:keepLines/>
        <w:rPr>
          <w:lang w:val="fr-FR"/>
        </w:rPr>
      </w:pPr>
      <w:r>
        <w:rPr>
          <w:lang w:val="fr"/>
        </w:rPr>
        <w:t>Le Comité exécutif pourrait envisager :</w:t>
      </w:r>
    </w:p>
    <w:p w14:paraId="65A584E2" w14:textId="77777777" w:rsidR="00F65F7C" w:rsidRPr="00F65F7C" w:rsidRDefault="00F65F7C" w:rsidP="00F65F7C">
      <w:pPr>
        <w:pStyle w:val="Heading2"/>
        <w:keepLines/>
        <w:widowControl/>
        <w:numPr>
          <w:ilvl w:val="1"/>
          <w:numId w:val="1"/>
        </w:numPr>
        <w:rPr>
          <w:lang w:val="fr-FR"/>
        </w:rPr>
      </w:pPr>
      <w:r>
        <w:rPr>
          <w:lang w:val="fr"/>
        </w:rPr>
        <w:t>De noter le rapport périodique sur la mise en œuvre de la première tranche de la phase III du plan de gestion de l’élimination des HCFC (PGEH) pour l’Inde ; et</w:t>
      </w:r>
    </w:p>
    <w:p w14:paraId="19E7BB3B" w14:textId="7F0F03CE" w:rsidR="00F65F7C" w:rsidRPr="00F65F7C" w:rsidRDefault="00F65F7C" w:rsidP="00F65F7C">
      <w:pPr>
        <w:pStyle w:val="Heading2"/>
        <w:widowControl/>
        <w:numPr>
          <w:ilvl w:val="1"/>
          <w:numId w:val="1"/>
        </w:numPr>
        <w:rPr>
          <w:lang w:val="fr-FR"/>
        </w:rPr>
      </w:pPr>
      <w:r>
        <w:rPr>
          <w:lang w:val="fr"/>
        </w:rPr>
        <w:t>D’approuver la deuxième tranche de la phase III du PGEH pour l’Inde et le plan de mise en œuvre de la tranche correspondant</w:t>
      </w:r>
      <w:r w:rsidR="00A8526E">
        <w:rPr>
          <w:lang w:val="fr"/>
        </w:rPr>
        <w:t>e</w:t>
      </w:r>
      <w:r>
        <w:rPr>
          <w:lang w:val="fr"/>
        </w:rPr>
        <w:t xml:space="preserve"> pour 2025-2027, pour un montant de </w:t>
      </w:r>
      <w:bookmarkStart w:id="5" w:name="_Hlk126861459"/>
      <w:r>
        <w:rPr>
          <w:lang w:val="fr"/>
        </w:rPr>
        <w:t>9 385 194 $ US, soit 5 495 933 $ US plus coûts d’appui d’agence de 384 715 $ US pour le PNUD, 1 011 000 $ US plus coûts d’appui d’agence de 114 210 $ US pour le PNUE, et 2 140 772 $ US plus coûts d’appui d’agence de 238 564 $ US pour le gouvernement de l’Allemagne.</w:t>
      </w:r>
      <w:bookmarkEnd w:id="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65F7C" w:rsidRPr="00AF426F" w14:paraId="63E7A229" w14:textId="77777777" w:rsidTr="006B1FAA">
        <w:tc>
          <w:tcPr>
            <w:tcW w:w="1871" w:type="dxa"/>
          </w:tcPr>
          <w:p w14:paraId="6A0673D7" w14:textId="77777777" w:rsidR="00F65F7C" w:rsidRPr="00F65F7C" w:rsidRDefault="00F65F7C" w:rsidP="006B1FAA">
            <w:pPr>
              <w:rPr>
                <w:lang w:val="fr-FR"/>
              </w:rPr>
            </w:pPr>
          </w:p>
        </w:tc>
        <w:tc>
          <w:tcPr>
            <w:tcW w:w="1872" w:type="dxa"/>
          </w:tcPr>
          <w:p w14:paraId="1496DBCB" w14:textId="77777777" w:rsidR="00F65F7C" w:rsidRPr="00F65F7C" w:rsidRDefault="00F65F7C" w:rsidP="006B1FAA">
            <w:pPr>
              <w:rPr>
                <w:lang w:val="fr-FR"/>
              </w:rPr>
            </w:pPr>
          </w:p>
        </w:tc>
        <w:tc>
          <w:tcPr>
            <w:tcW w:w="1872" w:type="dxa"/>
            <w:tcBorders>
              <w:bottom w:val="single" w:sz="4" w:space="0" w:color="auto"/>
            </w:tcBorders>
          </w:tcPr>
          <w:p w14:paraId="7A7AC8AB" w14:textId="77777777" w:rsidR="00F65F7C" w:rsidRPr="00F65F7C" w:rsidRDefault="00F65F7C" w:rsidP="006B1FAA">
            <w:pPr>
              <w:rPr>
                <w:lang w:val="fr-FR"/>
              </w:rPr>
            </w:pPr>
          </w:p>
        </w:tc>
        <w:tc>
          <w:tcPr>
            <w:tcW w:w="1872" w:type="dxa"/>
          </w:tcPr>
          <w:p w14:paraId="537144BA" w14:textId="77777777" w:rsidR="00F65F7C" w:rsidRPr="00F65F7C" w:rsidRDefault="00F65F7C" w:rsidP="006B1FAA">
            <w:pPr>
              <w:rPr>
                <w:lang w:val="fr-FR"/>
              </w:rPr>
            </w:pPr>
          </w:p>
        </w:tc>
        <w:tc>
          <w:tcPr>
            <w:tcW w:w="1873" w:type="dxa"/>
          </w:tcPr>
          <w:p w14:paraId="3B66701B" w14:textId="77777777" w:rsidR="00F65F7C" w:rsidRPr="00F65F7C" w:rsidRDefault="00F65F7C" w:rsidP="006B1FAA">
            <w:pPr>
              <w:rPr>
                <w:lang w:val="fr-FR"/>
              </w:rPr>
            </w:pPr>
          </w:p>
        </w:tc>
      </w:tr>
    </w:tbl>
    <w:p w14:paraId="4844DD61" w14:textId="77777777" w:rsidR="00F65F7C" w:rsidRPr="00F65F7C" w:rsidRDefault="00F65F7C" w:rsidP="00F65F7C">
      <w:pPr>
        <w:jc w:val="left"/>
        <w:rPr>
          <w:lang w:val="fr-FR"/>
        </w:rPr>
      </w:pPr>
    </w:p>
    <w:sectPr w:rsidR="00F65F7C" w:rsidRPr="00F65F7C" w:rsidSect="008A494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49D60A" w14:textId="77777777" w:rsidR="008E28BC" w:rsidRDefault="008E28BC" w:rsidP="004A504B">
      <w:r>
        <w:separator/>
      </w:r>
    </w:p>
  </w:endnote>
  <w:endnote w:type="continuationSeparator" w:id="0">
    <w:p w14:paraId="5F04ADDE" w14:textId="77777777" w:rsidR="008E28BC" w:rsidRDefault="008E28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30789938"/>
      <w:docPartObj>
        <w:docPartGallery w:val="Page Numbers (Bottom of Page)"/>
        <w:docPartUnique/>
      </w:docPartObj>
    </w:sdtPr>
    <w:sdtEndPr>
      <w:rPr>
        <w:rStyle w:val="PageNumber"/>
      </w:rPr>
    </w:sdtEndPr>
    <w:sdtContent>
      <w:p w14:paraId="0AA96AAC" w14:textId="133DB72A" w:rsidR="00B80335" w:rsidRDefault="00B80335" w:rsidP="009D48A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5E9E23B1" w14:textId="4A28B54E" w:rsidR="00DC6A10" w:rsidRPr="0033525D" w:rsidRDefault="00DC6A1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3200462"/>
      <w:docPartObj>
        <w:docPartGallery w:val="Page Numbers (Bottom of Page)"/>
        <w:docPartUnique/>
      </w:docPartObj>
    </w:sdtPr>
    <w:sdtEndPr>
      <w:rPr>
        <w:rStyle w:val="PageNumber"/>
      </w:rPr>
    </w:sdtEndPr>
    <w:sdtContent>
      <w:p w14:paraId="41A88054" w14:textId="594A0966" w:rsidR="00B80335" w:rsidRDefault="00B80335" w:rsidP="009D48A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sdtContent>
  </w:sdt>
  <w:p w14:paraId="795B3DD5" w14:textId="7FC52BA7" w:rsidR="00DC6A10" w:rsidRPr="008A4946" w:rsidRDefault="00DC6A10" w:rsidP="008A4946">
    <w:pPr>
      <w:pStyle w:val="Footer"/>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8E7AD1" w14:textId="77777777" w:rsidR="00103AB1" w:rsidRPr="006B28EA"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6B28EA">
      <w:rPr>
        <w:rFonts w:cs="MS Serif"/>
        <w:sz w:val="18"/>
        <w:szCs w:val="18"/>
        <w:lang w:val="fr-FR"/>
      </w:rPr>
      <w:t xml:space="preserve">Les documents de présession du Comité exécutif du Fonds multilatéral aux fins d’application du Protocole de </w:t>
    </w:r>
  </w:p>
  <w:p w14:paraId="110A72C1" w14:textId="77777777" w:rsidR="00103AB1" w:rsidRPr="006B28EA"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6B28EA">
      <w:rPr>
        <w:rFonts w:cs="MS Serif"/>
        <w:sz w:val="18"/>
        <w:szCs w:val="18"/>
        <w:lang w:val="fr-FR"/>
      </w:rPr>
      <w:t>Montréal sont présentés sous réserve des décisions pouvant être prises par le Comité exécutif après leur publication.</w:t>
    </w:r>
  </w:p>
  <w:p w14:paraId="58E10CE2"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128582" w14:textId="77777777" w:rsidR="008E28BC" w:rsidRDefault="008E28BC" w:rsidP="004A504B">
      <w:r>
        <w:separator/>
      </w:r>
    </w:p>
  </w:footnote>
  <w:footnote w:type="continuationSeparator" w:id="0">
    <w:p w14:paraId="5043BC97" w14:textId="77777777" w:rsidR="008E28BC" w:rsidRDefault="008E28BC" w:rsidP="004A504B">
      <w:r>
        <w:continuationSeparator/>
      </w:r>
    </w:p>
  </w:footnote>
  <w:footnote w:id="1">
    <w:p w14:paraId="04EDE837" w14:textId="5E85BFBC" w:rsidR="00103AB1" w:rsidRPr="00564224" w:rsidRDefault="00103AB1" w:rsidP="00103AB1">
      <w:pPr>
        <w:pStyle w:val="FootnoteText"/>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5</w:t>
      </w:r>
      <w:r w:rsidRPr="00564224">
        <w:rPr>
          <w:lang w:val="fr-CH"/>
        </w:rPr>
        <w:t>/1</w:t>
      </w:r>
    </w:p>
  </w:footnote>
  <w:footnote w:id="2">
    <w:p w14:paraId="14EDADF4" w14:textId="77777777" w:rsidR="00F65F7C" w:rsidRPr="00F65F7C" w:rsidRDefault="00F65F7C" w:rsidP="00F65F7C">
      <w:pPr>
        <w:pStyle w:val="FootnoteText"/>
        <w:rPr>
          <w:lang w:val="fr-FR"/>
        </w:rPr>
      </w:pPr>
      <w:r>
        <w:rPr>
          <w:rStyle w:val="FootnoteReference"/>
          <w:lang w:val="fr"/>
        </w:rPr>
        <w:footnoteRef/>
      </w:r>
      <w:r>
        <w:rPr>
          <w:lang w:val="fr"/>
        </w:rPr>
        <w:t xml:space="preserve"> Conformément à la lettre du 11 septembre 2024 du </w:t>
      </w:r>
      <w:proofErr w:type="gramStart"/>
      <w:r>
        <w:rPr>
          <w:lang w:val="fr"/>
        </w:rPr>
        <w:t>Ministère de l’environnement</w:t>
      </w:r>
      <w:proofErr w:type="gramEnd"/>
      <w:r>
        <w:rPr>
          <w:lang w:val="fr"/>
        </w:rPr>
        <w:t>, des forêts et du changement climatique de l’Inde adressée au PNUD.</w:t>
      </w:r>
    </w:p>
  </w:footnote>
  <w:footnote w:id="3">
    <w:p w14:paraId="7D3729B3" w14:textId="77777777" w:rsidR="00F65F7C" w:rsidRPr="00F65F7C" w:rsidRDefault="00F65F7C" w:rsidP="00F65F7C">
      <w:pPr>
        <w:pStyle w:val="FootnoteText"/>
        <w:rPr>
          <w:lang w:val="fr-FR"/>
        </w:rPr>
      </w:pPr>
      <w:r>
        <w:rPr>
          <w:rStyle w:val="FootnoteReference"/>
          <w:lang w:val="fr"/>
        </w:rPr>
        <w:footnoteRef/>
      </w:r>
      <w:r>
        <w:rPr>
          <w:lang w:val="fr"/>
        </w:rPr>
        <w:t xml:space="preserve"> Appareil à cycle électrique et de réfrigération basique (réfrigérateur sans givre), climatiseur pédagogique à éléments séparés (compatible avec la technologie </w:t>
      </w:r>
      <w:proofErr w:type="spellStart"/>
      <w:r>
        <w:rPr>
          <w:lang w:val="fr"/>
        </w:rPr>
        <w:t>inverter</w:t>
      </w:r>
      <w:proofErr w:type="spellEnd"/>
      <w:r>
        <w:rPr>
          <w:lang w:val="fr"/>
        </w:rPr>
        <w:t>), appareil pédagogique de réfrigération commerciale, appareil pédagogique de réfrigération industrielle pour les systèmes à rack, climatiseur pédagogique à éléments séparés (bâti métallique), pompe à vide (à deux étages), manomètres de frigoristes à 4 voies, coupe-capillaires, jeu d’outils d’évasement, extracteur de noyau de valve, équipement de récupération de frigorigène, clé à cliquets, vacuomètre numérique, gants et lunettes de protection, bonbonne de récupération de frigorigène (30 lb), balance et détecteur de fuites de frigorigène.</w:t>
      </w:r>
    </w:p>
  </w:footnote>
  <w:footnote w:id="4">
    <w:p w14:paraId="4847C3D8" w14:textId="785609D4" w:rsidR="00F65F7C" w:rsidRPr="00F65F7C" w:rsidRDefault="00F65F7C" w:rsidP="00F65F7C">
      <w:pPr>
        <w:pStyle w:val="FootnoteText"/>
        <w:rPr>
          <w:lang w:val="fr-FR"/>
        </w:rPr>
      </w:pPr>
      <w:r>
        <w:rPr>
          <w:rStyle w:val="FootnoteReference"/>
          <w:lang w:val="fr"/>
        </w:rPr>
        <w:footnoteRef/>
      </w:r>
      <w:r>
        <w:rPr>
          <w:lang w:val="fr"/>
        </w:rPr>
        <w:t xml:space="preserve"> Lien vers la vidéo avec sous-titres anglais : </w:t>
      </w:r>
      <w:r>
        <w:fldChar w:fldCharType="begin"/>
      </w:r>
      <w:r w:rsidRPr="00AF426F">
        <w:rPr>
          <w:lang w:val="fr-CA"/>
        </w:rPr>
        <w:instrText>HYPERLINK "https://youtu.be/e6EHWnKizWI"</w:instrText>
      </w:r>
      <w:r>
        <w:fldChar w:fldCharType="separate"/>
      </w:r>
      <w:r>
        <w:rPr>
          <w:rStyle w:val="Hyperlink"/>
          <w:lang w:val="fr"/>
        </w:rPr>
        <w:t>https://youtu.be/e6EHWnKizWI</w:t>
      </w:r>
      <w:r>
        <w:rPr>
          <w:rStyle w:val="Hyperlink"/>
          <w:lang w:val="fr"/>
        </w:rPr>
        <w:fldChar w:fldCharType="end"/>
      </w:r>
      <w:r>
        <w:rPr>
          <w:lang w:val="fr"/>
        </w:rPr>
        <w:t xml:space="preserve"> et lien vers la vidéo en hindi : </w:t>
      </w:r>
      <w:hyperlink r:id="rId1" w:history="1">
        <w:r>
          <w:rPr>
            <w:rStyle w:val="Hyperlink"/>
            <w:lang w:val="fr"/>
          </w:rPr>
          <w:t>https://youtu.be/Mo3nfg0tJ9s</w:t>
        </w:r>
      </w:hyperlink>
      <w:r>
        <w:rPr>
          <w:lang w:val="fr"/>
        </w:rPr>
        <w:t>, un lien vers une vidéo sous-titrée devrait arriver.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5E668" w14:textId="0C16FFC9" w:rsidR="00DC6A10" w:rsidRPr="0033525D" w:rsidRDefault="00F65F7C">
    <w:r>
      <w:fldChar w:fldCharType="begin"/>
    </w:r>
    <w:r>
      <w:instrText xml:space="preserve"> DOCPROPERTY "Document number"  \* MERGEFORMAT </w:instrText>
    </w:r>
    <w:r>
      <w:fldChar w:fldCharType="separate"/>
    </w:r>
    <w:r w:rsidR="00E40720">
      <w:t>UNEP/</w:t>
    </w:r>
    <w:proofErr w:type="spellStart"/>
    <w:r w:rsidR="00E40720">
      <w:t>OzL.Pro</w:t>
    </w:r>
    <w:proofErr w:type="spellEnd"/>
    <w:r w:rsidR="00E40720">
      <w:t>/ExCom/95/58</w:t>
    </w:r>
    <w:r>
      <w:fldChar w:fldCharType="end"/>
    </w:r>
  </w:p>
  <w:p w14:paraId="06150950" w14:textId="77777777" w:rsidR="00DC6A10" w:rsidRPr="0033525D" w:rsidRDefault="00DC6A10"/>
  <w:p w14:paraId="7012FA4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0E8D47" w14:textId="108CBF65" w:rsidR="00655508" w:rsidRDefault="00F65F7C" w:rsidP="00655508">
    <w:pPr>
      <w:jc w:val="right"/>
    </w:pPr>
    <w:r>
      <w:fldChar w:fldCharType="begin"/>
    </w:r>
    <w:r>
      <w:instrText xml:space="preserve"> DOCPROPERTY "Document number"  \* MERGEFORMAT </w:instrText>
    </w:r>
    <w:r>
      <w:fldChar w:fldCharType="separate"/>
    </w:r>
    <w:r w:rsidR="00E40720">
      <w:t>UNEP/</w:t>
    </w:r>
    <w:proofErr w:type="spellStart"/>
    <w:r w:rsidR="00E40720">
      <w:t>OzL.Pro</w:t>
    </w:r>
    <w:proofErr w:type="spellEnd"/>
    <w:r w:rsidR="00E40720">
      <w:t>/ExCom/95/58</w:t>
    </w:r>
    <w:r>
      <w:fldChar w:fldCharType="end"/>
    </w:r>
  </w:p>
  <w:p w14:paraId="4F62A6F1" w14:textId="77777777" w:rsidR="00655508" w:rsidRDefault="00655508" w:rsidP="00655508">
    <w:pPr>
      <w:jc w:val="right"/>
    </w:pPr>
  </w:p>
  <w:p w14:paraId="457A8904" w14:textId="77777777" w:rsidR="00655508" w:rsidRPr="0033525D" w:rsidRDefault="00655508" w:rsidP="00655508">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05173589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65F7C"/>
    <w:rsid w:val="00000FED"/>
    <w:rsid w:val="00001A45"/>
    <w:rsid w:val="000020F8"/>
    <w:rsid w:val="0000434E"/>
    <w:rsid w:val="00005A98"/>
    <w:rsid w:val="00011914"/>
    <w:rsid w:val="000211A9"/>
    <w:rsid w:val="00021238"/>
    <w:rsid w:val="00021BE9"/>
    <w:rsid w:val="00022071"/>
    <w:rsid w:val="00022BA0"/>
    <w:rsid w:val="00024F01"/>
    <w:rsid w:val="00031260"/>
    <w:rsid w:val="0003681A"/>
    <w:rsid w:val="000372B7"/>
    <w:rsid w:val="00037451"/>
    <w:rsid w:val="00041D4F"/>
    <w:rsid w:val="00050F6E"/>
    <w:rsid w:val="000609FE"/>
    <w:rsid w:val="000614F3"/>
    <w:rsid w:val="00061EC2"/>
    <w:rsid w:val="00066CE8"/>
    <w:rsid w:val="0007333F"/>
    <w:rsid w:val="00080ED0"/>
    <w:rsid w:val="00085B8F"/>
    <w:rsid w:val="00090481"/>
    <w:rsid w:val="000A3826"/>
    <w:rsid w:val="000A4BFB"/>
    <w:rsid w:val="000A6C26"/>
    <w:rsid w:val="000A797D"/>
    <w:rsid w:val="000B36C8"/>
    <w:rsid w:val="000C5655"/>
    <w:rsid w:val="000D4E79"/>
    <w:rsid w:val="000D52A4"/>
    <w:rsid w:val="000D5DDC"/>
    <w:rsid w:val="000E07BC"/>
    <w:rsid w:val="000E2E21"/>
    <w:rsid w:val="000F1CD4"/>
    <w:rsid w:val="000F29CC"/>
    <w:rsid w:val="000F4103"/>
    <w:rsid w:val="000F563E"/>
    <w:rsid w:val="000F5AA8"/>
    <w:rsid w:val="000F70A7"/>
    <w:rsid w:val="00100638"/>
    <w:rsid w:val="00103AB1"/>
    <w:rsid w:val="0010737E"/>
    <w:rsid w:val="00107880"/>
    <w:rsid w:val="00113CCA"/>
    <w:rsid w:val="00121569"/>
    <w:rsid w:val="00122F25"/>
    <w:rsid w:val="00132004"/>
    <w:rsid w:val="00135980"/>
    <w:rsid w:val="0013786F"/>
    <w:rsid w:val="00156688"/>
    <w:rsid w:val="00164719"/>
    <w:rsid w:val="00166FC4"/>
    <w:rsid w:val="001677AC"/>
    <w:rsid w:val="001804EA"/>
    <w:rsid w:val="00184390"/>
    <w:rsid w:val="00190A61"/>
    <w:rsid w:val="00196922"/>
    <w:rsid w:val="00197179"/>
    <w:rsid w:val="001A2215"/>
    <w:rsid w:val="001A3342"/>
    <w:rsid w:val="001A3E3D"/>
    <w:rsid w:val="001A4B77"/>
    <w:rsid w:val="001A5B37"/>
    <w:rsid w:val="001A7049"/>
    <w:rsid w:val="001B1E40"/>
    <w:rsid w:val="001C764E"/>
    <w:rsid w:val="001E1052"/>
    <w:rsid w:val="001E21B1"/>
    <w:rsid w:val="001E2F93"/>
    <w:rsid w:val="001E4554"/>
    <w:rsid w:val="001E61E5"/>
    <w:rsid w:val="001F2159"/>
    <w:rsid w:val="001F53FD"/>
    <w:rsid w:val="00206CB8"/>
    <w:rsid w:val="00210B8B"/>
    <w:rsid w:val="00214863"/>
    <w:rsid w:val="002156B4"/>
    <w:rsid w:val="00224FCD"/>
    <w:rsid w:val="00225D30"/>
    <w:rsid w:val="002277D6"/>
    <w:rsid w:val="00243D0C"/>
    <w:rsid w:val="00245C69"/>
    <w:rsid w:val="00253222"/>
    <w:rsid w:val="002572C1"/>
    <w:rsid w:val="00261C13"/>
    <w:rsid w:val="00262847"/>
    <w:rsid w:val="00263600"/>
    <w:rsid w:val="00265127"/>
    <w:rsid w:val="0027151C"/>
    <w:rsid w:val="00281BB2"/>
    <w:rsid w:val="002A03C3"/>
    <w:rsid w:val="002A2E54"/>
    <w:rsid w:val="002B254E"/>
    <w:rsid w:val="002B4CE8"/>
    <w:rsid w:val="002B72E9"/>
    <w:rsid w:val="002C4299"/>
    <w:rsid w:val="002C7998"/>
    <w:rsid w:val="002F1E53"/>
    <w:rsid w:val="002F2CAA"/>
    <w:rsid w:val="002F426B"/>
    <w:rsid w:val="0030052C"/>
    <w:rsid w:val="00303FCC"/>
    <w:rsid w:val="00304C36"/>
    <w:rsid w:val="003055DF"/>
    <w:rsid w:val="003221F4"/>
    <w:rsid w:val="00325678"/>
    <w:rsid w:val="003306E1"/>
    <w:rsid w:val="003320E4"/>
    <w:rsid w:val="0033525D"/>
    <w:rsid w:val="003414F3"/>
    <w:rsid w:val="00347487"/>
    <w:rsid w:val="00350AE3"/>
    <w:rsid w:val="00351DB6"/>
    <w:rsid w:val="0035328D"/>
    <w:rsid w:val="0035613E"/>
    <w:rsid w:val="00363EE9"/>
    <w:rsid w:val="00376128"/>
    <w:rsid w:val="0037742E"/>
    <w:rsid w:val="00377D56"/>
    <w:rsid w:val="0038245A"/>
    <w:rsid w:val="003840E6"/>
    <w:rsid w:val="00385CFC"/>
    <w:rsid w:val="0039337A"/>
    <w:rsid w:val="00393799"/>
    <w:rsid w:val="00395B02"/>
    <w:rsid w:val="003A0CD2"/>
    <w:rsid w:val="003A3189"/>
    <w:rsid w:val="003A3CA7"/>
    <w:rsid w:val="003B33BD"/>
    <w:rsid w:val="003B569D"/>
    <w:rsid w:val="003C3C0E"/>
    <w:rsid w:val="003D2025"/>
    <w:rsid w:val="003D42A6"/>
    <w:rsid w:val="003D4F21"/>
    <w:rsid w:val="003D4FAC"/>
    <w:rsid w:val="003E1885"/>
    <w:rsid w:val="003E7906"/>
    <w:rsid w:val="003F000A"/>
    <w:rsid w:val="003F000F"/>
    <w:rsid w:val="003F3C50"/>
    <w:rsid w:val="00406202"/>
    <w:rsid w:val="00406A6A"/>
    <w:rsid w:val="00406B22"/>
    <w:rsid w:val="00407147"/>
    <w:rsid w:val="004078FA"/>
    <w:rsid w:val="00407F0A"/>
    <w:rsid w:val="0041548A"/>
    <w:rsid w:val="00431E08"/>
    <w:rsid w:val="004328A7"/>
    <w:rsid w:val="00434C74"/>
    <w:rsid w:val="004547C8"/>
    <w:rsid w:val="00456EB4"/>
    <w:rsid w:val="00457827"/>
    <w:rsid w:val="004718F3"/>
    <w:rsid w:val="00475040"/>
    <w:rsid w:val="00490C06"/>
    <w:rsid w:val="00493D40"/>
    <w:rsid w:val="00493EE3"/>
    <w:rsid w:val="004967B6"/>
    <w:rsid w:val="004A3D3E"/>
    <w:rsid w:val="004A504B"/>
    <w:rsid w:val="004A6911"/>
    <w:rsid w:val="004B3652"/>
    <w:rsid w:val="004B54E0"/>
    <w:rsid w:val="004B7384"/>
    <w:rsid w:val="004C4269"/>
    <w:rsid w:val="004D2A66"/>
    <w:rsid w:val="004D6236"/>
    <w:rsid w:val="004D7F90"/>
    <w:rsid w:val="004E13A1"/>
    <w:rsid w:val="004E4DBB"/>
    <w:rsid w:val="004E4E41"/>
    <w:rsid w:val="004E70F7"/>
    <w:rsid w:val="004E73DB"/>
    <w:rsid w:val="004E7F9C"/>
    <w:rsid w:val="004F1D32"/>
    <w:rsid w:val="004F3493"/>
    <w:rsid w:val="004F5143"/>
    <w:rsid w:val="00512B09"/>
    <w:rsid w:val="00512CCE"/>
    <w:rsid w:val="00514BBF"/>
    <w:rsid w:val="005220ED"/>
    <w:rsid w:val="00526A08"/>
    <w:rsid w:val="00532E0A"/>
    <w:rsid w:val="00533796"/>
    <w:rsid w:val="00534996"/>
    <w:rsid w:val="00537343"/>
    <w:rsid w:val="00545884"/>
    <w:rsid w:val="0054638F"/>
    <w:rsid w:val="005516F3"/>
    <w:rsid w:val="00555D75"/>
    <w:rsid w:val="00560DF0"/>
    <w:rsid w:val="00564DCD"/>
    <w:rsid w:val="005672D3"/>
    <w:rsid w:val="0056759C"/>
    <w:rsid w:val="00567785"/>
    <w:rsid w:val="00573A93"/>
    <w:rsid w:val="005745C7"/>
    <w:rsid w:val="00582FE1"/>
    <w:rsid w:val="00585336"/>
    <w:rsid w:val="0059513E"/>
    <w:rsid w:val="005A1491"/>
    <w:rsid w:val="005A6AA4"/>
    <w:rsid w:val="005A6D9F"/>
    <w:rsid w:val="005B48FF"/>
    <w:rsid w:val="005C1E32"/>
    <w:rsid w:val="005C670D"/>
    <w:rsid w:val="005D363F"/>
    <w:rsid w:val="005D6BA3"/>
    <w:rsid w:val="005D7391"/>
    <w:rsid w:val="00604C15"/>
    <w:rsid w:val="006073E7"/>
    <w:rsid w:val="006158D5"/>
    <w:rsid w:val="00625D83"/>
    <w:rsid w:val="00645B38"/>
    <w:rsid w:val="00651984"/>
    <w:rsid w:val="00655508"/>
    <w:rsid w:val="0065667F"/>
    <w:rsid w:val="006623E7"/>
    <w:rsid w:val="00662B80"/>
    <w:rsid w:val="0066768F"/>
    <w:rsid w:val="00670F6C"/>
    <w:rsid w:val="006730D9"/>
    <w:rsid w:val="00676E58"/>
    <w:rsid w:val="006852C7"/>
    <w:rsid w:val="006852CE"/>
    <w:rsid w:val="00690627"/>
    <w:rsid w:val="00692D14"/>
    <w:rsid w:val="006940B6"/>
    <w:rsid w:val="0069692B"/>
    <w:rsid w:val="006A7A3B"/>
    <w:rsid w:val="006B28EA"/>
    <w:rsid w:val="006B598A"/>
    <w:rsid w:val="006B65C7"/>
    <w:rsid w:val="006C1727"/>
    <w:rsid w:val="006C32FD"/>
    <w:rsid w:val="006C39CE"/>
    <w:rsid w:val="006D0FCC"/>
    <w:rsid w:val="006D21F5"/>
    <w:rsid w:val="006D3089"/>
    <w:rsid w:val="006E0ABD"/>
    <w:rsid w:val="006E126D"/>
    <w:rsid w:val="006E1FC3"/>
    <w:rsid w:val="006F0A0F"/>
    <w:rsid w:val="00704CE9"/>
    <w:rsid w:val="0070616B"/>
    <w:rsid w:val="00706295"/>
    <w:rsid w:val="00706FDA"/>
    <w:rsid w:val="00711F9A"/>
    <w:rsid w:val="00713810"/>
    <w:rsid w:val="007144C5"/>
    <w:rsid w:val="007303A5"/>
    <w:rsid w:val="00730B3E"/>
    <w:rsid w:val="0073420B"/>
    <w:rsid w:val="00736367"/>
    <w:rsid w:val="00737A95"/>
    <w:rsid w:val="0074760E"/>
    <w:rsid w:val="007548C4"/>
    <w:rsid w:val="00754ABA"/>
    <w:rsid w:val="0075537D"/>
    <w:rsid w:val="007701A2"/>
    <w:rsid w:val="007750E2"/>
    <w:rsid w:val="00780335"/>
    <w:rsid w:val="00782B0D"/>
    <w:rsid w:val="0079781A"/>
    <w:rsid w:val="007A1546"/>
    <w:rsid w:val="007A228C"/>
    <w:rsid w:val="007A368E"/>
    <w:rsid w:val="007A5868"/>
    <w:rsid w:val="007B04CE"/>
    <w:rsid w:val="007B1B9C"/>
    <w:rsid w:val="007B6871"/>
    <w:rsid w:val="007B7A2F"/>
    <w:rsid w:val="007C32EE"/>
    <w:rsid w:val="007C3D33"/>
    <w:rsid w:val="007D294A"/>
    <w:rsid w:val="007D47D2"/>
    <w:rsid w:val="007D63E6"/>
    <w:rsid w:val="007D6DA5"/>
    <w:rsid w:val="007D6EC0"/>
    <w:rsid w:val="007D7E1D"/>
    <w:rsid w:val="007E503C"/>
    <w:rsid w:val="0080345C"/>
    <w:rsid w:val="00805DD9"/>
    <w:rsid w:val="0082522F"/>
    <w:rsid w:val="00831979"/>
    <w:rsid w:val="00832A9D"/>
    <w:rsid w:val="00840394"/>
    <w:rsid w:val="00842706"/>
    <w:rsid w:val="00843603"/>
    <w:rsid w:val="00851352"/>
    <w:rsid w:val="00857077"/>
    <w:rsid w:val="00863230"/>
    <w:rsid w:val="00864AFD"/>
    <w:rsid w:val="008657B5"/>
    <w:rsid w:val="00865BD0"/>
    <w:rsid w:val="008708C2"/>
    <w:rsid w:val="008717D8"/>
    <w:rsid w:val="0087215C"/>
    <w:rsid w:val="00875D25"/>
    <w:rsid w:val="008761B0"/>
    <w:rsid w:val="008764C5"/>
    <w:rsid w:val="00880E35"/>
    <w:rsid w:val="0088488B"/>
    <w:rsid w:val="008875FE"/>
    <w:rsid w:val="00887F8E"/>
    <w:rsid w:val="008957A2"/>
    <w:rsid w:val="00896234"/>
    <w:rsid w:val="00897E43"/>
    <w:rsid w:val="008A4946"/>
    <w:rsid w:val="008B20DE"/>
    <w:rsid w:val="008B22C9"/>
    <w:rsid w:val="008B73B9"/>
    <w:rsid w:val="008C222B"/>
    <w:rsid w:val="008C5738"/>
    <w:rsid w:val="008C746D"/>
    <w:rsid w:val="008C7EAD"/>
    <w:rsid w:val="008D0CFE"/>
    <w:rsid w:val="008D6152"/>
    <w:rsid w:val="008D7FC1"/>
    <w:rsid w:val="008E1AE9"/>
    <w:rsid w:val="008E28BC"/>
    <w:rsid w:val="008E7BA9"/>
    <w:rsid w:val="008F0F81"/>
    <w:rsid w:val="008F27BF"/>
    <w:rsid w:val="008F2E64"/>
    <w:rsid w:val="008F52BB"/>
    <w:rsid w:val="008F6B94"/>
    <w:rsid w:val="009142EC"/>
    <w:rsid w:val="009145E4"/>
    <w:rsid w:val="009154C3"/>
    <w:rsid w:val="00915EDB"/>
    <w:rsid w:val="00923540"/>
    <w:rsid w:val="00926767"/>
    <w:rsid w:val="009361D5"/>
    <w:rsid w:val="009428A4"/>
    <w:rsid w:val="0095764D"/>
    <w:rsid w:val="009615A5"/>
    <w:rsid w:val="009659F4"/>
    <w:rsid w:val="00970D60"/>
    <w:rsid w:val="009744D2"/>
    <w:rsid w:val="0098562A"/>
    <w:rsid w:val="009874D0"/>
    <w:rsid w:val="0099390E"/>
    <w:rsid w:val="009960E5"/>
    <w:rsid w:val="009A3113"/>
    <w:rsid w:val="009A7ADC"/>
    <w:rsid w:val="009B0D30"/>
    <w:rsid w:val="009C19B7"/>
    <w:rsid w:val="009C5ABB"/>
    <w:rsid w:val="009D7C51"/>
    <w:rsid w:val="009E196C"/>
    <w:rsid w:val="009E5490"/>
    <w:rsid w:val="009E6A0A"/>
    <w:rsid w:val="009F36BF"/>
    <w:rsid w:val="009F7A3F"/>
    <w:rsid w:val="00A0141C"/>
    <w:rsid w:val="00A111B6"/>
    <w:rsid w:val="00A22253"/>
    <w:rsid w:val="00A245E0"/>
    <w:rsid w:val="00A26D27"/>
    <w:rsid w:val="00A376EE"/>
    <w:rsid w:val="00A42A99"/>
    <w:rsid w:val="00A46232"/>
    <w:rsid w:val="00A5151A"/>
    <w:rsid w:val="00A57E0A"/>
    <w:rsid w:val="00A60C59"/>
    <w:rsid w:val="00A70720"/>
    <w:rsid w:val="00A77919"/>
    <w:rsid w:val="00A823F6"/>
    <w:rsid w:val="00A83B62"/>
    <w:rsid w:val="00A8526E"/>
    <w:rsid w:val="00A86E81"/>
    <w:rsid w:val="00A8719E"/>
    <w:rsid w:val="00AA0A89"/>
    <w:rsid w:val="00AA5368"/>
    <w:rsid w:val="00AA6429"/>
    <w:rsid w:val="00AB23B9"/>
    <w:rsid w:val="00AC01AA"/>
    <w:rsid w:val="00AC3EE9"/>
    <w:rsid w:val="00AC4F72"/>
    <w:rsid w:val="00AC5041"/>
    <w:rsid w:val="00AE482E"/>
    <w:rsid w:val="00AF1B39"/>
    <w:rsid w:val="00AF426F"/>
    <w:rsid w:val="00AF5AF7"/>
    <w:rsid w:val="00AF741A"/>
    <w:rsid w:val="00B01ADB"/>
    <w:rsid w:val="00B04161"/>
    <w:rsid w:val="00B056F9"/>
    <w:rsid w:val="00B10E8A"/>
    <w:rsid w:val="00B11E3D"/>
    <w:rsid w:val="00B13B4F"/>
    <w:rsid w:val="00B14D2C"/>
    <w:rsid w:val="00B17E82"/>
    <w:rsid w:val="00B20EFF"/>
    <w:rsid w:val="00B4575A"/>
    <w:rsid w:val="00B55DF1"/>
    <w:rsid w:val="00B575BA"/>
    <w:rsid w:val="00B6516E"/>
    <w:rsid w:val="00B71144"/>
    <w:rsid w:val="00B71608"/>
    <w:rsid w:val="00B76178"/>
    <w:rsid w:val="00B76429"/>
    <w:rsid w:val="00B76DBE"/>
    <w:rsid w:val="00B80335"/>
    <w:rsid w:val="00B8235A"/>
    <w:rsid w:val="00B86471"/>
    <w:rsid w:val="00B95500"/>
    <w:rsid w:val="00B956D4"/>
    <w:rsid w:val="00B97446"/>
    <w:rsid w:val="00BA7432"/>
    <w:rsid w:val="00BB2764"/>
    <w:rsid w:val="00BB37A2"/>
    <w:rsid w:val="00BC054F"/>
    <w:rsid w:val="00BC1AA0"/>
    <w:rsid w:val="00BC2495"/>
    <w:rsid w:val="00BC2A56"/>
    <w:rsid w:val="00BC314A"/>
    <w:rsid w:val="00BC4A80"/>
    <w:rsid w:val="00BC7EB9"/>
    <w:rsid w:val="00BD2643"/>
    <w:rsid w:val="00BD56B1"/>
    <w:rsid w:val="00BD6558"/>
    <w:rsid w:val="00BF051C"/>
    <w:rsid w:val="00BF2AD7"/>
    <w:rsid w:val="00BF2F76"/>
    <w:rsid w:val="00BF3022"/>
    <w:rsid w:val="00BF3214"/>
    <w:rsid w:val="00BF39C2"/>
    <w:rsid w:val="00BF5573"/>
    <w:rsid w:val="00BF7FD6"/>
    <w:rsid w:val="00C15867"/>
    <w:rsid w:val="00C22398"/>
    <w:rsid w:val="00C2296D"/>
    <w:rsid w:val="00C23155"/>
    <w:rsid w:val="00C3708F"/>
    <w:rsid w:val="00C40C41"/>
    <w:rsid w:val="00C45885"/>
    <w:rsid w:val="00C50F22"/>
    <w:rsid w:val="00C52289"/>
    <w:rsid w:val="00C57971"/>
    <w:rsid w:val="00C65BD7"/>
    <w:rsid w:val="00C76BA4"/>
    <w:rsid w:val="00C83A48"/>
    <w:rsid w:val="00C85865"/>
    <w:rsid w:val="00C85E85"/>
    <w:rsid w:val="00C926C8"/>
    <w:rsid w:val="00CA2EAE"/>
    <w:rsid w:val="00CA3511"/>
    <w:rsid w:val="00CA4AC1"/>
    <w:rsid w:val="00CA59FB"/>
    <w:rsid w:val="00CB0316"/>
    <w:rsid w:val="00CB0B11"/>
    <w:rsid w:val="00CB1DBA"/>
    <w:rsid w:val="00CB2884"/>
    <w:rsid w:val="00CB426A"/>
    <w:rsid w:val="00CB5354"/>
    <w:rsid w:val="00CC2773"/>
    <w:rsid w:val="00CC3C9E"/>
    <w:rsid w:val="00CC6A14"/>
    <w:rsid w:val="00CC70A3"/>
    <w:rsid w:val="00CD248F"/>
    <w:rsid w:val="00CD4442"/>
    <w:rsid w:val="00CD53C3"/>
    <w:rsid w:val="00CD53CB"/>
    <w:rsid w:val="00CD574E"/>
    <w:rsid w:val="00CE4C22"/>
    <w:rsid w:val="00CE76E5"/>
    <w:rsid w:val="00CF41EC"/>
    <w:rsid w:val="00CF5D04"/>
    <w:rsid w:val="00D02324"/>
    <w:rsid w:val="00D04DE4"/>
    <w:rsid w:val="00D063F1"/>
    <w:rsid w:val="00D074A7"/>
    <w:rsid w:val="00D11735"/>
    <w:rsid w:val="00D14F22"/>
    <w:rsid w:val="00D1711C"/>
    <w:rsid w:val="00D24BA0"/>
    <w:rsid w:val="00D3108B"/>
    <w:rsid w:val="00D4741C"/>
    <w:rsid w:val="00D57918"/>
    <w:rsid w:val="00D617B1"/>
    <w:rsid w:val="00D672CA"/>
    <w:rsid w:val="00D73DC6"/>
    <w:rsid w:val="00D74C1A"/>
    <w:rsid w:val="00D754C1"/>
    <w:rsid w:val="00D77393"/>
    <w:rsid w:val="00D77A35"/>
    <w:rsid w:val="00D81B3E"/>
    <w:rsid w:val="00D85644"/>
    <w:rsid w:val="00D90C70"/>
    <w:rsid w:val="00D90E49"/>
    <w:rsid w:val="00D96ADE"/>
    <w:rsid w:val="00DA0CE2"/>
    <w:rsid w:val="00DA2387"/>
    <w:rsid w:val="00DB0E18"/>
    <w:rsid w:val="00DC144E"/>
    <w:rsid w:val="00DC6A10"/>
    <w:rsid w:val="00DD382C"/>
    <w:rsid w:val="00DD3B37"/>
    <w:rsid w:val="00DD6D3E"/>
    <w:rsid w:val="00DE1D18"/>
    <w:rsid w:val="00DE27AB"/>
    <w:rsid w:val="00DE461D"/>
    <w:rsid w:val="00DE5D66"/>
    <w:rsid w:val="00DE657E"/>
    <w:rsid w:val="00DF1274"/>
    <w:rsid w:val="00DF16A7"/>
    <w:rsid w:val="00DF4704"/>
    <w:rsid w:val="00E024AA"/>
    <w:rsid w:val="00E03153"/>
    <w:rsid w:val="00E03A92"/>
    <w:rsid w:val="00E04DDB"/>
    <w:rsid w:val="00E15C77"/>
    <w:rsid w:val="00E1693E"/>
    <w:rsid w:val="00E23818"/>
    <w:rsid w:val="00E250F1"/>
    <w:rsid w:val="00E31431"/>
    <w:rsid w:val="00E3550D"/>
    <w:rsid w:val="00E35872"/>
    <w:rsid w:val="00E37D91"/>
    <w:rsid w:val="00E40720"/>
    <w:rsid w:val="00E52838"/>
    <w:rsid w:val="00E55045"/>
    <w:rsid w:val="00E614E0"/>
    <w:rsid w:val="00E63588"/>
    <w:rsid w:val="00E73F7F"/>
    <w:rsid w:val="00E753E8"/>
    <w:rsid w:val="00E85409"/>
    <w:rsid w:val="00E8784C"/>
    <w:rsid w:val="00E9339B"/>
    <w:rsid w:val="00EA429F"/>
    <w:rsid w:val="00EA4F9E"/>
    <w:rsid w:val="00EA63CA"/>
    <w:rsid w:val="00EA6D3B"/>
    <w:rsid w:val="00EB00AD"/>
    <w:rsid w:val="00EB136C"/>
    <w:rsid w:val="00EB480E"/>
    <w:rsid w:val="00EB5EC6"/>
    <w:rsid w:val="00EB7FC9"/>
    <w:rsid w:val="00ED27E8"/>
    <w:rsid w:val="00ED7137"/>
    <w:rsid w:val="00EE2FA2"/>
    <w:rsid w:val="00EF06EA"/>
    <w:rsid w:val="00EF1039"/>
    <w:rsid w:val="00EF1CDE"/>
    <w:rsid w:val="00EF4180"/>
    <w:rsid w:val="00EF4929"/>
    <w:rsid w:val="00F07604"/>
    <w:rsid w:val="00F21088"/>
    <w:rsid w:val="00F326BF"/>
    <w:rsid w:val="00F327E7"/>
    <w:rsid w:val="00F35746"/>
    <w:rsid w:val="00F35E00"/>
    <w:rsid w:val="00F447C7"/>
    <w:rsid w:val="00F459B4"/>
    <w:rsid w:val="00F5117C"/>
    <w:rsid w:val="00F5211B"/>
    <w:rsid w:val="00F554A9"/>
    <w:rsid w:val="00F65F7C"/>
    <w:rsid w:val="00F716FD"/>
    <w:rsid w:val="00F72E97"/>
    <w:rsid w:val="00F72FB3"/>
    <w:rsid w:val="00F80355"/>
    <w:rsid w:val="00F83AFC"/>
    <w:rsid w:val="00F87C43"/>
    <w:rsid w:val="00F930E7"/>
    <w:rsid w:val="00F96630"/>
    <w:rsid w:val="00FA5722"/>
    <w:rsid w:val="00FB0C81"/>
    <w:rsid w:val="00FC2200"/>
    <w:rsid w:val="00FC2540"/>
    <w:rsid w:val="00FC2A71"/>
    <w:rsid w:val="00FC48F6"/>
    <w:rsid w:val="00FC5307"/>
    <w:rsid w:val="00FE1FA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D3B24C"/>
  <w15:docId w15:val="{1ABF6C2A-259E-4C91-813F-EB92952E0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ANNEX"/>
    <w:basedOn w:val="Normal"/>
    <w:link w:val="ListParagraphChar"/>
    <w:qFormat/>
    <w:rsid w:val="00F65F7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5F7C"/>
    <w:rPr>
      <w:sz w:val="22"/>
      <w:szCs w:val="22"/>
      <w:lang w:val="en-CA"/>
    </w:rPr>
  </w:style>
  <w:style w:type="paragraph" w:styleId="NormalWeb">
    <w:name w:val="Normal (Web)"/>
    <w:basedOn w:val="Normal"/>
    <w:uiPriority w:val="99"/>
    <w:unhideWhenUsed/>
    <w:rsid w:val="00F65F7C"/>
    <w:pPr>
      <w:spacing w:before="100" w:beforeAutospacing="1" w:after="100" w:afterAutospacing="1"/>
      <w:jc w:val="left"/>
    </w:pPr>
    <w:rPr>
      <w:sz w:val="24"/>
      <w:szCs w:val="24"/>
      <w:lang w:eastAsia="en-CA"/>
    </w:r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basedOn w:val="DefaultParagraphFont"/>
    <w:link w:val="ListParagraph"/>
    <w:qFormat/>
    <w:locked/>
    <w:rsid w:val="00F65F7C"/>
    <w:rPr>
      <w:sz w:val="22"/>
      <w:szCs w:val="22"/>
      <w:lang w:val="en-GB"/>
    </w:rPr>
  </w:style>
  <w:style w:type="character" w:customStyle="1" w:styleId="Style1">
    <w:name w:val="Style1"/>
    <w:basedOn w:val="DefaultParagraphFont"/>
    <w:uiPriority w:val="1"/>
    <w:rsid w:val="00F65F7C"/>
    <w:rPr>
      <w:rFonts w:ascii="Times New Roman" w:hAnsi="Times New Roman"/>
      <w:sz w:val="20"/>
    </w:rPr>
  </w:style>
  <w:style w:type="character" w:customStyle="1" w:styleId="normaltextrun">
    <w:name w:val="normaltextrun"/>
    <w:basedOn w:val="DefaultParagraphFont"/>
    <w:rsid w:val="00F65F7C"/>
  </w:style>
  <w:style w:type="character" w:customStyle="1" w:styleId="eop">
    <w:name w:val="eop"/>
    <w:basedOn w:val="DefaultParagraphFont"/>
    <w:rsid w:val="00F65F7C"/>
  </w:style>
  <w:style w:type="character" w:styleId="Hyperlink">
    <w:name w:val="Hyperlink"/>
    <w:basedOn w:val="DefaultParagraphFont"/>
    <w:uiPriority w:val="99"/>
    <w:unhideWhenUsed/>
    <w:rsid w:val="00F65F7C"/>
    <w:rPr>
      <w:color w:val="0000FF" w:themeColor="hyperlink"/>
      <w:u w:val="single"/>
    </w:rPr>
  </w:style>
  <w:style w:type="character" w:styleId="FollowedHyperlink">
    <w:name w:val="FollowedHyperlink"/>
    <w:basedOn w:val="DefaultParagraphFont"/>
    <w:uiPriority w:val="99"/>
    <w:semiHidden/>
    <w:unhideWhenUsed/>
    <w:rsid w:val="00F72E97"/>
    <w:rPr>
      <w:color w:val="800080" w:themeColor="followedHyperlink"/>
      <w:u w:val="single"/>
    </w:rPr>
  </w:style>
  <w:style w:type="character" w:styleId="PageNumber">
    <w:name w:val="page number"/>
    <w:basedOn w:val="DefaultParagraphFont"/>
    <w:uiPriority w:val="99"/>
    <w:semiHidden/>
    <w:unhideWhenUsed/>
    <w:rsid w:val="00B80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youtu.be/Mo3nfg0tJ9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EURL%20FAE%20TRADUCTION\FAE_TRADUCTION\CLIENTS\UNMFS_0045\202411_session\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F95-General template</Template>
  <TotalTime>134</TotalTime>
  <Pages>13</Pages>
  <Words>7037</Words>
  <Characters>37244</Characters>
  <Application>Microsoft Office Word</Application>
  <DocSecurity>0</DocSecurity>
  <Lines>310</Lines>
  <Paragraphs>88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Inde</vt:lpstr>
      <vt:lpstr/>
    </vt:vector>
  </TitlesOfParts>
  <Manager/>
  <Company>UNMFS</Company>
  <LinksUpToDate>false</LinksUpToDate>
  <CharactersWithSpaces>44193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Inde</dc:title>
  <dc:subject/>
  <dc:creator>Maïlys Lejosne | FAE Traduction</dc:creator>
  <cp:keywords/>
  <dc:description/>
  <cp:lastModifiedBy>Angela Xue He Yan</cp:lastModifiedBy>
  <cp:revision>264</cp:revision>
  <cp:lastPrinted>2024-11-26T22:18:00Z</cp:lastPrinted>
  <dcterms:created xsi:type="dcterms:W3CDTF">2024-11-25T15:54:00Z</dcterms:created>
  <dcterms:modified xsi:type="dcterms:W3CDTF">2024-11-26T22:18:00Z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UNEP/OzL.Pro/ExCom/95/58</vt:lpwstr>
  </property>
  <property fmtid="{D5CDD505-2E9C-101B-9397-08002B2CF9AE}" pid="3" name="Revision date">
    <vt:lpwstr>11/21/2024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