
<file path=[Content_Types].xml><?xml version="1.0" encoding="utf-8"?>
<Types xmlns="http://schemas.openxmlformats.org/package/2006/content-types">
  <Default Extension="png" ContentType="image/png"/>
  <Override PartName="/customXml/itemProps2.xml" ContentType="application/vnd.openxmlformats-officedocument.customXmlProperties+xml"/>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docProps/app.xml" ContentType="application/vnd.openxmlformats-officedocument.extended-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header2.xml" ContentType="application/vnd.openxmlformats-officedocument.wordprocessingml.header+xml"/>
  <Override PartName="/word/header3.xml" ContentType="application/vnd.openxmlformats-officedocument.wordprocessingml.header+xml"/>
  <Override PartName="/docProps/core.xml" ContentType="application/vnd.openxmlformats-package.core-properties+xml"/>
  <Override PartName="/word/header1.xml" ContentType="application/vnd.openxmlformats-officedocument.wordprocessingml.header+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4"/>
        <w:tblW w:w="10080" w:type="dxa"/>
        <w:tblInd w:w="-432" w:type="dxa"/>
        <w:tblLayout w:type="fixed"/>
        <w:tblCellMar>
          <w:top w:w="0" w:type="dxa"/>
          <w:left w:w="108" w:type="dxa"/>
          <w:bottom w:w="0" w:type="dxa"/>
          <w:right w:w="108" w:type="dxa"/>
        </w:tblCellMar>
      </w:tblPr>
      <w:tblGrid>
        <w:gridCol w:w="2070"/>
        <w:gridCol w:w="3420"/>
        <w:gridCol w:w="4590"/>
      </w:tblGrid>
      <w:tr>
        <w:tblPrEx>
          <w:tblCellMar>
            <w:top w:w="0" w:type="dxa"/>
            <w:left w:w="108" w:type="dxa"/>
            <w:bottom w:w="0" w:type="dxa"/>
            <w:right w:w="108" w:type="dxa"/>
          </w:tblCellMar>
        </w:tblPrEx>
        <w:trPr>
          <w:trHeight w:val="720" w:hRule="atLeast"/>
        </w:trPr>
        <w:tc>
          <w:tcPr>
            <w:tcW w:w="5490" w:type="dxa"/>
            <w:gridSpan w:val="2"/>
            <w:tcBorders>
              <w:bottom w:val="single" w:color="auto" w:sz="18" w:space="0"/>
            </w:tcBorders>
          </w:tcPr>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hint="eastAsia" w:ascii="SimHei" w:eastAsia="SimHei"/>
                <w:color w:val="000000"/>
                <w:sz w:val="36"/>
                <w:szCs w:val="36"/>
              </w:rPr>
              <w:t>联</w:t>
            </w:r>
            <w:r>
              <w:rPr>
                <w:rFonts w:ascii="SimHei" w:eastAsia="SimHei"/>
                <w:color w:val="000000"/>
                <w:sz w:val="36"/>
                <w:szCs w:val="36"/>
              </w:rPr>
              <w:t xml:space="preserve">  </w:t>
            </w:r>
            <w:r>
              <w:rPr>
                <w:rFonts w:hint="eastAsia" w:ascii="SimHei" w:eastAsia="SimHei"/>
                <w:color w:val="000000"/>
                <w:sz w:val="36"/>
                <w:szCs w:val="36"/>
              </w:rPr>
              <w:t>合</w:t>
            </w:r>
            <w:r>
              <w:rPr>
                <w:rFonts w:ascii="SimHei" w:eastAsia="SimHei"/>
                <w:color w:val="000000"/>
                <w:sz w:val="36"/>
                <w:szCs w:val="36"/>
              </w:rPr>
              <w:t xml:space="preserve">  </w:t>
            </w:r>
            <w:r>
              <w:rPr>
                <w:rFonts w:hint="eastAsia" w:ascii="SimHei" w:eastAsia="SimHei"/>
                <w:color w:val="000000"/>
                <w:sz w:val="36"/>
                <w:szCs w:val="36"/>
              </w:rPr>
              <w:t>国</w:t>
            </w:r>
          </w:p>
        </w:tc>
        <w:tc>
          <w:tcPr>
            <w:tcW w:w="4590" w:type="dxa"/>
            <w:tcBorders>
              <w:bottom w:val="single" w:color="auto" w:sz="18" w:space="0"/>
            </w:tcBorders>
          </w:tcPr>
          <w:p>
            <w:pPr>
              <w:jc w:val="right"/>
              <w:rPr>
                <w:rFonts w:asciiTheme="minorBidi" w:hAnsiTheme="minorBidi" w:cstheme="minorBidi"/>
                <w:sz w:val="52"/>
                <w:szCs w:val="52"/>
              </w:rPr>
            </w:pPr>
            <w:r>
              <w:rPr>
                <w:rFonts w:asciiTheme="minorBidi" w:hAnsiTheme="minorBidi" w:cstheme="minorBidi"/>
                <w:b/>
                <w:sz w:val="72"/>
              </w:rPr>
              <w:t>EP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trPr>
        <w:tc>
          <w:tcPr>
            <w:tcW w:w="2070" w:type="dxa"/>
            <w:tcBorders>
              <w:top w:val="nil"/>
              <w:left w:val="nil"/>
              <w:bottom w:val="single" w:color="auto" w:sz="36" w:space="0"/>
              <w:right w:val="nil"/>
            </w:tcBorders>
          </w:tcPr>
          <w:p>
            <w:pPr>
              <w:spacing w:before="120"/>
            </w:pPr>
            <w:r>
              <w:rPr>
                <w:lang w:val="en-CA" w:eastAsia="en-CA"/>
              </w:rPr>
              <w:drawing>
                <wp:anchor distT="0" distB="0" distL="114300" distR="114300" simplePos="0" relativeHeight="251659264" behindDoc="0" locked="0" layoutInCell="1" allowOverlap="1">
                  <wp:simplePos x="0" y="0"/>
                  <wp:positionH relativeFrom="column">
                    <wp:posOffset>53340</wp:posOffset>
                  </wp:positionH>
                  <wp:positionV relativeFrom="paragraph">
                    <wp:posOffset>706755</wp:posOffset>
                  </wp:positionV>
                  <wp:extent cx="752475" cy="663575"/>
                  <wp:effectExtent l="0" t="0" r="0" b="381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UNEP"/>
                          <pic:cNvPicPr>
                            <a:picLocks noChangeAspect="1" noChangeArrowheads="1"/>
                          </pic:cNvPicPr>
                        </pic:nvPicPr>
                        <pic:blipFill>
                          <a:blip r:embed="rId11" cstate="print"/>
                          <a:srcRect/>
                          <a:stretch>
                            <a:fillRect/>
                          </a:stretch>
                        </pic:blipFill>
                        <pic:spPr>
                          <a:xfrm>
                            <a:off x="0" y="0"/>
                            <a:ext cx="752475" cy="663492"/>
                          </a:xfrm>
                          <a:prstGeom prst="rect">
                            <a:avLst/>
                          </a:prstGeom>
                          <a:noFill/>
                        </pic:spPr>
                      </pic:pic>
                    </a:graphicData>
                  </a:graphic>
                </wp:anchor>
              </w:drawing>
            </w:r>
            <w:r>
              <w:rPr>
                <w:lang w:val="en-CA" w:eastAsia="en-CA"/>
              </w:rPr>
              <w:drawing>
                <wp:anchor distT="0" distB="0" distL="114300" distR="114300" simplePos="0" relativeHeight="251660288" behindDoc="1" locked="0" layoutInCell="0" allowOverlap="1">
                  <wp:simplePos x="0" y="0"/>
                  <wp:positionH relativeFrom="column">
                    <wp:posOffset>15240</wp:posOffset>
                  </wp:positionH>
                  <wp:positionV relativeFrom="paragraph">
                    <wp:posOffset>11430</wp:posOffset>
                  </wp:positionV>
                  <wp:extent cx="742950" cy="660400"/>
                  <wp:effectExtent l="0" t="0" r="0" b="635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2" cstate="print"/>
                          <a:srcRect/>
                          <a:stretch>
                            <a:fillRect/>
                          </a:stretch>
                        </pic:blipFill>
                        <pic:spPr>
                          <a:xfrm>
                            <a:off x="0" y="0"/>
                            <a:ext cx="746344" cy="663417"/>
                          </a:xfrm>
                          <a:prstGeom prst="rect">
                            <a:avLst/>
                          </a:prstGeom>
                          <a:noFill/>
                        </pic:spPr>
                      </pic:pic>
                    </a:graphicData>
                  </a:graphic>
                </wp:anchor>
              </w:drawing>
            </w:r>
          </w:p>
        </w:tc>
        <w:tc>
          <w:tcPr>
            <w:tcW w:w="3420" w:type="dxa"/>
            <w:tcBorders>
              <w:top w:val="nil"/>
              <w:left w:val="nil"/>
              <w:bottom w:val="single" w:color="auto" w:sz="36" w:space="0"/>
              <w:right w:val="nil"/>
            </w:tcBorders>
            <w:vAlign w:val="center"/>
          </w:tcPr>
          <w:p>
            <w:pPr>
              <w:pStyle w:val="4"/>
              <w:numPr>
                <w:ilvl w:val="0"/>
                <w:numId w:val="0"/>
              </w:numPr>
              <w:spacing w:after="0"/>
              <w:jc w:val="left"/>
              <w:rPr>
                <w:b/>
                <w:sz w:val="32"/>
                <w:lang w:val="ru-RU"/>
              </w:rPr>
            </w:pPr>
            <w:r>
              <w:rPr>
                <w:rFonts w:hint="eastAsia" w:ascii="SimHei" w:eastAsia="SimHei"/>
                <w:color w:val="000000"/>
                <w:sz w:val="44"/>
              </w:rPr>
              <w:t>联</w:t>
            </w:r>
            <w:r>
              <w:rPr>
                <w:rFonts w:ascii="SimHei" w:eastAsia="SimHei"/>
                <w:color w:val="000000"/>
                <w:sz w:val="44"/>
              </w:rPr>
              <w:t xml:space="preserve"> </w:t>
            </w:r>
            <w:r>
              <w:rPr>
                <w:rFonts w:hint="eastAsia" w:ascii="SimHei" w:eastAsia="SimHei"/>
                <w:color w:val="000000"/>
                <w:sz w:val="44"/>
              </w:rPr>
              <w:t>合</w:t>
            </w:r>
            <w:r>
              <w:rPr>
                <w:rFonts w:ascii="SimHei" w:eastAsia="SimHei"/>
                <w:color w:val="000000"/>
                <w:sz w:val="44"/>
              </w:rPr>
              <w:t xml:space="preserve"> </w:t>
            </w:r>
            <w:r>
              <w:rPr>
                <w:rFonts w:hint="eastAsia" w:ascii="SimHei" w:eastAsia="SimHei"/>
                <w:color w:val="000000"/>
                <w:sz w:val="44"/>
              </w:rPr>
              <w:t>国</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r>
              <w:rPr>
                <w:rFonts w:hint="eastAsia" w:ascii="SimHei" w:eastAsia="SimHei"/>
                <w:color w:val="000000"/>
                <w:sz w:val="44"/>
              </w:rPr>
              <w:t>环</w:t>
            </w:r>
            <w:r>
              <w:rPr>
                <w:rFonts w:ascii="SimHei" w:eastAsia="SimHei"/>
                <w:color w:val="000000"/>
                <w:sz w:val="44"/>
                <w:lang w:val="ru-RU"/>
              </w:rPr>
              <w:t xml:space="preserve"> </w:t>
            </w:r>
            <w:r>
              <w:rPr>
                <w:rFonts w:hint="eastAsia" w:ascii="SimHei" w:eastAsia="SimHei"/>
                <w:color w:val="000000"/>
                <w:sz w:val="44"/>
              </w:rPr>
              <w:t>境</w:t>
            </w:r>
            <w:r>
              <w:rPr>
                <w:rFonts w:ascii="SimHei" w:eastAsia="SimHei"/>
                <w:color w:val="000000"/>
                <w:sz w:val="44"/>
                <w:lang w:val="ru-RU"/>
              </w:rPr>
              <w:t xml:space="preserve"> </w:t>
            </w:r>
            <w:r>
              <w:rPr>
                <w:rFonts w:hint="eastAsia" w:ascii="SimHei" w:eastAsia="SimHei"/>
                <w:color w:val="000000"/>
                <w:sz w:val="44"/>
              </w:rPr>
              <w:t>规</w:t>
            </w:r>
            <w:r>
              <w:rPr>
                <w:rFonts w:ascii="SimHei" w:eastAsia="SimHei"/>
                <w:color w:val="000000"/>
                <w:sz w:val="44"/>
                <w:lang w:val="ru-RU"/>
              </w:rPr>
              <w:t xml:space="preserve"> </w:t>
            </w:r>
            <w:r>
              <w:rPr>
                <w:rFonts w:hint="eastAsia" w:ascii="SimHei" w:eastAsia="SimHei"/>
                <w:color w:val="000000"/>
                <w:sz w:val="44"/>
              </w:rPr>
              <w:t>划</w:t>
            </w:r>
            <w:r>
              <w:rPr>
                <w:rFonts w:ascii="SimHei" w:eastAsia="SimHei"/>
                <w:color w:val="000000"/>
                <w:sz w:val="44"/>
                <w:lang w:val="ru-RU"/>
              </w:rPr>
              <w:t xml:space="preserve"> </w:t>
            </w:r>
            <w:r>
              <w:rPr>
                <w:rFonts w:hint="eastAsia" w:ascii="SimHei" w:eastAsia="SimHei"/>
                <w:color w:val="000000"/>
                <w:sz w:val="44"/>
              </w:rPr>
              <w:t>署</w:t>
            </w: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SimHei" w:eastAsia="SimHei"/>
                <w:color w:val="000000"/>
                <w:sz w:val="44"/>
              </w:rPr>
            </w:pPr>
          </w:p>
          <w:p>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ru-RU"/>
              </w:rPr>
            </w:pPr>
          </w:p>
        </w:tc>
        <w:tc>
          <w:tcPr>
            <w:tcW w:w="4590" w:type="dxa"/>
            <w:tcBorders>
              <w:top w:val="nil"/>
              <w:left w:val="nil"/>
              <w:bottom w:val="single" w:color="auto" w:sz="36" w:space="0"/>
              <w:right w:val="nil"/>
            </w:tcBorders>
          </w:tcPr>
          <w:p>
            <w:pPr>
              <w:rPr>
                <w:color w:val="000000"/>
                <w:szCs w:val="24"/>
              </w:rPr>
            </w:pPr>
          </w:p>
          <w:p>
            <w:pPr>
              <w:rPr>
                <w:color w:val="000000"/>
                <w:szCs w:val="24"/>
              </w:rPr>
            </w:pPr>
            <w:r>
              <w:rPr>
                <w:color w:val="000000"/>
                <w:szCs w:val="24"/>
              </w:rPr>
              <w:t>Distr.</w:t>
            </w:r>
          </w:p>
          <w:p>
            <w:pPr>
              <w:rPr>
                <w:color w:val="000000"/>
                <w:szCs w:val="24"/>
              </w:rPr>
            </w:pPr>
            <w:r>
              <w:rPr>
                <w:rFonts w:hint="eastAsia"/>
                <w:color w:val="000000"/>
                <w:szCs w:val="24"/>
              </w:rPr>
              <w:t>GENERAL</w:t>
            </w:r>
          </w:p>
          <w:p>
            <w:pPr>
              <w:rPr>
                <w:color w:val="000000"/>
                <w:szCs w:val="24"/>
              </w:rPr>
            </w:pPr>
          </w:p>
          <w:p>
            <w:r>
              <w:fldChar w:fldCharType="begin"/>
            </w:r>
            <w:r>
              <w:instrText xml:space="preserve"> DOCPROPERTY "Document number"  \* MERGEFORMAT </w:instrText>
            </w:r>
            <w:r>
              <w:fldChar w:fldCharType="separate"/>
            </w:r>
            <w:r>
              <w:t>UNEP/OzL.Pro/ExCom/88/51</w:t>
            </w:r>
            <w:r>
              <w:fldChar w:fldCharType="end"/>
            </w:r>
          </w:p>
          <w:p>
            <w:pPr>
              <w:rPr>
                <w:color w:val="000000"/>
                <w:szCs w:val="24"/>
              </w:rPr>
            </w:pPr>
            <w:r>
              <w:fldChar w:fldCharType="begin"/>
            </w:r>
            <w:r>
              <w:instrText xml:space="preserve"> DOCPROPERTY "Revision date" \@ "d MMMM YYYY"  \* MERGEFORMAT </w:instrText>
            </w:r>
            <w:r>
              <w:fldChar w:fldCharType="separate"/>
            </w:r>
            <w:r>
              <w:t>2 November 2021</w:t>
            </w:r>
            <w:r>
              <w:fldChar w:fldCharType="end"/>
            </w:r>
          </w:p>
          <w:p>
            <w:pPr>
              <w:rPr>
                <w:color w:val="000000"/>
                <w:szCs w:val="24"/>
              </w:rPr>
            </w:pPr>
          </w:p>
          <w:p>
            <w:pPr>
              <w:tabs>
                <w:tab w:val="left" w:pos="10080"/>
              </w:tabs>
              <w:rPr>
                <w:color w:val="000000"/>
                <w:szCs w:val="24"/>
              </w:rPr>
            </w:pPr>
            <w:r>
              <w:rPr>
                <w:color w:val="000000"/>
                <w:szCs w:val="24"/>
              </w:rPr>
              <w:t>CHINESE</w:t>
            </w:r>
          </w:p>
          <w:p>
            <w:pPr>
              <w:tabs>
                <w:tab w:val="left" w:pos="10080"/>
              </w:tabs>
              <w:rPr>
                <w:color w:val="000000"/>
                <w:spacing w:val="-10"/>
                <w:szCs w:val="24"/>
              </w:rPr>
            </w:pPr>
            <w:r>
              <w:rPr>
                <w:color w:val="000000"/>
                <w:szCs w:val="24"/>
              </w:rPr>
              <w:t>ORIGINAL: ENGLISH</w:t>
            </w:r>
          </w:p>
          <w:p/>
        </w:tc>
      </w:tr>
    </w:tbl>
    <w:p>
      <w:pPr>
        <w:pStyle w:val="83"/>
        <w:numPr>
          <w:ilvl w:val="0"/>
          <w:numId w:val="0"/>
        </w:numPr>
        <w:tabs>
          <w:tab w:val="left" w:pos="3705"/>
          <w:tab w:val="clear" w:pos="490"/>
          <w:tab w:val="clear" w:pos="979"/>
          <w:tab w:val="clear" w:pos="1469"/>
        </w:tabs>
        <w:spacing w:before="0" w:after="0"/>
        <w:rPr>
          <w:color w:val="000000"/>
          <w:sz w:val="28"/>
        </w:rPr>
      </w:pPr>
      <w:r>
        <w:rPr>
          <w:rFonts w:hint="eastAsia"/>
          <w:color w:val="000000"/>
          <w:sz w:val="28"/>
        </w:rPr>
        <w:t>执行蒙特利尔议定书</w:t>
      </w:r>
    </w:p>
    <w:p>
      <w:pPr>
        <w:pStyle w:val="83"/>
        <w:numPr>
          <w:ilvl w:val="0"/>
          <w:numId w:val="0"/>
        </w:numPr>
        <w:tabs>
          <w:tab w:val="left" w:pos="3705"/>
          <w:tab w:val="clear" w:pos="490"/>
          <w:tab w:val="clear" w:pos="979"/>
          <w:tab w:val="clear" w:pos="1469"/>
        </w:tabs>
        <w:spacing w:before="0" w:after="0"/>
        <w:rPr>
          <w:color w:val="000000"/>
          <w:sz w:val="28"/>
        </w:rPr>
      </w:pPr>
      <w:r>
        <w:rPr>
          <w:color w:val="000000"/>
          <w:sz w:val="28"/>
          <w:lang w:val="en-CA"/>
        </w:rPr>
        <w:t xml:space="preserve">  </w:t>
      </w:r>
      <w:r>
        <w:rPr>
          <w:rFonts w:hint="eastAsia"/>
          <w:color w:val="000000"/>
          <w:sz w:val="28"/>
        </w:rPr>
        <w:t>多边基金执行委员会</w:t>
      </w:r>
      <w:r>
        <w:rPr>
          <w:color w:val="000000"/>
          <w:sz w:val="28"/>
        </w:rPr>
        <w:tab/>
      </w:r>
    </w:p>
    <w:p>
      <w:pPr>
        <w:jc w:val="left"/>
        <w:rPr>
          <w:sz w:val="24"/>
          <w:szCs w:val="24"/>
          <w:lang w:val="en-CA"/>
        </w:rPr>
      </w:pPr>
      <w:r>
        <w:rPr>
          <w:rFonts w:hint="eastAsia" w:hAnsi="宋体"/>
          <w:sz w:val="24"/>
          <w:szCs w:val="24"/>
          <w:lang w:val="en-CA"/>
        </w:rPr>
        <w:t>第八十八</w:t>
      </w:r>
      <w:r>
        <w:rPr>
          <w:rFonts w:hAnsi="宋体"/>
          <w:sz w:val="24"/>
          <w:szCs w:val="24"/>
          <w:lang w:val="en-CA"/>
        </w:rPr>
        <w:t>次会议</w:t>
      </w:r>
    </w:p>
    <w:p>
      <w:pPr>
        <w:jc w:val="left"/>
        <w:rPr>
          <w:sz w:val="24"/>
          <w:szCs w:val="24"/>
        </w:rPr>
      </w:pPr>
      <w:r>
        <w:rPr>
          <w:sz w:val="24"/>
          <w:szCs w:val="24"/>
          <w:lang w:val="en-CA"/>
        </w:rPr>
        <w:t>2021</w:t>
      </w:r>
      <w:r>
        <w:rPr>
          <w:rFonts w:hAnsi="宋体"/>
          <w:sz w:val="24"/>
          <w:szCs w:val="24"/>
          <w:lang w:val="en-CA"/>
        </w:rPr>
        <w:t>年</w:t>
      </w:r>
      <w:r>
        <w:rPr>
          <w:rFonts w:hint="eastAsia" w:hAnsi="宋体"/>
          <w:sz w:val="24"/>
          <w:szCs w:val="24"/>
          <w:lang w:val="en-CA"/>
        </w:rPr>
        <w:t>1</w:t>
      </w:r>
      <w:r>
        <w:rPr>
          <w:rFonts w:hAnsi="宋体"/>
          <w:sz w:val="24"/>
          <w:szCs w:val="24"/>
          <w:lang w:val="en-CA"/>
        </w:rPr>
        <w:t>1月</w:t>
      </w:r>
      <w:r>
        <w:rPr>
          <w:rFonts w:hint="eastAsia" w:hAnsi="宋体"/>
          <w:sz w:val="24"/>
          <w:szCs w:val="24"/>
          <w:lang w:val="en-CA"/>
        </w:rPr>
        <w:t>1</w:t>
      </w:r>
      <w:r>
        <w:rPr>
          <w:rFonts w:hAnsi="宋体"/>
          <w:sz w:val="24"/>
          <w:szCs w:val="24"/>
          <w:lang w:val="en-CA"/>
        </w:rPr>
        <w:t>5至</w:t>
      </w:r>
      <w:r>
        <w:rPr>
          <w:rFonts w:hint="eastAsia" w:hAnsi="宋体"/>
          <w:sz w:val="24"/>
          <w:szCs w:val="24"/>
          <w:lang w:val="en-CA"/>
        </w:rPr>
        <w:t>1</w:t>
      </w:r>
      <w:r>
        <w:rPr>
          <w:rFonts w:hAnsi="宋体"/>
          <w:sz w:val="24"/>
          <w:szCs w:val="24"/>
          <w:lang w:val="en-CA"/>
        </w:rPr>
        <w:t>9</w:t>
      </w:r>
      <w:r>
        <w:rPr>
          <w:rFonts w:hint="eastAsia" w:hAnsi="宋体"/>
          <w:sz w:val="24"/>
          <w:szCs w:val="24"/>
          <w:lang w:val="en-CA"/>
        </w:rPr>
        <w:t>日</w:t>
      </w:r>
      <w:r>
        <w:rPr>
          <w:rFonts w:hAnsi="宋体"/>
          <w:sz w:val="24"/>
          <w:szCs w:val="24"/>
          <w:lang w:val="en-CA"/>
        </w:rPr>
        <w:t>，蒙特利尔</w:t>
      </w:r>
      <w:r>
        <w:rPr>
          <w:rStyle w:val="71"/>
          <w:sz w:val="24"/>
          <w:szCs w:val="24"/>
        </w:rPr>
        <w:footnoteReference w:id="0"/>
      </w:r>
    </w:p>
    <w:p>
      <w:pPr>
        <w:pStyle w:val="83"/>
        <w:numPr>
          <w:ilvl w:val="0"/>
          <w:numId w:val="0"/>
        </w:numPr>
        <w:tabs>
          <w:tab w:val="left" w:pos="3705"/>
          <w:tab w:val="clear" w:pos="490"/>
          <w:tab w:val="clear" w:pos="979"/>
          <w:tab w:val="clear" w:pos="1469"/>
        </w:tabs>
        <w:spacing w:before="0" w:after="0"/>
        <w:rPr>
          <w:color w:val="000000"/>
          <w:szCs w:val="18"/>
          <w:lang w:val="en-GB"/>
        </w:rPr>
      </w:pPr>
    </w:p>
    <w:p>
      <w:pPr>
        <w:pStyle w:val="83"/>
        <w:numPr>
          <w:ilvl w:val="0"/>
          <w:numId w:val="0"/>
        </w:numPr>
        <w:tabs>
          <w:tab w:val="left" w:pos="3705"/>
          <w:tab w:val="clear" w:pos="490"/>
          <w:tab w:val="clear" w:pos="979"/>
          <w:tab w:val="clear" w:pos="1469"/>
        </w:tabs>
        <w:spacing w:before="0" w:after="0"/>
        <w:rPr>
          <w:color w:val="000000"/>
          <w:szCs w:val="18"/>
          <w:lang w:val="en-GB"/>
        </w:rPr>
      </w:pPr>
    </w:p>
    <w:p>
      <w:pPr>
        <w:pStyle w:val="83"/>
        <w:numPr>
          <w:ilvl w:val="0"/>
          <w:numId w:val="0"/>
        </w:numPr>
        <w:tabs>
          <w:tab w:val="left" w:pos="3705"/>
          <w:tab w:val="clear" w:pos="490"/>
          <w:tab w:val="clear" w:pos="979"/>
          <w:tab w:val="clear" w:pos="1469"/>
        </w:tabs>
        <w:spacing w:before="0" w:after="0"/>
        <w:rPr>
          <w:color w:val="000000"/>
          <w:szCs w:val="18"/>
          <w:lang w:val="en-GB"/>
        </w:rPr>
      </w:pPr>
    </w:p>
    <w:p>
      <w:pPr>
        <w:jc w:val="center"/>
        <w:rPr>
          <w:b/>
          <w:sz w:val="32"/>
          <w:szCs w:val="32"/>
        </w:rPr>
      </w:pPr>
      <w:r>
        <w:rPr>
          <w:b/>
          <w:sz w:val="32"/>
          <w:szCs w:val="32"/>
        </w:rPr>
        <w:t>项目提案：</w:t>
      </w:r>
      <w:r>
        <w:rPr>
          <w:sz w:val="32"/>
          <w:szCs w:val="32"/>
          <w:lang w:val="en-CA"/>
        </w:rPr>
        <w:t xml:space="preserve"> </w:t>
      </w:r>
      <w:r>
        <w:rPr>
          <w:rFonts w:hint="eastAsia"/>
          <w:b/>
          <w:bCs/>
          <w:sz w:val="32"/>
          <w:szCs w:val="32"/>
          <w:lang w:val="en-US" w:eastAsia="zh-CN"/>
        </w:rPr>
        <w:t>印度尼西亚</w:t>
      </w:r>
      <w:r>
        <w:rPr>
          <w:b/>
          <w:sz w:val="32"/>
          <w:szCs w:val="32"/>
        </w:rPr>
        <w:t xml:space="preserve"> </w:t>
      </w:r>
    </w:p>
    <w:p>
      <w:pPr>
        <w:rPr>
          <w:sz w:val="32"/>
          <w:szCs w:val="32"/>
        </w:rPr>
      </w:pPr>
    </w:p>
    <w:p/>
    <w:p>
      <w:pPr>
        <w:ind w:firstLine="720"/>
      </w:pPr>
      <w:r>
        <w:t>本文件包括秘书处对以下项目提案的评论和建议：</w:t>
      </w:r>
    </w:p>
    <w:p>
      <w:pPr>
        <w:ind w:firstLine="720"/>
      </w:pPr>
    </w:p>
    <w:p>
      <w:pPr>
        <w:ind w:firstLine="720"/>
      </w:pPr>
      <w:r>
        <w:rPr>
          <w:u w:val="single"/>
        </w:rPr>
        <w:t>淘汰</w:t>
      </w:r>
    </w:p>
    <w:p/>
    <w:tbl>
      <w:tblPr>
        <w:tblStyle w:val="2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663"/>
        <w:gridCol w:w="268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63" w:type="dxa"/>
          </w:tcPr>
          <w:p>
            <w:pPr>
              <w:pStyle w:val="86"/>
              <w:numPr>
                <w:ilvl w:val="0"/>
                <w:numId w:val="5"/>
              </w:numPr>
              <w:ind w:hanging="830"/>
              <w:rPr>
                <w:lang w:val="en-CA"/>
              </w:rPr>
            </w:pPr>
            <w:r>
              <w:t>氟氯烃淘汰管理计划（第一阶段，</w:t>
            </w:r>
            <w:r>
              <w:rPr>
                <w:rFonts w:hint="eastAsia"/>
                <w:lang w:val="en-US" w:eastAsia="zh-CN"/>
              </w:rPr>
              <w:t>进展报告</w:t>
            </w:r>
            <w:r>
              <w:t>）</w:t>
            </w:r>
          </w:p>
        </w:tc>
        <w:tc>
          <w:tcPr>
            <w:tcW w:w="2687" w:type="dxa"/>
          </w:tcPr>
          <w:p>
            <w:pPr>
              <w:spacing w:after="240"/>
              <w:jc w:val="right"/>
              <w:rPr>
                <w:highlight w:val="cyan"/>
              </w:rPr>
            </w:pPr>
            <w:r>
              <w:rPr>
                <w:rFonts w:hint="eastAsia"/>
                <w:lang w:val="en-US" w:eastAsia="zh-CN"/>
              </w:rPr>
              <w:t>开发计划署，工发组织，世界银行和澳大利亚政府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663" w:type="dxa"/>
          </w:tcPr>
          <w:p>
            <w:pPr>
              <w:pStyle w:val="86"/>
              <w:numPr>
                <w:ilvl w:val="0"/>
                <w:numId w:val="5"/>
              </w:numPr>
              <w:ind w:hanging="830"/>
              <w:rPr>
                <w:lang w:val="en-CA"/>
              </w:rPr>
            </w:pPr>
            <w:r>
              <w:t>氟氯烃淘汰管理计划（第</w:t>
            </w:r>
            <w:r>
              <w:rPr>
                <w:rFonts w:hint="eastAsia"/>
                <w:lang w:val="en-US" w:eastAsia="zh-CN"/>
              </w:rPr>
              <w:t>二</w:t>
            </w:r>
            <w:r>
              <w:t>阶段，第</w:t>
            </w:r>
            <w:r>
              <w:rPr>
                <w:rFonts w:hint="eastAsia"/>
                <w:lang w:val="en-US" w:eastAsia="zh-CN"/>
              </w:rPr>
              <w:t>三</w:t>
            </w:r>
            <w:r>
              <w:t>次付款）</w:t>
            </w:r>
          </w:p>
        </w:tc>
        <w:tc>
          <w:tcPr>
            <w:tcW w:w="2687" w:type="dxa"/>
          </w:tcPr>
          <w:p>
            <w:pPr>
              <w:jc w:val="right"/>
            </w:pPr>
            <w:r>
              <w:rPr>
                <w:rFonts w:hint="eastAsia"/>
                <w:lang w:val="en-US" w:eastAsia="zh-CN"/>
              </w:rPr>
              <w:t>开发计划署和世界银行</w:t>
            </w:r>
          </w:p>
        </w:tc>
      </w:tr>
    </w:tbl>
    <w:p/>
    <w:p/>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pStyle w:val="20"/>
        <w:spacing w:after="60"/>
        <w:ind w:left="600" w:hanging="600" w:hangingChars="300"/>
        <w:rPr>
          <w:lang w:eastAsia="zh-CN"/>
        </w:rPr>
      </w:pPr>
    </w:p>
    <w:p>
      <w:pPr>
        <w:spacing w:before="240" w:after="240"/>
        <w:ind w:left="1440" w:hanging="1440"/>
        <w:rPr>
          <w:b/>
          <w:lang w:val="en-US" w:eastAsia="zh-CN"/>
        </w:rPr>
      </w:pPr>
      <w:r>
        <w:rPr>
          <w:rFonts w:hint="eastAsia"/>
          <w:b/>
          <w:lang w:val="en-US" w:eastAsia="zh-CN"/>
        </w:rPr>
        <w:t>背景</w:t>
      </w:r>
    </w:p>
    <w:p>
      <w:pPr>
        <w:pStyle w:val="2"/>
      </w:pPr>
      <w:r>
        <w:t>开发计划署作为牵头执行机构</w:t>
      </w:r>
      <w:r>
        <w:rPr>
          <w:rFonts w:hint="eastAsia"/>
          <w:lang w:eastAsia="zh-CN"/>
        </w:rPr>
        <w:t>，</w:t>
      </w:r>
      <w:r>
        <w:t>代表印度尼西亚政府，提交了氟氯烃淘汰管理计划</w:t>
      </w:r>
      <w:r>
        <w:rPr>
          <w:rFonts w:hint="eastAsia"/>
        </w:rPr>
        <w:t> </w:t>
      </w:r>
      <w:r>
        <w:t>(HPMP）第一阶段执行情况的最终</w:t>
      </w:r>
      <w:r>
        <w:rPr>
          <w:rFonts w:hint="eastAsia"/>
          <w:lang w:val="en-US" w:eastAsia="zh-CN"/>
        </w:rPr>
        <w:t>进展</w:t>
      </w:r>
      <w:r>
        <w:t>报告，包括参与项目的企业根据第 85/10(c) 号决定制造的基于低全球升温潜能值 (</w:t>
      </w:r>
      <w:r>
        <w:rPr>
          <w:rFonts w:hint="eastAsia"/>
          <w:lang w:eastAsia="zh-CN"/>
        </w:rPr>
        <w:t xml:space="preserve">全球升温潜能值 </w:t>
      </w:r>
      <w:r>
        <w:t>) 设备销售的汇总信息。</w:t>
      </w:r>
    </w:p>
    <w:p>
      <w:pPr>
        <w:pStyle w:val="2"/>
      </w:pPr>
      <w:r>
        <w:t>氟氯烃淘汰管理计划的第一阶段包括世界银行和工发组织</w:t>
      </w:r>
      <w:r>
        <w:rPr>
          <w:rFonts w:hint="eastAsia"/>
          <w:lang w:val="en-US" w:eastAsia="zh-CN"/>
        </w:rPr>
        <w:t>执行</w:t>
      </w:r>
      <w:r>
        <w:t>的泡沫塑料行业的</w:t>
      </w:r>
      <w:r>
        <w:rPr>
          <w:rFonts w:hint="eastAsia"/>
          <w:lang w:eastAsia="zh-CN"/>
        </w:rPr>
        <w:t>氟氯烃</w:t>
      </w:r>
      <w:r>
        <w:t>-141b 淘汰</w:t>
      </w:r>
      <w:r>
        <w:rPr>
          <w:rFonts w:hint="eastAsia"/>
          <w:lang w:eastAsia="zh-CN"/>
        </w:rPr>
        <w:t>，</w:t>
      </w:r>
      <w:r>
        <w:t>开发署</w:t>
      </w:r>
      <w:r>
        <w:rPr>
          <w:rFonts w:hint="eastAsia"/>
          <w:lang w:val="en-US" w:eastAsia="zh-CN"/>
        </w:rPr>
        <w:t>执行的</w:t>
      </w:r>
      <w:r>
        <w:t>制冷和空调（RAC）制造行业的 48</w:t>
      </w:r>
      <w:r>
        <w:rPr>
          <w:rFonts w:hint="eastAsia"/>
          <w:lang w:val="en-US" w:eastAsia="zh-CN"/>
        </w:rPr>
        <w:t>家企业转为</w:t>
      </w:r>
      <w:r>
        <w:t>低全球升温潜能值</w:t>
      </w:r>
      <w:r>
        <w:rPr>
          <w:rFonts w:hint="eastAsia"/>
          <w:lang w:val="en-US" w:eastAsia="zh-CN"/>
        </w:rPr>
        <w:t>技 </w:t>
      </w:r>
      <w:r>
        <w:t>，以及澳大利亚政府</w:t>
      </w:r>
      <w:r>
        <w:rPr>
          <w:rFonts w:hint="eastAsia"/>
          <w:lang w:val="en-US" w:eastAsia="zh-CN"/>
        </w:rPr>
        <w:t>执行</w:t>
      </w:r>
      <w:r>
        <w:t>的制冷剂管理</w:t>
      </w:r>
      <w:r>
        <w:rPr>
          <w:rFonts w:hint="eastAsia"/>
          <w:lang w:val="en-US" w:eastAsia="zh-CN"/>
        </w:rPr>
        <w:t>的</w:t>
      </w:r>
      <w:r>
        <w:t>技术援助。</w:t>
      </w:r>
    </w:p>
    <w:p>
      <w:pPr>
        <w:rPr>
          <w:b/>
          <w:lang w:val="en-US" w:eastAsia="zh-CN"/>
        </w:rPr>
      </w:pPr>
      <w:r>
        <w:rPr>
          <w:rFonts w:hint="eastAsia"/>
          <w:b/>
          <w:lang w:val="en-US" w:eastAsia="zh-CN"/>
        </w:rPr>
        <w:t>进展报告</w:t>
      </w:r>
    </w:p>
    <w:p/>
    <w:p>
      <w:pPr>
        <w:rPr>
          <w:i/>
          <w:lang w:val="en-US" w:eastAsia="zh-CN"/>
        </w:rPr>
      </w:pPr>
      <w:r>
        <w:rPr>
          <w:i/>
          <w:iCs/>
        </w:rPr>
        <w:t>氟氯烃</w:t>
      </w:r>
      <w:r>
        <w:rPr>
          <w:rFonts w:hint="eastAsia"/>
          <w:i/>
          <w:iCs/>
          <w:lang w:val="en-US" w:eastAsia="zh-CN"/>
        </w:rPr>
        <w:t>消费量</w:t>
      </w:r>
    </w:p>
    <w:p/>
    <w:p>
      <w:pPr>
        <w:pStyle w:val="2"/>
      </w:pPr>
      <w:r>
        <w:t>印度尼西亚政府报告 2020 年的氟氯烃消费量为 188.41 ODP 吨，比氟氯烃履约基准低 53%。 2016-2020 年氟氯烃消费量见表 1。</w:t>
      </w:r>
    </w:p>
    <w:p>
      <w:pPr>
        <w:pStyle w:val="2"/>
        <w:numPr>
          <w:ilvl w:val="0"/>
          <w:numId w:val="0"/>
        </w:numPr>
        <w:spacing w:after="0"/>
        <w:rPr>
          <w:b/>
          <w:bCs/>
        </w:rPr>
      </w:pPr>
      <w:r>
        <w:rPr>
          <w:b/>
          <w:bCs/>
        </w:rPr>
        <w:t>表 1. 印度尼西亚的氟氯烃消费量（2016-2020 年第 7 条数据）</w:t>
      </w:r>
    </w:p>
    <w:tbl>
      <w:tblPr>
        <w:tblStyle w:val="24"/>
        <w:tblW w:w="9360" w:type="dxa"/>
        <w:tblInd w:w="0" w:type="dxa"/>
        <w:tblLayout w:type="fixed"/>
        <w:tblCellMar>
          <w:top w:w="0" w:type="dxa"/>
          <w:left w:w="108" w:type="dxa"/>
          <w:bottom w:w="0" w:type="dxa"/>
          <w:right w:w="108" w:type="dxa"/>
        </w:tblCellMar>
      </w:tblPr>
      <w:tblGrid>
        <w:gridCol w:w="2674"/>
        <w:gridCol w:w="1114"/>
        <w:gridCol w:w="1114"/>
        <w:gridCol w:w="1114"/>
        <w:gridCol w:w="1114"/>
        <w:gridCol w:w="1114"/>
        <w:gridCol w:w="1116"/>
      </w:tblGrid>
      <w:tr>
        <w:trPr>
          <w:tblHeader/>
        </w:trPr>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b/>
                <w:bCs/>
                <w:color w:val="000000"/>
                <w:sz w:val="20"/>
                <w:szCs w:val="20"/>
              </w:rPr>
            </w:pPr>
            <w:r>
              <w:rPr>
                <w:b/>
                <w:bCs/>
              </w:rPr>
              <w:t>氟氯烃</w:t>
            </w:r>
          </w:p>
        </w:tc>
        <w:tc>
          <w:tcPr>
            <w:tcW w:w="595" w:type="pct"/>
            <w:tcBorders>
              <w:top w:val="single" w:color="auto" w:sz="4" w:space="0"/>
              <w:left w:val="nil"/>
              <w:bottom w:val="single" w:color="auto" w:sz="4" w:space="0"/>
              <w:right w:val="single" w:color="auto" w:sz="4" w:space="0"/>
            </w:tcBorders>
            <w:shd w:val="clear" w:color="auto" w:fill="auto"/>
            <w:noWrap/>
            <w:tcMar>
              <w:left w:w="115" w:type="dxa"/>
              <w:right w:w="202" w:type="dxa"/>
            </w:tcMar>
            <w:vAlign w:val="center"/>
          </w:tcPr>
          <w:p>
            <w:pPr>
              <w:widowControl w:val="0"/>
              <w:jc w:val="center"/>
              <w:rPr>
                <w:b/>
                <w:bCs/>
                <w:color w:val="000000"/>
                <w:sz w:val="20"/>
                <w:szCs w:val="20"/>
                <w:lang w:val="en-US" w:eastAsia="zh-CN"/>
              </w:rPr>
            </w:pPr>
            <w:r>
              <w:rPr>
                <w:b/>
                <w:bCs/>
                <w:color w:val="000000"/>
                <w:sz w:val="20"/>
                <w:szCs w:val="20"/>
              </w:rPr>
              <w:t>2016</w:t>
            </w:r>
            <w:r>
              <w:rPr>
                <w:rFonts w:hint="eastAsia"/>
                <w:b/>
                <w:bCs/>
                <w:color w:val="000000"/>
                <w:sz w:val="20"/>
                <w:szCs w:val="20"/>
                <w:lang w:val="en-US" w:eastAsia="zh-CN"/>
              </w:rPr>
              <w:t>年</w:t>
            </w:r>
          </w:p>
        </w:tc>
        <w:tc>
          <w:tcPr>
            <w:tcW w:w="595" w:type="pct"/>
            <w:tcBorders>
              <w:top w:val="single" w:color="auto" w:sz="4" w:space="0"/>
              <w:left w:val="nil"/>
              <w:bottom w:val="single" w:color="auto" w:sz="4" w:space="0"/>
              <w:right w:val="single" w:color="auto" w:sz="4" w:space="0"/>
            </w:tcBorders>
            <w:shd w:val="clear" w:color="auto" w:fill="auto"/>
            <w:noWrap/>
            <w:tcMar>
              <w:left w:w="115" w:type="dxa"/>
              <w:right w:w="202" w:type="dxa"/>
            </w:tcMar>
            <w:vAlign w:val="center"/>
          </w:tcPr>
          <w:p>
            <w:pPr>
              <w:widowControl w:val="0"/>
              <w:jc w:val="center"/>
              <w:rPr>
                <w:b/>
                <w:bCs/>
                <w:color w:val="000000"/>
                <w:sz w:val="20"/>
                <w:szCs w:val="20"/>
                <w:lang w:val="en-US" w:eastAsia="zh-CN"/>
              </w:rPr>
            </w:pPr>
            <w:r>
              <w:rPr>
                <w:b/>
                <w:bCs/>
                <w:color w:val="000000"/>
                <w:sz w:val="20"/>
                <w:szCs w:val="20"/>
              </w:rPr>
              <w:t>2017</w:t>
            </w:r>
            <w:r>
              <w:rPr>
                <w:rFonts w:hint="eastAsia"/>
                <w:b/>
                <w:bCs/>
                <w:color w:val="000000"/>
                <w:sz w:val="20"/>
                <w:szCs w:val="20"/>
                <w:lang w:val="en-US" w:eastAsia="zh-CN"/>
              </w:rPr>
              <w:t>年</w:t>
            </w:r>
          </w:p>
        </w:tc>
        <w:tc>
          <w:tcPr>
            <w:tcW w:w="595" w:type="pct"/>
            <w:tcBorders>
              <w:top w:val="single" w:color="auto" w:sz="4" w:space="0"/>
              <w:left w:val="nil"/>
              <w:bottom w:val="single" w:color="auto" w:sz="4" w:space="0"/>
              <w:right w:val="single" w:color="auto" w:sz="4" w:space="0"/>
            </w:tcBorders>
            <w:shd w:val="clear" w:color="auto" w:fill="auto"/>
            <w:noWrap/>
            <w:tcMar>
              <w:left w:w="115" w:type="dxa"/>
              <w:right w:w="202" w:type="dxa"/>
            </w:tcMar>
            <w:vAlign w:val="center"/>
          </w:tcPr>
          <w:p>
            <w:pPr>
              <w:widowControl w:val="0"/>
              <w:jc w:val="center"/>
              <w:rPr>
                <w:b/>
                <w:bCs/>
                <w:color w:val="000000"/>
                <w:sz w:val="20"/>
                <w:szCs w:val="20"/>
                <w:lang w:val="en-US" w:eastAsia="zh-CN"/>
              </w:rPr>
            </w:pPr>
            <w:r>
              <w:rPr>
                <w:b/>
                <w:bCs/>
                <w:color w:val="000000"/>
                <w:sz w:val="20"/>
                <w:szCs w:val="20"/>
              </w:rPr>
              <w:t>2018</w:t>
            </w:r>
            <w:r>
              <w:rPr>
                <w:rFonts w:hint="eastAsia"/>
                <w:b/>
                <w:bCs/>
                <w:color w:val="000000"/>
                <w:sz w:val="20"/>
                <w:szCs w:val="20"/>
                <w:lang w:val="en-US" w:eastAsia="zh-CN"/>
              </w:rPr>
              <w:t>年</w:t>
            </w: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center"/>
              <w:rPr>
                <w:b/>
                <w:bCs/>
                <w:color w:val="000000"/>
                <w:sz w:val="20"/>
                <w:szCs w:val="20"/>
                <w:lang w:val="en-US" w:eastAsia="zh-CN"/>
              </w:rPr>
            </w:pPr>
            <w:r>
              <w:rPr>
                <w:b/>
                <w:bCs/>
                <w:color w:val="000000"/>
                <w:sz w:val="20"/>
                <w:szCs w:val="20"/>
              </w:rPr>
              <w:t>2019</w:t>
            </w:r>
            <w:r>
              <w:rPr>
                <w:rFonts w:hint="eastAsia"/>
                <w:b/>
                <w:bCs/>
                <w:color w:val="000000"/>
                <w:sz w:val="20"/>
                <w:szCs w:val="20"/>
                <w:lang w:val="en-US" w:eastAsia="zh-CN"/>
              </w:rPr>
              <w:t>年</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center"/>
              <w:rPr>
                <w:b/>
                <w:bCs/>
                <w:color w:val="000000"/>
                <w:sz w:val="20"/>
                <w:szCs w:val="20"/>
                <w:lang w:val="en-US" w:eastAsia="zh-CN"/>
              </w:rPr>
            </w:pPr>
            <w:r>
              <w:rPr>
                <w:b/>
                <w:bCs/>
                <w:color w:val="000000"/>
                <w:sz w:val="20"/>
                <w:szCs w:val="20"/>
              </w:rPr>
              <w:t>2020</w:t>
            </w:r>
            <w:r>
              <w:rPr>
                <w:rFonts w:hint="eastAsia"/>
                <w:b/>
                <w:bCs/>
                <w:color w:val="000000"/>
                <w:sz w:val="20"/>
                <w:szCs w:val="20"/>
                <w:lang w:val="en-US" w:eastAsia="zh-CN"/>
              </w:rPr>
              <w:t>年</w:t>
            </w: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center"/>
              <w:rPr>
                <w:b/>
                <w:bCs/>
                <w:color w:val="000000"/>
                <w:sz w:val="20"/>
                <w:szCs w:val="20"/>
                <w:lang w:val="en-US" w:eastAsia="zh-CN"/>
              </w:rPr>
            </w:pPr>
            <w:r>
              <w:rPr>
                <w:rFonts w:hint="eastAsia"/>
                <w:b/>
                <w:bCs/>
                <w:color w:val="000000"/>
                <w:sz w:val="20"/>
                <w:szCs w:val="20"/>
                <w:lang w:val="en-US" w:eastAsia="zh-CN"/>
              </w:rPr>
              <w:t>基准</w:t>
            </w:r>
          </w:p>
        </w:tc>
      </w:tr>
      <w:tr>
        <w:tblPrEx>
          <w:tblCellMar>
            <w:top w:w="0" w:type="dxa"/>
            <w:left w:w="108" w:type="dxa"/>
            <w:bottom w:w="0" w:type="dxa"/>
            <w:right w:w="108" w:type="dxa"/>
          </w:tblCellMar>
        </w:tblPrEx>
        <w:tc>
          <w:tcPr>
            <w:tcW w:w="1428" w:type="pct"/>
            <w:tcBorders>
              <w:top w:val="nil"/>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b/>
                <w:bCs/>
                <w:color w:val="000000"/>
                <w:sz w:val="20"/>
                <w:szCs w:val="20"/>
                <w:lang w:eastAsia="zh-CN"/>
              </w:rPr>
            </w:pPr>
            <w:r>
              <w:rPr>
                <w:rFonts w:hint="eastAsia"/>
                <w:b/>
                <w:bCs/>
                <w:color w:val="000000"/>
                <w:sz w:val="20"/>
                <w:szCs w:val="20"/>
                <w:lang w:val="en-US" w:eastAsia="zh-CN"/>
              </w:rPr>
              <w:t>公吨</w:t>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center"/>
              <w:rPr>
                <w:b/>
                <w:bCs/>
                <w:color w:val="000000"/>
                <w:sz w:val="20"/>
                <w:szCs w:val="20"/>
              </w:rPr>
            </w:pP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center"/>
              <w:rPr>
                <w:b/>
                <w:bCs/>
                <w:color w:val="000000"/>
                <w:sz w:val="20"/>
                <w:szCs w:val="20"/>
              </w:rPr>
            </w:pP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center"/>
              <w:rPr>
                <w:b/>
                <w:bCs/>
                <w:color w:val="000000"/>
                <w:sz w:val="20"/>
                <w:szCs w:val="20"/>
              </w:rPr>
            </w:pP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center"/>
              <w:rPr>
                <w:b/>
                <w:bCs/>
                <w:color w:val="000000"/>
                <w:sz w:val="20"/>
                <w:szCs w:val="20"/>
              </w:rPr>
            </w:pPr>
          </w:p>
        </w:tc>
        <w:tc>
          <w:tcPr>
            <w:tcW w:w="595" w:type="pct"/>
            <w:tcBorders>
              <w:top w:val="nil"/>
              <w:left w:val="single" w:color="auto" w:sz="4" w:space="0"/>
              <w:bottom w:val="single" w:color="auto" w:sz="4" w:space="0"/>
              <w:right w:val="single" w:color="auto" w:sz="4" w:space="0"/>
            </w:tcBorders>
            <w:tcMar>
              <w:left w:w="115" w:type="dxa"/>
              <w:right w:w="202" w:type="dxa"/>
            </w:tcMar>
          </w:tcPr>
          <w:p>
            <w:pPr>
              <w:widowControl w:val="0"/>
              <w:jc w:val="center"/>
              <w:rPr>
                <w:b/>
                <w:bCs/>
                <w:color w:val="000000"/>
                <w:sz w:val="20"/>
                <w:szCs w:val="20"/>
              </w:rPr>
            </w:pPr>
          </w:p>
        </w:tc>
        <w:tc>
          <w:tcPr>
            <w:tcW w:w="596" w:type="pct"/>
            <w:tcBorders>
              <w:top w:val="nil"/>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center"/>
              <w:rPr>
                <w:b/>
                <w:bCs/>
                <w:color w:val="000000"/>
                <w:sz w:val="20"/>
                <w:szCs w:val="20"/>
              </w:rPr>
            </w:pPr>
          </w:p>
        </w:tc>
      </w:tr>
      <w:tr>
        <w:tblPrEx>
          <w:tblCellMar>
            <w:top w:w="0" w:type="dxa"/>
            <w:left w:w="108" w:type="dxa"/>
            <w:bottom w:w="0" w:type="dxa"/>
            <w:right w:w="108" w:type="dxa"/>
          </w:tblCellMar>
        </w:tblPrEx>
        <w:tc>
          <w:tcPr>
            <w:tcW w:w="1428" w:type="pct"/>
            <w:tcBorders>
              <w:top w:val="nil"/>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HCFC-22</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3,267.52</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3,171.00</w:t>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3,114.31</w:t>
            </w: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2,993.63</w:t>
            </w:r>
          </w:p>
        </w:tc>
        <w:tc>
          <w:tcPr>
            <w:tcW w:w="595" w:type="pct"/>
            <w:tcBorders>
              <w:top w:val="nil"/>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2,952.60</w:t>
            </w:r>
          </w:p>
        </w:tc>
        <w:tc>
          <w:tcPr>
            <w:tcW w:w="596" w:type="pct"/>
            <w:tcBorders>
              <w:top w:val="nil"/>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4,861.9</w:t>
            </w:r>
          </w:p>
        </w:tc>
      </w:tr>
      <w:tr>
        <w:tblPrEx>
          <w:tblCellMar>
            <w:top w:w="0" w:type="dxa"/>
            <w:left w:w="108" w:type="dxa"/>
            <w:bottom w:w="0" w:type="dxa"/>
            <w:right w:w="108" w:type="dxa"/>
          </w:tblCellMar>
        </w:tblPrEx>
        <w:tc>
          <w:tcPr>
            <w:tcW w:w="1428" w:type="pct"/>
            <w:tcBorders>
              <w:top w:val="nil"/>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HCFC-123</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123.63</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110.00</w:t>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99.92</w:t>
            </w: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106.52</w:t>
            </w:r>
          </w:p>
        </w:tc>
        <w:tc>
          <w:tcPr>
            <w:tcW w:w="595" w:type="pct"/>
            <w:tcBorders>
              <w:top w:val="nil"/>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90.98</w:t>
            </w:r>
          </w:p>
        </w:tc>
        <w:tc>
          <w:tcPr>
            <w:tcW w:w="596" w:type="pct"/>
            <w:tcBorders>
              <w:top w:val="nil"/>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192.2</w:t>
            </w:r>
          </w:p>
        </w:tc>
      </w:tr>
      <w:tr>
        <w:tblPrEx>
          <w:tblCellMar>
            <w:top w:w="0" w:type="dxa"/>
            <w:left w:w="108" w:type="dxa"/>
            <w:bottom w:w="0" w:type="dxa"/>
            <w:right w:w="108" w:type="dxa"/>
          </w:tblCellMar>
        </w:tblPrEx>
        <w:tc>
          <w:tcPr>
            <w:tcW w:w="1428" w:type="pct"/>
            <w:tcBorders>
              <w:top w:val="nil"/>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HCFC-124</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0.00</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0.00</w:t>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0.00</w:t>
            </w: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0.00</w:t>
            </w:r>
          </w:p>
        </w:tc>
        <w:tc>
          <w:tcPr>
            <w:tcW w:w="595" w:type="pct"/>
            <w:tcBorders>
              <w:top w:val="nil"/>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0.00</w:t>
            </w:r>
          </w:p>
        </w:tc>
        <w:tc>
          <w:tcPr>
            <w:tcW w:w="596" w:type="pct"/>
            <w:tcBorders>
              <w:top w:val="nil"/>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0.1</w:t>
            </w:r>
          </w:p>
        </w:tc>
      </w:tr>
      <w:tr>
        <w:tblPrEx>
          <w:tblCellMar>
            <w:top w:w="0" w:type="dxa"/>
            <w:left w:w="108" w:type="dxa"/>
            <w:bottom w:w="0" w:type="dxa"/>
            <w:right w:w="108" w:type="dxa"/>
          </w:tblCellMar>
        </w:tblPrEx>
        <w:tc>
          <w:tcPr>
            <w:tcW w:w="1428" w:type="pct"/>
            <w:tcBorders>
              <w:top w:val="nil"/>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HCFC-141b</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560.00</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570.00</w:t>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560.00</w:t>
            </w: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440.00</w:t>
            </w:r>
          </w:p>
        </w:tc>
        <w:tc>
          <w:tcPr>
            <w:tcW w:w="595" w:type="pct"/>
            <w:tcBorders>
              <w:top w:val="nil"/>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220.00</w:t>
            </w:r>
          </w:p>
        </w:tc>
        <w:tc>
          <w:tcPr>
            <w:tcW w:w="596" w:type="pct"/>
            <w:tcBorders>
              <w:top w:val="nil"/>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1,205.9</w:t>
            </w:r>
          </w:p>
        </w:tc>
      </w:tr>
      <w:tr>
        <w:tblPrEx>
          <w:tblCellMar>
            <w:top w:w="0" w:type="dxa"/>
            <w:left w:w="108" w:type="dxa"/>
            <w:bottom w:w="0" w:type="dxa"/>
            <w:right w:w="108" w:type="dxa"/>
          </w:tblCellMar>
        </w:tblPrEx>
        <w:tc>
          <w:tcPr>
            <w:tcW w:w="1428" w:type="pct"/>
            <w:tcBorders>
              <w:top w:val="nil"/>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HCFC-142b</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10.04</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6.41</w:t>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8.20</w:t>
            </w: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6.41</w:t>
            </w:r>
          </w:p>
        </w:tc>
        <w:tc>
          <w:tcPr>
            <w:tcW w:w="595" w:type="pct"/>
            <w:tcBorders>
              <w:top w:val="nil"/>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0.00</w:t>
            </w:r>
          </w:p>
        </w:tc>
        <w:tc>
          <w:tcPr>
            <w:tcW w:w="596" w:type="pct"/>
            <w:tcBorders>
              <w:top w:val="nil"/>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w:t>
            </w:r>
          </w:p>
        </w:tc>
      </w:tr>
      <w:tr>
        <w:tblPrEx>
          <w:tblCellMar>
            <w:top w:w="0" w:type="dxa"/>
            <w:left w:w="108" w:type="dxa"/>
            <w:bottom w:w="0" w:type="dxa"/>
            <w:right w:w="108" w:type="dxa"/>
          </w:tblCellMar>
        </w:tblPrEx>
        <w:tc>
          <w:tcPr>
            <w:tcW w:w="1428" w:type="pct"/>
            <w:tcBorders>
              <w:top w:val="nil"/>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HCFC-225</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3.13</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1.00</w:t>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2.00</w:t>
            </w: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2.00</w:t>
            </w:r>
          </w:p>
        </w:tc>
        <w:tc>
          <w:tcPr>
            <w:tcW w:w="595" w:type="pct"/>
            <w:tcBorders>
              <w:top w:val="nil"/>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0.00</w:t>
            </w:r>
          </w:p>
        </w:tc>
        <w:tc>
          <w:tcPr>
            <w:tcW w:w="596" w:type="pct"/>
            <w:tcBorders>
              <w:top w:val="nil"/>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0.3</w:t>
            </w:r>
          </w:p>
        </w:tc>
      </w:tr>
      <w:tr>
        <w:tblPrEx>
          <w:tblCellMar>
            <w:top w:w="0" w:type="dxa"/>
            <w:left w:w="108" w:type="dxa"/>
            <w:bottom w:w="0" w:type="dxa"/>
            <w:right w:w="108" w:type="dxa"/>
          </w:tblCellMar>
        </w:tblPrEx>
        <w:tc>
          <w:tcPr>
            <w:tcW w:w="1428" w:type="pct"/>
            <w:tcBorders>
              <w:top w:val="nil"/>
              <w:left w:val="single" w:color="auto" w:sz="4" w:space="0"/>
              <w:bottom w:val="single" w:color="auto" w:sz="4" w:space="0"/>
              <w:right w:val="single" w:color="auto" w:sz="4" w:space="0"/>
            </w:tcBorders>
            <w:shd w:val="clear" w:color="auto" w:fill="auto"/>
            <w:noWrap/>
            <w:tcMar>
              <w:left w:w="43" w:type="dxa"/>
              <w:right w:w="43" w:type="dxa"/>
            </w:tcMar>
          </w:tcPr>
          <w:p>
            <w:pPr>
              <w:jc w:val="left"/>
              <w:rPr>
                <w:rFonts w:eastAsiaTheme="minorHAnsi"/>
                <w:b/>
                <w:color w:val="000000"/>
                <w:sz w:val="20"/>
                <w:szCs w:val="20"/>
              </w:rPr>
            </w:pPr>
            <w:r>
              <w:rPr>
                <w:rFonts w:hint="eastAsia"/>
                <w:b/>
                <w:color w:val="000000"/>
                <w:sz w:val="20"/>
                <w:szCs w:val="20"/>
                <w:lang w:val="en-US" w:eastAsia="zh-CN"/>
              </w:rPr>
              <w:t>合计</w:t>
            </w:r>
            <w:r>
              <w:rPr>
                <w:b/>
                <w:color w:val="000000"/>
                <w:sz w:val="20"/>
                <w:szCs w:val="20"/>
              </w:rPr>
              <w:t xml:space="preserve"> (</w:t>
            </w:r>
            <w:r>
              <w:rPr>
                <w:rFonts w:hint="eastAsia"/>
                <w:b/>
                <w:color w:val="000000"/>
                <w:sz w:val="20"/>
                <w:szCs w:val="20"/>
                <w:lang w:val="en-US" w:eastAsia="zh-CN"/>
              </w:rPr>
              <w:t>公吨</w:t>
            </w:r>
            <w:r>
              <w:rPr>
                <w:b/>
                <w:color w:val="000000"/>
                <w:sz w:val="20"/>
                <w:szCs w:val="20"/>
              </w:rPr>
              <w:t>t)</w:t>
            </w:r>
          </w:p>
        </w:tc>
        <w:tc>
          <w:tcPr>
            <w:tcW w:w="595" w:type="pct"/>
            <w:tcBorders>
              <w:top w:val="nil"/>
              <w:left w:val="nil"/>
              <w:bottom w:val="single" w:color="auto" w:sz="4" w:space="0"/>
              <w:right w:val="single" w:color="auto" w:sz="4" w:space="0"/>
            </w:tcBorders>
            <w:shd w:val="clear" w:color="auto" w:fill="auto"/>
            <w:noWrap/>
            <w:tcMar>
              <w:left w:w="115" w:type="dxa"/>
              <w:right w:w="202" w:type="dxa"/>
            </w:tcMar>
          </w:tcPr>
          <w:p>
            <w:pPr>
              <w:jc w:val="right"/>
              <w:rPr>
                <w:b/>
                <w:sz w:val="20"/>
                <w:szCs w:val="20"/>
              </w:rPr>
            </w:pPr>
            <w:r>
              <w:rPr>
                <w:b/>
                <w:sz w:val="20"/>
                <w:szCs w:val="20"/>
              </w:rPr>
              <w:fldChar w:fldCharType="begin"/>
            </w:r>
            <w:r>
              <w:rPr>
                <w:b/>
                <w:sz w:val="20"/>
                <w:szCs w:val="20"/>
              </w:rPr>
              <w:instrText xml:space="preserve"> =SUM(ABOVE) </w:instrText>
            </w:r>
            <w:r>
              <w:rPr>
                <w:b/>
                <w:sz w:val="20"/>
                <w:szCs w:val="20"/>
              </w:rPr>
              <w:fldChar w:fldCharType="separate"/>
            </w:r>
            <w:r>
              <w:rPr>
                <w:b/>
                <w:sz w:val="20"/>
                <w:szCs w:val="20"/>
              </w:rPr>
              <w:t>3,964.32</w:t>
            </w:r>
            <w:r>
              <w:rPr>
                <w:b/>
                <w:sz w:val="20"/>
                <w:szCs w:val="20"/>
              </w:rPr>
              <w:fldChar w:fldCharType="end"/>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jc w:val="right"/>
              <w:rPr>
                <w:b/>
                <w:bCs/>
                <w:color w:val="000000"/>
                <w:sz w:val="20"/>
                <w:szCs w:val="20"/>
              </w:rPr>
            </w:pPr>
            <w:r>
              <w:rPr>
                <w:b/>
                <w:bCs/>
                <w:color w:val="000000"/>
                <w:sz w:val="20"/>
                <w:szCs w:val="20"/>
              </w:rPr>
              <w:fldChar w:fldCharType="begin"/>
            </w:r>
            <w:r>
              <w:rPr>
                <w:b/>
                <w:bCs/>
                <w:color w:val="000000"/>
                <w:sz w:val="20"/>
                <w:szCs w:val="20"/>
              </w:rPr>
              <w:instrText xml:space="preserve"> =SUM(ABOVE) </w:instrText>
            </w:r>
            <w:r>
              <w:rPr>
                <w:b/>
                <w:bCs/>
                <w:color w:val="000000"/>
                <w:sz w:val="20"/>
                <w:szCs w:val="20"/>
              </w:rPr>
              <w:fldChar w:fldCharType="separate"/>
            </w:r>
            <w:r>
              <w:rPr>
                <w:b/>
                <w:bCs/>
                <w:color w:val="000000"/>
                <w:sz w:val="20"/>
                <w:szCs w:val="20"/>
              </w:rPr>
              <w:t>3,858.41</w:t>
            </w:r>
            <w:r>
              <w:rPr>
                <w:b/>
                <w:bCs/>
                <w:color w:val="000000"/>
                <w:sz w:val="20"/>
                <w:szCs w:val="20"/>
              </w:rPr>
              <w:fldChar w:fldCharType="end"/>
            </w:r>
          </w:p>
        </w:tc>
        <w:tc>
          <w:tcPr>
            <w:tcW w:w="595" w:type="pct"/>
            <w:tcBorders>
              <w:top w:val="nil"/>
              <w:left w:val="nil"/>
              <w:bottom w:val="single" w:color="auto" w:sz="4" w:space="0"/>
              <w:right w:val="single" w:color="auto" w:sz="4" w:space="0"/>
            </w:tcBorders>
            <w:shd w:val="clear" w:color="auto" w:fill="auto"/>
            <w:noWrap/>
            <w:tcMar>
              <w:left w:w="115" w:type="dxa"/>
              <w:right w:w="202" w:type="dxa"/>
            </w:tcMar>
            <w:vAlign w:val="center"/>
          </w:tcPr>
          <w:p>
            <w:pPr>
              <w:widowControl w:val="0"/>
              <w:jc w:val="right"/>
              <w:rPr>
                <w:b/>
                <w:color w:val="000000"/>
                <w:sz w:val="20"/>
                <w:szCs w:val="20"/>
              </w:rPr>
            </w:pPr>
            <w:r>
              <w:rPr>
                <w:b/>
                <w:color w:val="000000"/>
                <w:sz w:val="20"/>
                <w:szCs w:val="20"/>
              </w:rPr>
              <w:t>3,784.43</w:t>
            </w:r>
          </w:p>
        </w:tc>
        <w:tc>
          <w:tcPr>
            <w:tcW w:w="595" w:type="pct"/>
            <w:tcBorders>
              <w:top w:val="single" w:color="auto" w:sz="4" w:space="0"/>
              <w:left w:val="nil"/>
              <w:bottom w:val="single" w:color="auto" w:sz="4" w:space="0"/>
              <w:right w:val="single" w:color="auto" w:sz="4" w:space="0"/>
            </w:tcBorders>
            <w:tcMar>
              <w:left w:w="115" w:type="dxa"/>
              <w:right w:w="202" w:type="dxa"/>
            </w:tcMar>
          </w:tcPr>
          <w:p>
            <w:pPr>
              <w:widowControl w:val="0"/>
              <w:jc w:val="right"/>
              <w:rPr>
                <w:b/>
                <w:color w:val="000000"/>
                <w:sz w:val="20"/>
                <w:szCs w:val="20"/>
              </w:rPr>
            </w:pPr>
            <w:r>
              <w:rPr>
                <w:b/>
                <w:color w:val="000000"/>
                <w:sz w:val="20"/>
                <w:szCs w:val="20"/>
              </w:rPr>
              <w:t>3,548.56</w:t>
            </w:r>
          </w:p>
        </w:tc>
        <w:tc>
          <w:tcPr>
            <w:tcW w:w="595" w:type="pct"/>
            <w:tcBorders>
              <w:top w:val="nil"/>
              <w:left w:val="single" w:color="auto" w:sz="4" w:space="0"/>
              <w:bottom w:val="single" w:color="auto" w:sz="4" w:space="0"/>
              <w:right w:val="single" w:color="auto" w:sz="4" w:space="0"/>
            </w:tcBorders>
            <w:tcMar>
              <w:left w:w="115" w:type="dxa"/>
              <w:right w:w="202" w:type="dxa"/>
            </w:tcMar>
          </w:tcPr>
          <w:p>
            <w:pPr>
              <w:widowControl w:val="0"/>
              <w:jc w:val="right"/>
              <w:rPr>
                <w:b/>
                <w:color w:val="000000"/>
                <w:sz w:val="20"/>
                <w:szCs w:val="20"/>
              </w:rPr>
            </w:pPr>
            <w:r>
              <w:rPr>
                <w:b/>
                <w:color w:val="000000"/>
                <w:sz w:val="20"/>
                <w:szCs w:val="20"/>
              </w:rPr>
              <w:t>3,263.58</w:t>
            </w:r>
          </w:p>
        </w:tc>
        <w:tc>
          <w:tcPr>
            <w:tcW w:w="596" w:type="pct"/>
            <w:tcBorders>
              <w:top w:val="nil"/>
              <w:left w:val="single" w:color="auto" w:sz="4" w:space="0"/>
              <w:bottom w:val="single" w:color="auto" w:sz="4" w:space="0"/>
              <w:right w:val="single" w:color="auto" w:sz="4" w:space="0"/>
            </w:tcBorders>
            <w:shd w:val="clear" w:color="auto" w:fill="auto"/>
            <w:noWrap/>
            <w:tcMar>
              <w:left w:w="115" w:type="dxa"/>
              <w:right w:w="202" w:type="dxa"/>
            </w:tcMar>
          </w:tcPr>
          <w:p>
            <w:pPr>
              <w:jc w:val="right"/>
              <w:rPr>
                <w:b/>
                <w:sz w:val="20"/>
                <w:szCs w:val="20"/>
              </w:rPr>
            </w:pPr>
            <w:r>
              <w:rPr>
                <w:b/>
                <w:sz w:val="20"/>
                <w:szCs w:val="20"/>
              </w:rPr>
              <w:t>6,260.4</w:t>
            </w:r>
          </w:p>
        </w:tc>
      </w:tr>
      <w:tr>
        <w:tblPrEx>
          <w:tblCellMar>
            <w:top w:w="0" w:type="dxa"/>
            <w:left w:w="108" w:type="dxa"/>
            <w:bottom w:w="0" w:type="dxa"/>
            <w:right w:w="108" w:type="dxa"/>
          </w:tblCellMar>
        </w:tblPrEx>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b/>
                <w:bCs/>
                <w:color w:val="000000"/>
                <w:sz w:val="20"/>
                <w:szCs w:val="20"/>
              </w:rPr>
            </w:pPr>
            <w:r>
              <w:rPr>
                <w:b/>
                <w:bCs/>
                <w:color w:val="000000"/>
                <w:sz w:val="20"/>
                <w:szCs w:val="20"/>
              </w:rPr>
              <w:t xml:space="preserve">ODP </w:t>
            </w:r>
            <w:r>
              <w:rPr>
                <w:rFonts w:hint="eastAsia"/>
                <w:b/>
                <w:bCs/>
                <w:color w:val="000000"/>
                <w:sz w:val="20"/>
                <w:szCs w:val="20"/>
                <w:lang w:val="en-US" w:eastAsia="zh-CN"/>
              </w:rPr>
              <w:t>吨</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p>
        </w:tc>
      </w:tr>
      <w:tr>
        <w:tblPrEx>
          <w:tblCellMar>
            <w:top w:w="0" w:type="dxa"/>
            <w:left w:w="108" w:type="dxa"/>
            <w:bottom w:w="0" w:type="dxa"/>
            <w:right w:w="108" w:type="dxa"/>
          </w:tblCellMar>
        </w:tblPrEx>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HCFC-22</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179.71</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174.41</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171.29</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164.65</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162.39</w:t>
            </w: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bottom"/>
          </w:tcPr>
          <w:p>
            <w:pPr>
              <w:jc w:val="right"/>
              <w:rPr>
                <w:color w:val="000000"/>
                <w:sz w:val="20"/>
                <w:szCs w:val="20"/>
              </w:rPr>
            </w:pPr>
            <w:r>
              <w:rPr>
                <w:color w:val="000000"/>
                <w:sz w:val="20"/>
                <w:szCs w:val="20"/>
              </w:rPr>
              <w:t>267.4</w:t>
            </w:r>
          </w:p>
        </w:tc>
      </w:tr>
      <w:tr>
        <w:tblPrEx>
          <w:tblCellMar>
            <w:top w:w="0" w:type="dxa"/>
            <w:left w:w="108" w:type="dxa"/>
            <w:bottom w:w="0" w:type="dxa"/>
            <w:right w:w="108" w:type="dxa"/>
          </w:tblCellMar>
        </w:tblPrEx>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HCFC-123</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2.47</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2.20</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2.00</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2.13</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1.82</w:t>
            </w: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bottom"/>
          </w:tcPr>
          <w:p>
            <w:pPr>
              <w:jc w:val="right"/>
              <w:rPr>
                <w:color w:val="000000"/>
                <w:sz w:val="20"/>
                <w:szCs w:val="20"/>
              </w:rPr>
            </w:pPr>
            <w:r>
              <w:rPr>
                <w:color w:val="000000"/>
                <w:sz w:val="20"/>
                <w:szCs w:val="20"/>
              </w:rPr>
              <w:t>3.8</w:t>
            </w:r>
          </w:p>
        </w:tc>
      </w:tr>
      <w:tr>
        <w:tblPrEx>
          <w:tblCellMar>
            <w:top w:w="0" w:type="dxa"/>
            <w:left w:w="108" w:type="dxa"/>
            <w:bottom w:w="0" w:type="dxa"/>
            <w:right w:w="108" w:type="dxa"/>
          </w:tblCellMar>
        </w:tblPrEx>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HCFC-124</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0.00</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0.00</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0.00</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0.00</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0.00</w:t>
            </w: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bottom"/>
          </w:tcPr>
          <w:p>
            <w:pPr>
              <w:jc w:val="right"/>
              <w:rPr>
                <w:color w:val="000000"/>
                <w:sz w:val="20"/>
                <w:szCs w:val="20"/>
              </w:rPr>
            </w:pPr>
            <w:r>
              <w:rPr>
                <w:color w:val="000000"/>
                <w:sz w:val="20"/>
                <w:szCs w:val="20"/>
              </w:rPr>
              <w:t>0.0</w:t>
            </w:r>
          </w:p>
        </w:tc>
      </w:tr>
      <w:tr>
        <w:tblPrEx>
          <w:tblCellMar>
            <w:top w:w="0" w:type="dxa"/>
            <w:left w:w="108" w:type="dxa"/>
            <w:bottom w:w="0" w:type="dxa"/>
            <w:right w:w="108" w:type="dxa"/>
          </w:tblCellMar>
        </w:tblPrEx>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HCFC-141b</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61.60</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62.70</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61.60</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48.40</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24.20</w:t>
            </w: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bottom"/>
          </w:tcPr>
          <w:p>
            <w:pPr>
              <w:jc w:val="right"/>
              <w:rPr>
                <w:color w:val="000000"/>
                <w:sz w:val="20"/>
                <w:szCs w:val="20"/>
              </w:rPr>
            </w:pPr>
            <w:r>
              <w:rPr>
                <w:color w:val="000000"/>
                <w:sz w:val="20"/>
                <w:szCs w:val="20"/>
              </w:rPr>
              <w:t>132.6</w:t>
            </w:r>
          </w:p>
        </w:tc>
      </w:tr>
      <w:tr>
        <w:tblPrEx>
          <w:tblCellMar>
            <w:top w:w="0" w:type="dxa"/>
            <w:left w:w="108" w:type="dxa"/>
            <w:bottom w:w="0" w:type="dxa"/>
            <w:right w:w="108" w:type="dxa"/>
          </w:tblCellMar>
        </w:tblPrEx>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HCFC-142b</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0.65</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0.42</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0.53</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0.42</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0.00</w:t>
            </w: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bottom"/>
          </w:tcPr>
          <w:p>
            <w:pPr>
              <w:jc w:val="right"/>
              <w:rPr>
                <w:color w:val="000000"/>
                <w:sz w:val="20"/>
                <w:szCs w:val="20"/>
              </w:rPr>
            </w:pPr>
            <w:r>
              <w:rPr>
                <w:color w:val="000000"/>
                <w:sz w:val="20"/>
                <w:szCs w:val="20"/>
              </w:rPr>
              <w:t>0.0</w:t>
            </w:r>
          </w:p>
        </w:tc>
      </w:tr>
      <w:tr>
        <w:tblPrEx>
          <w:tblCellMar>
            <w:top w:w="0" w:type="dxa"/>
            <w:left w:w="108" w:type="dxa"/>
            <w:bottom w:w="0" w:type="dxa"/>
            <w:right w:w="108" w:type="dxa"/>
          </w:tblCellMar>
        </w:tblPrEx>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vAlign w:val="center"/>
          </w:tcPr>
          <w:p>
            <w:pPr>
              <w:widowControl w:val="0"/>
              <w:jc w:val="left"/>
              <w:rPr>
                <w:color w:val="000000"/>
                <w:sz w:val="20"/>
                <w:szCs w:val="20"/>
              </w:rPr>
            </w:pPr>
            <w:r>
              <w:rPr>
                <w:color w:val="000000"/>
                <w:sz w:val="20"/>
                <w:szCs w:val="20"/>
              </w:rPr>
              <w:t>HCFC-225</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0.22</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sz w:val="20"/>
                <w:szCs w:val="20"/>
              </w:rPr>
            </w:pPr>
            <w:r>
              <w:rPr>
                <w:sz w:val="20"/>
                <w:szCs w:val="20"/>
              </w:rPr>
              <w:t>0.07</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color w:val="000000"/>
                <w:sz w:val="20"/>
                <w:szCs w:val="20"/>
              </w:rPr>
            </w:pPr>
            <w:r>
              <w:rPr>
                <w:color w:val="000000"/>
                <w:sz w:val="20"/>
                <w:szCs w:val="20"/>
              </w:rPr>
              <w:t>0.14</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0.14</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widowControl w:val="0"/>
              <w:jc w:val="right"/>
              <w:rPr>
                <w:color w:val="000000"/>
                <w:sz w:val="20"/>
                <w:szCs w:val="20"/>
              </w:rPr>
            </w:pPr>
            <w:r>
              <w:rPr>
                <w:color w:val="000000"/>
                <w:sz w:val="20"/>
                <w:szCs w:val="20"/>
              </w:rPr>
              <w:t>0.00</w:t>
            </w: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bottom"/>
          </w:tcPr>
          <w:p>
            <w:pPr>
              <w:jc w:val="right"/>
              <w:rPr>
                <w:color w:val="000000"/>
                <w:sz w:val="20"/>
                <w:szCs w:val="20"/>
              </w:rPr>
            </w:pPr>
            <w:r>
              <w:rPr>
                <w:color w:val="000000"/>
                <w:sz w:val="20"/>
                <w:szCs w:val="20"/>
              </w:rPr>
              <w:t>0.0</w:t>
            </w:r>
          </w:p>
        </w:tc>
      </w:tr>
      <w:tr>
        <w:tblPrEx>
          <w:tblCellMar>
            <w:top w:w="0" w:type="dxa"/>
            <w:left w:w="108" w:type="dxa"/>
            <w:bottom w:w="0" w:type="dxa"/>
            <w:right w:w="108" w:type="dxa"/>
          </w:tblCellMar>
        </w:tblPrEx>
        <w:tc>
          <w:tcPr>
            <w:tcW w:w="1428" w:type="pct"/>
            <w:tcBorders>
              <w:top w:val="single" w:color="auto" w:sz="4" w:space="0"/>
              <w:left w:val="single" w:color="auto" w:sz="4" w:space="0"/>
              <w:bottom w:val="single" w:color="auto" w:sz="4" w:space="0"/>
              <w:right w:val="single" w:color="auto" w:sz="4" w:space="0"/>
            </w:tcBorders>
            <w:shd w:val="clear" w:color="auto" w:fill="auto"/>
            <w:noWrap/>
            <w:tcMar>
              <w:left w:w="43" w:type="dxa"/>
              <w:right w:w="43" w:type="dxa"/>
            </w:tcMar>
          </w:tcPr>
          <w:p>
            <w:pPr>
              <w:jc w:val="left"/>
              <w:rPr>
                <w:rFonts w:eastAsiaTheme="minorHAnsi"/>
                <w:b/>
                <w:sz w:val="20"/>
                <w:szCs w:val="20"/>
              </w:rPr>
            </w:pPr>
            <w:r>
              <w:rPr>
                <w:rFonts w:hint="eastAsia"/>
                <w:b/>
                <w:sz w:val="20"/>
                <w:szCs w:val="20"/>
                <w:lang w:val="en-US" w:eastAsia="zh-CN"/>
              </w:rPr>
              <w:t>合计</w:t>
            </w:r>
            <w:r>
              <w:rPr>
                <w:b/>
                <w:sz w:val="20"/>
                <w:szCs w:val="20"/>
              </w:rPr>
              <w:t xml:space="preserve"> (ODP</w:t>
            </w:r>
            <w:r>
              <w:rPr>
                <w:rFonts w:hint="eastAsia"/>
                <w:b/>
                <w:sz w:val="20"/>
                <w:szCs w:val="20"/>
                <w:lang w:val="en-US" w:eastAsia="zh-CN"/>
              </w:rPr>
              <w:t>吨</w:t>
            </w:r>
            <w:r>
              <w:rPr>
                <w:b/>
                <w:sz w:val="20"/>
                <w:szCs w:val="20"/>
              </w:rPr>
              <w:t>)</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b/>
                <w:sz w:val="20"/>
                <w:szCs w:val="20"/>
              </w:rPr>
            </w:pPr>
            <w:r>
              <w:rPr>
                <w:b/>
                <w:sz w:val="20"/>
                <w:szCs w:val="20"/>
              </w:rPr>
              <w:t>244.66</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tcPr>
          <w:p>
            <w:pPr>
              <w:jc w:val="right"/>
              <w:rPr>
                <w:b/>
                <w:bCs/>
                <w:color w:val="000000"/>
                <w:sz w:val="20"/>
                <w:szCs w:val="20"/>
              </w:rPr>
            </w:pPr>
            <w:r>
              <w:rPr>
                <w:b/>
                <w:sz w:val="20"/>
                <w:szCs w:val="20"/>
              </w:rPr>
              <w:t>239.79</w:t>
            </w:r>
          </w:p>
        </w:tc>
        <w:tc>
          <w:tcPr>
            <w:tcW w:w="595"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center"/>
          </w:tcPr>
          <w:p>
            <w:pPr>
              <w:widowControl w:val="0"/>
              <w:jc w:val="right"/>
              <w:rPr>
                <w:b/>
                <w:color w:val="000000"/>
                <w:sz w:val="20"/>
                <w:szCs w:val="20"/>
              </w:rPr>
            </w:pPr>
            <w:r>
              <w:rPr>
                <w:b/>
                <w:color w:val="000000"/>
                <w:sz w:val="20"/>
                <w:szCs w:val="20"/>
              </w:rPr>
              <w:t>235.56</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jc w:val="right"/>
              <w:rPr>
                <w:b/>
                <w:color w:val="000000"/>
                <w:sz w:val="20"/>
                <w:szCs w:val="20"/>
              </w:rPr>
            </w:pPr>
            <w:r>
              <w:rPr>
                <w:b/>
                <w:color w:val="000000"/>
                <w:sz w:val="20"/>
                <w:szCs w:val="20"/>
              </w:rPr>
              <w:t>215.74</w:t>
            </w:r>
          </w:p>
        </w:tc>
        <w:tc>
          <w:tcPr>
            <w:tcW w:w="595" w:type="pct"/>
            <w:tcBorders>
              <w:top w:val="single" w:color="auto" w:sz="4" w:space="0"/>
              <w:left w:val="single" w:color="auto" w:sz="4" w:space="0"/>
              <w:bottom w:val="single" w:color="auto" w:sz="4" w:space="0"/>
              <w:right w:val="single" w:color="auto" w:sz="4" w:space="0"/>
            </w:tcBorders>
            <w:tcMar>
              <w:left w:w="115" w:type="dxa"/>
              <w:right w:w="202" w:type="dxa"/>
            </w:tcMar>
          </w:tcPr>
          <w:p>
            <w:pPr>
              <w:jc w:val="right"/>
              <w:rPr>
                <w:b/>
                <w:color w:val="000000"/>
                <w:sz w:val="20"/>
                <w:szCs w:val="20"/>
              </w:rPr>
            </w:pPr>
            <w:r>
              <w:rPr>
                <w:b/>
                <w:color w:val="000000"/>
                <w:sz w:val="20"/>
                <w:szCs w:val="20"/>
              </w:rPr>
              <w:t>188.41</w:t>
            </w:r>
          </w:p>
        </w:tc>
        <w:tc>
          <w:tcPr>
            <w:tcW w:w="596" w:type="pct"/>
            <w:tcBorders>
              <w:top w:val="single" w:color="auto" w:sz="4" w:space="0"/>
              <w:left w:val="single" w:color="auto" w:sz="4" w:space="0"/>
              <w:bottom w:val="single" w:color="auto" w:sz="4" w:space="0"/>
              <w:right w:val="single" w:color="auto" w:sz="4" w:space="0"/>
            </w:tcBorders>
            <w:shd w:val="clear" w:color="auto" w:fill="auto"/>
            <w:noWrap/>
            <w:tcMar>
              <w:left w:w="115" w:type="dxa"/>
              <w:right w:w="202" w:type="dxa"/>
            </w:tcMar>
            <w:vAlign w:val="bottom"/>
          </w:tcPr>
          <w:p>
            <w:pPr>
              <w:jc w:val="right"/>
              <w:rPr>
                <w:b/>
                <w:color w:val="000000"/>
                <w:sz w:val="20"/>
                <w:szCs w:val="20"/>
              </w:rPr>
            </w:pPr>
            <w:r>
              <w:rPr>
                <w:b/>
                <w:color w:val="000000"/>
                <w:sz w:val="20"/>
                <w:szCs w:val="20"/>
              </w:rPr>
              <w:t>403.9</w:t>
            </w:r>
          </w:p>
        </w:tc>
      </w:tr>
    </w:tbl>
    <w:p/>
    <w:p>
      <w:pPr>
        <w:pStyle w:val="2"/>
      </w:pPr>
      <w:r>
        <w:t xml:space="preserve">  继2015 年禁止在 </w:t>
      </w:r>
      <w:r>
        <w:rPr>
          <w:rFonts w:hint="eastAsia"/>
          <w:lang w:eastAsia="zh-CN"/>
        </w:rPr>
        <w:t>制冷空调</w:t>
      </w:r>
      <w:r>
        <w:t>制造和组装中使用</w:t>
      </w:r>
      <w:r>
        <w:rPr>
          <w:rFonts w:hint="eastAsia"/>
          <w:lang w:eastAsia="zh-CN"/>
        </w:rPr>
        <w:t>氟氯烃</w:t>
      </w:r>
      <w:r>
        <w:t>-22 之后，HCFC-22 专门用于维修，而</w:t>
      </w:r>
      <w:r>
        <w:rPr>
          <w:rFonts w:hint="eastAsia"/>
          <w:lang w:eastAsia="zh-CN"/>
        </w:rPr>
        <w:t>氟氯烃</w:t>
      </w:r>
      <w:r>
        <w:t>-141b 专门用作泡沫发泡剂。由于维修做法得到改</w:t>
      </w:r>
      <w:r>
        <w:rPr>
          <w:rFonts w:hint="eastAsia"/>
          <w:lang w:val="en-US" w:eastAsia="zh-CN"/>
        </w:rPr>
        <w:t>进</w:t>
      </w:r>
      <w:r>
        <w:t>，HCFC-22 的消费量有所下降</w:t>
      </w:r>
      <w:r>
        <w:rPr>
          <w:rFonts w:hint="eastAsia"/>
          <w:lang w:eastAsia="zh-CN"/>
        </w:rPr>
        <w:t>；</w:t>
      </w:r>
      <w:r>
        <w:t>由于聚氨酯（PU）泡沫塑料制造行业的持续转型，HCFC-141b 的消费量有所下降，两者均得到氟氯烃淘汰管理计划的支持。</w:t>
      </w:r>
      <w:r>
        <w:rPr>
          <w:rFonts w:hint="eastAsia"/>
          <w:lang w:eastAsia="zh-CN"/>
        </w:rPr>
        <w:t>氟氯烃</w:t>
      </w:r>
      <w:r>
        <w:t>-123 的消耗用于冷却器的安装和维修以及消防部门。</w:t>
      </w:r>
      <w:r>
        <w:rPr>
          <w:rFonts w:hint="eastAsia"/>
          <w:lang w:val="en-US" w:eastAsia="zh-CN"/>
        </w:rPr>
        <w:t>鉴于可提供</w:t>
      </w:r>
      <w:r>
        <w:t>这些用途的替代品（分别为六甲基二硅氧烷和 HFE 347pc-f），用于涂层注射器和活塞环的</w:t>
      </w:r>
      <w:r>
        <w:rPr>
          <w:rFonts w:hint="eastAsia"/>
          <w:lang w:eastAsia="zh-CN"/>
        </w:rPr>
        <w:t>氟氯烃</w:t>
      </w:r>
      <w:r>
        <w:t>-225 的消费量已于 2020 年逐步淘汰。</w:t>
      </w:r>
      <w:r>
        <w:rPr>
          <w:rFonts w:hint="eastAsia"/>
          <w:lang w:eastAsia="zh-CN"/>
        </w:rPr>
        <w:t>氟氯烃</w:t>
      </w:r>
      <w:r>
        <w:t>-142b 作为 R-406A 的一个成分被间</w:t>
      </w:r>
      <w:r>
        <w:rPr>
          <w:rFonts w:hint="eastAsia"/>
          <w:lang w:val="en-US" w:eastAsia="zh-CN"/>
        </w:rPr>
        <w:t>或</w:t>
      </w:r>
      <w:r>
        <w:t>消耗，R-406A 被设计为基于 CFC-12 的设备的直接替代品。影响经济和商业活动的 COVID-19 大流行也可能</w:t>
      </w:r>
      <w:r>
        <w:rPr>
          <w:rFonts w:hint="eastAsia"/>
          <w:lang w:val="en-US" w:eastAsia="zh-CN"/>
        </w:rPr>
        <w:t>促成</w:t>
      </w:r>
      <w:r>
        <w:t>消费</w:t>
      </w:r>
      <w:r>
        <w:rPr>
          <w:rFonts w:hint="eastAsia"/>
          <w:lang w:val="en-US" w:eastAsia="zh-CN"/>
        </w:rPr>
        <w:t>量</w:t>
      </w:r>
      <w:r>
        <w:t>减少。</w:t>
      </w:r>
    </w:p>
    <w:p>
      <w:pPr>
        <w:pStyle w:val="2"/>
        <w:keepNext/>
        <w:keepLines/>
        <w:widowControl w:val="0"/>
        <w:numPr>
          <w:ilvl w:val="0"/>
          <w:numId w:val="0"/>
        </w:numPr>
      </w:pPr>
      <w:r>
        <w:rPr>
          <w:i/>
          <w:iCs/>
        </w:rPr>
        <w:t>国家计划（CP）实施报告</w:t>
      </w:r>
    </w:p>
    <w:p>
      <w:pPr>
        <w:pStyle w:val="2"/>
        <w:keepNext/>
        <w:keepLines/>
        <w:widowControl w:val="0"/>
      </w:pPr>
      <w:r>
        <w:t xml:space="preserve">印度尼西亚政府根据 2020 年 </w:t>
      </w:r>
      <w:r>
        <w:rPr>
          <w:rFonts w:hint="eastAsia"/>
          <w:lang w:val="en-US" w:eastAsia="zh-CN"/>
        </w:rPr>
        <w:t>国家计划执行</w:t>
      </w:r>
      <w:r>
        <w:t>报告</w:t>
      </w:r>
      <w:r>
        <w:rPr>
          <w:rFonts w:hint="eastAsia"/>
          <w:lang w:val="en-US" w:eastAsia="zh-CN"/>
        </w:rPr>
        <w:t>所</w:t>
      </w:r>
      <w:r>
        <w:t>报告的氟氯烃行业消费数据与根据《蒙特利尔议定书》第 7 条报告的数据一致。</w:t>
      </w:r>
    </w:p>
    <w:p>
      <w:pPr>
        <w:pStyle w:val="2"/>
        <w:keepNext/>
        <w:numPr>
          <w:ilvl w:val="0"/>
          <w:numId w:val="0"/>
        </w:numPr>
      </w:pPr>
      <w:r>
        <w:rPr>
          <w:i/>
          <w:iCs/>
        </w:rPr>
        <w:t>法律框架</w:t>
      </w:r>
    </w:p>
    <w:p>
      <w:pPr>
        <w:pStyle w:val="2"/>
      </w:pPr>
      <w:r>
        <w:rPr>
          <w:rFonts w:hint="eastAsia"/>
          <w:lang w:val="en-US" w:eastAsia="zh-CN"/>
        </w:rPr>
        <w:t xml:space="preserve"> </w:t>
      </w:r>
      <w:r>
        <w:t>氟氯烃进口许可证和配额制度于2012年建立，并于2015年10月进一步更新。2015年1月，政府实施了禁止</w:t>
      </w:r>
      <w:r>
        <w:rPr>
          <w:rFonts w:hint="eastAsia"/>
          <w:lang w:eastAsia="zh-CN"/>
        </w:rPr>
        <w:t>：</w:t>
      </w:r>
      <w:r>
        <w:t>进口、制造和组装基于HCFC 22的RAC设备； 在商业和工业制冷设备中使用</w:t>
      </w:r>
      <w:r>
        <w:rPr>
          <w:rFonts w:hint="eastAsia"/>
          <w:lang w:eastAsia="zh-CN"/>
        </w:rPr>
        <w:t>氟氯烃</w:t>
      </w:r>
      <w:r>
        <w:t xml:space="preserve"> 作为泡沫绝缘的发泡剂；</w:t>
      </w:r>
      <w:r>
        <w:rPr>
          <w:rFonts w:hint="eastAsia"/>
          <w:lang w:eastAsia="zh-CN"/>
        </w:rPr>
        <w:t>氟氯烃</w:t>
      </w:r>
      <w:r>
        <w:t>-141b 作为发泡剂用于制造家用冰箱和冰柜、冷藏车和连皮泡沫产品。 2020 年颁布了一项新法规，即 2020 年第 12 号贸易部禁止进口货物法规，将现有禁令汇编成单一法规文件，供执法人员统一使用。</w:t>
      </w:r>
    </w:p>
    <w:p>
      <w:pPr>
        <w:spacing w:after="240"/>
        <w:rPr>
          <w:i/>
        </w:rPr>
      </w:pPr>
      <w:r>
        <w:rPr>
          <w:rFonts w:hint="eastAsia"/>
          <w:i/>
          <w:iCs/>
          <w:lang w:val="en-US" w:eastAsia="zh-CN"/>
        </w:rPr>
        <w:t>制冷空调</w:t>
      </w:r>
      <w:r>
        <w:rPr>
          <w:i/>
          <w:iCs/>
        </w:rPr>
        <w:t>制造业</w:t>
      </w:r>
    </w:p>
    <w:p>
      <w:pPr>
        <w:pStyle w:val="2"/>
      </w:pPr>
      <w:r>
        <w:t xml:space="preserve">氟氯烃淘汰管理计划的第一阶段包括 48 家 </w:t>
      </w:r>
      <w:r>
        <w:rPr>
          <w:rFonts w:hint="eastAsia"/>
          <w:lang w:eastAsia="zh-CN"/>
        </w:rPr>
        <w:t>制冷空调</w:t>
      </w:r>
      <w:r>
        <w:t xml:space="preserve">制造业企业向低 </w:t>
      </w:r>
      <w:r>
        <w:rPr>
          <w:rFonts w:hint="eastAsia"/>
          <w:lang w:eastAsia="zh-CN"/>
        </w:rPr>
        <w:t xml:space="preserve">全球升温潜能值 </w:t>
      </w:r>
      <w:r>
        <w:t xml:space="preserve"> 技术的转换。然而，在</w:t>
      </w:r>
      <w:r>
        <w:rPr>
          <w:rFonts w:hint="eastAsia"/>
          <w:lang w:val="en-US" w:eastAsia="zh-CN"/>
        </w:rPr>
        <w:t>执行</w:t>
      </w:r>
      <w:r>
        <w:t>过程中，28 家企业空调行业 16 家，商业制冷行业 12 家）决定利用自有资源转用高全球升温潜能值技术，返还</w:t>
      </w:r>
      <w:r>
        <w:rPr>
          <w:rFonts w:hint="eastAsia"/>
          <w:lang w:val="en-US" w:eastAsia="zh-CN"/>
        </w:rPr>
        <w:t>了</w:t>
      </w:r>
      <w:r>
        <w:t xml:space="preserve"> 3,134,216 美元，外加机构支持费用，</w:t>
      </w:r>
      <w:r>
        <w:rPr>
          <w:rFonts w:hint="eastAsia"/>
          <w:lang w:val="en-US" w:eastAsia="zh-CN"/>
        </w:rPr>
        <w:t>给</w:t>
      </w:r>
      <w:r>
        <w:t>多边基金。此外，还有 11 家企业</w:t>
      </w:r>
      <w:r>
        <w:rPr>
          <w:rStyle w:val="71"/>
        </w:rPr>
        <w:footnoteReference w:id="1"/>
      </w:r>
      <w:r>
        <w:rPr>
          <w:rFonts w:hint="eastAsia"/>
          <w:lang w:val="en-US" w:eastAsia="zh-CN"/>
        </w:rPr>
        <w:t xml:space="preserve"> </w:t>
      </w:r>
      <w:r>
        <w:rPr>
          <w:rFonts w:hint="eastAsia"/>
          <w:lang w:eastAsia="zh-CN"/>
        </w:rPr>
        <w:t>，</w:t>
      </w:r>
      <w:r>
        <w:t xml:space="preserve">决定退出该项目并制造基于高 </w:t>
      </w:r>
      <w:r>
        <w:rPr>
          <w:rFonts w:hint="eastAsia"/>
          <w:lang w:eastAsia="zh-CN"/>
        </w:rPr>
        <w:t xml:space="preserve">全球升温潜能值 </w:t>
      </w:r>
      <w:r>
        <w:t xml:space="preserve"> 的设备；根据第 84/35(b)(i) 号决定，764,842 美元的相关资金加上机构支持费用已退还给第 85 次会议。</w:t>
      </w:r>
    </w:p>
    <w:p>
      <w:pPr>
        <w:pStyle w:val="2"/>
      </w:pPr>
      <w:r>
        <w:t xml:space="preserve"> 在第 84 次会议上，据报告，转换期间的问题包括由于压缩机和组件的商业供应有限，无法使用商定的 HFC-32 技术制造设备，当地市场缺乏对 </w:t>
      </w:r>
      <w:r>
        <w:rPr>
          <w:rFonts w:hint="eastAsia"/>
          <w:lang w:val="en-US" w:eastAsia="zh-CN"/>
        </w:rPr>
        <w:t>基于</w:t>
      </w:r>
      <w:r>
        <w:t>HFC-32 设备的需求，与该国现有的其他设备相比，基于 HFC-32 的设备成本更高。此外，两家企业在转换过程中遇到了技术挑战，导致一家企业改进了换热器的设计，另一家</w:t>
      </w:r>
      <w:r>
        <w:rPr>
          <w:rFonts w:hint="eastAsia"/>
          <w:lang w:val="en-US" w:eastAsia="zh-CN"/>
        </w:rPr>
        <w:t>企业</w:t>
      </w:r>
      <w:r>
        <w:t xml:space="preserve">要求将技术改为 R-290（第 84/35(c) 号决定）； 3 家企业在基于高 </w:t>
      </w:r>
      <w:r>
        <w:rPr>
          <w:rFonts w:hint="eastAsia"/>
          <w:lang w:eastAsia="zh-CN"/>
        </w:rPr>
        <w:t xml:space="preserve">全球升温潜能值 </w:t>
      </w:r>
      <w:r>
        <w:t xml:space="preserve"> 制冷剂的原始设备制造商品牌有订单要履行，</w:t>
      </w:r>
      <w:r>
        <w:rPr>
          <w:rFonts w:hint="eastAsia"/>
          <w:lang w:val="en-US" w:eastAsia="zh-CN"/>
        </w:rPr>
        <w:t>要</w:t>
      </w:r>
      <w:r>
        <w:t xml:space="preserve">根据原始设备制造商的订单临时制造基于高 </w:t>
      </w:r>
      <w:r>
        <w:rPr>
          <w:rFonts w:hint="eastAsia"/>
          <w:lang w:eastAsia="zh-CN"/>
        </w:rPr>
        <w:t xml:space="preserve">全球升温潜能值 </w:t>
      </w:r>
      <w:r>
        <w:t xml:space="preserve"> 制冷剂的设备，同时</w:t>
      </w:r>
      <w:r>
        <w:rPr>
          <w:rFonts w:hint="eastAsia"/>
          <w:lang w:val="en-US" w:eastAsia="zh-CN"/>
        </w:rPr>
        <w:t>据</w:t>
      </w:r>
      <w:r>
        <w:t xml:space="preserve">其企业品牌生产基于 HFC 32 的设备。因此，印度尼西亚氟氯烃淘汰管理计划第一阶段的完成日期延长至 2020 年 12 月。 </w:t>
      </w:r>
    </w:p>
    <w:p>
      <w:pPr>
        <w:pStyle w:val="2"/>
      </w:pPr>
      <w:r>
        <w:rPr>
          <w:rFonts w:hint="eastAsia"/>
          <w:lang w:val="en-US" w:eastAsia="zh-CN"/>
        </w:rPr>
        <w:t xml:space="preserve"> </w:t>
      </w:r>
      <w:r>
        <w:t>一家住宅空调企业已于 2014 年开始生产基于 HFC-32 的空调机组；</w:t>
      </w:r>
      <w:r>
        <w:rPr>
          <w:rStyle w:val="71"/>
        </w:rPr>
        <w:footnoteReference w:id="2"/>
      </w:r>
      <w:r>
        <w:t xml:space="preserve"> 其余 8 家商业制造商在2015 年转换了他们的 </w:t>
      </w:r>
      <w:r>
        <w:rPr>
          <w:rFonts w:hint="eastAsia"/>
          <w:lang w:eastAsia="zh-CN"/>
        </w:rPr>
        <w:t>制冷空调</w:t>
      </w:r>
      <w:r>
        <w:t>生产线，并在 2020 年完成了转换，其中七家改用了基于 HFC-32 的技术</w:t>
      </w:r>
      <w:r>
        <w:rPr>
          <w:rFonts w:hint="eastAsia"/>
          <w:lang w:eastAsia="zh-CN"/>
        </w:rPr>
        <w:t>，</w:t>
      </w:r>
      <w:r>
        <w:t>一</w:t>
      </w:r>
      <w:r>
        <w:rPr>
          <w:rFonts w:hint="eastAsia"/>
          <w:lang w:val="en-US" w:eastAsia="zh-CN"/>
        </w:rPr>
        <w:t>家</w:t>
      </w:r>
      <w:r>
        <w:t>改用了</w:t>
      </w:r>
      <w:r>
        <w:rPr>
          <w:rFonts w:hint="eastAsia"/>
          <w:lang w:val="en-US" w:eastAsia="zh-CN"/>
        </w:rPr>
        <w:t>基于</w:t>
      </w:r>
      <w:r>
        <w:t>R-290的技术。根据第 85/10(c) 号决定，开发计划署提供了有关这些企业生产的低全球升温潜能值设备销售情况的汇总信息。</w:t>
      </w:r>
      <w:r>
        <w:rPr>
          <w:rStyle w:val="71"/>
        </w:rPr>
        <w:footnoteReference w:id="3"/>
      </w:r>
      <w:r>
        <w:rPr>
          <w:rFonts w:hint="eastAsia"/>
          <w:lang w:val="en-US" w:eastAsia="zh-CN"/>
        </w:rPr>
        <w:t xml:space="preserve"> </w:t>
      </w:r>
      <w:r>
        <w:t>尽管发生了 COVID-19 大流行，但企业</w:t>
      </w:r>
      <w:r>
        <w:rPr>
          <w:rFonts w:hint="eastAsia"/>
          <w:lang w:val="en-US" w:eastAsia="zh-CN"/>
        </w:rPr>
        <w:t>成功</w:t>
      </w:r>
      <w:r>
        <w:t>销售</w:t>
      </w:r>
      <w:r>
        <w:rPr>
          <w:rFonts w:hint="eastAsia"/>
          <w:lang w:val="en-US" w:eastAsia="zh-CN"/>
        </w:rPr>
        <w:t>了</w:t>
      </w:r>
      <w:r>
        <w:t xml:space="preserve"> 5,628 台基于 HFC-32 和 R-290 的装置，占企业基准制造能力的 29%；制造商</w:t>
      </w:r>
      <w:r>
        <w:rPr>
          <w:rFonts w:hint="eastAsia"/>
          <w:lang w:val="en-US" w:eastAsia="zh-CN"/>
        </w:rPr>
        <w:t>们</w:t>
      </w:r>
      <w:r>
        <w:t xml:space="preserve">不再制造使用高 </w:t>
      </w:r>
      <w:r>
        <w:rPr>
          <w:rFonts w:hint="eastAsia"/>
          <w:lang w:eastAsia="zh-CN"/>
        </w:rPr>
        <w:t xml:space="preserve">全球升温潜能值 </w:t>
      </w:r>
      <w:r>
        <w:t xml:space="preserve"> 制冷剂的设备。</w:t>
      </w:r>
    </w:p>
    <w:p>
      <w:pPr>
        <w:pStyle w:val="2"/>
        <w:widowControl w:val="0"/>
        <w:numPr>
          <w:ilvl w:val="0"/>
          <w:numId w:val="0"/>
        </w:numPr>
        <w:tabs>
          <w:tab w:val="left" w:pos="720"/>
        </w:tabs>
        <w:rPr>
          <w:i/>
        </w:rPr>
      </w:pPr>
      <w:r>
        <w:rPr>
          <w:rFonts w:hint="eastAsia"/>
          <w:i/>
          <w:lang w:val="en-US" w:eastAsia="zh-CN"/>
        </w:rPr>
        <w:t>聚氨酯</w:t>
      </w:r>
      <w:r>
        <w:rPr>
          <w:i/>
        </w:rPr>
        <w:t>聚氨酯发泡制造业</w:t>
      </w:r>
    </w:p>
    <w:p>
      <w:pPr>
        <w:pStyle w:val="2"/>
        <w:widowControl w:val="0"/>
      </w:pPr>
      <w:r>
        <w:rPr>
          <w:rFonts w:hint="eastAsia"/>
          <w:lang w:val="en-US" w:eastAsia="zh-CN"/>
        </w:rPr>
        <w:t xml:space="preserve"> </w:t>
      </w:r>
      <w:r>
        <w:rPr>
          <w:iCs/>
        </w:rPr>
        <w:t>26 家聚氨酯硬质泡沫塑料制造企业被纳入氟氯烃淘汰管理计划第一阶段，转为非</w:t>
      </w:r>
      <w:r>
        <w:rPr>
          <w:rFonts w:hint="eastAsia"/>
          <w:iCs/>
          <w:lang w:eastAsia="zh-CN"/>
        </w:rPr>
        <w:t>氟氯烃</w:t>
      </w:r>
      <w:r>
        <w:rPr>
          <w:iCs/>
        </w:rPr>
        <w:t xml:space="preserve">-141b 技术； 3 </w:t>
      </w:r>
      <w:r>
        <w:rPr>
          <w:rFonts w:hint="eastAsia"/>
          <w:iCs/>
          <w:lang w:val="en-US" w:eastAsia="zh-CN"/>
        </w:rPr>
        <w:t>家</w:t>
      </w:r>
      <w:r>
        <w:rPr>
          <w:iCs/>
        </w:rPr>
        <w:t>在 2015 年转化为环戊烷，相关节余返还给第 82 次会议； 6</w:t>
      </w:r>
      <w:r>
        <w:rPr>
          <w:rFonts w:hint="eastAsia"/>
          <w:iCs/>
          <w:lang w:val="en-US" w:eastAsia="zh-CN"/>
        </w:rPr>
        <w:t>家</w:t>
      </w:r>
      <w:r>
        <w:rPr>
          <w:iCs/>
        </w:rPr>
        <w:t>转换为 HFC-245fa 技术，2014 年 5</w:t>
      </w:r>
      <w:r>
        <w:rPr>
          <w:rFonts w:hint="eastAsia"/>
          <w:iCs/>
          <w:lang w:val="en-US" w:eastAsia="zh-CN"/>
        </w:rPr>
        <w:t>家</w:t>
      </w:r>
      <w:r>
        <w:rPr>
          <w:iCs/>
        </w:rPr>
        <w:t xml:space="preserve">，2016 年 1 </w:t>
      </w:r>
      <w:r>
        <w:rPr>
          <w:rFonts w:hint="eastAsia"/>
          <w:iCs/>
          <w:lang w:val="en-US" w:eastAsia="zh-CN"/>
        </w:rPr>
        <w:t>家</w:t>
      </w:r>
      <w:r>
        <w:rPr>
          <w:iCs/>
        </w:rPr>
        <w:t>；其余 17 家公司决定退出该项目，一部分相关节余</w:t>
      </w:r>
      <w:r>
        <w:rPr>
          <w:rFonts w:hint="eastAsia"/>
          <w:iCs/>
          <w:lang w:val="en-US" w:eastAsia="zh-CN"/>
        </w:rPr>
        <w:t>转</w:t>
      </w:r>
      <w:r>
        <w:rPr>
          <w:iCs/>
        </w:rPr>
        <w:t>用于支持两家系统公司（第 76/47(b) 号决定）。</w:t>
      </w:r>
    </w:p>
    <w:p>
      <w:pPr>
        <w:pStyle w:val="2"/>
        <w:widowControl w:val="0"/>
      </w:pPr>
      <w:r>
        <w:t>一家系统制造商</w:t>
      </w:r>
      <w:r>
        <w:rPr>
          <w:vertAlign w:val="superscript"/>
        </w:rPr>
        <w:footnoteReference w:id="4"/>
      </w:r>
      <w:r>
        <w:t xml:space="preserve"> </w:t>
      </w:r>
      <w:r>
        <w:rPr>
          <w:rFonts w:hint="eastAsia"/>
          <w:lang w:val="en-US" w:eastAsia="zh-CN"/>
        </w:rPr>
        <w:t xml:space="preserve"> </w:t>
      </w:r>
      <w:r>
        <w:t>于2019年完成了转换，而另一家</w:t>
      </w:r>
      <w:r>
        <w:rPr>
          <w:vertAlign w:val="superscript"/>
        </w:rPr>
        <w:footnoteReference w:id="5"/>
      </w:r>
      <w:r>
        <w:rPr>
          <w:rFonts w:hint="eastAsia"/>
          <w:lang w:val="en-US" w:eastAsia="zh-CN"/>
        </w:rPr>
        <w:t xml:space="preserve"> </w:t>
      </w:r>
      <w:r>
        <w:t>决定退出该项目，相关资金已退</w:t>
      </w:r>
      <w:r>
        <w:rPr>
          <w:rFonts w:hint="eastAsia"/>
          <w:lang w:val="en-US" w:eastAsia="zh-CN"/>
        </w:rPr>
        <w:t>给</w:t>
      </w:r>
      <w:r>
        <w:t>第83次会议。工发组织于 2017 年完成了淘汰在 Isotech Jaya Makmur、Airtekindo Prima、Sinar Lentera Kencana 和 Mayer Jaya 使用的</w:t>
      </w:r>
      <w:r>
        <w:rPr>
          <w:rFonts w:hint="eastAsia"/>
          <w:lang w:eastAsia="zh-CN"/>
        </w:rPr>
        <w:t>氟氯烃</w:t>
      </w:r>
      <w:r>
        <w:t>-141b 的总体项目。</w:t>
      </w:r>
    </w:p>
    <w:p>
      <w:pPr>
        <w:pStyle w:val="2"/>
        <w:widowControl w:val="0"/>
      </w:pPr>
      <w:r>
        <w:t>4家商用制冷生产企业拥有制冷和PU生产线；三家</w:t>
      </w:r>
      <w:r>
        <w:rPr>
          <w:rStyle w:val="71"/>
        </w:rPr>
        <w:footnoteReference w:id="6"/>
      </w:r>
      <w:r>
        <w:t xml:space="preserve"> </w:t>
      </w:r>
      <w:r>
        <w:rPr>
          <w:rFonts w:hint="eastAsia"/>
          <w:lang w:val="en-US" w:eastAsia="zh-CN"/>
        </w:rPr>
        <w:t xml:space="preserve"> </w:t>
      </w:r>
      <w:r>
        <w:t>已完成其</w:t>
      </w:r>
      <w:r>
        <w:rPr>
          <w:rFonts w:hint="eastAsia"/>
          <w:lang w:eastAsia="zh-CN"/>
        </w:rPr>
        <w:t>聚氨酯</w:t>
      </w:r>
      <w:r>
        <w:t xml:space="preserve"> 泡沫生产线的转换，一家</w:t>
      </w:r>
      <w:r>
        <w:rPr>
          <w:rStyle w:val="71"/>
        </w:rPr>
        <w:footnoteReference w:id="7"/>
      </w:r>
      <w:r>
        <w:t xml:space="preserve">  决定外包其基于</w:t>
      </w:r>
      <w:r>
        <w:rPr>
          <w:rFonts w:hint="eastAsia"/>
          <w:lang w:eastAsia="zh-CN"/>
        </w:rPr>
        <w:t>氟氯烃</w:t>
      </w:r>
      <w:r>
        <w:t>-141b 的</w:t>
      </w:r>
      <w:r>
        <w:rPr>
          <w:rFonts w:hint="eastAsia"/>
          <w:lang w:eastAsia="zh-CN"/>
        </w:rPr>
        <w:t>聚氨酯</w:t>
      </w:r>
      <w:r>
        <w:t xml:space="preserve"> 泡沫绝缘工艺； 60,500 美元的相关资金，加上机构支持费用，已退还给第 85 次会议（决定 84/35(b)(ii) 和 84/35(d)(i)）。</w:t>
      </w:r>
      <w:r>
        <w:rPr>
          <w:rFonts w:hint="eastAsia"/>
          <w:lang w:eastAsia="zh-CN"/>
        </w:rPr>
        <w:t>聚氨酯</w:t>
      </w:r>
      <w:r>
        <w:t xml:space="preserve"> 泡沫部门的转换已完成。</w:t>
      </w:r>
    </w:p>
    <w:p>
      <w:pPr>
        <w:pStyle w:val="2"/>
        <w:numPr>
          <w:ilvl w:val="0"/>
          <w:numId w:val="0"/>
        </w:numPr>
        <w:rPr>
          <w:i/>
        </w:rPr>
      </w:pPr>
      <w:r>
        <w:rPr>
          <w:i/>
          <w:iCs/>
        </w:rPr>
        <w:t>制冷</w:t>
      </w:r>
      <w:r>
        <w:rPr>
          <w:rFonts w:hint="eastAsia"/>
          <w:i/>
          <w:iCs/>
          <w:lang w:val="en-US" w:eastAsia="zh-CN"/>
        </w:rPr>
        <w:t>维修</w:t>
      </w:r>
      <w:r>
        <w:rPr>
          <w:i/>
          <w:iCs/>
        </w:rPr>
        <w:t>行业</w:t>
      </w:r>
    </w:p>
    <w:p>
      <w:pPr>
        <w:pStyle w:val="2"/>
      </w:pPr>
      <w:r>
        <w:rPr>
          <w:rFonts w:hint="eastAsia"/>
          <w:lang w:val="en-US" w:eastAsia="zh-CN"/>
        </w:rPr>
        <w:t xml:space="preserve"> </w:t>
      </w:r>
      <w:r>
        <w:t>制冷维修行业的活动是澳大利亚政府的双边合作项目</w:t>
      </w:r>
      <w:r>
        <w:rPr>
          <w:rFonts w:hint="eastAsia"/>
          <w:lang w:val="en-US" w:eastAsia="zh-CN"/>
        </w:rPr>
        <w:t>确立的</w:t>
      </w:r>
      <w:r>
        <w:t xml:space="preserve">。翻译了关于良好服务做法和在 </w:t>
      </w:r>
      <w:r>
        <w:rPr>
          <w:rFonts w:hint="eastAsia"/>
          <w:lang w:eastAsia="zh-CN"/>
        </w:rPr>
        <w:t>制冷空调</w:t>
      </w:r>
      <w:r>
        <w:t xml:space="preserve">设备中使用易燃制冷剂的手册，并与印度尼西亚管理制冷协会就 </w:t>
      </w:r>
      <w:r>
        <w:rPr>
          <w:rFonts w:hint="eastAsia"/>
          <w:lang w:eastAsia="zh-CN"/>
        </w:rPr>
        <w:t>制冷空调</w:t>
      </w:r>
      <w:r>
        <w:t>部门的逐步淘汰相关事项进行了磋商。印度尼西亚国家标准机构采用 ISO 817/2014 来指定制冷剂，包括基于毒性和可燃性的制冷剂安全分类，以及确定制冷剂浓度限制的方法，作为国家标准。</w:t>
      </w:r>
    </w:p>
    <w:p>
      <w:pPr>
        <w:pStyle w:val="2"/>
      </w:pPr>
      <w:r>
        <w:t>最终确定了产品管理计划的实施方式、培训课程的升级和提高认识活动，</w:t>
      </w:r>
      <w:r>
        <w:rPr>
          <w:rFonts w:hint="eastAsia"/>
          <w:lang w:val="en-US" w:eastAsia="zh-CN"/>
        </w:rPr>
        <w:t>促成</w:t>
      </w:r>
      <w:r>
        <w:t>对大约 1,400 名技术人员进行了培训</w:t>
      </w:r>
      <w:r>
        <w:rPr>
          <w:rFonts w:hint="eastAsia"/>
          <w:lang w:eastAsia="zh-CN"/>
        </w:rPr>
        <w:t>，</w:t>
      </w:r>
      <w:r>
        <w:t>并注册</w:t>
      </w:r>
      <w:r>
        <w:rPr>
          <w:rFonts w:hint="eastAsia"/>
          <w:lang w:val="en-US" w:eastAsia="zh-CN"/>
        </w:rPr>
        <w:t>于</w:t>
      </w:r>
      <w:r>
        <w:t>一个基于网络的制冷剂监测应用，该应用</w:t>
      </w:r>
      <w:r>
        <w:rPr>
          <w:rFonts w:hint="eastAsia"/>
          <w:lang w:val="en-US" w:eastAsia="zh-CN"/>
        </w:rPr>
        <w:t>可</w:t>
      </w:r>
      <w:r>
        <w:t>跟踪有关现有技术人员数量、维修车间位置、</w:t>
      </w:r>
      <w:r>
        <w:rPr>
          <w:rFonts w:hint="eastAsia"/>
          <w:lang w:val="en-US" w:eastAsia="zh-CN"/>
        </w:rPr>
        <w:t>维修</w:t>
      </w:r>
      <w:r>
        <w:t>类型和使用的制冷剂的信息。一所职业学校更新了基本RAC培训设备（如歧管和移动培训台；家用空调、压缩机和冰箱培训单元；碳氢化合物回收机；碳氢化合物检漏仪；回收气瓶）。</w:t>
      </w:r>
    </w:p>
    <w:p>
      <w:pPr>
        <w:pStyle w:val="2"/>
      </w:pPr>
      <w:r>
        <w:t>澳大利亚政府审查了许可</w:t>
      </w:r>
      <w:r>
        <w:rPr>
          <w:rFonts w:hint="eastAsia"/>
          <w:lang w:val="en-US" w:eastAsia="zh-CN"/>
        </w:rPr>
        <w:t>证</w:t>
      </w:r>
      <w:r>
        <w:t xml:space="preserve">和认证技术人员的资格和技能体系。对澳大利亚进行了一次考察访问，以评估技术员执照制度；此后，针对 </w:t>
      </w:r>
      <w:r>
        <w:rPr>
          <w:rFonts w:hint="eastAsia"/>
          <w:lang w:eastAsia="zh-CN"/>
        </w:rPr>
        <w:t>制冷空调</w:t>
      </w:r>
      <w:r>
        <w:t xml:space="preserve">制冷剂的回收和处理启动了技术员认证计划，并举办了两次培训以试行技术员认证流程，从而获得了 24 名技术员的认证。制冷剂管理项目（IDS/PHA/64/TAS/196）的技术援助已经完成。第一阶段完成后，共有 1,656 名 </w:t>
      </w:r>
      <w:r>
        <w:rPr>
          <w:rFonts w:hint="eastAsia"/>
          <w:lang w:eastAsia="zh-CN"/>
        </w:rPr>
        <w:t>制冷空调</w:t>
      </w:r>
      <w:r>
        <w:t>技术人员接受了培训和认证；这些认证的费用由政府的国家预算承担。</w:t>
      </w:r>
    </w:p>
    <w:p>
      <w:pPr>
        <w:keepNext/>
        <w:rPr>
          <w:i/>
          <w:iCs/>
        </w:rPr>
      </w:pPr>
      <w:r>
        <w:rPr>
          <w:i/>
          <w:iCs/>
        </w:rPr>
        <w:t>项目</w:t>
      </w:r>
      <w:r>
        <w:rPr>
          <w:rFonts w:hint="eastAsia"/>
          <w:i/>
          <w:iCs/>
          <w:lang w:val="en-US" w:eastAsia="zh-CN"/>
        </w:rPr>
        <w:t>执行</w:t>
      </w:r>
      <w:r>
        <w:rPr>
          <w:i/>
          <w:iCs/>
        </w:rPr>
        <w:t>和监测组（</w:t>
      </w:r>
      <w:r>
        <w:rPr>
          <w:rFonts w:hint="eastAsia"/>
          <w:i/>
          <w:iCs/>
          <w:lang w:eastAsia="zh-CN"/>
        </w:rPr>
        <w:t>项目管理单位</w:t>
      </w:r>
      <w:r>
        <w:rPr>
          <w:i/>
          <w:iCs/>
        </w:rPr>
        <w:t>）</w:t>
      </w:r>
    </w:p>
    <w:p>
      <w:pPr>
        <w:keepNext/>
      </w:pPr>
    </w:p>
    <w:p>
      <w:pPr>
        <w:pStyle w:val="2"/>
        <w:keepNext/>
      </w:pPr>
      <w:r>
        <w:rPr>
          <w:rFonts w:hint="eastAsia"/>
          <w:lang w:eastAsia="zh-CN"/>
        </w:rPr>
        <w:t>项目管理单位</w:t>
      </w:r>
      <w:r>
        <w:t xml:space="preserve"> 通过与利益相关者协调，支持印度尼西亚环境和林业部执行和监测氟氯烃淘汰管理计划； 提供</w:t>
      </w:r>
      <w:r>
        <w:rPr>
          <w:rFonts w:hint="eastAsia"/>
          <w:lang w:val="en-US" w:eastAsia="zh-CN"/>
        </w:rPr>
        <w:t>维修</w:t>
      </w:r>
      <w:r>
        <w:t>； 报告活动； 并监督氟氯烃淘汰的财务、行政和技术活动。</w:t>
      </w:r>
    </w:p>
    <w:p>
      <w:pPr>
        <w:rPr>
          <w:u w:val="single"/>
        </w:rPr>
      </w:pPr>
      <w:r>
        <w:rPr>
          <w:u w:val="single"/>
        </w:rPr>
        <w:t>资金</w:t>
      </w:r>
      <w:r>
        <w:rPr>
          <w:rFonts w:hint="eastAsia"/>
          <w:u w:val="single"/>
          <w:lang w:val="en-US" w:eastAsia="zh-CN"/>
        </w:rPr>
        <w:t>发放</w:t>
      </w:r>
      <w:r>
        <w:rPr>
          <w:u w:val="single"/>
        </w:rPr>
        <w:t>水平</w:t>
      </w:r>
    </w:p>
    <w:p>
      <w:pPr>
        <w:rPr>
          <w:u w:val="single"/>
        </w:rPr>
      </w:pPr>
    </w:p>
    <w:p>
      <w:pPr>
        <w:pStyle w:val="2"/>
      </w:pPr>
      <w:r>
        <w:t xml:space="preserve"> 截至 2021 年 7 月，在迄今批准的 12,692,684 美元中，已</w:t>
      </w:r>
      <w:r>
        <w:rPr>
          <w:rFonts w:hint="eastAsia"/>
          <w:lang w:eastAsia="zh-CN"/>
        </w:rPr>
        <w:t>发放</w:t>
      </w:r>
      <w:r>
        <w:t xml:space="preserve"> 8,044,232 美元（开发计划署 4,941,544 美元，工发组织 776,842 美元，世界银行 2,025,846 美元，澳大利亚政府 0,000 美元） 4,648,452 美元返还给多边基金（开发计划署 3,959,558 美元，工发组织 553 美元，世界银行 688,341 美元）。 氟氯烃淘汰管理计划的第一阶段在第 86 次会议上</w:t>
      </w:r>
      <w:r>
        <w:rPr>
          <w:rFonts w:hint="eastAsia"/>
          <w:lang w:val="en-US" w:eastAsia="zh-CN"/>
        </w:rPr>
        <w:t>已经</w:t>
      </w:r>
      <w:r>
        <w:t>完成财务</w:t>
      </w:r>
      <w:r>
        <w:rPr>
          <w:rFonts w:hint="eastAsia"/>
          <w:lang w:val="en-US" w:eastAsia="zh-CN"/>
        </w:rPr>
        <w:t>程序</w:t>
      </w:r>
      <w:r>
        <w:t>。</w:t>
      </w:r>
    </w:p>
    <w:p>
      <w:pPr>
        <w:rPr>
          <w:b/>
          <w:lang w:val="en-US" w:eastAsia="zh-CN"/>
        </w:rPr>
      </w:pPr>
      <w:r>
        <w:rPr>
          <w:rFonts w:hint="eastAsia"/>
          <w:b/>
          <w:lang w:val="en-US" w:eastAsia="zh-CN"/>
        </w:rPr>
        <w:t>秘书处评论</w:t>
      </w:r>
    </w:p>
    <w:p/>
    <w:p>
      <w:pPr>
        <w:pStyle w:val="2"/>
      </w:pPr>
      <w:r>
        <w:t>尽管</w:t>
      </w:r>
      <w:r>
        <w:rPr>
          <w:rFonts w:hint="eastAsia"/>
          <w:lang w:val="en-US" w:eastAsia="zh-CN"/>
        </w:rPr>
        <w:t>执行</w:t>
      </w:r>
      <w:r>
        <w:t>过程中面临挑战，众多企业决定退出该项目，但氟氯烃淘汰管理计划第一阶段已经完成，在多边基金的帮助下转型的企业能够成功地营销和销售</w:t>
      </w:r>
      <w:r>
        <w:rPr>
          <w:rFonts w:hint="eastAsia"/>
          <w:lang w:val="en-US" w:eastAsia="zh-CN"/>
        </w:rPr>
        <w:t>了基于</w:t>
      </w:r>
      <w:r>
        <w:t>商定替代品</w:t>
      </w:r>
      <w:r>
        <w:rPr>
          <w:rFonts w:hint="eastAsia"/>
          <w:lang w:val="en-US" w:eastAsia="zh-CN"/>
        </w:rPr>
        <w:t>的</w:t>
      </w:r>
      <w:r>
        <w:t>设备。（即 HFC-32，</w:t>
      </w:r>
      <w:r>
        <w:rPr>
          <w:rFonts w:hint="eastAsia"/>
          <w:lang w:val="en-US" w:eastAsia="zh-CN"/>
        </w:rPr>
        <w:t>而</w:t>
      </w:r>
      <w:r>
        <w:t>转为 R-290 的 Rotaryana Prima 除外）。由于 COVID-19 的严重影响，包括延长</w:t>
      </w:r>
      <w:r>
        <w:rPr>
          <w:rFonts w:hint="eastAsia"/>
          <w:lang w:val="en-US" w:eastAsia="zh-CN"/>
        </w:rPr>
        <w:t>封</w:t>
      </w:r>
      <w:r>
        <w:t xml:space="preserve">锁期和需要新的 </w:t>
      </w:r>
      <w:r>
        <w:rPr>
          <w:rFonts w:hint="eastAsia"/>
          <w:lang w:eastAsia="zh-CN"/>
        </w:rPr>
        <w:t>制冷空调</w:t>
      </w:r>
      <w:r>
        <w:t xml:space="preserve">设备的行业经济活动减少的限制，所有 </w:t>
      </w:r>
      <w:r>
        <w:rPr>
          <w:rFonts w:hint="eastAsia"/>
          <w:lang w:eastAsia="zh-CN"/>
        </w:rPr>
        <w:t>制冷空调</w:t>
      </w:r>
      <w:r>
        <w:t>设备（包括转换企业生产的基于 HFC-32 和 R-290 的设备）的销售额在 2020 年有所下降，特别是大多数转型企业生产的定制商业设备；开发计划署预计，随着 COVID-19</w:t>
      </w:r>
      <w:r>
        <w:rPr>
          <w:rFonts w:hint="eastAsia"/>
          <w:lang w:val="en-US" w:eastAsia="zh-CN"/>
        </w:rPr>
        <w:t>后</w:t>
      </w:r>
      <w:r>
        <w:t>的恢复，企业将能够根据商定的替代方案继续增加设备的制造和销售。</w:t>
      </w:r>
    </w:p>
    <w:p>
      <w:pPr>
        <w:spacing w:after="240"/>
        <w:rPr>
          <w:b/>
          <w:lang w:val="en-US" w:eastAsia="zh-CN"/>
        </w:rPr>
      </w:pPr>
      <w:r>
        <w:rPr>
          <w:rFonts w:hint="eastAsia"/>
          <w:b/>
          <w:lang w:val="en-US" w:eastAsia="zh-CN"/>
        </w:rPr>
        <w:t>建议</w:t>
      </w:r>
    </w:p>
    <w:p>
      <w:pPr>
        <w:pStyle w:val="2"/>
      </w:pPr>
      <w:r>
        <w:rPr>
          <w:rFonts w:hint="eastAsia"/>
          <w:lang w:val="en-US" w:eastAsia="zh-CN"/>
        </w:rPr>
        <w:t>谨请</w:t>
      </w:r>
      <w:r>
        <w:t>执行委员会</w:t>
      </w:r>
      <w:r>
        <w:rPr>
          <w:rFonts w:hint="eastAsia"/>
          <w:lang w:val="en-US" w:eastAsia="zh-CN"/>
        </w:rPr>
        <w:t>关</w:t>
      </w:r>
      <w:r>
        <w:t>注联合国开发计划署提交的关于印度尼西亚氟氯烃淘汰管理计划（HPMP）第一阶段执行情况的最终进展报告，载于文件 UNEP/OzL.Pro/ExCom/ 88/51。</w:t>
      </w:r>
    </w:p>
    <w:p>
      <w:pPr>
        <w:jc w:val="left"/>
        <w:rPr>
          <w:b/>
        </w:rPr>
      </w:pPr>
      <w:r>
        <w:rPr>
          <w:b/>
        </w:rPr>
        <w:br w:type="page"/>
      </w:r>
    </w:p>
    <w:p>
      <w:pPr>
        <w:suppressAutoHyphens/>
        <w:spacing w:after="120"/>
        <w:jc w:val="center"/>
      </w:pPr>
      <w:r>
        <w:rPr>
          <w:b/>
        </w:rPr>
        <w:t>项目评估表——多年</w:t>
      </w:r>
      <w:r>
        <w:rPr>
          <w:rFonts w:hint="eastAsia"/>
          <w:b/>
          <w:lang w:val="en-US" w:eastAsia="zh-CN"/>
        </w:rPr>
        <w:t>期</w:t>
      </w:r>
      <w:r>
        <w:rPr>
          <w:b/>
        </w:rPr>
        <w:t>项目</w:t>
      </w:r>
    </w:p>
    <w:p>
      <w:pPr>
        <w:spacing w:after="120"/>
        <w:jc w:val="center"/>
      </w:pPr>
      <w:r>
        <w:rPr>
          <w:rFonts w:hint="eastAsia"/>
          <w:b/>
          <w:bCs/>
          <w:lang w:val="en-US" w:eastAsia="zh-CN"/>
        </w:rPr>
        <w:t>印度尼西亚</w:t>
      </w:r>
    </w:p>
    <w:tbl>
      <w:tblPr>
        <w:tblStyle w:val="25"/>
        <w:tblW w:w="10522"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07"/>
        <w:gridCol w:w="2843"/>
        <w:gridCol w:w="2430"/>
        <w:gridCol w:w="2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007" w:type="dxa"/>
            <w:shd w:val="clear" w:color="auto" w:fill="auto"/>
          </w:tcPr>
          <w:p>
            <w:pPr>
              <w:spacing w:after="80"/>
              <w:jc w:val="left"/>
              <w:rPr>
                <w:b/>
                <w:sz w:val="18"/>
              </w:rPr>
            </w:pPr>
            <w:r>
              <w:rPr>
                <w:b/>
                <w:sz w:val="18"/>
              </w:rPr>
              <w:t>(</w:t>
            </w:r>
            <w:r>
              <w:rPr>
                <w:rFonts w:hint="eastAsia"/>
                <w:b/>
                <w:sz w:val="18"/>
                <w:lang w:val="en-US" w:eastAsia="zh-CN"/>
              </w:rPr>
              <w:t>1</w:t>
            </w:r>
            <w:r>
              <w:rPr>
                <w:b/>
                <w:sz w:val="18"/>
              </w:rPr>
              <w:t>) 项目名称</w:t>
            </w:r>
          </w:p>
        </w:tc>
        <w:tc>
          <w:tcPr>
            <w:tcW w:w="2843" w:type="dxa"/>
            <w:shd w:val="clear" w:color="auto" w:fill="auto"/>
          </w:tcPr>
          <w:p>
            <w:pPr>
              <w:spacing w:after="80"/>
              <w:jc w:val="center"/>
              <w:rPr>
                <w:b/>
                <w:sz w:val="18"/>
              </w:rPr>
            </w:pPr>
            <w:r>
              <w:rPr>
                <w:b/>
                <w:sz w:val="18"/>
              </w:rPr>
              <w:t>机构</w:t>
            </w:r>
          </w:p>
        </w:tc>
        <w:tc>
          <w:tcPr>
            <w:tcW w:w="2430" w:type="dxa"/>
            <w:shd w:val="clear" w:color="auto" w:fill="auto"/>
          </w:tcPr>
          <w:p>
            <w:pPr>
              <w:spacing w:after="80"/>
              <w:jc w:val="center"/>
              <w:rPr>
                <w:b/>
                <w:sz w:val="18"/>
              </w:rPr>
            </w:pPr>
            <w:r>
              <w:rPr>
                <w:rFonts w:hint="eastAsia"/>
                <w:b/>
                <w:sz w:val="18"/>
                <w:lang w:val="en-US" w:eastAsia="zh-CN"/>
              </w:rPr>
              <w:t>核准会议</w:t>
            </w:r>
          </w:p>
        </w:tc>
        <w:tc>
          <w:tcPr>
            <w:tcW w:w="2242" w:type="dxa"/>
            <w:shd w:val="clear" w:color="auto" w:fill="auto"/>
          </w:tcPr>
          <w:p>
            <w:pPr>
              <w:spacing w:after="80"/>
              <w:jc w:val="center"/>
              <w:rPr>
                <w:b/>
                <w:sz w:val="18"/>
              </w:rPr>
            </w:pPr>
            <w:r>
              <w:rPr>
                <w:rFonts w:hint="eastAsia"/>
                <w:b/>
                <w:sz w:val="18"/>
                <w:lang w:val="en-US" w:eastAsia="zh-CN"/>
              </w:rPr>
              <w:t>衡量标准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007" w:type="dxa"/>
            <w:shd w:val="clear" w:color="auto" w:fill="auto"/>
          </w:tcPr>
          <w:p>
            <w:pPr>
              <w:spacing w:after="80"/>
              <w:jc w:val="center"/>
              <w:rPr>
                <w:sz w:val="18"/>
              </w:rPr>
            </w:pPr>
            <w:r>
              <w:rPr>
                <w:lang w:val="en-CA"/>
              </w:rPr>
              <w:t>氟氯烃淘汰管理计划（第</w:t>
            </w:r>
            <w:r>
              <w:rPr>
                <w:rFonts w:hint="eastAsia"/>
                <w:lang w:val="en-US" w:eastAsia="zh-CN"/>
              </w:rPr>
              <w:t>二</w:t>
            </w:r>
            <w:r>
              <w:rPr>
                <w:lang w:val="en-CA"/>
              </w:rPr>
              <w:t>阶段）</w:t>
            </w:r>
          </w:p>
        </w:tc>
        <w:tc>
          <w:tcPr>
            <w:tcW w:w="2843" w:type="dxa"/>
            <w:shd w:val="clear" w:color="auto" w:fill="auto"/>
          </w:tcPr>
          <w:p>
            <w:pPr>
              <w:spacing w:after="80"/>
              <w:jc w:val="center"/>
              <w:rPr>
                <w:sz w:val="18"/>
                <w:lang w:eastAsia="zh-CN"/>
              </w:rPr>
            </w:pPr>
            <w:r>
              <w:rPr>
                <w:rFonts w:hint="eastAsia"/>
                <w:sz w:val="18"/>
                <w:szCs w:val="18"/>
                <w:lang w:val="en-US" w:eastAsia="zh-CN"/>
              </w:rPr>
              <w:t>开发计划署</w:t>
            </w:r>
            <w:r>
              <w:rPr>
                <w:sz w:val="18"/>
                <w:szCs w:val="18"/>
              </w:rPr>
              <w:t xml:space="preserve"> (</w:t>
            </w:r>
            <w:r>
              <w:rPr>
                <w:rFonts w:hint="eastAsia"/>
                <w:sz w:val="18"/>
                <w:szCs w:val="18"/>
                <w:lang w:val="en-US" w:eastAsia="zh-CN"/>
              </w:rPr>
              <w:t>牵头</w:t>
            </w:r>
            <w:r>
              <w:rPr>
                <w:sz w:val="18"/>
                <w:szCs w:val="18"/>
              </w:rPr>
              <w:t>)</w:t>
            </w:r>
            <w:r>
              <w:rPr>
                <w:rFonts w:hint="eastAsia"/>
                <w:sz w:val="18"/>
                <w:szCs w:val="18"/>
                <w:lang w:eastAsia="zh-CN"/>
              </w:rPr>
              <w:t>，</w:t>
            </w:r>
            <w:r>
              <w:rPr>
                <w:rFonts w:hint="eastAsia"/>
                <w:sz w:val="18"/>
                <w:lang w:val="en-US" w:eastAsia="zh-CN"/>
              </w:rPr>
              <w:t>世界银行</w:t>
            </w:r>
          </w:p>
        </w:tc>
        <w:tc>
          <w:tcPr>
            <w:tcW w:w="2430" w:type="dxa"/>
            <w:shd w:val="clear" w:color="auto" w:fill="auto"/>
          </w:tcPr>
          <w:p>
            <w:pPr>
              <w:spacing w:after="80"/>
              <w:jc w:val="center"/>
              <w:rPr>
                <w:sz w:val="18"/>
              </w:rPr>
            </w:pPr>
            <w:r>
              <w:rPr>
                <w:sz w:val="18"/>
              </w:rPr>
              <w:t>76</w:t>
            </w:r>
            <w:r>
              <w:rPr>
                <w:rFonts w:hint="eastAsia"/>
                <w:b/>
                <w:sz w:val="18"/>
                <w:lang w:val="en-US" w:eastAsia="zh-CN"/>
              </w:rPr>
              <w:t>届会议</w:t>
            </w:r>
          </w:p>
        </w:tc>
        <w:tc>
          <w:tcPr>
            <w:tcW w:w="2242" w:type="dxa"/>
            <w:shd w:val="clear" w:color="auto" w:fill="auto"/>
          </w:tcPr>
          <w:p>
            <w:pPr>
              <w:spacing w:after="80"/>
              <w:jc w:val="center"/>
              <w:rPr>
                <w:sz w:val="18"/>
              </w:rPr>
            </w:pPr>
            <w:r>
              <w:rPr>
                <w:sz w:val="18"/>
              </w:rPr>
              <w:t>2023</w:t>
            </w:r>
            <w:r>
              <w:rPr>
                <w:rFonts w:hint="eastAsia"/>
                <w:sz w:val="18"/>
                <w:szCs w:val="18"/>
                <w:lang w:val="en-US" w:eastAsia="zh-CN"/>
              </w:rPr>
              <w:t>年前达到</w:t>
            </w:r>
            <w:r>
              <w:rPr>
                <w:sz w:val="18"/>
              </w:rPr>
              <w:t xml:space="preserve">55% </w:t>
            </w:r>
          </w:p>
        </w:tc>
      </w:tr>
    </w:tbl>
    <w:p>
      <w:pPr>
        <w:jc w:val="center"/>
      </w:pPr>
    </w:p>
    <w:tbl>
      <w:tblPr>
        <w:tblStyle w:val="25"/>
        <w:tblW w:w="10522"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22"/>
        <w:gridCol w:w="2400"/>
        <w:gridCol w:w="24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5722" w:type="dxa"/>
            <w:shd w:val="clear" w:color="auto" w:fill="auto"/>
          </w:tcPr>
          <w:p>
            <w:pPr>
              <w:spacing w:after="60"/>
              <w:jc w:val="left"/>
              <w:rPr>
                <w:b/>
                <w:sz w:val="18"/>
              </w:rPr>
            </w:pPr>
            <w:r>
              <w:rPr>
                <w:rFonts w:ascii="宋体" w:hAnsi="宋体"/>
                <w:b/>
                <w:sz w:val="18"/>
                <w:lang w:eastAsia="zh-CN"/>
              </w:rPr>
              <w:t xml:space="preserve">(2) </w:t>
            </w:r>
            <w:r>
              <w:rPr>
                <w:rFonts w:ascii="宋体" w:hAnsi="宋体" w:cs="Batang"/>
                <w:b/>
                <w:sz w:val="18"/>
                <w:lang w:eastAsia="zh-CN"/>
              </w:rPr>
              <w:t>最新的第</w:t>
            </w:r>
            <w:r>
              <w:rPr>
                <w:rFonts w:ascii="宋体" w:hAnsi="宋体"/>
                <w:b/>
                <w:sz w:val="18"/>
                <w:lang w:eastAsia="zh-CN"/>
              </w:rPr>
              <w:t>7</w:t>
            </w:r>
            <w:r>
              <w:rPr>
                <w:rFonts w:ascii="宋体" w:hAnsi="宋体" w:cs="New Gulim"/>
                <w:b/>
                <w:sz w:val="18"/>
                <w:lang w:eastAsia="zh-CN"/>
              </w:rPr>
              <w:t>条数据</w:t>
            </w:r>
            <w:r>
              <w:rPr>
                <w:rFonts w:ascii="宋体" w:hAnsi="宋体" w:cs="Malgun Gothic"/>
                <w:b/>
                <w:sz w:val="18"/>
                <w:lang w:eastAsia="zh-CN"/>
              </w:rPr>
              <w:t>（</w:t>
            </w:r>
            <w:r>
              <w:rPr>
                <w:rFonts w:ascii="宋体" w:hAnsi="宋体" w:cs="Batang"/>
                <w:b/>
                <w:sz w:val="18"/>
                <w:lang w:eastAsia="zh-CN"/>
              </w:rPr>
              <w:t>附件</w:t>
            </w:r>
            <w:r>
              <w:rPr>
                <w:rFonts w:ascii="宋体" w:hAnsi="宋体"/>
                <w:b/>
                <w:sz w:val="18"/>
                <w:lang w:eastAsia="zh-CN"/>
              </w:rPr>
              <w:t>C</w:t>
            </w:r>
            <w:r>
              <w:rPr>
                <w:rFonts w:ascii="宋体" w:hAnsi="宋体" w:cs="Batang"/>
                <w:b/>
                <w:sz w:val="18"/>
                <w:lang w:eastAsia="zh-CN"/>
              </w:rPr>
              <w:t>第</w:t>
            </w:r>
            <w:r>
              <w:rPr>
                <w:rFonts w:hint="eastAsia" w:ascii="宋体" w:hAnsi="宋体"/>
                <w:b/>
                <w:sz w:val="18"/>
                <w:lang w:eastAsia="zh-CN"/>
              </w:rPr>
              <w:t>I</w:t>
            </w:r>
            <w:r>
              <w:rPr>
                <w:rFonts w:hint="eastAsia" w:ascii="宋体" w:hAnsi="宋体" w:cs="New Gulim"/>
                <w:b/>
                <w:sz w:val="18"/>
                <w:lang w:eastAsia="zh-CN"/>
              </w:rPr>
              <w:t>类</w:t>
            </w:r>
            <w:r>
              <w:rPr>
                <w:rFonts w:ascii="宋体" w:hAnsi="宋体" w:cs="Malgun Gothic"/>
                <w:b/>
                <w:sz w:val="18"/>
                <w:lang w:eastAsia="zh-CN"/>
              </w:rPr>
              <w:t>）</w:t>
            </w:r>
          </w:p>
        </w:tc>
        <w:tc>
          <w:tcPr>
            <w:tcW w:w="2400" w:type="dxa"/>
            <w:shd w:val="clear" w:color="auto" w:fill="auto"/>
          </w:tcPr>
          <w:p>
            <w:pPr>
              <w:spacing w:after="60"/>
              <w:jc w:val="center"/>
              <w:rPr>
                <w:sz w:val="18"/>
              </w:rPr>
            </w:pPr>
            <w:r>
              <w:rPr>
                <w:rFonts w:hint="eastAsia"/>
                <w:sz w:val="18"/>
                <w:lang w:val="en-US" w:eastAsia="zh-CN"/>
              </w:rPr>
              <w:t>年份</w:t>
            </w:r>
            <w:r>
              <w:rPr>
                <w:sz w:val="18"/>
              </w:rPr>
              <w:t>: 2020</w:t>
            </w:r>
          </w:p>
        </w:tc>
        <w:tc>
          <w:tcPr>
            <w:tcW w:w="2400" w:type="dxa"/>
            <w:shd w:val="clear" w:color="auto" w:fill="auto"/>
          </w:tcPr>
          <w:p>
            <w:pPr>
              <w:spacing w:after="60"/>
              <w:jc w:val="right"/>
              <w:rPr>
                <w:sz w:val="18"/>
              </w:rPr>
            </w:pPr>
            <w:r>
              <w:rPr>
                <w:sz w:val="18"/>
              </w:rPr>
              <w:t>188.41</w:t>
            </w:r>
            <w:r>
              <w:rPr>
                <w:sz w:val="18"/>
                <w:szCs w:val="18"/>
              </w:rPr>
              <w:t xml:space="preserve"> (ODP</w:t>
            </w:r>
            <w:r>
              <w:rPr>
                <w:rFonts w:hint="eastAsia"/>
                <w:sz w:val="18"/>
                <w:szCs w:val="18"/>
                <w:lang w:val="en-US" w:eastAsia="zh-CN"/>
              </w:rPr>
              <w:t>吨</w:t>
            </w:r>
            <w:r>
              <w:rPr>
                <w:sz w:val="18"/>
                <w:szCs w:val="18"/>
              </w:rPr>
              <w:t>)</w:t>
            </w:r>
          </w:p>
        </w:tc>
      </w:tr>
    </w:tbl>
    <w:p>
      <w:pPr>
        <w:jc w:val="center"/>
      </w:pPr>
    </w:p>
    <w:tbl>
      <w:tblPr>
        <w:tblStyle w:val="25"/>
        <w:tblW w:w="10522"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2"/>
        <w:gridCol w:w="786"/>
        <w:gridCol w:w="627"/>
        <w:gridCol w:w="997"/>
        <w:gridCol w:w="1287"/>
        <w:gridCol w:w="905"/>
        <w:gridCol w:w="767"/>
        <w:gridCol w:w="1041"/>
        <w:gridCol w:w="676"/>
        <w:gridCol w:w="17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8132" w:type="dxa"/>
            <w:gridSpan w:val="8"/>
            <w:shd w:val="clear" w:color="auto" w:fill="auto"/>
          </w:tcPr>
          <w:p>
            <w:pPr>
              <w:spacing w:after="60"/>
              <w:jc w:val="left"/>
              <w:rPr>
                <w:b/>
                <w:sz w:val="18"/>
              </w:rPr>
            </w:pPr>
            <w:r>
              <w:rPr>
                <w:rFonts w:ascii="宋体" w:hAnsi="宋体"/>
                <w:b/>
                <w:szCs w:val="20"/>
                <w:lang w:eastAsia="zh-CN"/>
              </w:rPr>
              <w:t xml:space="preserve">(3) </w:t>
            </w:r>
            <w:r>
              <w:rPr>
                <w:rFonts w:ascii="宋体" w:hAnsi="宋体" w:cs="Batang"/>
                <w:b/>
                <w:szCs w:val="20"/>
                <w:lang w:eastAsia="zh-CN"/>
              </w:rPr>
              <w:t>最新</w:t>
            </w:r>
            <w:r>
              <w:rPr>
                <w:rFonts w:ascii="宋体" w:hAnsi="宋体" w:cs="New Gulim"/>
                <w:b/>
                <w:szCs w:val="20"/>
                <w:lang w:eastAsia="zh-CN"/>
              </w:rPr>
              <w:t>国家计划</w:t>
            </w:r>
            <w:r>
              <w:rPr>
                <w:rFonts w:hint="eastAsia" w:ascii="宋体" w:hAnsi="宋体" w:cs="Batang"/>
                <w:b/>
                <w:szCs w:val="20"/>
                <w:lang w:eastAsia="zh-CN"/>
              </w:rPr>
              <w:t>的行业</w:t>
            </w:r>
            <w:r>
              <w:rPr>
                <w:rFonts w:ascii="宋体" w:hAnsi="宋体" w:cs="New Gulim"/>
                <w:b/>
                <w:szCs w:val="20"/>
                <w:lang w:eastAsia="zh-CN"/>
              </w:rPr>
              <w:t>数据</w:t>
            </w:r>
            <w:r>
              <w:rPr>
                <w:rFonts w:ascii="宋体" w:hAnsi="宋体"/>
                <w:b/>
                <w:szCs w:val="20"/>
                <w:lang w:eastAsia="zh-CN"/>
              </w:rPr>
              <w:t xml:space="preserve"> (ODP </w:t>
            </w:r>
            <w:r>
              <w:rPr>
                <w:rFonts w:hint="eastAsia" w:ascii="宋体" w:hAnsi="宋体" w:cs="New Gulim"/>
                <w:b/>
                <w:szCs w:val="20"/>
                <w:lang w:eastAsia="zh-CN"/>
              </w:rPr>
              <w:t>吨</w:t>
            </w:r>
            <w:r>
              <w:rPr>
                <w:rFonts w:ascii="宋体" w:hAnsi="宋体"/>
                <w:b/>
                <w:szCs w:val="20"/>
                <w:lang w:eastAsia="zh-CN"/>
              </w:rPr>
              <w:t>)</w:t>
            </w:r>
          </w:p>
        </w:tc>
        <w:tc>
          <w:tcPr>
            <w:tcW w:w="2390" w:type="dxa"/>
            <w:gridSpan w:val="2"/>
            <w:shd w:val="clear" w:color="auto" w:fill="auto"/>
          </w:tcPr>
          <w:p>
            <w:pPr>
              <w:suppressAutoHyphens/>
              <w:spacing w:after="60"/>
              <w:jc w:val="right"/>
              <w:rPr>
                <w:b/>
                <w:sz w:val="18"/>
              </w:rPr>
            </w:pPr>
            <w:r>
              <w:rPr>
                <w:rFonts w:hint="eastAsia"/>
                <w:b/>
                <w:sz w:val="18"/>
                <w:lang w:val="en-US" w:eastAsia="zh-CN"/>
              </w:rPr>
              <w:t>年份</w:t>
            </w:r>
            <w:r>
              <w:rPr>
                <w:b/>
                <w:sz w:val="18"/>
              </w:rPr>
              <w:t>: 2020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722" w:type="dxa"/>
            <w:shd w:val="clear" w:color="auto" w:fill="auto"/>
          </w:tcPr>
          <w:p>
            <w:pPr>
              <w:pStyle w:val="82"/>
              <w:numPr>
                <w:ilvl w:val="0"/>
                <w:numId w:val="0"/>
              </w:numPr>
              <w:spacing w:after="60"/>
              <w:jc w:val="center"/>
              <w:rPr>
                <w:sz w:val="18"/>
              </w:rPr>
            </w:pPr>
            <w:r>
              <w:rPr>
                <w:rFonts w:hint="eastAsia" w:ascii="宋体" w:hAnsi="宋体" w:cs="Batang"/>
                <w:szCs w:val="20"/>
                <w:lang w:eastAsia="zh-CN"/>
              </w:rPr>
              <w:t>化学品</w:t>
            </w:r>
          </w:p>
        </w:tc>
        <w:tc>
          <w:tcPr>
            <w:tcW w:w="786" w:type="dxa"/>
            <w:shd w:val="clear" w:color="auto" w:fill="auto"/>
          </w:tcPr>
          <w:p>
            <w:pPr>
              <w:pStyle w:val="82"/>
              <w:numPr>
                <w:ilvl w:val="0"/>
                <w:numId w:val="0"/>
              </w:numPr>
              <w:spacing w:after="60"/>
              <w:jc w:val="center"/>
              <w:rPr>
                <w:sz w:val="18"/>
              </w:rPr>
            </w:pPr>
            <w:r>
              <w:rPr>
                <w:rFonts w:ascii="宋体" w:hAnsi="宋体" w:cs="New Gulim"/>
                <w:szCs w:val="20"/>
              </w:rPr>
              <w:t>气雾剂</w:t>
            </w:r>
          </w:p>
        </w:tc>
        <w:tc>
          <w:tcPr>
            <w:tcW w:w="627" w:type="dxa"/>
            <w:shd w:val="clear" w:color="auto" w:fill="auto"/>
          </w:tcPr>
          <w:p>
            <w:pPr>
              <w:pStyle w:val="82"/>
              <w:numPr>
                <w:ilvl w:val="0"/>
                <w:numId w:val="0"/>
              </w:numPr>
              <w:spacing w:after="60"/>
              <w:jc w:val="center"/>
              <w:rPr>
                <w:sz w:val="18"/>
              </w:rPr>
            </w:pPr>
            <w:r>
              <w:rPr>
                <w:rFonts w:hint="eastAsia" w:ascii="宋体" w:hAnsi="宋体" w:cs="Batang"/>
                <w:szCs w:val="20"/>
                <w:lang w:eastAsia="zh-CN"/>
              </w:rPr>
              <w:t>泡沫</w:t>
            </w:r>
          </w:p>
        </w:tc>
        <w:tc>
          <w:tcPr>
            <w:tcW w:w="997" w:type="dxa"/>
            <w:shd w:val="clear" w:color="auto" w:fill="auto"/>
          </w:tcPr>
          <w:p>
            <w:pPr>
              <w:pStyle w:val="82"/>
              <w:numPr>
                <w:ilvl w:val="0"/>
                <w:numId w:val="0"/>
              </w:numPr>
              <w:spacing w:after="60"/>
              <w:jc w:val="center"/>
              <w:rPr>
                <w:sz w:val="18"/>
              </w:rPr>
            </w:pPr>
            <w:r>
              <w:rPr>
                <w:rFonts w:ascii="宋体" w:hAnsi="宋体" w:cs="Batang"/>
                <w:szCs w:val="20"/>
              </w:rPr>
              <w:t>消防</w:t>
            </w:r>
          </w:p>
        </w:tc>
        <w:tc>
          <w:tcPr>
            <w:tcW w:w="2192" w:type="dxa"/>
            <w:gridSpan w:val="2"/>
            <w:shd w:val="clear" w:color="auto" w:fill="auto"/>
          </w:tcPr>
          <w:p>
            <w:pPr>
              <w:pStyle w:val="82"/>
              <w:numPr>
                <w:ilvl w:val="0"/>
                <w:numId w:val="0"/>
              </w:numPr>
              <w:spacing w:after="60"/>
              <w:jc w:val="center"/>
              <w:rPr>
                <w:sz w:val="18"/>
              </w:rPr>
            </w:pPr>
            <w:r>
              <w:rPr>
                <w:rFonts w:hint="eastAsia" w:ascii="宋体" w:hAnsi="宋体" w:cs="Batang"/>
                <w:szCs w:val="20"/>
                <w:lang w:eastAsia="zh-CN"/>
              </w:rPr>
              <w:t>制冷</w:t>
            </w:r>
          </w:p>
        </w:tc>
        <w:tc>
          <w:tcPr>
            <w:tcW w:w="767" w:type="dxa"/>
            <w:shd w:val="clear" w:color="auto" w:fill="auto"/>
          </w:tcPr>
          <w:p>
            <w:pPr>
              <w:pStyle w:val="82"/>
              <w:numPr>
                <w:ilvl w:val="0"/>
                <w:numId w:val="0"/>
              </w:numPr>
              <w:spacing w:after="60"/>
              <w:jc w:val="center"/>
              <w:rPr>
                <w:sz w:val="18"/>
              </w:rPr>
            </w:pPr>
            <w:r>
              <w:rPr>
                <w:rFonts w:hint="eastAsia" w:ascii="宋体" w:hAnsi="宋体" w:cs="Batang"/>
                <w:szCs w:val="20"/>
                <w:lang w:eastAsia="zh-CN"/>
              </w:rPr>
              <w:t>溶剂</w:t>
            </w:r>
          </w:p>
        </w:tc>
        <w:tc>
          <w:tcPr>
            <w:tcW w:w="1041" w:type="dxa"/>
            <w:shd w:val="clear" w:color="auto" w:fill="auto"/>
          </w:tcPr>
          <w:p>
            <w:pPr>
              <w:pStyle w:val="82"/>
              <w:numPr>
                <w:ilvl w:val="0"/>
                <w:numId w:val="0"/>
              </w:numPr>
              <w:spacing w:after="60"/>
              <w:jc w:val="center"/>
              <w:rPr>
                <w:sz w:val="18"/>
              </w:rPr>
            </w:pPr>
            <w:r>
              <w:rPr>
                <w:rFonts w:ascii="宋体" w:hAnsi="宋体" w:cs="Batang"/>
                <w:szCs w:val="20"/>
              </w:rPr>
              <w:t>加工</w:t>
            </w:r>
            <w:r>
              <w:rPr>
                <w:rFonts w:ascii="宋体" w:hAnsi="宋体" w:cs="New Gulim"/>
                <w:szCs w:val="20"/>
              </w:rPr>
              <w:t>剂</w:t>
            </w:r>
          </w:p>
        </w:tc>
        <w:tc>
          <w:tcPr>
            <w:tcW w:w="676" w:type="dxa"/>
            <w:shd w:val="clear" w:color="auto" w:fill="auto"/>
          </w:tcPr>
          <w:p>
            <w:pPr>
              <w:pStyle w:val="82"/>
              <w:numPr>
                <w:ilvl w:val="0"/>
                <w:numId w:val="0"/>
              </w:numPr>
              <w:spacing w:after="60"/>
              <w:jc w:val="center"/>
              <w:rPr>
                <w:sz w:val="18"/>
              </w:rPr>
            </w:pPr>
            <w:r>
              <w:rPr>
                <w:rFonts w:hint="eastAsia"/>
                <w:sz w:val="18"/>
                <w:lang w:eastAsia="zh-CN"/>
              </w:rPr>
              <w:t>实验室使用</w:t>
            </w:r>
          </w:p>
        </w:tc>
        <w:tc>
          <w:tcPr>
            <w:tcW w:w="1714" w:type="dxa"/>
            <w:shd w:val="clear" w:color="auto" w:fill="auto"/>
          </w:tcPr>
          <w:p>
            <w:pPr>
              <w:pStyle w:val="82"/>
              <w:numPr>
                <w:ilvl w:val="0"/>
                <w:numId w:val="0"/>
              </w:numPr>
              <w:spacing w:after="60"/>
              <w:jc w:val="center"/>
              <w:rPr>
                <w:sz w:val="18"/>
              </w:rPr>
            </w:pPr>
            <w:r>
              <w:rPr>
                <w:rFonts w:ascii="宋体" w:hAnsi="宋体" w:cs="Batang"/>
                <w:szCs w:val="20"/>
              </w:rPr>
              <w:t>行</w:t>
            </w:r>
            <w:r>
              <w:rPr>
                <w:rFonts w:ascii="宋体" w:hAnsi="宋体" w:cs="New Gulim"/>
                <w:szCs w:val="20"/>
              </w:rPr>
              <w:t>业消费总量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4132" w:type="dxa"/>
            <w:gridSpan w:val="4"/>
            <w:shd w:val="clear" w:color="auto" w:fill="auto"/>
          </w:tcPr>
          <w:p>
            <w:pPr>
              <w:pStyle w:val="82"/>
              <w:numPr>
                <w:ilvl w:val="0"/>
                <w:numId w:val="0"/>
              </w:numPr>
              <w:spacing w:after="60"/>
              <w:jc w:val="center"/>
              <w:rPr>
                <w:sz w:val="18"/>
              </w:rPr>
            </w:pPr>
          </w:p>
        </w:tc>
        <w:tc>
          <w:tcPr>
            <w:tcW w:w="1287" w:type="dxa"/>
            <w:shd w:val="clear" w:color="auto" w:fill="auto"/>
          </w:tcPr>
          <w:p>
            <w:pPr>
              <w:pStyle w:val="82"/>
              <w:numPr>
                <w:ilvl w:val="0"/>
                <w:numId w:val="0"/>
              </w:numPr>
              <w:spacing w:after="60"/>
              <w:jc w:val="center"/>
              <w:rPr>
                <w:sz w:val="18"/>
              </w:rPr>
            </w:pPr>
            <w:r>
              <w:rPr>
                <w:rFonts w:hint="eastAsia" w:ascii="宋体" w:hAnsi="宋体" w:cs="Batang"/>
                <w:szCs w:val="20"/>
                <w:lang w:eastAsia="zh-CN"/>
              </w:rPr>
              <w:t>制造</w:t>
            </w:r>
          </w:p>
        </w:tc>
        <w:tc>
          <w:tcPr>
            <w:tcW w:w="905" w:type="dxa"/>
            <w:shd w:val="clear" w:color="auto" w:fill="auto"/>
          </w:tcPr>
          <w:p>
            <w:pPr>
              <w:pStyle w:val="82"/>
              <w:numPr>
                <w:ilvl w:val="0"/>
                <w:numId w:val="0"/>
              </w:numPr>
              <w:spacing w:after="60"/>
              <w:jc w:val="center"/>
              <w:rPr>
                <w:sz w:val="18"/>
              </w:rPr>
            </w:pPr>
            <w:r>
              <w:rPr>
                <w:rFonts w:hint="eastAsia" w:ascii="宋体" w:hAnsi="宋体" w:cs="New Gulim"/>
                <w:szCs w:val="20"/>
                <w:lang w:eastAsia="zh-CN"/>
              </w:rPr>
              <w:t>维修</w:t>
            </w:r>
          </w:p>
        </w:tc>
        <w:tc>
          <w:tcPr>
            <w:tcW w:w="4198" w:type="dxa"/>
            <w:gridSpan w:val="4"/>
            <w:shd w:val="clear" w:color="auto" w:fill="auto"/>
          </w:tcPr>
          <w:p>
            <w:pPr>
              <w:pStyle w:val="82"/>
              <w:numPr>
                <w:ilvl w:val="0"/>
                <w:numId w:val="0"/>
              </w:numPr>
              <w:spacing w:after="60"/>
              <w:jc w:val="center"/>
              <w:rPr>
                <w:sz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722" w:type="dxa"/>
            <w:shd w:val="clear" w:color="auto" w:fill="auto"/>
          </w:tcPr>
          <w:p>
            <w:pPr>
              <w:spacing w:after="60"/>
              <w:jc w:val="left"/>
              <w:rPr>
                <w:sz w:val="18"/>
              </w:rPr>
            </w:pPr>
            <w:r>
              <w:rPr>
                <w:sz w:val="18"/>
              </w:rPr>
              <w:t>HCFC-22</w:t>
            </w: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r>
              <w:rPr>
                <w:sz w:val="18"/>
              </w:rPr>
              <w:t>162.39</w:t>
            </w: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r>
              <w:rPr>
                <w:sz w:val="18"/>
              </w:rPr>
              <w:fldChar w:fldCharType="begin"/>
            </w:r>
            <w:r>
              <w:rPr>
                <w:sz w:val="18"/>
              </w:rPr>
              <w:instrText xml:space="preserve"> =SUM(LEFT) </w:instrText>
            </w:r>
            <w:r>
              <w:rPr>
                <w:sz w:val="18"/>
              </w:rPr>
              <w:fldChar w:fldCharType="separate"/>
            </w:r>
            <w:r>
              <w:rPr>
                <w:sz w:val="18"/>
              </w:rPr>
              <w:t>162.39</w:t>
            </w:r>
            <w:r>
              <w:rPr>
                <w:sz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722" w:type="dxa"/>
            <w:shd w:val="clear" w:color="auto" w:fill="auto"/>
          </w:tcPr>
          <w:p>
            <w:pPr>
              <w:spacing w:after="60"/>
              <w:jc w:val="left"/>
              <w:rPr>
                <w:sz w:val="18"/>
              </w:rPr>
            </w:pPr>
            <w:r>
              <w:rPr>
                <w:sz w:val="18"/>
              </w:rPr>
              <w:t>HCFC-123</w:t>
            </w: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r>
              <w:rPr>
                <w:sz w:val="18"/>
              </w:rPr>
              <w:t>0.76</w:t>
            </w: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r>
              <w:rPr>
                <w:sz w:val="18"/>
              </w:rPr>
              <w:t>1.06</w:t>
            </w: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r>
              <w:rPr>
                <w:sz w:val="18"/>
              </w:rPr>
              <w:t>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722" w:type="dxa"/>
            <w:shd w:val="clear" w:color="auto" w:fill="auto"/>
          </w:tcPr>
          <w:p>
            <w:pPr>
              <w:spacing w:after="60"/>
              <w:jc w:val="left"/>
              <w:rPr>
                <w:sz w:val="18"/>
              </w:rPr>
            </w:pPr>
            <w:r>
              <w:rPr>
                <w:sz w:val="18"/>
              </w:rPr>
              <w:t>HCFC-141b</w:t>
            </w: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r>
              <w:rPr>
                <w:sz w:val="18"/>
              </w:rPr>
              <w:t>24.20</w:t>
            </w: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p>
        </w:tc>
        <w:tc>
          <w:tcPr>
            <w:tcW w:w="0" w:type="auto"/>
            <w:shd w:val="clear" w:color="auto" w:fill="auto"/>
          </w:tcPr>
          <w:p>
            <w:pPr>
              <w:spacing w:after="60"/>
              <w:jc w:val="right"/>
              <w:rPr>
                <w:sz w:val="18"/>
              </w:rPr>
            </w:pPr>
            <w:r>
              <w:rPr>
                <w:sz w:val="18"/>
              </w:rPr>
              <w:fldChar w:fldCharType="begin"/>
            </w:r>
            <w:r>
              <w:rPr>
                <w:sz w:val="18"/>
              </w:rPr>
              <w:instrText xml:space="preserve"> =SUM(LEFT) </w:instrText>
            </w:r>
            <w:r>
              <w:rPr>
                <w:sz w:val="18"/>
              </w:rPr>
              <w:fldChar w:fldCharType="separate"/>
            </w:r>
            <w:r>
              <w:rPr>
                <w:sz w:val="18"/>
              </w:rPr>
              <w:t>24.2</w:t>
            </w:r>
            <w:r>
              <w:rPr>
                <w:sz w:val="18"/>
              </w:rPr>
              <w:fldChar w:fldCharType="end"/>
            </w:r>
            <w:r>
              <w:rPr>
                <w:sz w:val="18"/>
              </w:rPr>
              <w:t>0</w:t>
            </w:r>
          </w:p>
        </w:tc>
      </w:tr>
    </w:tbl>
    <w:p>
      <w:pPr>
        <w:jc w:val="center"/>
        <w:rPr>
          <w:sz w:val="10"/>
          <w:szCs w:val="10"/>
        </w:rPr>
      </w:pPr>
    </w:p>
    <w:tbl>
      <w:tblPr>
        <w:tblStyle w:val="25"/>
        <w:tblW w:w="10522" w:type="dxa"/>
        <w:tblInd w:w="-5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38"/>
        <w:gridCol w:w="1132"/>
        <w:gridCol w:w="3320"/>
        <w:gridCol w:w="11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0522" w:type="dxa"/>
            <w:gridSpan w:val="4"/>
            <w:shd w:val="clear" w:color="auto" w:fill="auto"/>
          </w:tcPr>
          <w:p>
            <w:pPr>
              <w:spacing w:after="60"/>
              <w:jc w:val="left"/>
              <w:rPr>
                <w:b/>
                <w:sz w:val="18"/>
              </w:rPr>
            </w:pPr>
            <w:r>
              <w:rPr>
                <w:rFonts w:ascii="宋体" w:hAnsi="宋体"/>
                <w:b/>
              </w:rPr>
              <w:t xml:space="preserve">(4) </w:t>
            </w:r>
            <w:r>
              <w:rPr>
                <w:rFonts w:hint="eastAsia" w:ascii="宋体" w:hAnsi="宋体" w:cs="Batang"/>
                <w:b/>
                <w:lang w:eastAsia="zh-CN"/>
              </w:rPr>
              <w:t>消费</w:t>
            </w:r>
            <w:r>
              <w:rPr>
                <w:rFonts w:ascii="宋体" w:hAnsi="宋体" w:cs="Batang"/>
                <w:b/>
                <w:lang w:eastAsia="zh-CN"/>
              </w:rPr>
              <w:t>数据</w:t>
            </w:r>
            <w:r>
              <w:rPr>
                <w:rFonts w:ascii="宋体" w:hAnsi="宋体"/>
                <w:b/>
              </w:rPr>
              <w:t xml:space="preserve"> (ODP </w:t>
            </w:r>
            <w:r>
              <w:rPr>
                <w:rFonts w:hint="eastAsia" w:ascii="宋体" w:hAnsi="宋体" w:cs="New Gulim"/>
                <w:b/>
                <w:lang w:eastAsia="zh-CN"/>
              </w:rPr>
              <w:t>吨</w:t>
            </w:r>
            <w:r>
              <w:rPr>
                <w:rFonts w:ascii="宋体" w:hAnsi="宋体"/>
                <w:b/>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102" w:type="dxa"/>
            <w:shd w:val="clear" w:color="auto" w:fill="auto"/>
          </w:tcPr>
          <w:p>
            <w:pPr>
              <w:spacing w:after="60"/>
              <w:jc w:val="center"/>
              <w:rPr>
                <w:sz w:val="18"/>
              </w:rPr>
            </w:pPr>
            <w:r>
              <w:rPr>
                <w:sz w:val="18"/>
              </w:rPr>
              <w:t>2009 - 2010</w:t>
            </w:r>
            <w:r>
              <w:rPr>
                <w:rFonts w:hint="eastAsia"/>
                <w:sz w:val="18"/>
                <w:szCs w:val="18"/>
                <w:lang w:val="en-US" w:eastAsia="zh-CN"/>
              </w:rPr>
              <w:t>年基准</w:t>
            </w:r>
            <w:r>
              <w:rPr>
                <w:sz w:val="18"/>
                <w:szCs w:val="18"/>
              </w:rPr>
              <w:t>:</w:t>
            </w:r>
          </w:p>
        </w:tc>
        <w:tc>
          <w:tcPr>
            <w:tcW w:w="0" w:type="auto"/>
            <w:shd w:val="clear" w:color="auto" w:fill="auto"/>
          </w:tcPr>
          <w:p>
            <w:pPr>
              <w:spacing w:after="60"/>
              <w:jc w:val="right"/>
              <w:rPr>
                <w:sz w:val="18"/>
              </w:rPr>
            </w:pPr>
            <w:r>
              <w:rPr>
                <w:sz w:val="18"/>
              </w:rPr>
              <w:t>403.9</w:t>
            </w:r>
          </w:p>
        </w:tc>
        <w:tc>
          <w:tcPr>
            <w:tcW w:w="0" w:type="auto"/>
            <w:shd w:val="clear" w:color="auto" w:fill="auto"/>
          </w:tcPr>
          <w:p>
            <w:pPr>
              <w:spacing w:after="60"/>
              <w:jc w:val="center"/>
              <w:rPr>
                <w:sz w:val="18"/>
              </w:rPr>
            </w:pPr>
            <w:r>
              <w:rPr>
                <w:rFonts w:ascii="宋体" w:hAnsi="宋体" w:cs="Batang"/>
              </w:rPr>
              <w:t>持</w:t>
            </w:r>
            <w:r>
              <w:rPr>
                <w:rFonts w:ascii="宋体" w:hAnsi="宋体" w:cs="New Gulim"/>
              </w:rPr>
              <w:t>续总体削减起点</w:t>
            </w:r>
            <w:r>
              <w:rPr>
                <w:rFonts w:ascii="宋体" w:hAnsi="宋体"/>
              </w:rPr>
              <w:t>:</w:t>
            </w:r>
          </w:p>
        </w:tc>
        <w:tc>
          <w:tcPr>
            <w:tcW w:w="0" w:type="auto"/>
            <w:shd w:val="clear" w:color="auto" w:fill="auto"/>
          </w:tcPr>
          <w:p>
            <w:pPr>
              <w:spacing w:after="60"/>
              <w:jc w:val="right"/>
              <w:rPr>
                <w:sz w:val="18"/>
              </w:rPr>
            </w:pPr>
            <w:r>
              <w:rPr>
                <w:sz w:val="18"/>
              </w:rPr>
              <w:t>403.9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10522" w:type="dxa"/>
            <w:gridSpan w:val="4"/>
            <w:shd w:val="clear" w:color="auto" w:fill="auto"/>
          </w:tcPr>
          <w:p>
            <w:pPr>
              <w:spacing w:after="60"/>
              <w:jc w:val="center"/>
              <w:rPr>
                <w:b/>
                <w:sz w:val="18"/>
              </w:rPr>
            </w:pPr>
            <w:r>
              <w:rPr>
                <w:rFonts w:hint="eastAsia"/>
                <w:b/>
                <w:sz w:val="18"/>
                <w:lang w:eastAsia="zh-CN"/>
              </w:rPr>
              <w:t>有资格获得供资的消费量</w:t>
            </w:r>
            <w:r>
              <w:rPr>
                <w:rFonts w:ascii="宋体" w:hAnsi="宋体"/>
                <w:b/>
                <w:lang w:eastAsia="zh-CN"/>
              </w:rPr>
              <w:t xml:space="preserve">(ODP </w:t>
            </w:r>
            <w:r>
              <w:rPr>
                <w:rFonts w:hint="eastAsia" w:ascii="宋体" w:hAnsi="宋体" w:cs="New Gulim"/>
                <w:b/>
                <w:lang w:eastAsia="zh-CN"/>
              </w:rPr>
              <w:t>吨</w:t>
            </w:r>
            <w:r>
              <w:rPr>
                <w:rFonts w:ascii="宋体" w:hAnsi="宋体"/>
                <w:b/>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102" w:type="dxa"/>
            <w:shd w:val="clear" w:color="auto" w:fill="auto"/>
          </w:tcPr>
          <w:p>
            <w:pPr>
              <w:spacing w:after="60"/>
              <w:jc w:val="center"/>
              <w:rPr>
                <w:sz w:val="18"/>
              </w:rPr>
            </w:pPr>
            <w:r>
              <w:rPr>
                <w:rFonts w:hint="eastAsia" w:ascii="宋体" w:hAnsi="宋体" w:cs="Batang"/>
                <w:lang w:eastAsia="zh-CN"/>
              </w:rPr>
              <w:t>已核准</w:t>
            </w:r>
            <w:r>
              <w:rPr>
                <w:rFonts w:ascii="宋体" w:hAnsi="宋体"/>
              </w:rPr>
              <w:t>:</w:t>
            </w:r>
          </w:p>
        </w:tc>
        <w:tc>
          <w:tcPr>
            <w:tcW w:w="0" w:type="auto"/>
            <w:shd w:val="clear" w:color="auto" w:fill="auto"/>
          </w:tcPr>
          <w:p>
            <w:pPr>
              <w:spacing w:after="60"/>
              <w:jc w:val="right"/>
              <w:rPr>
                <w:sz w:val="18"/>
              </w:rPr>
            </w:pPr>
            <w:r>
              <w:rPr>
                <w:sz w:val="18"/>
              </w:rPr>
              <w:t>219.33</w:t>
            </w:r>
          </w:p>
        </w:tc>
        <w:tc>
          <w:tcPr>
            <w:tcW w:w="0" w:type="auto"/>
            <w:shd w:val="clear" w:color="auto" w:fill="auto"/>
          </w:tcPr>
          <w:p>
            <w:pPr>
              <w:spacing w:after="60"/>
              <w:jc w:val="center"/>
              <w:rPr>
                <w:sz w:val="18"/>
              </w:rPr>
            </w:pPr>
            <w:r>
              <w:rPr>
                <w:rFonts w:hint="eastAsia" w:ascii="宋体" w:hAnsi="宋体" w:cs="Batang"/>
                <w:lang w:eastAsia="zh-CN"/>
              </w:rPr>
              <w:t>剩余</w:t>
            </w:r>
            <w:r>
              <w:rPr>
                <w:rFonts w:ascii="宋体" w:hAnsi="宋体"/>
              </w:rPr>
              <w:t>:</w:t>
            </w:r>
          </w:p>
        </w:tc>
        <w:tc>
          <w:tcPr>
            <w:tcW w:w="0" w:type="auto"/>
            <w:shd w:val="clear" w:color="auto" w:fill="auto"/>
          </w:tcPr>
          <w:p>
            <w:pPr>
              <w:spacing w:after="60"/>
              <w:jc w:val="right"/>
              <w:rPr>
                <w:sz w:val="18"/>
              </w:rPr>
            </w:pPr>
            <w:r>
              <w:rPr>
                <w:sz w:val="18"/>
              </w:rPr>
              <w:t>184.59</w:t>
            </w:r>
          </w:p>
        </w:tc>
      </w:tr>
    </w:tbl>
    <w:p>
      <w:pPr>
        <w:jc w:val="center"/>
        <w:rPr>
          <w:sz w:val="10"/>
          <w:szCs w:val="10"/>
        </w:rPr>
      </w:pPr>
    </w:p>
    <w:tbl>
      <w:tblPr>
        <w:tblStyle w:val="25"/>
        <w:tblpPr w:leftFromText="180" w:rightFromText="180" w:vertAnchor="text" w:horzAnchor="page" w:tblpX="902" w:tblpY="15"/>
        <w:tblW w:w="105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2"/>
        <w:gridCol w:w="3148"/>
        <w:gridCol w:w="1334"/>
        <w:gridCol w:w="1335"/>
        <w:gridCol w:w="1334"/>
        <w:gridCol w:w="1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5240" w:type="dxa"/>
            <w:gridSpan w:val="2"/>
            <w:shd w:val="clear" w:color="auto" w:fill="auto"/>
          </w:tcPr>
          <w:p>
            <w:pPr>
              <w:suppressAutoHyphens/>
              <w:spacing w:after="60"/>
              <w:jc w:val="left"/>
              <w:rPr>
                <w:b/>
                <w:sz w:val="18"/>
              </w:rPr>
            </w:pPr>
            <w:r>
              <w:rPr>
                <w:rFonts w:ascii="宋体" w:hAnsi="宋体"/>
                <w:b/>
              </w:rPr>
              <w:t xml:space="preserve">(5) </w:t>
            </w:r>
            <w:r>
              <w:rPr>
                <w:rFonts w:hint="eastAsia" w:ascii="宋体" w:hAnsi="宋体" w:cs="New Gulim"/>
                <w:b/>
                <w:lang w:eastAsia="zh-CN"/>
              </w:rPr>
              <w:t>业务</w:t>
            </w:r>
            <w:r>
              <w:rPr>
                <w:rFonts w:ascii="宋体" w:hAnsi="宋体" w:cs="Batang"/>
                <w:b/>
                <w:lang w:eastAsia="zh-CN"/>
              </w:rPr>
              <w:t>计划</w:t>
            </w:r>
          </w:p>
        </w:tc>
        <w:tc>
          <w:tcPr>
            <w:tcW w:w="1334" w:type="dxa"/>
            <w:shd w:val="clear" w:color="auto" w:fill="auto"/>
          </w:tcPr>
          <w:p>
            <w:pPr>
              <w:suppressAutoHyphens/>
              <w:spacing w:after="60"/>
              <w:jc w:val="center"/>
              <w:rPr>
                <w:b/>
                <w:sz w:val="18"/>
              </w:rPr>
            </w:pPr>
            <w:r>
              <w:rPr>
                <w:b/>
                <w:sz w:val="18"/>
                <w:szCs w:val="18"/>
              </w:rPr>
              <w:t>2021</w:t>
            </w:r>
            <w:r>
              <w:rPr>
                <w:rFonts w:hint="eastAsia"/>
                <w:b/>
                <w:sz w:val="18"/>
                <w:szCs w:val="18"/>
                <w:lang w:val="en-US" w:eastAsia="zh-CN"/>
              </w:rPr>
              <w:t>年</w:t>
            </w:r>
          </w:p>
        </w:tc>
        <w:tc>
          <w:tcPr>
            <w:tcW w:w="1335" w:type="dxa"/>
            <w:shd w:val="clear" w:color="auto" w:fill="auto"/>
          </w:tcPr>
          <w:p>
            <w:pPr>
              <w:suppressAutoHyphens/>
              <w:spacing w:after="60"/>
              <w:jc w:val="center"/>
              <w:rPr>
                <w:b/>
                <w:sz w:val="18"/>
              </w:rPr>
            </w:pPr>
            <w:r>
              <w:rPr>
                <w:b/>
                <w:sz w:val="18"/>
                <w:szCs w:val="18"/>
              </w:rPr>
              <w:t>2022</w:t>
            </w:r>
            <w:r>
              <w:rPr>
                <w:rFonts w:hint="eastAsia"/>
                <w:b/>
                <w:sz w:val="18"/>
                <w:szCs w:val="18"/>
                <w:lang w:val="en-US" w:eastAsia="zh-CN"/>
              </w:rPr>
              <w:t>年</w:t>
            </w:r>
          </w:p>
        </w:tc>
        <w:tc>
          <w:tcPr>
            <w:tcW w:w="1334" w:type="dxa"/>
            <w:shd w:val="clear" w:color="auto" w:fill="auto"/>
          </w:tcPr>
          <w:p>
            <w:pPr>
              <w:suppressAutoHyphens/>
              <w:spacing w:after="60"/>
              <w:jc w:val="center"/>
              <w:rPr>
                <w:b/>
                <w:sz w:val="18"/>
              </w:rPr>
            </w:pPr>
            <w:r>
              <w:rPr>
                <w:b/>
                <w:sz w:val="18"/>
                <w:szCs w:val="18"/>
              </w:rPr>
              <w:t>2023</w:t>
            </w:r>
            <w:r>
              <w:rPr>
                <w:rFonts w:hint="eastAsia"/>
                <w:b/>
                <w:sz w:val="18"/>
                <w:szCs w:val="18"/>
                <w:lang w:val="en-US" w:eastAsia="zh-CN"/>
              </w:rPr>
              <w:t>年</w:t>
            </w:r>
          </w:p>
        </w:tc>
        <w:tc>
          <w:tcPr>
            <w:tcW w:w="1335" w:type="dxa"/>
            <w:shd w:val="clear" w:color="auto" w:fill="auto"/>
          </w:tcPr>
          <w:p>
            <w:pPr>
              <w:suppressAutoHyphens/>
              <w:spacing w:after="60"/>
              <w:jc w:val="center"/>
              <w:rPr>
                <w:b/>
                <w:sz w:val="18"/>
              </w:rPr>
            </w:pPr>
            <w:r>
              <w:rPr>
                <w:rFonts w:hint="eastAsia"/>
                <w:b/>
                <w:sz w:val="18"/>
                <w:szCs w:val="18"/>
                <w:lang w:val="en-US"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2092" w:type="dxa"/>
            <w:vMerge w:val="restart"/>
            <w:shd w:val="clear" w:color="auto" w:fill="auto"/>
          </w:tcPr>
          <w:p>
            <w:pPr>
              <w:spacing w:after="60"/>
              <w:jc w:val="center"/>
              <w:rPr>
                <w:sz w:val="18"/>
              </w:rPr>
            </w:pPr>
            <w:r>
              <w:rPr>
                <w:rFonts w:hint="eastAsia"/>
                <w:sz w:val="18"/>
                <w:szCs w:val="18"/>
                <w:lang w:val="en-US" w:eastAsia="zh-CN"/>
              </w:rPr>
              <w:t>开发计划署</w:t>
            </w:r>
          </w:p>
        </w:tc>
        <w:tc>
          <w:tcPr>
            <w:tcW w:w="3148" w:type="dxa"/>
            <w:shd w:val="clear" w:color="auto" w:fill="auto"/>
          </w:tcPr>
          <w:p>
            <w:pPr>
              <w:pStyle w:val="82"/>
              <w:numPr>
                <w:ilvl w:val="0"/>
                <w:numId w:val="0"/>
              </w:numPr>
              <w:spacing w:after="60"/>
              <w:jc w:val="left"/>
              <w:rPr>
                <w:sz w:val="18"/>
              </w:rPr>
            </w:pPr>
            <w:r>
              <w:rPr>
                <w:rFonts w:ascii="宋体" w:hAnsi="宋体" w:cs="Batang"/>
                <w:lang w:eastAsia="zh-CN"/>
              </w:rPr>
              <w:t>消耗臭</w:t>
            </w:r>
            <w:r>
              <w:rPr>
                <w:rFonts w:ascii="宋体" w:hAnsi="宋体" w:cs="New Gulim"/>
                <w:lang w:eastAsia="zh-CN"/>
              </w:rPr>
              <w:t>氧层物质淘汰</w:t>
            </w:r>
            <w:r>
              <w:rPr>
                <w:rFonts w:ascii="宋体" w:hAnsi="宋体"/>
                <w:lang w:eastAsia="zh-CN"/>
              </w:rPr>
              <w:t xml:space="preserve"> (ODP </w:t>
            </w:r>
            <w:r>
              <w:rPr>
                <w:rFonts w:hint="eastAsia" w:ascii="宋体" w:hAnsi="宋体" w:cs="New Gulim"/>
                <w:lang w:eastAsia="zh-CN"/>
              </w:rPr>
              <w:t>吨</w:t>
            </w:r>
            <w:r>
              <w:rPr>
                <w:rFonts w:ascii="宋体" w:hAnsi="宋体"/>
                <w:lang w:eastAsia="zh-CN"/>
              </w:rPr>
              <w:t>)</w:t>
            </w:r>
          </w:p>
        </w:tc>
        <w:tc>
          <w:tcPr>
            <w:tcW w:w="1334" w:type="dxa"/>
            <w:shd w:val="clear" w:color="auto" w:fill="auto"/>
          </w:tcPr>
          <w:p>
            <w:pPr>
              <w:spacing w:after="60"/>
              <w:jc w:val="right"/>
              <w:rPr>
                <w:sz w:val="18"/>
              </w:rPr>
            </w:pPr>
            <w:r>
              <w:rPr>
                <w:sz w:val="18"/>
              </w:rPr>
              <w:t>6.37</w:t>
            </w:r>
          </w:p>
        </w:tc>
        <w:tc>
          <w:tcPr>
            <w:tcW w:w="1335" w:type="dxa"/>
            <w:shd w:val="clear" w:color="auto" w:fill="auto"/>
          </w:tcPr>
          <w:p>
            <w:pPr>
              <w:spacing w:after="60"/>
              <w:jc w:val="right"/>
              <w:rPr>
                <w:sz w:val="18"/>
              </w:rPr>
            </w:pPr>
            <w:r>
              <w:rPr>
                <w:sz w:val="18"/>
              </w:rPr>
              <w:t>0</w:t>
            </w:r>
          </w:p>
        </w:tc>
        <w:tc>
          <w:tcPr>
            <w:tcW w:w="1334" w:type="dxa"/>
            <w:shd w:val="clear" w:color="auto" w:fill="auto"/>
          </w:tcPr>
          <w:p>
            <w:pPr>
              <w:spacing w:after="60"/>
              <w:jc w:val="right"/>
              <w:rPr>
                <w:sz w:val="18"/>
              </w:rPr>
            </w:pPr>
            <w:r>
              <w:rPr>
                <w:sz w:val="18"/>
              </w:rPr>
              <w:t>4.40</w:t>
            </w:r>
          </w:p>
        </w:tc>
        <w:tc>
          <w:tcPr>
            <w:tcW w:w="1335" w:type="dxa"/>
            <w:shd w:val="clear" w:color="auto" w:fill="auto"/>
          </w:tcPr>
          <w:p>
            <w:pPr>
              <w:spacing w:after="60"/>
              <w:jc w:val="right"/>
              <w:rPr>
                <w:sz w:val="18"/>
              </w:rPr>
            </w:pPr>
            <w:r>
              <w:rPr>
                <w:sz w:val="18"/>
              </w:rPr>
              <w:fldChar w:fldCharType="begin"/>
            </w:r>
            <w:r>
              <w:rPr>
                <w:sz w:val="18"/>
              </w:rPr>
              <w:instrText xml:space="preserve"> =SUM(LEFT) </w:instrText>
            </w:r>
            <w:r>
              <w:rPr>
                <w:sz w:val="18"/>
              </w:rPr>
              <w:fldChar w:fldCharType="separate"/>
            </w:r>
            <w:r>
              <w:rPr>
                <w:sz w:val="18"/>
              </w:rPr>
              <w:t>10.77</w:t>
            </w:r>
            <w:r>
              <w:rPr>
                <w:sz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2092" w:type="dxa"/>
            <w:vMerge w:val="continue"/>
            <w:shd w:val="clear" w:color="auto" w:fill="auto"/>
          </w:tcPr>
          <w:p>
            <w:pPr>
              <w:spacing w:after="60"/>
              <w:jc w:val="center"/>
              <w:rPr>
                <w:sz w:val="18"/>
              </w:rPr>
            </w:pPr>
          </w:p>
        </w:tc>
        <w:tc>
          <w:tcPr>
            <w:tcW w:w="3148" w:type="dxa"/>
            <w:shd w:val="clear" w:color="auto" w:fill="auto"/>
          </w:tcPr>
          <w:p>
            <w:pPr>
              <w:pStyle w:val="82"/>
              <w:numPr>
                <w:ilvl w:val="0"/>
                <w:numId w:val="0"/>
              </w:numPr>
              <w:spacing w:after="60"/>
              <w:jc w:val="left"/>
              <w:rPr>
                <w:sz w:val="18"/>
              </w:rPr>
            </w:pPr>
            <w:r>
              <w:rPr>
                <w:rFonts w:hint="eastAsia" w:ascii="宋体" w:hAnsi="宋体" w:cs="Batang"/>
                <w:lang w:eastAsia="zh-CN"/>
              </w:rPr>
              <w:t>供资</w:t>
            </w:r>
            <w:r>
              <w:rPr>
                <w:rFonts w:ascii="宋体" w:hAnsi="宋体"/>
              </w:rPr>
              <w:t xml:space="preserve"> (</w:t>
            </w:r>
            <w:r>
              <w:rPr>
                <w:rFonts w:hint="eastAsia" w:ascii="宋体" w:hAnsi="宋体" w:cs="Batang"/>
                <w:lang w:eastAsia="zh-CN"/>
              </w:rPr>
              <w:t>美元</w:t>
            </w:r>
            <w:r>
              <w:rPr>
                <w:rFonts w:ascii="宋体" w:hAnsi="宋体"/>
              </w:rPr>
              <w:t>)</w:t>
            </w:r>
          </w:p>
        </w:tc>
        <w:tc>
          <w:tcPr>
            <w:tcW w:w="1334" w:type="dxa"/>
            <w:shd w:val="clear" w:color="auto" w:fill="auto"/>
          </w:tcPr>
          <w:p>
            <w:pPr>
              <w:spacing w:after="60"/>
              <w:jc w:val="right"/>
              <w:rPr>
                <w:sz w:val="18"/>
              </w:rPr>
            </w:pPr>
            <w:r>
              <w:rPr>
                <w:sz w:val="18"/>
              </w:rPr>
              <w:t>670,982</w:t>
            </w:r>
          </w:p>
        </w:tc>
        <w:tc>
          <w:tcPr>
            <w:tcW w:w="1335" w:type="dxa"/>
            <w:shd w:val="clear" w:color="auto" w:fill="auto"/>
          </w:tcPr>
          <w:p>
            <w:pPr>
              <w:spacing w:after="60"/>
              <w:jc w:val="right"/>
              <w:rPr>
                <w:sz w:val="18"/>
              </w:rPr>
            </w:pPr>
            <w:r>
              <w:rPr>
                <w:sz w:val="18"/>
              </w:rPr>
              <w:t>0</w:t>
            </w:r>
          </w:p>
        </w:tc>
        <w:tc>
          <w:tcPr>
            <w:tcW w:w="1334" w:type="dxa"/>
            <w:shd w:val="clear" w:color="auto" w:fill="auto"/>
          </w:tcPr>
          <w:p>
            <w:pPr>
              <w:spacing w:after="60"/>
              <w:jc w:val="right"/>
              <w:rPr>
                <w:sz w:val="18"/>
              </w:rPr>
            </w:pPr>
            <w:r>
              <w:rPr>
                <w:sz w:val="18"/>
              </w:rPr>
              <w:t>463,631</w:t>
            </w:r>
          </w:p>
        </w:tc>
        <w:tc>
          <w:tcPr>
            <w:tcW w:w="1335" w:type="dxa"/>
            <w:shd w:val="clear" w:color="auto" w:fill="auto"/>
          </w:tcPr>
          <w:p>
            <w:pPr>
              <w:spacing w:after="60"/>
              <w:jc w:val="right"/>
              <w:rPr>
                <w:sz w:val="18"/>
              </w:rPr>
            </w:pPr>
            <w:r>
              <w:rPr>
                <w:sz w:val="18"/>
              </w:rPr>
              <w:fldChar w:fldCharType="begin"/>
            </w:r>
            <w:r>
              <w:rPr>
                <w:sz w:val="18"/>
              </w:rPr>
              <w:instrText xml:space="preserve"> =SUM(left) </w:instrText>
            </w:r>
            <w:r>
              <w:rPr>
                <w:sz w:val="18"/>
              </w:rPr>
              <w:fldChar w:fldCharType="separate"/>
            </w:r>
            <w:r>
              <w:rPr>
                <w:sz w:val="18"/>
              </w:rPr>
              <w:t>1,134,613</w:t>
            </w:r>
            <w:r>
              <w:rPr>
                <w:sz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2092" w:type="dxa"/>
            <w:vMerge w:val="restart"/>
            <w:shd w:val="clear" w:color="auto" w:fill="auto"/>
          </w:tcPr>
          <w:p>
            <w:pPr>
              <w:spacing w:after="60"/>
              <w:jc w:val="center"/>
              <w:rPr>
                <w:sz w:val="18"/>
                <w:lang w:val="en-US" w:eastAsia="zh-CN"/>
              </w:rPr>
            </w:pPr>
            <w:r>
              <w:rPr>
                <w:rFonts w:hint="eastAsia"/>
                <w:sz w:val="18"/>
                <w:lang w:val="en-US" w:eastAsia="zh-CN"/>
              </w:rPr>
              <w:t>世界银行</w:t>
            </w:r>
          </w:p>
        </w:tc>
        <w:tc>
          <w:tcPr>
            <w:tcW w:w="3148" w:type="dxa"/>
            <w:shd w:val="clear" w:color="auto" w:fill="auto"/>
          </w:tcPr>
          <w:p>
            <w:pPr>
              <w:pStyle w:val="82"/>
              <w:numPr>
                <w:ilvl w:val="0"/>
                <w:numId w:val="0"/>
              </w:numPr>
              <w:spacing w:after="60"/>
              <w:jc w:val="left"/>
              <w:rPr>
                <w:sz w:val="18"/>
              </w:rPr>
            </w:pPr>
            <w:r>
              <w:rPr>
                <w:rFonts w:ascii="宋体" w:hAnsi="宋体" w:cs="Batang"/>
                <w:lang w:eastAsia="zh-CN"/>
              </w:rPr>
              <w:t>消耗臭</w:t>
            </w:r>
            <w:r>
              <w:rPr>
                <w:rFonts w:ascii="宋体" w:hAnsi="宋体" w:cs="New Gulim"/>
                <w:lang w:eastAsia="zh-CN"/>
              </w:rPr>
              <w:t>氧层物质淘汰</w:t>
            </w:r>
            <w:r>
              <w:rPr>
                <w:rFonts w:ascii="宋体" w:hAnsi="宋体"/>
                <w:lang w:eastAsia="zh-CN"/>
              </w:rPr>
              <w:t xml:space="preserve"> (ODP </w:t>
            </w:r>
            <w:r>
              <w:rPr>
                <w:rFonts w:hint="eastAsia" w:ascii="宋体" w:hAnsi="宋体" w:cs="New Gulim"/>
                <w:lang w:eastAsia="zh-CN"/>
              </w:rPr>
              <w:t>吨</w:t>
            </w:r>
            <w:r>
              <w:rPr>
                <w:rFonts w:ascii="宋体" w:hAnsi="宋体"/>
                <w:lang w:eastAsia="zh-CN"/>
              </w:rPr>
              <w:t>)</w:t>
            </w:r>
          </w:p>
        </w:tc>
        <w:tc>
          <w:tcPr>
            <w:tcW w:w="1334" w:type="dxa"/>
            <w:shd w:val="clear" w:color="auto" w:fill="auto"/>
          </w:tcPr>
          <w:p>
            <w:pPr>
              <w:spacing w:after="60"/>
              <w:jc w:val="right"/>
              <w:rPr>
                <w:sz w:val="18"/>
              </w:rPr>
            </w:pPr>
            <w:r>
              <w:rPr>
                <w:sz w:val="18"/>
              </w:rPr>
              <w:t>10.09</w:t>
            </w:r>
          </w:p>
        </w:tc>
        <w:tc>
          <w:tcPr>
            <w:tcW w:w="1335" w:type="dxa"/>
            <w:shd w:val="clear" w:color="auto" w:fill="auto"/>
          </w:tcPr>
          <w:p>
            <w:pPr>
              <w:spacing w:after="60"/>
              <w:jc w:val="right"/>
              <w:rPr>
                <w:sz w:val="18"/>
              </w:rPr>
            </w:pPr>
            <w:r>
              <w:rPr>
                <w:sz w:val="18"/>
              </w:rPr>
              <w:t>0</w:t>
            </w:r>
          </w:p>
        </w:tc>
        <w:tc>
          <w:tcPr>
            <w:tcW w:w="1334" w:type="dxa"/>
            <w:shd w:val="clear" w:color="auto" w:fill="auto"/>
          </w:tcPr>
          <w:p>
            <w:pPr>
              <w:spacing w:after="60"/>
              <w:jc w:val="right"/>
              <w:rPr>
                <w:sz w:val="18"/>
              </w:rPr>
            </w:pPr>
            <w:r>
              <w:rPr>
                <w:sz w:val="18"/>
              </w:rPr>
              <w:t>0</w:t>
            </w:r>
          </w:p>
        </w:tc>
        <w:tc>
          <w:tcPr>
            <w:tcW w:w="1335" w:type="dxa"/>
            <w:shd w:val="clear" w:color="auto" w:fill="auto"/>
          </w:tcPr>
          <w:p>
            <w:pPr>
              <w:spacing w:after="60"/>
              <w:jc w:val="right"/>
              <w:rPr>
                <w:sz w:val="18"/>
              </w:rPr>
            </w:pPr>
            <w:r>
              <w:rPr>
                <w:sz w:val="18"/>
              </w:rPr>
              <w:fldChar w:fldCharType="begin"/>
            </w:r>
            <w:r>
              <w:rPr>
                <w:sz w:val="18"/>
              </w:rPr>
              <w:instrText xml:space="preserve"> =SUM(left) </w:instrText>
            </w:r>
            <w:r>
              <w:rPr>
                <w:sz w:val="18"/>
              </w:rPr>
              <w:fldChar w:fldCharType="separate"/>
            </w:r>
            <w:r>
              <w:rPr>
                <w:sz w:val="18"/>
              </w:rPr>
              <w:t>10.09</w:t>
            </w:r>
            <w:r>
              <w:rPr>
                <w:sz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2092" w:type="dxa"/>
            <w:vMerge w:val="continue"/>
            <w:shd w:val="clear" w:color="auto" w:fill="auto"/>
          </w:tcPr>
          <w:p>
            <w:pPr>
              <w:spacing w:after="60"/>
              <w:jc w:val="center"/>
              <w:rPr>
                <w:sz w:val="18"/>
              </w:rPr>
            </w:pPr>
          </w:p>
        </w:tc>
        <w:tc>
          <w:tcPr>
            <w:tcW w:w="3148" w:type="dxa"/>
            <w:shd w:val="clear" w:color="auto" w:fill="auto"/>
          </w:tcPr>
          <w:p>
            <w:pPr>
              <w:pStyle w:val="82"/>
              <w:numPr>
                <w:ilvl w:val="0"/>
                <w:numId w:val="0"/>
              </w:numPr>
              <w:spacing w:after="60"/>
              <w:jc w:val="left"/>
              <w:rPr>
                <w:sz w:val="18"/>
              </w:rPr>
            </w:pPr>
            <w:r>
              <w:rPr>
                <w:rFonts w:hint="eastAsia" w:ascii="宋体" w:hAnsi="宋体" w:cs="Batang"/>
                <w:lang w:eastAsia="zh-CN"/>
              </w:rPr>
              <w:t>供资</w:t>
            </w:r>
            <w:r>
              <w:rPr>
                <w:rFonts w:ascii="宋体" w:hAnsi="宋体"/>
              </w:rPr>
              <w:t xml:space="preserve"> (</w:t>
            </w:r>
            <w:r>
              <w:rPr>
                <w:rFonts w:hint="eastAsia" w:ascii="宋体" w:hAnsi="宋体" w:cs="Batang"/>
                <w:lang w:eastAsia="zh-CN"/>
              </w:rPr>
              <w:t>美元</w:t>
            </w:r>
            <w:r>
              <w:rPr>
                <w:rFonts w:ascii="宋体" w:hAnsi="宋体"/>
              </w:rPr>
              <w:t>)</w:t>
            </w:r>
          </w:p>
        </w:tc>
        <w:tc>
          <w:tcPr>
            <w:tcW w:w="1334" w:type="dxa"/>
            <w:shd w:val="clear" w:color="auto" w:fill="auto"/>
          </w:tcPr>
          <w:p>
            <w:pPr>
              <w:spacing w:after="60"/>
              <w:jc w:val="right"/>
              <w:rPr>
                <w:sz w:val="18"/>
              </w:rPr>
            </w:pPr>
            <w:r>
              <w:rPr>
                <w:sz w:val="18"/>
              </w:rPr>
              <w:t>1,062,372</w:t>
            </w:r>
          </w:p>
        </w:tc>
        <w:tc>
          <w:tcPr>
            <w:tcW w:w="1335" w:type="dxa"/>
            <w:shd w:val="clear" w:color="auto" w:fill="auto"/>
          </w:tcPr>
          <w:p>
            <w:pPr>
              <w:spacing w:after="60"/>
              <w:jc w:val="right"/>
              <w:rPr>
                <w:sz w:val="18"/>
              </w:rPr>
            </w:pPr>
            <w:r>
              <w:rPr>
                <w:sz w:val="18"/>
              </w:rPr>
              <w:t>0</w:t>
            </w:r>
          </w:p>
        </w:tc>
        <w:tc>
          <w:tcPr>
            <w:tcW w:w="1334" w:type="dxa"/>
            <w:shd w:val="clear" w:color="auto" w:fill="auto"/>
          </w:tcPr>
          <w:p>
            <w:pPr>
              <w:spacing w:after="60"/>
              <w:jc w:val="right"/>
              <w:rPr>
                <w:sz w:val="18"/>
              </w:rPr>
            </w:pPr>
            <w:r>
              <w:rPr>
                <w:sz w:val="18"/>
              </w:rPr>
              <w:t>0</w:t>
            </w:r>
          </w:p>
        </w:tc>
        <w:tc>
          <w:tcPr>
            <w:tcW w:w="1335" w:type="dxa"/>
            <w:shd w:val="clear" w:color="auto" w:fill="auto"/>
          </w:tcPr>
          <w:p>
            <w:pPr>
              <w:spacing w:after="60"/>
              <w:jc w:val="right"/>
              <w:rPr>
                <w:sz w:val="18"/>
              </w:rPr>
            </w:pPr>
            <w:r>
              <w:rPr>
                <w:sz w:val="18"/>
              </w:rPr>
              <w:fldChar w:fldCharType="begin"/>
            </w:r>
            <w:r>
              <w:rPr>
                <w:sz w:val="18"/>
              </w:rPr>
              <w:instrText xml:space="preserve"> =SUM(left) </w:instrText>
            </w:r>
            <w:r>
              <w:rPr>
                <w:sz w:val="18"/>
              </w:rPr>
              <w:fldChar w:fldCharType="separate"/>
            </w:r>
            <w:r>
              <w:rPr>
                <w:sz w:val="18"/>
              </w:rPr>
              <w:t>1,062,372</w:t>
            </w:r>
            <w:r>
              <w:rPr>
                <w:sz w:val="18"/>
              </w:rPr>
              <w:fldChar w:fldCharType="end"/>
            </w:r>
          </w:p>
        </w:tc>
      </w:tr>
    </w:tbl>
    <w:p>
      <w:pPr>
        <w:jc w:val="center"/>
        <w:rPr>
          <w:sz w:val="10"/>
          <w:szCs w:val="10"/>
        </w:rPr>
      </w:pPr>
    </w:p>
    <w:tbl>
      <w:tblPr>
        <w:tblStyle w:val="25"/>
        <w:tblpPr w:leftFromText="180" w:rightFromText="180" w:vertAnchor="text" w:horzAnchor="page" w:tblpX="901" w:tblpY="76"/>
        <w:tblW w:w="105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7"/>
        <w:gridCol w:w="778"/>
        <w:gridCol w:w="1275"/>
        <w:gridCol w:w="931"/>
        <w:gridCol w:w="770"/>
        <w:gridCol w:w="966"/>
        <w:gridCol w:w="797"/>
        <w:gridCol w:w="784"/>
        <w:gridCol w:w="938"/>
        <w:gridCol w:w="784"/>
        <w:gridCol w:w="770"/>
        <w:gridCol w:w="100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gridSpan w:val="3"/>
            <w:shd w:val="clear" w:color="auto" w:fill="auto"/>
          </w:tcPr>
          <w:p>
            <w:pPr>
              <w:spacing w:after="60"/>
              <w:jc w:val="left"/>
              <w:rPr>
                <w:b/>
                <w:sz w:val="18"/>
              </w:rPr>
            </w:pPr>
            <w:r>
              <w:rPr>
                <w:rFonts w:ascii="宋体" w:hAnsi="宋体"/>
                <w:b/>
              </w:rPr>
              <w:t xml:space="preserve">(6) </w:t>
            </w:r>
            <w:r>
              <w:rPr>
                <w:rFonts w:hint="eastAsia" w:ascii="宋体" w:hAnsi="宋体" w:cs="New Gulim"/>
                <w:b/>
                <w:lang w:eastAsia="zh-CN"/>
              </w:rPr>
              <w:t>项目</w:t>
            </w:r>
            <w:r>
              <w:rPr>
                <w:rFonts w:ascii="宋体" w:hAnsi="宋体" w:cs="New Gulim"/>
                <w:b/>
                <w:lang w:eastAsia="zh-CN"/>
              </w:rPr>
              <w:t>数</w:t>
            </w:r>
            <w:r>
              <w:rPr>
                <w:rFonts w:hint="eastAsia" w:ascii="宋体" w:hAnsi="宋体" w:cs="New Gulim"/>
                <w:b/>
                <w:lang w:eastAsia="zh-CN"/>
              </w:rPr>
              <w:t>据</w:t>
            </w:r>
          </w:p>
        </w:tc>
        <w:tc>
          <w:tcPr>
            <w:tcW w:w="931" w:type="dxa"/>
            <w:shd w:val="clear" w:color="auto" w:fill="auto"/>
          </w:tcPr>
          <w:p>
            <w:pPr>
              <w:spacing w:after="60"/>
              <w:jc w:val="center"/>
              <w:rPr>
                <w:b/>
                <w:sz w:val="18"/>
                <w:lang w:val="en-US" w:eastAsia="zh-CN"/>
              </w:rPr>
            </w:pPr>
            <w:r>
              <w:rPr>
                <w:b/>
                <w:sz w:val="18"/>
              </w:rPr>
              <w:t>2016</w:t>
            </w:r>
            <w:r>
              <w:rPr>
                <w:rFonts w:hint="eastAsia"/>
                <w:b/>
                <w:sz w:val="18"/>
                <w:lang w:val="en-US" w:eastAsia="zh-CN"/>
              </w:rPr>
              <w:t>年</w:t>
            </w:r>
          </w:p>
        </w:tc>
        <w:tc>
          <w:tcPr>
            <w:tcW w:w="770" w:type="dxa"/>
            <w:shd w:val="clear" w:color="auto" w:fill="auto"/>
          </w:tcPr>
          <w:p>
            <w:pPr>
              <w:spacing w:after="60"/>
              <w:jc w:val="center"/>
              <w:rPr>
                <w:b/>
                <w:sz w:val="18"/>
                <w:lang w:val="en-US" w:eastAsia="zh-CN"/>
              </w:rPr>
            </w:pPr>
            <w:r>
              <w:rPr>
                <w:b/>
                <w:sz w:val="18"/>
              </w:rPr>
              <w:t>2017</w:t>
            </w:r>
            <w:r>
              <w:rPr>
                <w:rFonts w:hint="eastAsia"/>
                <w:b/>
                <w:sz w:val="18"/>
                <w:lang w:val="en-US" w:eastAsia="zh-CN"/>
              </w:rPr>
              <w:t>年</w:t>
            </w:r>
          </w:p>
        </w:tc>
        <w:tc>
          <w:tcPr>
            <w:tcW w:w="966" w:type="dxa"/>
            <w:shd w:val="clear" w:color="auto" w:fill="auto"/>
          </w:tcPr>
          <w:p>
            <w:pPr>
              <w:spacing w:after="60"/>
              <w:jc w:val="center"/>
              <w:rPr>
                <w:b/>
                <w:sz w:val="18"/>
                <w:lang w:val="en-US" w:eastAsia="zh-CN"/>
              </w:rPr>
            </w:pPr>
            <w:r>
              <w:rPr>
                <w:b/>
                <w:sz w:val="18"/>
              </w:rPr>
              <w:t>2018</w:t>
            </w:r>
            <w:r>
              <w:rPr>
                <w:rFonts w:hint="eastAsia"/>
                <w:b/>
                <w:sz w:val="18"/>
                <w:lang w:val="en-US" w:eastAsia="zh-CN"/>
              </w:rPr>
              <w:t>年</w:t>
            </w:r>
          </w:p>
        </w:tc>
        <w:tc>
          <w:tcPr>
            <w:tcW w:w="797" w:type="dxa"/>
            <w:shd w:val="clear" w:color="auto" w:fill="auto"/>
          </w:tcPr>
          <w:p>
            <w:pPr>
              <w:spacing w:after="60"/>
              <w:jc w:val="center"/>
              <w:rPr>
                <w:b/>
                <w:sz w:val="18"/>
                <w:lang w:val="en-US" w:eastAsia="zh-CN"/>
              </w:rPr>
            </w:pPr>
            <w:r>
              <w:rPr>
                <w:b/>
                <w:sz w:val="18"/>
              </w:rPr>
              <w:t>2019</w:t>
            </w:r>
            <w:r>
              <w:rPr>
                <w:rFonts w:hint="eastAsia"/>
                <w:b/>
                <w:sz w:val="18"/>
                <w:lang w:val="en-US" w:eastAsia="zh-CN"/>
              </w:rPr>
              <w:t>年</w:t>
            </w:r>
          </w:p>
        </w:tc>
        <w:tc>
          <w:tcPr>
            <w:tcW w:w="784" w:type="dxa"/>
            <w:shd w:val="clear" w:color="auto" w:fill="auto"/>
          </w:tcPr>
          <w:p>
            <w:pPr>
              <w:spacing w:after="60"/>
              <w:jc w:val="center"/>
              <w:rPr>
                <w:b/>
                <w:sz w:val="18"/>
                <w:lang w:val="en-US" w:eastAsia="zh-CN"/>
              </w:rPr>
            </w:pPr>
            <w:r>
              <w:rPr>
                <w:b/>
                <w:sz w:val="18"/>
              </w:rPr>
              <w:t>2020</w:t>
            </w:r>
            <w:r>
              <w:rPr>
                <w:rFonts w:hint="eastAsia"/>
                <w:b/>
                <w:sz w:val="18"/>
                <w:lang w:val="en-US" w:eastAsia="zh-CN"/>
              </w:rPr>
              <w:t>年</w:t>
            </w:r>
          </w:p>
        </w:tc>
        <w:tc>
          <w:tcPr>
            <w:tcW w:w="938" w:type="dxa"/>
            <w:shd w:val="clear" w:color="auto" w:fill="auto"/>
          </w:tcPr>
          <w:p>
            <w:pPr>
              <w:spacing w:after="60"/>
              <w:jc w:val="center"/>
              <w:rPr>
                <w:b/>
                <w:sz w:val="18"/>
                <w:lang w:val="en-US" w:eastAsia="zh-CN"/>
              </w:rPr>
            </w:pPr>
            <w:r>
              <w:rPr>
                <w:b/>
                <w:sz w:val="18"/>
              </w:rPr>
              <w:t>2021</w:t>
            </w:r>
            <w:r>
              <w:rPr>
                <w:rFonts w:hint="eastAsia"/>
                <w:b/>
                <w:sz w:val="18"/>
                <w:lang w:val="en-US" w:eastAsia="zh-CN"/>
              </w:rPr>
              <w:t>年</w:t>
            </w:r>
          </w:p>
        </w:tc>
        <w:tc>
          <w:tcPr>
            <w:tcW w:w="784" w:type="dxa"/>
            <w:shd w:val="clear" w:color="auto" w:fill="auto"/>
          </w:tcPr>
          <w:p>
            <w:pPr>
              <w:spacing w:after="60"/>
              <w:jc w:val="center"/>
              <w:rPr>
                <w:b/>
                <w:sz w:val="18"/>
                <w:lang w:val="en-US" w:eastAsia="zh-CN"/>
              </w:rPr>
            </w:pPr>
            <w:r>
              <w:rPr>
                <w:b/>
                <w:sz w:val="18"/>
              </w:rPr>
              <w:t>2022</w:t>
            </w:r>
            <w:r>
              <w:rPr>
                <w:rFonts w:hint="eastAsia"/>
                <w:b/>
                <w:sz w:val="18"/>
                <w:lang w:val="en-US" w:eastAsia="zh-CN"/>
              </w:rPr>
              <w:t>年</w:t>
            </w:r>
          </w:p>
        </w:tc>
        <w:tc>
          <w:tcPr>
            <w:tcW w:w="770" w:type="dxa"/>
            <w:shd w:val="clear" w:color="auto" w:fill="auto"/>
          </w:tcPr>
          <w:p>
            <w:pPr>
              <w:spacing w:after="60"/>
              <w:jc w:val="center"/>
              <w:rPr>
                <w:b/>
                <w:sz w:val="18"/>
                <w:lang w:val="en-US" w:eastAsia="zh-CN"/>
              </w:rPr>
            </w:pPr>
            <w:r>
              <w:rPr>
                <w:b/>
                <w:sz w:val="18"/>
              </w:rPr>
              <w:t>2023</w:t>
            </w:r>
            <w:r>
              <w:rPr>
                <w:rFonts w:hint="eastAsia"/>
                <w:b/>
                <w:sz w:val="18"/>
                <w:lang w:val="en-US" w:eastAsia="zh-CN"/>
              </w:rPr>
              <w:t>年</w:t>
            </w:r>
          </w:p>
        </w:tc>
        <w:tc>
          <w:tcPr>
            <w:tcW w:w="1008" w:type="dxa"/>
            <w:shd w:val="clear" w:color="auto" w:fill="auto"/>
          </w:tcPr>
          <w:p>
            <w:pPr>
              <w:spacing w:after="60"/>
              <w:jc w:val="center"/>
              <w:rPr>
                <w:b/>
                <w:sz w:val="18"/>
                <w:lang w:eastAsia="zh-CN"/>
              </w:rPr>
            </w:pPr>
            <w:r>
              <w:rPr>
                <w:rFonts w:hint="eastAsia"/>
                <w:b/>
                <w:sz w:val="18"/>
                <w:lang w:val="en-US" w:eastAsia="zh-CN"/>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30" w:type="dxa"/>
            <w:gridSpan w:val="3"/>
            <w:shd w:val="clear" w:color="auto" w:fill="auto"/>
          </w:tcPr>
          <w:p>
            <w:pPr>
              <w:pStyle w:val="82"/>
              <w:numPr>
                <w:ilvl w:val="0"/>
                <w:numId w:val="0"/>
              </w:numPr>
              <w:spacing w:after="60"/>
              <w:jc w:val="left"/>
              <w:rPr>
                <w:sz w:val="18"/>
              </w:rPr>
            </w:pPr>
            <w:r>
              <w:rPr>
                <w:rFonts w:hint="eastAsia" w:ascii="宋体" w:hAnsi="宋体" w:cs="Batang"/>
                <w:lang w:eastAsia="zh-CN"/>
              </w:rPr>
              <w:t>《蒙特利尔议定书》消费限量</w:t>
            </w:r>
          </w:p>
        </w:tc>
        <w:tc>
          <w:tcPr>
            <w:tcW w:w="931" w:type="dxa"/>
            <w:shd w:val="clear" w:color="auto" w:fill="auto"/>
            <w:tcMar>
              <w:left w:w="85" w:type="dxa"/>
              <w:right w:w="85" w:type="dxa"/>
            </w:tcMar>
          </w:tcPr>
          <w:p>
            <w:pPr>
              <w:keepNext/>
              <w:keepLines/>
              <w:jc w:val="right"/>
              <w:rPr>
                <w:sz w:val="18"/>
                <w:szCs w:val="18"/>
              </w:rPr>
            </w:pPr>
            <w:r>
              <w:rPr>
                <w:sz w:val="18"/>
                <w:szCs w:val="18"/>
              </w:rPr>
              <w:t>363.51</w:t>
            </w:r>
          </w:p>
        </w:tc>
        <w:tc>
          <w:tcPr>
            <w:tcW w:w="770" w:type="dxa"/>
            <w:shd w:val="clear" w:color="auto" w:fill="auto"/>
            <w:tcMar>
              <w:left w:w="85" w:type="dxa"/>
              <w:right w:w="85" w:type="dxa"/>
            </w:tcMar>
          </w:tcPr>
          <w:p>
            <w:pPr>
              <w:keepNext/>
              <w:keepLines/>
              <w:jc w:val="right"/>
              <w:rPr>
                <w:sz w:val="18"/>
                <w:szCs w:val="18"/>
              </w:rPr>
            </w:pPr>
            <w:r>
              <w:rPr>
                <w:sz w:val="18"/>
                <w:szCs w:val="18"/>
              </w:rPr>
              <w:t>363.51</w:t>
            </w:r>
          </w:p>
        </w:tc>
        <w:tc>
          <w:tcPr>
            <w:tcW w:w="966" w:type="dxa"/>
            <w:shd w:val="clear" w:color="auto" w:fill="auto"/>
            <w:tcMar>
              <w:left w:w="85" w:type="dxa"/>
              <w:right w:w="85" w:type="dxa"/>
            </w:tcMar>
          </w:tcPr>
          <w:p>
            <w:pPr>
              <w:keepNext/>
              <w:keepLines/>
              <w:jc w:val="right"/>
              <w:rPr>
                <w:sz w:val="18"/>
                <w:szCs w:val="18"/>
              </w:rPr>
            </w:pPr>
            <w:r>
              <w:rPr>
                <w:sz w:val="18"/>
                <w:szCs w:val="18"/>
              </w:rPr>
              <w:t>363.51</w:t>
            </w:r>
          </w:p>
        </w:tc>
        <w:tc>
          <w:tcPr>
            <w:tcW w:w="797" w:type="dxa"/>
            <w:shd w:val="clear" w:color="auto" w:fill="auto"/>
            <w:tcMar>
              <w:left w:w="85" w:type="dxa"/>
              <w:right w:w="85" w:type="dxa"/>
            </w:tcMar>
          </w:tcPr>
          <w:p>
            <w:pPr>
              <w:keepNext/>
              <w:keepLines/>
              <w:jc w:val="right"/>
              <w:rPr>
                <w:sz w:val="18"/>
                <w:szCs w:val="18"/>
              </w:rPr>
            </w:pPr>
            <w:r>
              <w:rPr>
                <w:sz w:val="18"/>
                <w:szCs w:val="18"/>
              </w:rPr>
              <w:t>363.51</w:t>
            </w:r>
          </w:p>
        </w:tc>
        <w:tc>
          <w:tcPr>
            <w:tcW w:w="784" w:type="dxa"/>
            <w:shd w:val="clear" w:color="auto" w:fill="auto"/>
            <w:tcMar>
              <w:left w:w="85" w:type="dxa"/>
              <w:right w:w="85" w:type="dxa"/>
            </w:tcMar>
          </w:tcPr>
          <w:p>
            <w:pPr>
              <w:keepNext/>
              <w:keepLines/>
              <w:jc w:val="right"/>
              <w:rPr>
                <w:sz w:val="18"/>
                <w:szCs w:val="18"/>
              </w:rPr>
            </w:pPr>
            <w:r>
              <w:rPr>
                <w:sz w:val="18"/>
                <w:szCs w:val="18"/>
              </w:rPr>
              <w:t>262.54</w:t>
            </w:r>
          </w:p>
        </w:tc>
        <w:tc>
          <w:tcPr>
            <w:tcW w:w="938" w:type="dxa"/>
            <w:shd w:val="clear" w:color="auto" w:fill="auto"/>
            <w:tcMar>
              <w:left w:w="85" w:type="dxa"/>
              <w:right w:w="85" w:type="dxa"/>
            </w:tcMar>
          </w:tcPr>
          <w:p>
            <w:pPr>
              <w:keepNext/>
              <w:keepLines/>
              <w:jc w:val="right"/>
              <w:rPr>
                <w:sz w:val="18"/>
                <w:szCs w:val="18"/>
              </w:rPr>
            </w:pPr>
            <w:r>
              <w:rPr>
                <w:sz w:val="18"/>
                <w:szCs w:val="18"/>
              </w:rPr>
              <w:t>262.54</w:t>
            </w:r>
          </w:p>
        </w:tc>
        <w:tc>
          <w:tcPr>
            <w:tcW w:w="784" w:type="dxa"/>
            <w:shd w:val="clear" w:color="auto" w:fill="auto"/>
            <w:tcMar>
              <w:left w:w="85" w:type="dxa"/>
              <w:right w:w="85" w:type="dxa"/>
            </w:tcMar>
          </w:tcPr>
          <w:p>
            <w:pPr>
              <w:keepNext/>
              <w:keepLines/>
              <w:jc w:val="right"/>
              <w:rPr>
                <w:sz w:val="18"/>
                <w:szCs w:val="18"/>
              </w:rPr>
            </w:pPr>
            <w:r>
              <w:rPr>
                <w:sz w:val="18"/>
                <w:szCs w:val="18"/>
              </w:rPr>
              <w:t>262.54</w:t>
            </w:r>
          </w:p>
        </w:tc>
        <w:tc>
          <w:tcPr>
            <w:tcW w:w="770" w:type="dxa"/>
            <w:shd w:val="clear" w:color="auto" w:fill="auto"/>
            <w:tcMar>
              <w:left w:w="85" w:type="dxa"/>
              <w:right w:w="85" w:type="dxa"/>
            </w:tcMar>
          </w:tcPr>
          <w:p>
            <w:pPr>
              <w:keepNext/>
              <w:keepLines/>
              <w:jc w:val="right"/>
              <w:rPr>
                <w:sz w:val="18"/>
                <w:szCs w:val="18"/>
              </w:rPr>
            </w:pPr>
            <w:r>
              <w:rPr>
                <w:sz w:val="18"/>
                <w:szCs w:val="18"/>
              </w:rPr>
              <w:t>262.54</w:t>
            </w:r>
          </w:p>
        </w:tc>
        <w:tc>
          <w:tcPr>
            <w:tcW w:w="1008" w:type="dxa"/>
            <w:shd w:val="clear" w:color="auto" w:fill="auto"/>
            <w:tcMar>
              <w:left w:w="85" w:type="dxa"/>
              <w:right w:w="85" w:type="dxa"/>
            </w:tcMar>
          </w:tcPr>
          <w:p>
            <w:pPr>
              <w:keepNext/>
              <w:keepLines/>
              <w:jc w:val="right"/>
              <w:rPr>
                <w:sz w:val="18"/>
                <w:szCs w:val="18"/>
              </w:rPr>
            </w:pPr>
            <w:r>
              <w:rPr>
                <w:sz w:val="18"/>
                <w:szCs w:val="18"/>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 w:hRule="atLeast"/>
        </w:trPr>
        <w:tc>
          <w:tcPr>
            <w:tcW w:w="2830" w:type="dxa"/>
            <w:gridSpan w:val="3"/>
            <w:shd w:val="clear" w:color="auto" w:fill="auto"/>
          </w:tcPr>
          <w:p>
            <w:pPr>
              <w:pStyle w:val="82"/>
              <w:numPr>
                <w:ilvl w:val="0"/>
                <w:numId w:val="0"/>
              </w:numPr>
              <w:spacing w:after="60"/>
              <w:jc w:val="left"/>
              <w:rPr>
                <w:sz w:val="18"/>
              </w:rPr>
            </w:pPr>
            <w:r>
              <w:rPr>
                <w:rFonts w:ascii="宋体" w:hAnsi="宋体" w:cs="Batang"/>
                <w:lang w:eastAsia="zh-CN"/>
              </w:rPr>
              <w:t>最大允</w:t>
            </w:r>
            <w:r>
              <w:rPr>
                <w:rFonts w:ascii="宋体" w:hAnsi="宋体" w:cs="New Gulim"/>
                <w:lang w:eastAsia="zh-CN"/>
              </w:rPr>
              <w:t>许消耗</w:t>
            </w:r>
            <w:r>
              <w:rPr>
                <w:rFonts w:hint="eastAsia" w:ascii="宋体" w:hAnsi="宋体" w:cs="New Gulim"/>
                <w:lang w:eastAsia="zh-CN"/>
              </w:rPr>
              <w:t>量</w:t>
            </w:r>
            <w:r>
              <w:rPr>
                <w:rFonts w:ascii="宋体" w:hAnsi="宋体"/>
                <w:lang w:eastAsia="zh-CN"/>
              </w:rPr>
              <w:t xml:space="preserve"> (ODP </w:t>
            </w:r>
            <w:r>
              <w:rPr>
                <w:rFonts w:hint="eastAsia" w:ascii="宋体" w:hAnsi="宋体" w:cs="New Gulim"/>
                <w:lang w:eastAsia="zh-CN"/>
              </w:rPr>
              <w:t>吨</w:t>
            </w:r>
            <w:r>
              <w:rPr>
                <w:rFonts w:ascii="宋体" w:hAnsi="宋体"/>
                <w:lang w:eastAsia="zh-CN"/>
              </w:rPr>
              <w:t>)</w:t>
            </w:r>
          </w:p>
        </w:tc>
        <w:tc>
          <w:tcPr>
            <w:tcW w:w="931" w:type="dxa"/>
            <w:shd w:val="clear" w:color="auto" w:fill="auto"/>
            <w:tcMar>
              <w:left w:w="85" w:type="dxa"/>
              <w:right w:w="85" w:type="dxa"/>
            </w:tcMar>
          </w:tcPr>
          <w:p>
            <w:pPr>
              <w:keepNext/>
              <w:keepLines/>
              <w:jc w:val="right"/>
              <w:rPr>
                <w:sz w:val="18"/>
                <w:szCs w:val="18"/>
              </w:rPr>
            </w:pPr>
            <w:r>
              <w:rPr>
                <w:sz w:val="18"/>
                <w:szCs w:val="18"/>
              </w:rPr>
              <w:t>363.51</w:t>
            </w:r>
          </w:p>
        </w:tc>
        <w:tc>
          <w:tcPr>
            <w:tcW w:w="770" w:type="dxa"/>
            <w:shd w:val="clear" w:color="auto" w:fill="auto"/>
            <w:tcMar>
              <w:left w:w="85" w:type="dxa"/>
              <w:right w:w="85" w:type="dxa"/>
            </w:tcMar>
          </w:tcPr>
          <w:p>
            <w:pPr>
              <w:keepNext/>
              <w:keepLines/>
              <w:jc w:val="right"/>
              <w:rPr>
                <w:sz w:val="18"/>
                <w:szCs w:val="18"/>
              </w:rPr>
            </w:pPr>
            <w:r>
              <w:rPr>
                <w:sz w:val="18"/>
                <w:szCs w:val="18"/>
              </w:rPr>
              <w:t>363.51</w:t>
            </w:r>
          </w:p>
        </w:tc>
        <w:tc>
          <w:tcPr>
            <w:tcW w:w="966" w:type="dxa"/>
            <w:shd w:val="clear" w:color="auto" w:fill="auto"/>
            <w:tcMar>
              <w:left w:w="85" w:type="dxa"/>
              <w:right w:w="85" w:type="dxa"/>
            </w:tcMar>
          </w:tcPr>
          <w:p>
            <w:pPr>
              <w:keepNext/>
              <w:keepLines/>
              <w:jc w:val="right"/>
              <w:rPr>
                <w:sz w:val="18"/>
                <w:szCs w:val="18"/>
              </w:rPr>
            </w:pPr>
            <w:r>
              <w:rPr>
                <w:sz w:val="18"/>
                <w:szCs w:val="18"/>
              </w:rPr>
              <w:t>323.12</w:t>
            </w:r>
          </w:p>
        </w:tc>
        <w:tc>
          <w:tcPr>
            <w:tcW w:w="797" w:type="dxa"/>
            <w:shd w:val="clear" w:color="auto" w:fill="auto"/>
            <w:tcMar>
              <w:left w:w="85" w:type="dxa"/>
              <w:right w:w="85" w:type="dxa"/>
            </w:tcMar>
          </w:tcPr>
          <w:p>
            <w:pPr>
              <w:keepNext/>
              <w:keepLines/>
              <w:jc w:val="right"/>
              <w:rPr>
                <w:sz w:val="18"/>
                <w:szCs w:val="18"/>
              </w:rPr>
            </w:pPr>
            <w:r>
              <w:rPr>
                <w:sz w:val="18"/>
                <w:szCs w:val="18"/>
              </w:rPr>
              <w:t>323.12</w:t>
            </w:r>
          </w:p>
        </w:tc>
        <w:tc>
          <w:tcPr>
            <w:tcW w:w="784" w:type="dxa"/>
            <w:shd w:val="clear" w:color="auto" w:fill="auto"/>
            <w:tcMar>
              <w:left w:w="85" w:type="dxa"/>
              <w:right w:w="85" w:type="dxa"/>
            </w:tcMar>
          </w:tcPr>
          <w:p>
            <w:pPr>
              <w:keepNext/>
              <w:keepLines/>
              <w:jc w:val="right"/>
              <w:rPr>
                <w:sz w:val="18"/>
                <w:szCs w:val="18"/>
              </w:rPr>
            </w:pPr>
            <w:r>
              <w:rPr>
                <w:sz w:val="18"/>
                <w:szCs w:val="18"/>
              </w:rPr>
              <w:t>252.44</w:t>
            </w:r>
          </w:p>
        </w:tc>
        <w:tc>
          <w:tcPr>
            <w:tcW w:w="938" w:type="dxa"/>
            <w:shd w:val="clear" w:color="auto" w:fill="auto"/>
            <w:tcMar>
              <w:left w:w="85" w:type="dxa"/>
              <w:right w:w="85" w:type="dxa"/>
            </w:tcMar>
          </w:tcPr>
          <w:p>
            <w:pPr>
              <w:keepNext/>
              <w:keepLines/>
              <w:jc w:val="right"/>
              <w:rPr>
                <w:sz w:val="18"/>
                <w:szCs w:val="18"/>
              </w:rPr>
            </w:pPr>
            <w:r>
              <w:rPr>
                <w:sz w:val="18"/>
                <w:szCs w:val="18"/>
              </w:rPr>
              <w:t>252.44</w:t>
            </w:r>
          </w:p>
        </w:tc>
        <w:tc>
          <w:tcPr>
            <w:tcW w:w="784" w:type="dxa"/>
            <w:shd w:val="clear" w:color="auto" w:fill="auto"/>
            <w:tcMar>
              <w:left w:w="85" w:type="dxa"/>
              <w:right w:w="85" w:type="dxa"/>
            </w:tcMar>
          </w:tcPr>
          <w:p>
            <w:pPr>
              <w:keepNext/>
              <w:keepLines/>
              <w:jc w:val="right"/>
              <w:rPr>
                <w:sz w:val="18"/>
                <w:szCs w:val="18"/>
              </w:rPr>
            </w:pPr>
            <w:r>
              <w:rPr>
                <w:sz w:val="18"/>
                <w:szCs w:val="18"/>
              </w:rPr>
              <w:t>252.44</w:t>
            </w:r>
          </w:p>
        </w:tc>
        <w:tc>
          <w:tcPr>
            <w:tcW w:w="770" w:type="dxa"/>
            <w:shd w:val="clear" w:color="auto" w:fill="auto"/>
            <w:tcMar>
              <w:left w:w="85" w:type="dxa"/>
              <w:right w:w="85" w:type="dxa"/>
            </w:tcMar>
          </w:tcPr>
          <w:p>
            <w:pPr>
              <w:keepNext/>
              <w:keepLines/>
              <w:jc w:val="right"/>
              <w:rPr>
                <w:sz w:val="18"/>
                <w:szCs w:val="18"/>
              </w:rPr>
            </w:pPr>
            <w:r>
              <w:rPr>
                <w:sz w:val="18"/>
                <w:szCs w:val="18"/>
              </w:rPr>
              <w:t>181.76</w:t>
            </w:r>
          </w:p>
        </w:tc>
        <w:tc>
          <w:tcPr>
            <w:tcW w:w="1008" w:type="dxa"/>
            <w:shd w:val="clear" w:color="auto" w:fill="auto"/>
            <w:tcMar>
              <w:left w:w="85" w:type="dxa"/>
              <w:right w:w="85" w:type="dxa"/>
            </w:tcMar>
          </w:tcPr>
          <w:p>
            <w:pPr>
              <w:keepNext/>
              <w:keepLines/>
              <w:jc w:val="right"/>
              <w:rPr>
                <w:sz w:val="18"/>
                <w:szCs w:val="18"/>
              </w:rPr>
            </w:pPr>
            <w:r>
              <w:rPr>
                <w:sz w:val="18"/>
                <w:szCs w:val="18"/>
              </w:rPr>
              <w:t>n/a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Merge w:val="restart"/>
            <w:shd w:val="clear" w:color="auto" w:fill="auto"/>
          </w:tcPr>
          <w:p>
            <w:pPr>
              <w:spacing w:after="60"/>
              <w:jc w:val="left"/>
              <w:rPr>
                <w:sz w:val="18"/>
              </w:rPr>
            </w:pPr>
            <w:r>
              <w:rPr>
                <w:rFonts w:hint="eastAsia" w:ascii="宋体" w:hAnsi="宋体" w:cs="Batang"/>
                <w:lang w:eastAsia="zh-CN"/>
              </w:rPr>
              <w:t>商定供</w:t>
            </w:r>
            <w:r>
              <w:rPr>
                <w:rFonts w:ascii="宋体" w:hAnsi="宋体" w:cs="New Gulim"/>
                <w:lang w:eastAsia="zh-CN"/>
              </w:rPr>
              <w:t>资</w:t>
            </w:r>
            <w:r>
              <w:rPr>
                <w:rFonts w:ascii="宋体" w:hAnsi="宋体"/>
              </w:rPr>
              <w:t xml:space="preserve"> (</w:t>
            </w:r>
            <w:r>
              <w:rPr>
                <w:rFonts w:hint="eastAsia" w:ascii="宋体" w:hAnsi="宋体" w:cs="Batang"/>
                <w:lang w:eastAsia="zh-CN"/>
              </w:rPr>
              <w:t>美元</w:t>
            </w:r>
            <w:r>
              <w:rPr>
                <w:rFonts w:ascii="宋体" w:hAnsi="宋体"/>
              </w:rPr>
              <w:t>)</w:t>
            </w:r>
          </w:p>
        </w:tc>
        <w:tc>
          <w:tcPr>
            <w:tcW w:w="778" w:type="dxa"/>
            <w:vMerge w:val="restart"/>
            <w:shd w:val="clear" w:color="auto" w:fill="auto"/>
          </w:tcPr>
          <w:p>
            <w:pPr>
              <w:spacing w:after="60"/>
              <w:jc w:val="center"/>
              <w:rPr>
                <w:sz w:val="18"/>
              </w:rPr>
            </w:pPr>
            <w:r>
              <w:rPr>
                <w:rFonts w:hint="eastAsia"/>
                <w:sz w:val="18"/>
                <w:szCs w:val="18"/>
                <w:lang w:val="en-US" w:eastAsia="zh-CN"/>
              </w:rPr>
              <w:t>开发计划署</w:t>
            </w:r>
          </w:p>
        </w:tc>
        <w:tc>
          <w:tcPr>
            <w:tcW w:w="1275" w:type="dxa"/>
            <w:shd w:val="clear" w:color="auto" w:fill="auto"/>
          </w:tcPr>
          <w:p>
            <w:pPr>
              <w:pStyle w:val="82"/>
              <w:numPr>
                <w:ilvl w:val="0"/>
                <w:numId w:val="0"/>
              </w:numPr>
              <w:spacing w:after="60"/>
              <w:jc w:val="left"/>
              <w:rPr>
                <w:sz w:val="18"/>
              </w:rPr>
            </w:pPr>
            <w:r>
              <w:rPr>
                <w:rFonts w:ascii="宋体" w:hAnsi="宋体" w:cs="New Gulim"/>
              </w:rPr>
              <w:t>项目费用</w:t>
            </w:r>
          </w:p>
        </w:tc>
        <w:tc>
          <w:tcPr>
            <w:tcW w:w="931" w:type="dxa"/>
            <w:shd w:val="clear" w:color="auto" w:fill="auto"/>
            <w:tcMar>
              <w:left w:w="85" w:type="dxa"/>
              <w:right w:w="85" w:type="dxa"/>
            </w:tcMar>
          </w:tcPr>
          <w:p>
            <w:pPr>
              <w:keepNext/>
              <w:keepLines/>
              <w:jc w:val="right"/>
              <w:rPr>
                <w:sz w:val="18"/>
                <w:szCs w:val="18"/>
              </w:rPr>
            </w:pPr>
            <w:r>
              <w:rPr>
                <w:sz w:val="18"/>
                <w:szCs w:val="18"/>
              </w:rPr>
              <w:t>2,233,114</w:t>
            </w:r>
          </w:p>
        </w:tc>
        <w:tc>
          <w:tcPr>
            <w:tcW w:w="770" w:type="dxa"/>
            <w:shd w:val="clear" w:color="auto" w:fill="auto"/>
            <w:tcMar>
              <w:left w:w="85" w:type="dxa"/>
              <w:right w:w="85" w:type="dxa"/>
            </w:tcMar>
          </w:tcPr>
          <w:p>
            <w:pPr>
              <w:keepNext/>
              <w:keepLines/>
              <w:jc w:val="right"/>
              <w:rPr>
                <w:sz w:val="18"/>
                <w:szCs w:val="18"/>
              </w:rPr>
            </w:pPr>
            <w:r>
              <w:rPr>
                <w:sz w:val="18"/>
                <w:szCs w:val="18"/>
              </w:rPr>
              <w:t>0</w:t>
            </w:r>
          </w:p>
        </w:tc>
        <w:tc>
          <w:tcPr>
            <w:tcW w:w="966" w:type="dxa"/>
            <w:shd w:val="clear" w:color="auto" w:fill="auto"/>
            <w:tcMar>
              <w:left w:w="85" w:type="dxa"/>
              <w:right w:w="85" w:type="dxa"/>
            </w:tcMar>
          </w:tcPr>
          <w:p>
            <w:pPr>
              <w:keepNext/>
              <w:keepLines/>
              <w:jc w:val="right"/>
              <w:rPr>
                <w:sz w:val="18"/>
                <w:szCs w:val="18"/>
              </w:rPr>
            </w:pPr>
            <w:r>
              <w:rPr>
                <w:sz w:val="18"/>
                <w:szCs w:val="18"/>
              </w:rPr>
              <w:t>753,500</w:t>
            </w:r>
          </w:p>
        </w:tc>
        <w:tc>
          <w:tcPr>
            <w:tcW w:w="797" w:type="dxa"/>
            <w:shd w:val="clear" w:color="auto" w:fill="auto"/>
            <w:tcMar>
              <w:left w:w="85" w:type="dxa"/>
              <w:right w:w="85" w:type="dxa"/>
            </w:tcMar>
          </w:tcPr>
          <w:p>
            <w:pPr>
              <w:keepNext/>
              <w:keepLines/>
              <w:jc w:val="right"/>
              <w:rPr>
                <w:sz w:val="18"/>
                <w:szCs w:val="18"/>
              </w:rPr>
            </w:pPr>
            <w:r>
              <w:rPr>
                <w:sz w:val="18"/>
                <w:szCs w:val="18"/>
              </w:rPr>
              <w:t>0</w:t>
            </w:r>
          </w:p>
        </w:tc>
        <w:tc>
          <w:tcPr>
            <w:tcW w:w="784" w:type="dxa"/>
            <w:shd w:val="clear" w:color="auto" w:fill="auto"/>
            <w:tcMar>
              <w:left w:w="85" w:type="dxa"/>
              <w:right w:w="85" w:type="dxa"/>
            </w:tcMar>
          </w:tcPr>
          <w:p>
            <w:pPr>
              <w:keepNext/>
              <w:keepLines/>
              <w:jc w:val="right"/>
              <w:rPr>
                <w:sz w:val="18"/>
                <w:szCs w:val="18"/>
              </w:rPr>
            </w:pPr>
            <w:r>
              <w:rPr>
                <w:sz w:val="18"/>
                <w:szCs w:val="18"/>
              </w:rPr>
              <w:t>0</w:t>
            </w:r>
          </w:p>
        </w:tc>
        <w:tc>
          <w:tcPr>
            <w:tcW w:w="938" w:type="dxa"/>
            <w:shd w:val="clear" w:color="auto" w:fill="auto"/>
            <w:tcMar>
              <w:left w:w="85" w:type="dxa"/>
              <w:right w:w="85" w:type="dxa"/>
            </w:tcMar>
          </w:tcPr>
          <w:p>
            <w:pPr>
              <w:keepNext/>
              <w:keepLines/>
              <w:jc w:val="right"/>
              <w:rPr>
                <w:sz w:val="18"/>
                <w:szCs w:val="18"/>
              </w:rPr>
            </w:pPr>
            <w:r>
              <w:rPr>
                <w:sz w:val="18"/>
                <w:szCs w:val="18"/>
              </w:rPr>
              <w:t>627,086</w:t>
            </w:r>
          </w:p>
        </w:tc>
        <w:tc>
          <w:tcPr>
            <w:tcW w:w="784" w:type="dxa"/>
            <w:shd w:val="clear" w:color="auto" w:fill="auto"/>
            <w:tcMar>
              <w:left w:w="85" w:type="dxa"/>
              <w:right w:w="85" w:type="dxa"/>
            </w:tcMar>
          </w:tcPr>
          <w:p>
            <w:pPr>
              <w:keepNext/>
              <w:keepLines/>
              <w:jc w:val="right"/>
              <w:rPr>
                <w:sz w:val="18"/>
                <w:szCs w:val="18"/>
              </w:rPr>
            </w:pPr>
            <w:r>
              <w:rPr>
                <w:sz w:val="18"/>
                <w:szCs w:val="18"/>
              </w:rPr>
              <w:t>0</w:t>
            </w:r>
          </w:p>
        </w:tc>
        <w:tc>
          <w:tcPr>
            <w:tcW w:w="770" w:type="dxa"/>
            <w:shd w:val="clear" w:color="auto" w:fill="auto"/>
            <w:tcMar>
              <w:left w:w="85" w:type="dxa"/>
              <w:right w:w="85" w:type="dxa"/>
            </w:tcMar>
          </w:tcPr>
          <w:p>
            <w:pPr>
              <w:keepNext/>
              <w:keepLines/>
              <w:jc w:val="right"/>
              <w:rPr>
                <w:sz w:val="18"/>
                <w:szCs w:val="18"/>
              </w:rPr>
            </w:pPr>
            <w:r>
              <w:rPr>
                <w:sz w:val="18"/>
                <w:szCs w:val="18"/>
              </w:rPr>
              <w:t>433,300</w:t>
            </w:r>
          </w:p>
        </w:tc>
        <w:tc>
          <w:tcPr>
            <w:tcW w:w="1008" w:type="dxa"/>
            <w:shd w:val="clear" w:color="auto" w:fill="auto"/>
            <w:tcMar>
              <w:left w:w="85" w:type="dxa"/>
              <w:right w:w="85" w:type="dxa"/>
            </w:tcMar>
          </w:tcPr>
          <w:p>
            <w:pPr>
              <w:keepNext/>
              <w:keepLines/>
              <w:jc w:val="right"/>
              <w:rPr>
                <w:sz w:val="18"/>
                <w:szCs w:val="18"/>
              </w:rPr>
            </w:pPr>
            <w:r>
              <w:rPr>
                <w:sz w:val="18"/>
                <w:szCs w:val="18"/>
              </w:rPr>
              <w:t>4,047,000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Merge w:val="continue"/>
            <w:shd w:val="clear" w:color="auto" w:fill="auto"/>
          </w:tcPr>
          <w:p>
            <w:pPr>
              <w:spacing w:after="60"/>
              <w:jc w:val="center"/>
              <w:rPr>
                <w:sz w:val="18"/>
              </w:rPr>
            </w:pPr>
          </w:p>
        </w:tc>
        <w:tc>
          <w:tcPr>
            <w:tcW w:w="778" w:type="dxa"/>
            <w:vMerge w:val="continue"/>
            <w:shd w:val="clear" w:color="auto" w:fill="auto"/>
          </w:tcPr>
          <w:p>
            <w:pPr>
              <w:spacing w:after="60"/>
              <w:jc w:val="center"/>
              <w:rPr>
                <w:sz w:val="18"/>
              </w:rPr>
            </w:pPr>
          </w:p>
        </w:tc>
        <w:tc>
          <w:tcPr>
            <w:tcW w:w="1275" w:type="dxa"/>
            <w:shd w:val="clear" w:color="auto" w:fill="auto"/>
          </w:tcPr>
          <w:p>
            <w:pPr>
              <w:pStyle w:val="82"/>
              <w:numPr>
                <w:ilvl w:val="0"/>
                <w:numId w:val="0"/>
              </w:numPr>
              <w:spacing w:after="60"/>
              <w:jc w:val="left"/>
              <w:rPr>
                <w:sz w:val="18"/>
              </w:rPr>
            </w:pPr>
            <w:r>
              <w:rPr>
                <w:rFonts w:hint="eastAsia" w:ascii="宋体" w:hAnsi="宋体" w:cs="Batang"/>
                <w:lang w:eastAsia="zh-CN"/>
              </w:rPr>
              <w:t>支持</w:t>
            </w:r>
            <w:r>
              <w:rPr>
                <w:rFonts w:ascii="宋体" w:hAnsi="宋体" w:cs="New Gulim"/>
              </w:rPr>
              <w:t>费用</w:t>
            </w:r>
          </w:p>
        </w:tc>
        <w:tc>
          <w:tcPr>
            <w:tcW w:w="931" w:type="dxa"/>
            <w:shd w:val="clear" w:color="auto" w:fill="auto"/>
            <w:tcMar>
              <w:left w:w="85" w:type="dxa"/>
              <w:right w:w="85" w:type="dxa"/>
            </w:tcMar>
          </w:tcPr>
          <w:p>
            <w:pPr>
              <w:jc w:val="right"/>
              <w:rPr>
                <w:rFonts w:ascii="Calibri" w:hAnsi="Calibri"/>
                <w:sz w:val="18"/>
                <w:szCs w:val="18"/>
              </w:rPr>
            </w:pPr>
            <w:r>
              <w:rPr>
                <w:color w:val="000000"/>
                <w:sz w:val="18"/>
                <w:szCs w:val="18"/>
              </w:rPr>
              <w:t>156,318</w:t>
            </w:r>
          </w:p>
        </w:tc>
        <w:tc>
          <w:tcPr>
            <w:tcW w:w="770"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966" w:type="dxa"/>
            <w:shd w:val="clear" w:color="auto" w:fill="auto"/>
            <w:tcMar>
              <w:left w:w="85" w:type="dxa"/>
              <w:right w:w="85" w:type="dxa"/>
            </w:tcMar>
          </w:tcPr>
          <w:p>
            <w:pPr>
              <w:jc w:val="right"/>
              <w:rPr>
                <w:rFonts w:ascii="Calibri" w:hAnsi="Calibri"/>
                <w:sz w:val="18"/>
                <w:szCs w:val="18"/>
              </w:rPr>
            </w:pPr>
            <w:r>
              <w:rPr>
                <w:color w:val="000000"/>
                <w:sz w:val="18"/>
                <w:szCs w:val="18"/>
              </w:rPr>
              <w:t>52,745</w:t>
            </w:r>
          </w:p>
        </w:tc>
        <w:tc>
          <w:tcPr>
            <w:tcW w:w="797"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784"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938" w:type="dxa"/>
            <w:shd w:val="clear" w:color="auto" w:fill="auto"/>
            <w:tcMar>
              <w:left w:w="85" w:type="dxa"/>
              <w:right w:w="85" w:type="dxa"/>
            </w:tcMar>
          </w:tcPr>
          <w:p>
            <w:pPr>
              <w:jc w:val="right"/>
              <w:rPr>
                <w:rFonts w:ascii="Calibri" w:hAnsi="Calibri"/>
                <w:sz w:val="18"/>
                <w:szCs w:val="18"/>
              </w:rPr>
            </w:pPr>
            <w:r>
              <w:rPr>
                <w:color w:val="000000"/>
                <w:sz w:val="18"/>
                <w:szCs w:val="18"/>
              </w:rPr>
              <w:t>43,896</w:t>
            </w:r>
          </w:p>
        </w:tc>
        <w:tc>
          <w:tcPr>
            <w:tcW w:w="784"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770" w:type="dxa"/>
            <w:shd w:val="clear" w:color="auto" w:fill="auto"/>
            <w:tcMar>
              <w:left w:w="85" w:type="dxa"/>
              <w:right w:w="85" w:type="dxa"/>
            </w:tcMar>
          </w:tcPr>
          <w:p>
            <w:pPr>
              <w:jc w:val="right"/>
              <w:rPr>
                <w:rFonts w:ascii="Calibri" w:hAnsi="Calibri"/>
                <w:sz w:val="18"/>
                <w:szCs w:val="18"/>
              </w:rPr>
            </w:pPr>
            <w:r>
              <w:rPr>
                <w:color w:val="000000"/>
                <w:sz w:val="18"/>
                <w:szCs w:val="18"/>
              </w:rPr>
              <w:t>30,331</w:t>
            </w:r>
          </w:p>
        </w:tc>
        <w:tc>
          <w:tcPr>
            <w:tcW w:w="1008" w:type="dxa"/>
            <w:shd w:val="clear" w:color="auto" w:fill="auto"/>
            <w:tcMar>
              <w:left w:w="85" w:type="dxa"/>
              <w:right w:w="85" w:type="dxa"/>
            </w:tcMar>
          </w:tcPr>
          <w:p>
            <w:pPr>
              <w:jc w:val="right"/>
              <w:rPr>
                <w:rFonts w:ascii="Calibri" w:hAnsi="Calibri"/>
                <w:sz w:val="18"/>
                <w:szCs w:val="18"/>
              </w:rPr>
            </w:pPr>
            <w:r>
              <w:rPr>
                <w:color w:val="000000"/>
                <w:sz w:val="18"/>
                <w:szCs w:val="18"/>
              </w:rPr>
              <w:t>283,290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Merge w:val="continue"/>
            <w:shd w:val="clear" w:color="auto" w:fill="auto"/>
          </w:tcPr>
          <w:p>
            <w:pPr>
              <w:spacing w:after="60"/>
              <w:jc w:val="center"/>
              <w:rPr>
                <w:sz w:val="18"/>
              </w:rPr>
            </w:pPr>
          </w:p>
        </w:tc>
        <w:tc>
          <w:tcPr>
            <w:tcW w:w="778" w:type="dxa"/>
            <w:vMerge w:val="restart"/>
            <w:shd w:val="clear" w:color="auto" w:fill="auto"/>
          </w:tcPr>
          <w:p>
            <w:pPr>
              <w:spacing w:after="60"/>
              <w:jc w:val="center"/>
              <w:rPr>
                <w:sz w:val="18"/>
                <w:lang w:eastAsia="zh-CN"/>
              </w:rPr>
            </w:pPr>
            <w:r>
              <w:rPr>
                <w:rFonts w:hint="eastAsia"/>
                <w:sz w:val="18"/>
                <w:lang w:val="en-US" w:eastAsia="zh-CN"/>
              </w:rPr>
              <w:t>世界银行</w:t>
            </w:r>
          </w:p>
        </w:tc>
        <w:tc>
          <w:tcPr>
            <w:tcW w:w="1275" w:type="dxa"/>
            <w:shd w:val="clear" w:color="auto" w:fill="auto"/>
          </w:tcPr>
          <w:p>
            <w:pPr>
              <w:pStyle w:val="82"/>
              <w:numPr>
                <w:ilvl w:val="0"/>
                <w:numId w:val="0"/>
              </w:numPr>
              <w:spacing w:after="60"/>
              <w:jc w:val="left"/>
              <w:rPr>
                <w:sz w:val="18"/>
              </w:rPr>
            </w:pPr>
            <w:r>
              <w:rPr>
                <w:rFonts w:ascii="宋体" w:hAnsi="宋体" w:cs="New Gulim"/>
              </w:rPr>
              <w:t>项目费用</w:t>
            </w:r>
          </w:p>
        </w:tc>
        <w:tc>
          <w:tcPr>
            <w:tcW w:w="931" w:type="dxa"/>
            <w:shd w:val="clear" w:color="auto" w:fill="auto"/>
            <w:tcMar>
              <w:left w:w="85" w:type="dxa"/>
              <w:right w:w="85" w:type="dxa"/>
            </w:tcMar>
          </w:tcPr>
          <w:p>
            <w:pPr>
              <w:jc w:val="right"/>
              <w:rPr>
                <w:rFonts w:ascii="Calibri" w:hAnsi="Calibri"/>
                <w:sz w:val="18"/>
                <w:szCs w:val="18"/>
              </w:rPr>
            </w:pPr>
            <w:r>
              <w:rPr>
                <w:color w:val="000000"/>
                <w:sz w:val="18"/>
                <w:szCs w:val="18"/>
              </w:rPr>
              <w:t>1,985,743</w:t>
            </w:r>
          </w:p>
        </w:tc>
        <w:tc>
          <w:tcPr>
            <w:tcW w:w="770"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966" w:type="dxa"/>
            <w:shd w:val="clear" w:color="auto" w:fill="auto"/>
            <w:tcMar>
              <w:left w:w="85" w:type="dxa"/>
              <w:right w:w="85" w:type="dxa"/>
            </w:tcMar>
          </w:tcPr>
          <w:p>
            <w:pPr>
              <w:jc w:val="right"/>
              <w:rPr>
                <w:rFonts w:ascii="Calibri" w:hAnsi="Calibri"/>
                <w:sz w:val="18"/>
                <w:szCs w:val="18"/>
              </w:rPr>
            </w:pPr>
            <w:r>
              <w:rPr>
                <w:color w:val="000000"/>
                <w:sz w:val="18"/>
                <w:szCs w:val="18"/>
              </w:rPr>
              <w:t>1,276,549</w:t>
            </w:r>
          </w:p>
        </w:tc>
        <w:tc>
          <w:tcPr>
            <w:tcW w:w="797"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784"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938" w:type="dxa"/>
            <w:shd w:val="clear" w:color="auto" w:fill="auto"/>
            <w:tcMar>
              <w:left w:w="85" w:type="dxa"/>
              <w:right w:w="85" w:type="dxa"/>
            </w:tcMar>
          </w:tcPr>
          <w:p>
            <w:pPr>
              <w:jc w:val="right"/>
              <w:rPr>
                <w:rFonts w:ascii="Calibri" w:hAnsi="Calibri"/>
                <w:sz w:val="18"/>
                <w:szCs w:val="18"/>
              </w:rPr>
            </w:pPr>
            <w:r>
              <w:rPr>
                <w:color w:val="000000"/>
                <w:sz w:val="18"/>
                <w:szCs w:val="18"/>
              </w:rPr>
              <w:t>992,871</w:t>
            </w:r>
          </w:p>
        </w:tc>
        <w:tc>
          <w:tcPr>
            <w:tcW w:w="784"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770"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1008" w:type="dxa"/>
            <w:shd w:val="clear" w:color="auto" w:fill="auto"/>
            <w:tcMar>
              <w:left w:w="85" w:type="dxa"/>
              <w:right w:w="85" w:type="dxa"/>
            </w:tcMar>
          </w:tcPr>
          <w:p>
            <w:pPr>
              <w:jc w:val="right"/>
              <w:rPr>
                <w:rFonts w:ascii="Calibri" w:hAnsi="Calibri"/>
                <w:sz w:val="18"/>
                <w:szCs w:val="18"/>
              </w:rPr>
            </w:pPr>
            <w:r>
              <w:rPr>
                <w:color w:val="000000"/>
                <w:sz w:val="18"/>
                <w:szCs w:val="18"/>
              </w:rPr>
              <w:t>4,255,163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77" w:type="dxa"/>
            <w:vMerge w:val="continue"/>
            <w:shd w:val="clear" w:color="auto" w:fill="auto"/>
          </w:tcPr>
          <w:p>
            <w:pPr>
              <w:spacing w:after="60"/>
              <w:jc w:val="center"/>
              <w:rPr>
                <w:sz w:val="18"/>
              </w:rPr>
            </w:pPr>
          </w:p>
        </w:tc>
        <w:tc>
          <w:tcPr>
            <w:tcW w:w="778" w:type="dxa"/>
            <w:vMerge w:val="continue"/>
            <w:shd w:val="clear" w:color="auto" w:fill="auto"/>
          </w:tcPr>
          <w:p>
            <w:pPr>
              <w:spacing w:after="60"/>
              <w:jc w:val="center"/>
              <w:rPr>
                <w:sz w:val="18"/>
              </w:rPr>
            </w:pPr>
          </w:p>
        </w:tc>
        <w:tc>
          <w:tcPr>
            <w:tcW w:w="1275" w:type="dxa"/>
            <w:shd w:val="clear" w:color="auto" w:fill="auto"/>
          </w:tcPr>
          <w:p>
            <w:pPr>
              <w:pStyle w:val="82"/>
              <w:numPr>
                <w:ilvl w:val="0"/>
                <w:numId w:val="0"/>
              </w:numPr>
              <w:spacing w:after="60"/>
              <w:jc w:val="left"/>
              <w:rPr>
                <w:sz w:val="18"/>
              </w:rPr>
            </w:pPr>
            <w:r>
              <w:rPr>
                <w:rFonts w:hint="eastAsia" w:ascii="宋体" w:hAnsi="宋体" w:cs="Batang"/>
                <w:lang w:eastAsia="zh-CN"/>
              </w:rPr>
              <w:t>支持</w:t>
            </w:r>
            <w:r>
              <w:rPr>
                <w:rFonts w:ascii="宋体" w:hAnsi="宋体" w:cs="New Gulim"/>
              </w:rPr>
              <w:t>费用</w:t>
            </w:r>
          </w:p>
        </w:tc>
        <w:tc>
          <w:tcPr>
            <w:tcW w:w="931" w:type="dxa"/>
            <w:shd w:val="clear" w:color="auto" w:fill="auto"/>
            <w:tcMar>
              <w:left w:w="85" w:type="dxa"/>
              <w:right w:w="85" w:type="dxa"/>
            </w:tcMar>
          </w:tcPr>
          <w:p>
            <w:pPr>
              <w:jc w:val="right"/>
              <w:rPr>
                <w:rFonts w:ascii="Calibri" w:hAnsi="Calibri"/>
                <w:sz w:val="18"/>
                <w:szCs w:val="18"/>
              </w:rPr>
            </w:pPr>
            <w:r>
              <w:rPr>
                <w:color w:val="000000"/>
                <w:sz w:val="18"/>
                <w:szCs w:val="18"/>
              </w:rPr>
              <w:t>139,002</w:t>
            </w:r>
          </w:p>
        </w:tc>
        <w:tc>
          <w:tcPr>
            <w:tcW w:w="770"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966" w:type="dxa"/>
            <w:shd w:val="clear" w:color="auto" w:fill="auto"/>
            <w:tcMar>
              <w:left w:w="85" w:type="dxa"/>
              <w:right w:w="85" w:type="dxa"/>
            </w:tcMar>
          </w:tcPr>
          <w:p>
            <w:pPr>
              <w:jc w:val="right"/>
              <w:rPr>
                <w:rFonts w:ascii="Calibri" w:hAnsi="Calibri"/>
                <w:sz w:val="18"/>
                <w:szCs w:val="18"/>
              </w:rPr>
            </w:pPr>
            <w:r>
              <w:rPr>
                <w:color w:val="000000"/>
                <w:sz w:val="18"/>
                <w:szCs w:val="18"/>
              </w:rPr>
              <w:t>89,358</w:t>
            </w:r>
          </w:p>
        </w:tc>
        <w:tc>
          <w:tcPr>
            <w:tcW w:w="797"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784"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938" w:type="dxa"/>
            <w:shd w:val="clear" w:color="auto" w:fill="auto"/>
            <w:tcMar>
              <w:left w:w="85" w:type="dxa"/>
              <w:right w:w="85" w:type="dxa"/>
            </w:tcMar>
          </w:tcPr>
          <w:p>
            <w:pPr>
              <w:jc w:val="right"/>
              <w:rPr>
                <w:rFonts w:ascii="Calibri" w:hAnsi="Calibri"/>
                <w:sz w:val="18"/>
                <w:szCs w:val="18"/>
              </w:rPr>
            </w:pPr>
            <w:r>
              <w:rPr>
                <w:color w:val="000000"/>
                <w:sz w:val="18"/>
                <w:szCs w:val="18"/>
              </w:rPr>
              <w:t>69,501</w:t>
            </w:r>
          </w:p>
        </w:tc>
        <w:tc>
          <w:tcPr>
            <w:tcW w:w="784"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770" w:type="dxa"/>
            <w:shd w:val="clear" w:color="auto" w:fill="auto"/>
            <w:tcMar>
              <w:left w:w="85" w:type="dxa"/>
              <w:right w:w="85" w:type="dxa"/>
            </w:tcMar>
          </w:tcPr>
          <w:p>
            <w:pPr>
              <w:jc w:val="right"/>
              <w:rPr>
                <w:rFonts w:ascii="Calibri" w:hAnsi="Calibri"/>
                <w:sz w:val="18"/>
                <w:szCs w:val="18"/>
              </w:rPr>
            </w:pPr>
            <w:r>
              <w:rPr>
                <w:color w:val="000000"/>
                <w:sz w:val="18"/>
                <w:szCs w:val="18"/>
              </w:rPr>
              <w:t>0</w:t>
            </w:r>
          </w:p>
        </w:tc>
        <w:tc>
          <w:tcPr>
            <w:tcW w:w="1008" w:type="dxa"/>
            <w:shd w:val="clear" w:color="auto" w:fill="auto"/>
            <w:tcMar>
              <w:left w:w="85" w:type="dxa"/>
              <w:right w:w="85" w:type="dxa"/>
            </w:tcMar>
          </w:tcPr>
          <w:p>
            <w:pPr>
              <w:jc w:val="right"/>
              <w:rPr>
                <w:rFonts w:ascii="Calibri" w:hAnsi="Calibri"/>
                <w:sz w:val="18"/>
                <w:szCs w:val="18"/>
              </w:rPr>
            </w:pPr>
            <w:r>
              <w:rPr>
                <w:color w:val="000000"/>
                <w:sz w:val="18"/>
                <w:szCs w:val="18"/>
              </w:rPr>
              <w:t>297,861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gridSpan w:val="2"/>
            <w:vMerge w:val="restart"/>
            <w:shd w:val="clear" w:color="auto" w:fill="auto"/>
          </w:tcPr>
          <w:p>
            <w:pPr>
              <w:pStyle w:val="82"/>
              <w:numPr>
                <w:ilvl w:val="0"/>
                <w:numId w:val="0"/>
              </w:numPr>
              <w:spacing w:after="60"/>
              <w:jc w:val="left"/>
              <w:rPr>
                <w:sz w:val="18"/>
              </w:rPr>
            </w:pPr>
            <w:r>
              <w:rPr>
                <w:rFonts w:ascii="宋体" w:hAnsi="宋体" w:cs="New Gulim"/>
                <w:lang w:eastAsia="zh-CN"/>
              </w:rPr>
              <w:t>执行委员会批准的资金</w:t>
            </w:r>
            <w:r>
              <w:rPr>
                <w:rFonts w:ascii="宋体" w:hAnsi="宋体"/>
                <w:lang w:eastAsia="zh-CN"/>
              </w:rPr>
              <w:t>(</w:t>
            </w:r>
            <w:r>
              <w:rPr>
                <w:rFonts w:hint="eastAsia" w:ascii="宋体" w:hAnsi="宋体" w:cs="Batang"/>
                <w:lang w:eastAsia="zh-CN"/>
              </w:rPr>
              <w:t>美元</w:t>
            </w:r>
            <w:r>
              <w:rPr>
                <w:rFonts w:ascii="宋体" w:hAnsi="宋体"/>
                <w:lang w:eastAsia="zh-CN"/>
              </w:rPr>
              <w:t>)</w:t>
            </w:r>
          </w:p>
        </w:tc>
        <w:tc>
          <w:tcPr>
            <w:tcW w:w="1275" w:type="dxa"/>
            <w:shd w:val="clear" w:color="auto" w:fill="auto"/>
          </w:tcPr>
          <w:p>
            <w:pPr>
              <w:pStyle w:val="82"/>
              <w:numPr>
                <w:ilvl w:val="0"/>
                <w:numId w:val="0"/>
              </w:numPr>
              <w:spacing w:after="60"/>
              <w:jc w:val="left"/>
              <w:rPr>
                <w:sz w:val="18"/>
              </w:rPr>
            </w:pPr>
            <w:r>
              <w:rPr>
                <w:rFonts w:ascii="宋体" w:hAnsi="宋体" w:cs="New Gulim"/>
              </w:rPr>
              <w:t>项目费用</w:t>
            </w:r>
          </w:p>
        </w:tc>
        <w:tc>
          <w:tcPr>
            <w:tcW w:w="931" w:type="dxa"/>
            <w:shd w:val="clear" w:color="auto" w:fill="auto"/>
            <w:tcMar>
              <w:left w:w="85" w:type="dxa"/>
              <w:right w:w="85" w:type="dxa"/>
            </w:tcMar>
          </w:tcPr>
          <w:p>
            <w:pPr>
              <w:jc w:val="right"/>
              <w:rPr>
                <w:rFonts w:ascii="Calibri" w:hAnsi="Calibri"/>
                <w:sz w:val="18"/>
                <w:szCs w:val="18"/>
              </w:rPr>
            </w:pPr>
            <w:r>
              <w:rPr>
                <w:color w:val="000000"/>
                <w:sz w:val="18"/>
                <w:szCs w:val="18"/>
              </w:rPr>
              <w:t>4,218,857</w:t>
            </w:r>
          </w:p>
        </w:tc>
        <w:tc>
          <w:tcPr>
            <w:tcW w:w="770" w:type="dxa"/>
            <w:shd w:val="clear" w:color="auto" w:fill="auto"/>
            <w:tcMar>
              <w:left w:w="85" w:type="dxa"/>
              <w:right w:w="85" w:type="dxa"/>
            </w:tcMar>
          </w:tcPr>
          <w:p>
            <w:pPr>
              <w:spacing w:after="60"/>
              <w:jc w:val="right"/>
              <w:rPr>
                <w:sz w:val="18"/>
                <w:szCs w:val="18"/>
              </w:rPr>
            </w:pPr>
            <w:r>
              <w:rPr>
                <w:sz w:val="18"/>
                <w:szCs w:val="18"/>
              </w:rPr>
              <w:t>0</w:t>
            </w:r>
          </w:p>
        </w:tc>
        <w:tc>
          <w:tcPr>
            <w:tcW w:w="966" w:type="dxa"/>
            <w:shd w:val="clear" w:color="auto" w:fill="auto"/>
            <w:tcMar>
              <w:left w:w="85" w:type="dxa"/>
              <w:right w:w="85" w:type="dxa"/>
            </w:tcMar>
          </w:tcPr>
          <w:p>
            <w:pPr>
              <w:jc w:val="right"/>
              <w:rPr>
                <w:rFonts w:ascii="Calibri" w:hAnsi="Calibri"/>
                <w:sz w:val="18"/>
                <w:szCs w:val="18"/>
              </w:rPr>
            </w:pPr>
            <w:r>
              <w:rPr>
                <w:color w:val="000000"/>
                <w:sz w:val="18"/>
                <w:szCs w:val="18"/>
              </w:rPr>
              <w:t>2,030,049</w:t>
            </w:r>
          </w:p>
        </w:tc>
        <w:tc>
          <w:tcPr>
            <w:tcW w:w="797" w:type="dxa"/>
            <w:shd w:val="clear" w:color="auto" w:fill="auto"/>
            <w:tcMar>
              <w:left w:w="85" w:type="dxa"/>
              <w:right w:w="85" w:type="dxa"/>
            </w:tcMar>
          </w:tcPr>
          <w:p>
            <w:pPr>
              <w:spacing w:after="60"/>
              <w:jc w:val="right"/>
              <w:rPr>
                <w:sz w:val="18"/>
                <w:szCs w:val="18"/>
              </w:rPr>
            </w:pPr>
          </w:p>
        </w:tc>
        <w:tc>
          <w:tcPr>
            <w:tcW w:w="784" w:type="dxa"/>
            <w:shd w:val="clear" w:color="auto" w:fill="auto"/>
            <w:tcMar>
              <w:left w:w="85" w:type="dxa"/>
              <w:right w:w="85" w:type="dxa"/>
            </w:tcMar>
          </w:tcPr>
          <w:p>
            <w:pPr>
              <w:spacing w:after="60"/>
              <w:jc w:val="right"/>
              <w:rPr>
                <w:sz w:val="18"/>
                <w:szCs w:val="18"/>
              </w:rPr>
            </w:pPr>
          </w:p>
        </w:tc>
        <w:tc>
          <w:tcPr>
            <w:tcW w:w="938" w:type="dxa"/>
            <w:shd w:val="clear" w:color="auto" w:fill="auto"/>
            <w:tcMar>
              <w:left w:w="85" w:type="dxa"/>
              <w:right w:w="85" w:type="dxa"/>
            </w:tcMar>
          </w:tcPr>
          <w:p>
            <w:pPr>
              <w:spacing w:after="60"/>
              <w:jc w:val="right"/>
              <w:rPr>
                <w:sz w:val="18"/>
                <w:szCs w:val="18"/>
              </w:rPr>
            </w:pPr>
          </w:p>
        </w:tc>
        <w:tc>
          <w:tcPr>
            <w:tcW w:w="784" w:type="dxa"/>
            <w:shd w:val="clear" w:color="auto" w:fill="auto"/>
            <w:tcMar>
              <w:left w:w="85" w:type="dxa"/>
              <w:right w:w="85" w:type="dxa"/>
            </w:tcMar>
          </w:tcPr>
          <w:p>
            <w:pPr>
              <w:spacing w:after="60"/>
              <w:jc w:val="right"/>
              <w:rPr>
                <w:sz w:val="18"/>
                <w:szCs w:val="18"/>
              </w:rPr>
            </w:pPr>
          </w:p>
        </w:tc>
        <w:tc>
          <w:tcPr>
            <w:tcW w:w="770" w:type="dxa"/>
            <w:shd w:val="clear" w:color="auto" w:fill="auto"/>
            <w:tcMar>
              <w:left w:w="85" w:type="dxa"/>
              <w:right w:w="85" w:type="dxa"/>
            </w:tcMar>
          </w:tcPr>
          <w:p>
            <w:pPr>
              <w:jc w:val="right"/>
              <w:rPr>
                <w:color w:val="000000"/>
                <w:sz w:val="18"/>
                <w:szCs w:val="18"/>
              </w:rPr>
            </w:pPr>
          </w:p>
        </w:tc>
        <w:tc>
          <w:tcPr>
            <w:tcW w:w="1008" w:type="dxa"/>
            <w:shd w:val="clear" w:color="auto" w:fill="auto"/>
            <w:tcMar>
              <w:left w:w="85" w:type="dxa"/>
              <w:right w:w="85" w:type="dxa"/>
            </w:tcMar>
          </w:tcPr>
          <w:p>
            <w:pPr>
              <w:jc w:val="right"/>
              <w:rPr>
                <w:color w:val="000000"/>
                <w:sz w:val="18"/>
                <w:szCs w:val="18"/>
              </w:rPr>
            </w:pPr>
            <w:r>
              <w:rPr>
                <w:color w:val="000000"/>
                <w:sz w:val="18"/>
                <w:szCs w:val="18"/>
              </w:rPr>
              <w:fldChar w:fldCharType="begin"/>
            </w:r>
            <w:r>
              <w:rPr>
                <w:color w:val="000000"/>
                <w:sz w:val="18"/>
                <w:szCs w:val="18"/>
              </w:rPr>
              <w:instrText xml:space="preserve"> =SUM(left) </w:instrText>
            </w:r>
            <w:r>
              <w:rPr>
                <w:color w:val="000000"/>
                <w:sz w:val="18"/>
                <w:szCs w:val="18"/>
              </w:rPr>
              <w:fldChar w:fldCharType="separate"/>
            </w:r>
            <w:r>
              <w:rPr>
                <w:color w:val="000000"/>
                <w:sz w:val="18"/>
                <w:szCs w:val="18"/>
              </w:rPr>
              <w:t>6,248,906</w:t>
            </w:r>
            <w:r>
              <w:rPr>
                <w:color w:val="000000"/>
                <w:sz w:val="18"/>
                <w:szCs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gridSpan w:val="2"/>
            <w:vMerge w:val="continue"/>
            <w:shd w:val="clear" w:color="auto" w:fill="auto"/>
          </w:tcPr>
          <w:p>
            <w:pPr>
              <w:suppressAutoHyphens/>
              <w:spacing w:after="60"/>
              <w:jc w:val="center"/>
              <w:rPr>
                <w:sz w:val="18"/>
              </w:rPr>
            </w:pPr>
          </w:p>
        </w:tc>
        <w:tc>
          <w:tcPr>
            <w:tcW w:w="1275" w:type="dxa"/>
            <w:shd w:val="clear" w:color="auto" w:fill="auto"/>
          </w:tcPr>
          <w:p>
            <w:pPr>
              <w:pStyle w:val="82"/>
              <w:numPr>
                <w:ilvl w:val="0"/>
                <w:numId w:val="0"/>
              </w:numPr>
              <w:spacing w:after="60"/>
              <w:jc w:val="left"/>
              <w:rPr>
                <w:sz w:val="18"/>
              </w:rPr>
            </w:pPr>
            <w:r>
              <w:rPr>
                <w:rFonts w:hint="eastAsia" w:ascii="宋体" w:hAnsi="宋体" w:cs="Batang"/>
                <w:lang w:eastAsia="zh-CN"/>
              </w:rPr>
              <w:t>支持</w:t>
            </w:r>
            <w:r>
              <w:rPr>
                <w:rFonts w:ascii="宋体" w:hAnsi="宋体" w:cs="New Gulim"/>
              </w:rPr>
              <w:t>费用</w:t>
            </w:r>
          </w:p>
        </w:tc>
        <w:tc>
          <w:tcPr>
            <w:tcW w:w="931" w:type="dxa"/>
            <w:shd w:val="clear" w:color="auto" w:fill="auto"/>
            <w:tcMar>
              <w:left w:w="85" w:type="dxa"/>
              <w:right w:w="85" w:type="dxa"/>
            </w:tcMar>
          </w:tcPr>
          <w:p>
            <w:pPr>
              <w:jc w:val="right"/>
              <w:rPr>
                <w:rFonts w:ascii="Calibri" w:hAnsi="Calibri"/>
                <w:sz w:val="18"/>
                <w:szCs w:val="18"/>
              </w:rPr>
            </w:pPr>
            <w:r>
              <w:rPr>
                <w:color w:val="000000"/>
                <w:sz w:val="18"/>
                <w:szCs w:val="18"/>
              </w:rPr>
              <w:t>295,320</w:t>
            </w:r>
          </w:p>
        </w:tc>
        <w:tc>
          <w:tcPr>
            <w:tcW w:w="770" w:type="dxa"/>
            <w:shd w:val="clear" w:color="auto" w:fill="auto"/>
            <w:tcMar>
              <w:left w:w="85" w:type="dxa"/>
              <w:right w:w="85" w:type="dxa"/>
            </w:tcMar>
          </w:tcPr>
          <w:p>
            <w:pPr>
              <w:spacing w:after="60"/>
              <w:jc w:val="right"/>
              <w:rPr>
                <w:sz w:val="18"/>
                <w:szCs w:val="18"/>
              </w:rPr>
            </w:pPr>
            <w:r>
              <w:rPr>
                <w:sz w:val="18"/>
                <w:szCs w:val="18"/>
              </w:rPr>
              <w:t>0</w:t>
            </w:r>
          </w:p>
        </w:tc>
        <w:tc>
          <w:tcPr>
            <w:tcW w:w="966" w:type="dxa"/>
            <w:shd w:val="clear" w:color="auto" w:fill="auto"/>
            <w:tcMar>
              <w:left w:w="85" w:type="dxa"/>
              <w:right w:w="85" w:type="dxa"/>
            </w:tcMar>
          </w:tcPr>
          <w:p>
            <w:pPr>
              <w:jc w:val="right"/>
              <w:rPr>
                <w:rFonts w:ascii="Calibri" w:hAnsi="Calibri"/>
                <w:sz w:val="18"/>
                <w:szCs w:val="18"/>
              </w:rPr>
            </w:pPr>
            <w:r>
              <w:rPr>
                <w:color w:val="000000"/>
                <w:sz w:val="18"/>
                <w:szCs w:val="18"/>
              </w:rPr>
              <w:t>142,103</w:t>
            </w:r>
          </w:p>
        </w:tc>
        <w:tc>
          <w:tcPr>
            <w:tcW w:w="797" w:type="dxa"/>
            <w:shd w:val="clear" w:color="auto" w:fill="auto"/>
            <w:tcMar>
              <w:left w:w="85" w:type="dxa"/>
              <w:right w:w="85" w:type="dxa"/>
            </w:tcMar>
          </w:tcPr>
          <w:p>
            <w:pPr>
              <w:spacing w:after="60"/>
              <w:jc w:val="right"/>
              <w:rPr>
                <w:sz w:val="18"/>
                <w:szCs w:val="18"/>
              </w:rPr>
            </w:pPr>
          </w:p>
        </w:tc>
        <w:tc>
          <w:tcPr>
            <w:tcW w:w="784" w:type="dxa"/>
            <w:shd w:val="clear" w:color="auto" w:fill="auto"/>
            <w:tcMar>
              <w:left w:w="85" w:type="dxa"/>
              <w:right w:w="85" w:type="dxa"/>
            </w:tcMar>
          </w:tcPr>
          <w:p>
            <w:pPr>
              <w:spacing w:after="60"/>
              <w:jc w:val="right"/>
              <w:rPr>
                <w:sz w:val="18"/>
                <w:szCs w:val="18"/>
              </w:rPr>
            </w:pPr>
          </w:p>
        </w:tc>
        <w:tc>
          <w:tcPr>
            <w:tcW w:w="938" w:type="dxa"/>
            <w:shd w:val="clear" w:color="auto" w:fill="auto"/>
            <w:tcMar>
              <w:left w:w="85" w:type="dxa"/>
              <w:right w:w="85" w:type="dxa"/>
            </w:tcMar>
          </w:tcPr>
          <w:p>
            <w:pPr>
              <w:spacing w:after="60"/>
              <w:jc w:val="right"/>
              <w:rPr>
                <w:sz w:val="18"/>
                <w:szCs w:val="18"/>
              </w:rPr>
            </w:pPr>
          </w:p>
        </w:tc>
        <w:tc>
          <w:tcPr>
            <w:tcW w:w="784" w:type="dxa"/>
            <w:shd w:val="clear" w:color="auto" w:fill="auto"/>
            <w:tcMar>
              <w:left w:w="85" w:type="dxa"/>
              <w:right w:w="85" w:type="dxa"/>
            </w:tcMar>
          </w:tcPr>
          <w:p>
            <w:pPr>
              <w:spacing w:after="60"/>
              <w:jc w:val="right"/>
              <w:rPr>
                <w:sz w:val="18"/>
                <w:szCs w:val="18"/>
              </w:rPr>
            </w:pPr>
          </w:p>
        </w:tc>
        <w:tc>
          <w:tcPr>
            <w:tcW w:w="770" w:type="dxa"/>
            <w:shd w:val="clear" w:color="auto" w:fill="auto"/>
            <w:tcMar>
              <w:left w:w="85" w:type="dxa"/>
              <w:right w:w="85" w:type="dxa"/>
            </w:tcMar>
          </w:tcPr>
          <w:p>
            <w:pPr>
              <w:jc w:val="right"/>
              <w:rPr>
                <w:color w:val="000000"/>
                <w:sz w:val="18"/>
                <w:szCs w:val="18"/>
              </w:rPr>
            </w:pPr>
          </w:p>
        </w:tc>
        <w:tc>
          <w:tcPr>
            <w:tcW w:w="1008" w:type="dxa"/>
            <w:shd w:val="clear" w:color="auto" w:fill="auto"/>
            <w:tcMar>
              <w:left w:w="85" w:type="dxa"/>
              <w:right w:w="85" w:type="dxa"/>
            </w:tcMar>
          </w:tcPr>
          <w:p>
            <w:pPr>
              <w:jc w:val="right"/>
              <w:rPr>
                <w:color w:val="000000"/>
                <w:sz w:val="18"/>
                <w:szCs w:val="18"/>
              </w:rPr>
            </w:pPr>
            <w:r>
              <w:rPr>
                <w:color w:val="000000"/>
                <w:sz w:val="18"/>
                <w:szCs w:val="18"/>
              </w:rPr>
              <w:fldChar w:fldCharType="begin"/>
            </w:r>
            <w:r>
              <w:rPr>
                <w:color w:val="000000"/>
                <w:sz w:val="18"/>
                <w:szCs w:val="18"/>
              </w:rPr>
              <w:instrText xml:space="preserve"> =SUM(left) </w:instrText>
            </w:r>
            <w:r>
              <w:rPr>
                <w:color w:val="000000"/>
                <w:sz w:val="18"/>
                <w:szCs w:val="18"/>
              </w:rPr>
              <w:fldChar w:fldCharType="separate"/>
            </w:r>
            <w:r>
              <w:rPr>
                <w:color w:val="000000"/>
                <w:sz w:val="18"/>
                <w:szCs w:val="18"/>
              </w:rPr>
              <w:t>437,423</w:t>
            </w:r>
            <w:r>
              <w:rPr>
                <w:color w:val="000000"/>
                <w:sz w:val="18"/>
                <w:szCs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55" w:type="dxa"/>
            <w:gridSpan w:val="2"/>
            <w:vMerge w:val="restart"/>
            <w:shd w:val="clear" w:color="auto" w:fill="auto"/>
          </w:tcPr>
          <w:p>
            <w:pPr>
              <w:pStyle w:val="82"/>
              <w:numPr>
                <w:ilvl w:val="0"/>
                <w:numId w:val="0"/>
              </w:numPr>
              <w:spacing w:after="60"/>
              <w:jc w:val="left"/>
              <w:rPr>
                <w:sz w:val="18"/>
              </w:rPr>
            </w:pPr>
            <w:r>
              <w:rPr>
                <w:rFonts w:ascii="宋体" w:hAnsi="宋体" w:cs="Batang"/>
                <w:lang w:eastAsia="zh-CN"/>
              </w:rPr>
              <w:t>本次</w:t>
            </w:r>
            <w:r>
              <w:rPr>
                <w:rFonts w:ascii="宋体" w:hAnsi="宋体" w:cs="New Gulim"/>
                <w:lang w:eastAsia="zh-CN"/>
              </w:rPr>
              <w:t>会议要求批准的</w:t>
            </w:r>
            <w:r>
              <w:rPr>
                <w:rFonts w:hint="eastAsia" w:ascii="宋体" w:hAnsi="宋体" w:cs="New Gulim"/>
                <w:lang w:eastAsia="zh-CN"/>
              </w:rPr>
              <w:t>供</w:t>
            </w:r>
            <w:r>
              <w:rPr>
                <w:rFonts w:ascii="宋体" w:hAnsi="宋体" w:cs="New Gulim"/>
                <w:lang w:eastAsia="zh-CN"/>
              </w:rPr>
              <w:t>资总额</w:t>
            </w:r>
            <w:r>
              <w:rPr>
                <w:rFonts w:ascii="宋体" w:hAnsi="宋体"/>
                <w:lang w:eastAsia="zh-CN"/>
              </w:rPr>
              <w:t xml:space="preserve"> (</w:t>
            </w:r>
            <w:r>
              <w:rPr>
                <w:rFonts w:hint="eastAsia" w:ascii="宋体" w:hAnsi="宋体" w:cs="Batang"/>
                <w:lang w:eastAsia="zh-CN"/>
              </w:rPr>
              <w:t>美元</w:t>
            </w:r>
            <w:r>
              <w:rPr>
                <w:rFonts w:ascii="宋体" w:hAnsi="宋体"/>
                <w:lang w:eastAsia="zh-CN"/>
              </w:rPr>
              <w:t>)</w:t>
            </w:r>
          </w:p>
        </w:tc>
        <w:tc>
          <w:tcPr>
            <w:tcW w:w="1275" w:type="dxa"/>
            <w:shd w:val="clear" w:color="auto" w:fill="auto"/>
          </w:tcPr>
          <w:p>
            <w:pPr>
              <w:pStyle w:val="82"/>
              <w:numPr>
                <w:ilvl w:val="0"/>
                <w:numId w:val="0"/>
              </w:numPr>
              <w:spacing w:after="60"/>
              <w:jc w:val="left"/>
              <w:rPr>
                <w:sz w:val="18"/>
              </w:rPr>
            </w:pPr>
            <w:r>
              <w:rPr>
                <w:rFonts w:ascii="宋体" w:hAnsi="宋体" w:cs="New Gulim"/>
              </w:rPr>
              <w:t>项目费用</w:t>
            </w:r>
          </w:p>
        </w:tc>
        <w:tc>
          <w:tcPr>
            <w:tcW w:w="931" w:type="dxa"/>
            <w:shd w:val="clear" w:color="auto" w:fill="auto"/>
            <w:tcMar>
              <w:left w:w="85" w:type="dxa"/>
              <w:right w:w="85" w:type="dxa"/>
            </w:tcMar>
          </w:tcPr>
          <w:p>
            <w:pPr>
              <w:spacing w:after="60"/>
              <w:jc w:val="right"/>
              <w:rPr>
                <w:sz w:val="18"/>
                <w:szCs w:val="18"/>
              </w:rPr>
            </w:pPr>
          </w:p>
        </w:tc>
        <w:tc>
          <w:tcPr>
            <w:tcW w:w="770" w:type="dxa"/>
            <w:shd w:val="clear" w:color="auto" w:fill="auto"/>
            <w:tcMar>
              <w:left w:w="85" w:type="dxa"/>
              <w:right w:w="85" w:type="dxa"/>
            </w:tcMar>
          </w:tcPr>
          <w:p>
            <w:pPr>
              <w:spacing w:after="60"/>
              <w:jc w:val="right"/>
              <w:rPr>
                <w:sz w:val="18"/>
                <w:szCs w:val="18"/>
              </w:rPr>
            </w:pPr>
          </w:p>
        </w:tc>
        <w:tc>
          <w:tcPr>
            <w:tcW w:w="966" w:type="dxa"/>
            <w:shd w:val="clear" w:color="auto" w:fill="auto"/>
            <w:tcMar>
              <w:left w:w="85" w:type="dxa"/>
              <w:right w:w="85" w:type="dxa"/>
            </w:tcMar>
          </w:tcPr>
          <w:p>
            <w:pPr>
              <w:jc w:val="right"/>
              <w:rPr>
                <w:rFonts w:ascii="Calibri" w:hAnsi="Calibri"/>
                <w:sz w:val="18"/>
                <w:szCs w:val="18"/>
              </w:rPr>
            </w:pPr>
          </w:p>
        </w:tc>
        <w:tc>
          <w:tcPr>
            <w:tcW w:w="797" w:type="dxa"/>
            <w:shd w:val="clear" w:color="auto" w:fill="auto"/>
            <w:tcMar>
              <w:left w:w="85" w:type="dxa"/>
              <w:right w:w="85" w:type="dxa"/>
            </w:tcMar>
          </w:tcPr>
          <w:p>
            <w:pPr>
              <w:spacing w:after="60"/>
              <w:jc w:val="right"/>
              <w:rPr>
                <w:sz w:val="18"/>
                <w:szCs w:val="18"/>
              </w:rPr>
            </w:pPr>
          </w:p>
        </w:tc>
        <w:tc>
          <w:tcPr>
            <w:tcW w:w="784" w:type="dxa"/>
            <w:shd w:val="clear" w:color="auto" w:fill="auto"/>
            <w:tcMar>
              <w:left w:w="85" w:type="dxa"/>
              <w:right w:w="85" w:type="dxa"/>
            </w:tcMar>
          </w:tcPr>
          <w:p>
            <w:pPr>
              <w:spacing w:after="60"/>
              <w:jc w:val="right"/>
              <w:rPr>
                <w:sz w:val="18"/>
                <w:szCs w:val="18"/>
              </w:rPr>
            </w:pPr>
          </w:p>
        </w:tc>
        <w:tc>
          <w:tcPr>
            <w:tcW w:w="938" w:type="dxa"/>
            <w:shd w:val="clear" w:color="auto" w:fill="auto"/>
            <w:tcMar>
              <w:left w:w="85" w:type="dxa"/>
              <w:right w:w="85" w:type="dxa"/>
            </w:tcMar>
          </w:tcPr>
          <w:p>
            <w:pPr>
              <w:spacing w:after="60"/>
              <w:jc w:val="right"/>
              <w:rPr>
                <w:sz w:val="18"/>
                <w:szCs w:val="18"/>
              </w:rPr>
            </w:pPr>
            <w:r>
              <w:rPr>
                <w:sz w:val="18"/>
                <w:szCs w:val="18"/>
              </w:rPr>
              <w:t>1,619,957</w:t>
            </w:r>
          </w:p>
        </w:tc>
        <w:tc>
          <w:tcPr>
            <w:tcW w:w="784" w:type="dxa"/>
            <w:shd w:val="clear" w:color="auto" w:fill="auto"/>
            <w:tcMar>
              <w:left w:w="85" w:type="dxa"/>
              <w:right w:w="85" w:type="dxa"/>
            </w:tcMar>
          </w:tcPr>
          <w:p>
            <w:pPr>
              <w:spacing w:after="60"/>
              <w:jc w:val="right"/>
              <w:rPr>
                <w:sz w:val="18"/>
                <w:szCs w:val="18"/>
              </w:rPr>
            </w:pPr>
          </w:p>
        </w:tc>
        <w:tc>
          <w:tcPr>
            <w:tcW w:w="770" w:type="dxa"/>
            <w:shd w:val="clear" w:color="auto" w:fill="auto"/>
            <w:tcMar>
              <w:left w:w="85" w:type="dxa"/>
              <w:right w:w="85" w:type="dxa"/>
            </w:tcMar>
          </w:tcPr>
          <w:p>
            <w:pPr>
              <w:spacing w:after="60"/>
              <w:jc w:val="right"/>
              <w:rPr>
                <w:sz w:val="18"/>
                <w:szCs w:val="18"/>
              </w:rPr>
            </w:pPr>
          </w:p>
        </w:tc>
        <w:tc>
          <w:tcPr>
            <w:tcW w:w="1008" w:type="dxa"/>
            <w:shd w:val="clear" w:color="auto" w:fill="auto"/>
            <w:tcMar>
              <w:left w:w="85" w:type="dxa"/>
              <w:right w:w="85" w:type="dxa"/>
            </w:tcMar>
          </w:tcPr>
          <w:p>
            <w:pPr>
              <w:jc w:val="right"/>
              <w:rPr>
                <w:color w:val="000000"/>
                <w:sz w:val="18"/>
                <w:szCs w:val="18"/>
              </w:rPr>
            </w:pPr>
            <w:r>
              <w:rPr>
                <w:color w:val="000000"/>
                <w:sz w:val="18"/>
                <w:szCs w:val="18"/>
              </w:rPr>
              <w:fldChar w:fldCharType="begin"/>
            </w:r>
            <w:r>
              <w:rPr>
                <w:color w:val="000000"/>
                <w:sz w:val="18"/>
                <w:szCs w:val="18"/>
              </w:rPr>
              <w:instrText xml:space="preserve"> =SUM(left) </w:instrText>
            </w:r>
            <w:r>
              <w:rPr>
                <w:color w:val="000000"/>
                <w:sz w:val="18"/>
                <w:szCs w:val="18"/>
              </w:rPr>
              <w:fldChar w:fldCharType="separate"/>
            </w:r>
            <w:r>
              <w:rPr>
                <w:color w:val="000000"/>
                <w:sz w:val="18"/>
                <w:szCs w:val="18"/>
              </w:rPr>
              <w:t>1,619,957</w:t>
            </w:r>
            <w:r>
              <w:rPr>
                <w:color w:val="000000"/>
                <w:sz w:val="18"/>
                <w:szCs w:val="18"/>
              </w:rPr>
              <w:fldChar w:fldCharType="end"/>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 w:hRule="atLeast"/>
        </w:trPr>
        <w:tc>
          <w:tcPr>
            <w:tcW w:w="1555" w:type="dxa"/>
            <w:gridSpan w:val="2"/>
            <w:vMerge w:val="continue"/>
            <w:shd w:val="clear" w:color="auto" w:fill="auto"/>
          </w:tcPr>
          <w:p>
            <w:pPr>
              <w:suppressAutoHyphens/>
              <w:spacing w:after="60"/>
              <w:jc w:val="left"/>
              <w:rPr>
                <w:sz w:val="18"/>
              </w:rPr>
            </w:pPr>
          </w:p>
        </w:tc>
        <w:tc>
          <w:tcPr>
            <w:tcW w:w="1275" w:type="dxa"/>
            <w:shd w:val="clear" w:color="auto" w:fill="auto"/>
          </w:tcPr>
          <w:p>
            <w:pPr>
              <w:pStyle w:val="82"/>
              <w:numPr>
                <w:ilvl w:val="0"/>
                <w:numId w:val="0"/>
              </w:numPr>
              <w:spacing w:after="60"/>
              <w:jc w:val="left"/>
              <w:rPr>
                <w:sz w:val="18"/>
              </w:rPr>
            </w:pPr>
            <w:r>
              <w:rPr>
                <w:rFonts w:hint="eastAsia" w:ascii="宋体" w:hAnsi="宋体" w:cs="Batang"/>
                <w:lang w:eastAsia="zh-CN"/>
              </w:rPr>
              <w:t>支持</w:t>
            </w:r>
            <w:r>
              <w:rPr>
                <w:rFonts w:ascii="宋体" w:hAnsi="宋体" w:cs="New Gulim"/>
              </w:rPr>
              <w:t>费</w:t>
            </w:r>
            <w:r>
              <w:rPr>
                <w:rFonts w:ascii="宋体" w:hAnsi="宋体" w:cs="Batang"/>
              </w:rPr>
              <w:t>用</w:t>
            </w:r>
          </w:p>
        </w:tc>
        <w:tc>
          <w:tcPr>
            <w:tcW w:w="931" w:type="dxa"/>
            <w:shd w:val="clear" w:color="auto" w:fill="auto"/>
            <w:tcMar>
              <w:left w:w="85" w:type="dxa"/>
              <w:right w:w="85" w:type="dxa"/>
            </w:tcMar>
          </w:tcPr>
          <w:p>
            <w:pPr>
              <w:spacing w:after="60"/>
              <w:jc w:val="right"/>
              <w:rPr>
                <w:sz w:val="18"/>
                <w:szCs w:val="18"/>
              </w:rPr>
            </w:pPr>
          </w:p>
        </w:tc>
        <w:tc>
          <w:tcPr>
            <w:tcW w:w="770" w:type="dxa"/>
            <w:shd w:val="clear" w:color="auto" w:fill="auto"/>
            <w:tcMar>
              <w:left w:w="85" w:type="dxa"/>
              <w:right w:w="85" w:type="dxa"/>
            </w:tcMar>
          </w:tcPr>
          <w:p>
            <w:pPr>
              <w:spacing w:after="60"/>
              <w:jc w:val="right"/>
              <w:rPr>
                <w:sz w:val="18"/>
                <w:szCs w:val="18"/>
              </w:rPr>
            </w:pPr>
          </w:p>
        </w:tc>
        <w:tc>
          <w:tcPr>
            <w:tcW w:w="966" w:type="dxa"/>
            <w:shd w:val="clear" w:color="auto" w:fill="auto"/>
            <w:tcMar>
              <w:left w:w="85" w:type="dxa"/>
              <w:right w:w="85" w:type="dxa"/>
            </w:tcMar>
          </w:tcPr>
          <w:p>
            <w:pPr>
              <w:jc w:val="right"/>
              <w:rPr>
                <w:rFonts w:ascii="Calibri" w:hAnsi="Calibri"/>
                <w:sz w:val="18"/>
                <w:szCs w:val="18"/>
              </w:rPr>
            </w:pPr>
          </w:p>
        </w:tc>
        <w:tc>
          <w:tcPr>
            <w:tcW w:w="797" w:type="dxa"/>
            <w:shd w:val="clear" w:color="auto" w:fill="auto"/>
            <w:tcMar>
              <w:left w:w="85" w:type="dxa"/>
              <w:right w:w="85" w:type="dxa"/>
            </w:tcMar>
          </w:tcPr>
          <w:p>
            <w:pPr>
              <w:spacing w:after="60"/>
              <w:jc w:val="right"/>
              <w:rPr>
                <w:sz w:val="18"/>
                <w:szCs w:val="18"/>
              </w:rPr>
            </w:pPr>
          </w:p>
        </w:tc>
        <w:tc>
          <w:tcPr>
            <w:tcW w:w="784" w:type="dxa"/>
            <w:shd w:val="clear" w:color="auto" w:fill="auto"/>
            <w:tcMar>
              <w:left w:w="85" w:type="dxa"/>
              <w:right w:w="85" w:type="dxa"/>
            </w:tcMar>
          </w:tcPr>
          <w:p>
            <w:pPr>
              <w:spacing w:after="60"/>
              <w:jc w:val="right"/>
              <w:rPr>
                <w:sz w:val="18"/>
                <w:szCs w:val="18"/>
              </w:rPr>
            </w:pPr>
          </w:p>
        </w:tc>
        <w:tc>
          <w:tcPr>
            <w:tcW w:w="938" w:type="dxa"/>
            <w:shd w:val="clear" w:color="auto" w:fill="auto"/>
            <w:tcMar>
              <w:left w:w="85" w:type="dxa"/>
              <w:right w:w="85" w:type="dxa"/>
            </w:tcMar>
          </w:tcPr>
          <w:p>
            <w:pPr>
              <w:spacing w:after="60"/>
              <w:jc w:val="right"/>
              <w:rPr>
                <w:sz w:val="18"/>
                <w:szCs w:val="18"/>
              </w:rPr>
            </w:pPr>
            <w:r>
              <w:rPr>
                <w:sz w:val="18"/>
                <w:szCs w:val="18"/>
              </w:rPr>
              <w:t>113,397</w:t>
            </w:r>
          </w:p>
        </w:tc>
        <w:tc>
          <w:tcPr>
            <w:tcW w:w="784" w:type="dxa"/>
            <w:shd w:val="clear" w:color="auto" w:fill="auto"/>
            <w:tcMar>
              <w:left w:w="85" w:type="dxa"/>
              <w:right w:w="85" w:type="dxa"/>
            </w:tcMar>
          </w:tcPr>
          <w:p>
            <w:pPr>
              <w:spacing w:after="60"/>
              <w:jc w:val="right"/>
              <w:rPr>
                <w:sz w:val="18"/>
                <w:szCs w:val="18"/>
              </w:rPr>
            </w:pPr>
          </w:p>
        </w:tc>
        <w:tc>
          <w:tcPr>
            <w:tcW w:w="770" w:type="dxa"/>
            <w:shd w:val="clear" w:color="auto" w:fill="auto"/>
            <w:tcMar>
              <w:left w:w="85" w:type="dxa"/>
              <w:right w:w="85" w:type="dxa"/>
            </w:tcMar>
          </w:tcPr>
          <w:p>
            <w:pPr>
              <w:spacing w:after="60"/>
              <w:jc w:val="right"/>
              <w:rPr>
                <w:sz w:val="18"/>
                <w:szCs w:val="18"/>
              </w:rPr>
            </w:pPr>
          </w:p>
        </w:tc>
        <w:tc>
          <w:tcPr>
            <w:tcW w:w="1008" w:type="dxa"/>
            <w:shd w:val="clear" w:color="auto" w:fill="auto"/>
            <w:tcMar>
              <w:left w:w="85" w:type="dxa"/>
              <w:right w:w="85" w:type="dxa"/>
            </w:tcMar>
          </w:tcPr>
          <w:p>
            <w:pPr>
              <w:jc w:val="right"/>
              <w:rPr>
                <w:color w:val="000000"/>
                <w:sz w:val="18"/>
                <w:szCs w:val="18"/>
              </w:rPr>
            </w:pPr>
            <w:r>
              <w:rPr>
                <w:color w:val="000000"/>
                <w:sz w:val="18"/>
                <w:szCs w:val="18"/>
              </w:rPr>
              <w:fldChar w:fldCharType="begin"/>
            </w:r>
            <w:r>
              <w:rPr>
                <w:color w:val="000000"/>
                <w:sz w:val="18"/>
                <w:szCs w:val="18"/>
              </w:rPr>
              <w:instrText xml:space="preserve"> =SUM(left) </w:instrText>
            </w:r>
            <w:r>
              <w:rPr>
                <w:color w:val="000000"/>
                <w:sz w:val="18"/>
                <w:szCs w:val="18"/>
              </w:rPr>
              <w:fldChar w:fldCharType="separate"/>
            </w:r>
            <w:r>
              <w:rPr>
                <w:color w:val="000000"/>
                <w:sz w:val="18"/>
                <w:szCs w:val="18"/>
              </w:rPr>
              <w:t>113,397</w:t>
            </w:r>
            <w:r>
              <w:rPr>
                <w:color w:val="000000"/>
                <w:sz w:val="18"/>
                <w:szCs w:val="18"/>
              </w:rPr>
              <w:fldChar w:fldCharType="end"/>
            </w:r>
          </w:p>
        </w:tc>
      </w:tr>
    </w:tbl>
    <w:p>
      <w:pPr>
        <w:jc w:val="center"/>
      </w:pPr>
    </w:p>
    <w:tbl>
      <w:tblPr>
        <w:tblStyle w:val="25"/>
        <w:tblpPr w:leftFromText="180" w:rightFromText="180" w:vertAnchor="text" w:horzAnchor="page" w:tblpX="909" w:tblpY="16"/>
        <w:tblW w:w="1053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37"/>
        <w:gridCol w:w="62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4237" w:type="dxa"/>
            <w:shd w:val="clear" w:color="auto" w:fill="auto"/>
          </w:tcPr>
          <w:p>
            <w:pPr>
              <w:spacing w:after="60"/>
              <w:jc w:val="left"/>
              <w:rPr>
                <w:b/>
                <w:sz w:val="18"/>
              </w:rPr>
            </w:pPr>
            <w:r>
              <w:rPr>
                <w:rFonts w:hint="eastAsia" w:ascii="宋体" w:hAnsi="宋体" w:cs="Batang"/>
                <w:b/>
                <w:lang w:eastAsia="zh-CN"/>
              </w:rPr>
              <w:t>委员会的</w:t>
            </w:r>
            <w:r>
              <w:rPr>
                <w:rFonts w:ascii="宋体" w:hAnsi="宋体" w:cs="Batang"/>
                <w:b/>
                <w:lang w:eastAsia="zh-CN"/>
              </w:rPr>
              <w:t>建议</w:t>
            </w:r>
            <w:r>
              <w:rPr>
                <w:rFonts w:ascii="宋体" w:hAnsi="宋体"/>
                <w:b/>
              </w:rPr>
              <w:t>:</w:t>
            </w:r>
          </w:p>
        </w:tc>
        <w:tc>
          <w:tcPr>
            <w:tcW w:w="6299" w:type="dxa"/>
            <w:shd w:val="clear" w:color="auto" w:fill="auto"/>
          </w:tcPr>
          <w:p>
            <w:pPr>
              <w:spacing w:after="60"/>
              <w:jc w:val="center"/>
              <w:rPr>
                <w:sz w:val="18"/>
                <w:highlight w:val="green"/>
              </w:rPr>
            </w:pPr>
            <w:r>
              <w:rPr>
                <w:rFonts w:hint="eastAsia"/>
                <w:sz w:val="18"/>
                <w:lang w:val="en-US" w:eastAsia="zh-CN"/>
              </w:rPr>
              <w:t>一揽子核准</w:t>
            </w:r>
          </w:p>
        </w:tc>
      </w:tr>
    </w:tbl>
    <w:p>
      <w:pPr>
        <w:jc w:val="center"/>
        <w:rPr>
          <w:b/>
          <w:caps/>
          <w:lang w:eastAsia="zh-CN"/>
        </w:rPr>
      </w:pPr>
      <w:r>
        <w:rPr>
          <w:rFonts w:hint="eastAsia"/>
          <w:b/>
          <w:caps/>
          <w:lang w:eastAsia="zh-CN"/>
        </w:rPr>
        <w:t>项目</w:t>
      </w:r>
      <w:r>
        <w:rPr>
          <w:b/>
          <w:caps/>
          <w:lang w:eastAsia="zh-CN"/>
        </w:rPr>
        <w:t>说明</w:t>
      </w:r>
    </w:p>
    <w:p>
      <w:pPr>
        <w:jc w:val="center"/>
        <w:rPr>
          <w:b/>
          <w:caps/>
          <w:lang w:eastAsia="zh-CN"/>
        </w:rPr>
      </w:pPr>
    </w:p>
    <w:p>
      <w:pPr>
        <w:pStyle w:val="2"/>
      </w:pPr>
      <w:r>
        <w:t xml:space="preserve"> 开发署作为牵头执行机构</w:t>
      </w:r>
      <w:r>
        <w:rPr>
          <w:rFonts w:hint="eastAsia"/>
          <w:lang w:eastAsia="zh-CN"/>
        </w:rPr>
        <w:t>，</w:t>
      </w:r>
      <w:r>
        <w:t>代表印度尼西亚政府</w:t>
      </w:r>
      <w:r>
        <w:rPr>
          <w:rFonts w:hint="eastAsia"/>
          <w:lang w:eastAsia="zh-CN"/>
        </w:rPr>
        <w:t>，</w:t>
      </w:r>
      <w:r>
        <w:t>提交了为氟氯烃淘汰管理计划（氟氯烃淘汰管理计划）第二阶段第三次付款提供资金的申请，总费用为 1,733,354 美元，包括627,086 美元，加上开发计划署的 43,896 美元机构支持费用，以及 992,871 美元，</w:t>
      </w:r>
      <w:r>
        <w:rPr>
          <w:rFonts w:hint="eastAsia"/>
          <w:lang w:val="en-US" w:eastAsia="zh-CN"/>
        </w:rPr>
        <w:t>加</w:t>
      </w:r>
      <w:r>
        <w:t>世界银行的机构支持费用 69,501 美元。</w:t>
      </w:r>
      <w:r>
        <w:rPr>
          <w:rStyle w:val="71"/>
        </w:rPr>
        <w:footnoteReference w:id="8"/>
      </w:r>
      <w:r>
        <w:t xml:space="preserve"> </w:t>
      </w:r>
      <w:r>
        <w:rPr>
          <w:rFonts w:hint="eastAsia"/>
          <w:lang w:val="en-US" w:eastAsia="zh-CN"/>
        </w:rPr>
        <w:t xml:space="preserve"> </w:t>
      </w:r>
      <w:r>
        <w:t xml:space="preserve"> 提交的内容包括第二次付款执行进度报告、2018 年至 2020 年氟氯烃消费量核查报告</w:t>
      </w:r>
      <w:r>
        <w:rPr>
          <w:rFonts w:hint="eastAsia"/>
          <w:lang w:eastAsia="zh-CN"/>
        </w:rPr>
        <w:t>，</w:t>
      </w:r>
      <w:r>
        <w:t>以及 2021 年至 2023 年付款执行计划。</w:t>
      </w:r>
    </w:p>
    <w:p>
      <w:pPr>
        <w:pStyle w:val="2"/>
        <w:numPr>
          <w:ilvl w:val="0"/>
          <w:numId w:val="0"/>
        </w:numPr>
      </w:pPr>
      <w:r>
        <w:rPr>
          <w:u w:val="single"/>
        </w:rPr>
        <w:t>氟氯烃消费报告</w:t>
      </w:r>
    </w:p>
    <w:p>
      <w:pPr>
        <w:pStyle w:val="2"/>
      </w:pPr>
      <w:r>
        <w:rPr>
          <w:rFonts w:hint="eastAsia"/>
          <w:lang w:val="en-US" w:eastAsia="zh-CN"/>
        </w:rPr>
        <w:t xml:space="preserve"> </w:t>
      </w:r>
      <w:r>
        <w:t>印度尼西亚政府报告 2020 年的氟氯烃消费量为 188.41 ODP 吨，比本文件第 3 段和第 4 段所述的氟氯烃履约基准低 53%。政府据 2020 年国家方案</w:t>
      </w:r>
      <w:r>
        <w:rPr>
          <w:rFonts w:hint="eastAsia"/>
          <w:lang w:val="en-US" w:eastAsia="zh-CN"/>
        </w:rPr>
        <w:t>执行</w:t>
      </w:r>
      <w:r>
        <w:t>报告</w:t>
      </w:r>
      <w:r>
        <w:rPr>
          <w:rFonts w:hint="eastAsia"/>
          <w:lang w:val="en-US" w:eastAsia="zh-CN"/>
        </w:rPr>
        <w:t>所</w:t>
      </w:r>
      <w:r>
        <w:t>报告的氟氯烃行业消费数据与根据《蒙特利尔议定书》第 7 条报告的数据一致。</w:t>
      </w:r>
    </w:p>
    <w:p>
      <w:pPr>
        <w:pStyle w:val="2"/>
        <w:numPr>
          <w:ilvl w:val="0"/>
          <w:numId w:val="0"/>
        </w:numPr>
      </w:pPr>
      <w:r>
        <w:rPr>
          <w:rFonts w:hint="eastAsia"/>
          <w:i/>
          <w:iCs/>
          <w:lang w:val="en-US" w:eastAsia="zh-CN"/>
        </w:rPr>
        <w:t>核查</w:t>
      </w:r>
      <w:r>
        <w:rPr>
          <w:i/>
          <w:iCs/>
        </w:rPr>
        <w:t>报告</w:t>
      </w:r>
    </w:p>
    <w:p>
      <w:pPr>
        <w:pStyle w:val="2"/>
      </w:pPr>
      <w:r>
        <w:t>核查报告证实，政府正在实施氟氯烃进出口许可和配额制度，根据《蒙特利尔议定书》第 7 条报告的 2018 年至 2020 年氟氯烃总消费量是正确的（如</w:t>
      </w:r>
      <w:r>
        <w:rPr>
          <w:rFonts w:hint="eastAsia"/>
          <w:lang w:val="en-US" w:eastAsia="zh-CN"/>
        </w:rPr>
        <w:t>本</w:t>
      </w:r>
      <w:r>
        <w:t>文件表 1 所示）。核查的结论是，印度尼西亚政府</w:t>
      </w:r>
      <w:r>
        <w:rPr>
          <w:rFonts w:hint="eastAsia"/>
          <w:lang w:val="en-US" w:eastAsia="zh-CN"/>
        </w:rPr>
        <w:t>执行</w:t>
      </w:r>
      <w:r>
        <w:t>的进出口管制有效地减少了氟氯烃的消费</w:t>
      </w:r>
      <w:r>
        <w:rPr>
          <w:rFonts w:hint="eastAsia"/>
          <w:lang w:val="en-US" w:eastAsia="zh-CN"/>
        </w:rPr>
        <w:t>量</w:t>
      </w:r>
      <w:r>
        <w:t>，确定配额的过程是透明和公平的，进口过程（在线申请）是高效的。</w:t>
      </w:r>
    </w:p>
    <w:p>
      <w:pPr>
        <w:rPr>
          <w:u w:val="single"/>
        </w:rPr>
      </w:pPr>
      <w:r>
        <w:rPr>
          <w:u w:val="single"/>
        </w:rPr>
        <w:t>P氟氯烃淘汰管理计划第二次付款的执行进度报告</w:t>
      </w:r>
    </w:p>
    <w:p>
      <w:pPr>
        <w:rPr>
          <w:u w:val="single"/>
        </w:rPr>
      </w:pPr>
    </w:p>
    <w:p>
      <w:pPr>
        <w:rPr>
          <w:i/>
          <w:iCs/>
        </w:rPr>
      </w:pPr>
      <w:r>
        <w:rPr>
          <w:i/>
          <w:iCs/>
        </w:rPr>
        <w:t>法律框架</w:t>
      </w:r>
    </w:p>
    <w:p/>
    <w:p>
      <w:pPr>
        <w:pStyle w:val="2"/>
        <w:rPr>
          <w:color w:val="000000"/>
          <w:shd w:val="clear" w:color="auto" w:fill="FFFFFF"/>
        </w:rPr>
      </w:pPr>
      <w:r>
        <w:rPr>
          <w:color w:val="000000"/>
          <w:shd w:val="clear" w:color="auto" w:fill="FFFFFF"/>
        </w:rPr>
        <w:t>政府从 2015 年 1 月 1 日起禁止在制冷和空调制造和组装行业使用</w:t>
      </w:r>
      <w:r>
        <w:rPr>
          <w:rFonts w:hint="eastAsia"/>
          <w:color w:val="000000"/>
          <w:shd w:val="clear" w:color="auto" w:fill="FFFFFF"/>
          <w:lang w:eastAsia="zh-CN"/>
        </w:rPr>
        <w:t>氟氯烃</w:t>
      </w:r>
      <w:r>
        <w:rPr>
          <w:color w:val="000000"/>
          <w:shd w:val="clear" w:color="auto" w:fill="FFFFFF"/>
        </w:rPr>
        <w:t>-22 和</w:t>
      </w:r>
      <w:r>
        <w:rPr>
          <w:rFonts w:hint="eastAsia"/>
          <w:color w:val="000000"/>
          <w:shd w:val="clear" w:color="auto" w:fill="FFFFFF"/>
          <w:lang w:eastAsia="zh-CN"/>
        </w:rPr>
        <w:t>氟氯 </w:t>
      </w:r>
      <w:r>
        <w:rPr>
          <w:color w:val="000000"/>
          <w:shd w:val="clear" w:color="auto" w:fill="FFFFFF"/>
        </w:rPr>
        <w:t>141 ；从高度易燃物质清单中删除 HFC-32；从 2016 年 1 月 1 日起禁止进口基于 CFC 和</w:t>
      </w:r>
      <w:r>
        <w:rPr>
          <w:rFonts w:hint="eastAsia"/>
          <w:color w:val="000000"/>
          <w:shd w:val="clear" w:color="auto" w:fill="FFFFFF"/>
          <w:lang w:eastAsia="zh-CN"/>
        </w:rPr>
        <w:t>氟氯烃</w:t>
      </w:r>
      <w:r>
        <w:rPr>
          <w:color w:val="000000"/>
          <w:shd w:val="clear" w:color="auto" w:fill="FFFFFF"/>
        </w:rPr>
        <w:t>-22 的设备。在氟氯烃淘汰管理计划的第一阶段</w:t>
      </w:r>
      <w:r>
        <w:rPr>
          <w:rFonts w:hint="eastAsia"/>
          <w:color w:val="000000"/>
          <w:shd w:val="clear" w:color="auto" w:fill="FFFFFF"/>
          <w:lang w:val="en-US" w:eastAsia="zh-CN"/>
        </w:rPr>
        <w:t>执行</w:t>
      </w:r>
      <w:r>
        <w:rPr>
          <w:color w:val="000000"/>
          <w:shd w:val="clear" w:color="auto" w:fill="FFFFFF"/>
        </w:rPr>
        <w:t>了技术人员自愿认证，于 2021 年 10 月 18 日成为强制性要求。</w:t>
      </w:r>
    </w:p>
    <w:p>
      <w:pPr>
        <w:pStyle w:val="2"/>
        <w:numPr>
          <w:ilvl w:val="0"/>
          <w:numId w:val="0"/>
        </w:numPr>
      </w:pPr>
      <w:r>
        <w:rPr>
          <w:i/>
          <w:iCs/>
          <w:color w:val="000000"/>
          <w:shd w:val="clear" w:color="auto" w:fill="FFFFFF"/>
        </w:rPr>
        <w:t>聚氨酯泡沫制造部门</w:t>
      </w:r>
    </w:p>
    <w:p>
      <w:pPr>
        <w:pStyle w:val="2"/>
      </w:pPr>
      <w:r>
        <w:t>为在 2021 年 1 月 1 日之前</w:t>
      </w:r>
      <w:r>
        <w:rPr>
          <w:rFonts w:hint="eastAsia"/>
          <w:lang w:val="en-US" w:eastAsia="zh-CN"/>
        </w:rPr>
        <w:t>达成</w:t>
      </w:r>
      <w:r>
        <w:t>完全淘汰</w:t>
      </w:r>
      <w:r>
        <w:rPr>
          <w:rFonts w:hint="eastAsia"/>
          <w:lang w:eastAsia="zh-CN"/>
        </w:rPr>
        <w:t>氟氯烃</w:t>
      </w:r>
      <w:r>
        <w:t>-141b，第二阶段包括将 4 家大型（消费量超过 20 公吨）和 8 家中型企业（消费量在 5 至 20 公吨之间）转换为基</w:t>
      </w:r>
      <w:r>
        <w:rPr>
          <w:rFonts w:hint="eastAsia"/>
          <w:lang w:val="en-US" w:eastAsia="zh-CN"/>
        </w:rPr>
        <w:t>于</w:t>
      </w:r>
      <w:r>
        <w:t>碳氢化合物(HC)</w:t>
      </w:r>
      <w:r>
        <w:rPr>
          <w:rFonts w:hint="eastAsia"/>
          <w:lang w:val="en-US" w:eastAsia="zh-CN"/>
        </w:rPr>
        <w:t>的</w:t>
      </w:r>
      <w:r>
        <w:t>发泡剂，前者在</w:t>
      </w:r>
      <w:r>
        <w:rPr>
          <w:rFonts w:hint="eastAsia"/>
          <w:lang w:val="en-US" w:eastAsia="zh-CN"/>
        </w:rPr>
        <w:t>公司</w:t>
      </w:r>
      <w:r>
        <w:t xml:space="preserve">内部混合，后者购买预混合HC； </w:t>
      </w:r>
      <w:r>
        <w:rPr>
          <w:rFonts w:hint="eastAsia"/>
          <w:lang w:val="en-US" w:eastAsia="zh-CN"/>
        </w:rPr>
        <w:t>对于</w:t>
      </w:r>
      <w:r>
        <w:t>201 家小型企业转型的集体项目，将提供</w:t>
      </w:r>
      <w:r>
        <w:rPr>
          <w:rFonts w:hint="eastAsia"/>
          <w:lang w:eastAsia="zh-CN"/>
        </w:rPr>
        <w:t>凭据</w:t>
      </w:r>
      <w:r>
        <w:t>，以优惠价格从配方厂家购买低全球升温潜能值发泡剂；并协助两家系统制造商引入基于 HC 和 HFO 的多元醇系统。</w:t>
      </w:r>
    </w:p>
    <w:p>
      <w:pPr>
        <w:pStyle w:val="2"/>
      </w:pPr>
      <w:r>
        <w:rPr>
          <w:rFonts w:hint="eastAsia"/>
          <w:lang w:val="en-US" w:eastAsia="zh-CN"/>
        </w:rPr>
        <w:t>迄今</w:t>
      </w:r>
      <w:r>
        <w:t>，12家大中型企业中的11家，</w:t>
      </w:r>
      <w:r>
        <w:rPr>
          <w:rFonts w:hint="eastAsia"/>
          <w:lang w:val="en-US" w:eastAsia="zh-CN"/>
        </w:rPr>
        <w:t>以及两家</w:t>
      </w:r>
      <w:r>
        <w:t>系统公司，</w:t>
      </w:r>
      <w:r>
        <w:rPr>
          <w:rStyle w:val="71"/>
        </w:rPr>
        <w:footnoteReference w:id="9"/>
      </w:r>
      <w:r>
        <w:rPr>
          <w:rFonts w:hint="eastAsia"/>
          <w:lang w:val="en-US" w:eastAsia="zh-CN"/>
        </w:rPr>
        <w:t xml:space="preserve"> </w:t>
      </w:r>
      <w:r>
        <w:t>已完成转换；剩余的一家中型企业（Koronka Nusantara, PT.）于 2021 年 4 月签署了泡沫技术更换协议；正在与供应商制造一台高压发泡机，预计2021年12月完成转换。 2021年8月，政府为201家小企业集团项目制定了凭证系统技术指南；但是，鉴于 COVID-19 大流行造成的延误，凭证系统将于 2022 年 1 月到位，并延长至 2023 年 6 月。</w:t>
      </w:r>
    </w:p>
    <w:p>
      <w:pPr>
        <w:pStyle w:val="2"/>
      </w:pPr>
      <w:r>
        <w:t>根据第 76/38(c) 号决定，计划于 2021 年 1 月 1 日禁止使用和进口纯和预混形式的</w:t>
      </w:r>
      <w:r>
        <w:rPr>
          <w:rFonts w:hint="eastAsia"/>
          <w:lang w:eastAsia="zh-CN"/>
        </w:rPr>
        <w:t>氟氯烃</w:t>
      </w:r>
      <w:r>
        <w:t>-141b；然而，由于 COVID-19 大流行导致的中断</w:t>
      </w:r>
      <w:r>
        <w:rPr>
          <w:rFonts w:hint="eastAsia"/>
          <w:lang w:eastAsia="zh-CN"/>
        </w:rPr>
        <w:t>，</w:t>
      </w:r>
      <w:r>
        <w:t>设备、材料和支持的交付延迟，印度尼西亚政府</w:t>
      </w:r>
      <w:r>
        <w:rPr>
          <w:rFonts w:hint="eastAsia"/>
          <w:lang w:val="en-US" w:eastAsia="zh-CN"/>
        </w:rPr>
        <w:t>拟</w:t>
      </w:r>
      <w:r>
        <w:t>将禁令推迟到 2022 年 1 月 1 日。</w:t>
      </w:r>
    </w:p>
    <w:p>
      <w:pPr>
        <w:pStyle w:val="2"/>
        <w:numPr>
          <w:ilvl w:val="0"/>
          <w:numId w:val="0"/>
        </w:numPr>
      </w:pPr>
      <w:r>
        <w:rPr>
          <w:i/>
          <w:iCs/>
        </w:rPr>
        <w:t>制冷</w:t>
      </w:r>
      <w:r>
        <w:rPr>
          <w:rFonts w:hint="eastAsia"/>
          <w:i/>
          <w:iCs/>
          <w:lang w:val="en-US" w:eastAsia="zh-CN"/>
        </w:rPr>
        <w:t>维修</w:t>
      </w:r>
      <w:r>
        <w:rPr>
          <w:i/>
          <w:iCs/>
        </w:rPr>
        <w:t>行业</w:t>
      </w:r>
    </w:p>
    <w:p>
      <w:pPr>
        <w:pStyle w:val="2"/>
      </w:pPr>
      <w:r>
        <w:t>开展了以下活动：</w:t>
      </w:r>
    </w:p>
    <w:p>
      <w:pPr>
        <w:pStyle w:val="3"/>
      </w:pPr>
      <w:r>
        <w:t>向海关官员交付和分发 20 个便携式制冷剂识别器，</w:t>
      </w:r>
      <w:r>
        <w:rPr>
          <w:rStyle w:val="71"/>
        </w:rPr>
        <w:footnoteReference w:id="10"/>
      </w:r>
      <w:r>
        <w:rPr>
          <w:rFonts w:hint="eastAsia"/>
          <w:lang w:val="en-US" w:eastAsia="zh-CN"/>
        </w:rPr>
        <w:t xml:space="preserve">  </w:t>
      </w:r>
      <w:r>
        <w:t>并对 474 名海关和执法人员进行</w:t>
      </w:r>
      <w:r>
        <w:rPr>
          <w:rFonts w:hint="eastAsia"/>
          <w:lang w:val="en-US" w:eastAsia="zh-CN"/>
        </w:rPr>
        <w:t>了</w:t>
      </w:r>
      <w:r>
        <w:t>培训，以监测</w:t>
      </w:r>
      <w:r>
        <w:rPr>
          <w:rFonts w:hint="eastAsia"/>
          <w:lang w:eastAsia="zh-CN"/>
        </w:rPr>
        <w:t>氟氯烃</w:t>
      </w:r>
      <w:r>
        <w:t xml:space="preserve"> </w:t>
      </w:r>
      <w:r>
        <w:rPr>
          <w:rFonts w:hint="eastAsia"/>
          <w:lang w:eastAsia="zh-CN"/>
        </w:rPr>
        <w:t>，</w:t>
      </w:r>
      <w:r>
        <w:t>并防止</w:t>
      </w:r>
      <w:r>
        <w:rPr>
          <w:rFonts w:hint="eastAsia"/>
          <w:lang w:val="en-US" w:eastAsia="zh-CN"/>
        </w:rPr>
        <w:t>已</w:t>
      </w:r>
      <w:r>
        <w:t>禁用制冷剂的非法贸易；</w:t>
      </w:r>
    </w:p>
    <w:p>
      <w:pPr>
        <w:pStyle w:val="3"/>
      </w:pPr>
      <w:r>
        <w:t>采购111套设备（如回收机、真空泵和真空计、低压制冷剂四通歧管和软管、高压制冷剂四通歧管和软管、钢瓶、秤、检漏仪等） 、温度计、制冷剂标识符）供技术人员和培训机构使用；并开始为一个回收</w:t>
      </w:r>
      <w:r>
        <w:rPr>
          <w:rFonts w:hint="eastAsia"/>
          <w:lang w:val="en-US" w:eastAsia="zh-CN"/>
        </w:rPr>
        <w:t>利用</w:t>
      </w:r>
      <w:r>
        <w:t>中心采购设备（例如，多制冷剂回收装置、真空泵和真空计、钢瓶、秤、制冷剂识别器、回收机、钢瓶检查管道镜），预计于 2021 年 12 月交付；</w:t>
      </w:r>
    </w:p>
    <w:p>
      <w:pPr>
        <w:pStyle w:val="3"/>
      </w:pPr>
      <w:r>
        <w:t>能力建设活动，包括</w:t>
      </w:r>
      <w:r>
        <w:rPr>
          <w:rFonts w:hint="eastAsia"/>
          <w:lang w:val="en-US" w:eastAsia="zh-CN"/>
        </w:rPr>
        <w:t>执行</w:t>
      </w:r>
      <w:r>
        <w:t>培训师培训计划</w:t>
      </w:r>
      <w:r>
        <w:rPr>
          <w:rFonts w:hint="eastAsia"/>
          <w:lang w:eastAsia="zh-CN"/>
        </w:rPr>
        <w:t>，</w:t>
      </w:r>
      <w:r>
        <w:t>对 109 名培训师进行基于新课程的能力培训并成为认证顾问；审查和更新</w:t>
      </w:r>
      <w:r>
        <w:rPr>
          <w:rFonts w:hint="eastAsia"/>
          <w:lang w:val="en-US" w:eastAsia="zh-CN"/>
        </w:rPr>
        <w:t>维修</w:t>
      </w:r>
      <w:r>
        <w:t>技术人员处理新替代技术的培训材料和课程；对 476 名技术人员进行良好维修做法的培训和认证，包括易燃制冷剂的安全处理；由于 COVID-19 大流行，对技术人员的额外培训暂停；和</w:t>
      </w:r>
    </w:p>
    <w:p>
      <w:pPr>
        <w:pStyle w:val="3"/>
      </w:pPr>
      <w:r>
        <w:t xml:space="preserve">开展提高认识活动，鼓励最终用户在 </w:t>
      </w:r>
      <w:r>
        <w:rPr>
          <w:rFonts w:hint="eastAsia"/>
          <w:lang w:eastAsia="zh-CN"/>
        </w:rPr>
        <w:t>制冷空调</w:t>
      </w:r>
      <w:r>
        <w:t>分行业使用环境友好、全球升温潜能值低、无氟氯烃的技术，并使用经过认证的技术人员进行维修，其中包括组织 46 次会议和讲习班</w:t>
      </w:r>
      <w:r>
        <w:rPr>
          <w:rFonts w:hint="eastAsia"/>
          <w:lang w:eastAsia="zh-CN"/>
        </w:rPr>
        <w:t>，</w:t>
      </w:r>
      <w:r>
        <w:t>以提供信息外联和网络研讨会援助</w:t>
      </w:r>
      <w:r>
        <w:rPr>
          <w:rFonts w:hint="eastAsia"/>
          <w:lang w:eastAsia="zh-CN"/>
        </w:rPr>
        <w:t>，</w:t>
      </w:r>
      <w:r>
        <w:t>以及分发 750 份信息手册。</w:t>
      </w:r>
    </w:p>
    <w:p>
      <w:pPr>
        <w:pStyle w:val="3"/>
        <w:numPr>
          <w:ilvl w:val="1"/>
          <w:numId w:val="0"/>
        </w:numPr>
        <w:rPr>
          <w:i/>
        </w:rPr>
      </w:pPr>
      <w:r>
        <w:rPr>
          <w:i/>
          <w:iCs/>
        </w:rPr>
        <w:t>对消防</w:t>
      </w:r>
      <w:r>
        <w:rPr>
          <w:rFonts w:hint="eastAsia"/>
          <w:i/>
          <w:iCs/>
          <w:lang w:val="en-US" w:eastAsia="zh-CN"/>
        </w:rPr>
        <w:t>行业</w:t>
      </w:r>
      <w:r>
        <w:rPr>
          <w:i/>
          <w:iCs/>
        </w:rPr>
        <w:t>的技术援助</w:t>
      </w:r>
    </w:p>
    <w:p>
      <w:pPr>
        <w:pStyle w:val="2"/>
      </w:pPr>
      <w:r>
        <w:t>2020 年因 COVID-19 大流行而推迟了与加强消防部门</w:t>
      </w:r>
      <w:r>
        <w:rPr>
          <w:rFonts w:hint="eastAsia"/>
          <w:lang w:val="en-US" w:eastAsia="zh-CN"/>
        </w:rPr>
        <w:t>维修</w:t>
      </w:r>
      <w:r>
        <w:t>相关的活动，包括计划中的利益相关者研讨会； 2021 年，聘请了一名顾问来评估该行业的当前消费</w:t>
      </w:r>
      <w:r>
        <w:rPr>
          <w:rFonts w:hint="eastAsia"/>
          <w:lang w:val="en-US" w:eastAsia="zh-CN"/>
        </w:rPr>
        <w:t>量</w:t>
      </w:r>
      <w:r>
        <w:t>并确定替代技术，</w:t>
      </w:r>
      <w:r>
        <w:rPr>
          <w:rFonts w:hint="eastAsia"/>
          <w:lang w:val="en-US" w:eastAsia="zh-CN"/>
        </w:rPr>
        <w:t>不过</w:t>
      </w:r>
      <w:r>
        <w:t>这项活动继续受到</w:t>
      </w:r>
      <w:r>
        <w:rPr>
          <w:rFonts w:hint="eastAsia"/>
          <w:lang w:val="en-US" w:eastAsia="zh-CN"/>
        </w:rPr>
        <w:t>病毒</w:t>
      </w:r>
      <w:r>
        <w:t>大流行的限制。</w:t>
      </w:r>
    </w:p>
    <w:p>
      <w:pPr>
        <w:pStyle w:val="2"/>
        <w:numPr>
          <w:ilvl w:val="0"/>
          <w:numId w:val="0"/>
        </w:numPr>
      </w:pPr>
      <w:r>
        <w:rPr>
          <w:i/>
          <w:iCs/>
        </w:rPr>
        <w:t>项目</w:t>
      </w:r>
      <w:r>
        <w:rPr>
          <w:rFonts w:hint="eastAsia"/>
          <w:i/>
          <w:iCs/>
          <w:lang w:val="en-US" w:eastAsia="zh-CN"/>
        </w:rPr>
        <w:t>执行</w:t>
      </w:r>
      <w:r>
        <w:rPr>
          <w:i/>
          <w:iCs/>
        </w:rPr>
        <w:t>和监测组（</w:t>
      </w:r>
      <w:r>
        <w:rPr>
          <w:rFonts w:hint="eastAsia"/>
          <w:i/>
          <w:iCs/>
          <w:lang w:eastAsia="zh-CN"/>
        </w:rPr>
        <w:t>项目管理单位</w:t>
      </w:r>
      <w:r>
        <w:rPr>
          <w:i/>
          <w:iCs/>
        </w:rPr>
        <w:t>）</w:t>
      </w:r>
    </w:p>
    <w:p>
      <w:pPr>
        <w:pStyle w:val="2"/>
      </w:pPr>
      <w:r>
        <w:t>截至 2021 年 7 月，在第二次付款</w:t>
      </w:r>
      <w:r>
        <w:rPr>
          <w:rFonts w:hint="eastAsia"/>
          <w:lang w:eastAsia="zh-CN"/>
        </w:rPr>
        <w:t>发放</w:t>
      </w:r>
      <w:r>
        <w:t>了 7,374 美元，用于氟氯烃淘汰管理计划</w:t>
      </w:r>
      <w:r>
        <w:rPr>
          <w:rFonts w:hint="eastAsia"/>
          <w:lang w:val="en-US" w:eastAsia="zh-CN"/>
        </w:rPr>
        <w:t>的持</w:t>
      </w:r>
      <w:r>
        <w:t>续管理和协调。</w:t>
      </w:r>
    </w:p>
    <w:p>
      <w:pPr>
        <w:pStyle w:val="2"/>
        <w:numPr>
          <w:ilvl w:val="0"/>
          <w:numId w:val="0"/>
        </w:numPr>
      </w:pPr>
      <w:r>
        <w:rPr>
          <w:u w:val="single"/>
        </w:rPr>
        <w:t>资金</w:t>
      </w:r>
      <w:r>
        <w:rPr>
          <w:rFonts w:hint="eastAsia"/>
          <w:u w:val="single"/>
          <w:lang w:eastAsia="zh-CN"/>
        </w:rPr>
        <w:t>发放</w:t>
      </w:r>
      <w:r>
        <w:rPr>
          <w:u w:val="single"/>
        </w:rPr>
        <w:t>水平</w:t>
      </w:r>
    </w:p>
    <w:p>
      <w:pPr>
        <w:pStyle w:val="2"/>
      </w:pPr>
      <w:r>
        <w:t xml:space="preserve"> 截至 2021 年 7 月，在迄今批准的 6,248,906 美元中，已</w:t>
      </w:r>
      <w:r>
        <w:rPr>
          <w:rFonts w:hint="eastAsia"/>
          <w:lang w:val="en-US" w:eastAsia="zh-CN"/>
        </w:rPr>
        <w:t>发放</w:t>
      </w:r>
      <w:r>
        <w:t xml:space="preserve"> 3,917,909 美元（开发署为 1,089,644 美元，世界银行为 2,828,265 美元），如表 2 所示。余额为 2,330,997美元，</w:t>
      </w:r>
      <w:r>
        <w:rPr>
          <w:rFonts w:hint="eastAsia"/>
          <w:lang w:val="en-US" w:eastAsia="zh-CN"/>
        </w:rPr>
        <w:t>将在</w:t>
      </w:r>
      <w:r>
        <w:t xml:space="preserve">2022 </w:t>
      </w:r>
      <w:r>
        <w:rPr>
          <w:rFonts w:hint="eastAsia"/>
          <w:lang w:val="en-US" w:eastAsia="zh-CN"/>
        </w:rPr>
        <w:t>至</w:t>
      </w:r>
      <w:r>
        <w:t xml:space="preserve"> 2024</w:t>
      </w:r>
      <w:r>
        <w:rPr>
          <w:rFonts w:hint="eastAsia"/>
          <w:lang w:val="en-US" w:eastAsia="zh-CN"/>
        </w:rPr>
        <w:t>发放</w:t>
      </w:r>
      <w:r>
        <w:t>。</w:t>
      </w:r>
    </w:p>
    <w:p>
      <w:pPr>
        <w:keepNext/>
        <w:keepLines/>
        <w:widowControl w:val="0"/>
        <w:rPr>
          <w:b/>
        </w:rPr>
      </w:pPr>
      <w:r>
        <w:rPr>
          <w:b/>
        </w:rPr>
        <w:t>表 2. 印度尼西亚氟氯烃淘汰管理计划第二阶段的财务报告（美元）</w:t>
      </w:r>
    </w:p>
    <w:tbl>
      <w:tblPr>
        <w:tblStyle w:val="25"/>
        <w:tblW w:w="94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5"/>
        <w:gridCol w:w="1224"/>
        <w:gridCol w:w="1225"/>
        <w:gridCol w:w="1225"/>
        <w:gridCol w:w="1224"/>
        <w:gridCol w:w="1225"/>
        <w:gridCol w:w="12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5" w:type="dxa"/>
            <w:vMerge w:val="restart"/>
            <w:tcMar>
              <w:left w:w="14" w:type="dxa"/>
              <w:right w:w="0" w:type="dxa"/>
            </w:tcMar>
            <w:vAlign w:val="center"/>
          </w:tcPr>
          <w:p>
            <w:pPr>
              <w:keepNext/>
              <w:jc w:val="left"/>
              <w:rPr>
                <w:b/>
                <w:sz w:val="20"/>
                <w:szCs w:val="20"/>
                <w:lang w:val="en-US" w:eastAsia="zh-CN"/>
              </w:rPr>
            </w:pPr>
            <w:r>
              <w:rPr>
                <w:rFonts w:hint="eastAsia"/>
                <w:b/>
                <w:sz w:val="20"/>
                <w:szCs w:val="20"/>
                <w:lang w:val="en-US" w:eastAsia="zh-CN"/>
              </w:rPr>
              <w:t>机构</w:t>
            </w:r>
          </w:p>
        </w:tc>
        <w:tc>
          <w:tcPr>
            <w:tcW w:w="2449" w:type="dxa"/>
            <w:gridSpan w:val="2"/>
          </w:tcPr>
          <w:p>
            <w:pPr>
              <w:keepNext/>
              <w:jc w:val="center"/>
              <w:rPr>
                <w:b/>
                <w:sz w:val="20"/>
                <w:szCs w:val="20"/>
                <w:lang w:val="en-US" w:eastAsia="zh-CN"/>
              </w:rPr>
            </w:pPr>
            <w:r>
              <w:rPr>
                <w:rFonts w:hint="eastAsia"/>
                <w:b/>
                <w:sz w:val="20"/>
                <w:szCs w:val="20"/>
                <w:lang w:val="en-US" w:eastAsia="zh-CN"/>
              </w:rPr>
              <w:t>第一次付款</w:t>
            </w:r>
          </w:p>
        </w:tc>
        <w:tc>
          <w:tcPr>
            <w:tcW w:w="2449" w:type="dxa"/>
            <w:gridSpan w:val="2"/>
          </w:tcPr>
          <w:p>
            <w:pPr>
              <w:keepNext/>
              <w:jc w:val="center"/>
              <w:rPr>
                <w:b/>
                <w:sz w:val="20"/>
                <w:szCs w:val="20"/>
              </w:rPr>
            </w:pPr>
            <w:r>
              <w:rPr>
                <w:rFonts w:hint="eastAsia"/>
                <w:b/>
                <w:sz w:val="20"/>
                <w:szCs w:val="20"/>
                <w:lang w:val="en-US" w:eastAsia="zh-CN"/>
              </w:rPr>
              <w:t>第二次付款</w:t>
            </w:r>
          </w:p>
        </w:tc>
        <w:tc>
          <w:tcPr>
            <w:tcW w:w="2450" w:type="dxa"/>
            <w:gridSpan w:val="2"/>
          </w:tcPr>
          <w:p>
            <w:pPr>
              <w:keepNext/>
              <w:jc w:val="center"/>
              <w:rPr>
                <w:b/>
                <w:sz w:val="20"/>
                <w:szCs w:val="20"/>
              </w:rPr>
            </w:pPr>
            <w:r>
              <w:rPr>
                <w:rFonts w:hint="eastAsia"/>
                <w:b/>
                <w:sz w:val="20"/>
                <w:szCs w:val="20"/>
                <w:lang w:val="en-US" w:eastAsia="zh-CN"/>
              </w:rPr>
              <w:t>核准总额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5" w:type="dxa"/>
            <w:vMerge w:val="continue"/>
            <w:tcMar>
              <w:left w:w="14" w:type="dxa"/>
              <w:right w:w="0" w:type="dxa"/>
            </w:tcMar>
          </w:tcPr>
          <w:p>
            <w:pPr>
              <w:keepNext/>
              <w:jc w:val="center"/>
              <w:rPr>
                <w:b/>
                <w:sz w:val="20"/>
                <w:szCs w:val="20"/>
              </w:rPr>
            </w:pPr>
          </w:p>
        </w:tc>
        <w:tc>
          <w:tcPr>
            <w:tcW w:w="1224" w:type="dxa"/>
          </w:tcPr>
          <w:p>
            <w:pPr>
              <w:keepNext/>
              <w:jc w:val="center"/>
              <w:rPr>
                <w:b/>
                <w:sz w:val="20"/>
                <w:szCs w:val="20"/>
                <w:lang w:val="en-US" w:eastAsia="zh-CN"/>
              </w:rPr>
            </w:pPr>
            <w:r>
              <w:rPr>
                <w:rFonts w:hint="eastAsia"/>
                <w:b/>
                <w:sz w:val="20"/>
                <w:szCs w:val="20"/>
                <w:lang w:val="en-US" w:eastAsia="zh-CN"/>
              </w:rPr>
              <w:t>核准</w:t>
            </w:r>
          </w:p>
        </w:tc>
        <w:tc>
          <w:tcPr>
            <w:tcW w:w="1225" w:type="dxa"/>
          </w:tcPr>
          <w:p>
            <w:pPr>
              <w:keepNext/>
              <w:jc w:val="center"/>
              <w:rPr>
                <w:b/>
                <w:sz w:val="20"/>
                <w:szCs w:val="20"/>
                <w:lang w:eastAsia="zh-CN"/>
              </w:rPr>
            </w:pPr>
            <w:r>
              <w:rPr>
                <w:rFonts w:hint="eastAsia"/>
                <w:b/>
                <w:sz w:val="20"/>
                <w:szCs w:val="20"/>
                <w:lang w:val="en-US" w:eastAsia="zh-CN"/>
              </w:rPr>
              <w:t>发放</w:t>
            </w:r>
          </w:p>
        </w:tc>
        <w:tc>
          <w:tcPr>
            <w:tcW w:w="1225" w:type="dxa"/>
          </w:tcPr>
          <w:p>
            <w:pPr>
              <w:keepNext/>
              <w:jc w:val="center"/>
              <w:rPr>
                <w:b/>
                <w:sz w:val="20"/>
                <w:szCs w:val="20"/>
              </w:rPr>
            </w:pPr>
            <w:r>
              <w:rPr>
                <w:rFonts w:hint="eastAsia"/>
                <w:b/>
                <w:sz w:val="20"/>
                <w:szCs w:val="20"/>
                <w:lang w:val="en-US" w:eastAsia="zh-CN"/>
              </w:rPr>
              <w:t>核准</w:t>
            </w:r>
          </w:p>
        </w:tc>
        <w:tc>
          <w:tcPr>
            <w:tcW w:w="1224" w:type="dxa"/>
          </w:tcPr>
          <w:p>
            <w:pPr>
              <w:keepNext/>
              <w:jc w:val="center"/>
              <w:rPr>
                <w:b/>
                <w:sz w:val="20"/>
                <w:szCs w:val="20"/>
              </w:rPr>
            </w:pPr>
            <w:r>
              <w:rPr>
                <w:rFonts w:hint="eastAsia"/>
                <w:b/>
                <w:sz w:val="20"/>
                <w:szCs w:val="20"/>
                <w:lang w:val="en-US" w:eastAsia="zh-CN"/>
              </w:rPr>
              <w:t>发放</w:t>
            </w:r>
          </w:p>
        </w:tc>
        <w:tc>
          <w:tcPr>
            <w:tcW w:w="1225" w:type="dxa"/>
          </w:tcPr>
          <w:p>
            <w:pPr>
              <w:keepNext/>
              <w:jc w:val="center"/>
              <w:rPr>
                <w:b/>
                <w:sz w:val="20"/>
                <w:szCs w:val="20"/>
              </w:rPr>
            </w:pPr>
            <w:r>
              <w:rPr>
                <w:rFonts w:hint="eastAsia"/>
                <w:b/>
                <w:sz w:val="20"/>
                <w:szCs w:val="20"/>
                <w:lang w:val="en-US" w:eastAsia="zh-CN"/>
              </w:rPr>
              <w:t>核准</w:t>
            </w:r>
          </w:p>
        </w:tc>
        <w:tc>
          <w:tcPr>
            <w:tcW w:w="1225" w:type="dxa"/>
          </w:tcPr>
          <w:p>
            <w:pPr>
              <w:keepNext/>
              <w:jc w:val="center"/>
              <w:rPr>
                <w:b/>
                <w:sz w:val="20"/>
                <w:szCs w:val="20"/>
              </w:rPr>
            </w:pPr>
            <w:r>
              <w:rPr>
                <w:rFonts w:hint="eastAsia"/>
                <w:b/>
                <w:sz w:val="20"/>
                <w:szCs w:val="20"/>
                <w:lang w:val="en-US" w:eastAsia="zh-CN"/>
              </w:rPr>
              <w:t>发放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5" w:type="dxa"/>
            <w:tcMar>
              <w:left w:w="14" w:type="dxa"/>
              <w:right w:w="0" w:type="dxa"/>
            </w:tcMar>
          </w:tcPr>
          <w:p>
            <w:pPr>
              <w:keepNext/>
              <w:rPr>
                <w:sz w:val="20"/>
                <w:szCs w:val="20"/>
                <w:lang w:val="en-US" w:eastAsia="zh-CN"/>
              </w:rPr>
            </w:pPr>
            <w:r>
              <w:rPr>
                <w:rFonts w:hint="eastAsia"/>
                <w:sz w:val="20"/>
                <w:szCs w:val="20"/>
                <w:lang w:val="en-US" w:eastAsia="zh-CN"/>
              </w:rPr>
              <w:t>开发计划署</w:t>
            </w:r>
          </w:p>
        </w:tc>
        <w:tc>
          <w:tcPr>
            <w:tcW w:w="1224" w:type="dxa"/>
          </w:tcPr>
          <w:p>
            <w:pPr>
              <w:keepNext/>
              <w:jc w:val="right"/>
              <w:rPr>
                <w:sz w:val="20"/>
                <w:szCs w:val="20"/>
              </w:rPr>
            </w:pPr>
            <w:r>
              <w:rPr>
                <w:sz w:val="20"/>
                <w:szCs w:val="20"/>
              </w:rPr>
              <w:t>2,233,114</w:t>
            </w:r>
          </w:p>
        </w:tc>
        <w:tc>
          <w:tcPr>
            <w:tcW w:w="1225" w:type="dxa"/>
          </w:tcPr>
          <w:p>
            <w:pPr>
              <w:keepNext/>
              <w:jc w:val="right"/>
              <w:rPr>
                <w:sz w:val="20"/>
                <w:szCs w:val="20"/>
              </w:rPr>
            </w:pPr>
            <w:r>
              <w:rPr>
                <w:sz w:val="20"/>
                <w:szCs w:val="20"/>
              </w:rPr>
              <w:t>895,113</w:t>
            </w:r>
          </w:p>
        </w:tc>
        <w:tc>
          <w:tcPr>
            <w:tcW w:w="1225" w:type="dxa"/>
          </w:tcPr>
          <w:p>
            <w:pPr>
              <w:keepNext/>
              <w:jc w:val="right"/>
              <w:rPr>
                <w:sz w:val="20"/>
                <w:szCs w:val="20"/>
              </w:rPr>
            </w:pPr>
            <w:r>
              <w:rPr>
                <w:sz w:val="20"/>
                <w:szCs w:val="20"/>
              </w:rPr>
              <w:t>753,500</w:t>
            </w:r>
          </w:p>
        </w:tc>
        <w:tc>
          <w:tcPr>
            <w:tcW w:w="1224" w:type="dxa"/>
          </w:tcPr>
          <w:p>
            <w:pPr>
              <w:keepNext/>
              <w:jc w:val="right"/>
              <w:rPr>
                <w:sz w:val="20"/>
                <w:szCs w:val="20"/>
              </w:rPr>
            </w:pPr>
            <w:r>
              <w:rPr>
                <w:sz w:val="20"/>
                <w:szCs w:val="20"/>
              </w:rPr>
              <w:t>194,531</w:t>
            </w:r>
          </w:p>
        </w:tc>
        <w:tc>
          <w:tcPr>
            <w:tcW w:w="1225" w:type="dxa"/>
          </w:tcPr>
          <w:p>
            <w:pPr>
              <w:keepNext/>
              <w:jc w:val="right"/>
              <w:rPr>
                <w:sz w:val="20"/>
                <w:szCs w:val="20"/>
              </w:rPr>
            </w:pPr>
            <w:r>
              <w:rPr>
                <w:sz w:val="20"/>
                <w:szCs w:val="20"/>
              </w:rPr>
              <w:t>2,986,614</w:t>
            </w:r>
          </w:p>
        </w:tc>
        <w:tc>
          <w:tcPr>
            <w:tcW w:w="1225" w:type="dxa"/>
          </w:tcPr>
          <w:p>
            <w:pPr>
              <w:keepNext/>
              <w:jc w:val="right"/>
              <w:rPr>
                <w:sz w:val="20"/>
                <w:szCs w:val="20"/>
              </w:rPr>
            </w:pPr>
            <w:r>
              <w:rPr>
                <w:sz w:val="20"/>
                <w:szCs w:val="20"/>
              </w:rPr>
              <w:t>1,089,644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5" w:type="dxa"/>
            <w:tcMar>
              <w:left w:w="14" w:type="dxa"/>
              <w:right w:w="0" w:type="dxa"/>
            </w:tcMar>
          </w:tcPr>
          <w:p>
            <w:pPr>
              <w:rPr>
                <w:sz w:val="20"/>
                <w:szCs w:val="20"/>
                <w:lang w:val="en-US" w:eastAsia="zh-CN"/>
              </w:rPr>
            </w:pPr>
            <w:r>
              <w:rPr>
                <w:rFonts w:hint="eastAsia"/>
                <w:sz w:val="20"/>
                <w:szCs w:val="20"/>
                <w:lang w:val="en-US" w:eastAsia="zh-CN"/>
              </w:rPr>
              <w:t>世界银行</w:t>
            </w:r>
          </w:p>
        </w:tc>
        <w:tc>
          <w:tcPr>
            <w:tcW w:w="1224" w:type="dxa"/>
          </w:tcPr>
          <w:p>
            <w:pPr>
              <w:jc w:val="right"/>
              <w:rPr>
                <w:sz w:val="20"/>
                <w:szCs w:val="20"/>
              </w:rPr>
            </w:pPr>
            <w:r>
              <w:rPr>
                <w:sz w:val="20"/>
                <w:szCs w:val="20"/>
              </w:rPr>
              <w:t>1,985,743</w:t>
            </w:r>
          </w:p>
        </w:tc>
        <w:tc>
          <w:tcPr>
            <w:tcW w:w="1225" w:type="dxa"/>
          </w:tcPr>
          <w:p>
            <w:pPr>
              <w:jc w:val="right"/>
              <w:rPr>
                <w:sz w:val="20"/>
                <w:szCs w:val="20"/>
              </w:rPr>
            </w:pPr>
            <w:r>
              <w:rPr>
                <w:sz w:val="20"/>
                <w:szCs w:val="20"/>
              </w:rPr>
              <w:t>1,985,743</w:t>
            </w:r>
          </w:p>
        </w:tc>
        <w:tc>
          <w:tcPr>
            <w:tcW w:w="1225" w:type="dxa"/>
          </w:tcPr>
          <w:p>
            <w:pPr>
              <w:jc w:val="right"/>
              <w:rPr>
                <w:sz w:val="20"/>
                <w:szCs w:val="20"/>
              </w:rPr>
            </w:pPr>
            <w:r>
              <w:rPr>
                <w:sz w:val="20"/>
                <w:szCs w:val="20"/>
              </w:rPr>
              <w:t>1,276,549</w:t>
            </w:r>
          </w:p>
        </w:tc>
        <w:tc>
          <w:tcPr>
            <w:tcW w:w="1224" w:type="dxa"/>
          </w:tcPr>
          <w:p>
            <w:pPr>
              <w:jc w:val="right"/>
              <w:rPr>
                <w:sz w:val="20"/>
                <w:szCs w:val="20"/>
              </w:rPr>
            </w:pPr>
            <w:r>
              <w:rPr>
                <w:sz w:val="20"/>
                <w:szCs w:val="20"/>
              </w:rPr>
              <w:t>842,522</w:t>
            </w:r>
          </w:p>
        </w:tc>
        <w:tc>
          <w:tcPr>
            <w:tcW w:w="1225" w:type="dxa"/>
          </w:tcPr>
          <w:p>
            <w:pPr>
              <w:jc w:val="right"/>
              <w:rPr>
                <w:sz w:val="20"/>
                <w:szCs w:val="20"/>
              </w:rPr>
            </w:pPr>
            <w:r>
              <w:rPr>
                <w:sz w:val="20"/>
                <w:szCs w:val="20"/>
              </w:rPr>
              <w:t>3,262,292</w:t>
            </w:r>
          </w:p>
        </w:tc>
        <w:tc>
          <w:tcPr>
            <w:tcW w:w="1225" w:type="dxa"/>
          </w:tcPr>
          <w:p>
            <w:pPr>
              <w:jc w:val="right"/>
              <w:rPr>
                <w:sz w:val="20"/>
                <w:szCs w:val="20"/>
              </w:rPr>
            </w:pPr>
            <w:r>
              <w:rPr>
                <w:sz w:val="20"/>
                <w:szCs w:val="20"/>
              </w:rPr>
              <w:t>2,828,265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5" w:type="dxa"/>
            <w:tcMar>
              <w:left w:w="14" w:type="dxa"/>
              <w:right w:w="0" w:type="dxa"/>
            </w:tcMar>
          </w:tcPr>
          <w:p>
            <w:pPr>
              <w:rPr>
                <w:b/>
                <w:sz w:val="20"/>
                <w:szCs w:val="20"/>
                <w:lang w:eastAsia="zh-CN"/>
              </w:rPr>
            </w:pPr>
            <w:r>
              <w:rPr>
                <w:rFonts w:hint="eastAsia"/>
                <w:b/>
                <w:sz w:val="20"/>
                <w:szCs w:val="20"/>
                <w:lang w:val="en-US" w:eastAsia="zh-CN"/>
              </w:rPr>
              <w:t>合计</w:t>
            </w:r>
          </w:p>
        </w:tc>
        <w:tc>
          <w:tcPr>
            <w:tcW w:w="1224" w:type="dxa"/>
          </w:tcPr>
          <w:p>
            <w:pPr>
              <w:jc w:val="right"/>
              <w:rPr>
                <w:sz w:val="20"/>
                <w:szCs w:val="20"/>
              </w:rPr>
            </w:pPr>
            <w:r>
              <w:rPr>
                <w:sz w:val="20"/>
                <w:szCs w:val="20"/>
              </w:rPr>
              <w:t>4,218,857</w:t>
            </w:r>
          </w:p>
        </w:tc>
        <w:tc>
          <w:tcPr>
            <w:tcW w:w="1225" w:type="dxa"/>
          </w:tcPr>
          <w:p>
            <w:pPr>
              <w:jc w:val="right"/>
              <w:rPr>
                <w:sz w:val="20"/>
                <w:szCs w:val="20"/>
              </w:rPr>
            </w:pPr>
            <w:r>
              <w:rPr>
                <w:sz w:val="20"/>
                <w:szCs w:val="20"/>
              </w:rPr>
              <w:t>2,880,856</w:t>
            </w:r>
          </w:p>
        </w:tc>
        <w:tc>
          <w:tcPr>
            <w:tcW w:w="1225" w:type="dxa"/>
          </w:tcPr>
          <w:p>
            <w:pPr>
              <w:jc w:val="right"/>
              <w:rPr>
                <w:sz w:val="20"/>
                <w:szCs w:val="20"/>
              </w:rPr>
            </w:pPr>
            <w:r>
              <w:rPr>
                <w:sz w:val="20"/>
                <w:szCs w:val="20"/>
              </w:rPr>
              <w:t>2,030,049</w:t>
            </w:r>
          </w:p>
        </w:tc>
        <w:tc>
          <w:tcPr>
            <w:tcW w:w="1224" w:type="dxa"/>
          </w:tcPr>
          <w:p>
            <w:pPr>
              <w:jc w:val="right"/>
              <w:rPr>
                <w:sz w:val="20"/>
                <w:szCs w:val="20"/>
              </w:rPr>
            </w:pPr>
            <w:r>
              <w:rPr>
                <w:sz w:val="20"/>
                <w:szCs w:val="20"/>
              </w:rPr>
              <w:t>1,037,053</w:t>
            </w:r>
          </w:p>
        </w:tc>
        <w:tc>
          <w:tcPr>
            <w:tcW w:w="1225" w:type="dxa"/>
          </w:tcPr>
          <w:p>
            <w:pPr>
              <w:jc w:val="right"/>
              <w:rPr>
                <w:sz w:val="20"/>
                <w:szCs w:val="20"/>
              </w:rPr>
            </w:pPr>
            <w:r>
              <w:rPr>
                <w:sz w:val="20"/>
                <w:szCs w:val="20"/>
              </w:rPr>
              <w:t>6,248,906</w:t>
            </w:r>
          </w:p>
        </w:tc>
        <w:tc>
          <w:tcPr>
            <w:tcW w:w="1225" w:type="dxa"/>
          </w:tcPr>
          <w:p>
            <w:pPr>
              <w:jc w:val="right"/>
              <w:rPr>
                <w:sz w:val="20"/>
                <w:szCs w:val="20"/>
              </w:rPr>
            </w:pPr>
            <w:r>
              <w:rPr>
                <w:sz w:val="20"/>
                <w:szCs w:val="20"/>
              </w:rPr>
              <w:t>3,917,909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65" w:type="dxa"/>
            <w:tcMar>
              <w:left w:w="14" w:type="dxa"/>
              <w:right w:w="0" w:type="dxa"/>
            </w:tcMar>
          </w:tcPr>
          <w:p>
            <w:pPr>
              <w:jc w:val="left"/>
              <w:rPr>
                <w:b/>
                <w:sz w:val="20"/>
                <w:szCs w:val="20"/>
              </w:rPr>
            </w:pPr>
            <w:r>
              <w:rPr>
                <w:rFonts w:hint="eastAsia"/>
                <w:b/>
                <w:sz w:val="20"/>
                <w:szCs w:val="20"/>
                <w:lang w:val="en-US" w:eastAsia="zh-CN"/>
              </w:rPr>
              <w:t>发放率</w:t>
            </w:r>
            <w:r>
              <w:rPr>
                <w:b/>
                <w:sz w:val="20"/>
                <w:szCs w:val="20"/>
              </w:rPr>
              <w:t xml:space="preserve"> (%)</w:t>
            </w:r>
          </w:p>
        </w:tc>
        <w:tc>
          <w:tcPr>
            <w:tcW w:w="2449" w:type="dxa"/>
            <w:gridSpan w:val="2"/>
            <w:vAlign w:val="center"/>
          </w:tcPr>
          <w:p>
            <w:pPr>
              <w:jc w:val="center"/>
              <w:rPr>
                <w:b/>
                <w:sz w:val="20"/>
                <w:szCs w:val="20"/>
              </w:rPr>
            </w:pPr>
            <w:r>
              <w:rPr>
                <w:b/>
                <w:sz w:val="20"/>
                <w:szCs w:val="20"/>
              </w:rPr>
              <w:t>68</w:t>
            </w:r>
          </w:p>
        </w:tc>
        <w:tc>
          <w:tcPr>
            <w:tcW w:w="2449" w:type="dxa"/>
            <w:gridSpan w:val="2"/>
            <w:vAlign w:val="center"/>
          </w:tcPr>
          <w:p>
            <w:pPr>
              <w:jc w:val="center"/>
              <w:rPr>
                <w:b/>
                <w:sz w:val="20"/>
                <w:szCs w:val="20"/>
              </w:rPr>
            </w:pPr>
            <w:r>
              <w:rPr>
                <w:b/>
                <w:sz w:val="20"/>
                <w:szCs w:val="20"/>
              </w:rPr>
              <w:t>51</w:t>
            </w:r>
          </w:p>
        </w:tc>
        <w:tc>
          <w:tcPr>
            <w:tcW w:w="2450" w:type="dxa"/>
            <w:gridSpan w:val="2"/>
            <w:vAlign w:val="center"/>
          </w:tcPr>
          <w:p>
            <w:pPr>
              <w:jc w:val="center"/>
              <w:rPr>
                <w:b/>
                <w:sz w:val="20"/>
                <w:szCs w:val="20"/>
              </w:rPr>
            </w:pPr>
            <w:r>
              <w:rPr>
                <w:b/>
                <w:sz w:val="20"/>
                <w:szCs w:val="20"/>
              </w:rPr>
              <w:t>63</w:t>
            </w:r>
          </w:p>
        </w:tc>
      </w:tr>
    </w:tbl>
    <w:p/>
    <w:p>
      <w:pPr>
        <w:rPr>
          <w:u w:val="single"/>
        </w:rPr>
      </w:pPr>
      <w:r>
        <w:rPr>
          <w:u w:val="single"/>
        </w:rPr>
        <w:t>氟氯烃淘汰管理计划第三次付款的</w:t>
      </w:r>
      <w:r>
        <w:rPr>
          <w:rFonts w:hint="eastAsia"/>
          <w:u w:val="single"/>
          <w:lang w:val="en-US" w:eastAsia="zh-CN"/>
        </w:rPr>
        <w:t>执行</w:t>
      </w:r>
      <w:r>
        <w:rPr>
          <w:u w:val="single"/>
        </w:rPr>
        <w:t>计划</w:t>
      </w:r>
    </w:p>
    <w:p>
      <w:pPr>
        <w:rPr>
          <w:u w:val="single"/>
        </w:rPr>
      </w:pPr>
    </w:p>
    <w:p/>
    <w:p>
      <w:pPr>
        <w:pStyle w:val="2"/>
      </w:pPr>
      <w:r>
        <w:t>以下活动将于2021年12月至2023年12月期间</w:t>
      </w:r>
      <w:r>
        <w:rPr>
          <w:rFonts w:hint="eastAsia"/>
          <w:lang w:val="en-US" w:eastAsia="zh-CN"/>
        </w:rPr>
        <w:t>执行</w:t>
      </w:r>
      <w:r>
        <w:t>。</w:t>
      </w:r>
    </w:p>
    <w:p>
      <w:pPr>
        <w:pStyle w:val="3"/>
      </w:pPr>
      <w:r>
        <w:t>培训</w:t>
      </w:r>
      <w:r>
        <w:rPr>
          <w:rFonts w:hint="eastAsia"/>
          <w:lang w:val="en-US" w:eastAsia="zh-CN"/>
        </w:rPr>
        <w:t>了</w:t>
      </w:r>
      <w:r>
        <w:t xml:space="preserve"> 226 名海关官员</w:t>
      </w:r>
      <w:r>
        <w:rPr>
          <w:rFonts w:hint="eastAsia"/>
          <w:lang w:eastAsia="zh-CN"/>
        </w:rPr>
        <w:t>，</w:t>
      </w:r>
      <w:r>
        <w:t>以监测和防止氟氯烃的非法贸易（开发计划署）（70,000 美元）；</w:t>
      </w:r>
    </w:p>
    <w:p>
      <w:pPr>
        <w:pStyle w:val="3"/>
      </w:pPr>
      <w:r>
        <w:t>就良好维修做法和替代制冷剂的安全处理</w:t>
      </w:r>
      <w:r>
        <w:rPr>
          <w:rFonts w:hint="eastAsia"/>
          <w:lang w:eastAsia="zh-CN"/>
        </w:rPr>
        <w:t>，</w:t>
      </w:r>
      <w:r>
        <w:t>对 1,000 名技术人员进行培训和认证；为 50 名技术人员（例如，回收机、真空泵和压力表、低压制冷剂的四通歧管和软管、高压制冷剂的四通歧管和软管、钢瓶、秤、检漏仪、温度计）</w:t>
      </w:r>
      <w:r>
        <w:rPr>
          <w:rFonts w:hint="eastAsia"/>
          <w:lang w:val="en-US" w:eastAsia="zh-CN"/>
        </w:rPr>
        <w:t>和</w:t>
      </w:r>
      <w:r>
        <w:t>9个培训机构（如空调示范装置、回收机、真空泵及真空计、低压制冷剂四通歧管及软管、高压制冷剂四通歧管及软管、钢瓶、秤、检漏仪、温度计）提供</w:t>
      </w:r>
      <w:r>
        <w:rPr>
          <w:rFonts w:hint="eastAsia"/>
          <w:lang w:val="en-US" w:eastAsia="zh-CN"/>
        </w:rPr>
        <w:t>了</w:t>
      </w:r>
      <w:r>
        <w:t>设备</w:t>
      </w:r>
      <w:r>
        <w:rPr>
          <w:rFonts w:hint="eastAsia"/>
          <w:lang w:eastAsia="zh-CN"/>
        </w:rPr>
        <w:t>；</w:t>
      </w:r>
      <w:r>
        <w:t>建立两个回收</w:t>
      </w:r>
      <w:r>
        <w:rPr>
          <w:rFonts w:hint="eastAsia"/>
          <w:lang w:val="en-US" w:eastAsia="zh-CN"/>
        </w:rPr>
        <w:t>利用</w:t>
      </w:r>
      <w:r>
        <w:t>中心，包括采购设备（例如，多制冷剂回收装置、32 公斤钢瓶、秤、制冷剂识别器、回收机、钢瓶检查管道镜、真空泵和真空计）（开发计划署）（457,854 美元）</w:t>
      </w:r>
      <w:r>
        <w:rPr>
          <w:rFonts w:hint="eastAsia"/>
          <w:lang w:eastAsia="zh-CN"/>
        </w:rPr>
        <w:t>；</w:t>
      </w:r>
    </w:p>
    <w:p>
      <w:pPr>
        <w:pStyle w:val="3"/>
      </w:pPr>
      <w:r>
        <w:rPr>
          <w:rFonts w:hint="eastAsia"/>
          <w:lang w:val="en-US" w:eastAsia="zh-CN"/>
        </w:rPr>
        <w:t xml:space="preserve"> </w:t>
      </w:r>
      <w:r>
        <w:t>继续</w:t>
      </w:r>
      <w:r>
        <w:rPr>
          <w:rFonts w:hint="eastAsia"/>
          <w:lang w:val="en-US" w:eastAsia="zh-CN"/>
        </w:rPr>
        <w:t>执行</w:t>
      </w:r>
      <w:r>
        <w:rPr>
          <w:rFonts w:hint="eastAsia"/>
          <w:lang w:eastAsia="zh-CN"/>
        </w:rPr>
        <w:t>聚氨酯</w:t>
      </w:r>
      <w:r>
        <w:t xml:space="preserve"> 泡沫制造商转换。 2021年12月前完成</w:t>
      </w:r>
      <w:r>
        <w:rPr>
          <w:rFonts w:hint="eastAsia"/>
          <w:lang w:val="en-US" w:eastAsia="zh-CN"/>
        </w:rPr>
        <w:t>了</w:t>
      </w:r>
      <w:r>
        <w:t>大中型企业</w:t>
      </w:r>
      <w:r>
        <w:rPr>
          <w:rFonts w:hint="eastAsia"/>
          <w:lang w:val="en-US" w:eastAsia="zh-CN"/>
        </w:rPr>
        <w:t>的</w:t>
      </w:r>
      <w:r>
        <w:t>全部转制，2023年6月前完成凭证制小企业转制；将继续监测聚氨酯泡沫行业活动（992,871 美元）（世界银行）；和</w:t>
      </w:r>
    </w:p>
    <w:p>
      <w:pPr>
        <w:pStyle w:val="3"/>
      </w:pPr>
      <w:r>
        <w:t>评估消防部门的消费</w:t>
      </w:r>
      <w:r>
        <w:rPr>
          <w:rFonts w:hint="eastAsia"/>
          <w:lang w:val="en-US" w:eastAsia="zh-CN"/>
        </w:rPr>
        <w:t>量</w:t>
      </w:r>
      <w:r>
        <w:t>并确定替代技术，包括完成该部门的消费</w:t>
      </w:r>
      <w:r>
        <w:rPr>
          <w:rFonts w:hint="eastAsia"/>
          <w:lang w:val="en-US" w:eastAsia="zh-CN"/>
        </w:rPr>
        <w:t>量</w:t>
      </w:r>
      <w:r>
        <w:t>调查</w:t>
      </w:r>
      <w:r>
        <w:rPr>
          <w:rFonts w:hint="eastAsia"/>
          <w:lang w:eastAsia="zh-CN"/>
        </w:rPr>
        <w:t>，</w:t>
      </w:r>
      <w:r>
        <w:t xml:space="preserve">并组织一次关于调查结果和替代技术的研讨会（开发计划署）（前一次付款 </w:t>
      </w:r>
      <w:r>
        <w:rPr>
          <w:rFonts w:hint="eastAsia"/>
          <w:lang w:val="en-US" w:eastAsia="zh-CN"/>
        </w:rPr>
        <w:t>的</w:t>
      </w:r>
      <w:r>
        <w:t>30,000 美元）。</w:t>
      </w:r>
    </w:p>
    <w:p>
      <w:pPr>
        <w:rPr>
          <w:i/>
          <w:lang w:eastAsia="zh-CN"/>
        </w:rPr>
      </w:pPr>
      <w:r>
        <w:rPr>
          <w:rFonts w:hint="eastAsia"/>
          <w:i/>
          <w:lang w:eastAsia="zh-CN"/>
        </w:rPr>
        <w:t>项目管理单位</w:t>
      </w:r>
    </w:p>
    <w:p>
      <w:pPr>
        <w:rPr>
          <w:i/>
        </w:rPr>
      </w:pPr>
    </w:p>
    <w:p>
      <w:pPr>
        <w:pStyle w:val="2"/>
      </w:pPr>
      <w:r>
        <w:rPr>
          <w:rFonts w:hint="eastAsia"/>
          <w:lang w:eastAsia="zh-CN"/>
        </w:rPr>
        <w:t>项目管理单位</w:t>
      </w:r>
      <w:r>
        <w:t xml:space="preserve"> 将与 </w:t>
      </w:r>
      <w:r>
        <w:rPr>
          <w:rFonts w:hint="eastAsia"/>
          <w:lang w:val="en-US" w:eastAsia="zh-CN"/>
        </w:rPr>
        <w:t>开发计划署</w:t>
      </w:r>
      <w:r>
        <w:t>合作，继续管理和协调氟氯烃淘汰管理计划，并向利益相关者提供的技术援助</w:t>
      </w:r>
      <w:r>
        <w:rPr>
          <w:rFonts w:hint="eastAsia"/>
          <w:lang w:eastAsia="zh-CN"/>
        </w:rPr>
        <w:t>，</w:t>
      </w:r>
      <w:r>
        <w:rPr>
          <w:rFonts w:hint="eastAsia"/>
          <w:lang w:val="en-US" w:eastAsia="zh-CN"/>
        </w:rPr>
        <w:t>金额为</w:t>
      </w:r>
      <w:r>
        <w:t xml:space="preserve"> 99,232 美元。</w:t>
      </w:r>
    </w:p>
    <w:p>
      <w:pPr>
        <w:jc w:val="center"/>
        <w:rPr>
          <w:b/>
        </w:rPr>
      </w:pPr>
    </w:p>
    <w:p>
      <w:pPr>
        <w:keepNext/>
        <w:keepLines/>
        <w:widowControl w:val="0"/>
        <w:jc w:val="center"/>
        <w:rPr>
          <w:b/>
          <w:lang w:val="en-US" w:eastAsia="zh-CN"/>
        </w:rPr>
      </w:pPr>
      <w:r>
        <w:rPr>
          <w:rFonts w:hint="eastAsia"/>
          <w:b/>
          <w:lang w:val="en-US" w:eastAsia="zh-CN"/>
        </w:rPr>
        <w:t>秘书处的评论和建议</w:t>
      </w:r>
    </w:p>
    <w:p>
      <w:pPr>
        <w:keepNext/>
        <w:keepLines/>
        <w:widowControl w:val="0"/>
      </w:pPr>
    </w:p>
    <w:p>
      <w:pPr>
        <w:keepNext/>
        <w:keepLines/>
        <w:widowControl w:val="0"/>
        <w:rPr>
          <w:b/>
          <w:lang w:val="en-US" w:eastAsia="zh-CN"/>
        </w:rPr>
      </w:pPr>
      <w:r>
        <w:rPr>
          <w:rFonts w:hint="eastAsia"/>
          <w:b/>
          <w:lang w:val="en-US" w:eastAsia="zh-CN"/>
        </w:rPr>
        <w:t>评论</w:t>
      </w:r>
    </w:p>
    <w:p>
      <w:pPr>
        <w:keepNext/>
        <w:keepLines/>
        <w:widowControl w:val="0"/>
      </w:pPr>
    </w:p>
    <w:p>
      <w:pPr>
        <w:keepNext/>
        <w:keepLines/>
        <w:widowControl w:val="0"/>
        <w:rPr>
          <w:u w:val="single"/>
        </w:rPr>
      </w:pPr>
      <w:r>
        <w:rPr>
          <w:u w:val="single"/>
        </w:rPr>
        <w:t>氟氯烃淘汰管理计划第二次付款的执行进度报告</w:t>
      </w:r>
    </w:p>
    <w:p>
      <w:pPr>
        <w:keepNext/>
        <w:keepLines/>
        <w:widowControl w:val="0"/>
        <w:rPr>
          <w:u w:val="single"/>
        </w:rPr>
      </w:pPr>
    </w:p>
    <w:p>
      <w:pPr>
        <w:keepNext/>
        <w:keepLines/>
        <w:widowControl w:val="0"/>
        <w:rPr>
          <w:i/>
          <w:iCs/>
        </w:rPr>
      </w:pPr>
      <w:r>
        <w:rPr>
          <w:i/>
          <w:iCs/>
        </w:rPr>
        <w:t>法律框架</w:t>
      </w:r>
    </w:p>
    <w:p>
      <w:pPr>
        <w:keepNext/>
        <w:keepLines/>
        <w:widowControl w:val="0"/>
      </w:pPr>
    </w:p>
    <w:p>
      <w:pPr>
        <w:pStyle w:val="2"/>
        <w:keepNext/>
        <w:keepLines/>
        <w:widowControl w:val="0"/>
      </w:pPr>
      <w:r>
        <w:t>印度尼西亚政府已经发布了 2021 年的氟氯烃进口配额 182.09 ODP 吨，低于蒙特利尔议定书的控制目标。</w:t>
      </w:r>
    </w:p>
    <w:p>
      <w:pPr>
        <w:pStyle w:val="2"/>
        <w:numPr>
          <w:ilvl w:val="0"/>
          <w:numId w:val="0"/>
        </w:numPr>
      </w:pPr>
      <w:r>
        <w:rPr>
          <w:i/>
        </w:rPr>
        <w:t>聚氨酯</w:t>
      </w:r>
      <w:r>
        <w:rPr>
          <w:i/>
          <w:iCs/>
        </w:rPr>
        <w:t>发泡制造业</w:t>
      </w:r>
    </w:p>
    <w:p>
      <w:pPr>
        <w:pStyle w:val="2"/>
      </w:pPr>
      <w:r>
        <w:t xml:space="preserve"> 印度尼西亚政府</w:t>
      </w:r>
      <w:r>
        <w:rPr>
          <w:rFonts w:hint="eastAsia"/>
          <w:lang w:val="en-US" w:eastAsia="zh-CN"/>
        </w:rPr>
        <w:t>拟</w:t>
      </w:r>
      <w:r>
        <w:t>将纯和预混形式的</w:t>
      </w:r>
      <w:r>
        <w:rPr>
          <w:rFonts w:hint="eastAsia"/>
          <w:lang w:eastAsia="zh-CN"/>
        </w:rPr>
        <w:t>氟氯烃</w:t>
      </w:r>
      <w:r>
        <w:t>-141b 的使用和进口禁令推迟至 2022 年 1 月 1 日。鉴于 COVID-19 大流行的特殊情况以及由此导致的设备、材料和支持</w:t>
      </w:r>
      <w:r>
        <w:rPr>
          <w:rFonts w:hint="eastAsia"/>
          <w:lang w:val="en-US" w:eastAsia="zh-CN"/>
        </w:rPr>
        <w:t>提供</w:t>
      </w:r>
      <w:r>
        <w:t>延误，秘书处支持这种延迟。</w:t>
      </w:r>
    </w:p>
    <w:p>
      <w:pPr>
        <w:pStyle w:val="2"/>
      </w:pPr>
      <w:r>
        <w:t>世界银行解释说，尽管由于建立</w:t>
      </w:r>
      <w:r>
        <w:rPr>
          <w:rFonts w:hint="eastAsia"/>
          <w:lang w:eastAsia="zh-CN"/>
        </w:rPr>
        <w:t>凭据</w:t>
      </w:r>
      <w:r>
        <w:t>系统的延迟，2022 年 1 月 1 日禁止使用</w:t>
      </w:r>
      <w:r>
        <w:rPr>
          <w:rFonts w:hint="eastAsia"/>
          <w:lang w:eastAsia="zh-CN"/>
        </w:rPr>
        <w:t>凭据</w:t>
      </w:r>
      <w:r>
        <w:t>计划，但仍需要将</w:t>
      </w:r>
      <w:r>
        <w:rPr>
          <w:rFonts w:hint="eastAsia"/>
          <w:lang w:eastAsia="zh-CN"/>
        </w:rPr>
        <w:t>凭据</w:t>
      </w:r>
      <w:r>
        <w:t>计划的实施时间延长至 2023 年 6 月；中小型企业 (SME) 的商业惯例是在收到客户的订单后才开始制造泡沫产品，而 COVID-19 大流行可能会导致中小型企业的潜在客户因市场不确定原因</w:t>
      </w:r>
      <w:r>
        <w:rPr>
          <w:rFonts w:hint="eastAsia"/>
          <w:lang w:val="en-US" w:eastAsia="zh-CN"/>
        </w:rPr>
        <w:t>而</w:t>
      </w:r>
      <w:r>
        <w:t>推迟购买;由于 COVID-19 大流行，HFO 的交付出现了相当大的延误；航运港口的拥堵和延误进一步加剧了这些延误。</w:t>
      </w:r>
      <w:r>
        <w:rPr>
          <w:rFonts w:hint="eastAsia"/>
          <w:lang w:val="en-US" w:eastAsia="zh-CN"/>
        </w:rPr>
        <w:t>而且</w:t>
      </w:r>
      <w:r>
        <w:t>，2020 年 1 月 1 日的禁令包括禁止进口和使用所有形式的</w:t>
      </w:r>
      <w:r>
        <w:rPr>
          <w:rFonts w:hint="eastAsia"/>
          <w:lang w:eastAsia="zh-CN"/>
        </w:rPr>
        <w:t>氟氯烃</w:t>
      </w:r>
      <w:r>
        <w:t>-141b，这向进口商发出明确信号，不要在进口禁令之前储存</w:t>
      </w:r>
      <w:r>
        <w:rPr>
          <w:rFonts w:hint="eastAsia"/>
          <w:lang w:eastAsia="zh-CN"/>
        </w:rPr>
        <w:t>氟氯烃</w:t>
      </w:r>
      <w:r>
        <w:t>-141b。</w:t>
      </w:r>
    </w:p>
    <w:p>
      <w:pPr>
        <w:pStyle w:val="2"/>
        <w:numPr>
          <w:ilvl w:val="0"/>
          <w:numId w:val="0"/>
        </w:numPr>
      </w:pPr>
      <w:r>
        <w:rPr>
          <w:u w:val="single"/>
        </w:rPr>
        <w:t>COVID-19 大流行对氟氯烃淘汰管理计划实施的影响</w:t>
      </w:r>
    </w:p>
    <w:p>
      <w:pPr>
        <w:pStyle w:val="2"/>
      </w:pPr>
      <w:r>
        <w:t xml:space="preserve"> COVID-19 大流行影响了印度尼西亚商业和经济活动（包括氟氯烃淘汰管理计划活动）的总体</w:t>
      </w:r>
      <w:r>
        <w:rPr>
          <w:rFonts w:hint="eastAsia"/>
          <w:lang w:val="en-US" w:eastAsia="zh-CN"/>
        </w:rPr>
        <w:t>执行</w:t>
      </w:r>
      <w:r>
        <w:t>速度；经济的复苏以及氟氯烃淘汰管理计划下计划活动的</w:t>
      </w:r>
      <w:r>
        <w:rPr>
          <w:rFonts w:hint="eastAsia"/>
          <w:lang w:val="en-US" w:eastAsia="zh-CN"/>
        </w:rPr>
        <w:t>执行</w:t>
      </w:r>
      <w:r>
        <w:t>将取决于大流行的演变</w:t>
      </w:r>
      <w:r>
        <w:rPr>
          <w:rFonts w:hint="eastAsia"/>
          <w:lang w:val="en-US" w:eastAsia="zh-CN"/>
        </w:rPr>
        <w:t>情况</w:t>
      </w:r>
      <w:r>
        <w:t>。</w:t>
      </w:r>
    </w:p>
    <w:p>
      <w:pPr>
        <w:pStyle w:val="2"/>
      </w:pPr>
      <w:r>
        <w:t>在氟氯烃淘汰管理计划下计划的因 COVID-19 而面临最大延误风险的活动</w:t>
      </w:r>
      <w:r>
        <w:rPr>
          <w:rFonts w:hint="eastAsia"/>
          <w:lang w:eastAsia="zh-CN"/>
        </w:rPr>
        <w:t>，</w:t>
      </w:r>
      <w:r>
        <w:t>是那些需要亲自行动和技术援助的活动，包括对技术人员进行良好</w:t>
      </w:r>
      <w:r>
        <w:rPr>
          <w:rFonts w:hint="eastAsia"/>
          <w:lang w:val="en-US" w:eastAsia="zh-CN"/>
        </w:rPr>
        <w:t>维修</w:t>
      </w:r>
      <w:r>
        <w:t>实践的实践培训，以及利益相关者的磋商，例如计划用于消防</w:t>
      </w:r>
      <w:r>
        <w:rPr>
          <w:rFonts w:hint="eastAsia"/>
          <w:lang w:val="en-US" w:eastAsia="zh-CN"/>
        </w:rPr>
        <w:t>行业的</w:t>
      </w:r>
      <w:r>
        <w:t>磋商。</w:t>
      </w:r>
      <w:r>
        <w:rPr>
          <w:rFonts w:hint="eastAsia"/>
          <w:lang w:val="en-US" w:eastAsia="zh-CN"/>
        </w:rPr>
        <w:t>因</w:t>
      </w:r>
      <w:r>
        <w:t>此，政府将继续监测大流行的影响，并会酌情考虑替代</w:t>
      </w:r>
      <w:r>
        <w:rPr>
          <w:rFonts w:hint="eastAsia"/>
          <w:lang w:val="en-US" w:eastAsia="zh-CN"/>
        </w:rPr>
        <w:t>执行</w:t>
      </w:r>
      <w:r>
        <w:t>方法。</w:t>
      </w:r>
    </w:p>
    <w:p>
      <w:pPr>
        <w:pStyle w:val="2"/>
        <w:numPr>
          <w:numId w:val="0"/>
        </w:numPr>
        <w:ind w:leftChars="0"/>
      </w:pPr>
      <w:r>
        <w:rPr>
          <w:u w:val="single"/>
        </w:rPr>
        <w:t>性别政策实施</w:t>
      </w:r>
      <w:r>
        <w:rPr>
          <w:rStyle w:val="71"/>
        </w:rPr>
        <w:footnoteReference w:id="11"/>
      </w:r>
      <w:bookmarkStart w:id="0" w:name="_GoBack"/>
      <w:bookmarkEnd w:id="0"/>
    </w:p>
    <w:p>
      <w:pPr>
        <w:pStyle w:val="2"/>
      </w:pPr>
      <w:r>
        <w:t>氟氯烃淘汰管理计划第二阶段的第一和第二次付款在第 84/92(d) 号决定之前获得批准；因此，开发计划署没有收集关于这些付款开展的活动的按性别分列的数据；此类数据将在第三次付款</w:t>
      </w:r>
      <w:r>
        <w:rPr>
          <w:rFonts w:hint="eastAsia"/>
          <w:lang w:val="en-US" w:eastAsia="zh-CN"/>
        </w:rPr>
        <w:t>时</w:t>
      </w:r>
      <w:r>
        <w:t>收集。第三次付款的性别主流化将包括鼓励妇女参与氟氯烃淘汰管理计划的事件和活动，促进培训和意识</w:t>
      </w:r>
      <w:r>
        <w:rPr>
          <w:rFonts w:hint="eastAsia"/>
          <w:lang w:val="en-US" w:eastAsia="zh-CN"/>
        </w:rPr>
        <w:t>活动</w:t>
      </w:r>
      <w:r>
        <w:t>中的性别主流化，以及通过分享在性别主流化方面吸取的经验教训在讲习班期间讨论性别问题。</w:t>
      </w:r>
    </w:p>
    <w:p>
      <w:pPr>
        <w:pStyle w:val="2"/>
        <w:keepNext/>
        <w:keepLines/>
        <w:widowControl w:val="0"/>
        <w:numPr>
          <w:ilvl w:val="0"/>
          <w:numId w:val="0"/>
        </w:numPr>
        <w:rPr>
          <w:u w:val="single"/>
        </w:rPr>
      </w:pPr>
      <w:r>
        <w:rPr>
          <w:u w:val="single"/>
        </w:rPr>
        <w:t>氟氯烃淘汰的可持续性</w:t>
      </w:r>
    </w:p>
    <w:p>
      <w:pPr>
        <w:pStyle w:val="2"/>
        <w:keepNext/>
        <w:keepLines/>
        <w:widowControl w:val="0"/>
      </w:pPr>
      <w:r>
        <w:rPr>
          <w:color w:val="000000"/>
          <w:shd w:val="clear" w:color="auto" w:fill="FFFFFF"/>
        </w:rPr>
        <w:t>印度尼西亚政府</w:t>
      </w:r>
      <w:r>
        <w:rPr>
          <w:rFonts w:hint="eastAsia"/>
          <w:color w:val="000000"/>
          <w:shd w:val="clear" w:color="auto" w:fill="FFFFFF"/>
          <w:lang w:val="en-US" w:eastAsia="zh-CN"/>
        </w:rPr>
        <w:t>订</w:t>
      </w:r>
      <w:r>
        <w:rPr>
          <w:color w:val="000000"/>
          <w:shd w:val="clear" w:color="auto" w:fill="FFFFFF"/>
        </w:rPr>
        <w:t>有可执行的许可</w:t>
      </w:r>
      <w:r>
        <w:rPr>
          <w:rFonts w:hint="eastAsia"/>
          <w:color w:val="000000"/>
          <w:shd w:val="clear" w:color="auto" w:fill="FFFFFF"/>
          <w:lang w:val="en-US" w:eastAsia="zh-CN"/>
        </w:rPr>
        <w:t>证</w:t>
      </w:r>
      <w:r>
        <w:rPr>
          <w:color w:val="000000"/>
          <w:shd w:val="clear" w:color="auto" w:fill="FFFFFF"/>
        </w:rPr>
        <w:t>和配额制度，自 2015 年 1 月 1 日起：禁止进口、制造和组装基于</w:t>
      </w:r>
      <w:r>
        <w:rPr>
          <w:rFonts w:hint="eastAsia"/>
          <w:color w:val="000000"/>
          <w:shd w:val="clear" w:color="auto" w:fill="FFFFFF"/>
          <w:lang w:eastAsia="zh-CN"/>
        </w:rPr>
        <w:t>氟氯烃</w:t>
      </w:r>
      <w:r>
        <w:rPr>
          <w:color w:val="000000"/>
          <w:shd w:val="clear" w:color="auto" w:fill="FFFFFF"/>
        </w:rPr>
        <w:t xml:space="preserve"> 22 的 </w:t>
      </w:r>
      <w:r>
        <w:rPr>
          <w:rFonts w:hint="eastAsia"/>
          <w:color w:val="000000"/>
          <w:shd w:val="clear" w:color="auto" w:fill="FFFFFF"/>
          <w:lang w:eastAsia="zh-CN"/>
        </w:rPr>
        <w:t>制冷空调</w:t>
      </w:r>
      <w:r>
        <w:rPr>
          <w:color w:val="000000"/>
          <w:shd w:val="clear" w:color="auto" w:fill="FFFFFF"/>
        </w:rPr>
        <w:t>设备；并禁止使用</w:t>
      </w:r>
      <w:r>
        <w:rPr>
          <w:rFonts w:hint="eastAsia"/>
          <w:color w:val="000000"/>
          <w:shd w:val="clear" w:color="auto" w:fill="FFFFFF"/>
          <w:lang w:eastAsia="zh-CN"/>
        </w:rPr>
        <w:t>氟氯烃</w:t>
      </w:r>
      <w:r>
        <w:rPr>
          <w:color w:val="000000"/>
          <w:shd w:val="clear" w:color="auto" w:fill="FFFFFF"/>
        </w:rPr>
        <w:t xml:space="preserve"> 作为特定应用的发泡剂。即将实施的纯和预混</w:t>
      </w:r>
      <w:r>
        <w:rPr>
          <w:rFonts w:hint="eastAsia"/>
          <w:color w:val="000000"/>
          <w:shd w:val="clear" w:color="auto" w:fill="FFFFFF"/>
          <w:lang w:eastAsia="zh-CN"/>
        </w:rPr>
        <w:t>氟氯烃</w:t>
      </w:r>
      <w:r>
        <w:rPr>
          <w:color w:val="000000"/>
          <w:shd w:val="clear" w:color="auto" w:fill="FFFFFF"/>
        </w:rPr>
        <w:t>-141b 的进口和所有用途禁令将确保聚氨酯泡沫塑料行业淘汰的可持续性。 2021 年 10 月实施的强制性技术人员认证计划、技术人员培训机构的加强以及技术人员的持续培训将有助于减少原始制冷剂的使用。</w:t>
      </w:r>
    </w:p>
    <w:p>
      <w:pPr>
        <w:rPr>
          <w:u w:val="single"/>
          <w:lang w:val="en-US" w:eastAsia="zh-CN"/>
        </w:rPr>
      </w:pPr>
      <w:r>
        <w:rPr>
          <w:rFonts w:hint="eastAsia"/>
          <w:u w:val="single"/>
          <w:lang w:val="en-US" w:eastAsia="zh-CN"/>
        </w:rPr>
        <w:t>结论</w:t>
      </w:r>
    </w:p>
    <w:p>
      <w:pPr>
        <w:rPr>
          <w:u w:val="single"/>
          <w:lang w:val="en-US" w:eastAsia="zh-CN"/>
        </w:rPr>
      </w:pPr>
    </w:p>
    <w:p>
      <w:pPr>
        <w:pStyle w:val="2"/>
      </w:pPr>
      <w:r>
        <w:t>2018、2019 和 2020 年核实的氟氯烃消费量分别比该国的氟氯烃履约基准低 42%、47%和 53%，比</w:t>
      </w:r>
      <w:r>
        <w:rPr>
          <w:rFonts w:hint="eastAsia"/>
          <w:lang w:val="en-US" w:eastAsia="zh-CN"/>
        </w:rPr>
        <w:t>与</w:t>
      </w:r>
      <w:r>
        <w:t>执行委员会协定</w:t>
      </w:r>
      <w:r>
        <w:rPr>
          <w:rFonts w:hint="eastAsia"/>
          <w:lang w:val="en-US" w:eastAsia="zh-CN"/>
        </w:rPr>
        <w:t>为这</w:t>
      </w:r>
      <w:r>
        <w:t>些年</w:t>
      </w:r>
      <w:r>
        <w:rPr>
          <w:rFonts w:hint="eastAsia"/>
          <w:lang w:val="en-US" w:eastAsia="zh-CN"/>
        </w:rPr>
        <w:t>份</w:t>
      </w:r>
      <w:r>
        <w:t>规定的最大允许消费量低 27%、33%和 25%。政府继续</w:t>
      </w:r>
      <w:r>
        <w:rPr>
          <w:rFonts w:hint="eastAsia"/>
          <w:lang w:val="en-US" w:eastAsia="zh-CN"/>
        </w:rPr>
        <w:t>执行</w:t>
      </w:r>
      <w:r>
        <w:t>许可证和配额制度以监测和控制氟氯烃，并强制禁止特定的氟氯烃进口、制造和使用。 COVID-19 影响了氟氯烃淘汰管理计划活动的</w:t>
      </w:r>
      <w:r>
        <w:rPr>
          <w:rFonts w:hint="eastAsia"/>
          <w:lang w:val="en-US" w:eastAsia="zh-CN"/>
        </w:rPr>
        <w:t>执行</w:t>
      </w:r>
      <w:r>
        <w:t>，导致</w:t>
      </w:r>
      <w:r>
        <w:rPr>
          <w:rFonts w:hint="eastAsia"/>
          <w:lang w:val="en-US" w:eastAsia="zh-CN"/>
        </w:rPr>
        <w:t>了</w:t>
      </w:r>
      <w:r>
        <w:t>延误，包括在聚氨酯泡沫制造行业。秘书处建议批准将</w:t>
      </w:r>
      <w:r>
        <w:rPr>
          <w:rFonts w:hint="eastAsia"/>
          <w:lang w:eastAsia="zh-CN"/>
        </w:rPr>
        <w:t>氟氯烃</w:t>
      </w:r>
      <w:r>
        <w:t>-141b 纯品和预混物的进口和使用禁令推迟至 2022 年 1 月 1 日，并将凭证系统的</w:t>
      </w:r>
      <w:r>
        <w:rPr>
          <w:rFonts w:hint="eastAsia"/>
          <w:lang w:val="en-US" w:eastAsia="zh-CN"/>
        </w:rPr>
        <w:t>执行</w:t>
      </w:r>
      <w:r>
        <w:t>期限延长至 2023 年 6 月。尽管存在 COVID 19 带来的挑战，氟氯烃淘汰管理计划的</w:t>
      </w:r>
      <w:r>
        <w:rPr>
          <w:rFonts w:hint="eastAsia"/>
          <w:lang w:val="en-US" w:eastAsia="zh-CN"/>
        </w:rPr>
        <w:t>执行仍然</w:t>
      </w:r>
      <w:r>
        <w:t>取得了进展，包括完成了 12 家大中型聚氨酯泡沫制造企业中的 11 家以及两家系统制造商的转换；海关官员和维修技术人员的能力建设；为海关和培训机构提供设备支持；和推广低</w:t>
      </w:r>
      <w:r>
        <w:rPr>
          <w:rFonts w:hint="eastAsia"/>
          <w:lang w:eastAsia="zh-CN"/>
        </w:rPr>
        <w:t xml:space="preserve">全球升温潜能值 </w:t>
      </w:r>
      <w:r>
        <w:t>、非</w:t>
      </w:r>
      <w:r>
        <w:rPr>
          <w:rFonts w:hint="eastAsia"/>
          <w:lang w:eastAsia="zh-CN"/>
        </w:rPr>
        <w:t>氟氯烃</w:t>
      </w:r>
      <w:r>
        <w:t xml:space="preserve"> </w:t>
      </w:r>
      <w:r>
        <w:rPr>
          <w:rFonts w:hint="eastAsia"/>
          <w:lang w:eastAsia="zh-CN"/>
        </w:rPr>
        <w:t>制冷空调</w:t>
      </w:r>
      <w:r>
        <w:t>设备和使用认证技术人员。总</w:t>
      </w:r>
      <w:r>
        <w:rPr>
          <w:rFonts w:hint="eastAsia"/>
          <w:lang w:val="en-US" w:eastAsia="zh-CN"/>
        </w:rPr>
        <w:t>发放</w:t>
      </w:r>
      <w:r>
        <w:t>率为 63%，第二次付款的 51% 已经</w:t>
      </w:r>
      <w:r>
        <w:rPr>
          <w:rFonts w:hint="eastAsia"/>
          <w:lang w:val="en-US" w:eastAsia="zh-CN"/>
        </w:rPr>
        <w:t>发放</w:t>
      </w:r>
      <w:r>
        <w:t>。计划在第三次付款中开展的活动将进一步保持迄今为止在氟氯烃淘汰管理计划</w:t>
      </w:r>
      <w:r>
        <w:rPr>
          <w:rFonts w:hint="eastAsia"/>
          <w:lang w:val="en-US" w:eastAsia="zh-CN"/>
        </w:rPr>
        <w:t>执行</w:t>
      </w:r>
      <w:r>
        <w:t>过程中取得的成果。</w:t>
      </w:r>
    </w:p>
    <w:p>
      <w:pPr>
        <w:rPr>
          <w:lang w:val="en-US" w:eastAsia="zh-CN"/>
        </w:rPr>
      </w:pPr>
      <w:r>
        <w:rPr>
          <w:rFonts w:hint="eastAsia"/>
          <w:b/>
          <w:lang w:val="en-US" w:eastAsia="zh-CN"/>
        </w:rPr>
        <w:t>建议</w:t>
      </w:r>
    </w:p>
    <w:p/>
    <w:p>
      <w:pPr>
        <w:pStyle w:val="2"/>
      </w:pPr>
      <w:r>
        <w:t xml:space="preserve"> 基金秘书处建议执行委员会</w:t>
      </w:r>
      <w:r>
        <w:rPr>
          <w:rFonts w:hint="eastAsia"/>
          <w:lang w:val="en-US" w:eastAsia="zh-CN"/>
        </w:rPr>
        <w:t>关</w:t>
      </w:r>
      <w:r>
        <w:t>注：</w:t>
      </w:r>
    </w:p>
    <w:p>
      <w:pPr>
        <w:pStyle w:val="2"/>
        <w:numPr>
          <w:ilvl w:val="0"/>
          <w:numId w:val="0"/>
        </w:numPr>
        <w:ind w:firstLine="220" w:firstLineChars="100"/>
      </w:pPr>
      <w:r>
        <w:t xml:space="preserve"> (a) 关于印度尼西亚氟氯烃淘汰管理计划（HPMP）第二阶段第二次付款的执行进度报告；和</w:t>
      </w:r>
    </w:p>
    <w:p>
      <w:pPr>
        <w:pStyle w:val="2"/>
        <w:numPr>
          <w:ilvl w:val="0"/>
          <w:numId w:val="0"/>
        </w:numPr>
        <w:ind w:firstLine="220" w:firstLineChars="100"/>
      </w:pPr>
      <w:r>
        <w:rPr>
          <w:rFonts w:hint="eastAsia"/>
          <w:lang w:val="en-US" w:eastAsia="zh-CN"/>
        </w:rPr>
        <w:t xml:space="preserve"> </w:t>
      </w:r>
      <w:r>
        <w:t>(b) 政府将在 2022 年 1 月 1 日前颁布禁令，禁止进口</w:t>
      </w:r>
      <w:r>
        <w:rPr>
          <w:rFonts w:hint="eastAsia"/>
          <w:lang w:val="en-US" w:eastAsia="zh-CN"/>
        </w:rPr>
        <w:t>散装和</w:t>
      </w:r>
      <w:r>
        <w:t>预混多元醇中所含的</w:t>
      </w:r>
      <w:r>
        <w:rPr>
          <w:rFonts w:hint="eastAsia"/>
          <w:lang w:eastAsia="zh-CN"/>
        </w:rPr>
        <w:t>氟氯烃</w:t>
      </w:r>
      <w:r>
        <w:t>-141b。</w:t>
      </w:r>
    </w:p>
    <w:p>
      <w:pPr>
        <w:pStyle w:val="3"/>
        <w:numPr>
          <w:ilvl w:val="1"/>
          <w:numId w:val="0"/>
        </w:numPr>
        <w:ind w:left="720"/>
      </w:pPr>
    </w:p>
    <w:p>
      <w:pPr>
        <w:pStyle w:val="2"/>
      </w:pPr>
      <w:r>
        <w:t xml:space="preserve"> 秘书处</w:t>
      </w:r>
      <w:r>
        <w:rPr>
          <w:rFonts w:hint="eastAsia"/>
          <w:lang w:val="en-US" w:eastAsia="zh-CN"/>
        </w:rPr>
        <w:t>还</w:t>
      </w:r>
      <w:r>
        <w:t>建议一揽子批准印度尼西亚氟氯烃淘汰管理计划第二阶段的第三次付款</w:t>
      </w:r>
      <w:r>
        <w:rPr>
          <w:rFonts w:hint="eastAsia"/>
          <w:lang w:eastAsia="zh-CN"/>
        </w:rPr>
        <w:t>，</w:t>
      </w:r>
      <w:r>
        <w:t>以及相应的 2021-2023 年付款执行计划，资金水平如下表所示：</w:t>
      </w:r>
    </w:p>
    <w:tbl>
      <w:tblPr>
        <w:tblStyle w:val="24"/>
        <w:tblW w:w="924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4320"/>
        <w:gridCol w:w="1461"/>
        <w:gridCol w:w="1461"/>
        <w:gridCol w:w="14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jc w:val="center"/>
              <w:rPr>
                <w:b/>
                <w:bCs/>
                <w:sz w:val="20"/>
                <w:szCs w:val="20"/>
              </w:rPr>
            </w:pPr>
          </w:p>
        </w:tc>
        <w:tc>
          <w:tcPr>
            <w:tcW w:w="4320" w:type="dxa"/>
          </w:tcPr>
          <w:p>
            <w:pPr>
              <w:jc w:val="center"/>
              <w:rPr>
                <w:b/>
                <w:bCs/>
                <w:sz w:val="20"/>
                <w:szCs w:val="20"/>
                <w:lang w:val="en-US" w:eastAsia="zh-CN"/>
              </w:rPr>
            </w:pPr>
            <w:r>
              <w:rPr>
                <w:rFonts w:hint="eastAsia"/>
                <w:b/>
                <w:bCs/>
                <w:sz w:val="20"/>
                <w:szCs w:val="20"/>
                <w:lang w:val="en-US" w:eastAsia="zh-CN"/>
              </w:rPr>
              <w:t>项目名称</w:t>
            </w:r>
          </w:p>
        </w:tc>
        <w:tc>
          <w:tcPr>
            <w:tcW w:w="1461" w:type="dxa"/>
            <w:tcMar>
              <w:left w:w="29" w:type="dxa"/>
              <w:right w:w="29" w:type="dxa"/>
            </w:tcMar>
          </w:tcPr>
          <w:p>
            <w:pPr>
              <w:jc w:val="center"/>
              <w:rPr>
                <w:b/>
                <w:bCs/>
                <w:sz w:val="20"/>
                <w:szCs w:val="20"/>
                <w:lang w:val="en-US" w:eastAsia="zh-CN"/>
              </w:rPr>
            </w:pPr>
            <w:r>
              <w:rPr>
                <w:rFonts w:hint="eastAsia"/>
                <w:b/>
                <w:bCs/>
                <w:sz w:val="20"/>
                <w:szCs w:val="20"/>
                <w:lang w:val="en-US" w:eastAsia="zh-CN"/>
              </w:rPr>
              <w:t>项目供资</w:t>
            </w:r>
          </w:p>
          <w:p>
            <w:pPr>
              <w:jc w:val="center"/>
              <w:rPr>
                <w:b/>
                <w:bCs/>
                <w:sz w:val="20"/>
                <w:szCs w:val="20"/>
              </w:rPr>
            </w:pPr>
            <w:r>
              <w:rPr>
                <w:rFonts w:hint="eastAsia"/>
                <w:b/>
                <w:bCs/>
                <w:sz w:val="20"/>
                <w:szCs w:val="20"/>
                <w:lang w:val="en-US" w:eastAsia="zh-CN"/>
              </w:rPr>
              <w:t>（美元）</w:t>
            </w:r>
          </w:p>
        </w:tc>
        <w:tc>
          <w:tcPr>
            <w:tcW w:w="1461" w:type="dxa"/>
            <w:tcMar>
              <w:left w:w="29" w:type="dxa"/>
              <w:right w:w="29" w:type="dxa"/>
            </w:tcMar>
          </w:tcPr>
          <w:p>
            <w:pPr>
              <w:jc w:val="center"/>
              <w:rPr>
                <w:b/>
                <w:bCs/>
                <w:sz w:val="20"/>
                <w:szCs w:val="20"/>
                <w:lang w:val="en-US" w:eastAsia="zh-CN"/>
              </w:rPr>
            </w:pPr>
            <w:r>
              <w:rPr>
                <w:rFonts w:hint="eastAsia"/>
                <w:b/>
                <w:bCs/>
                <w:sz w:val="20"/>
                <w:szCs w:val="20"/>
                <w:lang w:val="en-US" w:eastAsia="zh-CN"/>
              </w:rPr>
              <w:t>支持费用</w:t>
            </w:r>
          </w:p>
          <w:p>
            <w:pPr>
              <w:jc w:val="center"/>
              <w:rPr>
                <w:b/>
                <w:bCs/>
                <w:sz w:val="20"/>
                <w:szCs w:val="20"/>
              </w:rPr>
            </w:pPr>
            <w:r>
              <w:rPr>
                <w:rFonts w:hint="eastAsia"/>
                <w:b/>
                <w:bCs/>
                <w:sz w:val="20"/>
                <w:szCs w:val="20"/>
                <w:lang w:val="en-US" w:eastAsia="zh-CN"/>
              </w:rPr>
              <w:t>（美元）</w:t>
            </w:r>
          </w:p>
        </w:tc>
        <w:tc>
          <w:tcPr>
            <w:tcW w:w="1461" w:type="dxa"/>
            <w:tcMar>
              <w:left w:w="29" w:type="dxa"/>
              <w:right w:w="29" w:type="dxa"/>
            </w:tcMar>
          </w:tcPr>
          <w:p>
            <w:pPr>
              <w:jc w:val="center"/>
              <w:rPr>
                <w:b/>
                <w:bCs/>
                <w:sz w:val="20"/>
                <w:szCs w:val="20"/>
              </w:rPr>
            </w:pPr>
            <w:r>
              <w:rPr>
                <w:rFonts w:hint="eastAsia"/>
                <w:b/>
                <w:bCs/>
                <w:sz w:val="20"/>
                <w:szCs w:val="20"/>
                <w:lang w:val="en-US" w:eastAsia="zh-CN"/>
              </w:rPr>
              <w:t>执行机构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rPr>
                <w:sz w:val="20"/>
                <w:szCs w:val="20"/>
              </w:rPr>
            </w:pPr>
            <w:r>
              <w:rPr>
                <w:sz w:val="20"/>
                <w:szCs w:val="20"/>
              </w:rPr>
              <w:t>(a)</w:t>
            </w:r>
          </w:p>
        </w:tc>
        <w:tc>
          <w:tcPr>
            <w:tcW w:w="4320" w:type="dxa"/>
          </w:tcPr>
          <w:p>
            <w:pPr>
              <w:rPr>
                <w:sz w:val="20"/>
                <w:szCs w:val="20"/>
              </w:rPr>
            </w:pPr>
            <w:r>
              <w:rPr>
                <w:sz w:val="20"/>
                <w:szCs w:val="20"/>
              </w:rPr>
              <w:t>氟氯烃淘汰管理计划（第二阶段，第三次付款）</w:t>
            </w:r>
          </w:p>
        </w:tc>
        <w:tc>
          <w:tcPr>
            <w:tcW w:w="1461" w:type="dxa"/>
          </w:tcPr>
          <w:p>
            <w:pPr>
              <w:jc w:val="right"/>
              <w:rPr>
                <w:sz w:val="20"/>
                <w:szCs w:val="20"/>
              </w:rPr>
            </w:pPr>
            <w:r>
              <w:rPr>
                <w:sz w:val="20"/>
                <w:szCs w:val="20"/>
              </w:rPr>
              <w:t>627,086</w:t>
            </w:r>
          </w:p>
        </w:tc>
        <w:tc>
          <w:tcPr>
            <w:tcW w:w="1461" w:type="dxa"/>
          </w:tcPr>
          <w:p>
            <w:pPr>
              <w:jc w:val="right"/>
              <w:rPr>
                <w:sz w:val="20"/>
                <w:szCs w:val="20"/>
              </w:rPr>
            </w:pPr>
            <w:r>
              <w:rPr>
                <w:sz w:val="20"/>
                <w:szCs w:val="20"/>
              </w:rPr>
              <w:t>43,896</w:t>
            </w:r>
          </w:p>
        </w:tc>
        <w:tc>
          <w:tcPr>
            <w:tcW w:w="1461" w:type="dxa"/>
          </w:tcPr>
          <w:p>
            <w:pPr>
              <w:jc w:val="center"/>
              <w:rPr>
                <w:sz w:val="20"/>
                <w:szCs w:val="20"/>
              </w:rPr>
            </w:pPr>
            <w:r>
              <w:rPr>
                <w:rFonts w:hint="eastAsia"/>
                <w:sz w:val="20"/>
                <w:szCs w:val="20"/>
                <w:lang w:val="en-US" w:eastAsia="zh-CN"/>
              </w:rPr>
              <w:t>开发计划署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0" w:type="dxa"/>
          </w:tcPr>
          <w:p>
            <w:pPr>
              <w:rPr>
                <w:sz w:val="20"/>
                <w:szCs w:val="20"/>
              </w:rPr>
            </w:pPr>
            <w:r>
              <w:rPr>
                <w:sz w:val="20"/>
                <w:szCs w:val="20"/>
              </w:rPr>
              <w:t>(b)</w:t>
            </w:r>
          </w:p>
        </w:tc>
        <w:tc>
          <w:tcPr>
            <w:tcW w:w="4320" w:type="dxa"/>
          </w:tcPr>
          <w:p>
            <w:pPr>
              <w:rPr>
                <w:sz w:val="20"/>
                <w:szCs w:val="20"/>
              </w:rPr>
            </w:pPr>
            <w:r>
              <w:rPr>
                <w:sz w:val="20"/>
                <w:szCs w:val="20"/>
              </w:rPr>
              <w:t>氟氯烃淘汰管理计划（第二阶段，第三次付款）</w:t>
            </w:r>
          </w:p>
        </w:tc>
        <w:tc>
          <w:tcPr>
            <w:tcW w:w="1461" w:type="dxa"/>
          </w:tcPr>
          <w:p>
            <w:pPr>
              <w:jc w:val="right"/>
              <w:rPr>
                <w:sz w:val="20"/>
                <w:szCs w:val="20"/>
              </w:rPr>
            </w:pPr>
            <w:r>
              <w:rPr>
                <w:sz w:val="20"/>
                <w:szCs w:val="20"/>
              </w:rPr>
              <w:t>992,871</w:t>
            </w:r>
          </w:p>
        </w:tc>
        <w:tc>
          <w:tcPr>
            <w:tcW w:w="1461" w:type="dxa"/>
          </w:tcPr>
          <w:p>
            <w:pPr>
              <w:jc w:val="right"/>
              <w:rPr>
                <w:sz w:val="20"/>
                <w:szCs w:val="20"/>
              </w:rPr>
            </w:pPr>
            <w:r>
              <w:rPr>
                <w:sz w:val="20"/>
                <w:szCs w:val="20"/>
              </w:rPr>
              <w:t>69,501</w:t>
            </w:r>
          </w:p>
        </w:tc>
        <w:tc>
          <w:tcPr>
            <w:tcW w:w="1461" w:type="dxa"/>
          </w:tcPr>
          <w:p>
            <w:pPr>
              <w:jc w:val="center"/>
              <w:rPr>
                <w:sz w:val="20"/>
                <w:szCs w:val="20"/>
              </w:rPr>
            </w:pPr>
            <w:r>
              <w:rPr>
                <w:rFonts w:hint="eastAsia"/>
                <w:sz w:val="20"/>
                <w:szCs w:val="20"/>
                <w:lang w:val="en-US" w:eastAsia="zh-CN"/>
              </w:rPr>
              <w:t>世界银行</w:t>
            </w:r>
          </w:p>
        </w:tc>
      </w:tr>
    </w:tbl>
    <w:p/>
    <w:p>
      <w:pPr>
        <w:jc w:val="right"/>
        <w:rPr>
          <w:lang w:val="en-CA"/>
        </w:rPr>
      </w:pPr>
    </w:p>
    <w:tbl>
      <w:tblPr>
        <w:tblStyle w:val="2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871"/>
        <w:gridCol w:w="1872"/>
        <w:gridCol w:w="1872"/>
        <w:gridCol w:w="1872"/>
        <w:gridCol w:w="187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871" w:type="dxa"/>
          </w:tcPr>
          <w:p>
            <w:pPr>
              <w:rPr>
                <w:lang w:val="en-CA"/>
              </w:rPr>
            </w:pPr>
          </w:p>
        </w:tc>
        <w:tc>
          <w:tcPr>
            <w:tcW w:w="1872" w:type="dxa"/>
          </w:tcPr>
          <w:p>
            <w:pPr>
              <w:rPr>
                <w:lang w:val="en-CA"/>
              </w:rPr>
            </w:pPr>
          </w:p>
        </w:tc>
        <w:tc>
          <w:tcPr>
            <w:tcW w:w="1872" w:type="dxa"/>
            <w:tcBorders>
              <w:bottom w:val="single" w:color="auto" w:sz="4" w:space="0"/>
            </w:tcBorders>
          </w:tcPr>
          <w:p>
            <w:pPr>
              <w:rPr>
                <w:b/>
                <w:bCs/>
                <w:lang w:val="en-CA"/>
              </w:rPr>
            </w:pPr>
          </w:p>
        </w:tc>
        <w:tc>
          <w:tcPr>
            <w:tcW w:w="1872" w:type="dxa"/>
          </w:tcPr>
          <w:p>
            <w:pPr>
              <w:rPr>
                <w:lang w:val="en-CA"/>
              </w:rPr>
            </w:pPr>
          </w:p>
        </w:tc>
        <w:tc>
          <w:tcPr>
            <w:tcW w:w="1873" w:type="dxa"/>
          </w:tcPr>
          <w:p>
            <w:pPr>
              <w:rPr>
                <w:lang w:val="en-CA"/>
              </w:rPr>
            </w:pPr>
          </w:p>
        </w:tc>
      </w:tr>
    </w:tbl>
    <w:p>
      <w:pPr>
        <w:rPr>
          <w:lang w:val="fr-FR"/>
        </w:rPr>
      </w:pPr>
    </w:p>
    <w:p>
      <w:pPr>
        <w:jc w:val="center"/>
        <w:rPr>
          <w:b/>
          <w:bCs/>
          <w:lang w:val="es-ES"/>
        </w:rPr>
      </w:pPr>
    </w:p>
    <w:p>
      <w:pPr>
        <w:jc w:val="right"/>
        <w:rPr>
          <w:lang w:val="en-CA"/>
        </w:rPr>
      </w:pPr>
    </w:p>
    <w:sectPr>
      <w:headerReference r:id="rId6" w:type="first"/>
      <w:footerReference r:id="rId9" w:type="first"/>
      <w:headerReference r:id="rId4" w:type="default"/>
      <w:footerReference r:id="rId7" w:type="default"/>
      <w:headerReference r:id="rId5" w:type="even"/>
      <w:footerReference r:id="rId8" w:type="even"/>
      <w:pgSz w:w="12240" w:h="15840"/>
      <w:pgMar w:top="720" w:right="1440" w:bottom="864" w:left="1440" w:header="720" w:footer="475" w:gutter="0"/>
      <w:pgNumType w:start="1"/>
      <w:cols w:space="720" w:num="1"/>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w:panose1 w:val="020B0604020202020204"/>
    <w:charset w:val="00"/>
    <w:family w:val="swiss"/>
    <w:pitch w:val="default"/>
    <w:sig w:usb0="E0002EFF" w:usb1="C0007843"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Tahoma">
    <w:panose1 w:val="020B0604030504040204"/>
    <w:charset w:val="00"/>
    <w:family w:val="swiss"/>
    <w:pitch w:val="default"/>
    <w:sig w:usb0="E1002EFF" w:usb1="C000605B" w:usb2="00000029" w:usb3="00000000" w:csb0="200101FF" w:csb1="20280000"/>
  </w:font>
  <w:font w:name="SimHei">
    <w:altName w:val="Malgun Gothic Semilight"/>
    <w:panose1 w:val="02010600030101010101"/>
    <w:charset w:val="86"/>
    <w:family w:val="modern"/>
    <w:pitch w:val="default"/>
    <w:sig w:usb0="00000000" w:usb1="00000000" w:usb2="00000016" w:usb3="00000000" w:csb0="00040001" w:csb1="00000000"/>
  </w:font>
  <w:font w:name="Malgun Gothic Semilight">
    <w:panose1 w:val="020B0502040204020203"/>
    <w:charset w:val="86"/>
    <w:family w:val="auto"/>
    <w:pitch w:val="default"/>
    <w:sig w:usb0="900002AF" w:usb1="01D77CFB" w:usb2="00000012" w:usb3="00000000" w:csb0="203E01BD" w:csb1="D7FF0000"/>
  </w:font>
  <w:font w:name="Univers Bold">
    <w:altName w:val="Arial"/>
    <w:panose1 w:val="00000000000000000000"/>
    <w:charset w:val="00"/>
    <w:family w:val="swiss"/>
    <w:pitch w:val="default"/>
    <w:sig w:usb0="00000000" w:usb1="00000000" w:usb2="00000000" w:usb3="00000000" w:csb0="00000001" w:csb1="00000000"/>
  </w:font>
  <w:font w:name="Batang">
    <w:altName w:val="Malgun Gothic"/>
    <w:panose1 w:val="02030600000101010101"/>
    <w:charset w:val="81"/>
    <w:family w:val="roman"/>
    <w:pitch w:val="default"/>
    <w:sig w:usb0="00000000" w:usb1="00000000" w:usb2="00000030" w:usb3="00000000" w:csb0="0008009F" w:csb1="00000000"/>
  </w:font>
  <w:font w:name="Malgun Gothic">
    <w:panose1 w:val="020B0503020000020004"/>
    <w:charset w:val="81"/>
    <w:family w:val="auto"/>
    <w:pitch w:val="default"/>
    <w:sig w:usb0="9000002F" w:usb1="29D77CFB" w:usb2="00000012" w:usb3="00000000" w:csb0="00080001" w:csb1="00000000"/>
  </w:font>
  <w:font w:name="New Gulim">
    <w:altName w:val="Malgun Gothic"/>
    <w:panose1 w:val="00000000000000000000"/>
    <w:charset w:val="81"/>
    <w:family w:val="roman"/>
    <w:pitch w:val="default"/>
    <w:sig w:usb0="00000000" w:usb1="00000000" w:usb2="00000030" w:usb3="00000000" w:csb0="0008009F" w:csb1="00000000"/>
  </w:font>
  <w:font w:name="MS Mincho">
    <w:altName w:val="Yu Gothic UI"/>
    <w:panose1 w:val="02020609040205080304"/>
    <w:charset w:val="80"/>
    <w:family w:val="modern"/>
    <w:pitch w:val="default"/>
    <w:sig w:usb0="00000000" w:usb1="00000000" w:usb2="08000012" w:usb3="00000000" w:csb0="0002009F" w:csb1="00000000"/>
  </w:font>
  <w:font w:name="Yu Gothic UI">
    <w:panose1 w:val="020B05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 PAGE </w:instrText>
    </w:r>
    <w:r>
      <w:fldChar w:fldCharType="separate"/>
    </w:r>
    <w:r>
      <w:t>5</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fldChar w:fldCharType="begin"/>
    </w:r>
    <w:r>
      <w:instrText xml:space="preserve"> PAGE </w:instrText>
    </w:r>
    <w:r>
      <w:fldChar w:fldCharType="separate"/>
    </w:r>
    <w:r>
      <w:t>6</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Bdr>
        <w:top w:val="single" w:color="auto" w:sz="4" w:space="1"/>
        <w:left w:val="single" w:color="auto" w:sz="4" w:space="4"/>
        <w:bottom w:val="single" w:color="auto" w:sz="4" w:space="1"/>
        <w:right w:val="single" w:color="auto" w:sz="4" w:space="4"/>
      </w:pBdr>
      <w:spacing w:after="60"/>
      <w:ind w:left="600" w:hanging="600" w:hangingChars="300"/>
      <w:rPr>
        <w:rFonts w:eastAsiaTheme="minorEastAsia"/>
        <w:lang w:val="en-US" w:eastAsia="zh-CN"/>
      </w:rPr>
    </w:pPr>
    <w:r>
      <w:rPr>
        <w:rFonts w:hint="eastAsia" w:ascii="宋体" w:hAnsi="宋体" w:eastAsia="宋体" w:cs="宋体"/>
        <w:lang w:eastAsia="zh-CN"/>
      </w:rPr>
      <w:t>执行蒙特利尔议定书多边基金执行委员会的会前文件不妨碍文件印发后执行委员会可能作出的任何决</w:t>
    </w:r>
    <w:r>
      <w:rPr>
        <w:rFonts w:hint="eastAsia" w:ascii="MS Mincho" w:hAnsi="MS Mincho" w:eastAsia="MS Mincho" w:cs="MS Mincho"/>
        <w:lang w:eastAsia="zh-CN"/>
      </w:rPr>
      <w:t>定</w:t>
    </w:r>
  </w:p>
  <w:p>
    <w:pPr>
      <w:pStyle w:val="1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4">
    <w:p>
      <w:r>
        <w:separator/>
      </w:r>
    </w:p>
  </w:footnote>
  <w:footnote w:type="continuationSeparator" w:id="25">
    <w:p>
      <w:r>
        <w:continuationSeparator/>
      </w:r>
    </w:p>
  </w:footnote>
  <w:footnote w:id="0">
    <w:p>
      <w:pPr>
        <w:pStyle w:val="20"/>
        <w:spacing w:after="60"/>
        <w:rPr>
          <w:lang w:val="en-US" w:eastAsia="zh-CN"/>
        </w:rPr>
      </w:pPr>
      <w:r>
        <w:rPr>
          <w:rStyle w:val="71"/>
        </w:rPr>
        <w:footnoteRef/>
      </w:r>
      <w:r>
        <w:rPr>
          <w:lang w:eastAsia="zh-CN"/>
        </w:rPr>
        <w:t xml:space="preserve"> </w:t>
      </w:r>
      <w:r>
        <w:rPr>
          <w:rFonts w:eastAsia="宋体"/>
          <w:szCs w:val="18"/>
          <w:lang w:eastAsia="zh-CN"/>
        </w:rPr>
        <w:t>由于2019冠状病毒病（Covid-19）</w:t>
      </w:r>
      <w:r>
        <w:rPr>
          <w:rFonts w:hint="eastAsia" w:eastAsia="宋体"/>
          <w:szCs w:val="18"/>
          <w:lang w:eastAsia="zh-CN"/>
        </w:rPr>
        <w:t>，将于2</w:t>
      </w:r>
      <w:r>
        <w:rPr>
          <w:rFonts w:eastAsia="宋体"/>
          <w:szCs w:val="18"/>
          <w:lang w:eastAsia="zh-CN"/>
        </w:rPr>
        <w:t>021</w:t>
      </w:r>
      <w:r>
        <w:rPr>
          <w:rFonts w:hint="eastAsia" w:eastAsia="宋体"/>
          <w:szCs w:val="18"/>
          <w:lang w:eastAsia="zh-CN"/>
        </w:rPr>
        <w:t>年1</w:t>
      </w:r>
      <w:r>
        <w:rPr>
          <w:rFonts w:eastAsia="宋体"/>
          <w:szCs w:val="18"/>
          <w:lang w:eastAsia="zh-CN"/>
        </w:rPr>
        <w:t>1</w:t>
      </w:r>
      <w:r>
        <w:rPr>
          <w:rFonts w:hint="eastAsia" w:eastAsia="宋体"/>
          <w:szCs w:val="18"/>
          <w:lang w:eastAsia="zh-CN"/>
        </w:rPr>
        <w:t>月和1</w:t>
      </w:r>
      <w:r>
        <w:rPr>
          <w:rFonts w:eastAsia="宋体"/>
          <w:szCs w:val="18"/>
          <w:lang w:eastAsia="zh-CN"/>
        </w:rPr>
        <w:t>2</w:t>
      </w:r>
      <w:r>
        <w:rPr>
          <w:rFonts w:hint="eastAsia" w:eastAsia="宋体"/>
          <w:szCs w:val="18"/>
          <w:lang w:eastAsia="zh-CN"/>
        </w:rPr>
        <w:t>月举行在线会议和闭会期间批准程序</w:t>
      </w:r>
      <w:r>
        <w:rPr>
          <w:rFonts w:eastAsia="宋体"/>
          <w:sz w:val="21"/>
          <w:lang w:eastAsia="zh-CN"/>
        </w:rPr>
        <w:t>。</w:t>
      </w:r>
    </w:p>
  </w:footnote>
  <w:footnote w:id="1">
    <w:p>
      <w:pPr>
        <w:pStyle w:val="20"/>
        <w:rPr>
          <w:rFonts w:eastAsia="宋体"/>
          <w:lang w:eastAsia="zh-CN"/>
        </w:rPr>
      </w:pPr>
      <w:r>
        <w:rPr>
          <w:rStyle w:val="71"/>
        </w:rPr>
        <w:footnoteRef/>
      </w:r>
      <w:r>
        <w:t xml:space="preserve"> 商业制冷行业 3 家（Mentari Metal Pratama、Polysari Citratama 和 Inti Tunggal），商业制冷装配子行业 8 家（Sabindo Refrigeration、Global Technic、AVIS Alpin Servis Tr、Aneka Froze Triutama、Graha Cool Technic、United Refrigeration、Gaya Technic Supply 和 Ilthabi Mandiri Tech）</w:t>
      </w:r>
      <w:r>
        <w:rPr>
          <w:rFonts w:hint="eastAsia" w:eastAsia="宋体"/>
          <w:lang w:eastAsia="zh-CN"/>
        </w:rPr>
        <w:t>。</w:t>
      </w:r>
    </w:p>
  </w:footnote>
  <w:footnote w:id="2">
    <w:p>
      <w:pPr>
        <w:pStyle w:val="20"/>
      </w:pPr>
      <w:r>
        <w:rPr>
          <w:rStyle w:val="71"/>
        </w:rPr>
        <w:footnoteRef/>
      </w:r>
      <w:r>
        <w:t xml:space="preserve"> Panasonic Indonesia.</w:t>
      </w:r>
    </w:p>
  </w:footnote>
  <w:footnote w:id="3">
    <w:p>
      <w:pPr>
        <w:pStyle w:val="20"/>
      </w:pPr>
      <w:r>
        <w:rPr>
          <w:rStyle w:val="71"/>
        </w:rPr>
        <w:footnoteRef/>
      </w:r>
      <w:r>
        <w:t xml:space="preserve"> 可应执行委员会成员要求提供机密信息。</w:t>
      </w:r>
    </w:p>
  </w:footnote>
  <w:footnote w:id="4">
    <w:p>
      <w:pPr>
        <w:pStyle w:val="20"/>
        <w:rPr>
          <w:rFonts w:eastAsia="宋体"/>
          <w:lang w:eastAsia="zh-CN"/>
        </w:rPr>
      </w:pPr>
      <w:r>
        <w:rPr>
          <w:rStyle w:val="71"/>
        </w:rPr>
        <w:footnoteRef/>
      </w:r>
      <w:r>
        <w:t xml:space="preserve"> </w:t>
      </w:r>
      <w:r>
        <w:rPr>
          <w:rFonts w:hint="eastAsia" w:eastAsia="宋体"/>
          <w:lang w:val="en-US" w:eastAsia="zh-CN"/>
        </w:rPr>
        <w:t>印度尼西亚</w:t>
      </w:r>
      <w:r>
        <w:t>Sutindo Chemical</w:t>
      </w:r>
      <w:r>
        <w:rPr>
          <w:rFonts w:hint="eastAsia" w:eastAsia="宋体"/>
          <w:lang w:eastAsia="zh-CN"/>
        </w:rPr>
        <w:t>。</w:t>
      </w:r>
    </w:p>
  </w:footnote>
  <w:footnote w:id="5">
    <w:p>
      <w:pPr>
        <w:pStyle w:val="20"/>
        <w:rPr>
          <w:lang w:val="es-ES"/>
        </w:rPr>
      </w:pPr>
      <w:r>
        <w:rPr>
          <w:rStyle w:val="71"/>
        </w:rPr>
        <w:footnoteRef/>
      </w:r>
      <w:r>
        <w:rPr>
          <w:lang w:val="es-ES"/>
        </w:rPr>
        <w:t xml:space="preserve"> TSG Chemical.</w:t>
      </w:r>
    </w:p>
  </w:footnote>
  <w:footnote w:id="6">
    <w:p>
      <w:pPr>
        <w:pStyle w:val="20"/>
        <w:rPr>
          <w:lang w:val="es-ES"/>
        </w:rPr>
      </w:pPr>
      <w:r>
        <w:rPr>
          <w:rStyle w:val="71"/>
        </w:rPr>
        <w:footnoteRef/>
      </w:r>
      <w:r>
        <w:rPr>
          <w:lang w:val="es-ES"/>
        </w:rPr>
        <w:t xml:space="preserve"> Sumo Elco Mandiri, Rotaryana Prima,</w:t>
      </w:r>
      <w:r>
        <w:rPr>
          <w:rFonts w:hint="eastAsia" w:eastAsia="宋体"/>
          <w:lang w:val="es-ES" w:eastAsia="zh-CN"/>
        </w:rPr>
        <w:t xml:space="preserve"> </w:t>
      </w:r>
      <w:r>
        <w:rPr>
          <w:rFonts w:hint="eastAsia" w:eastAsia="宋体"/>
          <w:lang w:val="en-US" w:eastAsia="zh-CN"/>
        </w:rPr>
        <w:t>和</w:t>
      </w:r>
      <w:r>
        <w:rPr>
          <w:lang w:val="es-ES"/>
        </w:rPr>
        <w:t xml:space="preserve"> Alpine Cool Utama.</w:t>
      </w:r>
    </w:p>
  </w:footnote>
  <w:footnote w:id="7">
    <w:p>
      <w:pPr>
        <w:pStyle w:val="20"/>
        <w:rPr>
          <w:lang w:val="es-ES"/>
        </w:rPr>
      </w:pPr>
      <w:r>
        <w:rPr>
          <w:rStyle w:val="71"/>
        </w:rPr>
        <w:footnoteRef/>
      </w:r>
      <w:r>
        <w:rPr>
          <w:lang w:val="es-ES"/>
        </w:rPr>
        <w:t xml:space="preserve"> Aneka Cool Citratama.</w:t>
      </w:r>
    </w:p>
  </w:footnote>
  <w:footnote w:id="8">
    <w:p>
      <w:pPr>
        <w:pStyle w:val="20"/>
        <w:rPr>
          <w:rFonts w:eastAsia="宋体"/>
          <w:lang w:val="es-ES" w:eastAsia="zh-CN"/>
        </w:rPr>
      </w:pPr>
      <w:r>
        <w:rPr>
          <w:rStyle w:val="71"/>
        </w:rPr>
        <w:footnoteRef/>
      </w:r>
      <w:r>
        <w:rPr>
          <w:lang w:val="es-ES"/>
        </w:rPr>
        <w:t xml:space="preserve"> </w:t>
      </w:r>
      <w:r>
        <w:t>根据印度尼西亚环境和林业部</w:t>
      </w:r>
      <w:r>
        <w:rPr>
          <w:lang w:val="es-ES"/>
        </w:rPr>
        <w:t xml:space="preserve"> 2021 </w:t>
      </w:r>
      <w:r>
        <w:t>年</w:t>
      </w:r>
      <w:r>
        <w:rPr>
          <w:lang w:val="es-ES"/>
        </w:rPr>
        <w:t xml:space="preserve"> 9 </w:t>
      </w:r>
      <w:r>
        <w:t>月</w:t>
      </w:r>
      <w:r>
        <w:rPr>
          <w:lang w:val="es-ES"/>
        </w:rPr>
        <w:t xml:space="preserve"> 2 </w:t>
      </w:r>
      <w:r>
        <w:t>日给开发计划署的信函</w:t>
      </w:r>
      <w:r>
        <w:rPr>
          <w:rFonts w:hint="eastAsia" w:eastAsia="宋体"/>
          <w:lang w:eastAsia="zh-CN"/>
        </w:rPr>
        <w:t>。</w:t>
      </w:r>
    </w:p>
  </w:footnote>
  <w:footnote w:id="9">
    <w:p>
      <w:pPr>
        <w:pStyle w:val="20"/>
      </w:pPr>
      <w:r>
        <w:rPr>
          <w:rStyle w:val="71"/>
        </w:rPr>
        <w:footnoteRef/>
      </w:r>
      <w:r>
        <w:rPr>
          <w:lang w:val="es-ES"/>
        </w:rPr>
        <w:t xml:space="preserve"> </w:t>
      </w:r>
      <w:r>
        <w:rPr>
          <w:rFonts w:hint="eastAsia" w:eastAsia="宋体"/>
          <w:lang w:val="es-ES" w:eastAsia="zh-CN"/>
        </w:rPr>
        <w:t xml:space="preserve"> </w:t>
      </w:r>
      <w:r>
        <w:t>原两个系统公司之一</w:t>
      </w:r>
      <w:r>
        <w:rPr>
          <w:lang w:val="es-ES"/>
        </w:rPr>
        <w:t>，</w:t>
      </w:r>
      <w:r>
        <w:rPr>
          <w:rFonts w:hint="eastAsia" w:eastAsia="宋体"/>
          <w:lang w:val="en-US" w:eastAsia="zh-CN"/>
        </w:rPr>
        <w:t>印度尼西亚</w:t>
      </w:r>
      <w:r>
        <w:rPr>
          <w:lang w:val="es-ES"/>
        </w:rPr>
        <w:t>PT.  MCNS Polyurethane</w:t>
      </w:r>
      <w:r>
        <w:t>退出该项目</w:t>
      </w:r>
      <w:r>
        <w:rPr>
          <w:rFonts w:hint="eastAsia" w:eastAsia="宋体"/>
          <w:lang w:val="es-ES" w:eastAsia="zh-CN"/>
        </w:rPr>
        <w:t>，</w:t>
      </w:r>
      <w:r>
        <w:t>并由</w:t>
      </w:r>
      <w:r>
        <w:rPr>
          <w:lang w:val="es-ES"/>
        </w:rPr>
        <w:t xml:space="preserve"> PT Intimas Chemindo  </w:t>
      </w:r>
      <w:r>
        <w:t>取代。</w:t>
      </w:r>
      <w:r>
        <w:rPr>
          <w:rFonts w:hint="eastAsia" w:eastAsia="宋体"/>
          <w:lang w:val="en-US" w:eastAsia="zh-CN"/>
        </w:rPr>
        <w:t>该公司</w:t>
      </w:r>
      <w:r>
        <w:t xml:space="preserve">最初拒绝参与第二阶段。 </w:t>
      </w:r>
    </w:p>
  </w:footnote>
  <w:footnote w:id="10">
    <w:p>
      <w:pPr>
        <w:pStyle w:val="20"/>
      </w:pPr>
      <w:r>
        <w:rPr>
          <w:rStyle w:val="71"/>
        </w:rPr>
        <w:footnoteRef/>
      </w:r>
      <w:r>
        <w:t xml:space="preserve"> 在第 81 次会议上，开发计划署报告（UNEP/OzL.Pro/ExCom/81/38）</w:t>
      </w:r>
      <w:r>
        <w:rPr>
          <w:rFonts w:hint="eastAsia" w:eastAsia="宋体"/>
          <w:lang w:eastAsia="zh-CN"/>
        </w:rPr>
        <w:t>，</w:t>
      </w:r>
      <w:r>
        <w:t>已经订购了 20 个便携式制冷剂识别器</w:t>
      </w:r>
      <w:r>
        <w:rPr>
          <w:rFonts w:hint="eastAsia" w:eastAsia="宋体"/>
          <w:lang w:eastAsia="zh-CN"/>
        </w:rPr>
        <w:t>，</w:t>
      </w:r>
      <w:r>
        <w:t xml:space="preserve">但尚未交付。 </w:t>
      </w:r>
    </w:p>
  </w:footnote>
  <w:footnote w:id="11">
    <w:p>
      <w:pPr>
        <w:pStyle w:val="2"/>
        <w:numPr>
          <w:ilvl w:val="0"/>
          <w:numId w:val="0"/>
        </w:numPr>
        <w:rPr>
          <w:lang w:val="en-US" w:eastAsia="zh-CN"/>
        </w:rPr>
      </w:pPr>
      <w:r>
        <w:rPr>
          <w:rStyle w:val="71"/>
        </w:rPr>
        <w:footnoteRef/>
      </w:r>
      <w:r>
        <w:t xml:space="preserve"> </w:t>
      </w:r>
      <w:r>
        <w:rPr>
          <w:rFonts w:hint="eastAsia"/>
          <w:lang w:val="en-US" w:eastAsia="zh-CN"/>
        </w:rPr>
        <w:t xml:space="preserve"> </w:t>
      </w:r>
      <w:r>
        <w:t>第 84/92(d) 号决定要求双边和执行机构</w:t>
      </w:r>
      <w:r>
        <w:rPr>
          <w:rFonts w:hint="eastAsia"/>
          <w:lang w:eastAsia="zh-CN"/>
        </w:rPr>
        <w:t>，</w:t>
      </w:r>
      <w:r>
        <w:t>在整个项目周期中应用性别主流化的业务政策。</w:t>
      </w:r>
      <w:r>
        <w:rPr>
          <w:rFonts w:hint="eastAsia"/>
          <w:lang w:val="en-US" w:eastAsia="zh-CN"/>
        </w:rPr>
        <w:t xml:space="preserve"> </w:t>
      </w:r>
    </w:p>
    <w:p>
      <w:pPr>
        <w:pStyle w:val="20"/>
        <w:rPr>
          <w:lang w:val="en-US"/>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 DOCPROPERTY "Document number"  \* MERGEFORMAT </w:instrText>
    </w:r>
    <w:r>
      <w:fldChar w:fldCharType="separate"/>
    </w:r>
    <w:r>
      <w:t>UNEP/OzL.Pro/ExCom/88/</w:t>
    </w:r>
    <w:r>
      <w:rPr>
        <w:lang w:val="en-US" w:eastAsia="zh-CN"/>
      </w:rPr>
      <w:t>51</w:t>
    </w:r>
    <w:r>
      <w:fldChar w:fldCharType="end"/>
    </w:r>
  </w:p>
  <w:p/>
  <w:p>
    <w:pPr>
      <w:pStyle w:val="1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r>
      <w:fldChar w:fldCharType="begin"/>
    </w:r>
    <w:r>
      <w:instrText xml:space="preserve"> DOCPROPERTY "Document number"  \* MERGEFORMAT </w:instrText>
    </w:r>
    <w:r>
      <w:fldChar w:fldCharType="separate"/>
    </w:r>
    <w:r>
      <w:t>UNEP/OzL.Pro/ExCom/88/</w:t>
    </w:r>
    <w:r>
      <w:rPr>
        <w:lang w:val="en-US" w:eastAsia="zh-CN"/>
      </w:rPr>
      <w:t>51</w:t>
    </w:r>
    <w:r>
      <w:fldChar w:fldCharType="end"/>
    </w:r>
  </w:p>
  <w:p/>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FB"/>
    <w:multiLevelType w:val="multilevel"/>
    <w:tmpl w:val="FFFFFFFB"/>
    <w:lvl w:ilvl="0" w:tentative="0">
      <w:start w:val="1"/>
      <w:numFmt w:val="decimal"/>
      <w:pStyle w:val="2"/>
      <w:lvlText w:val="%1."/>
      <w:lvlJc w:val="left"/>
      <w:pPr>
        <w:tabs>
          <w:tab w:val="left" w:pos="0"/>
        </w:tabs>
        <w:ind w:left="0" w:firstLine="0"/>
      </w:pPr>
    </w:lvl>
    <w:lvl w:ilvl="1" w:tentative="0">
      <w:start w:val="1"/>
      <w:numFmt w:val="lowerLetter"/>
      <w:pStyle w:val="3"/>
      <w:lvlText w:val="(%2)"/>
      <w:lvlJc w:val="left"/>
      <w:pPr>
        <w:tabs>
          <w:tab w:val="left" w:pos="0"/>
        </w:tabs>
        <w:ind w:left="1440" w:hanging="720"/>
      </w:pPr>
    </w:lvl>
    <w:lvl w:ilvl="2" w:tentative="0">
      <w:start w:val="1"/>
      <w:numFmt w:val="lowerRoman"/>
      <w:pStyle w:val="4"/>
      <w:lvlText w:val="(%3)"/>
      <w:lvlJc w:val="left"/>
      <w:pPr>
        <w:tabs>
          <w:tab w:val="left" w:pos="0"/>
        </w:tabs>
        <w:ind w:left="2160" w:hanging="720"/>
      </w:pPr>
    </w:lvl>
    <w:lvl w:ilvl="3" w:tentative="0">
      <w:start w:val="1"/>
      <w:numFmt w:val="lowerLetter"/>
      <w:pStyle w:val="5"/>
      <w:lvlText w:val="%4)"/>
      <w:lvlJc w:val="left"/>
      <w:pPr>
        <w:tabs>
          <w:tab w:val="left" w:pos="-90"/>
        </w:tabs>
        <w:ind w:left="2776" w:hanging="706"/>
      </w:pPr>
      <w:rPr>
        <w:b w:val="0"/>
        <w:i w:val="0"/>
      </w:rPr>
    </w:lvl>
    <w:lvl w:ilvl="4" w:tentative="0">
      <w:start w:val="1"/>
      <w:numFmt w:val="decimal"/>
      <w:lvlText w:val="(%5)"/>
      <w:lvlJc w:val="left"/>
      <w:pPr>
        <w:tabs>
          <w:tab w:val="left" w:pos="0"/>
        </w:tabs>
        <w:ind w:left="3571" w:hanging="705"/>
      </w:pPr>
    </w:lvl>
    <w:lvl w:ilvl="5" w:tentative="0">
      <w:start w:val="1"/>
      <w:numFmt w:val="lowerLetter"/>
      <w:pStyle w:val="8"/>
      <w:lvlText w:val="(%6)"/>
      <w:lvlJc w:val="left"/>
      <w:pPr>
        <w:tabs>
          <w:tab w:val="left" w:pos="0"/>
        </w:tabs>
        <w:ind w:left="4291" w:hanging="720"/>
      </w:pPr>
    </w:lvl>
    <w:lvl w:ilvl="6" w:tentative="0">
      <w:start w:val="1"/>
      <w:numFmt w:val="lowerRoman"/>
      <w:pStyle w:val="9"/>
      <w:lvlText w:val="(%7)"/>
      <w:lvlJc w:val="left"/>
      <w:pPr>
        <w:tabs>
          <w:tab w:val="left" w:pos="0"/>
        </w:tabs>
        <w:ind w:left="4997" w:hanging="706"/>
      </w:pPr>
    </w:lvl>
    <w:lvl w:ilvl="7" w:tentative="0">
      <w:start w:val="1"/>
      <w:numFmt w:val="lowerLetter"/>
      <w:lvlText w:val="(%8)"/>
      <w:lvlJc w:val="left"/>
      <w:pPr>
        <w:tabs>
          <w:tab w:val="left" w:pos="0"/>
        </w:tabs>
        <w:ind w:left="5702" w:hanging="705"/>
      </w:pPr>
    </w:lvl>
    <w:lvl w:ilvl="8" w:tentative="0">
      <w:start w:val="1"/>
      <w:numFmt w:val="lowerRoman"/>
      <w:pStyle w:val="6"/>
      <w:lvlText w:val="(%9)"/>
      <w:lvlJc w:val="left"/>
      <w:pPr>
        <w:tabs>
          <w:tab w:val="left" w:pos="0"/>
        </w:tabs>
        <w:ind w:left="6408" w:hanging="706"/>
      </w:pPr>
    </w:lvl>
  </w:abstractNum>
  <w:abstractNum w:abstractNumId="1">
    <w:nsid w:val="1A270972"/>
    <w:multiLevelType w:val="multilevel"/>
    <w:tmpl w:val="1A270972"/>
    <w:lvl w:ilvl="0" w:tentative="0">
      <w:start w:val="1"/>
      <w:numFmt w:val="decimal"/>
      <w:pStyle w:val="83"/>
      <w:lvlText w:val="%1."/>
      <w:lvlJc w:val="left"/>
      <w:pPr>
        <w:tabs>
          <w:tab w:val="left" w:pos="1440"/>
        </w:tabs>
        <w:ind w:left="1080" w:firstLine="0"/>
      </w:pPr>
      <w:rPr>
        <w:rFonts w:hint="default" w:ascii="Arial" w:hAnsi="Arial" w:cs="Arial"/>
        <w:b w:val="0"/>
        <w:i w:val="0"/>
      </w:rPr>
    </w:lvl>
    <w:lvl w:ilvl="1" w:tentative="0">
      <w:start w:val="1"/>
      <w:numFmt w:val="lowerLetter"/>
      <w:lvlText w:val="%2."/>
      <w:lvlJc w:val="left"/>
      <w:pPr>
        <w:tabs>
          <w:tab w:val="left" w:pos="2160"/>
        </w:tabs>
        <w:ind w:left="2160" w:hanging="360"/>
      </w:pPr>
      <w:rPr>
        <w:rFonts w:hint="default"/>
      </w:rPr>
    </w:lvl>
    <w:lvl w:ilvl="2" w:tentative="0">
      <w:start w:val="1"/>
      <w:numFmt w:val="lowerLetter"/>
      <w:lvlText w:val="(%3)"/>
      <w:lvlJc w:val="left"/>
      <w:pPr>
        <w:tabs>
          <w:tab w:val="left" w:pos="3015"/>
        </w:tabs>
        <w:ind w:left="3015" w:hanging="495"/>
      </w:pPr>
      <w:rPr>
        <w:rFonts w:hint="default"/>
      </w:rPr>
    </w:lvl>
    <w:lvl w:ilvl="3" w:tentative="0">
      <w:start w:val="1"/>
      <w:numFmt w:val="decimal"/>
      <w:lvlText w:val="%4."/>
      <w:lvlJc w:val="left"/>
      <w:pPr>
        <w:tabs>
          <w:tab w:val="left" w:pos="3600"/>
        </w:tabs>
        <w:ind w:left="3600" w:hanging="360"/>
      </w:pPr>
      <w:rPr>
        <w:rFonts w:hint="default"/>
        <w:b w:val="0"/>
        <w:i w:val="0"/>
      </w:rPr>
    </w:lvl>
    <w:lvl w:ilvl="4" w:tentative="0">
      <w:start w:val="1"/>
      <w:numFmt w:val="bullet"/>
      <w:lvlText w:val="o"/>
      <w:lvlJc w:val="left"/>
      <w:pPr>
        <w:tabs>
          <w:tab w:val="left" w:pos="4320"/>
        </w:tabs>
        <w:ind w:left="4320" w:hanging="360"/>
      </w:pPr>
      <w:rPr>
        <w:rFonts w:hint="default" w:ascii="Courier New" w:hAnsi="Courier New" w:cs="Courier New"/>
      </w:rPr>
    </w:lvl>
    <w:lvl w:ilvl="5" w:tentative="0">
      <w:start w:val="1"/>
      <w:numFmt w:val="bullet"/>
      <w:lvlText w:val=""/>
      <w:lvlJc w:val="left"/>
      <w:pPr>
        <w:tabs>
          <w:tab w:val="left" w:pos="5040"/>
        </w:tabs>
        <w:ind w:left="5040" w:hanging="360"/>
      </w:pPr>
      <w:rPr>
        <w:rFonts w:hint="default" w:ascii="Wingdings" w:hAnsi="Wingdings"/>
      </w:rPr>
    </w:lvl>
    <w:lvl w:ilvl="6" w:tentative="0">
      <w:start w:val="1"/>
      <w:numFmt w:val="bullet"/>
      <w:lvlText w:val=""/>
      <w:lvlJc w:val="left"/>
      <w:pPr>
        <w:tabs>
          <w:tab w:val="left" w:pos="5760"/>
        </w:tabs>
        <w:ind w:left="5760" w:hanging="360"/>
      </w:pPr>
      <w:rPr>
        <w:rFonts w:hint="default" w:ascii="Symbol" w:hAnsi="Symbol"/>
      </w:rPr>
    </w:lvl>
    <w:lvl w:ilvl="7" w:tentative="0">
      <w:start w:val="1"/>
      <w:numFmt w:val="bullet"/>
      <w:lvlText w:val="o"/>
      <w:lvlJc w:val="left"/>
      <w:pPr>
        <w:tabs>
          <w:tab w:val="left" w:pos="6480"/>
        </w:tabs>
        <w:ind w:left="6480" w:hanging="360"/>
      </w:pPr>
      <w:rPr>
        <w:rFonts w:hint="default" w:ascii="Courier New" w:hAnsi="Courier New" w:cs="Courier New"/>
      </w:rPr>
    </w:lvl>
    <w:lvl w:ilvl="8" w:tentative="0">
      <w:start w:val="1"/>
      <w:numFmt w:val="bullet"/>
      <w:lvlText w:val=""/>
      <w:lvlJc w:val="left"/>
      <w:pPr>
        <w:tabs>
          <w:tab w:val="left" w:pos="7200"/>
        </w:tabs>
        <w:ind w:left="7200" w:hanging="360"/>
      </w:pPr>
      <w:rPr>
        <w:rFonts w:hint="default" w:ascii="Wingdings" w:hAnsi="Wingdings"/>
      </w:rPr>
    </w:lvl>
  </w:abstractNum>
  <w:abstractNum w:abstractNumId="2">
    <w:nsid w:val="326050D8"/>
    <w:multiLevelType w:val="multilevel"/>
    <w:tmpl w:val="326050D8"/>
    <w:lvl w:ilvl="0" w:tentative="0">
      <w:start w:val="1"/>
      <w:numFmt w:val="lowerRoman"/>
      <w:pStyle w:val="7"/>
      <w:lvlText w:val="%1."/>
      <w:lvlJc w:val="right"/>
      <w:pPr>
        <w:ind w:left="3583" w:hanging="360"/>
      </w:pPr>
    </w:lvl>
    <w:lvl w:ilvl="1" w:tentative="0">
      <w:start w:val="1"/>
      <w:numFmt w:val="lowerLetter"/>
      <w:lvlText w:val="%2."/>
      <w:lvlJc w:val="left"/>
      <w:pPr>
        <w:ind w:left="4303" w:hanging="360"/>
      </w:pPr>
    </w:lvl>
    <w:lvl w:ilvl="2" w:tentative="0">
      <w:start w:val="1"/>
      <w:numFmt w:val="lowerRoman"/>
      <w:lvlText w:val="%3."/>
      <w:lvlJc w:val="right"/>
      <w:pPr>
        <w:ind w:left="5023" w:hanging="180"/>
      </w:pPr>
    </w:lvl>
    <w:lvl w:ilvl="3" w:tentative="0">
      <w:start w:val="1"/>
      <w:numFmt w:val="decimal"/>
      <w:lvlText w:val="%4."/>
      <w:lvlJc w:val="left"/>
      <w:pPr>
        <w:ind w:left="5743" w:hanging="360"/>
      </w:pPr>
    </w:lvl>
    <w:lvl w:ilvl="4" w:tentative="0">
      <w:start w:val="1"/>
      <w:numFmt w:val="lowerLetter"/>
      <w:lvlText w:val="%5."/>
      <w:lvlJc w:val="left"/>
      <w:pPr>
        <w:ind w:left="6463" w:hanging="360"/>
      </w:pPr>
    </w:lvl>
    <w:lvl w:ilvl="5" w:tentative="0">
      <w:start w:val="1"/>
      <w:numFmt w:val="lowerRoman"/>
      <w:lvlText w:val="%6."/>
      <w:lvlJc w:val="right"/>
      <w:pPr>
        <w:ind w:left="7183" w:hanging="180"/>
      </w:pPr>
    </w:lvl>
    <w:lvl w:ilvl="6" w:tentative="0">
      <w:start w:val="1"/>
      <w:numFmt w:val="decimal"/>
      <w:lvlText w:val="%7."/>
      <w:lvlJc w:val="left"/>
      <w:pPr>
        <w:ind w:left="7903" w:hanging="360"/>
      </w:pPr>
    </w:lvl>
    <w:lvl w:ilvl="7" w:tentative="0">
      <w:start w:val="1"/>
      <w:numFmt w:val="lowerLetter"/>
      <w:lvlText w:val="%8."/>
      <w:lvlJc w:val="left"/>
      <w:pPr>
        <w:ind w:left="8623" w:hanging="360"/>
      </w:pPr>
    </w:lvl>
    <w:lvl w:ilvl="8" w:tentative="0">
      <w:start w:val="1"/>
      <w:numFmt w:val="lowerRoman"/>
      <w:lvlText w:val="%9."/>
      <w:lvlJc w:val="right"/>
      <w:pPr>
        <w:ind w:left="9343" w:hanging="180"/>
      </w:pPr>
    </w:lvl>
  </w:abstractNum>
  <w:abstractNum w:abstractNumId="3">
    <w:nsid w:val="5FD4054B"/>
    <w:multiLevelType w:val="multilevel"/>
    <w:tmpl w:val="5FD4054B"/>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7E100F2A"/>
    <w:multiLevelType w:val="multilevel"/>
    <w:tmpl w:val="7E100F2A"/>
    <w:lvl w:ilvl="0" w:tentative="0">
      <w:start w:val="1"/>
      <w:numFmt w:val="lowerLetter"/>
      <w:pStyle w:val="77"/>
      <w:lvlText w:val="%1."/>
      <w:lvlJc w:val="left"/>
      <w:pPr>
        <w:tabs>
          <w:tab w:val="left" w:pos="3600"/>
        </w:tabs>
        <w:ind w:left="3600" w:hanging="360"/>
      </w:pPr>
    </w:lvl>
    <w:lvl w:ilvl="1" w:tentative="0">
      <w:start w:val="1"/>
      <w:numFmt w:val="lowerLetter"/>
      <w:lvlText w:val="%2."/>
      <w:lvlJc w:val="left"/>
      <w:pPr>
        <w:tabs>
          <w:tab w:val="left" w:pos="4320"/>
        </w:tabs>
        <w:ind w:left="4320" w:hanging="360"/>
      </w:pPr>
    </w:lvl>
    <w:lvl w:ilvl="2" w:tentative="0">
      <w:start w:val="1"/>
      <w:numFmt w:val="lowerRoman"/>
      <w:lvlText w:val="%3."/>
      <w:lvlJc w:val="right"/>
      <w:pPr>
        <w:tabs>
          <w:tab w:val="left" w:pos="5040"/>
        </w:tabs>
        <w:ind w:left="5040" w:hanging="180"/>
      </w:pPr>
    </w:lvl>
    <w:lvl w:ilvl="3" w:tentative="0">
      <w:start w:val="1"/>
      <w:numFmt w:val="decimal"/>
      <w:lvlText w:val="%4."/>
      <w:lvlJc w:val="left"/>
      <w:pPr>
        <w:tabs>
          <w:tab w:val="left" w:pos="5760"/>
        </w:tabs>
        <w:ind w:left="5760" w:hanging="360"/>
      </w:pPr>
    </w:lvl>
    <w:lvl w:ilvl="4" w:tentative="0">
      <w:start w:val="1"/>
      <w:numFmt w:val="lowerLetter"/>
      <w:lvlText w:val="%5."/>
      <w:lvlJc w:val="left"/>
      <w:pPr>
        <w:tabs>
          <w:tab w:val="left" w:pos="6480"/>
        </w:tabs>
        <w:ind w:left="6480" w:hanging="360"/>
      </w:pPr>
    </w:lvl>
    <w:lvl w:ilvl="5" w:tentative="0">
      <w:start w:val="1"/>
      <w:numFmt w:val="lowerRoman"/>
      <w:lvlText w:val="%6."/>
      <w:lvlJc w:val="right"/>
      <w:pPr>
        <w:tabs>
          <w:tab w:val="left" w:pos="7200"/>
        </w:tabs>
        <w:ind w:left="7200" w:hanging="180"/>
      </w:pPr>
    </w:lvl>
    <w:lvl w:ilvl="6" w:tentative="0">
      <w:start w:val="1"/>
      <w:numFmt w:val="decimal"/>
      <w:lvlText w:val="%7."/>
      <w:lvlJc w:val="left"/>
      <w:pPr>
        <w:tabs>
          <w:tab w:val="left" w:pos="7920"/>
        </w:tabs>
        <w:ind w:left="7920" w:hanging="360"/>
      </w:pPr>
    </w:lvl>
    <w:lvl w:ilvl="7" w:tentative="0">
      <w:start w:val="1"/>
      <w:numFmt w:val="lowerLetter"/>
      <w:lvlText w:val="%8."/>
      <w:lvlJc w:val="left"/>
      <w:pPr>
        <w:tabs>
          <w:tab w:val="left" w:pos="8640"/>
        </w:tabs>
        <w:ind w:left="8640" w:hanging="360"/>
      </w:pPr>
    </w:lvl>
    <w:lvl w:ilvl="8" w:tentative="0">
      <w:start w:val="1"/>
      <w:numFmt w:val="lowerRoman"/>
      <w:lvlText w:val="%9."/>
      <w:lvlJc w:val="right"/>
      <w:pPr>
        <w:tabs>
          <w:tab w:val="left" w:pos="9360"/>
        </w:tabs>
        <w:ind w:left="9360" w:hanging="180"/>
      </w:pPr>
    </w:lvl>
  </w:abstractNum>
  <w:num w:numId="1">
    <w:abstractNumId w:val="0"/>
  </w:num>
  <w:num w:numId="2">
    <w:abstractNumId w:val="2"/>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attachedTemplate r:id="rId1"/>
  <w:documentProtection w:enforcement="0"/>
  <w:styleLockTheme/>
  <w:styleLockQFSet/>
  <w:defaultTabStop w:val="720"/>
  <w:evenAndOddHeaders w:val="1"/>
  <w:displayHorizontalDrawingGridEvery w:val="0"/>
  <w:displayVerticalDrawingGridEvery w:val="0"/>
  <w:doNotUseMarginsForDrawingGridOrigin w:val="1"/>
  <w:drawingGridHorizontalOrigin w:val="1800"/>
  <w:drawingGridVerticalOrigin w:val="1440"/>
  <w:noPunctuationKerning w:val="1"/>
  <w:characterSpacingControl w:val="doNotCompress"/>
  <w:footnotePr>
    <w:footnote w:id="24"/>
    <w:footnote w:id="25"/>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274F"/>
    <w:rsid w:val="000365F2"/>
    <w:rsid w:val="00052574"/>
    <w:rsid w:val="000D0A1E"/>
    <w:rsid w:val="000D7D11"/>
    <w:rsid w:val="00167517"/>
    <w:rsid w:val="001A366F"/>
    <w:rsid w:val="001F57DF"/>
    <w:rsid w:val="00244DD9"/>
    <w:rsid w:val="002472B2"/>
    <w:rsid w:val="002D3D7D"/>
    <w:rsid w:val="003244DF"/>
    <w:rsid w:val="00357FB9"/>
    <w:rsid w:val="003B468A"/>
    <w:rsid w:val="005A12AF"/>
    <w:rsid w:val="005D5F8A"/>
    <w:rsid w:val="00665A8D"/>
    <w:rsid w:val="006B7072"/>
    <w:rsid w:val="007B1DC5"/>
    <w:rsid w:val="00803127"/>
    <w:rsid w:val="009169DC"/>
    <w:rsid w:val="00943350"/>
    <w:rsid w:val="009B377B"/>
    <w:rsid w:val="00A33C67"/>
    <w:rsid w:val="00A511D9"/>
    <w:rsid w:val="00A6274F"/>
    <w:rsid w:val="00A8067B"/>
    <w:rsid w:val="00AC19AA"/>
    <w:rsid w:val="00B83637"/>
    <w:rsid w:val="00B85CAD"/>
    <w:rsid w:val="00C4722B"/>
    <w:rsid w:val="00D2077F"/>
    <w:rsid w:val="00D37188"/>
    <w:rsid w:val="00D61455"/>
    <w:rsid w:val="00E90D3F"/>
    <w:rsid w:val="00EE3CE9"/>
    <w:rsid w:val="00F91E8A"/>
    <w:rsid w:val="00FF2A91"/>
    <w:rsid w:val="014D5974"/>
    <w:rsid w:val="03F44721"/>
    <w:rsid w:val="0416378C"/>
    <w:rsid w:val="04CD552E"/>
    <w:rsid w:val="0B5D090B"/>
    <w:rsid w:val="0D6209AD"/>
    <w:rsid w:val="0E99078E"/>
    <w:rsid w:val="0F6942B2"/>
    <w:rsid w:val="102D59A2"/>
    <w:rsid w:val="11587229"/>
    <w:rsid w:val="12093ECB"/>
    <w:rsid w:val="124446C4"/>
    <w:rsid w:val="15AA4816"/>
    <w:rsid w:val="160C28CB"/>
    <w:rsid w:val="17EC39C0"/>
    <w:rsid w:val="1A515AF4"/>
    <w:rsid w:val="1B06134B"/>
    <w:rsid w:val="1B133C4B"/>
    <w:rsid w:val="1E837A32"/>
    <w:rsid w:val="1E8A5078"/>
    <w:rsid w:val="1F445B66"/>
    <w:rsid w:val="202115F8"/>
    <w:rsid w:val="20817BBE"/>
    <w:rsid w:val="20C17F3C"/>
    <w:rsid w:val="221C210E"/>
    <w:rsid w:val="23DA3F06"/>
    <w:rsid w:val="23E772A3"/>
    <w:rsid w:val="24975A42"/>
    <w:rsid w:val="25715818"/>
    <w:rsid w:val="266D280E"/>
    <w:rsid w:val="26AE4429"/>
    <w:rsid w:val="28347CF8"/>
    <w:rsid w:val="28347EB5"/>
    <w:rsid w:val="2BF6559E"/>
    <w:rsid w:val="2C022434"/>
    <w:rsid w:val="2C381586"/>
    <w:rsid w:val="2CD625B7"/>
    <w:rsid w:val="2FD06C4B"/>
    <w:rsid w:val="31063BEE"/>
    <w:rsid w:val="31DD14DD"/>
    <w:rsid w:val="31F85DF7"/>
    <w:rsid w:val="32564323"/>
    <w:rsid w:val="34BD6A73"/>
    <w:rsid w:val="358469D6"/>
    <w:rsid w:val="36CA58B2"/>
    <w:rsid w:val="383C7AF5"/>
    <w:rsid w:val="38831E23"/>
    <w:rsid w:val="393C320E"/>
    <w:rsid w:val="39E87BF7"/>
    <w:rsid w:val="3A577E8F"/>
    <w:rsid w:val="3ABE31A0"/>
    <w:rsid w:val="3BF30F4C"/>
    <w:rsid w:val="3C1156CF"/>
    <w:rsid w:val="3E7A3659"/>
    <w:rsid w:val="41462E38"/>
    <w:rsid w:val="437F3C4C"/>
    <w:rsid w:val="43A42307"/>
    <w:rsid w:val="443C18F0"/>
    <w:rsid w:val="44D14555"/>
    <w:rsid w:val="457A0665"/>
    <w:rsid w:val="45F93959"/>
    <w:rsid w:val="470A47C8"/>
    <w:rsid w:val="47C25FEA"/>
    <w:rsid w:val="4A804709"/>
    <w:rsid w:val="4BCB190A"/>
    <w:rsid w:val="4D057480"/>
    <w:rsid w:val="4DD24CB4"/>
    <w:rsid w:val="4DF73DEC"/>
    <w:rsid w:val="52427D8F"/>
    <w:rsid w:val="5379101F"/>
    <w:rsid w:val="55E60116"/>
    <w:rsid w:val="57242025"/>
    <w:rsid w:val="574A5663"/>
    <w:rsid w:val="58C32F13"/>
    <w:rsid w:val="5C2808B7"/>
    <w:rsid w:val="5C68700D"/>
    <w:rsid w:val="5FBF50C1"/>
    <w:rsid w:val="60CB656F"/>
    <w:rsid w:val="60E11B31"/>
    <w:rsid w:val="617377C0"/>
    <w:rsid w:val="638107D5"/>
    <w:rsid w:val="646353CB"/>
    <w:rsid w:val="673B3AA4"/>
    <w:rsid w:val="69BC424D"/>
    <w:rsid w:val="6A03670C"/>
    <w:rsid w:val="6C8858B0"/>
    <w:rsid w:val="70765A5B"/>
    <w:rsid w:val="70A0089D"/>
    <w:rsid w:val="70C737E4"/>
    <w:rsid w:val="71DE2EDB"/>
    <w:rsid w:val="731B75D7"/>
    <w:rsid w:val="75294412"/>
    <w:rsid w:val="75470C65"/>
    <w:rsid w:val="767B07B2"/>
    <w:rsid w:val="77936354"/>
    <w:rsid w:val="77EF10A4"/>
    <w:rsid w:val="78E5262B"/>
    <w:rsid w:val="792933E9"/>
    <w:rsid w:val="79471A64"/>
    <w:rsid w:val="79676283"/>
    <w:rsid w:val="7A11689F"/>
    <w:rsid w:val="7B097C72"/>
    <w:rsid w:val="7C6D54D7"/>
    <w:rsid w:val="7DA46F66"/>
    <w:rsid w:val="7E2A587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semiHidden="0"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qFormat="1" w:unhideWhenUsed="0" w:uiPriority="0" w:name="Body Text 3"/>
    <w:lsdException w:uiPriority="99" w:name="Body Text Indent 2"/>
    <w:lsdException w:qFormat="1" w:unhideWhenUsed="0" w:uiPriority="0" w:name="Body Text Indent 3"/>
    <w:lsdException w:qFormat="1" w:unhideWhenUsed="0" w:uiPriority="0"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qFormat="1" w:unhideWhenUsed="0" w:uiPriority="0" w:name="Table Simple 1"/>
    <w:lsdException w:qFormat="1" w:unhideWhenUsed="0" w:uiPriority="0" w:name="Table Simple 2"/>
    <w:lsdException w:qFormat="1" w:unhideWhenUsed="0" w:uiPriority="0" w:name="Table Simple 3"/>
    <w:lsdException w:qFormat="1" w:unhideWhenUsed="0" w:uiPriority="0" w:name="Table Classic 1"/>
    <w:lsdException w:qFormat="1" w:unhideWhenUsed="0" w:uiPriority="0" w:name="Table Classic 2"/>
    <w:lsdException w:qFormat="1" w:unhideWhenUsed="0" w:uiPriority="0" w:name="Table Classic 3"/>
    <w:lsdException w:qFormat="1" w:unhideWhenUsed="0" w:uiPriority="0" w:name="Table Classic 4"/>
    <w:lsdException w:qFormat="1" w:unhideWhenUsed="0" w:uiPriority="0" w:name="Table Colorful 1"/>
    <w:lsdException w:qFormat="1" w:unhideWhenUsed="0" w:uiPriority="0" w:name="Table Colorful 2"/>
    <w:lsdException w:qFormat="1" w:unhideWhenUsed="0" w:uiPriority="0" w:name="Table Colorful 3"/>
    <w:lsdException w:qFormat="1" w:unhideWhenUsed="0" w:uiPriority="0" w:name="Table Columns 1"/>
    <w:lsdException w:qFormat="1" w:unhideWhenUsed="0" w:uiPriority="0" w:name="Table Columns 2"/>
    <w:lsdException w:qFormat="1" w:unhideWhenUsed="0" w:uiPriority="0" w:name="Table Columns 3"/>
    <w:lsdException w:qFormat="1" w:unhideWhenUsed="0" w:uiPriority="0" w:name="Table Columns 4"/>
    <w:lsdException w:qFormat="1" w:unhideWhenUsed="0" w:uiPriority="0" w:name="Table Columns 5"/>
    <w:lsdException w:qFormat="1" w:unhideWhenUsed="0" w:uiPriority="0" w:name="Table Grid 1"/>
    <w:lsdException w:qFormat="1" w:unhideWhenUsed="0" w:uiPriority="0" w:name="Table Grid 2"/>
    <w:lsdException w:qFormat="1" w:unhideWhenUsed="0" w:uiPriority="0" w:name="Table Grid 3"/>
    <w:lsdException w:qFormat="1" w:unhideWhenUsed="0" w:uiPriority="0" w:name="Table Grid 4"/>
    <w:lsdException w:qFormat="1" w:unhideWhenUsed="0" w:uiPriority="0" w:name="Table Grid 5"/>
    <w:lsdException w:qFormat="1" w:unhideWhenUsed="0" w:uiPriority="0" w:name="Table Grid 6"/>
    <w:lsdException w:qFormat="1" w:unhideWhenUsed="0" w:uiPriority="0" w:name="Table Grid 7"/>
    <w:lsdException w:qFormat="1" w:unhideWhenUsed="0" w:uiPriority="0" w:name="Table Grid 8"/>
    <w:lsdException w:qFormat="1" w:unhideWhenUsed="0" w:uiPriority="0" w:name="Table List 1"/>
    <w:lsdException w:qFormat="1" w:unhideWhenUsed="0" w:uiPriority="0" w:name="Table List 2"/>
    <w:lsdException w:qFormat="1" w:unhideWhenUsed="0" w:uiPriority="0" w:name="Table List 3"/>
    <w:lsdException w:qFormat="1" w:unhideWhenUsed="0" w:uiPriority="0" w:name="Table List 4"/>
    <w:lsdException w:qFormat="1" w:unhideWhenUsed="0" w:uiPriority="0" w:name="Table List 5"/>
    <w:lsdException w:qFormat="1" w:unhideWhenUsed="0" w:uiPriority="0" w:name="Table List 6"/>
    <w:lsdException w:qFormat="1" w:unhideWhenUsed="0" w:uiPriority="0" w:name="Table List 7"/>
    <w:lsdException w:qFormat="1" w:unhideWhenUsed="0" w:uiPriority="0" w:name="Table List 8"/>
    <w:lsdException w:qFormat="1" w:unhideWhenUsed="0" w:uiPriority="0" w:name="Table 3D effects 1"/>
    <w:lsdException w:qFormat="1" w:unhideWhenUsed="0" w:uiPriority="0" w:name="Table 3D effects 2"/>
    <w:lsdException w:qFormat="1" w:unhideWhenUsed="0" w:uiPriority="0" w:name="Table 3D effects 3"/>
    <w:lsdException w:qFormat="1" w:unhideWhenUsed="0" w:uiPriority="0" w:name="Table Contemporary"/>
    <w:lsdException w:qFormat="1" w:unhideWhenUsed="0" w:uiPriority="0" w:name="Table Elegant"/>
    <w:lsdException w:qFormat="1" w:unhideWhenUsed="0" w:uiPriority="0" w:name="Table Professional"/>
    <w:lsdException w:qFormat="1" w:unhideWhenUsed="0" w:uiPriority="0" w:name="Table Subtle 1"/>
    <w:lsdException w:qFormat="1" w:unhideWhenUsed="0" w:uiPriority="0" w:name="Table Subtle 2"/>
    <w:lsdException w:qFormat="1" w:unhideWhenUsed="0" w:uiPriority="0" w:name="Table Web 1"/>
    <w:lsdException w:qFormat="1" w:unhideWhenUsed="0" w:uiPriority="0" w:name="Table Web 2"/>
    <w:lsdException w:qFormat="1" w:unhideWhenUsed="0" w:uiPriority="0" w:name="Table Web 3"/>
    <w:lsdException w:qFormat="1" w:uiPriority="99" w:name="Balloon Text"/>
    <w:lsdException w:qFormat="1" w:unhideWhenUsed="0" w:uiPriority="0" w:semiHidden="0" w:name="Table Grid"/>
    <w:lsdException w:qFormat="1" w:unhideWhenUsed="0"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Times New Roman" w:hAnsi="Times New Roman" w:eastAsia="宋体" w:cs="Times New Roman"/>
      <w:sz w:val="22"/>
      <w:szCs w:val="22"/>
      <w:lang w:val="en-GB" w:eastAsia="en-US" w:bidi="ar-SA"/>
    </w:rPr>
  </w:style>
  <w:style w:type="paragraph" w:styleId="2">
    <w:name w:val="heading 1"/>
    <w:basedOn w:val="1"/>
    <w:next w:val="1"/>
    <w:link w:val="76"/>
    <w:qFormat/>
    <w:uiPriority w:val="0"/>
    <w:pPr>
      <w:numPr>
        <w:ilvl w:val="0"/>
        <w:numId w:val="1"/>
      </w:numPr>
      <w:spacing w:after="240"/>
      <w:outlineLvl w:val="0"/>
    </w:pPr>
  </w:style>
  <w:style w:type="paragraph" w:styleId="3">
    <w:name w:val="heading 2"/>
    <w:basedOn w:val="1"/>
    <w:next w:val="1"/>
    <w:qFormat/>
    <w:uiPriority w:val="0"/>
    <w:pPr>
      <w:widowControl w:val="0"/>
      <w:numPr>
        <w:ilvl w:val="1"/>
        <w:numId w:val="1"/>
      </w:numPr>
      <w:spacing w:after="240"/>
      <w:outlineLvl w:val="1"/>
    </w:pPr>
  </w:style>
  <w:style w:type="paragraph" w:styleId="4">
    <w:name w:val="heading 3"/>
    <w:basedOn w:val="1"/>
    <w:next w:val="1"/>
    <w:qFormat/>
    <w:uiPriority w:val="0"/>
    <w:pPr>
      <w:widowControl w:val="0"/>
      <w:numPr>
        <w:ilvl w:val="2"/>
        <w:numId w:val="1"/>
      </w:numPr>
      <w:spacing w:after="240"/>
      <w:outlineLvl w:val="2"/>
    </w:pPr>
  </w:style>
  <w:style w:type="paragraph" w:styleId="5">
    <w:name w:val="heading 4"/>
    <w:basedOn w:val="1"/>
    <w:next w:val="6"/>
    <w:semiHidden/>
    <w:uiPriority w:val="0"/>
    <w:pPr>
      <w:keepNext/>
      <w:numPr>
        <w:ilvl w:val="3"/>
        <w:numId w:val="1"/>
      </w:numPr>
      <w:spacing w:before="240" w:after="60"/>
      <w:outlineLvl w:val="3"/>
    </w:pPr>
  </w:style>
  <w:style w:type="paragraph" w:styleId="7">
    <w:name w:val="heading 5"/>
    <w:basedOn w:val="1"/>
    <w:next w:val="1"/>
    <w:qFormat/>
    <w:uiPriority w:val="0"/>
    <w:pPr>
      <w:keepNext/>
      <w:numPr>
        <w:ilvl w:val="0"/>
        <w:numId w:val="2"/>
      </w:numPr>
      <w:spacing w:after="240"/>
      <w:ind w:left="3600" w:hanging="720"/>
      <w:outlineLvl w:val="4"/>
    </w:pPr>
  </w:style>
  <w:style w:type="paragraph" w:styleId="8">
    <w:name w:val="heading 6"/>
    <w:basedOn w:val="1"/>
    <w:next w:val="1"/>
    <w:qFormat/>
    <w:uiPriority w:val="0"/>
    <w:pPr>
      <w:numPr>
        <w:ilvl w:val="5"/>
        <w:numId w:val="1"/>
      </w:numPr>
      <w:spacing w:before="240" w:after="60"/>
      <w:outlineLvl w:val="5"/>
    </w:pPr>
    <w:rPr>
      <w:rFonts w:ascii="Arial" w:hAnsi="Arial"/>
      <w:i/>
    </w:rPr>
  </w:style>
  <w:style w:type="paragraph" w:styleId="9">
    <w:name w:val="heading 7"/>
    <w:basedOn w:val="1"/>
    <w:next w:val="1"/>
    <w:qFormat/>
    <w:uiPriority w:val="0"/>
    <w:pPr>
      <w:numPr>
        <w:ilvl w:val="6"/>
        <w:numId w:val="1"/>
      </w:numPr>
      <w:spacing w:before="240" w:after="60"/>
      <w:outlineLvl w:val="6"/>
    </w:pPr>
    <w:rPr>
      <w:rFonts w:ascii="Arial" w:hAnsi="Arial"/>
    </w:rPr>
  </w:style>
  <w:style w:type="paragraph" w:styleId="10">
    <w:name w:val="heading 8"/>
    <w:basedOn w:val="1"/>
    <w:next w:val="1"/>
    <w:qFormat/>
    <w:uiPriority w:val="0"/>
    <w:pPr>
      <w:outlineLvl w:val="7"/>
    </w:pPr>
    <w:rPr>
      <w:b/>
    </w:rPr>
  </w:style>
  <w:style w:type="paragraph" w:styleId="6">
    <w:name w:val="heading 9"/>
    <w:basedOn w:val="1"/>
    <w:next w:val="1"/>
    <w:qFormat/>
    <w:uiPriority w:val="0"/>
    <w:pPr>
      <w:numPr>
        <w:ilvl w:val="8"/>
        <w:numId w:val="1"/>
      </w:numPr>
      <w:spacing w:before="240" w:after="60"/>
      <w:outlineLvl w:val="8"/>
    </w:pPr>
    <w:rPr>
      <w:rFonts w:ascii="Arial" w:hAnsi="Arial"/>
      <w:i/>
      <w:sz w:val="18"/>
    </w:rPr>
  </w:style>
  <w:style w:type="character" w:default="1" w:styleId="69">
    <w:name w:val="Default Paragraph Font"/>
    <w:semiHidden/>
    <w:unhideWhenUsed/>
    <w:uiPriority w:val="1"/>
  </w:style>
  <w:style w:type="table" w:default="1" w:styleId="24">
    <w:name w:val="Normal Table"/>
    <w:semiHidden/>
    <w:unhideWhenUsed/>
    <w:uiPriority w:val="99"/>
    <w:tblPr>
      <w:tblCellMar>
        <w:top w:w="0" w:type="dxa"/>
        <w:left w:w="108" w:type="dxa"/>
        <w:bottom w:w="0" w:type="dxa"/>
        <w:right w:w="108" w:type="dxa"/>
      </w:tblCellMar>
    </w:tblPr>
  </w:style>
  <w:style w:type="paragraph" w:styleId="11">
    <w:name w:val="annotation text"/>
    <w:basedOn w:val="1"/>
    <w:link w:val="80"/>
    <w:semiHidden/>
    <w:unhideWhenUsed/>
    <w:qFormat/>
    <w:uiPriority w:val="99"/>
    <w:rPr>
      <w:sz w:val="20"/>
      <w:szCs w:val="20"/>
    </w:rPr>
  </w:style>
  <w:style w:type="paragraph" w:styleId="12">
    <w:name w:val="Body Text 3"/>
    <w:basedOn w:val="1"/>
    <w:semiHidden/>
    <w:qFormat/>
    <w:uiPriority w:val="0"/>
    <w:pPr>
      <w:spacing w:after="120"/>
    </w:pPr>
    <w:rPr>
      <w:sz w:val="16"/>
      <w:szCs w:val="16"/>
    </w:rPr>
  </w:style>
  <w:style w:type="paragraph" w:styleId="13">
    <w:name w:val="Block Text"/>
    <w:basedOn w:val="1"/>
    <w:semiHidden/>
    <w:qFormat/>
    <w:uiPriority w:val="0"/>
    <w:pPr>
      <w:spacing w:after="120"/>
      <w:ind w:left="1440" w:right="1440"/>
    </w:pPr>
  </w:style>
  <w:style w:type="paragraph" w:styleId="14">
    <w:name w:val="Plain Text"/>
    <w:basedOn w:val="1"/>
    <w:semiHidden/>
    <w:qFormat/>
    <w:uiPriority w:val="0"/>
    <w:rPr>
      <w:rFonts w:ascii="Courier New" w:hAnsi="Courier New" w:cs="Courier New"/>
      <w:sz w:val="20"/>
    </w:rPr>
  </w:style>
  <w:style w:type="paragraph" w:styleId="15">
    <w:name w:val="Date"/>
    <w:basedOn w:val="1"/>
    <w:next w:val="1"/>
    <w:qFormat/>
    <w:uiPriority w:val="0"/>
  </w:style>
  <w:style w:type="paragraph" w:styleId="16">
    <w:name w:val="Balloon Text"/>
    <w:basedOn w:val="1"/>
    <w:link w:val="79"/>
    <w:semiHidden/>
    <w:unhideWhenUsed/>
    <w:qFormat/>
    <w:uiPriority w:val="99"/>
    <w:rPr>
      <w:rFonts w:ascii="Tahoma" w:hAnsi="Tahoma" w:cs="Tahoma"/>
      <w:sz w:val="16"/>
      <w:szCs w:val="16"/>
    </w:rPr>
  </w:style>
  <w:style w:type="paragraph" w:styleId="17">
    <w:name w:val="footer"/>
    <w:basedOn w:val="1"/>
    <w:link w:val="84"/>
    <w:qFormat/>
    <w:uiPriority w:val="99"/>
    <w:pPr>
      <w:tabs>
        <w:tab w:val="center" w:pos="4320"/>
        <w:tab w:val="right" w:pos="8640"/>
      </w:tabs>
    </w:pPr>
  </w:style>
  <w:style w:type="paragraph" w:styleId="18">
    <w:name w:val="header"/>
    <w:basedOn w:val="1"/>
    <w:qFormat/>
    <w:uiPriority w:val="0"/>
    <w:pPr>
      <w:tabs>
        <w:tab w:val="center" w:pos="4320"/>
        <w:tab w:val="right" w:pos="8640"/>
      </w:tabs>
    </w:pPr>
  </w:style>
  <w:style w:type="paragraph" w:styleId="19">
    <w:name w:val="Subtitle"/>
    <w:basedOn w:val="1"/>
    <w:qFormat/>
    <w:uiPriority w:val="0"/>
    <w:pPr>
      <w:spacing w:after="60"/>
      <w:jc w:val="center"/>
      <w:outlineLvl w:val="1"/>
    </w:pPr>
    <w:rPr>
      <w:rFonts w:ascii="Arial" w:hAnsi="Arial" w:cs="Arial"/>
    </w:rPr>
  </w:style>
  <w:style w:type="paragraph" w:styleId="20">
    <w:name w:val="footnote text"/>
    <w:basedOn w:val="1"/>
    <w:link w:val="85"/>
    <w:unhideWhenUsed/>
    <w:qFormat/>
    <w:uiPriority w:val="99"/>
    <w:rPr>
      <w:rFonts w:eastAsia="Times New Roman"/>
      <w:sz w:val="20"/>
      <w:szCs w:val="20"/>
      <w:lang w:val="en-CA"/>
    </w:rPr>
  </w:style>
  <w:style w:type="paragraph" w:styleId="21">
    <w:name w:val="Body Text Indent 3"/>
    <w:basedOn w:val="1"/>
    <w:semiHidden/>
    <w:qFormat/>
    <w:uiPriority w:val="0"/>
    <w:pPr>
      <w:spacing w:after="120"/>
      <w:ind w:left="360"/>
    </w:pPr>
    <w:rPr>
      <w:sz w:val="16"/>
      <w:szCs w:val="16"/>
    </w:rPr>
  </w:style>
  <w:style w:type="paragraph" w:styleId="22">
    <w:name w:val="Title"/>
    <w:basedOn w:val="1"/>
    <w:qFormat/>
    <w:uiPriority w:val="0"/>
    <w:pPr>
      <w:spacing w:before="240" w:after="60"/>
      <w:jc w:val="center"/>
      <w:outlineLvl w:val="0"/>
    </w:pPr>
    <w:rPr>
      <w:rFonts w:ascii="Arial" w:hAnsi="Arial" w:cs="Arial"/>
      <w:b/>
      <w:bCs/>
      <w:kern w:val="28"/>
    </w:rPr>
  </w:style>
  <w:style w:type="paragraph" w:styleId="23">
    <w:name w:val="annotation subject"/>
    <w:basedOn w:val="11"/>
    <w:next w:val="11"/>
    <w:link w:val="81"/>
    <w:semiHidden/>
    <w:unhideWhenUsed/>
    <w:qFormat/>
    <w:uiPriority w:val="99"/>
    <w:rPr>
      <w:b/>
      <w:bCs/>
    </w:rPr>
  </w:style>
  <w:style w:type="table" w:styleId="25">
    <w:name w:val="Table Grid"/>
    <w:basedOn w:val="24"/>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6">
    <w:name w:val="Table Theme"/>
    <w:basedOn w:val="24"/>
    <w:semiHidden/>
    <w:qFormat/>
    <w:uiPriority w:val="0"/>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27">
    <w:name w:val="Table Colorful 1"/>
    <w:basedOn w:val="24"/>
    <w:semiHidden/>
    <w:qFormat/>
    <w:uiPriority w:val="0"/>
    <w:pPr>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28">
    <w:name w:val="Table Colorful 2"/>
    <w:basedOn w:val="24"/>
    <w:semiHidden/>
    <w:qFormat/>
    <w:uiPriority w:val="0"/>
    <w:pPr>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29">
    <w:name w:val="Table Colorful 3"/>
    <w:basedOn w:val="24"/>
    <w:semiHidden/>
    <w:qFormat/>
    <w:uiPriority w:val="0"/>
    <w:pPr>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30">
    <w:name w:val="Table Elegant"/>
    <w:basedOn w:val="24"/>
    <w:semiHidden/>
    <w:qFormat/>
    <w:uiPriority w:val="0"/>
    <w:pPr>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31">
    <w:name w:val="Table Classic 1"/>
    <w:basedOn w:val="24"/>
    <w:semiHidden/>
    <w:qFormat/>
    <w:uiPriority w:val="0"/>
    <w:pPr>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32">
    <w:name w:val="Table Classic 2"/>
    <w:basedOn w:val="24"/>
    <w:semiHidden/>
    <w:qFormat/>
    <w:uiPriority w:val="0"/>
    <w:pPr>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33">
    <w:name w:val="Table Classic 3"/>
    <w:basedOn w:val="24"/>
    <w:semiHidden/>
    <w:qFormat/>
    <w:uiPriority w:val="0"/>
    <w:pPr>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34">
    <w:name w:val="Table Classic 4"/>
    <w:basedOn w:val="24"/>
    <w:semiHidden/>
    <w:qFormat/>
    <w:uiPriority w:val="0"/>
    <w:pPr>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35">
    <w:name w:val="Table Simple 1"/>
    <w:basedOn w:val="24"/>
    <w:semiHidden/>
    <w:qFormat/>
    <w:uiPriority w:val="0"/>
    <w:pPr>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36">
    <w:name w:val="Table Simple 2"/>
    <w:basedOn w:val="24"/>
    <w:semiHidden/>
    <w:qFormat/>
    <w:uiPriority w:val="0"/>
    <w:pPr>
      <w:jc w:val="both"/>
    </w:pP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37">
    <w:name w:val="Table Simple 3"/>
    <w:basedOn w:val="24"/>
    <w:semiHidden/>
    <w:qFormat/>
    <w:uiPriority w:val="0"/>
    <w:pPr>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38">
    <w:name w:val="Table Subtle 1"/>
    <w:basedOn w:val="24"/>
    <w:semiHidden/>
    <w:qFormat/>
    <w:uiPriority w:val="0"/>
    <w:pPr>
      <w:jc w:val="both"/>
    </w:pPr>
    <w:tblPr>
      <w:tblStyleRowBandSize w:val="1"/>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39">
    <w:name w:val="Table Subtle 2"/>
    <w:basedOn w:val="24"/>
    <w:semiHidden/>
    <w:qFormat/>
    <w:uiPriority w:val="0"/>
    <w:pPr>
      <w:jc w:val="both"/>
    </w:pPr>
    <w:tblPr>
      <w:tblBorders>
        <w:left w:val="single" w:color="000000" w:sz="6" w:space="0"/>
        <w:right w:val="single" w:color="000000" w:sz="6" w:space="0"/>
      </w:tblBorders>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40">
    <w:name w:val="Table 3D effects 1"/>
    <w:basedOn w:val="24"/>
    <w:semiHidden/>
    <w:qFormat/>
    <w:uiPriority w:val="0"/>
    <w:pPr>
      <w:jc w:val="both"/>
    </w:pP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41">
    <w:name w:val="Table 3D effects 2"/>
    <w:basedOn w:val="24"/>
    <w:semiHidden/>
    <w:qFormat/>
    <w:uiPriority w:val="0"/>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42">
    <w:name w:val="Table 3D effects 3"/>
    <w:basedOn w:val="24"/>
    <w:semiHidden/>
    <w:qFormat/>
    <w:uiPriority w:val="0"/>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43">
    <w:name w:val="Table List 1"/>
    <w:basedOn w:val="24"/>
    <w:semiHidden/>
    <w:qFormat/>
    <w:uiPriority w:val="0"/>
    <w:pPr>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44">
    <w:name w:val="Table List 2"/>
    <w:basedOn w:val="24"/>
    <w:semiHidden/>
    <w:qFormat/>
    <w:uiPriority w:val="0"/>
    <w:pPr>
      <w:jc w:val="both"/>
    </w:pPr>
    <w:tblPr>
      <w:tblBorders>
        <w:bottom w:val="single" w:color="808080" w:sz="12" w:space="0"/>
      </w:tblBorders>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45">
    <w:name w:val="Table List 3"/>
    <w:basedOn w:val="24"/>
    <w:semiHidden/>
    <w:qFormat/>
    <w:uiPriority w:val="0"/>
    <w:pPr>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46">
    <w:name w:val="Table List 4"/>
    <w:basedOn w:val="24"/>
    <w:semiHidden/>
    <w:qFormat/>
    <w:uiPriority w:val="0"/>
    <w:pPr>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47">
    <w:name w:val="Table List 5"/>
    <w:basedOn w:val="24"/>
    <w:semiHidden/>
    <w:qFormat/>
    <w:uiPriority w:val="0"/>
    <w:pPr>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48">
    <w:name w:val="Table List 6"/>
    <w:basedOn w:val="24"/>
    <w:semiHidden/>
    <w:qFormat/>
    <w:uiPriority w:val="0"/>
    <w:pPr>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49">
    <w:name w:val="Table List 7"/>
    <w:basedOn w:val="24"/>
    <w:semiHidden/>
    <w:qFormat/>
    <w:uiPriority w:val="0"/>
    <w:pPr>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50">
    <w:name w:val="Table List 8"/>
    <w:basedOn w:val="24"/>
    <w:semiHidden/>
    <w:qFormat/>
    <w:uiPriority w:val="0"/>
    <w:pPr>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51">
    <w:name w:val="Table Contemporary"/>
    <w:basedOn w:val="24"/>
    <w:semiHidden/>
    <w:qFormat/>
    <w:uiPriority w:val="0"/>
    <w:pPr>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52">
    <w:name w:val="Table Columns 1"/>
    <w:basedOn w:val="24"/>
    <w:semiHidden/>
    <w:qFormat/>
    <w:uiPriority w:val="0"/>
    <w:pPr>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53">
    <w:name w:val="Table Columns 2"/>
    <w:basedOn w:val="24"/>
    <w:semiHidden/>
    <w:qFormat/>
    <w:uiPriority w:val="0"/>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54">
    <w:name w:val="Table Columns 3"/>
    <w:basedOn w:val="24"/>
    <w:semiHidden/>
    <w:qFormat/>
    <w:uiPriority w:val="0"/>
    <w:pPr>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55">
    <w:name w:val="Table Columns 4"/>
    <w:basedOn w:val="24"/>
    <w:semiHidden/>
    <w:qFormat/>
    <w:uiPriority w:val="0"/>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24"/>
    <w:semiHidden/>
    <w:qFormat/>
    <w:uiPriority w:val="0"/>
    <w:pPr>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57">
    <w:name w:val="Table Grid 1"/>
    <w:basedOn w:val="24"/>
    <w:semiHidden/>
    <w:qFormat/>
    <w:uiPriority w:val="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58">
    <w:name w:val="Table Grid 2"/>
    <w:basedOn w:val="24"/>
    <w:semiHidden/>
    <w:qFormat/>
    <w:uiPriority w:val="0"/>
    <w:pPr>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59">
    <w:name w:val="Table Grid 3"/>
    <w:basedOn w:val="24"/>
    <w:semiHidden/>
    <w:qFormat/>
    <w:uiPriority w:val="0"/>
    <w:pPr>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60">
    <w:name w:val="Table Grid 4"/>
    <w:basedOn w:val="24"/>
    <w:semiHidden/>
    <w:qFormat/>
    <w:uiPriority w:val="0"/>
    <w:pPr>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61">
    <w:name w:val="Table Grid 5"/>
    <w:basedOn w:val="24"/>
    <w:semiHidden/>
    <w:qFormat/>
    <w:uiPriority w:val="0"/>
    <w:pPr>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62">
    <w:name w:val="Table Grid 6"/>
    <w:basedOn w:val="24"/>
    <w:semiHidden/>
    <w:qFormat/>
    <w:uiPriority w:val="0"/>
    <w:pPr>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63">
    <w:name w:val="Table Grid 7"/>
    <w:basedOn w:val="24"/>
    <w:semiHidden/>
    <w:qFormat/>
    <w:uiPriority w:val="0"/>
    <w:pPr>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64">
    <w:name w:val="Table Grid 8"/>
    <w:basedOn w:val="24"/>
    <w:semiHidden/>
    <w:qFormat/>
    <w:uiPriority w:val="0"/>
    <w:pPr>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65">
    <w:name w:val="Table Web 1"/>
    <w:basedOn w:val="24"/>
    <w:semiHidden/>
    <w:qFormat/>
    <w:uiPriority w:val="0"/>
    <w:pPr>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66">
    <w:name w:val="Table Web 2"/>
    <w:basedOn w:val="24"/>
    <w:semiHidden/>
    <w:qFormat/>
    <w:uiPriority w:val="0"/>
    <w:pPr>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67">
    <w:name w:val="Table Web 3"/>
    <w:basedOn w:val="24"/>
    <w:semiHidden/>
    <w:qFormat/>
    <w:uiPriority w:val="0"/>
    <w:pPr>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68">
    <w:name w:val="Table Professional"/>
    <w:basedOn w:val="24"/>
    <w:semiHidden/>
    <w:qFormat/>
    <w:uiPriority w:val="0"/>
    <w:pPr>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70">
    <w:name w:val="annotation reference"/>
    <w:basedOn w:val="69"/>
    <w:semiHidden/>
    <w:unhideWhenUsed/>
    <w:qFormat/>
    <w:uiPriority w:val="99"/>
    <w:rPr>
      <w:sz w:val="16"/>
      <w:szCs w:val="16"/>
    </w:rPr>
  </w:style>
  <w:style w:type="character" w:styleId="71">
    <w:name w:val="footnote reference"/>
    <w:basedOn w:val="69"/>
    <w:unhideWhenUsed/>
    <w:qFormat/>
    <w:uiPriority w:val="99"/>
    <w:rPr>
      <w:vertAlign w:val="superscript"/>
    </w:rPr>
  </w:style>
  <w:style w:type="paragraph" w:customStyle="1" w:styleId="72">
    <w:name w:val="sub-title"/>
    <w:qFormat/>
    <w:uiPriority w:val="0"/>
    <w:pPr>
      <w:jc w:val="both"/>
      <w:outlineLvl w:val="0"/>
    </w:pPr>
    <w:rPr>
      <w:rFonts w:ascii="Times New Roman" w:hAnsi="Times New Roman" w:eastAsia="宋体" w:cs="Times New Roman"/>
      <w:b/>
      <w:sz w:val="22"/>
      <w:szCs w:val="22"/>
      <w:lang w:val="en-US" w:eastAsia="en-US" w:bidi="ar-SA"/>
    </w:rPr>
  </w:style>
  <w:style w:type="paragraph" w:customStyle="1" w:styleId="73">
    <w:name w:val="Title1"/>
    <w:qFormat/>
    <w:uiPriority w:val="0"/>
    <w:pPr>
      <w:jc w:val="center"/>
      <w:outlineLvl w:val="0"/>
    </w:pPr>
    <w:rPr>
      <w:rFonts w:ascii="Times New Roman" w:hAnsi="Times New Roman" w:eastAsia="宋体" w:cs="Times New Roman"/>
      <w:b/>
      <w:caps/>
      <w:sz w:val="22"/>
      <w:szCs w:val="22"/>
      <w:lang w:val="en-GB" w:eastAsia="en-US" w:bidi="ar-SA"/>
    </w:rPr>
  </w:style>
  <w:style w:type="paragraph" w:customStyle="1" w:styleId="74">
    <w:name w:val="Decision"/>
    <w:basedOn w:val="1"/>
    <w:qFormat/>
    <w:uiPriority w:val="0"/>
    <w:pPr>
      <w:keepLines/>
      <w:jc w:val="right"/>
    </w:pPr>
    <w:rPr>
      <w:b/>
    </w:rPr>
  </w:style>
  <w:style w:type="paragraph" w:customStyle="1" w:styleId="75">
    <w:name w:val="0 Heading 0"/>
    <w:qFormat/>
    <w:uiPriority w:val="0"/>
    <w:rPr>
      <w:rFonts w:ascii="Times New Roman" w:hAnsi="Times New Roman" w:eastAsia="宋体" w:cs="Times New Roman"/>
      <w:sz w:val="22"/>
      <w:szCs w:val="22"/>
      <w:lang w:val="en-GB" w:eastAsia="en-US" w:bidi="ar-SA"/>
    </w:rPr>
  </w:style>
  <w:style w:type="character" w:customStyle="1" w:styleId="76">
    <w:name w:val="Heading 1 Char"/>
    <w:basedOn w:val="69"/>
    <w:link w:val="2"/>
    <w:qFormat/>
    <w:uiPriority w:val="0"/>
    <w:rPr>
      <w:sz w:val="22"/>
      <w:szCs w:val="22"/>
      <w:lang w:val="en-GB"/>
    </w:rPr>
  </w:style>
  <w:style w:type="paragraph" w:customStyle="1" w:styleId="77">
    <w:name w:val="Header4"/>
    <w:basedOn w:val="1"/>
    <w:next w:val="1"/>
    <w:qFormat/>
    <w:uiPriority w:val="0"/>
    <w:pPr>
      <w:widowControl w:val="0"/>
      <w:numPr>
        <w:ilvl w:val="0"/>
        <w:numId w:val="3"/>
      </w:numPr>
      <w:tabs>
        <w:tab w:val="left" w:pos="2880"/>
        <w:tab w:val="left" w:pos="5760"/>
      </w:tabs>
      <w:spacing w:after="240"/>
      <w:ind w:left="2880" w:hanging="720"/>
    </w:pPr>
  </w:style>
  <w:style w:type="character" w:styleId="78">
    <w:name w:val="Placeholder Text"/>
    <w:basedOn w:val="69"/>
    <w:semiHidden/>
    <w:qFormat/>
    <w:uiPriority w:val="99"/>
    <w:rPr>
      <w:color w:val="808080"/>
    </w:rPr>
  </w:style>
  <w:style w:type="character" w:customStyle="1" w:styleId="79">
    <w:name w:val="Balloon Text Char"/>
    <w:basedOn w:val="69"/>
    <w:link w:val="16"/>
    <w:semiHidden/>
    <w:uiPriority w:val="99"/>
    <w:rPr>
      <w:rFonts w:ascii="Tahoma" w:hAnsi="Tahoma" w:cs="Tahoma"/>
      <w:sz w:val="16"/>
      <w:szCs w:val="16"/>
      <w:lang w:val="en-GB"/>
    </w:rPr>
  </w:style>
  <w:style w:type="character" w:customStyle="1" w:styleId="80">
    <w:name w:val="Comment Text Char"/>
    <w:basedOn w:val="69"/>
    <w:link w:val="11"/>
    <w:semiHidden/>
    <w:qFormat/>
    <w:uiPriority w:val="99"/>
    <w:rPr>
      <w:lang w:val="en-GB"/>
    </w:rPr>
  </w:style>
  <w:style w:type="character" w:customStyle="1" w:styleId="81">
    <w:name w:val="Comment Subject Char"/>
    <w:basedOn w:val="80"/>
    <w:link w:val="23"/>
    <w:semiHidden/>
    <w:qFormat/>
    <w:uiPriority w:val="99"/>
    <w:rPr>
      <w:b/>
      <w:bCs/>
      <w:lang w:val="en-GB"/>
    </w:rPr>
  </w:style>
  <w:style w:type="paragraph" w:customStyle="1" w:styleId="82">
    <w:name w:val="Style Header4Para 4 + Left:  0&quot; First line:  0&quot;"/>
    <w:basedOn w:val="77"/>
    <w:qFormat/>
    <w:uiPriority w:val="0"/>
    <w:pPr>
      <w:ind w:left="0" w:firstLine="0"/>
    </w:pPr>
    <w:rPr>
      <w:sz w:val="20"/>
    </w:rPr>
  </w:style>
  <w:style w:type="paragraph" w:customStyle="1" w:styleId="83">
    <w:name w:val="Normal-para"/>
    <w:basedOn w:val="1"/>
    <w:qFormat/>
    <w:uiPriority w:val="0"/>
    <w:pPr>
      <w:widowControl w:val="0"/>
      <w:numPr>
        <w:ilvl w:val="0"/>
        <w:numId w:val="4"/>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character" w:customStyle="1" w:styleId="84">
    <w:name w:val="Footer Char"/>
    <w:basedOn w:val="69"/>
    <w:link w:val="17"/>
    <w:qFormat/>
    <w:uiPriority w:val="99"/>
    <w:rPr>
      <w:sz w:val="22"/>
      <w:szCs w:val="22"/>
      <w:lang w:val="en-GB"/>
    </w:rPr>
  </w:style>
  <w:style w:type="character" w:customStyle="1" w:styleId="85">
    <w:name w:val="Footnote Text Char"/>
    <w:basedOn w:val="69"/>
    <w:link w:val="20"/>
    <w:qFormat/>
    <w:uiPriority w:val="99"/>
    <w:rPr>
      <w:rFonts w:eastAsia="Times New Roman"/>
      <w:lang w:val="en-CA"/>
    </w:rPr>
  </w:style>
  <w:style w:type="paragraph" w:styleId="86">
    <w:name w:val="List Paragraph"/>
    <w:basedOn w:val="1"/>
    <w:qFormat/>
    <w:uiPriority w:val="34"/>
    <w:pPr>
      <w:ind w:left="720"/>
      <w:contextualSpacing/>
    </w:pPr>
  </w:style>
  <w:style w:type="table" w:customStyle="1" w:styleId="87">
    <w:name w:val="Table Grid1"/>
    <w:basedOn w:val="24"/>
    <w:qFormat/>
    <w:uiPriority w:val="59"/>
    <w:pPr>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1.xml"/><Relationship Id="rId18" Type="http://schemas.openxmlformats.org/officeDocument/2006/relationships/customXml" Target="../customXml/item4.xml"/><Relationship Id="rId3" Type="http://schemas.openxmlformats.org/officeDocument/2006/relationships/footnotes" Target="footnotes.xml"/><Relationship Id="rId7" Type="http://schemas.openxmlformats.org/officeDocument/2006/relationships/footer" Target="footer1.xml"/><Relationship Id="rId12"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settings" Target="settings.xml"/><Relationship Id="rId16" Type="http://schemas.openxmlformats.org/officeDocument/2006/relationships/fontTable" Target="fontTable.xml"/><Relationship Id="rId6" Type="http://schemas.openxmlformats.org/officeDocument/2006/relationships/header" Target="header3.xml"/><Relationship Id="rId11" Type="http://schemas.openxmlformats.org/officeDocument/2006/relationships/image" Target="media/image1.png"/><Relationship Id="rId1" Type="http://schemas.openxmlformats.org/officeDocument/2006/relationships/styles" Target="styles.xml"/><Relationship Id="rId5" Type="http://schemas.openxmlformats.org/officeDocument/2006/relationships/header" Target="header2.xml"/><Relationship Id="rId15" Type="http://schemas.openxmlformats.org/officeDocument/2006/relationships/customXml" Target="../customXml/item2.xml"/><Relationship Id="rId10" Type="http://schemas.openxmlformats.org/officeDocument/2006/relationships/theme" Target="theme/theme1.xml"/><Relationship Id="rId19" Type="http://schemas.openxmlformats.org/officeDocument/2006/relationships/customXml" Target="../customXml/item5.xml"/><Relationship Id="rId9" Type="http://schemas.openxmlformats.org/officeDocument/2006/relationships/footer" Target="footer3.xml"/><Relationship Id="rId4" Type="http://schemas.openxmlformats.org/officeDocument/2006/relationships/header" Target="header1.xml"/><Relationship Id="rId14"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esktop\L\88%20msf\211030%20C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p:properties xmlns:p="http://schemas.microsoft.com/office/2006/metadata/properties" xmlns:xsi="http://www.w3.org/2001/XMLSchema-instance">
  <documentManagement>
    <Document_x0020_Number xmlns="dce579b6-ee48-4930-8ef4-fe326d357435">UNEP/OzL.Pro/ExCom/88/51</Document_x0020_Number>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F0B249387EB3B4695C68AD565FAA1BB" ma:contentTypeVersion="1" ma:contentTypeDescription="Create a new document." ma:contentTypeScope="" ma:versionID="f222a4c603557f911747a96f12396502">
  <xsd:schema xmlns:xsd="http://www.w3.org/2001/XMLSchema" xmlns:p="http://schemas.microsoft.com/office/2006/metadata/properties" xmlns:ns2="dce579b6-ee48-4930-8ef4-fe326d357435" targetNamespace="http://schemas.microsoft.com/office/2006/metadata/properties" ma:root="true" ma:fieldsID="a437b193be8f80e88b5082b627181c13" ns2:_="">
    <xsd:import namespace="dce579b6-ee48-4930-8ef4-fe326d357435"/>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dce579b6-ee48-4930-8ef4-fe326d357435"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ED8578C2-9A2B-4307-A50B-A453204208E8}"/>
</file>

<file path=customXml/itemProps3.xml><?xml version="1.0" encoding="utf-8"?>
<ds:datastoreItem xmlns:ds="http://schemas.openxmlformats.org/officeDocument/2006/customXml" ds:itemID="{AD308E8D-CC85-4E0E-B095-D4E22A4BD387}"/>
</file>

<file path=customXml/itemProps4.xml><?xml version="1.0" encoding="utf-8"?>
<ds:datastoreItem xmlns:ds="http://schemas.openxmlformats.org/officeDocument/2006/customXml" ds:itemID="{93BA3EC3-5563-4325-8521-E7D64BB76B89}"/>
</file>

<file path=customXml/itemProps5.xml><?xml version="1.0" encoding="utf-8"?>
<ds:datastoreItem xmlns:ds="http://schemas.openxmlformats.org/officeDocument/2006/customXml" ds:itemID="{0D0CD637-D032-43C7-9FF4-6A21F51F8B8E}"/>
</file>

<file path=docProps/app.xml><?xml version="1.0" encoding="utf-8"?>
<Properties xmlns="http://schemas.openxmlformats.org/officeDocument/2006/extended-properties" xmlns:vt="http://schemas.openxmlformats.org/officeDocument/2006/docPropsVTypes">
  <Template>211030 C88-template</Template>
  <Pages>1</Pages>
  <Words>1686</Words>
  <Characters>9613</Characters>
  <Lines>80</Lines>
  <Paragraphs>22</Paragraphs>
  <TotalTime>5</TotalTime>
  <ScaleCrop>false</ScaleCrop>
  <LinksUpToDate>false</LinksUpToDate>
  <CharactersWithSpaces>11277</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项目提案： 印度尼西亚</dc:title>
  <dc:creator>万通</dc:creator>
  <cp:lastModifiedBy>万通</cp:lastModifiedBy>
  <cp:revision>4</cp:revision>
  <dcterms:created xsi:type="dcterms:W3CDTF">2021-10-31T02:17:00Z</dcterms:created>
  <dcterms:modified xsi:type="dcterms:W3CDTF">2021-11-22T07:03:41Z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UNEP/OzL.Pro/ExCom/88/51</vt:lpwstr>
  </property>
  <property fmtid="{D5CDD505-2E9C-101B-9397-08002B2CF9AE}" pid="3" name="Revision date">
    <vt:lpwstr>11/2/2021</vt:lpwstr>
  </property>
  <property fmtid="{D5CDD505-2E9C-101B-9397-08002B2CF9AE}" pid="4" name="ICV">
    <vt:lpwstr>D37D3966C59D476C936305EFDE4707D7</vt:lpwstr>
  </property>
  <property fmtid="{D5CDD505-2E9C-101B-9397-08002B2CF9AE}" pid="5" name="KSOProductBuildVer">
    <vt:lpwstr>2052-11.1.0.10938</vt:lpwstr>
  </property>
  <property fmtid="{D5CDD505-2E9C-101B-9397-08002B2CF9AE}" pid="6" name="ContentTypeId">
    <vt:lpwstr>0x010100BF0B249387EB3B4695C68AD565FAA1BB</vt:lpwstr>
  </property>
</Properties>
</file>