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025F12" w:rsidRPr="006A1719" w14:paraId="7103DA79" w14:textId="77777777" w:rsidTr="00C03032">
        <w:trPr>
          <w:trHeight w:val="720"/>
        </w:trPr>
        <w:tc>
          <w:tcPr>
            <w:tcW w:w="7061" w:type="dxa"/>
            <w:gridSpan w:val="2"/>
            <w:tcBorders>
              <w:bottom w:val="single" w:sz="18" w:space="0" w:color="auto"/>
            </w:tcBorders>
          </w:tcPr>
          <w:p w14:paraId="472AA20E" w14:textId="77777777" w:rsidR="00025F12" w:rsidRPr="006A1719" w:rsidRDefault="00025F12" w:rsidP="00C030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6A1719">
              <w:rPr>
                <w:rFonts w:ascii="Univers" w:hAnsi="Univers"/>
                <w:b/>
                <w:sz w:val="28"/>
                <w:szCs w:val="28"/>
                <w:lang w:val="fr-FR"/>
              </w:rPr>
              <w:t>NATIONS</w:t>
            </w:r>
          </w:p>
          <w:p w14:paraId="4997D4CB" w14:textId="77777777" w:rsidR="00025F12" w:rsidRPr="006A1719" w:rsidRDefault="00025F12" w:rsidP="00C030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6A1719">
              <w:rPr>
                <w:rFonts w:ascii="Univers" w:hAnsi="Univers"/>
                <w:b/>
                <w:sz w:val="28"/>
                <w:szCs w:val="28"/>
                <w:lang w:val="fr-FR"/>
              </w:rPr>
              <w:t xml:space="preserve">UNIES </w:t>
            </w:r>
          </w:p>
        </w:tc>
        <w:tc>
          <w:tcPr>
            <w:tcW w:w="3544" w:type="dxa"/>
            <w:tcBorders>
              <w:bottom w:val="single" w:sz="18" w:space="0" w:color="auto"/>
            </w:tcBorders>
          </w:tcPr>
          <w:p w14:paraId="60CB4430" w14:textId="77777777" w:rsidR="00025F12" w:rsidRPr="006A1719" w:rsidRDefault="00025F12" w:rsidP="00C03032">
            <w:pPr>
              <w:tabs>
                <w:tab w:val="left" w:pos="3010"/>
              </w:tabs>
              <w:jc w:val="center"/>
              <w:rPr>
                <w:sz w:val="52"/>
                <w:szCs w:val="52"/>
                <w:lang w:val="fr-FR"/>
              </w:rPr>
            </w:pPr>
            <w:r w:rsidRPr="006A1719">
              <w:rPr>
                <w:rFonts w:ascii="Univers Bold" w:hAnsi="Univers Bold"/>
                <w:b/>
                <w:sz w:val="72"/>
                <w:lang w:val="fr-FR"/>
              </w:rPr>
              <w:t xml:space="preserve">          EP</w:t>
            </w:r>
          </w:p>
        </w:tc>
      </w:tr>
      <w:tr w:rsidR="00025F12" w:rsidRPr="006A1719" w14:paraId="2A3A7B7F" w14:textId="77777777" w:rsidTr="00C030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E14985" w14:textId="77777777" w:rsidR="00025F12" w:rsidRPr="006A1719" w:rsidRDefault="00025F12" w:rsidP="00C03032">
            <w:pPr>
              <w:spacing w:before="120"/>
              <w:rPr>
                <w:lang w:val="fr-FR"/>
              </w:rPr>
            </w:pPr>
            <w:r w:rsidRPr="006A1719">
              <w:rPr>
                <w:noProof/>
                <w:lang w:val="en-US"/>
              </w:rPr>
              <w:drawing>
                <wp:anchor distT="0" distB="0" distL="114300" distR="114300" simplePos="0" relativeHeight="251659264" behindDoc="0" locked="0" layoutInCell="1" allowOverlap="1" wp14:anchorId="37DADA7F" wp14:editId="61FD15C6">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6A1719">
              <w:rPr>
                <w:noProof/>
                <w:lang w:val="en-US"/>
              </w:rPr>
              <w:drawing>
                <wp:anchor distT="0" distB="0" distL="114300" distR="114300" simplePos="0" relativeHeight="251660288" behindDoc="1" locked="0" layoutInCell="0" allowOverlap="1" wp14:anchorId="45392C63" wp14:editId="3D68BB8A">
                  <wp:simplePos x="0" y="0"/>
                  <wp:positionH relativeFrom="column">
                    <wp:posOffset>72390</wp:posOffset>
                  </wp:positionH>
                  <wp:positionV relativeFrom="paragraph">
                    <wp:posOffset>112395</wp:posOffset>
                  </wp:positionV>
                  <wp:extent cx="760809" cy="676275"/>
                  <wp:effectExtent l="0" t="0" r="1270" b="0"/>
                  <wp:wrapNone/>
                  <wp:docPr id="3" name="Picture 3" descr="Une image contenant texte, périphérique, ventilat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Une image contenant texte, périphérique, ventilateur&#10;&#10;Description générée automatiquement"/>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4CCE4D01" w14:textId="77777777" w:rsidR="00025F12" w:rsidRPr="006A1719" w:rsidRDefault="00025F12" w:rsidP="00C030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216D0977" w14:textId="77777777" w:rsidR="00025F12" w:rsidRPr="006A1719" w:rsidRDefault="00025F12" w:rsidP="00C030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6A1719">
              <w:rPr>
                <w:rFonts w:ascii="Univers" w:hAnsi="Univers"/>
                <w:b/>
                <w:sz w:val="32"/>
                <w:lang w:val="fr-FR"/>
              </w:rPr>
              <w:t>Programme des</w:t>
            </w:r>
          </w:p>
          <w:p w14:paraId="6F10D57F" w14:textId="77777777" w:rsidR="00025F12" w:rsidRPr="006A1719" w:rsidRDefault="00025F12" w:rsidP="00C03032">
            <w:pPr>
              <w:rPr>
                <w:rFonts w:ascii="Univers" w:hAnsi="Univers"/>
                <w:b/>
                <w:sz w:val="32"/>
                <w:lang w:val="fr-FR"/>
              </w:rPr>
            </w:pPr>
            <w:r w:rsidRPr="006A1719">
              <w:rPr>
                <w:rFonts w:ascii="Univers" w:hAnsi="Univers"/>
                <w:b/>
                <w:sz w:val="32"/>
                <w:lang w:val="fr-FR"/>
              </w:rPr>
              <w:t>Nations Unies pour</w:t>
            </w:r>
          </w:p>
          <w:p w14:paraId="73DB5CF9" w14:textId="77777777" w:rsidR="00025F12" w:rsidRPr="006A1719" w:rsidRDefault="00025F12" w:rsidP="00C03032">
            <w:pPr>
              <w:rPr>
                <w:rFonts w:ascii="Univers" w:hAnsi="Univers"/>
                <w:b/>
                <w:sz w:val="32"/>
                <w:lang w:val="fr-FR"/>
              </w:rPr>
            </w:pPr>
            <w:r w:rsidRPr="006A1719">
              <w:rPr>
                <w:rFonts w:ascii="Univers" w:hAnsi="Univers"/>
                <w:b/>
                <w:sz w:val="32"/>
                <w:lang w:val="fr-FR"/>
              </w:rPr>
              <w:t>l’environnement</w:t>
            </w:r>
          </w:p>
          <w:p w14:paraId="418AB5C4" w14:textId="77777777" w:rsidR="00025F12" w:rsidRPr="006A1719" w:rsidRDefault="00025F12" w:rsidP="00C03032">
            <w:pPr>
              <w:spacing w:before="720"/>
              <w:ind w:left="158"/>
              <w:rPr>
                <w:lang w:val="fr-FR"/>
              </w:rPr>
            </w:pPr>
            <w:r w:rsidRPr="006A1719">
              <w:rPr>
                <w:lang w:val="fr-FR"/>
              </w:rPr>
              <w:t xml:space="preserve"> </w:t>
            </w:r>
          </w:p>
        </w:tc>
        <w:tc>
          <w:tcPr>
            <w:tcW w:w="3544" w:type="dxa"/>
            <w:tcBorders>
              <w:top w:val="nil"/>
              <w:left w:val="nil"/>
              <w:bottom w:val="single" w:sz="36" w:space="0" w:color="auto"/>
              <w:right w:val="nil"/>
            </w:tcBorders>
          </w:tcPr>
          <w:p w14:paraId="016BFD0B" w14:textId="77777777" w:rsidR="00025F12" w:rsidRPr="006A1719" w:rsidRDefault="00025F12" w:rsidP="00C03032">
            <w:pPr>
              <w:rPr>
                <w:lang w:val="fr-FR"/>
              </w:rPr>
            </w:pPr>
          </w:p>
          <w:p w14:paraId="26D7447F" w14:textId="77777777" w:rsidR="00025F12" w:rsidRPr="006A1719" w:rsidRDefault="00025F12" w:rsidP="00C03032">
            <w:pPr>
              <w:rPr>
                <w:lang w:val="fr-FR"/>
              </w:rPr>
            </w:pPr>
            <w:r w:rsidRPr="006A1719">
              <w:rPr>
                <w:lang w:val="fr-FR"/>
              </w:rPr>
              <w:t>Distr.</w:t>
            </w:r>
          </w:p>
          <w:p w14:paraId="2B6B8A24" w14:textId="77777777" w:rsidR="00025F12" w:rsidRPr="006A1719" w:rsidRDefault="00025F12" w:rsidP="00C03032">
            <w:pPr>
              <w:rPr>
                <w:lang w:val="fr-FR"/>
              </w:rPr>
            </w:pPr>
            <w:r w:rsidRPr="006A1719">
              <w:rPr>
                <w:lang w:val="fr-FR"/>
              </w:rPr>
              <w:t>GÉNÉRALE</w:t>
            </w:r>
          </w:p>
          <w:p w14:paraId="579F496D" w14:textId="77777777" w:rsidR="00025F12" w:rsidRPr="006A1719" w:rsidRDefault="00025F12" w:rsidP="00C03032">
            <w:pPr>
              <w:rPr>
                <w:lang w:val="fr-FR"/>
              </w:rPr>
            </w:pPr>
          </w:p>
          <w:p w14:paraId="14D0C197" w14:textId="4751FED9" w:rsidR="00025F12" w:rsidRPr="006A1719" w:rsidRDefault="00025F12" w:rsidP="00C03032">
            <w:pPr>
              <w:rPr>
                <w:lang w:val="fr-FR"/>
              </w:rPr>
            </w:pPr>
            <w:r w:rsidRPr="006A1719">
              <w:rPr>
                <w:lang w:val="fr-FR"/>
              </w:rPr>
              <w:fldChar w:fldCharType="begin"/>
            </w:r>
            <w:r w:rsidRPr="006A1719">
              <w:rPr>
                <w:lang w:val="fr-FR"/>
              </w:rPr>
              <w:instrText xml:space="preserve"> DOCPROPERTY "Document number"  \* MERGEFORMAT </w:instrText>
            </w:r>
            <w:r w:rsidRPr="006A1719">
              <w:rPr>
                <w:lang w:val="fr-FR"/>
              </w:rPr>
              <w:fldChar w:fldCharType="separate"/>
            </w:r>
            <w:r w:rsidRPr="006A1719">
              <w:rPr>
                <w:lang w:val="fr-FR"/>
              </w:rPr>
              <w:t>UNEP/OzL.Pro/ExCom/87/</w:t>
            </w:r>
            <w:r w:rsidR="00AE46DF">
              <w:rPr>
                <w:lang w:val="fr-FR"/>
              </w:rPr>
              <w:t>54</w:t>
            </w:r>
            <w:r w:rsidRPr="006A1719">
              <w:rPr>
                <w:lang w:val="fr-FR"/>
              </w:rPr>
              <w:fldChar w:fldCharType="end"/>
            </w:r>
          </w:p>
          <w:p w14:paraId="279F77B4" w14:textId="74648C91" w:rsidR="00025F12" w:rsidRPr="006A1719" w:rsidRDefault="00025F12" w:rsidP="00C03032">
            <w:pPr>
              <w:rPr>
                <w:lang w:val="fr-FR"/>
              </w:rPr>
            </w:pPr>
            <w:r w:rsidRPr="006A1719">
              <w:rPr>
                <w:lang w:val="fr-FR"/>
              </w:rPr>
              <w:fldChar w:fldCharType="begin"/>
            </w:r>
            <w:r w:rsidRPr="006A1719">
              <w:rPr>
                <w:lang w:val="fr-FR"/>
              </w:rPr>
              <w:instrText xml:space="preserve"> DOCPROPERTY "Revision date" \@ "d MMMM YYYY"  \* MERGEFORMAT </w:instrText>
            </w:r>
            <w:r w:rsidRPr="006A1719">
              <w:rPr>
                <w:lang w:val="fr-FR"/>
              </w:rPr>
              <w:fldChar w:fldCharType="separate"/>
            </w:r>
            <w:r w:rsidR="00AE46DF">
              <w:rPr>
                <w:lang w:val="fr-FR"/>
              </w:rPr>
              <w:t>8</w:t>
            </w:r>
            <w:r w:rsidRPr="006A1719">
              <w:rPr>
                <w:lang w:val="fr-FR"/>
              </w:rPr>
              <w:t xml:space="preserve"> </w:t>
            </w:r>
            <w:r w:rsidR="00A50522">
              <w:rPr>
                <w:lang w:val="fr-FR"/>
              </w:rPr>
              <w:t>juin</w:t>
            </w:r>
            <w:r w:rsidRPr="006A1719">
              <w:rPr>
                <w:lang w:val="fr-FR"/>
              </w:rPr>
              <w:t xml:space="preserve"> 2021</w:t>
            </w:r>
            <w:r w:rsidRPr="006A1719">
              <w:rPr>
                <w:lang w:val="fr-FR"/>
              </w:rPr>
              <w:fldChar w:fldCharType="end"/>
            </w:r>
          </w:p>
          <w:p w14:paraId="2BBFF08F" w14:textId="77777777" w:rsidR="00025F12" w:rsidRPr="006A1719" w:rsidRDefault="00025F12" w:rsidP="00C03032">
            <w:pPr>
              <w:rPr>
                <w:caps/>
                <w:lang w:val="fr-FR"/>
              </w:rPr>
            </w:pPr>
            <w:r w:rsidRPr="006A1719">
              <w:rPr>
                <w:caps/>
                <w:lang w:val="fr-FR"/>
              </w:rPr>
              <w:br/>
              <w:t>FRANÇAIS</w:t>
            </w:r>
          </w:p>
          <w:p w14:paraId="7D7C7251" w14:textId="77777777" w:rsidR="00025F12" w:rsidRPr="006A1719" w:rsidRDefault="00025F12" w:rsidP="00C03032">
            <w:pPr>
              <w:rPr>
                <w:lang w:val="fr-FR"/>
              </w:rPr>
            </w:pPr>
            <w:r w:rsidRPr="006A1719">
              <w:rPr>
                <w:lang w:val="fr-FR"/>
              </w:rPr>
              <w:t>ORIGINAL: ANGLAIS</w:t>
            </w:r>
          </w:p>
        </w:tc>
      </w:tr>
    </w:tbl>
    <w:p w14:paraId="49EF639D" w14:textId="77777777" w:rsidR="00025F12" w:rsidRPr="006A1719" w:rsidRDefault="00025F12" w:rsidP="00025F12">
      <w:pPr>
        <w:jc w:val="left"/>
        <w:rPr>
          <w:lang w:val="fr-FR"/>
        </w:rPr>
      </w:pPr>
      <w:r w:rsidRPr="006A1719">
        <w:rPr>
          <w:lang w:val="fr-FR"/>
        </w:rPr>
        <w:t xml:space="preserve">COMITÉ EXÉCUTIF </w:t>
      </w:r>
      <w:r w:rsidRPr="006A1719">
        <w:rPr>
          <w:lang w:val="fr-FR"/>
        </w:rPr>
        <w:br/>
        <w:t xml:space="preserve">  DU FONDS MULTILATÉRAL AUX FINS </w:t>
      </w:r>
      <w:r w:rsidRPr="006A1719">
        <w:rPr>
          <w:lang w:val="fr-FR"/>
        </w:rPr>
        <w:br/>
        <w:t xml:space="preserve">  D’APPLICATION DU PROTOCOLE DE MONTRÉAL</w:t>
      </w:r>
      <w:r w:rsidRPr="006A1719">
        <w:rPr>
          <w:lang w:val="fr-FR"/>
        </w:rPr>
        <w:br/>
        <w:t>Quatre-vingt-septième réunion</w:t>
      </w:r>
    </w:p>
    <w:p w14:paraId="7FCD6090" w14:textId="77777777" w:rsidR="00025F12" w:rsidRPr="006A1719" w:rsidRDefault="00025F12" w:rsidP="00025F12">
      <w:pPr>
        <w:jc w:val="left"/>
        <w:rPr>
          <w:lang w:val="fr-FR"/>
        </w:rPr>
      </w:pPr>
      <w:r w:rsidRPr="006A1719">
        <w:rPr>
          <w:lang w:val="fr-FR"/>
        </w:rPr>
        <w:t>Montréal, 28 juin – 2 juillet 2021</w:t>
      </w:r>
      <w:r w:rsidRPr="006A1719">
        <w:rPr>
          <w:rStyle w:val="FootnoteReference"/>
          <w:lang w:val="fr-FR"/>
        </w:rPr>
        <w:footnoteReference w:id="1"/>
      </w:r>
    </w:p>
    <w:p w14:paraId="04FE6F0D" w14:textId="66B1530C" w:rsidR="00025F12" w:rsidRDefault="00025F12" w:rsidP="00025F12">
      <w:pPr>
        <w:jc w:val="left"/>
        <w:rPr>
          <w:lang w:val="fr-FR"/>
        </w:rPr>
      </w:pPr>
    </w:p>
    <w:p w14:paraId="3BCBF2AA" w14:textId="77777777" w:rsidR="00641C73" w:rsidRPr="006A1719" w:rsidRDefault="00641C73" w:rsidP="00025F12">
      <w:pPr>
        <w:jc w:val="left"/>
        <w:rPr>
          <w:lang w:val="fr-FR"/>
        </w:rPr>
      </w:pPr>
    </w:p>
    <w:p w14:paraId="5EC29728" w14:textId="77777777" w:rsidR="00025F12" w:rsidRPr="006A1719" w:rsidRDefault="00025F12" w:rsidP="00025F12">
      <w:pPr>
        <w:pStyle w:val="Title1"/>
        <w:rPr>
          <w:lang w:val="fr-FR"/>
        </w:rPr>
      </w:pPr>
    </w:p>
    <w:p w14:paraId="6A2DC0EE" w14:textId="72A6A4CA" w:rsidR="00025F12" w:rsidRDefault="005040DA" w:rsidP="00025F12">
      <w:pPr>
        <w:pStyle w:val="Title1"/>
        <w:spacing w:after="240"/>
        <w:rPr>
          <w:caps w:val="0"/>
          <w:lang w:val="fr-FR"/>
        </w:rPr>
      </w:pPr>
      <w:r w:rsidRPr="006A1719">
        <w:rPr>
          <w:caps w:val="0"/>
          <w:lang w:val="fr-FR"/>
        </w:rPr>
        <w:t>PRINCIPAUX ASPECTS LIES AUX TECHNOLOGIES DE CONTROLE DU SOUS-PRODUIT HFC-23 : MEXIQUE (DECISION 86/96)</w:t>
      </w:r>
    </w:p>
    <w:p w14:paraId="7E0CD4C9" w14:textId="77777777" w:rsidR="00641C73" w:rsidRPr="006A1719" w:rsidRDefault="00641C73" w:rsidP="00025F12">
      <w:pPr>
        <w:pStyle w:val="Title1"/>
        <w:spacing w:after="240"/>
        <w:rPr>
          <w:lang w:val="fr-FR"/>
        </w:rPr>
      </w:pPr>
    </w:p>
    <w:p w14:paraId="784F5DC6" w14:textId="29EB9C62" w:rsidR="00025F12" w:rsidRPr="006A1719" w:rsidRDefault="00662292" w:rsidP="00025F12">
      <w:pPr>
        <w:jc w:val="left"/>
        <w:rPr>
          <w:b/>
          <w:lang w:val="fr-FR"/>
        </w:rPr>
      </w:pPr>
      <w:r w:rsidRPr="006A1719">
        <w:rPr>
          <w:b/>
          <w:lang w:val="fr-FR"/>
        </w:rPr>
        <w:t>Contexte</w:t>
      </w:r>
      <w:r w:rsidR="00CD5C88">
        <w:rPr>
          <w:b/>
          <w:lang w:val="fr-FR"/>
        </w:rPr>
        <w:t xml:space="preserve"> </w:t>
      </w:r>
    </w:p>
    <w:p w14:paraId="17CD63AD" w14:textId="77777777" w:rsidR="00025F12" w:rsidRPr="006A1719" w:rsidRDefault="00025F12" w:rsidP="00025F12">
      <w:pPr>
        <w:jc w:val="left"/>
        <w:rPr>
          <w:lang w:val="fr-FR"/>
        </w:rPr>
      </w:pPr>
    </w:p>
    <w:p w14:paraId="5E98FB62" w14:textId="6C3A22E1" w:rsidR="00662292" w:rsidRPr="006A1719" w:rsidRDefault="00662292" w:rsidP="00662292">
      <w:pPr>
        <w:pStyle w:val="Heading1"/>
        <w:rPr>
          <w:lang w:val="fr-FR"/>
        </w:rPr>
      </w:pPr>
      <w:r w:rsidRPr="006A1719">
        <w:rPr>
          <w:lang w:val="fr-FR"/>
        </w:rPr>
        <w:t>À sa quatre-vingt-quatrième réunion, le Comité exécutif a examiné les options de la proposition de projet visant à contrôler et à éliminer progressivement les émissions de HFC-23 de l'entreprise Quimobásicos (une entreprise produisant du HCFC-22 au Mexique), pour un coût total de 9 669 876 $US, plus les coûts d'appui à l'agence de 676 891 $US pour l'ONUDI</w:t>
      </w:r>
      <w:r w:rsidRPr="006A1719">
        <w:rPr>
          <w:rStyle w:val="FootnoteTextChar"/>
          <w:vertAlign w:val="superscript"/>
          <w:lang w:val="fr-FR"/>
        </w:rPr>
        <w:footnoteReference w:id="2"/>
      </w:r>
      <w:r w:rsidRPr="006A1719">
        <w:rPr>
          <w:lang w:val="fr-FR"/>
        </w:rPr>
        <w:t>, tel qu'initialement soumis, conformément à la décision 83/67. Après discussion, le Comité exécutif a décidé de reporter l'examen du projet à la 85</w:t>
      </w:r>
      <w:r w:rsidRPr="00AE46DF">
        <w:rPr>
          <w:vertAlign w:val="superscript"/>
          <w:lang w:val="fr-FR"/>
        </w:rPr>
        <w:t>ème</w:t>
      </w:r>
      <w:r w:rsidRPr="006A1719">
        <w:rPr>
          <w:lang w:val="fr-FR"/>
        </w:rPr>
        <w:t xml:space="preserve"> réunion (décision 84/91). Conformément au processus d'approbation intersessionnel établi pour la 85</w:t>
      </w:r>
      <w:r w:rsidRPr="00AE46DF">
        <w:rPr>
          <w:vertAlign w:val="superscript"/>
          <w:lang w:val="fr-FR"/>
        </w:rPr>
        <w:t>ème</w:t>
      </w:r>
      <w:r w:rsidRPr="006A1719">
        <w:rPr>
          <w:lang w:val="fr-FR"/>
        </w:rPr>
        <w:t xml:space="preserve"> réunion, la proposition de projet a été reportée à la 86</w:t>
      </w:r>
      <w:r w:rsidRPr="00AE46DF">
        <w:rPr>
          <w:vertAlign w:val="superscript"/>
          <w:lang w:val="fr-FR"/>
        </w:rPr>
        <w:t>ème</w:t>
      </w:r>
      <w:r w:rsidRPr="006A1719">
        <w:rPr>
          <w:lang w:val="fr-FR"/>
        </w:rPr>
        <w:t xml:space="preserve"> réunion</w:t>
      </w:r>
      <w:r w:rsidRPr="006A1719">
        <w:rPr>
          <w:rStyle w:val="FootnoteTextChar"/>
          <w:vertAlign w:val="superscript"/>
          <w:lang w:val="fr-FR"/>
        </w:rPr>
        <w:footnoteReference w:id="3"/>
      </w:r>
      <w:r w:rsidRPr="006A1719">
        <w:rPr>
          <w:lang w:val="fr-FR"/>
        </w:rPr>
        <w:t>.</w:t>
      </w:r>
    </w:p>
    <w:p w14:paraId="65ECFDC9" w14:textId="43FAC131" w:rsidR="00025F12" w:rsidRPr="006A1719" w:rsidRDefault="00662292" w:rsidP="00025F12">
      <w:pPr>
        <w:pStyle w:val="Heading1"/>
        <w:rPr>
          <w:rFonts w:eastAsia="Calibri"/>
          <w:lang w:val="fr-FR"/>
        </w:rPr>
      </w:pPr>
      <w:r w:rsidRPr="006A1719">
        <w:rPr>
          <w:lang w:val="fr-FR"/>
        </w:rPr>
        <w:t>À sa 86</w:t>
      </w:r>
      <w:r w:rsidRPr="00AE46DF">
        <w:rPr>
          <w:vertAlign w:val="superscript"/>
          <w:lang w:val="fr-FR"/>
        </w:rPr>
        <w:t>ème</w:t>
      </w:r>
      <w:r w:rsidRPr="006A1719">
        <w:rPr>
          <w:lang w:val="fr-FR"/>
        </w:rPr>
        <w:t xml:space="preserve"> réunion, le Comité exécutif a examiné les options de la proposition de projet visant à contrôler et à éliminer progressivement les émissions de HFC-23 de Quimobásicos. Suite à une discussion lors de la réunion formelle en ligne, suivie d'une discussion au sein d'un groupe de contact (dans le cadre de réunions virtuelles), le Comité exécutif a décidé (décision 86/96)</w:t>
      </w:r>
      <w:r w:rsidR="00025F12" w:rsidRPr="006A1719">
        <w:rPr>
          <w:lang w:val="fr-FR"/>
        </w:rPr>
        <w:t>:</w:t>
      </w:r>
    </w:p>
    <w:p w14:paraId="4FD0E9CD" w14:textId="473C1B58" w:rsidR="00025F12" w:rsidRPr="006A1719" w:rsidRDefault="00454875" w:rsidP="00641C73">
      <w:pPr>
        <w:pStyle w:val="Heading2"/>
        <w:keepNext/>
        <w:keepLines/>
        <w:ind w:left="1440" w:hanging="720"/>
        <w:rPr>
          <w:lang w:val="fr-FR"/>
        </w:rPr>
      </w:pPr>
      <w:r w:rsidRPr="006A1719">
        <w:rPr>
          <w:lang w:val="fr-FR"/>
        </w:rPr>
        <w:lastRenderedPageBreak/>
        <w:t xml:space="preserve">De prendre note des options de la proposition de projet visant à contrôler et à éliminer progressivement les émissions de sous-produits du HFC-23 de Quimobásicos, figurant dans le document UNEP/OzL.Pro/ExCom/86/96, Principaux aspects liés aux technologies de contrôle du sous-produit HFC-23 : Mexique (décision 84/91) </w:t>
      </w:r>
      <w:r w:rsidR="00025F12" w:rsidRPr="006A1719">
        <w:rPr>
          <w:lang w:val="fr-FR"/>
        </w:rPr>
        <w:t>;</w:t>
      </w:r>
    </w:p>
    <w:p w14:paraId="1CA638E3" w14:textId="40CAFC62" w:rsidR="00025F12" w:rsidRPr="006A1719" w:rsidRDefault="00454875" w:rsidP="00581C91">
      <w:pPr>
        <w:pStyle w:val="Heading2"/>
        <w:ind w:left="1440" w:hanging="720"/>
        <w:rPr>
          <w:lang w:val="fr-FR"/>
        </w:rPr>
      </w:pPr>
      <w:r w:rsidRPr="006A1719">
        <w:rPr>
          <w:lang w:val="fr-FR"/>
        </w:rPr>
        <w:t xml:space="preserve">D'approuver, en principe, la somme de 3 833 384 $US, plus les coûts d'appui à l'agence de 268 337 $US pour l'ONUDI, </w:t>
      </w:r>
      <w:r w:rsidR="000F1FBC">
        <w:rPr>
          <w:lang w:val="fr-FR"/>
        </w:rPr>
        <w:t>afin de</w:t>
      </w:r>
      <w:r w:rsidRPr="006A1719">
        <w:rPr>
          <w:lang w:val="fr-FR"/>
        </w:rPr>
        <w:t xml:space="preserve"> permettre au gouvernement du Mexique de se conformer aux obligations de contrôle des émissions du sous-produit HFC-23 au titre de l'amendement de Kigali au Protocole de Montréal, étant entendu que </w:t>
      </w:r>
      <w:r w:rsidR="00025F12" w:rsidRPr="006A1719">
        <w:rPr>
          <w:lang w:val="fr-FR"/>
        </w:rPr>
        <w:t>:</w:t>
      </w:r>
    </w:p>
    <w:p w14:paraId="2FE12705" w14:textId="00F4030C" w:rsidR="00025F12" w:rsidRPr="006A1719" w:rsidRDefault="00454875" w:rsidP="00581C91">
      <w:pPr>
        <w:pStyle w:val="Heading3"/>
        <w:ind w:left="2160" w:hanging="720"/>
        <w:rPr>
          <w:lang w:val="fr-FR"/>
        </w:rPr>
      </w:pPr>
      <w:r w:rsidRPr="006A1719">
        <w:rPr>
          <w:lang w:val="fr-FR"/>
        </w:rPr>
        <w:t xml:space="preserve">Le Gouvernement mexicain veillera à ce que, d'ici le 1er janvier 2022 et par la suite, les émissions de HFC-23 en tant que sous-produit des lignes de production de HCFC-22 soient éliminées conformément au Protocole de Montréal, de sorte que les émissions pour les deux lignes soient égales ou inférieures à 0,1 kg de HFC-23 pour 100 kg de HCFC-22 produit </w:t>
      </w:r>
      <w:r w:rsidR="00025F12" w:rsidRPr="006A1719">
        <w:rPr>
          <w:lang w:val="fr-FR"/>
        </w:rPr>
        <w:t>;</w:t>
      </w:r>
    </w:p>
    <w:p w14:paraId="6BA2BA63" w14:textId="63848D00" w:rsidR="00025F12" w:rsidRPr="006A1719" w:rsidRDefault="00E07A50" w:rsidP="00581C91">
      <w:pPr>
        <w:pStyle w:val="Heading3"/>
        <w:ind w:left="2160" w:hanging="720"/>
        <w:rPr>
          <w:lang w:val="fr-FR"/>
        </w:rPr>
      </w:pPr>
      <w:r w:rsidRPr="006A1719">
        <w:rPr>
          <w:lang w:val="fr-FR"/>
        </w:rPr>
        <w:t xml:space="preserve">Le Gouvernement mexicain avait la possibilité d'utiliser le financement approuvé en principe à l'alinéa b) ci-dessus pour remettre à neuf l'une des deux, ou les deux, unités de destruction par arc plasma installées sur le site de Quimobásicos, comme décrit dans le document UNEP/OzL.Pro/ExCom/85/65, étant entendu que tout financement supplémentaire nécessaire serait couvert par Quimobásicos </w:t>
      </w:r>
      <w:r w:rsidR="00025F12" w:rsidRPr="006A1719">
        <w:rPr>
          <w:lang w:val="fr-FR"/>
        </w:rPr>
        <w:t>;</w:t>
      </w:r>
    </w:p>
    <w:p w14:paraId="5CD5646B" w14:textId="6E1077F2" w:rsidR="00025F12" w:rsidRPr="006A1719" w:rsidRDefault="00E07A50" w:rsidP="00581C91">
      <w:pPr>
        <w:pStyle w:val="Heading3"/>
        <w:ind w:left="2160" w:hanging="720"/>
        <w:rPr>
          <w:lang w:val="fr-FR"/>
        </w:rPr>
      </w:pPr>
      <w:r w:rsidRPr="006A1719">
        <w:rPr>
          <w:lang w:val="fr-FR"/>
        </w:rPr>
        <w:t>Un montant maximum de 2 995 047 $US, sur le financement total approuvé, était associé aux coûts opérationnels supplémentaires et serait divisé en tranches annuelles à fournir au Mexique après vérification de la quantité de sous-produit HFC 23 détruite</w:t>
      </w:r>
      <w:r w:rsidR="002516D7" w:rsidRPr="006A1719">
        <w:rPr>
          <w:lang w:val="fr-FR"/>
        </w:rPr>
        <w:t> </w:t>
      </w:r>
      <w:r w:rsidR="00025F12" w:rsidRPr="006A1719">
        <w:rPr>
          <w:lang w:val="fr-FR"/>
        </w:rPr>
        <w:t>;</w:t>
      </w:r>
    </w:p>
    <w:p w14:paraId="017A51D7" w14:textId="6017A99B" w:rsidR="00025F12" w:rsidRPr="006A1719" w:rsidRDefault="002516D7" w:rsidP="00581C91">
      <w:pPr>
        <w:pStyle w:val="Heading3"/>
        <w:ind w:left="2160" w:hanging="720"/>
        <w:rPr>
          <w:lang w:val="fr-FR"/>
        </w:rPr>
      </w:pPr>
      <w:r w:rsidRPr="006A1719">
        <w:rPr>
          <w:lang w:val="fr-FR"/>
        </w:rPr>
        <w:t xml:space="preserve">Les coûts opérationnels supplémentaires de chaque tranche annuelle seraient calculés en multipliant le nombre de kilogrammes de HFC-23 détruits par 3,28 $US/kg </w:t>
      </w:r>
      <w:r w:rsidR="00025F12" w:rsidRPr="006A1719">
        <w:rPr>
          <w:lang w:val="fr-FR"/>
        </w:rPr>
        <w:t xml:space="preserve">; </w:t>
      </w:r>
    </w:p>
    <w:p w14:paraId="4CA246F9" w14:textId="0938757E" w:rsidR="00025F12" w:rsidRPr="006A1719" w:rsidRDefault="002516D7" w:rsidP="00581C91">
      <w:pPr>
        <w:pStyle w:val="Heading3"/>
        <w:ind w:left="2160" w:hanging="720"/>
        <w:rPr>
          <w:lang w:val="fr-FR"/>
        </w:rPr>
      </w:pPr>
      <w:r w:rsidRPr="006A1719">
        <w:rPr>
          <w:lang w:val="fr-FR"/>
        </w:rPr>
        <w:t xml:space="preserve">Le projet serait achevé avant le 1er janvier 2031 </w:t>
      </w:r>
      <w:r w:rsidR="00025F12" w:rsidRPr="006A1719">
        <w:rPr>
          <w:lang w:val="fr-FR"/>
        </w:rPr>
        <w:t xml:space="preserve">; </w:t>
      </w:r>
    </w:p>
    <w:p w14:paraId="08899C32" w14:textId="47E6787C" w:rsidR="00025F12" w:rsidRPr="006A1719" w:rsidRDefault="002516D7" w:rsidP="00581C91">
      <w:pPr>
        <w:pStyle w:val="Heading3"/>
        <w:ind w:left="2160" w:hanging="720"/>
        <w:rPr>
          <w:lang w:val="fr-FR"/>
        </w:rPr>
      </w:pPr>
      <w:r w:rsidRPr="006A1719">
        <w:rPr>
          <w:lang w:val="fr-FR"/>
        </w:rPr>
        <w:t xml:space="preserve">Le Gouvernement mexicain s'est engagé à garantir qu'il n'y aurait pas de financement supplémentaire provenant d'autres sources, y compris des crédits ou des compensations relatifs au HFC-23, pour le contrôle des émissions de sous-produit HFC-23 provenant des lignes de production concernées, pendant le projet ou après son achèvement </w:t>
      </w:r>
      <w:r w:rsidR="00025F12" w:rsidRPr="006A1719">
        <w:rPr>
          <w:lang w:val="fr-FR"/>
        </w:rPr>
        <w:t>;</w:t>
      </w:r>
    </w:p>
    <w:p w14:paraId="2239F206" w14:textId="757EC265" w:rsidR="00025F12" w:rsidRPr="006A1719" w:rsidRDefault="002516D7" w:rsidP="00581C91">
      <w:pPr>
        <w:pStyle w:val="Heading2"/>
        <w:ind w:left="1440" w:hanging="720"/>
        <w:rPr>
          <w:lang w:val="fr-FR"/>
        </w:rPr>
      </w:pPr>
      <w:r w:rsidRPr="006A1719">
        <w:rPr>
          <w:lang w:val="fr-FR"/>
        </w:rPr>
        <w:t>À noter</w:t>
      </w:r>
      <w:r w:rsidR="00AD4392" w:rsidRPr="006A1719">
        <w:rPr>
          <w:lang w:val="fr-FR"/>
        </w:rPr>
        <w:t xml:space="preserve"> </w:t>
      </w:r>
      <w:r w:rsidR="00025F12" w:rsidRPr="006A1719">
        <w:rPr>
          <w:lang w:val="fr-FR"/>
        </w:rPr>
        <w:t>:</w:t>
      </w:r>
    </w:p>
    <w:p w14:paraId="24068B13" w14:textId="71755F15" w:rsidR="00025F12" w:rsidRPr="006A1719" w:rsidRDefault="002516D7" w:rsidP="00581C91">
      <w:pPr>
        <w:pStyle w:val="Heading3"/>
        <w:ind w:left="2160" w:hanging="720"/>
        <w:rPr>
          <w:lang w:val="fr-FR"/>
        </w:rPr>
      </w:pPr>
      <w:r w:rsidRPr="006A1719">
        <w:rPr>
          <w:lang w:val="fr-FR"/>
        </w:rPr>
        <w:t xml:space="preserve">L'engagement pris par Quimobásicos de suspendre la production de HCFC 22 pendant deux semaines au maximum pour permettre la réparation de l'unité de destruction par arc plasma si le Gouvernement du Mexique devait choisir l'option 1A figurant dans le document UNEP/OzL.Pro/ExCom/85/65 </w:t>
      </w:r>
      <w:r w:rsidR="00025F12" w:rsidRPr="006A1719">
        <w:rPr>
          <w:lang w:val="fr-FR"/>
        </w:rPr>
        <w:t xml:space="preserve">; </w:t>
      </w:r>
    </w:p>
    <w:p w14:paraId="2A1228E7" w14:textId="3384D7F7" w:rsidR="00025F12" w:rsidRPr="006A1719" w:rsidRDefault="002516D7" w:rsidP="00581C91">
      <w:pPr>
        <w:pStyle w:val="Heading3"/>
        <w:ind w:left="2160" w:hanging="720"/>
        <w:rPr>
          <w:lang w:val="fr-FR"/>
        </w:rPr>
      </w:pPr>
      <w:r w:rsidRPr="006A1719">
        <w:rPr>
          <w:lang w:val="fr-FR"/>
        </w:rPr>
        <w:t xml:space="preserve">L'engagement pris par le Gouvernement mexicain de veiller à ce que les émissions de sous-produit HFC 23 provenant de la production de HCFC-22 par Quimobásicos continuent à être contrôlées et vérifiées de la même manière après l'achèvement du projet, y compris dans le cadre de politiques et de </w:t>
      </w:r>
      <w:r w:rsidR="00AE46DF" w:rsidRPr="006A1719">
        <w:rPr>
          <w:lang w:val="fr-FR"/>
        </w:rPr>
        <w:t>législations</w:t>
      </w:r>
      <w:r w:rsidRPr="006A1719">
        <w:rPr>
          <w:lang w:val="fr-FR"/>
        </w:rPr>
        <w:t xml:space="preserve"> </w:t>
      </w:r>
      <w:r w:rsidR="00025F12" w:rsidRPr="006A1719">
        <w:rPr>
          <w:lang w:val="fr-FR"/>
        </w:rPr>
        <w:t xml:space="preserve">; </w:t>
      </w:r>
    </w:p>
    <w:p w14:paraId="15B7E6F5" w14:textId="505CB2CC" w:rsidR="00025F12" w:rsidRPr="006A1719" w:rsidRDefault="00AD4392" w:rsidP="00641C73">
      <w:pPr>
        <w:pStyle w:val="Heading3"/>
        <w:keepNext/>
        <w:keepLines/>
        <w:ind w:left="2160" w:hanging="720"/>
        <w:rPr>
          <w:lang w:val="fr-FR"/>
        </w:rPr>
      </w:pPr>
      <w:r w:rsidRPr="006A1719">
        <w:rPr>
          <w:lang w:val="fr-FR"/>
        </w:rPr>
        <w:lastRenderedPageBreak/>
        <w:t xml:space="preserve">Le financement approuvé en principe indiqué à l'alinéa b) ci-dessus est le financement total qui sera mis à la disposition du Mexique par le Fonds multilatéral pour le contrôle des émissions de sous-produit HFC 23 </w:t>
      </w:r>
      <w:r w:rsidR="00025F12" w:rsidRPr="006A1719">
        <w:rPr>
          <w:lang w:val="fr-FR"/>
        </w:rPr>
        <w:t xml:space="preserve">; </w:t>
      </w:r>
    </w:p>
    <w:p w14:paraId="4B2411F4" w14:textId="5C5AC120" w:rsidR="00025F12" w:rsidRPr="006A1719" w:rsidRDefault="00AD4392" w:rsidP="00641C73">
      <w:pPr>
        <w:pStyle w:val="Heading3"/>
        <w:keepNext/>
        <w:keepLines/>
        <w:ind w:left="2160" w:hanging="720"/>
        <w:rPr>
          <w:lang w:val="fr-FR"/>
        </w:rPr>
      </w:pPr>
      <w:r w:rsidRPr="006A1719">
        <w:rPr>
          <w:lang w:val="fr-FR"/>
        </w:rPr>
        <w:t xml:space="preserve">Le financement fourni tient compte des réductions relatives au capital ne relevant pas de l'article 5 et aux exportations vers des Parties non visées à l'article 5 </w:t>
      </w:r>
      <w:r w:rsidR="00025F12" w:rsidRPr="006A1719">
        <w:rPr>
          <w:lang w:val="fr-FR"/>
        </w:rPr>
        <w:t xml:space="preserve">; </w:t>
      </w:r>
    </w:p>
    <w:p w14:paraId="41D1AC63" w14:textId="3239C399" w:rsidR="00025F12" w:rsidRPr="006A1719" w:rsidRDefault="002670A6" w:rsidP="00641C73">
      <w:pPr>
        <w:pStyle w:val="Heading3"/>
        <w:keepNext/>
        <w:keepLines/>
        <w:ind w:left="2160" w:hanging="720"/>
        <w:rPr>
          <w:lang w:val="fr-FR"/>
        </w:rPr>
      </w:pPr>
      <w:r w:rsidRPr="006A1719">
        <w:rPr>
          <w:lang w:val="fr-FR"/>
        </w:rPr>
        <w:t xml:space="preserve">Les coûts convenus pour le projet tiennent compte des circonstances particulières du projet au Mexique et ne constituent pas un précédent pour tout autre projet lié au contrôle des émissions de sous-produit HFC-23 </w:t>
      </w:r>
      <w:r w:rsidR="00025F12" w:rsidRPr="006A1719">
        <w:rPr>
          <w:lang w:val="fr-FR"/>
        </w:rPr>
        <w:t xml:space="preserve">; </w:t>
      </w:r>
    </w:p>
    <w:p w14:paraId="23CF1747" w14:textId="7B0663E3" w:rsidR="00025F12" w:rsidRPr="006A1719" w:rsidRDefault="002670A6" w:rsidP="00581C91">
      <w:pPr>
        <w:pStyle w:val="Heading2"/>
        <w:ind w:left="1440" w:hanging="720"/>
        <w:rPr>
          <w:lang w:val="fr-FR"/>
        </w:rPr>
      </w:pPr>
      <w:r w:rsidRPr="006A1719">
        <w:rPr>
          <w:lang w:val="fr-FR"/>
        </w:rPr>
        <w:t>De demander au secrétariat, en coopération avec l'ONUDI, d'élaborer un projet d'accord entre le Gouvernement du Mexique et le Comité exécutif pour le contrôle des émissions de sous-produit HFC 23, pour examen à la 87</w:t>
      </w:r>
      <w:r w:rsidRPr="000F1FBC">
        <w:rPr>
          <w:vertAlign w:val="superscript"/>
          <w:lang w:val="fr-FR"/>
        </w:rPr>
        <w:t>ème</w:t>
      </w:r>
      <w:r w:rsidRPr="006A1719">
        <w:rPr>
          <w:lang w:val="fr-FR"/>
        </w:rPr>
        <w:t xml:space="preserve"> réunion, à la lumière des orientations fournies par le Comité exécutif à la 86</w:t>
      </w:r>
      <w:r w:rsidRPr="000F1FBC">
        <w:rPr>
          <w:vertAlign w:val="superscript"/>
          <w:lang w:val="fr-FR"/>
        </w:rPr>
        <w:t>ème</w:t>
      </w:r>
      <w:r w:rsidRPr="006A1719">
        <w:rPr>
          <w:lang w:val="fr-FR"/>
        </w:rPr>
        <w:t xml:space="preserve"> </w:t>
      </w:r>
      <w:r w:rsidR="00AE46DF" w:rsidRPr="006A1719">
        <w:rPr>
          <w:lang w:val="fr-FR"/>
        </w:rPr>
        <w:t>réunion</w:t>
      </w:r>
      <w:r w:rsidRPr="006A1719">
        <w:rPr>
          <w:lang w:val="fr-FR"/>
        </w:rPr>
        <w:t xml:space="preserve"> </w:t>
      </w:r>
      <w:r w:rsidR="00025F12" w:rsidRPr="006A1719">
        <w:rPr>
          <w:lang w:val="fr-FR"/>
        </w:rPr>
        <w:t xml:space="preserve">; </w:t>
      </w:r>
    </w:p>
    <w:p w14:paraId="5ABCB2F1" w14:textId="064133AA" w:rsidR="00025F12" w:rsidRPr="006A1719" w:rsidRDefault="002670A6" w:rsidP="00581C91">
      <w:pPr>
        <w:pStyle w:val="Heading2"/>
        <w:ind w:left="1440" w:hanging="720"/>
        <w:rPr>
          <w:lang w:val="fr-FR"/>
        </w:rPr>
      </w:pPr>
      <w:r w:rsidRPr="006A1719">
        <w:rPr>
          <w:lang w:val="fr-FR"/>
        </w:rPr>
        <w:t>D'inviter le Gouvernement du Mexique, après l'achèvement du projet, à envisager de demander un financement supplémentaire, pour la vérification indépendante du sous-produit HFC-23 généré, détruit, vendu, stocké et émis, dans le cadre de la phase ultérieure de son plan de gestion de l'élimination des HCFC, jusqu'à l'approbation du plan d'élimination des HFC pour le pays, auquel cas la vérification se poursuivrait dans le cadre de ce plan ; et</w:t>
      </w:r>
      <w:r w:rsidR="00025F12" w:rsidRPr="006A1719">
        <w:rPr>
          <w:lang w:val="fr-FR"/>
        </w:rPr>
        <w:t xml:space="preserve"> </w:t>
      </w:r>
    </w:p>
    <w:p w14:paraId="1429B194" w14:textId="2534926A" w:rsidR="00025F12" w:rsidRPr="006A1719" w:rsidRDefault="002670A6" w:rsidP="00581C91">
      <w:pPr>
        <w:pStyle w:val="Heading2"/>
        <w:ind w:left="1440" w:hanging="720"/>
        <w:rPr>
          <w:lang w:val="fr-FR"/>
        </w:rPr>
      </w:pPr>
      <w:r w:rsidRPr="006A1719">
        <w:rPr>
          <w:lang w:val="fr-FR"/>
        </w:rPr>
        <w:t>D'approuver la première tranche du projet de contrôle et d'élimination des émissions de sous-produit HFC-23 à Quimobásicos, Mexique, et le plan de mise en œuvre 2021-2022 correspondant, d'un montant de 483 058 $US, plus les coûts d'appui à l'agence de 33 814 $US pour l'ONUDI</w:t>
      </w:r>
      <w:r w:rsidR="00025F12" w:rsidRPr="006A1719">
        <w:rPr>
          <w:lang w:val="fr-FR"/>
        </w:rPr>
        <w:t>.</w:t>
      </w:r>
    </w:p>
    <w:p w14:paraId="1E8E2F11" w14:textId="5077B33E" w:rsidR="00025F12" w:rsidRPr="006A1719" w:rsidRDefault="002670A6" w:rsidP="00025F12">
      <w:pPr>
        <w:rPr>
          <w:b/>
          <w:lang w:val="fr-FR"/>
        </w:rPr>
      </w:pPr>
      <w:r w:rsidRPr="006A1719">
        <w:rPr>
          <w:b/>
          <w:lang w:val="fr-FR"/>
        </w:rPr>
        <w:t>Projet d'accord relatif au contrôle des émissions de sous-produit HFC-23</w:t>
      </w:r>
    </w:p>
    <w:p w14:paraId="4FB070C6" w14:textId="77777777" w:rsidR="00025F12" w:rsidRPr="006A1719" w:rsidRDefault="00025F12" w:rsidP="00025F12">
      <w:pPr>
        <w:rPr>
          <w:lang w:val="fr-FR"/>
        </w:rPr>
      </w:pPr>
    </w:p>
    <w:p w14:paraId="3EE32E5A" w14:textId="2467562C" w:rsidR="00025F12" w:rsidRPr="006A1719" w:rsidRDefault="002670A6" w:rsidP="00025F12">
      <w:pPr>
        <w:pStyle w:val="Heading1"/>
        <w:rPr>
          <w:lang w:val="fr-FR"/>
        </w:rPr>
      </w:pPr>
      <w:r w:rsidRPr="006A1719">
        <w:rPr>
          <w:lang w:val="fr-FR"/>
        </w:rPr>
        <w:t>Conformément à la décision 86/96 d), et en coopération avec l'ONUDI, le secrétariat a préparé le projet d'accord relatif à l'élimination des émissions de HFC-23 générées par la production de HCFC-22 à Quimobásicos, qui figure à l'annexe I du présent document</w:t>
      </w:r>
      <w:r w:rsidR="00025F12" w:rsidRPr="006A1719">
        <w:rPr>
          <w:lang w:val="fr-FR"/>
        </w:rPr>
        <w:t>.</w:t>
      </w:r>
    </w:p>
    <w:p w14:paraId="2C76050B" w14:textId="19531ED7" w:rsidR="00025F12" w:rsidRPr="006A1719" w:rsidRDefault="002670A6" w:rsidP="00025F12">
      <w:pPr>
        <w:keepNext/>
        <w:spacing w:after="240"/>
        <w:rPr>
          <w:lang w:val="fr-FR"/>
        </w:rPr>
      </w:pPr>
      <w:r w:rsidRPr="006A1719">
        <w:rPr>
          <w:u w:val="single"/>
          <w:lang w:val="fr-FR"/>
        </w:rPr>
        <w:t>Incitation en faveur de l'optimisation des processus de réduction du taux de génération de sous-produit HFC-23</w:t>
      </w:r>
    </w:p>
    <w:p w14:paraId="46AC4260" w14:textId="4249C767" w:rsidR="00025F12" w:rsidRPr="006A1719" w:rsidRDefault="002670A6" w:rsidP="00025F12">
      <w:pPr>
        <w:pStyle w:val="Heading1"/>
        <w:widowControl w:val="0"/>
        <w:rPr>
          <w:lang w:val="fr-FR"/>
        </w:rPr>
      </w:pPr>
      <w:r w:rsidRPr="006A1719">
        <w:rPr>
          <w:lang w:val="fr-FR"/>
        </w:rPr>
        <w:t>Lors de l'élaboration du projet d'accord, le secrétariat a relevé une question qu'il a soumise au Comité exécutif : celle de savoir s'il faut inclure dans le projet d'accord des dispositions destinées à encourager l'optimisation des processus visant à réduire le taux de génération de sous-produit HFC-23, comme expliqué ci-dessous</w:t>
      </w:r>
      <w:r w:rsidR="00025F12" w:rsidRPr="006A1719">
        <w:rPr>
          <w:lang w:val="fr-FR"/>
        </w:rPr>
        <w:t>.</w:t>
      </w:r>
    </w:p>
    <w:p w14:paraId="597B2C5F" w14:textId="6FA902D6" w:rsidR="00025F12" w:rsidRPr="006A1719" w:rsidRDefault="007A1EAA" w:rsidP="00025F12">
      <w:pPr>
        <w:pStyle w:val="Heading1"/>
        <w:rPr>
          <w:kern w:val="36"/>
          <w:lang w:val="fr-FR"/>
        </w:rPr>
      </w:pPr>
      <w:r w:rsidRPr="006A1719">
        <w:rPr>
          <w:kern w:val="36"/>
          <w:lang w:val="fr-FR"/>
        </w:rPr>
        <w:t>Les coûts convenus de la proposition de projet étaient basés sur la quantité de sous-produit HFC-23 générée à partir de la production totale de 6 454 t de HCFC 22 de 2022 à 2030. Les processus de production en place et le fonctionnement optimisé de l'entreprise ont permis d'obtenir un taux de génération de sous-produit HFC-23 de 1,57 % de la production totale de HCFC-22</w:t>
      </w:r>
      <w:r w:rsidR="00A50522">
        <w:rPr>
          <w:rStyle w:val="FootnoteReference"/>
          <w:kern w:val="36"/>
        </w:rPr>
        <w:footnoteReference w:id="4"/>
      </w:r>
      <w:r w:rsidRPr="006A1719">
        <w:rPr>
          <w:kern w:val="36"/>
          <w:lang w:val="fr-FR"/>
        </w:rPr>
        <w:t>. Sur cette base, les coûts opérationnels supplémentaires du projet ont été convenus en se fondant sur une destruction annuelle</w:t>
      </w:r>
      <w:r w:rsidR="00A50522">
        <w:rPr>
          <w:rStyle w:val="FootnoteReference"/>
          <w:kern w:val="36"/>
        </w:rPr>
        <w:footnoteReference w:id="5"/>
      </w:r>
      <w:r w:rsidRPr="006A1719">
        <w:rPr>
          <w:kern w:val="36"/>
          <w:lang w:val="fr-FR"/>
        </w:rPr>
        <w:t xml:space="preserve"> de 101,54 t de HFC-23, en notant que les coûts opérationnels supplémentaires seraient ajustés en fonction de </w:t>
      </w:r>
      <w:r w:rsidRPr="006A1719">
        <w:rPr>
          <w:kern w:val="36"/>
          <w:lang w:val="fr-FR"/>
        </w:rPr>
        <w:lastRenderedPageBreak/>
        <w:t>la quantité vérifiée de sous-produit HFC-23 détruit (à un coût convenu de 3,28 $US par kilogramme de HFC-23 détruit), conformément à la décision 86/96 b) iii) et iv)</w:t>
      </w:r>
      <w:r w:rsidR="00025F12" w:rsidRPr="006A1719">
        <w:rPr>
          <w:kern w:val="36"/>
          <w:lang w:val="fr-FR"/>
        </w:rPr>
        <w:t>.</w:t>
      </w:r>
    </w:p>
    <w:p w14:paraId="65622DFF" w14:textId="41DECB1F" w:rsidR="00025F12" w:rsidRPr="006A1719" w:rsidRDefault="007A1EAA" w:rsidP="00025F12">
      <w:pPr>
        <w:pStyle w:val="Heading1"/>
        <w:rPr>
          <w:lang w:val="fr-FR"/>
        </w:rPr>
      </w:pPr>
      <w:r w:rsidRPr="006A1719">
        <w:rPr>
          <w:lang w:val="fr-FR"/>
        </w:rPr>
        <w:t>Dans le cadre de ses discussions sur les principaux aspects liés aux technologies de contrôle du sous-produit HFC-23, les membres du Comité exécutif ont exprimé le souhait d'éviter de créer des incitations néfastes</w:t>
      </w:r>
      <w:r w:rsidR="00A50522" w:rsidRPr="00DB5847">
        <w:rPr>
          <w:rStyle w:val="FootnoteReference"/>
          <w:lang w:val="en-CA"/>
        </w:rPr>
        <w:footnoteReference w:id="6"/>
      </w:r>
      <w:r w:rsidRPr="006A1719">
        <w:rPr>
          <w:lang w:val="fr-FR"/>
        </w:rPr>
        <w:t xml:space="preserve">. À cet égard, le secrétariat a noté que les sous-paragraphes b) iii) et iv) de la décision 86/96 pourraient avoir des conséquences involontaires dans les scénarios possibles suivants </w:t>
      </w:r>
      <w:r w:rsidR="00025F12" w:rsidRPr="006A1719">
        <w:rPr>
          <w:lang w:val="fr-FR"/>
        </w:rPr>
        <w:t>:</w:t>
      </w:r>
    </w:p>
    <w:p w14:paraId="028B88A6" w14:textId="7CA2DFC6" w:rsidR="00025F12" w:rsidRPr="006A1719" w:rsidRDefault="007A1EAA" w:rsidP="00581C91">
      <w:pPr>
        <w:pStyle w:val="Heading2"/>
        <w:ind w:left="1440" w:hanging="720"/>
        <w:rPr>
          <w:lang w:val="fr-FR"/>
        </w:rPr>
      </w:pPr>
      <w:r w:rsidRPr="006A1719">
        <w:rPr>
          <w:lang w:val="fr-FR"/>
        </w:rPr>
        <w:t xml:space="preserve">Dans le cas où Quimobásicos produirait moins de 6,454 t de HCFC-22 au cours d'une année donnée mais augmenterait par inadvertance sa production de sous-produit HFC-23, aucune réduction du financement ne serait évaluée </w:t>
      </w:r>
      <w:r w:rsidR="00025F12" w:rsidRPr="006A1719">
        <w:rPr>
          <w:lang w:val="fr-FR"/>
        </w:rPr>
        <w:t xml:space="preserve">; </w:t>
      </w:r>
    </w:p>
    <w:p w14:paraId="3E060931" w14:textId="0333B019" w:rsidR="00025F12" w:rsidRPr="006A1719" w:rsidRDefault="007A1EAA" w:rsidP="00581C91">
      <w:pPr>
        <w:pStyle w:val="Heading2"/>
        <w:ind w:left="1440" w:hanging="720"/>
        <w:rPr>
          <w:lang w:val="fr-FR"/>
        </w:rPr>
      </w:pPr>
      <w:r w:rsidRPr="006A1719">
        <w:rPr>
          <w:lang w:val="fr-FR"/>
        </w:rPr>
        <w:t>Dans le cas où Quimobásicos produirait plus de 6,454 t de HCFC-22 au cours d'une année donnée et prendrait des mesures pour optimiser son processus de production afin de réduire sa production de HFC-23, une réduction du financement serait envisagée ; et</w:t>
      </w:r>
      <w:r w:rsidR="00025F12" w:rsidRPr="006A1719">
        <w:rPr>
          <w:lang w:val="fr-FR"/>
        </w:rPr>
        <w:t xml:space="preserve"> </w:t>
      </w:r>
    </w:p>
    <w:p w14:paraId="089B822F" w14:textId="18C7872F" w:rsidR="00025F12" w:rsidRPr="006A1719" w:rsidRDefault="007A1EAA" w:rsidP="00581C91">
      <w:pPr>
        <w:pStyle w:val="Heading2"/>
        <w:ind w:left="1440" w:hanging="720"/>
        <w:rPr>
          <w:lang w:val="fr-FR"/>
        </w:rPr>
      </w:pPr>
      <w:r w:rsidRPr="006A1719">
        <w:rPr>
          <w:lang w:val="fr-FR"/>
        </w:rPr>
        <w:t>Dans le cas où Quimobásicos produirait moins de 6,454 t de HCFC-22 au cours d'une année donnée et optimiserait son processus de production pour réduire sa génération de sous-produit HFC-23, une réduction supplémentaire du financement serait calculée au-delà de la réduction attribuable à la baisse de la production de HCFC-22</w:t>
      </w:r>
      <w:r w:rsidR="00025F12" w:rsidRPr="006A1719">
        <w:rPr>
          <w:lang w:val="fr-FR"/>
        </w:rPr>
        <w:t>.</w:t>
      </w:r>
    </w:p>
    <w:p w14:paraId="50DE0656" w14:textId="64CE7D44" w:rsidR="00025F12" w:rsidRPr="006A1719" w:rsidRDefault="007A1EAA" w:rsidP="00025F12">
      <w:pPr>
        <w:pStyle w:val="Heading1"/>
        <w:rPr>
          <w:lang w:val="fr-FR"/>
        </w:rPr>
      </w:pPr>
      <w:r w:rsidRPr="006A1719">
        <w:rPr>
          <w:lang w:val="fr-FR"/>
        </w:rPr>
        <w:t xml:space="preserve">Pour inciter à optimiser les processus dans les trois scénarios ci-dessus, le secrétariat a proposé de réduire le financement approuvé pour une année donnée par rapport à celui spécifié dans l'annexe 1-A du projet d'accord pour cette année, conformément au tableau 1 </w:t>
      </w:r>
      <w:r w:rsidR="00025F12" w:rsidRPr="006A1719">
        <w:rPr>
          <w:lang w:val="fr-FR"/>
        </w:rPr>
        <w:t>:</w:t>
      </w:r>
    </w:p>
    <w:p w14:paraId="70A5F319" w14:textId="635C1A24" w:rsidR="00025F12" w:rsidRPr="006A1719" w:rsidRDefault="00025F12" w:rsidP="00025F12">
      <w:pPr>
        <w:keepNext/>
        <w:keepLines/>
        <w:rPr>
          <w:b/>
          <w:lang w:val="fr-FR"/>
        </w:rPr>
      </w:pPr>
      <w:r w:rsidRPr="006A1719">
        <w:rPr>
          <w:b/>
          <w:lang w:val="fr-FR"/>
        </w:rPr>
        <w:t>Table</w:t>
      </w:r>
      <w:r w:rsidR="007A1EAA" w:rsidRPr="006A1719">
        <w:rPr>
          <w:b/>
          <w:lang w:val="fr-FR"/>
        </w:rPr>
        <w:t>au</w:t>
      </w:r>
      <w:r w:rsidRPr="006A1719">
        <w:rPr>
          <w:b/>
          <w:lang w:val="fr-FR"/>
        </w:rPr>
        <w:t xml:space="preserve"> 1. </w:t>
      </w:r>
      <w:r w:rsidR="003276C2" w:rsidRPr="006A1719">
        <w:rPr>
          <w:b/>
          <w:lang w:val="fr-FR"/>
        </w:rPr>
        <w:t>Réduction du financement annuel ($US) en fonction de la production de HCFC-22 et du taux de génération de sous-produit HFC-23 au cours de l'année en question</w:t>
      </w:r>
    </w:p>
    <w:tbl>
      <w:tblPr>
        <w:tblW w:w="9374" w:type="dxa"/>
        <w:tblLook w:val="04A0" w:firstRow="1" w:lastRow="0" w:firstColumn="1" w:lastColumn="0" w:noHBand="0" w:noVBand="1"/>
      </w:tblPr>
      <w:tblGrid>
        <w:gridCol w:w="1563"/>
        <w:gridCol w:w="3819"/>
        <w:gridCol w:w="3992"/>
      </w:tblGrid>
      <w:tr w:rsidR="00025F12" w:rsidRPr="006A1719" w14:paraId="71FF1C36" w14:textId="77777777" w:rsidTr="00C03032">
        <w:tc>
          <w:tcPr>
            <w:tcW w:w="1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6BE877" w14:textId="77777777" w:rsidR="00025F12" w:rsidRPr="006A1719" w:rsidRDefault="00025F12" w:rsidP="00C03032">
            <w:pPr>
              <w:keepNext/>
              <w:keepLines/>
              <w:spacing w:before="20" w:after="20"/>
              <w:jc w:val="left"/>
              <w:rPr>
                <w:b/>
                <w:color w:val="000000"/>
                <w:sz w:val="18"/>
                <w:szCs w:val="18"/>
                <w:lang w:val="fr-FR" w:eastAsia="en-CA"/>
              </w:rPr>
            </w:pPr>
            <w:r w:rsidRPr="006A1719">
              <w:rPr>
                <w:b/>
                <w:color w:val="000000"/>
                <w:sz w:val="18"/>
                <w:szCs w:val="18"/>
                <w:lang w:val="fr-FR" w:eastAsia="en-CA"/>
              </w:rPr>
              <w:t> </w:t>
            </w:r>
          </w:p>
        </w:tc>
        <w:tc>
          <w:tcPr>
            <w:tcW w:w="3819" w:type="dxa"/>
            <w:tcBorders>
              <w:top w:val="single" w:sz="4" w:space="0" w:color="auto"/>
              <w:left w:val="nil"/>
              <w:bottom w:val="single" w:sz="4" w:space="0" w:color="auto"/>
              <w:right w:val="single" w:sz="4" w:space="0" w:color="auto"/>
            </w:tcBorders>
            <w:shd w:val="clear" w:color="auto" w:fill="auto"/>
            <w:noWrap/>
            <w:vAlign w:val="center"/>
            <w:hideMark/>
          </w:tcPr>
          <w:p w14:paraId="2BC1E3BD" w14:textId="1080E249" w:rsidR="00025F12" w:rsidRPr="006A1719" w:rsidRDefault="00025F12" w:rsidP="00C03032">
            <w:pPr>
              <w:keepNext/>
              <w:keepLines/>
              <w:spacing w:before="20" w:after="20"/>
              <w:jc w:val="center"/>
              <w:rPr>
                <w:b/>
                <w:color w:val="000000"/>
                <w:sz w:val="18"/>
                <w:szCs w:val="18"/>
                <w:lang w:val="fr-FR" w:eastAsia="en-CA"/>
              </w:rPr>
            </w:pPr>
            <w:r w:rsidRPr="006A1719">
              <w:rPr>
                <w:b/>
                <w:i/>
                <w:sz w:val="18"/>
                <w:szCs w:val="18"/>
                <w:lang w:val="fr-FR"/>
              </w:rPr>
              <w:t>x</w:t>
            </w:r>
            <w:r w:rsidRPr="006A1719">
              <w:rPr>
                <w:b/>
                <w:i/>
                <w:sz w:val="18"/>
                <w:szCs w:val="18"/>
                <w:vertAlign w:val="subscript"/>
                <w:lang w:val="fr-FR"/>
              </w:rPr>
              <w:t>w,i</w:t>
            </w:r>
            <w:r w:rsidRPr="006A1719">
              <w:rPr>
                <w:b/>
                <w:sz w:val="18"/>
                <w:szCs w:val="18"/>
                <w:lang w:val="fr-FR"/>
              </w:rPr>
              <w:t xml:space="preserve"> ≥ 1</w:t>
            </w:r>
            <w:r w:rsidR="003276C2" w:rsidRPr="006A1719">
              <w:rPr>
                <w:b/>
                <w:sz w:val="18"/>
                <w:szCs w:val="18"/>
                <w:lang w:val="fr-FR"/>
              </w:rPr>
              <w:t>,</w:t>
            </w:r>
            <w:r w:rsidRPr="006A1719">
              <w:rPr>
                <w:b/>
                <w:sz w:val="18"/>
                <w:szCs w:val="18"/>
                <w:lang w:val="fr-FR"/>
              </w:rPr>
              <w:t>57%</w:t>
            </w:r>
          </w:p>
        </w:tc>
        <w:tc>
          <w:tcPr>
            <w:tcW w:w="3992" w:type="dxa"/>
            <w:tcBorders>
              <w:top w:val="single" w:sz="4" w:space="0" w:color="auto"/>
              <w:left w:val="nil"/>
              <w:bottom w:val="single" w:sz="4" w:space="0" w:color="auto"/>
              <w:right w:val="single" w:sz="4" w:space="0" w:color="auto"/>
            </w:tcBorders>
            <w:shd w:val="clear" w:color="auto" w:fill="auto"/>
            <w:noWrap/>
            <w:vAlign w:val="center"/>
            <w:hideMark/>
          </w:tcPr>
          <w:p w14:paraId="484AA094" w14:textId="2F7F6BE1" w:rsidR="00025F12" w:rsidRPr="006A1719" w:rsidRDefault="00025F12" w:rsidP="00C03032">
            <w:pPr>
              <w:keepNext/>
              <w:keepLines/>
              <w:spacing w:before="20" w:after="20"/>
              <w:jc w:val="center"/>
              <w:rPr>
                <w:b/>
                <w:color w:val="000000"/>
                <w:sz w:val="18"/>
                <w:szCs w:val="18"/>
                <w:lang w:val="fr-FR" w:eastAsia="en-CA"/>
              </w:rPr>
            </w:pPr>
            <w:r w:rsidRPr="006A1719">
              <w:rPr>
                <w:b/>
                <w:i/>
                <w:sz w:val="18"/>
                <w:szCs w:val="18"/>
                <w:lang w:val="fr-FR"/>
              </w:rPr>
              <w:t>x</w:t>
            </w:r>
            <w:r w:rsidRPr="006A1719">
              <w:rPr>
                <w:b/>
                <w:i/>
                <w:sz w:val="18"/>
                <w:szCs w:val="18"/>
                <w:vertAlign w:val="subscript"/>
                <w:lang w:val="fr-FR"/>
              </w:rPr>
              <w:t>w,i</w:t>
            </w:r>
            <w:r w:rsidRPr="006A1719">
              <w:rPr>
                <w:b/>
                <w:sz w:val="18"/>
                <w:szCs w:val="18"/>
                <w:lang w:val="fr-FR"/>
              </w:rPr>
              <w:t xml:space="preserve"> &lt; 1</w:t>
            </w:r>
            <w:r w:rsidR="003276C2" w:rsidRPr="006A1719">
              <w:rPr>
                <w:b/>
                <w:sz w:val="18"/>
                <w:szCs w:val="18"/>
                <w:lang w:val="fr-FR"/>
              </w:rPr>
              <w:t>,</w:t>
            </w:r>
            <w:r w:rsidRPr="006A1719">
              <w:rPr>
                <w:b/>
                <w:sz w:val="18"/>
                <w:szCs w:val="18"/>
                <w:lang w:val="fr-FR"/>
              </w:rPr>
              <w:t>57%</w:t>
            </w:r>
          </w:p>
        </w:tc>
      </w:tr>
      <w:tr w:rsidR="00025F12" w:rsidRPr="006A1719" w14:paraId="107FF4F0" w14:textId="77777777" w:rsidTr="00C03032">
        <w:tc>
          <w:tcPr>
            <w:tcW w:w="1563" w:type="dxa"/>
            <w:tcBorders>
              <w:top w:val="nil"/>
              <w:left w:val="single" w:sz="4" w:space="0" w:color="auto"/>
              <w:bottom w:val="single" w:sz="4" w:space="0" w:color="auto"/>
              <w:right w:val="single" w:sz="4" w:space="0" w:color="auto"/>
            </w:tcBorders>
            <w:shd w:val="clear" w:color="auto" w:fill="auto"/>
            <w:noWrap/>
            <w:vAlign w:val="center"/>
            <w:hideMark/>
          </w:tcPr>
          <w:p w14:paraId="62EA4AA3" w14:textId="1528F7FA" w:rsidR="00025F12" w:rsidRPr="006A1719" w:rsidRDefault="00025F12" w:rsidP="00C03032">
            <w:pPr>
              <w:keepNext/>
              <w:keepLines/>
              <w:spacing w:before="60" w:after="60"/>
              <w:jc w:val="left"/>
              <w:rPr>
                <w:b/>
                <w:color w:val="000000"/>
                <w:sz w:val="18"/>
                <w:szCs w:val="18"/>
                <w:lang w:val="fr-FR" w:eastAsia="en-CA"/>
              </w:rPr>
            </w:pPr>
            <w:r w:rsidRPr="006A1719">
              <w:rPr>
                <w:b/>
                <w:i/>
                <w:sz w:val="18"/>
                <w:szCs w:val="18"/>
                <w:lang w:val="fr-FR"/>
              </w:rPr>
              <w:t>P</w:t>
            </w:r>
            <w:r w:rsidRPr="006A1719">
              <w:rPr>
                <w:b/>
                <w:i/>
                <w:sz w:val="18"/>
                <w:szCs w:val="18"/>
                <w:vertAlign w:val="subscript"/>
                <w:lang w:val="fr-FR"/>
              </w:rPr>
              <w:t>HCFC-22,i</w:t>
            </w:r>
            <w:r w:rsidRPr="006A1719">
              <w:rPr>
                <w:b/>
                <w:sz w:val="18"/>
                <w:szCs w:val="18"/>
                <w:lang w:val="fr-FR"/>
              </w:rPr>
              <w:t xml:space="preserve"> ≤ 6,454</w:t>
            </w:r>
          </w:p>
        </w:tc>
        <w:tc>
          <w:tcPr>
            <w:tcW w:w="3819" w:type="dxa"/>
            <w:tcBorders>
              <w:top w:val="nil"/>
              <w:left w:val="nil"/>
              <w:bottom w:val="single" w:sz="4" w:space="0" w:color="auto"/>
              <w:right w:val="single" w:sz="4" w:space="0" w:color="auto"/>
            </w:tcBorders>
            <w:shd w:val="clear" w:color="auto" w:fill="auto"/>
            <w:noWrap/>
            <w:vAlign w:val="center"/>
            <w:hideMark/>
          </w:tcPr>
          <w:p w14:paraId="513E3557" w14:textId="754913A4" w:rsidR="00025F12" w:rsidRPr="006A1719" w:rsidRDefault="00E71580" w:rsidP="00C03032">
            <w:pPr>
              <w:keepNext/>
              <w:keepLines/>
              <w:spacing w:before="60" w:after="60"/>
              <w:jc w:val="left"/>
              <w:rPr>
                <w:color w:val="000000"/>
                <w:sz w:val="18"/>
                <w:szCs w:val="18"/>
                <w:lang w:val="fr-FR" w:eastAsia="en-CA"/>
              </w:rPr>
            </w:pPr>
            <m:oMathPara>
              <m:oMathParaPr>
                <m:jc m:val="left"/>
              </m:oMathParaPr>
              <m:oMath>
                <m:sSub>
                  <m:sSubPr>
                    <m:ctrlPr>
                      <w:rPr>
                        <w:rFonts w:ascii="Cambria Math" w:hAnsi="Cambria Math"/>
                        <w:i/>
                        <w:sz w:val="18"/>
                        <w:szCs w:val="18"/>
                        <w:lang w:val="fr-FR"/>
                      </w:rPr>
                    </m:ctrlPr>
                  </m:sSubPr>
                  <m:e>
                    <m:r>
                      <w:rPr>
                        <w:rFonts w:ascii="Cambria Math" w:hAnsi="Cambria Math"/>
                        <w:sz w:val="18"/>
                        <w:szCs w:val="18"/>
                        <w:lang w:val="fr-FR"/>
                      </w:rPr>
                      <m:t>IOC</m:t>
                    </m:r>
                  </m:e>
                  <m:sub>
                    <m:r>
                      <w:rPr>
                        <w:rFonts w:ascii="Cambria Math" w:hAnsi="Cambria Math"/>
                        <w:sz w:val="18"/>
                        <w:szCs w:val="18"/>
                        <w:lang w:val="fr-FR"/>
                      </w:rPr>
                      <m:t>max,i</m:t>
                    </m:r>
                  </m:sub>
                </m:sSub>
                <m:r>
                  <w:rPr>
                    <w:rFonts w:ascii="Cambria Math" w:hAnsi="Cambria Math"/>
                    <w:sz w:val="18"/>
                    <w:szCs w:val="18"/>
                    <w:lang w:val="fr-FR"/>
                  </w:rPr>
                  <m:t>-</m:t>
                </m:r>
                <m:func>
                  <m:funcPr>
                    <m:ctrlPr>
                      <w:rPr>
                        <w:rFonts w:ascii="Cambria Math" w:hAnsi="Cambria Math"/>
                        <w:i/>
                        <w:sz w:val="18"/>
                        <w:szCs w:val="18"/>
                        <w:lang w:val="fr-FR"/>
                      </w:rPr>
                    </m:ctrlPr>
                  </m:funcPr>
                  <m:fName>
                    <m:r>
                      <m:rPr>
                        <m:sty m:val="p"/>
                      </m:rPr>
                      <w:rPr>
                        <w:rFonts w:ascii="Cambria Math" w:hAnsi="Cambria Math"/>
                        <w:sz w:val="18"/>
                        <w:szCs w:val="18"/>
                        <w:lang w:val="fr-FR"/>
                      </w:rPr>
                      <m:t>min</m:t>
                    </m:r>
                  </m:fName>
                  <m:e>
                    <m:d>
                      <m:dPr>
                        <m:ctrlPr>
                          <w:rPr>
                            <w:rFonts w:ascii="Cambria Math" w:hAnsi="Cambria Math"/>
                            <w:i/>
                            <w:sz w:val="18"/>
                            <w:szCs w:val="18"/>
                            <w:lang w:val="fr-FR"/>
                          </w:rPr>
                        </m:ctrlPr>
                      </m:dPr>
                      <m:e>
                        <m:r>
                          <w:rPr>
                            <w:rFonts w:ascii="Cambria Math" w:hAnsi="Cambria Math"/>
                            <w:sz w:val="18"/>
                            <w:szCs w:val="18"/>
                            <w:lang w:val="fr-FR"/>
                          </w:rPr>
                          <m:t>1000×</m:t>
                        </m:r>
                        <m:sSub>
                          <m:sSubPr>
                            <m:ctrlPr>
                              <w:rPr>
                                <w:rFonts w:ascii="Cambria Math" w:hAnsi="Cambria Math"/>
                                <w:i/>
                                <w:sz w:val="18"/>
                                <w:szCs w:val="18"/>
                                <w:lang w:val="fr-FR"/>
                              </w:rPr>
                            </m:ctrlPr>
                          </m:sSubPr>
                          <m:e>
                            <m:r>
                              <w:rPr>
                                <w:rFonts w:ascii="Cambria Math" w:hAnsi="Cambria Math"/>
                                <w:sz w:val="18"/>
                                <w:szCs w:val="18"/>
                                <w:lang w:val="fr-FR"/>
                              </w:rPr>
                              <m:t>P</m:t>
                            </m:r>
                          </m:e>
                          <m:sub>
                            <m:r>
                              <w:rPr>
                                <w:rFonts w:ascii="Cambria Math" w:hAnsi="Cambria Math"/>
                                <w:sz w:val="18"/>
                                <w:szCs w:val="18"/>
                                <w:lang w:val="fr-FR"/>
                              </w:rPr>
                              <m:t>HCFC-22,i</m:t>
                            </m:r>
                          </m:sub>
                        </m:sSub>
                        <m:r>
                          <w:rPr>
                            <w:rFonts w:ascii="Cambria Math" w:hAnsi="Cambria Math"/>
                            <w:sz w:val="18"/>
                            <w:szCs w:val="18"/>
                            <w:lang w:val="fr-FR"/>
                          </w:rPr>
                          <m:t>×0,0157,</m:t>
                        </m:r>
                        <m:sSub>
                          <m:sSubPr>
                            <m:ctrlPr>
                              <w:rPr>
                                <w:rFonts w:ascii="Cambria Math" w:hAnsi="Cambria Math"/>
                                <w:i/>
                                <w:sz w:val="18"/>
                                <w:szCs w:val="18"/>
                                <w:lang w:val="fr-FR"/>
                              </w:rPr>
                            </m:ctrlPr>
                          </m:sSubPr>
                          <m:e>
                            <m:r>
                              <w:rPr>
                                <w:rFonts w:ascii="Cambria Math" w:hAnsi="Cambria Math"/>
                                <w:sz w:val="18"/>
                                <w:szCs w:val="18"/>
                                <w:lang w:val="fr-FR"/>
                              </w:rPr>
                              <m:t>D</m:t>
                            </m:r>
                          </m:e>
                          <m:sub>
                            <m:r>
                              <w:rPr>
                                <w:rFonts w:ascii="Cambria Math" w:hAnsi="Cambria Math"/>
                                <w:sz w:val="18"/>
                                <w:szCs w:val="18"/>
                                <w:lang w:val="fr-FR"/>
                              </w:rPr>
                              <m:t>HFC-23,i</m:t>
                            </m:r>
                          </m:sub>
                        </m:sSub>
                      </m:e>
                    </m:d>
                  </m:e>
                </m:func>
                <m:r>
                  <w:rPr>
                    <w:rFonts w:ascii="Cambria Math" w:hAnsi="Cambria Math"/>
                    <w:sz w:val="18"/>
                    <w:szCs w:val="18"/>
                    <w:lang w:val="fr-FR"/>
                  </w:rPr>
                  <m:t>×3,28</m:t>
                </m:r>
              </m:oMath>
            </m:oMathPara>
          </w:p>
        </w:tc>
        <w:tc>
          <w:tcPr>
            <w:tcW w:w="3992" w:type="dxa"/>
            <w:tcBorders>
              <w:top w:val="nil"/>
              <w:left w:val="nil"/>
              <w:bottom w:val="single" w:sz="4" w:space="0" w:color="auto"/>
              <w:right w:val="single" w:sz="4" w:space="0" w:color="auto"/>
            </w:tcBorders>
            <w:shd w:val="clear" w:color="auto" w:fill="auto"/>
            <w:noWrap/>
            <w:vAlign w:val="center"/>
            <w:hideMark/>
          </w:tcPr>
          <w:p w14:paraId="5A913A8C" w14:textId="71B00E27" w:rsidR="00025F12" w:rsidRPr="006A1719" w:rsidRDefault="00E71580" w:rsidP="00C03032">
            <w:pPr>
              <w:keepNext/>
              <w:keepLines/>
              <w:spacing w:before="60" w:after="60"/>
              <w:jc w:val="left"/>
              <w:rPr>
                <w:color w:val="000000"/>
                <w:sz w:val="18"/>
                <w:szCs w:val="18"/>
                <w:lang w:val="fr-FR" w:eastAsia="en-CA"/>
              </w:rPr>
            </w:pPr>
            <m:oMathPara>
              <m:oMath>
                <m:sSub>
                  <m:sSubPr>
                    <m:ctrlPr>
                      <w:rPr>
                        <w:rFonts w:ascii="Cambria Math" w:hAnsi="Cambria Math"/>
                        <w:i/>
                        <w:sz w:val="18"/>
                        <w:szCs w:val="18"/>
                        <w:lang w:val="fr-FR"/>
                      </w:rPr>
                    </m:ctrlPr>
                  </m:sSubPr>
                  <m:e>
                    <m:r>
                      <w:rPr>
                        <w:rFonts w:ascii="Cambria Math" w:hAnsi="Cambria Math"/>
                        <w:sz w:val="18"/>
                        <w:szCs w:val="18"/>
                        <w:lang w:val="fr-FR"/>
                      </w:rPr>
                      <m:t>IOC</m:t>
                    </m:r>
                  </m:e>
                  <m:sub>
                    <m:r>
                      <w:rPr>
                        <w:rFonts w:ascii="Cambria Math" w:hAnsi="Cambria Math"/>
                        <w:sz w:val="18"/>
                        <w:szCs w:val="18"/>
                        <w:lang w:val="fr-FR"/>
                      </w:rPr>
                      <m:t>max,i</m:t>
                    </m:r>
                  </m:sub>
                </m:sSub>
                <m:r>
                  <w:rPr>
                    <w:rFonts w:ascii="Cambria Math" w:hAnsi="Cambria Math"/>
                    <w:sz w:val="18"/>
                    <w:szCs w:val="18"/>
                    <w:lang w:val="fr-FR"/>
                  </w:rPr>
                  <m:t>-</m:t>
                </m:r>
                <m:func>
                  <m:funcPr>
                    <m:ctrlPr>
                      <w:rPr>
                        <w:rFonts w:ascii="Cambria Math" w:hAnsi="Cambria Math"/>
                        <w:i/>
                        <w:sz w:val="18"/>
                        <w:szCs w:val="18"/>
                        <w:lang w:val="fr-FR"/>
                      </w:rPr>
                    </m:ctrlPr>
                  </m:funcPr>
                  <m:fName>
                    <m:r>
                      <m:rPr>
                        <m:sty m:val="p"/>
                      </m:rPr>
                      <w:rPr>
                        <w:rFonts w:ascii="Cambria Math" w:hAnsi="Cambria Math"/>
                        <w:sz w:val="18"/>
                        <w:szCs w:val="18"/>
                        <w:lang w:val="fr-FR"/>
                      </w:rPr>
                      <m:t>max</m:t>
                    </m:r>
                  </m:fName>
                  <m:e>
                    <m:d>
                      <m:dPr>
                        <m:ctrlPr>
                          <w:rPr>
                            <w:rFonts w:ascii="Cambria Math" w:hAnsi="Cambria Math"/>
                            <w:i/>
                            <w:sz w:val="18"/>
                            <w:szCs w:val="18"/>
                            <w:lang w:val="fr-FR"/>
                          </w:rPr>
                        </m:ctrlPr>
                      </m:dPr>
                      <m:e>
                        <m:r>
                          <w:rPr>
                            <w:rFonts w:ascii="Cambria Math" w:hAnsi="Cambria Math"/>
                            <w:sz w:val="18"/>
                            <w:szCs w:val="18"/>
                            <w:lang w:val="fr-FR"/>
                          </w:rPr>
                          <m:t>1000×</m:t>
                        </m:r>
                        <m:sSub>
                          <m:sSubPr>
                            <m:ctrlPr>
                              <w:rPr>
                                <w:rFonts w:ascii="Cambria Math" w:hAnsi="Cambria Math"/>
                                <w:i/>
                                <w:sz w:val="18"/>
                                <w:szCs w:val="18"/>
                                <w:lang w:val="fr-FR"/>
                              </w:rPr>
                            </m:ctrlPr>
                          </m:sSubPr>
                          <m:e>
                            <m:r>
                              <w:rPr>
                                <w:rFonts w:ascii="Cambria Math" w:hAnsi="Cambria Math"/>
                                <w:sz w:val="18"/>
                                <w:szCs w:val="18"/>
                                <w:lang w:val="fr-FR"/>
                              </w:rPr>
                              <m:t>P</m:t>
                            </m:r>
                          </m:e>
                          <m:sub>
                            <m:r>
                              <w:rPr>
                                <w:rFonts w:ascii="Cambria Math" w:hAnsi="Cambria Math"/>
                                <w:sz w:val="18"/>
                                <w:szCs w:val="18"/>
                                <w:lang w:val="fr-FR"/>
                              </w:rPr>
                              <m:t>HCFC-22,i</m:t>
                            </m:r>
                          </m:sub>
                        </m:sSub>
                        <m:r>
                          <w:rPr>
                            <w:rFonts w:ascii="Cambria Math" w:hAnsi="Cambria Math"/>
                            <w:sz w:val="18"/>
                            <w:szCs w:val="18"/>
                            <w:lang w:val="fr-FR"/>
                          </w:rPr>
                          <m:t>×0,0157,</m:t>
                        </m:r>
                        <m:sSub>
                          <m:sSubPr>
                            <m:ctrlPr>
                              <w:rPr>
                                <w:rFonts w:ascii="Cambria Math" w:hAnsi="Cambria Math"/>
                                <w:i/>
                                <w:sz w:val="18"/>
                                <w:szCs w:val="18"/>
                                <w:lang w:val="fr-FR"/>
                              </w:rPr>
                            </m:ctrlPr>
                          </m:sSubPr>
                          <m:e>
                            <m:r>
                              <w:rPr>
                                <w:rFonts w:ascii="Cambria Math" w:hAnsi="Cambria Math"/>
                                <w:sz w:val="18"/>
                                <w:szCs w:val="18"/>
                                <w:lang w:val="fr-FR"/>
                              </w:rPr>
                              <m:t>D</m:t>
                            </m:r>
                          </m:e>
                          <m:sub>
                            <m:r>
                              <w:rPr>
                                <w:rFonts w:ascii="Cambria Math" w:hAnsi="Cambria Math"/>
                                <w:sz w:val="18"/>
                                <w:szCs w:val="18"/>
                                <w:lang w:val="fr-FR"/>
                              </w:rPr>
                              <m:t>HFC-23,i</m:t>
                            </m:r>
                          </m:sub>
                        </m:sSub>
                      </m:e>
                    </m:d>
                  </m:e>
                </m:func>
                <m:r>
                  <w:rPr>
                    <w:rFonts w:ascii="Cambria Math" w:hAnsi="Cambria Math"/>
                    <w:sz w:val="18"/>
                    <w:szCs w:val="18"/>
                    <w:lang w:val="fr-FR"/>
                  </w:rPr>
                  <m:t>×3,28</m:t>
                </m:r>
              </m:oMath>
            </m:oMathPara>
          </w:p>
        </w:tc>
      </w:tr>
      <w:tr w:rsidR="00025F12" w:rsidRPr="006A1719" w14:paraId="71D183F1" w14:textId="77777777" w:rsidTr="00C03032">
        <w:tc>
          <w:tcPr>
            <w:tcW w:w="1563" w:type="dxa"/>
            <w:tcBorders>
              <w:top w:val="nil"/>
              <w:left w:val="single" w:sz="4" w:space="0" w:color="auto"/>
              <w:bottom w:val="single" w:sz="4" w:space="0" w:color="auto"/>
              <w:right w:val="single" w:sz="4" w:space="0" w:color="auto"/>
            </w:tcBorders>
            <w:shd w:val="clear" w:color="auto" w:fill="auto"/>
            <w:noWrap/>
            <w:vAlign w:val="center"/>
            <w:hideMark/>
          </w:tcPr>
          <w:p w14:paraId="17E45A21" w14:textId="77777777" w:rsidR="00025F12" w:rsidRPr="006A1719" w:rsidRDefault="00025F12" w:rsidP="00C03032">
            <w:pPr>
              <w:keepNext/>
              <w:keepLines/>
              <w:spacing w:before="60" w:after="60"/>
              <w:jc w:val="left"/>
              <w:rPr>
                <w:b/>
                <w:color w:val="000000"/>
                <w:sz w:val="18"/>
                <w:szCs w:val="18"/>
                <w:lang w:val="fr-FR" w:eastAsia="en-CA"/>
              </w:rPr>
            </w:pPr>
            <w:r w:rsidRPr="006A1719">
              <w:rPr>
                <w:b/>
                <w:i/>
                <w:sz w:val="18"/>
                <w:szCs w:val="18"/>
                <w:lang w:val="fr-FR"/>
              </w:rPr>
              <w:t>P</w:t>
            </w:r>
            <w:r w:rsidRPr="006A1719">
              <w:rPr>
                <w:b/>
                <w:i/>
                <w:sz w:val="18"/>
                <w:szCs w:val="18"/>
                <w:vertAlign w:val="subscript"/>
                <w:lang w:val="fr-FR"/>
              </w:rPr>
              <w:t>HCFC-22,i</w:t>
            </w:r>
            <w:r w:rsidRPr="006A1719">
              <w:rPr>
                <w:b/>
                <w:sz w:val="18"/>
                <w:szCs w:val="18"/>
                <w:lang w:val="fr-FR"/>
              </w:rPr>
              <w:t xml:space="preserve"> &gt; 6,454</w:t>
            </w:r>
          </w:p>
        </w:tc>
        <w:tc>
          <w:tcPr>
            <w:tcW w:w="3819" w:type="dxa"/>
            <w:tcBorders>
              <w:top w:val="nil"/>
              <w:left w:val="nil"/>
              <w:bottom w:val="single" w:sz="4" w:space="0" w:color="auto"/>
              <w:right w:val="single" w:sz="4" w:space="0" w:color="auto"/>
            </w:tcBorders>
            <w:shd w:val="clear" w:color="auto" w:fill="auto"/>
            <w:noWrap/>
            <w:vAlign w:val="center"/>
            <w:hideMark/>
          </w:tcPr>
          <w:p w14:paraId="2E626DA5" w14:textId="3EDCEC06" w:rsidR="00025F12" w:rsidRPr="006A1719" w:rsidRDefault="00E71580" w:rsidP="00C03032">
            <w:pPr>
              <w:keepNext/>
              <w:keepLines/>
              <w:spacing w:before="60" w:after="60"/>
              <w:jc w:val="left"/>
              <w:rPr>
                <w:color w:val="000000"/>
                <w:sz w:val="18"/>
                <w:szCs w:val="18"/>
                <w:lang w:val="fr-FR" w:eastAsia="en-CA"/>
              </w:rPr>
            </w:pPr>
            <m:oMathPara>
              <m:oMathParaPr>
                <m:jc m:val="left"/>
              </m:oMathParaPr>
              <m:oMath>
                <m:sSub>
                  <m:sSubPr>
                    <m:ctrlPr>
                      <w:rPr>
                        <w:rFonts w:ascii="Cambria Math" w:hAnsi="Cambria Math"/>
                        <w:i/>
                        <w:sz w:val="18"/>
                        <w:szCs w:val="18"/>
                        <w:lang w:val="fr-FR"/>
                      </w:rPr>
                    </m:ctrlPr>
                  </m:sSubPr>
                  <m:e>
                    <m:r>
                      <w:rPr>
                        <w:rFonts w:ascii="Cambria Math" w:hAnsi="Cambria Math"/>
                        <w:sz w:val="18"/>
                        <w:szCs w:val="18"/>
                        <w:lang w:val="fr-FR"/>
                      </w:rPr>
                      <m:t>IOC</m:t>
                    </m:r>
                  </m:e>
                  <m:sub>
                    <m:r>
                      <w:rPr>
                        <w:rFonts w:ascii="Cambria Math" w:hAnsi="Cambria Math"/>
                        <w:sz w:val="18"/>
                        <w:szCs w:val="18"/>
                        <w:lang w:val="fr-FR"/>
                      </w:rPr>
                      <m:t>max,i</m:t>
                    </m:r>
                  </m:sub>
                </m:sSub>
                <m:r>
                  <w:rPr>
                    <w:rFonts w:ascii="Cambria Math" w:hAnsi="Cambria Math"/>
                    <w:sz w:val="18"/>
                    <w:szCs w:val="18"/>
                    <w:lang w:val="fr-FR"/>
                  </w:rPr>
                  <m:t>-</m:t>
                </m:r>
                <m:func>
                  <m:funcPr>
                    <m:ctrlPr>
                      <w:rPr>
                        <w:rFonts w:ascii="Cambria Math" w:hAnsi="Cambria Math"/>
                        <w:i/>
                        <w:sz w:val="18"/>
                        <w:szCs w:val="18"/>
                        <w:lang w:val="fr-FR"/>
                      </w:rPr>
                    </m:ctrlPr>
                  </m:funcPr>
                  <m:fName>
                    <m:r>
                      <m:rPr>
                        <m:sty m:val="p"/>
                      </m:rPr>
                      <w:rPr>
                        <w:rFonts w:ascii="Cambria Math" w:hAnsi="Cambria Math"/>
                        <w:sz w:val="18"/>
                        <w:szCs w:val="18"/>
                        <w:lang w:val="fr-FR"/>
                      </w:rPr>
                      <m:t>min</m:t>
                    </m:r>
                  </m:fName>
                  <m:e>
                    <m:d>
                      <m:dPr>
                        <m:ctrlPr>
                          <w:rPr>
                            <w:rFonts w:ascii="Cambria Math" w:hAnsi="Cambria Math"/>
                            <w:i/>
                            <w:sz w:val="18"/>
                            <w:szCs w:val="18"/>
                            <w:lang w:val="fr-FR"/>
                          </w:rPr>
                        </m:ctrlPr>
                      </m:dPr>
                      <m:e>
                        <m:r>
                          <w:rPr>
                            <w:rFonts w:ascii="Cambria Math" w:hAnsi="Cambria Math"/>
                            <w:sz w:val="18"/>
                            <w:szCs w:val="18"/>
                            <w:lang w:val="fr-FR"/>
                          </w:rPr>
                          <m:t>1000×6,454×0,0157,</m:t>
                        </m:r>
                        <m:sSub>
                          <m:sSubPr>
                            <m:ctrlPr>
                              <w:rPr>
                                <w:rFonts w:ascii="Cambria Math" w:hAnsi="Cambria Math"/>
                                <w:i/>
                                <w:sz w:val="18"/>
                                <w:szCs w:val="18"/>
                                <w:lang w:val="fr-FR"/>
                              </w:rPr>
                            </m:ctrlPr>
                          </m:sSubPr>
                          <m:e>
                            <m:r>
                              <w:rPr>
                                <w:rFonts w:ascii="Cambria Math" w:hAnsi="Cambria Math"/>
                                <w:sz w:val="18"/>
                                <w:szCs w:val="18"/>
                                <w:lang w:val="fr-FR"/>
                              </w:rPr>
                              <m:t>D</m:t>
                            </m:r>
                          </m:e>
                          <m:sub>
                            <m:r>
                              <w:rPr>
                                <w:rFonts w:ascii="Cambria Math" w:hAnsi="Cambria Math"/>
                                <w:sz w:val="18"/>
                                <w:szCs w:val="18"/>
                                <w:lang w:val="fr-FR"/>
                              </w:rPr>
                              <m:t>HFC-23,i</m:t>
                            </m:r>
                          </m:sub>
                        </m:sSub>
                      </m:e>
                    </m:d>
                  </m:e>
                </m:func>
                <m:r>
                  <w:rPr>
                    <w:rFonts w:ascii="Cambria Math" w:hAnsi="Cambria Math"/>
                    <w:sz w:val="18"/>
                    <w:szCs w:val="18"/>
                    <w:lang w:val="fr-FR"/>
                  </w:rPr>
                  <m:t>×3,28</m:t>
                </m:r>
              </m:oMath>
            </m:oMathPara>
          </w:p>
        </w:tc>
        <w:tc>
          <w:tcPr>
            <w:tcW w:w="3992" w:type="dxa"/>
            <w:tcBorders>
              <w:top w:val="nil"/>
              <w:left w:val="nil"/>
              <w:bottom w:val="single" w:sz="4" w:space="0" w:color="auto"/>
              <w:right w:val="single" w:sz="4" w:space="0" w:color="auto"/>
            </w:tcBorders>
            <w:shd w:val="clear" w:color="auto" w:fill="auto"/>
            <w:noWrap/>
            <w:vAlign w:val="center"/>
            <w:hideMark/>
          </w:tcPr>
          <w:p w14:paraId="11151BA0" w14:textId="77777777" w:rsidR="00025F12" w:rsidRPr="006A1719" w:rsidRDefault="00025F12" w:rsidP="00C03032">
            <w:pPr>
              <w:keepNext/>
              <w:keepLines/>
              <w:spacing w:before="60" w:after="60"/>
              <w:jc w:val="left"/>
              <w:rPr>
                <w:color w:val="000000"/>
                <w:sz w:val="18"/>
                <w:szCs w:val="18"/>
                <w:lang w:val="fr-FR" w:eastAsia="en-CA"/>
              </w:rPr>
            </w:pPr>
            <m:oMathPara>
              <m:oMath>
                <m:r>
                  <w:rPr>
                    <w:rFonts w:ascii="Cambria Math" w:hAnsi="Cambria Math"/>
                    <w:sz w:val="18"/>
                    <w:szCs w:val="18"/>
                    <w:lang w:val="fr-FR"/>
                  </w:rPr>
                  <m:t>0</m:t>
                </m:r>
              </m:oMath>
            </m:oMathPara>
          </w:p>
        </w:tc>
      </w:tr>
    </w:tbl>
    <w:p w14:paraId="154B8CAD" w14:textId="77777777" w:rsidR="003276C2" w:rsidRPr="006A1719" w:rsidRDefault="003276C2" w:rsidP="00025F12">
      <w:pPr>
        <w:keepNext/>
        <w:keepLines/>
        <w:spacing w:after="20"/>
        <w:ind w:left="1134"/>
        <w:jc w:val="left"/>
        <w:rPr>
          <w:sz w:val="20"/>
          <w:szCs w:val="20"/>
          <w:lang w:val="fr-FR"/>
        </w:rPr>
      </w:pPr>
      <w:bookmarkStart w:id="0" w:name="_Hlk73962167"/>
    </w:p>
    <w:p w14:paraId="0C279D14" w14:textId="2E662F6B" w:rsidR="00025F12" w:rsidRPr="006A1719" w:rsidRDefault="00025F12" w:rsidP="00025F12">
      <w:pPr>
        <w:keepNext/>
        <w:keepLines/>
        <w:spacing w:after="20"/>
        <w:ind w:left="1134"/>
        <w:jc w:val="left"/>
        <w:rPr>
          <w:sz w:val="20"/>
          <w:szCs w:val="20"/>
          <w:lang w:val="fr-FR"/>
        </w:rPr>
      </w:pPr>
      <w:r w:rsidRPr="006A1719">
        <w:rPr>
          <w:b/>
          <w:bCs/>
          <w:i/>
          <w:sz w:val="20"/>
          <w:szCs w:val="20"/>
          <w:lang w:val="fr-FR"/>
        </w:rPr>
        <w:t>P</w:t>
      </w:r>
      <w:r w:rsidRPr="006A1719">
        <w:rPr>
          <w:b/>
          <w:bCs/>
          <w:i/>
          <w:sz w:val="20"/>
          <w:szCs w:val="20"/>
          <w:vertAlign w:val="subscript"/>
          <w:lang w:val="fr-FR"/>
        </w:rPr>
        <w:t>HCFC-22,i</w:t>
      </w:r>
      <w:r w:rsidRPr="006A1719">
        <w:rPr>
          <w:b/>
          <w:bCs/>
          <w:sz w:val="20"/>
          <w:szCs w:val="20"/>
          <w:lang w:val="fr-FR"/>
        </w:rPr>
        <w:t xml:space="preserve"> </w:t>
      </w:r>
      <w:r w:rsidRPr="006A1719">
        <w:rPr>
          <w:sz w:val="20"/>
          <w:szCs w:val="20"/>
          <w:lang w:val="fr-FR"/>
        </w:rPr>
        <w:t xml:space="preserve">= </w:t>
      </w:r>
      <w:r w:rsidR="003276C2" w:rsidRPr="006A1719">
        <w:rPr>
          <w:sz w:val="20"/>
          <w:szCs w:val="20"/>
          <w:lang w:val="fr-FR"/>
        </w:rPr>
        <w:t xml:space="preserve">production de HCFC-22 de l'année </w:t>
      </w:r>
      <w:r w:rsidR="003276C2" w:rsidRPr="006A1719">
        <w:rPr>
          <w:i/>
          <w:iCs/>
          <w:sz w:val="20"/>
          <w:szCs w:val="20"/>
          <w:lang w:val="fr-FR"/>
        </w:rPr>
        <w:t>i</w:t>
      </w:r>
      <w:r w:rsidRPr="006A1719">
        <w:rPr>
          <w:i/>
          <w:iCs/>
          <w:sz w:val="20"/>
          <w:szCs w:val="20"/>
          <w:lang w:val="fr-FR"/>
        </w:rPr>
        <w:t xml:space="preserve"> </w:t>
      </w:r>
      <w:r w:rsidRPr="006A1719">
        <w:rPr>
          <w:sz w:val="20"/>
          <w:szCs w:val="20"/>
          <w:lang w:val="fr-FR"/>
        </w:rPr>
        <w:t>(mt)</w:t>
      </w:r>
    </w:p>
    <w:p w14:paraId="66C1AE7A" w14:textId="6197B841" w:rsidR="00025F12" w:rsidRPr="006A1719" w:rsidRDefault="00025F12" w:rsidP="00025F12">
      <w:pPr>
        <w:keepNext/>
        <w:keepLines/>
        <w:spacing w:after="20"/>
        <w:ind w:left="1134"/>
        <w:jc w:val="left"/>
        <w:rPr>
          <w:sz w:val="20"/>
          <w:szCs w:val="20"/>
          <w:lang w:val="fr-FR"/>
        </w:rPr>
      </w:pPr>
      <w:r w:rsidRPr="006A1719">
        <w:rPr>
          <w:b/>
          <w:bCs/>
          <w:i/>
          <w:sz w:val="20"/>
          <w:szCs w:val="20"/>
          <w:lang w:val="fr-FR"/>
        </w:rPr>
        <w:t>Q</w:t>
      </w:r>
      <w:r w:rsidRPr="006A1719">
        <w:rPr>
          <w:b/>
          <w:bCs/>
          <w:i/>
          <w:sz w:val="20"/>
          <w:szCs w:val="20"/>
          <w:vertAlign w:val="subscript"/>
          <w:lang w:val="fr-FR"/>
        </w:rPr>
        <w:t>HFC-23,i</w:t>
      </w:r>
      <w:r w:rsidRPr="006A1719">
        <w:rPr>
          <w:sz w:val="20"/>
          <w:szCs w:val="20"/>
          <w:lang w:val="fr-FR"/>
        </w:rPr>
        <w:t xml:space="preserve"> = </w:t>
      </w:r>
      <w:r w:rsidR="003276C2" w:rsidRPr="006A1719">
        <w:rPr>
          <w:sz w:val="20"/>
          <w:szCs w:val="20"/>
          <w:lang w:val="fr-FR"/>
        </w:rPr>
        <w:t xml:space="preserve">quantité de sous-produit HFC-23 généré au cours de l'année </w:t>
      </w:r>
      <w:r w:rsidRPr="006A1719">
        <w:rPr>
          <w:i/>
          <w:sz w:val="20"/>
          <w:szCs w:val="20"/>
          <w:lang w:val="fr-FR"/>
        </w:rPr>
        <w:t>i</w:t>
      </w:r>
      <w:r w:rsidRPr="006A1719">
        <w:rPr>
          <w:sz w:val="20"/>
          <w:szCs w:val="20"/>
          <w:lang w:val="fr-FR"/>
        </w:rPr>
        <w:t xml:space="preserve"> (kg)</w:t>
      </w:r>
    </w:p>
    <w:p w14:paraId="2F4F7096" w14:textId="6EFDCE9D" w:rsidR="00025F12" w:rsidRPr="006A1719" w:rsidRDefault="00025F12" w:rsidP="00025F12">
      <w:pPr>
        <w:keepNext/>
        <w:keepLines/>
        <w:spacing w:after="20"/>
        <w:ind w:left="1134"/>
        <w:jc w:val="left"/>
        <w:rPr>
          <w:sz w:val="20"/>
          <w:szCs w:val="20"/>
          <w:lang w:val="fr-FR"/>
        </w:rPr>
      </w:pPr>
      <w:r w:rsidRPr="006A1719">
        <w:rPr>
          <w:b/>
          <w:bCs/>
          <w:i/>
          <w:sz w:val="20"/>
          <w:szCs w:val="20"/>
          <w:lang w:val="fr-FR"/>
        </w:rPr>
        <w:t>D</w:t>
      </w:r>
      <w:r w:rsidRPr="006A1719">
        <w:rPr>
          <w:b/>
          <w:bCs/>
          <w:i/>
          <w:sz w:val="20"/>
          <w:szCs w:val="20"/>
          <w:vertAlign w:val="subscript"/>
          <w:lang w:val="fr-FR"/>
        </w:rPr>
        <w:t>HFC-23,i</w:t>
      </w:r>
      <w:r w:rsidRPr="006A1719">
        <w:rPr>
          <w:sz w:val="20"/>
          <w:szCs w:val="20"/>
          <w:lang w:val="fr-FR"/>
        </w:rPr>
        <w:t xml:space="preserve"> = </w:t>
      </w:r>
      <w:r w:rsidR="003276C2" w:rsidRPr="006A1719">
        <w:rPr>
          <w:sz w:val="20"/>
          <w:szCs w:val="20"/>
          <w:lang w:val="fr-FR"/>
        </w:rPr>
        <w:t>quantité de sous-produit HFC-23 détruite au cours de l'année</w:t>
      </w:r>
      <w:r w:rsidRPr="006A1719">
        <w:rPr>
          <w:sz w:val="20"/>
          <w:szCs w:val="20"/>
          <w:lang w:val="fr-FR"/>
        </w:rPr>
        <w:t xml:space="preserve"> </w:t>
      </w:r>
      <w:r w:rsidRPr="006A1719">
        <w:rPr>
          <w:i/>
          <w:sz w:val="20"/>
          <w:szCs w:val="20"/>
          <w:lang w:val="fr-FR"/>
        </w:rPr>
        <w:t>i</w:t>
      </w:r>
      <w:r w:rsidRPr="006A1719">
        <w:rPr>
          <w:sz w:val="20"/>
          <w:szCs w:val="20"/>
          <w:lang w:val="fr-FR"/>
        </w:rPr>
        <w:t xml:space="preserve"> (kg)</w:t>
      </w:r>
    </w:p>
    <w:p w14:paraId="159F0469" w14:textId="77777777" w:rsidR="00025F12" w:rsidRPr="005040DA" w:rsidRDefault="00025F12" w:rsidP="00025F12">
      <w:pPr>
        <w:keepNext/>
        <w:keepLines/>
        <w:spacing w:after="20"/>
        <w:ind w:left="1134"/>
        <w:jc w:val="left"/>
        <w:rPr>
          <w:sz w:val="20"/>
          <w:szCs w:val="20"/>
          <w:lang w:val="en-US"/>
        </w:rPr>
      </w:pPr>
      <w:r w:rsidRPr="005040DA">
        <w:rPr>
          <w:b/>
          <w:bCs/>
          <w:i/>
          <w:sz w:val="20"/>
          <w:szCs w:val="20"/>
          <w:lang w:val="en-US"/>
        </w:rPr>
        <w:t>x</w:t>
      </w:r>
      <w:r w:rsidRPr="005040DA">
        <w:rPr>
          <w:b/>
          <w:bCs/>
          <w:i/>
          <w:sz w:val="20"/>
          <w:szCs w:val="20"/>
          <w:vertAlign w:val="subscript"/>
          <w:lang w:val="en-US"/>
        </w:rPr>
        <w:t>w,i</w:t>
      </w:r>
      <w:r w:rsidRPr="005040DA">
        <w:rPr>
          <w:sz w:val="20"/>
          <w:szCs w:val="20"/>
          <w:lang w:val="en-US"/>
        </w:rPr>
        <w:t xml:space="preserve"> = </w:t>
      </w:r>
      <m:oMath>
        <m:f>
          <m:fPr>
            <m:ctrlPr>
              <w:rPr>
                <w:rFonts w:ascii="Cambria Math" w:hAnsi="Cambria Math"/>
                <w:i/>
                <w:sz w:val="20"/>
                <w:szCs w:val="20"/>
                <w:lang w:val="fr-FR"/>
              </w:rPr>
            </m:ctrlPr>
          </m:fPr>
          <m:num>
            <m:sSub>
              <m:sSubPr>
                <m:ctrlPr>
                  <w:rPr>
                    <w:rFonts w:ascii="Cambria Math" w:hAnsi="Cambria Math"/>
                    <w:i/>
                    <w:sz w:val="20"/>
                    <w:szCs w:val="20"/>
                    <w:lang w:val="fr-FR"/>
                  </w:rPr>
                </m:ctrlPr>
              </m:sSubPr>
              <m:e>
                <m:r>
                  <w:rPr>
                    <w:rFonts w:ascii="Cambria Math" w:hAnsi="Cambria Math"/>
                    <w:sz w:val="20"/>
                    <w:szCs w:val="20"/>
                    <w:lang w:val="fr-FR"/>
                  </w:rPr>
                  <m:t>Q</m:t>
                </m:r>
              </m:e>
              <m:sub>
                <m:r>
                  <w:rPr>
                    <w:rFonts w:ascii="Cambria Math" w:hAnsi="Cambria Math"/>
                    <w:sz w:val="20"/>
                    <w:szCs w:val="20"/>
                    <w:lang w:val="fr-FR"/>
                  </w:rPr>
                  <m:t>HFC</m:t>
                </m:r>
                <m:r>
                  <w:rPr>
                    <w:rFonts w:ascii="Cambria Math" w:hAnsi="Cambria Math"/>
                    <w:sz w:val="20"/>
                    <w:szCs w:val="20"/>
                    <w:lang w:val="en-US"/>
                  </w:rPr>
                  <m:t>-23,</m:t>
                </m:r>
                <m:r>
                  <w:rPr>
                    <w:rFonts w:ascii="Cambria Math" w:hAnsi="Cambria Math"/>
                    <w:sz w:val="20"/>
                    <w:szCs w:val="20"/>
                    <w:lang w:val="fr-FR"/>
                  </w:rPr>
                  <m:t>i</m:t>
                </m:r>
              </m:sub>
            </m:sSub>
          </m:num>
          <m:den>
            <m:sSub>
              <m:sSubPr>
                <m:ctrlPr>
                  <w:rPr>
                    <w:rFonts w:ascii="Cambria Math" w:hAnsi="Cambria Math"/>
                    <w:i/>
                    <w:sz w:val="20"/>
                    <w:szCs w:val="20"/>
                    <w:lang w:val="fr-FR"/>
                  </w:rPr>
                </m:ctrlPr>
              </m:sSubPr>
              <m:e>
                <m:r>
                  <w:rPr>
                    <w:rFonts w:ascii="Cambria Math" w:hAnsi="Cambria Math"/>
                    <w:sz w:val="20"/>
                    <w:szCs w:val="20"/>
                    <w:lang w:val="fr-FR"/>
                  </w:rPr>
                  <m:t>P</m:t>
                </m:r>
              </m:e>
              <m:sub>
                <m:r>
                  <w:rPr>
                    <w:rFonts w:ascii="Cambria Math" w:hAnsi="Cambria Math"/>
                    <w:sz w:val="20"/>
                    <w:szCs w:val="20"/>
                    <w:lang w:val="fr-FR"/>
                  </w:rPr>
                  <m:t>HCFC</m:t>
                </m:r>
                <m:r>
                  <w:rPr>
                    <w:rFonts w:ascii="Cambria Math" w:hAnsi="Cambria Math"/>
                    <w:sz w:val="20"/>
                    <w:szCs w:val="20"/>
                    <w:lang w:val="en-US"/>
                  </w:rPr>
                  <m:t>-22,</m:t>
                </m:r>
                <m:r>
                  <w:rPr>
                    <w:rFonts w:ascii="Cambria Math" w:hAnsi="Cambria Math"/>
                    <w:sz w:val="20"/>
                    <w:szCs w:val="20"/>
                    <w:lang w:val="fr-FR"/>
                  </w:rPr>
                  <m:t>i</m:t>
                </m:r>
              </m:sub>
            </m:sSub>
          </m:den>
        </m:f>
      </m:oMath>
      <w:r w:rsidRPr="005040DA">
        <w:rPr>
          <w:sz w:val="20"/>
          <w:szCs w:val="20"/>
          <w:lang w:val="en-US"/>
        </w:rPr>
        <w:t xml:space="preserve"> (%)</w:t>
      </w:r>
    </w:p>
    <w:p w14:paraId="1078E26D" w14:textId="5905AA44" w:rsidR="00025F12" w:rsidRPr="006A1719" w:rsidRDefault="00025F12" w:rsidP="00025F12">
      <w:pPr>
        <w:keepNext/>
        <w:keepLines/>
        <w:ind w:left="1134"/>
        <w:jc w:val="left"/>
        <w:rPr>
          <w:sz w:val="20"/>
          <w:szCs w:val="20"/>
          <w:lang w:val="fr-FR"/>
        </w:rPr>
      </w:pPr>
      <w:r w:rsidRPr="006A1719">
        <w:rPr>
          <w:b/>
          <w:bCs/>
          <w:i/>
          <w:sz w:val="20"/>
          <w:szCs w:val="20"/>
          <w:lang w:val="fr-FR"/>
        </w:rPr>
        <w:t>IOC</w:t>
      </w:r>
      <w:r w:rsidRPr="006A1719">
        <w:rPr>
          <w:b/>
          <w:bCs/>
          <w:i/>
          <w:sz w:val="20"/>
          <w:szCs w:val="20"/>
          <w:vertAlign w:val="subscript"/>
          <w:lang w:val="fr-FR"/>
        </w:rPr>
        <w:t>max,i</w:t>
      </w:r>
      <w:r w:rsidRPr="006A1719">
        <w:rPr>
          <w:sz w:val="20"/>
          <w:szCs w:val="20"/>
          <w:lang w:val="fr-FR"/>
        </w:rPr>
        <w:t xml:space="preserve"> = </w:t>
      </w:r>
      <w:r w:rsidR="003276C2" w:rsidRPr="006A1719">
        <w:rPr>
          <w:sz w:val="20"/>
          <w:szCs w:val="20"/>
          <w:lang w:val="fr-FR"/>
        </w:rPr>
        <w:t>coûts opérationnels supplémentaires maximums convenus au cours de l'année</w:t>
      </w:r>
      <w:r w:rsidRPr="006A1719">
        <w:rPr>
          <w:sz w:val="20"/>
          <w:szCs w:val="20"/>
          <w:lang w:val="fr-FR"/>
        </w:rPr>
        <w:t xml:space="preserve"> </w:t>
      </w:r>
      <w:r w:rsidRPr="006A1719">
        <w:rPr>
          <w:i/>
          <w:sz w:val="20"/>
          <w:szCs w:val="20"/>
          <w:lang w:val="fr-FR"/>
        </w:rPr>
        <w:t>i</w:t>
      </w:r>
      <w:r w:rsidRPr="006A1719">
        <w:rPr>
          <w:sz w:val="20"/>
          <w:szCs w:val="20"/>
          <w:lang w:val="fr-FR"/>
        </w:rPr>
        <w:t xml:space="preserve"> = </w:t>
      </w:r>
      <m:oMath>
        <m:r>
          <w:rPr>
            <w:rFonts w:ascii="Cambria Math" w:hAnsi="Cambria Math"/>
            <w:sz w:val="20"/>
            <w:szCs w:val="20"/>
            <w:lang w:val="fr-FR"/>
          </w:rPr>
          <m:t>6,454×0.0157×3.28</m:t>
        </m:r>
      </m:oMath>
      <w:r w:rsidRPr="006A1719">
        <w:rPr>
          <w:sz w:val="20"/>
          <w:szCs w:val="20"/>
          <w:lang w:val="fr-FR"/>
        </w:rPr>
        <w:t xml:space="preserve"> = 332,355</w:t>
      </w:r>
      <w:r w:rsidR="003276C2" w:rsidRPr="006A1719">
        <w:rPr>
          <w:sz w:val="20"/>
          <w:szCs w:val="20"/>
          <w:lang w:val="fr-FR"/>
        </w:rPr>
        <w:t xml:space="preserve"> US$</w:t>
      </w:r>
    </w:p>
    <w:p w14:paraId="08931E82" w14:textId="77777777" w:rsidR="00025F12" w:rsidRPr="006A1719" w:rsidRDefault="00025F12" w:rsidP="00025F12">
      <w:pPr>
        <w:keepNext/>
        <w:keepLines/>
        <w:rPr>
          <w:lang w:val="fr-FR"/>
        </w:rPr>
      </w:pPr>
    </w:p>
    <w:bookmarkEnd w:id="0"/>
    <w:p w14:paraId="0F060977" w14:textId="4B1746DA" w:rsidR="00025F12" w:rsidRPr="006A1719" w:rsidRDefault="003276C2" w:rsidP="00025F12">
      <w:pPr>
        <w:pStyle w:val="Heading1"/>
        <w:rPr>
          <w:lang w:val="fr-FR"/>
        </w:rPr>
      </w:pPr>
      <w:r w:rsidRPr="006A1719">
        <w:rPr>
          <w:lang w:val="fr-FR"/>
        </w:rPr>
        <w:t xml:space="preserve">Le Gouvernement du Mexique a demandé un délai supplémentaire pour examiner la proposition du secrétariat. En particulier, la situation sans précédent due à la pandémie de COVID-19 a entraîné des changements profonds dans la demande du marché </w:t>
      </w:r>
      <w:r w:rsidR="00A50522" w:rsidRPr="00DB5847">
        <w:rPr>
          <w:rStyle w:val="FootnoteReference"/>
          <w:lang w:val="en-CA"/>
        </w:rPr>
        <w:footnoteReference w:id="7"/>
      </w:r>
      <w:r w:rsidRPr="006A1719">
        <w:rPr>
          <w:lang w:val="fr-FR"/>
        </w:rPr>
        <w:t xml:space="preserve">; les incertitudes dans la planification de sa production de HCFC-22 pour répondre à cette demande du marché en évolution rapide ont entraîné des démarrages et des arrêts répétés de la production de HCFC-22 de Quimobásicos, ce qui devrait augmenter la génération de sous-produit HFC-23 par rapport à une production continue et stable de HCFC-22. En conséquence, le Gouvernement a eu besoin de plus de temps pour analyser les données de 2020 afin de mieux comprendre </w:t>
      </w:r>
      <w:r w:rsidRPr="006A1719">
        <w:rPr>
          <w:lang w:val="fr-FR"/>
        </w:rPr>
        <w:lastRenderedPageBreak/>
        <w:t>les implications de la proposition du secrétariat ; le paragraphe pertinent (paragraphe 6) du projet d'Accord contenu dans l'Annexe I est donc présenté entre crochets</w:t>
      </w:r>
      <w:r w:rsidR="00025F12" w:rsidRPr="006A1719">
        <w:rPr>
          <w:lang w:val="fr-FR"/>
        </w:rPr>
        <w:t xml:space="preserve">. </w:t>
      </w:r>
    </w:p>
    <w:p w14:paraId="75A5E275" w14:textId="78DA7792" w:rsidR="00025F12" w:rsidRPr="006A1719" w:rsidRDefault="003276C2" w:rsidP="00025F12">
      <w:pPr>
        <w:pStyle w:val="Heading1"/>
        <w:rPr>
          <w:lang w:val="fr-FR"/>
        </w:rPr>
      </w:pPr>
      <w:r w:rsidRPr="006A1719">
        <w:rPr>
          <w:lang w:val="fr-FR"/>
        </w:rPr>
        <w:t>Le secrétariat a rappelé les données fournies par l'entreprise lors de la 84</w:t>
      </w:r>
      <w:r w:rsidRPr="000F1FBC">
        <w:rPr>
          <w:vertAlign w:val="superscript"/>
          <w:lang w:val="fr-FR"/>
        </w:rPr>
        <w:t xml:space="preserve">ème </w:t>
      </w:r>
      <w:r w:rsidRPr="006A1719">
        <w:rPr>
          <w:lang w:val="fr-FR"/>
        </w:rPr>
        <w:t>réunion indiquant que le taux de génération de sous-produit HFC 23 était fonction, entre autres, du nombre d'arrêts et de démarrages (des arrêts plus fréquents ayant tendance à augmenter la quantité de sous-produit HFC-23 générée), du volume de production (un volume de production plus faible ayant tendance à réduire la quantité de sous-produit HFC-23 générée), et d'autres facteurs. Comme le processus d'approbation intersessionnel prolongé pour la 86</w:t>
      </w:r>
      <w:r w:rsidRPr="000F1FBC">
        <w:rPr>
          <w:vertAlign w:val="superscript"/>
          <w:lang w:val="fr-FR"/>
        </w:rPr>
        <w:t>ème</w:t>
      </w:r>
      <w:r w:rsidRPr="006A1719">
        <w:rPr>
          <w:lang w:val="fr-FR"/>
        </w:rPr>
        <w:t xml:space="preserve"> réunion ne s'est achevé que le 7 mai 2021, l'ONUDI et le secrétariat ont disposé de peu de temps pour discuter de la manière dont les dispositions visant à encourager l'optimisation des processus pourraient être incluses dans le projet d'accord. En conséquence, le secrétariat informera le Comité exécutif des résultats de ses nouvelles discussions avec l'ONUDI sur cette question</w:t>
      </w:r>
      <w:r w:rsidR="00025F12" w:rsidRPr="006A1719">
        <w:rPr>
          <w:lang w:val="fr-FR"/>
        </w:rPr>
        <w:t xml:space="preserve">. </w:t>
      </w:r>
    </w:p>
    <w:p w14:paraId="77EDA699" w14:textId="7CD60491" w:rsidR="00025F12" w:rsidRPr="006A1719" w:rsidRDefault="003276C2" w:rsidP="00025F12">
      <w:pPr>
        <w:keepNext/>
        <w:keepLines/>
        <w:rPr>
          <w:b/>
          <w:lang w:val="fr-FR"/>
        </w:rPr>
      </w:pPr>
      <w:r w:rsidRPr="006A1719">
        <w:rPr>
          <w:b/>
          <w:lang w:val="fr-FR"/>
        </w:rPr>
        <w:t>Recommandation du secrétariat</w:t>
      </w:r>
    </w:p>
    <w:p w14:paraId="731D44C6" w14:textId="77777777" w:rsidR="00025F12" w:rsidRPr="006A1719" w:rsidRDefault="00025F12" w:rsidP="00025F12">
      <w:pPr>
        <w:keepNext/>
        <w:keepLines/>
        <w:rPr>
          <w:lang w:val="fr-FR"/>
        </w:rPr>
      </w:pPr>
    </w:p>
    <w:p w14:paraId="44E4503F" w14:textId="30DBCB16" w:rsidR="00025F12" w:rsidRPr="006A1719" w:rsidRDefault="003276C2" w:rsidP="003276C2">
      <w:pPr>
        <w:pStyle w:val="Heading1"/>
        <w:rPr>
          <w:lang w:val="fr-FR"/>
        </w:rPr>
        <w:sectPr w:rsidR="00025F12" w:rsidRPr="006A1719"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rsidRPr="006A1719">
        <w:rPr>
          <w:lang w:val="fr-FR"/>
        </w:rPr>
        <w:t>Le Comité exécutif souhaitera peut-être envisager d'approuver le projet d'accord entre le Gouvernement du Mexique et le Comité exécutif concernant la destruction des émissions de HFC-23</w:t>
      </w:r>
      <w:r w:rsidR="006A1719" w:rsidRPr="006A1719">
        <w:rPr>
          <w:lang w:val="fr-FR"/>
        </w:rPr>
        <w:t xml:space="preserve"> </w:t>
      </w:r>
      <w:r w:rsidRPr="006A1719">
        <w:rPr>
          <w:lang w:val="fr-FR"/>
        </w:rPr>
        <w:t>générées au cours de la production de HCFC-22 à Quimobásicos figurant à l'annexe I du document UNEP/OzL.Pro/ExCom/87/54, à la lumière de toute information supplémentaire fournie au cours de la 87</w:t>
      </w:r>
      <w:r w:rsidRPr="000F1FBC">
        <w:rPr>
          <w:vertAlign w:val="superscript"/>
          <w:lang w:val="fr-FR"/>
        </w:rPr>
        <w:t>ème</w:t>
      </w:r>
      <w:r w:rsidRPr="006A1719">
        <w:rPr>
          <w:lang w:val="fr-FR"/>
        </w:rPr>
        <w:t xml:space="preserve"> réunion sur les résultats des discussions supplémentaires entre l'ONUDI et le secrétariat relatives aux mesures d'incitation à l'optimisation des processus en vue de réduire le taux de génération d</w:t>
      </w:r>
      <w:r w:rsidR="000F1FBC">
        <w:rPr>
          <w:lang w:val="fr-FR"/>
        </w:rPr>
        <w:t>u</w:t>
      </w:r>
      <w:r w:rsidRPr="006A1719">
        <w:rPr>
          <w:lang w:val="fr-FR"/>
        </w:rPr>
        <w:t xml:space="preserve"> sous-produit HFC-23</w:t>
      </w:r>
      <w:r w:rsidR="00025F12" w:rsidRPr="006A1719">
        <w:rPr>
          <w:lang w:val="fr-FR"/>
        </w:rPr>
        <w:t>.</w:t>
      </w:r>
    </w:p>
    <w:p w14:paraId="2CFE1918" w14:textId="77777777" w:rsidR="0087239B" w:rsidRDefault="0087239B" w:rsidP="00315E8F">
      <w:pPr>
        <w:jc w:val="center"/>
        <w:rPr>
          <w:b/>
          <w:bCs/>
          <w:lang w:val="fr-CA"/>
        </w:rPr>
      </w:pPr>
      <w:r>
        <w:rPr>
          <w:b/>
          <w:bCs/>
          <w:lang w:val="fr-CA"/>
        </w:rPr>
        <w:lastRenderedPageBreak/>
        <w:t>Annexe I</w:t>
      </w:r>
    </w:p>
    <w:p w14:paraId="2B157B92" w14:textId="77777777" w:rsidR="0087239B" w:rsidRDefault="0087239B" w:rsidP="00315E8F">
      <w:pPr>
        <w:jc w:val="center"/>
        <w:rPr>
          <w:b/>
          <w:bCs/>
          <w:lang w:val="fr-CA"/>
        </w:rPr>
      </w:pPr>
    </w:p>
    <w:p w14:paraId="72325F4F" w14:textId="77777777" w:rsidR="0087239B" w:rsidRDefault="0087239B" w:rsidP="00315E8F">
      <w:pPr>
        <w:jc w:val="center"/>
        <w:rPr>
          <w:lang w:val="fr-CA"/>
        </w:rPr>
      </w:pPr>
      <w:r>
        <w:rPr>
          <w:b/>
          <w:lang w:val="fr-FR"/>
        </w:rPr>
        <w:t>PROJET D’ACCORD ENTRE LE GOUVERNEMENT DU MEXIQUE ET LE COMITÉ EXÉCUTIF DU FONDS MULTILATÉRAL CONCERNANT LA DESTRUCTION DES ÉMISSIONS DE HFC-23 CRÉÉES LORS DE LA PRODUCTION DE HCFC-22 À QUIMOBASICOS</w:t>
      </w:r>
    </w:p>
    <w:p w14:paraId="117F60A6" w14:textId="77777777" w:rsidR="0087239B" w:rsidRDefault="0087239B" w:rsidP="00315E8F">
      <w:pPr>
        <w:jc w:val="center"/>
        <w:rPr>
          <w:lang w:val="fr-CA"/>
        </w:rPr>
      </w:pPr>
    </w:p>
    <w:p w14:paraId="5EAB7906" w14:textId="77777777" w:rsidR="0087239B" w:rsidRDefault="0087239B" w:rsidP="00315E8F">
      <w:pPr>
        <w:jc w:val="left"/>
        <w:rPr>
          <w:b/>
          <w:lang w:val="fr-CA"/>
        </w:rPr>
      </w:pPr>
      <w:r>
        <w:rPr>
          <w:b/>
          <w:lang w:val="fr-CA"/>
        </w:rPr>
        <w:t>Objet</w:t>
      </w:r>
    </w:p>
    <w:p w14:paraId="734EC846" w14:textId="77777777" w:rsidR="0087239B" w:rsidRDefault="0087239B" w:rsidP="00315E8F">
      <w:pPr>
        <w:jc w:val="left"/>
        <w:rPr>
          <w:lang w:val="fr-CA"/>
        </w:rPr>
      </w:pPr>
    </w:p>
    <w:p w14:paraId="30661141" w14:textId="77777777" w:rsidR="0087239B" w:rsidRDefault="0087239B" w:rsidP="0087239B">
      <w:pPr>
        <w:pStyle w:val="Heading1"/>
        <w:numPr>
          <w:ilvl w:val="0"/>
          <w:numId w:val="1"/>
        </w:numPr>
        <w:rPr>
          <w:lang w:val="fr-FR"/>
        </w:rPr>
      </w:pPr>
      <w:r>
        <w:rPr>
          <w:lang w:val="fr-FR"/>
        </w:rPr>
        <w:t xml:space="preserve">Le présent Accord représente l’entente conclue entre le gouvernement du Mexique (le « Pays ») et le Comité exécutif concernant la destruction, au titre du Protocole de Montréal, des émissions des substances du groupe II de l’annexe F (« HFC-23 ») créés lors de la production du HCFC-22 à </w:t>
      </w:r>
      <w:r w:rsidRPr="0046402A">
        <w:rPr>
          <w:lang w:val="fr-CA"/>
        </w:rPr>
        <w:t>Quimobásicos</w:t>
      </w:r>
      <w:r>
        <w:rPr>
          <w:lang w:val="fr-CA"/>
        </w:rPr>
        <w:t xml:space="preserve">, </w:t>
      </w:r>
      <w:r>
        <w:rPr>
          <w:lang w:val="fr-FR"/>
        </w:rPr>
        <w:t>à compter du 1</w:t>
      </w:r>
      <w:r w:rsidRPr="0046402A">
        <w:rPr>
          <w:vertAlign w:val="superscript"/>
          <w:lang w:val="fr-FR"/>
        </w:rPr>
        <w:t>er</w:t>
      </w:r>
      <w:r>
        <w:rPr>
          <w:lang w:val="fr-FR"/>
        </w:rPr>
        <w:t xml:space="preserve"> janvier 2022</w:t>
      </w:r>
      <w:r w:rsidRPr="0046402A">
        <w:rPr>
          <w:lang w:val="fr-CA"/>
        </w:rPr>
        <w:t xml:space="preserve">. </w:t>
      </w:r>
      <w:r>
        <w:rPr>
          <w:lang w:val="fr-CA"/>
        </w:rPr>
        <w:t xml:space="preserve"> </w:t>
      </w:r>
    </w:p>
    <w:p w14:paraId="56B0ACC6" w14:textId="77777777" w:rsidR="0087239B" w:rsidRDefault="0087239B" w:rsidP="0087239B">
      <w:pPr>
        <w:pStyle w:val="Heading1"/>
        <w:numPr>
          <w:ilvl w:val="0"/>
          <w:numId w:val="1"/>
        </w:numPr>
        <w:rPr>
          <w:lang w:val="fr-FR"/>
        </w:rPr>
      </w:pPr>
      <w:r>
        <w:rPr>
          <w:lang w:val="fr-FR"/>
        </w:rPr>
        <w:t>Le Pays convient de respecter la limite</w:t>
      </w:r>
      <w:r w:rsidRPr="005B67A1">
        <w:rPr>
          <w:lang w:val="fr-FR"/>
        </w:rPr>
        <w:t xml:space="preserve"> d’émission annuelle </w:t>
      </w:r>
      <w:r>
        <w:rPr>
          <w:lang w:val="fr-FR"/>
        </w:rPr>
        <w:t>d’un maximum de 0,1 kilogramme de HFC-23 par 100 kilogrammes de HCFC-22 produit d’ici au 1</w:t>
      </w:r>
      <w:r w:rsidRPr="005B67A1">
        <w:rPr>
          <w:vertAlign w:val="superscript"/>
          <w:lang w:val="fr-FR"/>
        </w:rPr>
        <w:t>er</w:t>
      </w:r>
      <w:r>
        <w:rPr>
          <w:lang w:val="fr-FR"/>
        </w:rPr>
        <w:t xml:space="preserve"> janvier 2022, jusqu’à l’achèvement du projet le 1</w:t>
      </w:r>
      <w:r w:rsidRPr="005B67A1">
        <w:rPr>
          <w:vertAlign w:val="superscript"/>
          <w:lang w:val="fr-FR"/>
        </w:rPr>
        <w:t>er</w:t>
      </w:r>
      <w:r>
        <w:rPr>
          <w:lang w:val="fr-FR"/>
        </w:rPr>
        <w:t xml:space="preserve"> janvier 2031, comme indiqué sur la ligne 1.1 de l’Appendice 1-A (« Objectifs et financement ») et s’engage à poursuivre le contrôle et la vérification des émissions de la même manière après l’achèvement du projet, au moyen de politiques et de mesures législatives</w:t>
      </w:r>
      <w:r w:rsidRPr="005B67A1">
        <w:rPr>
          <w:lang w:val="fr-FR"/>
        </w:rPr>
        <w:t>.</w:t>
      </w:r>
    </w:p>
    <w:p w14:paraId="52E110AE" w14:textId="77777777" w:rsidR="0087239B" w:rsidRDefault="0087239B" w:rsidP="00315E8F">
      <w:pPr>
        <w:rPr>
          <w:lang w:val="fr-FR" w:eastAsia="en-CA"/>
        </w:rPr>
      </w:pPr>
      <w:r>
        <w:rPr>
          <w:b/>
          <w:lang w:val="fr-FR" w:eastAsia="en-CA"/>
        </w:rPr>
        <w:t>Financement</w:t>
      </w:r>
    </w:p>
    <w:p w14:paraId="1F49BA81" w14:textId="77777777" w:rsidR="0087239B" w:rsidRPr="008F7BEB" w:rsidRDefault="0087239B" w:rsidP="00315E8F">
      <w:pPr>
        <w:rPr>
          <w:lang w:val="fr-FR" w:eastAsia="en-CA"/>
        </w:rPr>
      </w:pPr>
    </w:p>
    <w:p w14:paraId="6A84B1CA" w14:textId="77777777" w:rsidR="0087239B" w:rsidRDefault="0087239B" w:rsidP="0087239B">
      <w:pPr>
        <w:pStyle w:val="Heading1"/>
        <w:numPr>
          <w:ilvl w:val="0"/>
          <w:numId w:val="1"/>
        </w:numPr>
        <w:rPr>
          <w:lang w:val="fr-FR"/>
        </w:rPr>
      </w:pPr>
      <w:r>
        <w:rPr>
          <w:lang w:val="fr-FR"/>
        </w:rPr>
        <w:t>Si le Pays se conforme aux obligations définies dans le présent Accord, le Comité exécutif convient en principe de lui accorder le financement indiqué à la ligne 2.1 de l’Appendice 1-A pour toute réduction réalisée, comme indiqué au paragraphe 6. Le Comité exécutif accordera, en principe, ce financement lors de sa première réunion des années précisées à l’Appendice 1-A.</w:t>
      </w:r>
    </w:p>
    <w:p w14:paraId="7FA584CB" w14:textId="77777777" w:rsidR="0087239B" w:rsidRDefault="0087239B" w:rsidP="0087239B">
      <w:pPr>
        <w:pStyle w:val="Heading1"/>
        <w:numPr>
          <w:ilvl w:val="0"/>
          <w:numId w:val="1"/>
        </w:numPr>
        <w:rPr>
          <w:lang w:val="fr-FR"/>
        </w:rPr>
      </w:pPr>
      <w:r>
        <w:rPr>
          <w:lang w:val="fr-FR"/>
        </w:rPr>
        <w:t>En acceptant cet Accord et si le Comité exécutif s’acquitte de ses obligations de financement au titre du paragraphe 3 :</w:t>
      </w:r>
    </w:p>
    <w:p w14:paraId="0BE46DF7" w14:textId="77777777" w:rsidR="0087239B" w:rsidRPr="006E5E8D" w:rsidRDefault="0087239B" w:rsidP="0087239B">
      <w:pPr>
        <w:pStyle w:val="Heading2"/>
        <w:numPr>
          <w:ilvl w:val="1"/>
          <w:numId w:val="1"/>
        </w:numPr>
        <w:rPr>
          <w:lang w:val="fr-FR"/>
        </w:rPr>
      </w:pPr>
      <w:r w:rsidRPr="006E5E8D">
        <w:rPr>
          <w:lang w:val="fr-FR"/>
        </w:rPr>
        <w:t>Le Pays ne pourra présenter aucune autre demande de financement ni recevoir de sommes supplémentaires du Fonds multilatéral pour contrôler les émissions des substances du groupe II de l’annexe F créées dans les différentes installations de fabrication de substances du groupe I de l’annexe C ou de l’annexe F ;</w:t>
      </w:r>
    </w:p>
    <w:p w14:paraId="555B46EA" w14:textId="77777777" w:rsidR="0087239B" w:rsidRPr="006E5E8D" w:rsidRDefault="0087239B" w:rsidP="0087239B">
      <w:pPr>
        <w:pStyle w:val="Heading2"/>
        <w:numPr>
          <w:ilvl w:val="1"/>
          <w:numId w:val="1"/>
        </w:numPr>
        <w:rPr>
          <w:lang w:val="fr-FR"/>
        </w:rPr>
      </w:pPr>
      <w:r w:rsidRPr="006E5E8D">
        <w:rPr>
          <w:lang w:val="fr-FR"/>
        </w:rPr>
        <w:t>Conformément au paragraphe 7  b), le Pays acceptera une vérification indépendante du respect des limites annuelles de contrôle des émissions de HFC-23, indiquées à la ligne 1.1 de l’Appendice 1-A du présent Accord. La vérification mentionnée ci-dessus sera commandée par l’agence d’exécution principale ;</w:t>
      </w:r>
    </w:p>
    <w:p w14:paraId="29BC62F7" w14:textId="33A6B08A" w:rsidR="0087239B" w:rsidRPr="006E5E8D" w:rsidRDefault="0087239B" w:rsidP="0087239B">
      <w:pPr>
        <w:pStyle w:val="Heading2"/>
        <w:numPr>
          <w:ilvl w:val="1"/>
          <w:numId w:val="1"/>
        </w:numPr>
        <w:rPr>
          <w:lang w:val="fr-CA"/>
        </w:rPr>
      </w:pPr>
      <w:r w:rsidRPr="006E5E8D">
        <w:rPr>
          <w:lang w:val="fr-FR"/>
        </w:rPr>
        <w:t xml:space="preserve">Le coût de la destruction </w:t>
      </w:r>
      <w:r>
        <w:rPr>
          <w:lang w:val="fr-FR"/>
        </w:rPr>
        <w:t>de tout kilogramme de sous-produit HFC-23 créé</w:t>
      </w:r>
      <w:r w:rsidRPr="006E5E8D">
        <w:rPr>
          <w:lang w:val="fr-FR"/>
        </w:rPr>
        <w:t xml:space="preserve"> en sus des 913 876 kilogrammes maximum</w:t>
      </w:r>
      <w:r>
        <w:rPr>
          <w:lang w:val="fr-FR"/>
        </w:rPr>
        <w:t>s</w:t>
      </w:r>
      <w:r w:rsidRPr="006E5E8D">
        <w:rPr>
          <w:lang w:val="fr-FR"/>
        </w:rPr>
        <w:t xml:space="preserve"> permis au titre de cet Accord sera payé par </w:t>
      </w:r>
      <w:r w:rsidRPr="006E5E8D">
        <w:rPr>
          <w:lang w:val="fr-CA"/>
        </w:rPr>
        <w:t>Quimobásicos, sous la supervision du Pays, pour la durée du projet</w:t>
      </w:r>
      <w:r w:rsidR="00894D15">
        <w:rPr>
          <w:lang w:val="fr-CA"/>
        </w:rPr>
        <w:t xml:space="preserve"> </w:t>
      </w:r>
      <w:r w:rsidRPr="006E5E8D">
        <w:rPr>
          <w:lang w:val="fr-CA"/>
        </w:rPr>
        <w:t>;</w:t>
      </w:r>
    </w:p>
    <w:p w14:paraId="3B2D5D0C" w14:textId="419EDEAF" w:rsidR="0087239B" w:rsidRPr="006E5E8D" w:rsidRDefault="0087239B" w:rsidP="0087239B">
      <w:pPr>
        <w:pStyle w:val="Heading2"/>
        <w:numPr>
          <w:ilvl w:val="1"/>
          <w:numId w:val="1"/>
        </w:numPr>
        <w:rPr>
          <w:lang w:val="fr-CA"/>
        </w:rPr>
      </w:pPr>
      <w:r w:rsidRPr="006E5E8D">
        <w:rPr>
          <w:lang w:val="fr-CA"/>
        </w:rPr>
        <w:t>Toutes les sommes restantes détenues par l’agence d’</w:t>
      </w:r>
      <w:r>
        <w:rPr>
          <w:lang w:val="fr-CA"/>
        </w:rPr>
        <w:t>exécution principale ou par le P</w:t>
      </w:r>
      <w:r w:rsidRPr="006E5E8D">
        <w:rPr>
          <w:lang w:val="fr-CA"/>
        </w:rPr>
        <w:t>ays seront restituées au Fonds multilatéral à l’achèvement du volet financier de la dernière tranche de cet Accord</w:t>
      </w:r>
      <w:r w:rsidR="00894D15">
        <w:rPr>
          <w:lang w:val="fr-CA"/>
        </w:rPr>
        <w:t xml:space="preserve"> </w:t>
      </w:r>
      <w:r w:rsidRPr="006E5E8D">
        <w:rPr>
          <w:lang w:val="fr-CA"/>
        </w:rPr>
        <w:t>;</w:t>
      </w:r>
      <w:r w:rsidR="00894D15">
        <w:rPr>
          <w:lang w:val="fr-CA"/>
        </w:rPr>
        <w:t xml:space="preserve"> et</w:t>
      </w:r>
    </w:p>
    <w:p w14:paraId="56575B7E" w14:textId="77777777" w:rsidR="0087239B" w:rsidRDefault="0087239B" w:rsidP="0087239B">
      <w:pPr>
        <w:pStyle w:val="Heading2"/>
        <w:numPr>
          <w:ilvl w:val="1"/>
          <w:numId w:val="1"/>
        </w:numPr>
        <w:rPr>
          <w:lang w:val="fr-CA"/>
        </w:rPr>
      </w:pPr>
      <w:r w:rsidRPr="006E5E8D">
        <w:rPr>
          <w:lang w:val="fr-CA"/>
        </w:rPr>
        <w:t xml:space="preserve">Il n’y aura aucun autre soutien financier </w:t>
      </w:r>
      <w:r>
        <w:rPr>
          <w:lang w:val="fr-CA"/>
        </w:rPr>
        <w:t>de</w:t>
      </w:r>
      <w:r w:rsidRPr="006E5E8D">
        <w:rPr>
          <w:lang w:val="fr-CA"/>
        </w:rPr>
        <w:t xml:space="preserve"> l’extérieur du Fonds multilatéral, </w:t>
      </w:r>
      <w:r>
        <w:rPr>
          <w:lang w:val="fr-CA"/>
        </w:rPr>
        <w:t xml:space="preserve">toutes sources confondues, </w:t>
      </w:r>
      <w:r w:rsidRPr="006E5E8D">
        <w:rPr>
          <w:lang w:val="fr-CA"/>
        </w:rPr>
        <w:t>y compris les crédits et les compensations pour les HFC-23, pour contrôler les émissions de sous-produit HFC-23 provenant des chaînes</w:t>
      </w:r>
      <w:r>
        <w:rPr>
          <w:lang w:val="fr-CA"/>
        </w:rPr>
        <w:t xml:space="preserve"> de production de HCFC-22 concernées, pendant le projet ou après son achèvement.</w:t>
      </w:r>
    </w:p>
    <w:p w14:paraId="705DCB36" w14:textId="77777777" w:rsidR="0087239B" w:rsidRDefault="0087239B" w:rsidP="0087239B">
      <w:pPr>
        <w:pStyle w:val="Heading1"/>
        <w:numPr>
          <w:ilvl w:val="0"/>
          <w:numId w:val="1"/>
        </w:numPr>
        <w:rPr>
          <w:lang w:val="fr-CA"/>
        </w:rPr>
      </w:pPr>
      <w:r>
        <w:rPr>
          <w:lang w:val="fr-CA"/>
        </w:rPr>
        <w:lastRenderedPageBreak/>
        <w:t>Le financement accordé en vertu de cet Accord ne sera pas modifié en fonction de futures décisions du Comité exécutif pouvant avoir une influence sur le financement offert par le Fonds multilatéral ou tout autre projet ou activité connexe au pays.</w:t>
      </w:r>
    </w:p>
    <w:p w14:paraId="5949B9AC" w14:textId="77777777" w:rsidR="0087239B" w:rsidRDefault="0087239B" w:rsidP="0087239B">
      <w:pPr>
        <w:pStyle w:val="Heading1"/>
        <w:numPr>
          <w:ilvl w:val="0"/>
          <w:numId w:val="1"/>
        </w:numPr>
        <w:rPr>
          <w:lang w:val="fr-CA"/>
        </w:rPr>
      </w:pPr>
      <w:r>
        <w:rPr>
          <w:lang w:val="fr-CA"/>
        </w:rPr>
        <w:t>[Le Pays accepte que le financement indiqué à la ligne 1.1 de l’Appendice 1-A en 2023 et toute autre année donnée par la suite soit réduit conformément à la formule suivante :</w:t>
      </w:r>
    </w:p>
    <w:tbl>
      <w:tblPr>
        <w:tblW w:w="9374" w:type="dxa"/>
        <w:tblLook w:val="04A0" w:firstRow="1" w:lastRow="0" w:firstColumn="1" w:lastColumn="0" w:noHBand="0" w:noVBand="1"/>
      </w:tblPr>
      <w:tblGrid>
        <w:gridCol w:w="1563"/>
        <w:gridCol w:w="3819"/>
        <w:gridCol w:w="3992"/>
      </w:tblGrid>
      <w:tr w:rsidR="0087239B" w:rsidRPr="00DB5847" w14:paraId="22824BC1" w14:textId="77777777" w:rsidTr="00315E8F">
        <w:tc>
          <w:tcPr>
            <w:tcW w:w="1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64DA6A" w14:textId="77777777" w:rsidR="0087239B" w:rsidRPr="00897004" w:rsidRDefault="0087239B" w:rsidP="0087239B">
            <w:pPr>
              <w:keepNext/>
              <w:keepLines/>
              <w:spacing w:before="20" w:after="20"/>
              <w:jc w:val="left"/>
              <w:rPr>
                <w:b/>
                <w:color w:val="000000"/>
                <w:sz w:val="18"/>
                <w:szCs w:val="18"/>
                <w:lang w:val="fr-CA" w:eastAsia="en-CA"/>
              </w:rPr>
            </w:pPr>
            <w:r w:rsidRPr="00897004">
              <w:rPr>
                <w:b/>
                <w:color w:val="000000"/>
                <w:sz w:val="18"/>
                <w:szCs w:val="18"/>
                <w:lang w:val="fr-CA" w:eastAsia="en-CA"/>
              </w:rPr>
              <w:t> </w:t>
            </w:r>
          </w:p>
        </w:tc>
        <w:tc>
          <w:tcPr>
            <w:tcW w:w="3819" w:type="dxa"/>
            <w:tcBorders>
              <w:top w:val="single" w:sz="4" w:space="0" w:color="auto"/>
              <w:left w:val="nil"/>
              <w:bottom w:val="single" w:sz="4" w:space="0" w:color="auto"/>
              <w:right w:val="single" w:sz="4" w:space="0" w:color="auto"/>
            </w:tcBorders>
            <w:shd w:val="clear" w:color="auto" w:fill="auto"/>
            <w:noWrap/>
            <w:vAlign w:val="center"/>
            <w:hideMark/>
          </w:tcPr>
          <w:p w14:paraId="441C1A08" w14:textId="77777777" w:rsidR="0087239B" w:rsidRPr="00DB5847" w:rsidRDefault="0087239B" w:rsidP="0087239B">
            <w:pPr>
              <w:keepNext/>
              <w:keepLines/>
              <w:spacing w:before="20" w:after="20"/>
              <w:jc w:val="center"/>
              <w:rPr>
                <w:b/>
                <w:color w:val="000000"/>
                <w:sz w:val="18"/>
                <w:szCs w:val="18"/>
                <w:lang w:val="en-CA" w:eastAsia="en-CA"/>
              </w:rPr>
            </w:pPr>
            <w:r w:rsidRPr="00DB5847">
              <w:rPr>
                <w:b/>
                <w:i/>
                <w:sz w:val="18"/>
                <w:szCs w:val="18"/>
                <w:lang w:val="en-CA"/>
              </w:rPr>
              <w:t>x</w:t>
            </w:r>
            <w:r w:rsidRPr="00DB5847">
              <w:rPr>
                <w:b/>
                <w:i/>
                <w:sz w:val="18"/>
                <w:szCs w:val="18"/>
                <w:vertAlign w:val="subscript"/>
                <w:lang w:val="en-CA"/>
              </w:rPr>
              <w:t>w,i</w:t>
            </w:r>
            <w:r>
              <w:rPr>
                <w:b/>
                <w:sz w:val="18"/>
                <w:szCs w:val="18"/>
                <w:lang w:val="en-CA"/>
              </w:rPr>
              <w:t xml:space="preserve"> ≥ 1,</w:t>
            </w:r>
            <w:r w:rsidRPr="00DB5847">
              <w:rPr>
                <w:b/>
                <w:sz w:val="18"/>
                <w:szCs w:val="18"/>
                <w:lang w:val="en-CA"/>
              </w:rPr>
              <w:t>57</w:t>
            </w:r>
            <w:r>
              <w:rPr>
                <w:b/>
                <w:sz w:val="18"/>
                <w:szCs w:val="18"/>
                <w:lang w:val="en-CA"/>
              </w:rPr>
              <w:t> </w:t>
            </w:r>
            <w:r w:rsidRPr="00DB5847">
              <w:rPr>
                <w:b/>
                <w:sz w:val="18"/>
                <w:szCs w:val="18"/>
                <w:lang w:val="en-CA"/>
              </w:rPr>
              <w:t>%</w:t>
            </w:r>
          </w:p>
        </w:tc>
        <w:tc>
          <w:tcPr>
            <w:tcW w:w="3992" w:type="dxa"/>
            <w:tcBorders>
              <w:top w:val="single" w:sz="4" w:space="0" w:color="auto"/>
              <w:left w:val="nil"/>
              <w:bottom w:val="single" w:sz="4" w:space="0" w:color="auto"/>
              <w:right w:val="single" w:sz="4" w:space="0" w:color="auto"/>
            </w:tcBorders>
            <w:shd w:val="clear" w:color="auto" w:fill="auto"/>
            <w:noWrap/>
            <w:vAlign w:val="center"/>
            <w:hideMark/>
          </w:tcPr>
          <w:p w14:paraId="051F72C3" w14:textId="77777777" w:rsidR="0087239B" w:rsidRPr="00DB5847" w:rsidRDefault="0087239B" w:rsidP="0087239B">
            <w:pPr>
              <w:keepNext/>
              <w:keepLines/>
              <w:spacing w:before="20" w:after="20"/>
              <w:jc w:val="center"/>
              <w:rPr>
                <w:b/>
                <w:color w:val="000000"/>
                <w:sz w:val="18"/>
                <w:szCs w:val="18"/>
                <w:lang w:val="en-CA" w:eastAsia="en-CA"/>
              </w:rPr>
            </w:pPr>
            <w:r w:rsidRPr="00DB5847">
              <w:rPr>
                <w:b/>
                <w:i/>
                <w:sz w:val="18"/>
                <w:szCs w:val="18"/>
                <w:lang w:val="en-CA"/>
              </w:rPr>
              <w:t>x</w:t>
            </w:r>
            <w:r w:rsidRPr="00DB5847">
              <w:rPr>
                <w:b/>
                <w:i/>
                <w:sz w:val="18"/>
                <w:szCs w:val="18"/>
                <w:vertAlign w:val="subscript"/>
                <w:lang w:val="en-CA"/>
              </w:rPr>
              <w:t>w,i</w:t>
            </w:r>
            <w:r>
              <w:rPr>
                <w:b/>
                <w:sz w:val="18"/>
                <w:szCs w:val="18"/>
                <w:lang w:val="en-CA"/>
              </w:rPr>
              <w:t xml:space="preserve"> &lt; 1,</w:t>
            </w:r>
            <w:r w:rsidRPr="00DB5847">
              <w:rPr>
                <w:b/>
                <w:sz w:val="18"/>
                <w:szCs w:val="18"/>
                <w:lang w:val="en-CA"/>
              </w:rPr>
              <w:t>57</w:t>
            </w:r>
            <w:r>
              <w:rPr>
                <w:b/>
                <w:sz w:val="18"/>
                <w:szCs w:val="18"/>
                <w:lang w:val="en-CA"/>
              </w:rPr>
              <w:t> </w:t>
            </w:r>
            <w:r w:rsidRPr="00DB5847">
              <w:rPr>
                <w:b/>
                <w:sz w:val="18"/>
                <w:szCs w:val="18"/>
                <w:lang w:val="en-CA"/>
              </w:rPr>
              <w:t>%</w:t>
            </w:r>
          </w:p>
        </w:tc>
      </w:tr>
      <w:tr w:rsidR="0087239B" w:rsidRPr="00DB5847" w14:paraId="2180BECD" w14:textId="77777777" w:rsidTr="00315E8F">
        <w:tc>
          <w:tcPr>
            <w:tcW w:w="1563" w:type="dxa"/>
            <w:tcBorders>
              <w:top w:val="nil"/>
              <w:left w:val="single" w:sz="4" w:space="0" w:color="auto"/>
              <w:bottom w:val="single" w:sz="4" w:space="0" w:color="auto"/>
              <w:right w:val="single" w:sz="4" w:space="0" w:color="auto"/>
            </w:tcBorders>
            <w:shd w:val="clear" w:color="auto" w:fill="auto"/>
            <w:noWrap/>
            <w:vAlign w:val="center"/>
            <w:hideMark/>
          </w:tcPr>
          <w:p w14:paraId="7BA0E554" w14:textId="77777777" w:rsidR="0087239B" w:rsidRPr="00DB5847" w:rsidRDefault="0087239B" w:rsidP="0087239B">
            <w:pPr>
              <w:keepNext/>
              <w:keepLines/>
              <w:spacing w:before="60" w:after="60"/>
              <w:jc w:val="left"/>
              <w:rPr>
                <w:b/>
                <w:color w:val="000000"/>
                <w:sz w:val="18"/>
                <w:szCs w:val="18"/>
                <w:lang w:val="en-CA" w:eastAsia="en-CA"/>
              </w:rPr>
            </w:pPr>
            <w:r w:rsidRPr="00DB5847">
              <w:rPr>
                <w:b/>
                <w:i/>
                <w:sz w:val="18"/>
                <w:szCs w:val="18"/>
                <w:lang w:val="en-CA"/>
              </w:rPr>
              <w:t>P</w:t>
            </w:r>
            <w:r w:rsidRPr="00DB5847">
              <w:rPr>
                <w:b/>
                <w:i/>
                <w:sz w:val="18"/>
                <w:szCs w:val="18"/>
                <w:vertAlign w:val="subscript"/>
                <w:lang w:val="en-CA"/>
              </w:rPr>
              <w:t>HCFC-22,i</w:t>
            </w:r>
            <w:r>
              <w:rPr>
                <w:b/>
                <w:sz w:val="18"/>
                <w:szCs w:val="18"/>
                <w:lang w:val="en-CA"/>
              </w:rPr>
              <w:t xml:space="preserve"> ≤ 6 </w:t>
            </w:r>
            <w:r w:rsidRPr="00DB5847">
              <w:rPr>
                <w:b/>
                <w:sz w:val="18"/>
                <w:szCs w:val="18"/>
                <w:lang w:val="en-CA"/>
              </w:rPr>
              <w:t>454</w:t>
            </w:r>
          </w:p>
        </w:tc>
        <w:tc>
          <w:tcPr>
            <w:tcW w:w="3819" w:type="dxa"/>
            <w:tcBorders>
              <w:top w:val="nil"/>
              <w:left w:val="nil"/>
              <w:bottom w:val="single" w:sz="4" w:space="0" w:color="auto"/>
              <w:right w:val="single" w:sz="4" w:space="0" w:color="auto"/>
            </w:tcBorders>
            <w:shd w:val="clear" w:color="auto" w:fill="auto"/>
            <w:noWrap/>
            <w:vAlign w:val="center"/>
            <w:hideMark/>
          </w:tcPr>
          <w:p w14:paraId="668ACCE3" w14:textId="77777777" w:rsidR="0087239B" w:rsidRPr="00DB5847" w:rsidRDefault="00E71580" w:rsidP="0087239B">
            <w:pPr>
              <w:keepNext/>
              <w:keepLines/>
              <w:spacing w:before="60" w:after="60"/>
              <w:jc w:val="left"/>
              <w:rPr>
                <w:color w:val="000000"/>
                <w:sz w:val="18"/>
                <w:szCs w:val="18"/>
                <w:lang w:val="en-CA" w:eastAsia="en-CA"/>
              </w:rPr>
            </w:pPr>
            <m:oMathPara>
              <m:oMathParaPr>
                <m:jc m:val="left"/>
              </m:oMathParaPr>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min</m:t>
                    </m:r>
                  </m:fName>
                  <m:e>
                    <m:d>
                      <m:dPr>
                        <m:ctrlPr>
                          <w:rPr>
                            <w:rFonts w:ascii="Cambria Math" w:hAnsi="Cambria Math"/>
                            <w:i/>
                            <w:sz w:val="18"/>
                            <w:szCs w:val="18"/>
                            <w:lang w:val="en-CA"/>
                          </w:rPr>
                        </m:ctrlPr>
                      </m:dPr>
                      <m:e>
                        <m:r>
                          <w:rPr>
                            <w:rFonts w:ascii="Cambria Math" w:hAnsi="Cambria Math"/>
                            <w:sz w:val="18"/>
                            <w:szCs w:val="18"/>
                            <w:lang w:val="en-CA"/>
                          </w:rPr>
                          <m:t>1000×</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HCFC-22,i</m:t>
                            </m:r>
                          </m:sub>
                        </m:sSub>
                        <m:r>
                          <w:rPr>
                            <w:rFonts w:ascii="Cambria Math" w:hAnsi="Cambria Math"/>
                            <w:sz w:val="18"/>
                            <w:szCs w:val="18"/>
                            <w:lang w:val="en-CA"/>
                          </w:rPr>
                          <m:t>×0,0157,</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m:t>
                            </m:r>
                          </m:sub>
                        </m:sSub>
                      </m:e>
                    </m:d>
                  </m:e>
                </m:func>
                <m:r>
                  <w:rPr>
                    <w:rFonts w:ascii="Cambria Math" w:hAnsi="Cambria Math"/>
                    <w:sz w:val="18"/>
                    <w:szCs w:val="18"/>
                    <w:lang w:val="en-CA"/>
                  </w:rPr>
                  <m:t>×3,28</m:t>
                </m:r>
              </m:oMath>
            </m:oMathPara>
          </w:p>
        </w:tc>
        <w:tc>
          <w:tcPr>
            <w:tcW w:w="3992" w:type="dxa"/>
            <w:tcBorders>
              <w:top w:val="nil"/>
              <w:left w:val="nil"/>
              <w:bottom w:val="single" w:sz="4" w:space="0" w:color="auto"/>
              <w:right w:val="single" w:sz="4" w:space="0" w:color="auto"/>
            </w:tcBorders>
            <w:shd w:val="clear" w:color="auto" w:fill="auto"/>
            <w:noWrap/>
            <w:vAlign w:val="center"/>
            <w:hideMark/>
          </w:tcPr>
          <w:p w14:paraId="75E30697" w14:textId="77777777" w:rsidR="0087239B" w:rsidRPr="00DB5847" w:rsidRDefault="00E71580" w:rsidP="0087239B">
            <w:pPr>
              <w:keepNext/>
              <w:keepLines/>
              <w:spacing w:before="60" w:after="60"/>
              <w:jc w:val="left"/>
              <w:rPr>
                <w:color w:val="000000"/>
                <w:sz w:val="18"/>
                <w:szCs w:val="18"/>
                <w:lang w:val="en-CA" w:eastAsia="en-CA"/>
              </w:rPr>
            </w:pPr>
            <m:oMathPara>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max</m:t>
                    </m:r>
                  </m:fName>
                  <m:e>
                    <m:d>
                      <m:dPr>
                        <m:ctrlPr>
                          <w:rPr>
                            <w:rFonts w:ascii="Cambria Math" w:hAnsi="Cambria Math"/>
                            <w:i/>
                            <w:sz w:val="18"/>
                            <w:szCs w:val="18"/>
                            <w:lang w:val="en-CA"/>
                          </w:rPr>
                        </m:ctrlPr>
                      </m:dPr>
                      <m:e>
                        <m:r>
                          <w:rPr>
                            <w:rFonts w:ascii="Cambria Math" w:hAnsi="Cambria Math"/>
                            <w:sz w:val="18"/>
                            <w:szCs w:val="18"/>
                            <w:lang w:val="en-CA"/>
                          </w:rPr>
                          <m:t>1000×</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HCFC-22,i</m:t>
                            </m:r>
                          </m:sub>
                        </m:sSub>
                        <m:r>
                          <w:rPr>
                            <w:rFonts w:ascii="Cambria Math" w:hAnsi="Cambria Math"/>
                            <w:sz w:val="18"/>
                            <w:szCs w:val="18"/>
                            <w:lang w:val="en-CA"/>
                          </w:rPr>
                          <m:t>×0,0157,</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m:t>
                            </m:r>
                          </m:sub>
                        </m:sSub>
                      </m:e>
                    </m:d>
                  </m:e>
                </m:func>
                <m:r>
                  <w:rPr>
                    <w:rFonts w:ascii="Cambria Math" w:hAnsi="Cambria Math"/>
                    <w:sz w:val="18"/>
                    <w:szCs w:val="18"/>
                    <w:lang w:val="en-CA"/>
                  </w:rPr>
                  <m:t>×3,28</m:t>
                </m:r>
              </m:oMath>
            </m:oMathPara>
          </w:p>
        </w:tc>
      </w:tr>
      <w:tr w:rsidR="0087239B" w:rsidRPr="00DB5847" w14:paraId="076E7448" w14:textId="77777777" w:rsidTr="00315E8F">
        <w:tc>
          <w:tcPr>
            <w:tcW w:w="1563" w:type="dxa"/>
            <w:tcBorders>
              <w:top w:val="nil"/>
              <w:left w:val="single" w:sz="4" w:space="0" w:color="auto"/>
              <w:bottom w:val="single" w:sz="4" w:space="0" w:color="auto"/>
              <w:right w:val="single" w:sz="4" w:space="0" w:color="auto"/>
            </w:tcBorders>
            <w:shd w:val="clear" w:color="auto" w:fill="auto"/>
            <w:noWrap/>
            <w:vAlign w:val="center"/>
            <w:hideMark/>
          </w:tcPr>
          <w:p w14:paraId="63248055" w14:textId="77777777" w:rsidR="0087239B" w:rsidRPr="00DB5847" w:rsidRDefault="0087239B" w:rsidP="0087239B">
            <w:pPr>
              <w:keepNext/>
              <w:keepLines/>
              <w:spacing w:before="60" w:after="60"/>
              <w:jc w:val="left"/>
              <w:rPr>
                <w:b/>
                <w:color w:val="000000"/>
                <w:sz w:val="18"/>
                <w:szCs w:val="18"/>
                <w:lang w:val="en-CA" w:eastAsia="en-CA"/>
              </w:rPr>
            </w:pPr>
            <w:r w:rsidRPr="00DB5847">
              <w:rPr>
                <w:b/>
                <w:i/>
                <w:sz w:val="18"/>
                <w:szCs w:val="18"/>
                <w:lang w:val="en-CA"/>
              </w:rPr>
              <w:t>P</w:t>
            </w:r>
            <w:r w:rsidRPr="00DB5847">
              <w:rPr>
                <w:b/>
                <w:i/>
                <w:sz w:val="18"/>
                <w:szCs w:val="18"/>
                <w:vertAlign w:val="subscript"/>
                <w:lang w:val="en-CA"/>
              </w:rPr>
              <w:t>HCFC-22,i</w:t>
            </w:r>
            <w:r>
              <w:rPr>
                <w:b/>
                <w:sz w:val="18"/>
                <w:szCs w:val="18"/>
                <w:lang w:val="en-CA"/>
              </w:rPr>
              <w:t xml:space="preserve"> &gt; 6 </w:t>
            </w:r>
            <w:r w:rsidRPr="00DB5847">
              <w:rPr>
                <w:b/>
                <w:sz w:val="18"/>
                <w:szCs w:val="18"/>
                <w:lang w:val="en-CA"/>
              </w:rPr>
              <w:t>454</w:t>
            </w:r>
          </w:p>
        </w:tc>
        <w:tc>
          <w:tcPr>
            <w:tcW w:w="3819" w:type="dxa"/>
            <w:tcBorders>
              <w:top w:val="nil"/>
              <w:left w:val="nil"/>
              <w:bottom w:val="single" w:sz="4" w:space="0" w:color="auto"/>
              <w:right w:val="single" w:sz="4" w:space="0" w:color="auto"/>
            </w:tcBorders>
            <w:shd w:val="clear" w:color="auto" w:fill="auto"/>
            <w:noWrap/>
            <w:vAlign w:val="center"/>
            <w:hideMark/>
          </w:tcPr>
          <w:p w14:paraId="0A5C301F" w14:textId="77777777" w:rsidR="0087239B" w:rsidRPr="00DB5847" w:rsidRDefault="00E71580" w:rsidP="0087239B">
            <w:pPr>
              <w:keepNext/>
              <w:keepLines/>
              <w:spacing w:before="60" w:after="60"/>
              <w:jc w:val="left"/>
              <w:rPr>
                <w:color w:val="000000"/>
                <w:sz w:val="18"/>
                <w:szCs w:val="18"/>
                <w:lang w:val="en-CA" w:eastAsia="en-CA"/>
              </w:rPr>
            </w:pPr>
            <m:oMathPara>
              <m:oMathParaPr>
                <m:jc m:val="left"/>
              </m:oMathParaPr>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min</m:t>
                    </m:r>
                  </m:fName>
                  <m:e>
                    <m:d>
                      <m:dPr>
                        <m:ctrlPr>
                          <w:rPr>
                            <w:rFonts w:ascii="Cambria Math" w:hAnsi="Cambria Math"/>
                            <w:i/>
                            <w:sz w:val="18"/>
                            <w:szCs w:val="18"/>
                            <w:lang w:val="en-CA"/>
                          </w:rPr>
                        </m:ctrlPr>
                      </m:dPr>
                      <m:e>
                        <m:r>
                          <w:rPr>
                            <w:rFonts w:ascii="Cambria Math" w:hAnsi="Cambria Math"/>
                            <w:sz w:val="18"/>
                            <w:szCs w:val="18"/>
                            <w:lang w:val="en-CA"/>
                          </w:rPr>
                          <m:t>1000×6 454×0,0157,</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m:t>
                            </m:r>
                          </m:sub>
                        </m:sSub>
                      </m:e>
                    </m:d>
                  </m:e>
                </m:func>
                <m:r>
                  <w:rPr>
                    <w:rFonts w:ascii="Cambria Math" w:hAnsi="Cambria Math"/>
                    <w:sz w:val="18"/>
                    <w:szCs w:val="18"/>
                    <w:lang w:val="en-CA"/>
                  </w:rPr>
                  <m:t>×3,28</m:t>
                </m:r>
              </m:oMath>
            </m:oMathPara>
          </w:p>
        </w:tc>
        <w:tc>
          <w:tcPr>
            <w:tcW w:w="3992" w:type="dxa"/>
            <w:tcBorders>
              <w:top w:val="nil"/>
              <w:left w:val="nil"/>
              <w:bottom w:val="single" w:sz="4" w:space="0" w:color="auto"/>
              <w:right w:val="single" w:sz="4" w:space="0" w:color="auto"/>
            </w:tcBorders>
            <w:shd w:val="clear" w:color="auto" w:fill="auto"/>
            <w:noWrap/>
            <w:vAlign w:val="center"/>
            <w:hideMark/>
          </w:tcPr>
          <w:p w14:paraId="0DAED6AD" w14:textId="77777777" w:rsidR="0087239B" w:rsidRPr="00DB5847" w:rsidRDefault="0087239B" w:rsidP="0087239B">
            <w:pPr>
              <w:keepNext/>
              <w:keepLines/>
              <w:spacing w:before="60" w:after="60"/>
              <w:jc w:val="left"/>
              <w:rPr>
                <w:color w:val="000000"/>
                <w:sz w:val="18"/>
                <w:szCs w:val="18"/>
                <w:lang w:val="en-CA" w:eastAsia="en-CA"/>
              </w:rPr>
            </w:pPr>
            <m:oMathPara>
              <m:oMath>
                <m:r>
                  <w:rPr>
                    <w:rFonts w:ascii="Cambria Math" w:hAnsi="Cambria Math"/>
                    <w:sz w:val="18"/>
                    <w:szCs w:val="18"/>
                    <w:lang w:val="en-CA"/>
                  </w:rPr>
                  <m:t>0</m:t>
                </m:r>
              </m:oMath>
            </m:oMathPara>
          </w:p>
        </w:tc>
      </w:tr>
    </w:tbl>
    <w:p w14:paraId="336FA1EF" w14:textId="77777777" w:rsidR="0087239B" w:rsidRDefault="0087239B" w:rsidP="00315E8F">
      <w:pPr>
        <w:rPr>
          <w:lang w:val="fr-CA" w:eastAsia="en-CA"/>
        </w:rPr>
      </w:pPr>
    </w:p>
    <w:p w14:paraId="5CA41501" w14:textId="77777777" w:rsidR="0087239B" w:rsidRPr="00245FC5" w:rsidRDefault="0087239B" w:rsidP="00315E8F">
      <w:pPr>
        <w:keepNext/>
        <w:keepLines/>
        <w:spacing w:before="120" w:after="20"/>
        <w:ind w:firstLine="720"/>
        <w:rPr>
          <w:lang w:val="fr-CA"/>
        </w:rPr>
      </w:pPr>
      <w:r w:rsidRPr="00245FC5">
        <w:rPr>
          <w:lang w:val="fr-CA"/>
        </w:rPr>
        <w:t>Où :</w:t>
      </w:r>
    </w:p>
    <w:p w14:paraId="1DC6B6A2" w14:textId="77777777" w:rsidR="0087239B" w:rsidRPr="00897004" w:rsidRDefault="0087239B" w:rsidP="00315E8F">
      <w:pPr>
        <w:keepNext/>
        <w:keepLines/>
        <w:spacing w:after="20"/>
        <w:ind w:left="1134"/>
        <w:rPr>
          <w:sz w:val="20"/>
          <w:szCs w:val="20"/>
          <w:lang w:val="fr-CA"/>
        </w:rPr>
      </w:pPr>
      <w:r w:rsidRPr="00897004">
        <w:rPr>
          <w:b/>
          <w:bCs/>
          <w:i/>
          <w:sz w:val="20"/>
          <w:szCs w:val="20"/>
          <w:lang w:val="fr-CA"/>
        </w:rPr>
        <w:t>P</w:t>
      </w:r>
      <w:r w:rsidRPr="00897004">
        <w:rPr>
          <w:b/>
          <w:bCs/>
          <w:i/>
          <w:sz w:val="20"/>
          <w:szCs w:val="20"/>
          <w:vertAlign w:val="subscript"/>
          <w:lang w:val="fr-CA"/>
        </w:rPr>
        <w:t>HCFC-22,i</w:t>
      </w:r>
      <w:r w:rsidRPr="00897004">
        <w:rPr>
          <w:b/>
          <w:bCs/>
          <w:sz w:val="20"/>
          <w:szCs w:val="20"/>
          <w:lang w:val="fr-CA"/>
        </w:rPr>
        <w:t xml:space="preserve"> </w:t>
      </w:r>
      <w:r w:rsidRPr="00897004">
        <w:rPr>
          <w:sz w:val="20"/>
          <w:szCs w:val="20"/>
          <w:lang w:val="fr-CA"/>
        </w:rPr>
        <w:t>= production de HCFC-22 a</w:t>
      </w:r>
      <w:r>
        <w:rPr>
          <w:sz w:val="20"/>
          <w:szCs w:val="20"/>
          <w:lang w:val="fr-CA"/>
        </w:rPr>
        <w:t>u cours de l’année</w:t>
      </w:r>
      <w:r w:rsidRPr="00897004">
        <w:rPr>
          <w:sz w:val="20"/>
          <w:szCs w:val="20"/>
          <w:lang w:val="fr-CA"/>
        </w:rPr>
        <w:t xml:space="preserve"> </w:t>
      </w:r>
      <w:r w:rsidRPr="00897004">
        <w:rPr>
          <w:i/>
          <w:sz w:val="20"/>
          <w:szCs w:val="20"/>
          <w:lang w:val="fr-CA"/>
        </w:rPr>
        <w:t>i</w:t>
      </w:r>
      <w:r w:rsidRPr="00897004">
        <w:rPr>
          <w:sz w:val="20"/>
          <w:szCs w:val="20"/>
          <w:lang w:val="fr-CA"/>
        </w:rPr>
        <w:t xml:space="preserve"> (</w:t>
      </w:r>
      <w:r>
        <w:rPr>
          <w:sz w:val="20"/>
          <w:szCs w:val="20"/>
          <w:lang w:val="fr-CA"/>
        </w:rPr>
        <w:t>tm</w:t>
      </w:r>
      <w:r w:rsidRPr="00897004">
        <w:rPr>
          <w:sz w:val="20"/>
          <w:szCs w:val="20"/>
          <w:lang w:val="fr-CA"/>
        </w:rPr>
        <w:t>)</w:t>
      </w:r>
    </w:p>
    <w:p w14:paraId="6B593493" w14:textId="77777777" w:rsidR="0087239B" w:rsidRPr="00897004" w:rsidRDefault="0087239B" w:rsidP="00315E8F">
      <w:pPr>
        <w:keepNext/>
        <w:keepLines/>
        <w:spacing w:after="20"/>
        <w:ind w:left="1134"/>
        <w:rPr>
          <w:sz w:val="20"/>
          <w:szCs w:val="20"/>
          <w:lang w:val="fr-CA"/>
        </w:rPr>
      </w:pPr>
      <w:r w:rsidRPr="00897004">
        <w:rPr>
          <w:b/>
          <w:bCs/>
          <w:i/>
          <w:sz w:val="20"/>
          <w:szCs w:val="20"/>
          <w:lang w:val="fr-CA"/>
        </w:rPr>
        <w:t>Q</w:t>
      </w:r>
      <w:r w:rsidRPr="00897004">
        <w:rPr>
          <w:b/>
          <w:bCs/>
          <w:i/>
          <w:sz w:val="20"/>
          <w:szCs w:val="20"/>
          <w:vertAlign w:val="subscript"/>
          <w:lang w:val="fr-CA"/>
        </w:rPr>
        <w:t>HFC-23,i</w:t>
      </w:r>
      <w:r w:rsidRPr="00897004">
        <w:rPr>
          <w:sz w:val="20"/>
          <w:szCs w:val="20"/>
          <w:lang w:val="fr-CA"/>
        </w:rPr>
        <w:t xml:space="preserve"> = q</w:t>
      </w:r>
      <w:r>
        <w:rPr>
          <w:sz w:val="20"/>
          <w:szCs w:val="20"/>
          <w:lang w:val="fr-CA"/>
        </w:rPr>
        <w:t>uantité de sous-pr</w:t>
      </w:r>
      <w:r w:rsidRPr="00897004">
        <w:rPr>
          <w:sz w:val="20"/>
          <w:szCs w:val="20"/>
          <w:lang w:val="fr-CA"/>
        </w:rPr>
        <w:t xml:space="preserve">oduit HFC-23 créé au cours de l’année </w:t>
      </w:r>
      <w:r w:rsidRPr="00897004">
        <w:rPr>
          <w:i/>
          <w:sz w:val="20"/>
          <w:szCs w:val="20"/>
          <w:lang w:val="fr-CA"/>
        </w:rPr>
        <w:t>i</w:t>
      </w:r>
      <w:r w:rsidRPr="00897004">
        <w:rPr>
          <w:sz w:val="20"/>
          <w:szCs w:val="20"/>
          <w:lang w:val="fr-CA"/>
        </w:rPr>
        <w:t xml:space="preserve"> (kg)</w:t>
      </w:r>
    </w:p>
    <w:p w14:paraId="5842CF6E" w14:textId="77777777" w:rsidR="0087239B" w:rsidRPr="001E35FF" w:rsidRDefault="0087239B" w:rsidP="00315E8F">
      <w:pPr>
        <w:keepNext/>
        <w:keepLines/>
        <w:spacing w:after="20"/>
        <w:ind w:left="1134"/>
        <w:rPr>
          <w:sz w:val="20"/>
          <w:szCs w:val="20"/>
          <w:lang w:val="fr-CA"/>
        </w:rPr>
      </w:pPr>
      <w:r w:rsidRPr="001E35FF">
        <w:rPr>
          <w:b/>
          <w:bCs/>
          <w:i/>
          <w:sz w:val="20"/>
          <w:szCs w:val="20"/>
          <w:lang w:val="fr-CA"/>
        </w:rPr>
        <w:t>D</w:t>
      </w:r>
      <w:r w:rsidRPr="001E35FF">
        <w:rPr>
          <w:b/>
          <w:bCs/>
          <w:i/>
          <w:sz w:val="20"/>
          <w:szCs w:val="20"/>
          <w:vertAlign w:val="subscript"/>
          <w:lang w:val="fr-CA"/>
        </w:rPr>
        <w:t>HFC-23,i</w:t>
      </w:r>
      <w:r w:rsidRPr="001E35FF">
        <w:rPr>
          <w:sz w:val="20"/>
          <w:szCs w:val="20"/>
          <w:lang w:val="fr-CA"/>
        </w:rPr>
        <w:t xml:space="preserve"> = </w:t>
      </w:r>
      <w:r w:rsidRPr="00897004">
        <w:rPr>
          <w:sz w:val="20"/>
          <w:szCs w:val="20"/>
          <w:lang w:val="fr-CA"/>
        </w:rPr>
        <w:t>q</w:t>
      </w:r>
      <w:r>
        <w:rPr>
          <w:sz w:val="20"/>
          <w:szCs w:val="20"/>
          <w:lang w:val="fr-CA"/>
        </w:rPr>
        <w:t>uantité de sous-pr</w:t>
      </w:r>
      <w:r w:rsidRPr="00897004">
        <w:rPr>
          <w:sz w:val="20"/>
          <w:szCs w:val="20"/>
          <w:lang w:val="fr-CA"/>
        </w:rPr>
        <w:t xml:space="preserve">oduit HFC-23 </w:t>
      </w:r>
      <w:r>
        <w:rPr>
          <w:sz w:val="20"/>
          <w:szCs w:val="20"/>
          <w:lang w:val="fr-CA"/>
        </w:rPr>
        <w:t>détruite</w:t>
      </w:r>
      <w:r w:rsidRPr="00897004">
        <w:rPr>
          <w:sz w:val="20"/>
          <w:szCs w:val="20"/>
          <w:lang w:val="fr-CA"/>
        </w:rPr>
        <w:t xml:space="preserve"> au cours de l’année </w:t>
      </w:r>
      <w:r w:rsidRPr="001E35FF">
        <w:rPr>
          <w:i/>
          <w:sz w:val="20"/>
          <w:szCs w:val="20"/>
          <w:lang w:val="fr-CA"/>
        </w:rPr>
        <w:t>i</w:t>
      </w:r>
      <w:r w:rsidRPr="001E35FF">
        <w:rPr>
          <w:sz w:val="20"/>
          <w:szCs w:val="20"/>
          <w:lang w:val="fr-CA"/>
        </w:rPr>
        <w:t xml:space="preserve"> (kg)</w:t>
      </w:r>
    </w:p>
    <w:p w14:paraId="161C9BAF" w14:textId="77777777" w:rsidR="0087239B" w:rsidRPr="00DB5847" w:rsidRDefault="0087239B" w:rsidP="00315E8F">
      <w:pPr>
        <w:keepNext/>
        <w:keepLines/>
        <w:spacing w:after="20"/>
        <w:ind w:left="1134"/>
        <w:rPr>
          <w:sz w:val="20"/>
          <w:szCs w:val="20"/>
          <w:lang w:val="en-CA"/>
        </w:rPr>
      </w:pPr>
      <w:r w:rsidRPr="00DB5847">
        <w:rPr>
          <w:b/>
          <w:bCs/>
          <w:i/>
          <w:sz w:val="20"/>
          <w:szCs w:val="20"/>
          <w:lang w:val="en-CA"/>
        </w:rPr>
        <w:t>x</w:t>
      </w:r>
      <w:r w:rsidRPr="00DB5847">
        <w:rPr>
          <w:b/>
          <w:bCs/>
          <w:i/>
          <w:sz w:val="20"/>
          <w:szCs w:val="20"/>
          <w:vertAlign w:val="subscript"/>
          <w:lang w:val="en-CA"/>
        </w:rPr>
        <w:t>w,i</w:t>
      </w:r>
      <w:r w:rsidRPr="00DB5847">
        <w:rPr>
          <w:sz w:val="20"/>
          <w:szCs w:val="20"/>
          <w:lang w:val="en-CA"/>
        </w:rPr>
        <w:t xml:space="preserve"> = </w:t>
      </w:r>
      <m:oMath>
        <m:f>
          <m:fPr>
            <m:ctrlPr>
              <w:rPr>
                <w:rFonts w:ascii="Cambria Math" w:hAnsi="Cambria Math"/>
                <w:i/>
                <w:sz w:val="20"/>
                <w:szCs w:val="20"/>
                <w:lang w:val="en-CA"/>
              </w:rPr>
            </m:ctrlPr>
          </m:fPr>
          <m:num>
            <m:sSub>
              <m:sSubPr>
                <m:ctrlPr>
                  <w:rPr>
                    <w:rFonts w:ascii="Cambria Math" w:hAnsi="Cambria Math"/>
                    <w:i/>
                    <w:sz w:val="20"/>
                    <w:szCs w:val="20"/>
                    <w:lang w:val="en-CA"/>
                  </w:rPr>
                </m:ctrlPr>
              </m:sSubPr>
              <m:e>
                <m:r>
                  <w:rPr>
                    <w:rFonts w:ascii="Cambria Math" w:hAnsi="Cambria Math"/>
                    <w:sz w:val="20"/>
                    <w:szCs w:val="20"/>
                    <w:lang w:val="en-CA"/>
                  </w:rPr>
                  <m:t>Q</m:t>
                </m:r>
              </m:e>
              <m:sub>
                <m:r>
                  <w:rPr>
                    <w:rFonts w:ascii="Cambria Math" w:hAnsi="Cambria Math"/>
                    <w:sz w:val="20"/>
                    <w:szCs w:val="20"/>
                    <w:lang w:val="en-CA"/>
                  </w:rPr>
                  <m:t>HFC-23,i</m:t>
                </m:r>
              </m:sub>
            </m:sSub>
          </m:num>
          <m:den>
            <m:sSub>
              <m:sSubPr>
                <m:ctrlPr>
                  <w:rPr>
                    <w:rFonts w:ascii="Cambria Math" w:hAnsi="Cambria Math"/>
                    <w:i/>
                    <w:sz w:val="20"/>
                    <w:szCs w:val="20"/>
                    <w:lang w:val="en-CA"/>
                  </w:rPr>
                </m:ctrlPr>
              </m:sSubPr>
              <m:e>
                <m:r>
                  <w:rPr>
                    <w:rFonts w:ascii="Cambria Math" w:hAnsi="Cambria Math"/>
                    <w:sz w:val="20"/>
                    <w:szCs w:val="20"/>
                    <w:lang w:val="en-CA"/>
                  </w:rPr>
                  <m:t>P</m:t>
                </m:r>
              </m:e>
              <m:sub>
                <m:r>
                  <w:rPr>
                    <w:rFonts w:ascii="Cambria Math" w:hAnsi="Cambria Math"/>
                    <w:sz w:val="20"/>
                    <w:szCs w:val="20"/>
                    <w:lang w:val="en-CA"/>
                  </w:rPr>
                  <m:t>HCFC-22,i</m:t>
                </m:r>
              </m:sub>
            </m:sSub>
          </m:den>
        </m:f>
      </m:oMath>
      <w:r w:rsidRPr="00DB5847">
        <w:rPr>
          <w:sz w:val="20"/>
          <w:szCs w:val="20"/>
          <w:lang w:val="en-CA"/>
        </w:rPr>
        <w:t xml:space="preserve"> (%)</w:t>
      </w:r>
    </w:p>
    <w:p w14:paraId="628D518D" w14:textId="77777777" w:rsidR="0087239B" w:rsidRPr="001E35FF" w:rsidRDefault="0087239B" w:rsidP="00315E8F">
      <w:pPr>
        <w:keepNext/>
        <w:keepLines/>
        <w:spacing w:after="240"/>
        <w:ind w:left="4678" w:hanging="3544"/>
        <w:jc w:val="left"/>
        <w:rPr>
          <w:sz w:val="20"/>
          <w:szCs w:val="20"/>
          <w:lang w:val="fr-CA"/>
        </w:rPr>
      </w:pPr>
      <w:r w:rsidRPr="001E35FF">
        <w:rPr>
          <w:b/>
          <w:bCs/>
          <w:i/>
          <w:sz w:val="20"/>
          <w:szCs w:val="20"/>
          <w:lang w:val="fr-CA"/>
        </w:rPr>
        <w:t>IOC</w:t>
      </w:r>
      <w:r w:rsidRPr="001E35FF">
        <w:rPr>
          <w:b/>
          <w:bCs/>
          <w:i/>
          <w:sz w:val="20"/>
          <w:szCs w:val="20"/>
          <w:vertAlign w:val="subscript"/>
          <w:lang w:val="fr-CA"/>
        </w:rPr>
        <w:t>max,i</w:t>
      </w:r>
      <w:r w:rsidRPr="001E35FF">
        <w:rPr>
          <w:sz w:val="20"/>
          <w:szCs w:val="20"/>
          <w:lang w:val="fr-CA"/>
        </w:rPr>
        <w:t xml:space="preserve"> = Surcoûts d’exploitation maximums convenus pour l’année </w:t>
      </w:r>
      <w:r w:rsidRPr="001E35FF">
        <w:rPr>
          <w:i/>
          <w:sz w:val="20"/>
          <w:szCs w:val="20"/>
          <w:lang w:val="fr-CA"/>
        </w:rPr>
        <w:t>i</w:t>
      </w:r>
      <w:r w:rsidRPr="001E35FF">
        <w:rPr>
          <w:sz w:val="20"/>
          <w:szCs w:val="20"/>
          <w:lang w:val="fr-CA"/>
        </w:rPr>
        <w:t xml:space="preserve"> = </w:t>
      </w:r>
      <m:oMath>
        <m:r>
          <w:rPr>
            <w:rFonts w:ascii="Cambria Math" w:hAnsi="Cambria Math"/>
            <w:sz w:val="20"/>
            <w:szCs w:val="20"/>
            <w:lang w:val="fr-CA"/>
          </w:rPr>
          <m:t>6,454×0.0157×3.28</m:t>
        </m:r>
      </m:oMath>
      <w:r w:rsidRPr="001E35FF">
        <w:rPr>
          <w:sz w:val="20"/>
          <w:szCs w:val="20"/>
          <w:lang w:val="fr-CA"/>
        </w:rPr>
        <w:t xml:space="preserve"> = US $332,355</w:t>
      </w:r>
      <w:r>
        <w:rPr>
          <w:sz w:val="20"/>
          <w:szCs w:val="20"/>
          <w:lang w:val="fr-CA"/>
        </w:rPr>
        <w:t>]</w:t>
      </w:r>
    </w:p>
    <w:p w14:paraId="627E8B47" w14:textId="77777777" w:rsidR="0087239B" w:rsidRPr="001E35FF" w:rsidRDefault="0087239B" w:rsidP="00315E8F">
      <w:pPr>
        <w:rPr>
          <w:u w:val="single"/>
          <w:lang w:val="fr-FR" w:eastAsia="en-CA"/>
        </w:rPr>
      </w:pPr>
      <w:r w:rsidRPr="001E35FF">
        <w:rPr>
          <w:u w:val="single"/>
          <w:lang w:val="fr-FR" w:eastAsia="en-CA"/>
        </w:rPr>
        <w:t>Conditions de décaissement des sommes</w:t>
      </w:r>
    </w:p>
    <w:p w14:paraId="2BB202B4" w14:textId="77777777" w:rsidR="0087239B" w:rsidRDefault="0087239B" w:rsidP="00315E8F">
      <w:pPr>
        <w:rPr>
          <w:lang w:val="fr-FR" w:eastAsia="en-CA"/>
        </w:rPr>
      </w:pPr>
    </w:p>
    <w:p w14:paraId="671E7A0C" w14:textId="77777777" w:rsidR="0087239B" w:rsidRDefault="0087239B" w:rsidP="0087239B">
      <w:pPr>
        <w:pStyle w:val="Heading1"/>
        <w:numPr>
          <w:ilvl w:val="0"/>
          <w:numId w:val="1"/>
        </w:numPr>
        <w:rPr>
          <w:lang w:val="fr-FR"/>
        </w:rPr>
      </w:pPr>
      <w:r>
        <w:rPr>
          <w:lang w:val="fr-FR"/>
        </w:rPr>
        <w:t>Le Comité exécutif n’accordera le financement prévu au calendrier de financement approuvé que lorsque le Pays aura satisfait aux conditions suivantes au moins dix semaines avant la première réunion du Comité exécutif des années précisées à l’Appendice 1-A :</w:t>
      </w:r>
    </w:p>
    <w:p w14:paraId="173D0337" w14:textId="55CB35AF" w:rsidR="0087239B" w:rsidRDefault="0087239B" w:rsidP="0087239B">
      <w:pPr>
        <w:pStyle w:val="Heading2"/>
        <w:numPr>
          <w:ilvl w:val="1"/>
          <w:numId w:val="1"/>
        </w:numPr>
        <w:rPr>
          <w:lang w:val="fr-FR"/>
        </w:rPr>
      </w:pPr>
      <w:r>
        <w:rPr>
          <w:lang w:val="fr-FR"/>
        </w:rPr>
        <w:t>Le Pays a émis une quantité de HFC-23 inférieure à 0,1 kilogramme, au maximum, de HFC-23 par 100 kilogrammes de HCFC-22 produit pour toutes les années concernées. Les années concernées sont toutes celles qui se sont écoulées depuis l’année d’approbation du présent Accord, sauf 2021</w:t>
      </w:r>
      <w:r w:rsidR="00894D15">
        <w:rPr>
          <w:lang w:val="fr-FR"/>
        </w:rPr>
        <w:t xml:space="preserve"> </w:t>
      </w:r>
      <w:r>
        <w:rPr>
          <w:lang w:val="fr-FR"/>
        </w:rPr>
        <w:t xml:space="preserve">; </w:t>
      </w:r>
    </w:p>
    <w:p w14:paraId="1AB11B31" w14:textId="4B336A9A" w:rsidR="0087239B" w:rsidRDefault="0087239B" w:rsidP="00315E8F">
      <w:pPr>
        <w:pStyle w:val="Heading2"/>
        <w:numPr>
          <w:ilvl w:val="1"/>
          <w:numId w:val="1"/>
        </w:numPr>
        <w:rPr>
          <w:lang w:val="fr-FR"/>
        </w:rPr>
      </w:pPr>
      <w:r>
        <w:rPr>
          <w:lang w:val="fr-FR"/>
        </w:rPr>
        <w:t>Le respect des objectifs dont il est question à l’alinéa a) a été vérifié de manière indépendante pour toutes les années concernées, par un vérificateur retenu par l’Agence d’exécution principale</w:t>
      </w:r>
      <w:r w:rsidR="00894D15">
        <w:rPr>
          <w:lang w:val="fr-FR"/>
        </w:rPr>
        <w:t xml:space="preserve"> </w:t>
      </w:r>
      <w:r>
        <w:rPr>
          <w:lang w:val="fr-FR"/>
        </w:rPr>
        <w:t>;</w:t>
      </w:r>
    </w:p>
    <w:p w14:paraId="176CE1D9" w14:textId="7313CC81" w:rsidR="0087239B" w:rsidRDefault="0087239B" w:rsidP="0087239B">
      <w:pPr>
        <w:pStyle w:val="Heading2"/>
        <w:numPr>
          <w:ilvl w:val="1"/>
          <w:numId w:val="1"/>
        </w:numPr>
        <w:rPr>
          <w:lang w:val="fr-FR"/>
        </w:rPr>
      </w:pPr>
      <w:r>
        <w:rPr>
          <w:lang w:val="fr-FR"/>
        </w:rPr>
        <w:t xml:space="preserve">Le Pays a soumis des rapports annuels de mise en œuvre de la tranche sous la forme décrite à l’Appendice 2-A (« Format de rapports et de plans de mise en œuvre de la tranche ») pour toutes les activités requises pour détruire le sous-produit HFC-23 provenant des chaînes de production de HCFC-22 concernées, et a achevé une part importante de la mise en œuvre des activités amorcées lors de </w:t>
      </w:r>
      <w:r w:rsidR="00894D15">
        <w:rPr>
          <w:lang w:val="fr-FR"/>
        </w:rPr>
        <w:t>tranches précédentes approuvées ;</w:t>
      </w:r>
      <w:r>
        <w:rPr>
          <w:lang w:val="fr-FR"/>
        </w:rPr>
        <w:t xml:space="preserve"> et </w:t>
      </w:r>
    </w:p>
    <w:p w14:paraId="4720FA67" w14:textId="77777777" w:rsidR="0087239B" w:rsidRPr="007C6AC8" w:rsidRDefault="0087239B" w:rsidP="0087239B">
      <w:pPr>
        <w:pStyle w:val="Heading2"/>
        <w:numPr>
          <w:ilvl w:val="1"/>
          <w:numId w:val="1"/>
        </w:numPr>
        <w:rPr>
          <w:lang w:val="fr-FR"/>
        </w:rPr>
      </w:pPr>
      <w:r w:rsidRPr="007C6AC8">
        <w:rPr>
          <w:lang w:val="fr-FR"/>
        </w:rPr>
        <w:t>Le Pays a soumis un plan annuel de mise en œuvre de la tranche sous la forme indiquée à l’Appendice 2-A, pour chaque année civile, y compris l’année au cours de laquelle le calendrier de financement prévoit la soumission de la tranche suivante, ou, dans le cas de la tranche finale, jusqu’à l’achèvement de toutes les activités prévues.</w:t>
      </w:r>
    </w:p>
    <w:p w14:paraId="57332093" w14:textId="77777777" w:rsidR="0087239B" w:rsidRPr="007C6AC8" w:rsidRDefault="0087239B" w:rsidP="00315E8F">
      <w:pPr>
        <w:keepNext/>
        <w:keepLines/>
        <w:spacing w:after="240"/>
        <w:rPr>
          <w:u w:val="single"/>
          <w:lang w:val="fr-FR" w:eastAsia="en-CA"/>
        </w:rPr>
      </w:pPr>
      <w:r w:rsidRPr="007C6AC8">
        <w:rPr>
          <w:u w:val="single"/>
          <w:lang w:val="fr-FR" w:eastAsia="en-CA"/>
        </w:rPr>
        <w:lastRenderedPageBreak/>
        <w:t>Souplesse dans la réaffectation des sommes</w:t>
      </w:r>
    </w:p>
    <w:p w14:paraId="5F759B77" w14:textId="77777777" w:rsidR="0087239B" w:rsidRDefault="0087239B" w:rsidP="0087239B">
      <w:pPr>
        <w:pStyle w:val="Heading1"/>
        <w:numPr>
          <w:ilvl w:val="0"/>
          <w:numId w:val="1"/>
        </w:numPr>
        <w:rPr>
          <w:lang w:val="fr-FR"/>
        </w:rPr>
      </w:pPr>
      <w:r w:rsidRPr="00565CD4">
        <w:rPr>
          <w:lang w:val="fr-FR"/>
        </w:rPr>
        <w:t xml:space="preserve">Le Comité exécutif accepte de </w:t>
      </w:r>
      <w:r>
        <w:rPr>
          <w:lang w:val="fr-FR"/>
        </w:rPr>
        <w:t>fournir la documentation</w:t>
      </w:r>
      <w:r w:rsidRPr="00565CD4">
        <w:rPr>
          <w:lang w:val="fr-FR"/>
        </w:rPr>
        <w:t xml:space="preserve"> à l’avance dans un plan annuel de mise en œuvre de la tran</w:t>
      </w:r>
      <w:r>
        <w:rPr>
          <w:lang w:val="fr-FR"/>
        </w:rPr>
        <w:t>che</w:t>
      </w:r>
      <w:r w:rsidRPr="00565CD4">
        <w:rPr>
          <w:lang w:val="fr-FR"/>
        </w:rPr>
        <w:t xml:space="preserve"> ou dans une révision d’un plan annuel de mise </w:t>
      </w:r>
      <w:r>
        <w:rPr>
          <w:lang w:val="fr-FR"/>
        </w:rPr>
        <w:t>en œuvre de la tranche existant</w:t>
      </w:r>
      <w:r w:rsidRPr="00565CD4">
        <w:rPr>
          <w:lang w:val="fr-FR"/>
        </w:rPr>
        <w:t xml:space="preserve"> à remettre </w:t>
      </w:r>
      <w:r>
        <w:rPr>
          <w:lang w:val="fr-FR"/>
        </w:rPr>
        <w:t>au moins 10</w:t>
      </w:r>
      <w:r w:rsidRPr="00565CD4">
        <w:rPr>
          <w:lang w:val="fr-FR"/>
        </w:rPr>
        <w:t xml:space="preserve"> semaines avant toute réunion du Com</w:t>
      </w:r>
      <w:r>
        <w:rPr>
          <w:lang w:val="fr-FR"/>
        </w:rPr>
        <w:t xml:space="preserve">ité exécutif, pour approbation </w:t>
      </w:r>
      <w:r w:rsidRPr="00565CD4">
        <w:rPr>
          <w:lang w:val="fr-FR"/>
        </w:rPr>
        <w:t>:</w:t>
      </w:r>
    </w:p>
    <w:p w14:paraId="3DDA0BEF" w14:textId="77777777" w:rsidR="0087239B" w:rsidRPr="00A4298E" w:rsidRDefault="0087239B" w:rsidP="0087239B">
      <w:pPr>
        <w:pStyle w:val="Heading2"/>
        <w:numPr>
          <w:ilvl w:val="1"/>
          <w:numId w:val="1"/>
        </w:numPr>
        <w:rPr>
          <w:lang w:val="fr-FR"/>
        </w:rPr>
      </w:pPr>
      <w:r>
        <w:rPr>
          <w:lang w:val="fr-FR"/>
        </w:rPr>
        <w:t>Les réaffectations classées comme des changements importants et qui portent notamment sur :</w:t>
      </w:r>
    </w:p>
    <w:p w14:paraId="71089248" w14:textId="02B16EAD" w:rsidR="0087239B" w:rsidRPr="007C6AC8" w:rsidRDefault="0087239B" w:rsidP="0087239B">
      <w:pPr>
        <w:pStyle w:val="Heading3"/>
        <w:numPr>
          <w:ilvl w:val="2"/>
          <w:numId w:val="1"/>
        </w:numPr>
        <w:rPr>
          <w:lang w:val="fr-FR"/>
        </w:rPr>
      </w:pPr>
      <w:r w:rsidRPr="007C6AC8">
        <w:rPr>
          <w:lang w:val="fr-CA"/>
        </w:rPr>
        <w:t>D</w:t>
      </w:r>
      <w:r w:rsidRPr="007C6AC8">
        <w:rPr>
          <w:lang w:val="fr-FR"/>
        </w:rPr>
        <w:t>es enjeux qui pourraient concerner les règles et politiques du Fonds multilatéral</w:t>
      </w:r>
      <w:r w:rsidR="00894D15">
        <w:rPr>
          <w:lang w:val="fr-FR"/>
        </w:rPr>
        <w:t> </w:t>
      </w:r>
      <w:r w:rsidRPr="007C6AC8">
        <w:rPr>
          <w:lang w:val="fr-FR"/>
        </w:rPr>
        <w:t xml:space="preserve">; </w:t>
      </w:r>
    </w:p>
    <w:p w14:paraId="70E0D8C7" w14:textId="655A403C" w:rsidR="0087239B" w:rsidRPr="007C6AC8" w:rsidRDefault="0087239B" w:rsidP="00315E8F">
      <w:pPr>
        <w:pStyle w:val="Heading3"/>
        <w:numPr>
          <w:ilvl w:val="2"/>
          <w:numId w:val="1"/>
        </w:numPr>
        <w:rPr>
          <w:lang w:val="fr-FR"/>
        </w:rPr>
      </w:pPr>
      <w:r w:rsidRPr="007C6AC8">
        <w:rPr>
          <w:lang w:val="fr-FR"/>
        </w:rPr>
        <w:t>Des changements qui pourraient modifier une disposition du présent Accord</w:t>
      </w:r>
      <w:r w:rsidR="00894D15">
        <w:rPr>
          <w:lang w:val="fr-FR"/>
        </w:rPr>
        <w:t xml:space="preserve"> </w:t>
      </w:r>
      <w:r w:rsidRPr="007C6AC8">
        <w:rPr>
          <w:lang w:val="fr-FR"/>
        </w:rPr>
        <w:t xml:space="preserve">; </w:t>
      </w:r>
    </w:p>
    <w:p w14:paraId="7CE9379C" w14:textId="4C4F959B" w:rsidR="0087239B" w:rsidRDefault="0087239B" w:rsidP="00315E8F">
      <w:pPr>
        <w:pStyle w:val="Heading3"/>
        <w:numPr>
          <w:ilvl w:val="2"/>
          <w:numId w:val="1"/>
        </w:numPr>
        <w:rPr>
          <w:lang w:val="fr-FR"/>
        </w:rPr>
      </w:pPr>
      <w:r>
        <w:rPr>
          <w:lang w:val="fr-FR"/>
        </w:rPr>
        <w:t>Des changements dans les montants annuels de financement pour les différentes tranches</w:t>
      </w:r>
      <w:r w:rsidR="00894D15">
        <w:rPr>
          <w:lang w:val="fr-FR"/>
        </w:rPr>
        <w:t xml:space="preserve"> ;</w:t>
      </w:r>
    </w:p>
    <w:p w14:paraId="1A075C7A" w14:textId="67BD59C6" w:rsidR="0087239B" w:rsidRDefault="0087239B" w:rsidP="00315E8F">
      <w:pPr>
        <w:pStyle w:val="Heading3"/>
        <w:numPr>
          <w:ilvl w:val="2"/>
          <w:numId w:val="1"/>
        </w:numPr>
        <w:rPr>
          <w:lang w:val="fr-FR"/>
        </w:rPr>
      </w:pPr>
      <w:r>
        <w:rPr>
          <w:lang w:val="fr-FR"/>
        </w:rPr>
        <w:t>La fourniture de fonds pour des activités ne figurant pas dans le plan de mise en œuvre annuel de la tranche courant approuvé ou bien le retrait d’une activité du plan annuel de mise en œuvre de la tranche, représentant un coût supérieur à 20 pour cent du coût total de la dernière tranche approuvée</w:t>
      </w:r>
      <w:r w:rsidR="00894D15">
        <w:rPr>
          <w:lang w:val="fr-FR"/>
        </w:rPr>
        <w:t xml:space="preserve"> </w:t>
      </w:r>
      <w:r>
        <w:rPr>
          <w:lang w:val="fr-FR"/>
        </w:rPr>
        <w:t>;</w:t>
      </w:r>
      <w:r w:rsidR="00BF4C36">
        <w:rPr>
          <w:lang w:val="fr-FR"/>
        </w:rPr>
        <w:t xml:space="preserve"> et</w:t>
      </w:r>
    </w:p>
    <w:p w14:paraId="27737117" w14:textId="77777777" w:rsidR="0087239B" w:rsidRDefault="0087239B" w:rsidP="0087239B">
      <w:pPr>
        <w:pStyle w:val="Heading3"/>
        <w:numPr>
          <w:ilvl w:val="2"/>
          <w:numId w:val="1"/>
        </w:numPr>
        <w:rPr>
          <w:lang w:val="fr-FR"/>
        </w:rPr>
      </w:pPr>
      <w:r>
        <w:rPr>
          <w:lang w:val="fr-FR"/>
        </w:rPr>
        <w:t>L’utilisation d’une autre technologie de destruction du sous-produit HFC-23 que celle déjà choisie dans la proposition de projet, étant entendu que toute proposition relative à une telle demande précisera les surcoûts connexes, confirmera le maintien de la limite d’émission annuelle de moins de 0,1 kilogramme, au maximum, de HFC-23 par 100 kilogrammes de HCFC-22 produit et que les économies possibles de surcoûts liées au changement de technologie réduiraient en conséquence le financement global prévu à cet Accord ; et</w:t>
      </w:r>
    </w:p>
    <w:p w14:paraId="12C63EBF" w14:textId="77777777" w:rsidR="0087239B" w:rsidRPr="007C6AC8" w:rsidRDefault="0087239B" w:rsidP="0087239B">
      <w:pPr>
        <w:pStyle w:val="Heading2"/>
        <w:numPr>
          <w:ilvl w:val="1"/>
          <w:numId w:val="1"/>
        </w:numPr>
        <w:rPr>
          <w:lang w:val="fr-FR"/>
        </w:rPr>
      </w:pPr>
      <w:r w:rsidRPr="007C6AC8">
        <w:rPr>
          <w:lang w:val="fr-FR"/>
        </w:rPr>
        <w:t>Les réaffectations qui ne sont pas classées comme changements importants peuvent être intégrées au plan annuel de mise en œuvre de la tranche approuvée, en cours d’application à ce moment, et communiquées au Comité exécutif dans le rapport annuel de mise en œuvre de la tranche suivant.</w:t>
      </w:r>
    </w:p>
    <w:p w14:paraId="5A61F27D" w14:textId="77777777" w:rsidR="0087239B" w:rsidRPr="00FF421C" w:rsidRDefault="0087239B" w:rsidP="00315E8F">
      <w:pPr>
        <w:pStyle w:val="Heading2"/>
        <w:numPr>
          <w:ilvl w:val="0"/>
          <w:numId w:val="0"/>
        </w:numPr>
        <w:rPr>
          <w:lang w:val="fr-FR"/>
        </w:rPr>
      </w:pPr>
      <w:r w:rsidRPr="00A20B2F">
        <w:rPr>
          <w:b/>
          <w:lang w:val="fr-FR"/>
        </w:rPr>
        <w:t>Souplesse</w:t>
      </w:r>
      <w:r w:rsidRPr="00245FC5">
        <w:rPr>
          <w:b/>
          <w:lang w:val="fr-FR"/>
        </w:rPr>
        <w:t xml:space="preserve"> en ce qui</w:t>
      </w:r>
      <w:r>
        <w:rPr>
          <w:b/>
          <w:lang w:val="fr-FR"/>
        </w:rPr>
        <w:t xml:space="preserve"> concerne la date du début de la destruction du HFC-23</w:t>
      </w:r>
      <w:r>
        <w:rPr>
          <w:lang w:val="fr-FR"/>
        </w:rPr>
        <w:t> </w:t>
      </w:r>
    </w:p>
    <w:p w14:paraId="7AA07BB9" w14:textId="77777777" w:rsidR="0087239B" w:rsidRDefault="0087239B" w:rsidP="0087239B">
      <w:pPr>
        <w:pStyle w:val="Heading1"/>
        <w:numPr>
          <w:ilvl w:val="0"/>
          <w:numId w:val="1"/>
        </w:numPr>
        <w:rPr>
          <w:lang w:val="fr-FR"/>
        </w:rPr>
      </w:pPr>
      <w:r>
        <w:rPr>
          <w:lang w:val="fr-FR"/>
        </w:rPr>
        <w:t>Nonobstant les paragraphes 1 et 2, et à cause des circonstances extraordinaires associées à la pandémie de la COVID-19, le Pays jouira de la souplesse nécessaire pour commencer la destruction du HFC-23 avant le 1</w:t>
      </w:r>
      <w:r w:rsidRPr="00245FC5">
        <w:rPr>
          <w:vertAlign w:val="superscript"/>
          <w:lang w:val="fr-FR"/>
        </w:rPr>
        <w:t>er</w:t>
      </w:r>
      <w:r>
        <w:rPr>
          <w:lang w:val="fr-FR"/>
        </w:rPr>
        <w:t xml:space="preserve"> mai 2022, étant entendu que :</w:t>
      </w:r>
    </w:p>
    <w:p w14:paraId="79B771FF" w14:textId="7E6D0377" w:rsidR="0087239B" w:rsidRPr="00C91C03" w:rsidRDefault="0087239B" w:rsidP="0087239B">
      <w:pPr>
        <w:pStyle w:val="Heading4"/>
        <w:numPr>
          <w:ilvl w:val="3"/>
          <w:numId w:val="1"/>
        </w:numPr>
        <w:ind w:left="1440"/>
        <w:rPr>
          <w:lang w:val="fr-FR"/>
        </w:rPr>
      </w:pPr>
      <w:r>
        <w:rPr>
          <w:lang w:val="fr-FR"/>
        </w:rPr>
        <w:t>Le financement de la tranche de 2023 sera réduit de 3,28 $US par kilogramme de HFC-23 non détruit entre le 1</w:t>
      </w:r>
      <w:r w:rsidRPr="00C91C03">
        <w:rPr>
          <w:vertAlign w:val="superscript"/>
          <w:lang w:val="fr-FR"/>
        </w:rPr>
        <w:t>er</w:t>
      </w:r>
      <w:r>
        <w:rPr>
          <w:lang w:val="fr-FR"/>
        </w:rPr>
        <w:t xml:space="preserve"> janvier 2022 et le 1</w:t>
      </w:r>
      <w:r w:rsidRPr="00C91C03">
        <w:rPr>
          <w:vertAlign w:val="superscript"/>
          <w:lang w:val="fr-FR"/>
        </w:rPr>
        <w:t>er</w:t>
      </w:r>
      <w:r>
        <w:rPr>
          <w:lang w:val="fr-FR"/>
        </w:rPr>
        <w:t xml:space="preserve"> mai 2022 ;</w:t>
      </w:r>
      <w:r w:rsidR="00BF4C36">
        <w:rPr>
          <w:lang w:val="fr-FR"/>
        </w:rPr>
        <w:t xml:space="preserve"> et</w:t>
      </w:r>
    </w:p>
    <w:p w14:paraId="0D9D4557" w14:textId="77777777" w:rsidR="0087239B" w:rsidRDefault="0087239B" w:rsidP="0087239B">
      <w:pPr>
        <w:pStyle w:val="Heading2"/>
        <w:numPr>
          <w:ilvl w:val="1"/>
          <w:numId w:val="39"/>
        </w:numPr>
        <w:spacing w:before="240"/>
        <w:rPr>
          <w:lang w:val="fr-FR"/>
        </w:rPr>
      </w:pPr>
      <w:r>
        <w:rPr>
          <w:lang w:val="fr-FR"/>
        </w:rPr>
        <w:t>Le Pays ne subira aucune pénalité pour les émissions de HFC-23 créées par la production de HCFC-22 entre le 1</w:t>
      </w:r>
      <w:r w:rsidRPr="00C91C03">
        <w:rPr>
          <w:vertAlign w:val="superscript"/>
          <w:lang w:val="fr-FR"/>
        </w:rPr>
        <w:t>er</w:t>
      </w:r>
      <w:r>
        <w:rPr>
          <w:lang w:val="fr-FR"/>
        </w:rPr>
        <w:t xml:space="preserve"> janvier 2022 et le 1</w:t>
      </w:r>
      <w:r w:rsidRPr="00C91C03">
        <w:rPr>
          <w:vertAlign w:val="superscript"/>
          <w:lang w:val="fr-FR"/>
        </w:rPr>
        <w:t>er</w:t>
      </w:r>
      <w:r>
        <w:rPr>
          <w:lang w:val="fr-FR"/>
        </w:rPr>
        <w:t xml:space="preserve"> mai 2022.</w:t>
      </w:r>
    </w:p>
    <w:p w14:paraId="0F50B15F" w14:textId="77777777" w:rsidR="0087239B" w:rsidRDefault="0087239B" w:rsidP="00315E8F">
      <w:pPr>
        <w:keepNext/>
        <w:keepLines/>
        <w:rPr>
          <w:lang w:val="fr-FR" w:eastAsia="en-CA"/>
        </w:rPr>
      </w:pPr>
      <w:r>
        <w:rPr>
          <w:b/>
          <w:lang w:val="fr-FR" w:eastAsia="en-CA"/>
        </w:rPr>
        <w:t>Agence d’exécution principale</w:t>
      </w:r>
    </w:p>
    <w:p w14:paraId="25B134BF" w14:textId="77777777" w:rsidR="0087239B" w:rsidRDefault="0087239B" w:rsidP="00315E8F">
      <w:pPr>
        <w:keepNext/>
        <w:keepLines/>
        <w:rPr>
          <w:lang w:val="fr-FR" w:eastAsia="en-CA"/>
        </w:rPr>
      </w:pPr>
    </w:p>
    <w:p w14:paraId="1A4155CF" w14:textId="77777777" w:rsidR="0087239B" w:rsidRDefault="0087239B" w:rsidP="0087239B">
      <w:pPr>
        <w:pStyle w:val="Heading1"/>
        <w:numPr>
          <w:ilvl w:val="0"/>
          <w:numId w:val="1"/>
        </w:numPr>
        <w:rPr>
          <w:lang w:val="fr-FR"/>
        </w:rPr>
      </w:pPr>
      <w:r>
        <w:rPr>
          <w:lang w:val="fr-FR"/>
        </w:rPr>
        <w:t>Le Pays convient d’assumer la responsabilité générale de la gestion et de la mise en œuvre du présent Accord et de toutes les activités entreprises dans le cadre de ce dernier ou en son nom afin de s’acquitter de ses obligations en vertu du présent Accord. L’ONUDI a accepté d’être l’agence d’exécution principale (« Agence principale »). Le rôle de l’Agence principale est précisé à l’Appendice 4-A. Le Comité exécutif accepte, en principe, de verser à l’Agence principale les honoraires indiqués à la ligne 2.1 de l’Appendice 1-A.</w:t>
      </w:r>
    </w:p>
    <w:p w14:paraId="5785B88B" w14:textId="77777777" w:rsidR="0087239B" w:rsidRDefault="0087239B" w:rsidP="00315E8F">
      <w:pPr>
        <w:rPr>
          <w:lang w:val="fr-FR" w:eastAsia="en-CA"/>
        </w:rPr>
      </w:pPr>
      <w:r>
        <w:rPr>
          <w:b/>
          <w:lang w:val="fr-FR" w:eastAsia="en-CA"/>
        </w:rPr>
        <w:lastRenderedPageBreak/>
        <w:t>Suivi</w:t>
      </w:r>
    </w:p>
    <w:p w14:paraId="40059E3D" w14:textId="77777777" w:rsidR="0087239B" w:rsidRPr="001E72E6" w:rsidRDefault="0087239B" w:rsidP="00315E8F">
      <w:pPr>
        <w:rPr>
          <w:lang w:val="fr-FR" w:eastAsia="en-CA"/>
        </w:rPr>
      </w:pPr>
    </w:p>
    <w:p w14:paraId="329459A9" w14:textId="77777777" w:rsidR="0087239B" w:rsidRDefault="0087239B" w:rsidP="0087239B">
      <w:pPr>
        <w:pStyle w:val="Heading1"/>
        <w:numPr>
          <w:ilvl w:val="0"/>
          <w:numId w:val="1"/>
        </w:numPr>
        <w:rPr>
          <w:lang w:val="fr-FR"/>
        </w:rPr>
      </w:pPr>
      <w:r>
        <w:rPr>
          <w:lang w:val="fr-FR"/>
        </w:rPr>
        <w:t xml:space="preserve">Le Pays assurera un suivi exact de ses activités au titre de cet Accord. Les institutions mentionnées à l’Appendice 3-A, (« Institutions de suivi et leur rôle ») effectueront le suivi et feront rapport de la mise en œuvre des activités du Plan de mise en œuvre de la tranche précédente, selon leurs rôle et responsabilités expliqués dans le même appendice. Le suivi fera aussi l’objet d’une vérification indépendante, décrite à l’alinéa 7 b) ci-dessus. </w:t>
      </w:r>
    </w:p>
    <w:p w14:paraId="00407786" w14:textId="77777777" w:rsidR="0087239B" w:rsidRPr="007C6AC8" w:rsidRDefault="0087239B" w:rsidP="0087239B">
      <w:pPr>
        <w:pStyle w:val="Heading1"/>
        <w:numPr>
          <w:ilvl w:val="0"/>
          <w:numId w:val="1"/>
        </w:numPr>
        <w:rPr>
          <w:lang w:val="fr-FR"/>
        </w:rPr>
      </w:pPr>
      <w:r w:rsidRPr="007C6AC8">
        <w:rPr>
          <w:lang w:val="fr-FR"/>
        </w:rPr>
        <w:t>Le Pays consent aux évaluations, qui pourraient être menées au titre des programmes de suivi et évaluation du Fonds multilatéral ou du programme d’évaluation de l’Agence principale participant à cet Accord.</w:t>
      </w:r>
    </w:p>
    <w:p w14:paraId="4435FBF6" w14:textId="77777777" w:rsidR="0087239B" w:rsidRDefault="0087239B" w:rsidP="00315E8F">
      <w:pPr>
        <w:rPr>
          <w:b/>
          <w:lang w:val="fr-FR" w:eastAsia="en-CA"/>
        </w:rPr>
      </w:pPr>
      <w:r>
        <w:rPr>
          <w:b/>
          <w:lang w:val="fr-FR" w:eastAsia="en-CA"/>
        </w:rPr>
        <w:t>Non-respect de l’Accord</w:t>
      </w:r>
    </w:p>
    <w:p w14:paraId="660FF39E" w14:textId="77777777" w:rsidR="0087239B" w:rsidRDefault="0087239B" w:rsidP="00315E8F">
      <w:pPr>
        <w:rPr>
          <w:b/>
          <w:lang w:val="fr-FR" w:eastAsia="en-CA"/>
        </w:rPr>
      </w:pPr>
    </w:p>
    <w:p w14:paraId="0D01E82B" w14:textId="04877874" w:rsidR="0087239B" w:rsidRDefault="0087239B" w:rsidP="0087239B">
      <w:pPr>
        <w:pStyle w:val="Heading1"/>
        <w:numPr>
          <w:ilvl w:val="0"/>
          <w:numId w:val="1"/>
        </w:numPr>
        <w:rPr>
          <w:lang w:val="fr-FR"/>
        </w:rPr>
      </w:pPr>
      <w:r>
        <w:rPr>
          <w:lang w:val="fr-FR"/>
        </w:rPr>
        <w:t>Si, pour quelque raison que ce soit, le Pays ne respecte pas les objectifs</w:t>
      </w:r>
      <w:r w:rsidR="00BF4C36">
        <w:rPr>
          <w:lang w:val="fr-FR"/>
        </w:rPr>
        <w:t xml:space="preserve"> de destruction du HFC-23 créé </w:t>
      </w:r>
      <w:r>
        <w:rPr>
          <w:lang w:val="fr-FR"/>
        </w:rPr>
        <w:t>par la production de HCFC-22 indiqués à la ligne 1.1 de l’Appendice 1-A ou bien ne se conforme pas au présent Accord, il accepte alors de ne plus être en droit de prétendre au financement conformément aux Objectifs et financement. Le financement pourra être rétabli à la discrétion du Comité exécutif, conformément à un calendrier révisé établi par le Comité exécutif, une fois que le Pays aura prouvé qu’il a respecté toutes les obligations qu’il aurait dû satisfaire avant la réception de la prochaine tranche de financement conformément aux Objectifs et financement. Le Pays convient que le Comité exécutif peut déduire du montant du financement le montant indiqué à l’Appendice 5-A (« Réductions du financement en cas de non-conformité ») pour chaque kilogramme de HFC-23 émis créé par la production de HCFC-22 dépassant la limite établie à la ligne 1.1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7, ci-dessus.</w:t>
      </w:r>
    </w:p>
    <w:p w14:paraId="1D345F16" w14:textId="77777777" w:rsidR="0087239B" w:rsidRPr="007C6AC8" w:rsidRDefault="0087239B" w:rsidP="0087239B">
      <w:pPr>
        <w:pStyle w:val="Heading1"/>
        <w:numPr>
          <w:ilvl w:val="0"/>
          <w:numId w:val="1"/>
        </w:numPr>
        <w:rPr>
          <w:lang w:val="fr-FR"/>
        </w:rPr>
      </w:pPr>
      <w:r w:rsidRPr="007C6AC8">
        <w:rPr>
          <w:lang w:val="fr-FR"/>
        </w:rPr>
        <w:t>Le Pays se conformera à toute demande raisonnable du Comité exécutif et de l’Agence principale en vue de faciliter la mise en œuvre du présent Accord. En particulier, il permettra à l’Agence principale d’accéder aux renseignements nécessaires pour vérifier la conformité à cet Accord.</w:t>
      </w:r>
    </w:p>
    <w:p w14:paraId="7D30A1EF" w14:textId="77777777" w:rsidR="0087239B" w:rsidRDefault="0087239B" w:rsidP="00315E8F">
      <w:pPr>
        <w:rPr>
          <w:lang w:val="fr-FR" w:eastAsia="en-CA"/>
        </w:rPr>
      </w:pPr>
      <w:r>
        <w:rPr>
          <w:b/>
          <w:lang w:val="fr-FR" w:eastAsia="en-CA"/>
        </w:rPr>
        <w:t>Date d’achèvement</w:t>
      </w:r>
    </w:p>
    <w:p w14:paraId="4DC150F3" w14:textId="77777777" w:rsidR="0087239B" w:rsidRDefault="0087239B" w:rsidP="00315E8F">
      <w:pPr>
        <w:rPr>
          <w:lang w:val="fr-FR" w:eastAsia="en-CA"/>
        </w:rPr>
      </w:pPr>
    </w:p>
    <w:p w14:paraId="0C4B4F53" w14:textId="77777777" w:rsidR="0087239B" w:rsidRDefault="0087239B" w:rsidP="0087239B">
      <w:pPr>
        <w:pStyle w:val="Heading1"/>
        <w:numPr>
          <w:ilvl w:val="0"/>
          <w:numId w:val="1"/>
        </w:numPr>
        <w:rPr>
          <w:lang w:val="fr-FR"/>
        </w:rPr>
      </w:pPr>
      <w:r>
        <w:rPr>
          <w:lang w:val="fr-FR"/>
        </w:rPr>
        <w:t>Cet Accord prendra fin le 1</w:t>
      </w:r>
      <w:r w:rsidRPr="006229CB">
        <w:rPr>
          <w:vertAlign w:val="superscript"/>
          <w:lang w:val="fr-FR"/>
        </w:rPr>
        <w:t>er</w:t>
      </w:r>
      <w:r>
        <w:rPr>
          <w:lang w:val="fr-FR"/>
        </w:rPr>
        <w:t xml:space="preserve"> janvier 2031. Si des activités qui étaient prévues dans le plan de mise en œuvre de la tranche se trouvaient encore en souffrance à ce moment-là, l’achèvement du Plan serait reporté à la fin de l’année suivant la mise en œuvre des activités restantes, sur approbation du Comité exécutif. Les exigences de remise de rapport selon les paragraphes 1 a), 1 b), 1 c) et 1 d) de l’Appendice 2-A continueront jusqu’à l’achèvement du Plan à moins d’indication contraire de la part du Comité exécutif.</w:t>
      </w:r>
    </w:p>
    <w:p w14:paraId="60DB456D" w14:textId="77777777" w:rsidR="0087239B" w:rsidRDefault="0087239B" w:rsidP="00315E8F">
      <w:pPr>
        <w:rPr>
          <w:b/>
          <w:lang w:val="fr-FR" w:eastAsia="en-CA"/>
        </w:rPr>
      </w:pPr>
      <w:r>
        <w:rPr>
          <w:b/>
          <w:lang w:val="fr-FR" w:eastAsia="en-CA"/>
        </w:rPr>
        <w:t>Validité</w:t>
      </w:r>
    </w:p>
    <w:p w14:paraId="57034335" w14:textId="77777777" w:rsidR="0087239B" w:rsidRDefault="0087239B" w:rsidP="00315E8F">
      <w:pPr>
        <w:rPr>
          <w:b/>
          <w:lang w:val="fr-FR" w:eastAsia="en-CA"/>
        </w:rPr>
      </w:pPr>
    </w:p>
    <w:p w14:paraId="33363593" w14:textId="77777777" w:rsidR="0087239B" w:rsidRPr="007C6AC8" w:rsidRDefault="0087239B" w:rsidP="00315E8F">
      <w:pPr>
        <w:pStyle w:val="StyleHeading1Para1Heading1CharHeading1Char3CharHeadin"/>
        <w:numPr>
          <w:ilvl w:val="0"/>
          <w:numId w:val="1"/>
        </w:numPr>
        <w:tabs>
          <w:tab w:val="clear" w:pos="0"/>
        </w:tabs>
        <w:rPr>
          <w:lang w:val="fr-CA"/>
        </w:rPr>
      </w:pPr>
      <w:r w:rsidRPr="007C6AC8">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41B222C4" w14:textId="77777777" w:rsidR="0087239B" w:rsidRPr="007C6AC8" w:rsidRDefault="0087239B" w:rsidP="00315E8F">
      <w:pPr>
        <w:pStyle w:val="StyleHeading1Para1Heading1CharHeading1Char3CharHeadin"/>
        <w:numPr>
          <w:ilvl w:val="0"/>
          <w:numId w:val="1"/>
        </w:numPr>
        <w:tabs>
          <w:tab w:val="clear" w:pos="0"/>
        </w:tabs>
        <w:rPr>
          <w:lang w:val="fr-CA"/>
        </w:rPr>
      </w:pPr>
      <w:r w:rsidRPr="007C6AC8">
        <w:rPr>
          <w:lang w:val="fr-FR"/>
        </w:rPr>
        <w:t>Cet Accord ne peut être modifié ou résilié que par consentement mutuel écrit du Pays et du Comité exécutif du Fonds multilatéral.</w:t>
      </w:r>
    </w:p>
    <w:p w14:paraId="69EC954A" w14:textId="77777777" w:rsidR="0087239B" w:rsidRPr="00705B84" w:rsidRDefault="0087239B" w:rsidP="00315E8F">
      <w:pPr>
        <w:pStyle w:val="StyleHeading1Para1Heading1CharHeading1Char3CharHeadin"/>
        <w:rPr>
          <w:highlight w:val="cyan"/>
          <w:lang w:val="fr-CA"/>
        </w:rPr>
      </w:pPr>
    </w:p>
    <w:p w14:paraId="34281ACA" w14:textId="77777777" w:rsidR="0087239B" w:rsidRPr="007C6AC8" w:rsidRDefault="0087239B" w:rsidP="00315E8F">
      <w:pPr>
        <w:pStyle w:val="Heading1"/>
        <w:keepNext/>
        <w:numPr>
          <w:ilvl w:val="0"/>
          <w:numId w:val="0"/>
        </w:numPr>
        <w:rPr>
          <w:b/>
          <w:lang w:val="fr-CA"/>
        </w:rPr>
        <w:sectPr w:rsidR="0087239B" w:rsidRPr="007C6AC8" w:rsidSect="002737E8">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2240" w:h="15840" w:code="1"/>
          <w:pgMar w:top="720" w:right="1440" w:bottom="864" w:left="1440" w:header="720" w:footer="475" w:gutter="0"/>
          <w:pgNumType w:start="1"/>
          <w:cols w:space="720"/>
          <w:titlePg/>
        </w:sectPr>
      </w:pPr>
    </w:p>
    <w:p w14:paraId="0198883C" w14:textId="77777777" w:rsidR="0087239B" w:rsidRPr="00705B84" w:rsidRDefault="0087239B" w:rsidP="00315E8F">
      <w:pPr>
        <w:pStyle w:val="StyleHeading1Para1Heading1CharHeading1Char3CharHeadin"/>
        <w:rPr>
          <w:highlight w:val="cyan"/>
          <w:lang w:val="fr-CA"/>
        </w:rPr>
      </w:pPr>
    </w:p>
    <w:p w14:paraId="53AF18E6" w14:textId="77777777" w:rsidR="0087239B" w:rsidRDefault="0087239B" w:rsidP="00315E8F">
      <w:pPr>
        <w:keepNext/>
        <w:keepLines/>
        <w:rPr>
          <w:b/>
          <w:lang w:val="fr-CA"/>
        </w:rPr>
      </w:pPr>
      <w:r>
        <w:rPr>
          <w:b/>
          <w:lang w:val="fr-CA"/>
        </w:rPr>
        <w:t xml:space="preserve">APPENDICES </w:t>
      </w:r>
    </w:p>
    <w:p w14:paraId="7F5B04BF" w14:textId="77777777" w:rsidR="0087239B" w:rsidRDefault="0087239B" w:rsidP="00315E8F">
      <w:pPr>
        <w:keepNext/>
        <w:keepLines/>
        <w:rPr>
          <w:b/>
          <w:lang w:val="fr-CA"/>
        </w:rPr>
      </w:pPr>
    </w:p>
    <w:p w14:paraId="61D20CD8" w14:textId="77777777" w:rsidR="0087239B" w:rsidRDefault="0087239B" w:rsidP="00315E8F">
      <w:pPr>
        <w:jc w:val="left"/>
        <w:rPr>
          <w:sz w:val="16"/>
          <w:szCs w:val="16"/>
          <w:lang w:val="fr-CA"/>
        </w:rPr>
      </w:pPr>
    </w:p>
    <w:p w14:paraId="5243A53E" w14:textId="77777777" w:rsidR="0087239B" w:rsidRDefault="0087239B" w:rsidP="00315E8F">
      <w:pPr>
        <w:keepNext/>
        <w:jc w:val="left"/>
        <w:rPr>
          <w:b/>
          <w:lang w:val="fr-CA"/>
        </w:rPr>
      </w:pPr>
      <w:r>
        <w:rPr>
          <w:b/>
          <w:lang w:val="fr-CA"/>
        </w:rPr>
        <w:t>APPENDICE 1-A: LES OBJECTIFS ET LE FINANCEMENT</w:t>
      </w:r>
    </w:p>
    <w:p w14:paraId="08270F26" w14:textId="77777777" w:rsidR="0087239B" w:rsidRDefault="0087239B" w:rsidP="00315E8F">
      <w:pPr>
        <w:keepNext/>
        <w:jc w:val="left"/>
        <w:rPr>
          <w:b/>
          <w:lang w:val="fr-CA"/>
        </w:rPr>
      </w:pPr>
    </w:p>
    <w:tbl>
      <w:tblPr>
        <w:tblW w:w="5000" w:type="pct"/>
        <w:tblLook w:val="04A0" w:firstRow="1" w:lastRow="0" w:firstColumn="1" w:lastColumn="0" w:noHBand="0" w:noVBand="1"/>
      </w:tblPr>
      <w:tblGrid>
        <w:gridCol w:w="636"/>
        <w:gridCol w:w="3561"/>
        <w:gridCol w:w="898"/>
        <w:gridCol w:w="592"/>
        <w:gridCol w:w="936"/>
        <w:gridCol w:w="936"/>
        <w:gridCol w:w="936"/>
        <w:gridCol w:w="936"/>
        <w:gridCol w:w="936"/>
        <w:gridCol w:w="936"/>
        <w:gridCol w:w="936"/>
        <w:gridCol w:w="936"/>
        <w:gridCol w:w="1071"/>
      </w:tblGrid>
      <w:tr w:rsidR="0087239B" w:rsidRPr="00741F1B" w14:paraId="33C6714A" w14:textId="77777777" w:rsidTr="00315E8F">
        <w:tc>
          <w:tcPr>
            <w:tcW w:w="2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7CCD31" w14:textId="77777777" w:rsidR="0087239B" w:rsidRPr="00741F1B" w:rsidRDefault="0087239B" w:rsidP="0087239B">
            <w:pPr>
              <w:jc w:val="left"/>
              <w:rPr>
                <w:color w:val="000000"/>
                <w:sz w:val="18"/>
                <w:szCs w:val="18"/>
                <w:lang w:val="fr-CA" w:eastAsia="en-CA"/>
              </w:rPr>
            </w:pPr>
            <w:r>
              <w:rPr>
                <w:color w:val="000000"/>
                <w:sz w:val="18"/>
                <w:szCs w:val="18"/>
                <w:lang w:val="fr-CA" w:eastAsia="en-CA"/>
              </w:rPr>
              <w:t>Ligne</w:t>
            </w:r>
          </w:p>
        </w:tc>
        <w:tc>
          <w:tcPr>
            <w:tcW w:w="1220" w:type="pct"/>
            <w:tcBorders>
              <w:top w:val="single" w:sz="4" w:space="0" w:color="auto"/>
              <w:left w:val="nil"/>
              <w:bottom w:val="single" w:sz="4" w:space="0" w:color="auto"/>
              <w:right w:val="single" w:sz="4" w:space="0" w:color="auto"/>
            </w:tcBorders>
            <w:shd w:val="clear" w:color="auto" w:fill="auto"/>
            <w:noWrap/>
            <w:vAlign w:val="center"/>
            <w:hideMark/>
          </w:tcPr>
          <w:p w14:paraId="17D8A6F9" w14:textId="77777777" w:rsidR="0087239B" w:rsidRPr="00741F1B" w:rsidRDefault="0087239B" w:rsidP="0087239B">
            <w:pPr>
              <w:jc w:val="left"/>
              <w:rPr>
                <w:color w:val="000000"/>
                <w:sz w:val="18"/>
                <w:szCs w:val="18"/>
                <w:lang w:val="fr-CA" w:eastAsia="en-CA"/>
              </w:rPr>
            </w:pPr>
            <w:r>
              <w:rPr>
                <w:color w:val="000000"/>
                <w:sz w:val="18"/>
                <w:szCs w:val="18"/>
                <w:lang w:val="fr-CA" w:eastAsia="en-CA"/>
              </w:rPr>
              <w:t>Détails</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6D8A4D96" w14:textId="77777777" w:rsidR="0087239B" w:rsidRPr="00741F1B" w:rsidRDefault="0087239B" w:rsidP="0087239B">
            <w:pPr>
              <w:jc w:val="center"/>
              <w:rPr>
                <w:color w:val="000000"/>
                <w:sz w:val="18"/>
                <w:szCs w:val="18"/>
                <w:lang w:val="fr-CA" w:eastAsia="en-CA"/>
              </w:rPr>
            </w:pPr>
            <w:r w:rsidRPr="00741F1B">
              <w:rPr>
                <w:color w:val="000000"/>
                <w:sz w:val="18"/>
                <w:szCs w:val="18"/>
                <w:lang w:val="fr-CA" w:eastAsia="en-CA"/>
              </w:rPr>
              <w:t>2021</w:t>
            </w:r>
          </w:p>
        </w:tc>
        <w:tc>
          <w:tcPr>
            <w:tcW w:w="221" w:type="pct"/>
            <w:tcBorders>
              <w:top w:val="single" w:sz="4" w:space="0" w:color="auto"/>
              <w:left w:val="nil"/>
              <w:bottom w:val="single" w:sz="4" w:space="0" w:color="auto"/>
              <w:right w:val="single" w:sz="4" w:space="0" w:color="auto"/>
            </w:tcBorders>
            <w:shd w:val="clear" w:color="auto" w:fill="auto"/>
            <w:noWrap/>
            <w:vAlign w:val="center"/>
            <w:hideMark/>
          </w:tcPr>
          <w:p w14:paraId="6DCF56FF" w14:textId="77777777" w:rsidR="0087239B" w:rsidRPr="00741F1B" w:rsidRDefault="0087239B" w:rsidP="0087239B">
            <w:pPr>
              <w:jc w:val="center"/>
              <w:rPr>
                <w:color w:val="000000"/>
                <w:sz w:val="18"/>
                <w:szCs w:val="18"/>
                <w:lang w:val="fr-CA" w:eastAsia="en-CA"/>
              </w:rPr>
            </w:pPr>
            <w:r w:rsidRPr="00741F1B">
              <w:rPr>
                <w:color w:val="000000"/>
                <w:sz w:val="18"/>
                <w:szCs w:val="18"/>
                <w:lang w:val="fr-CA" w:eastAsia="en-CA"/>
              </w:rPr>
              <w:t>2022</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464956DE" w14:textId="77777777" w:rsidR="0087239B" w:rsidRPr="00741F1B" w:rsidRDefault="0087239B" w:rsidP="0087239B">
            <w:pPr>
              <w:jc w:val="center"/>
              <w:rPr>
                <w:color w:val="000000"/>
                <w:sz w:val="18"/>
                <w:szCs w:val="18"/>
                <w:lang w:val="fr-CA" w:eastAsia="en-CA"/>
              </w:rPr>
            </w:pPr>
            <w:r w:rsidRPr="00741F1B">
              <w:rPr>
                <w:color w:val="000000"/>
                <w:sz w:val="18"/>
                <w:szCs w:val="18"/>
                <w:lang w:val="fr-CA" w:eastAsia="en-CA"/>
              </w:rPr>
              <w:t>2023</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06966196" w14:textId="77777777" w:rsidR="0087239B" w:rsidRPr="00741F1B" w:rsidRDefault="0087239B" w:rsidP="0087239B">
            <w:pPr>
              <w:jc w:val="center"/>
              <w:rPr>
                <w:color w:val="000000"/>
                <w:sz w:val="18"/>
                <w:szCs w:val="18"/>
                <w:lang w:val="fr-CA" w:eastAsia="en-CA"/>
              </w:rPr>
            </w:pPr>
            <w:r w:rsidRPr="00741F1B">
              <w:rPr>
                <w:color w:val="000000"/>
                <w:sz w:val="18"/>
                <w:szCs w:val="18"/>
                <w:lang w:val="fr-CA" w:eastAsia="en-CA"/>
              </w:rPr>
              <w:t>2024</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522A7049" w14:textId="77777777" w:rsidR="0087239B" w:rsidRPr="00741F1B" w:rsidRDefault="0087239B" w:rsidP="0087239B">
            <w:pPr>
              <w:jc w:val="center"/>
              <w:rPr>
                <w:color w:val="000000"/>
                <w:sz w:val="18"/>
                <w:szCs w:val="18"/>
                <w:lang w:val="fr-CA" w:eastAsia="en-CA"/>
              </w:rPr>
            </w:pPr>
            <w:r w:rsidRPr="00741F1B">
              <w:rPr>
                <w:color w:val="000000"/>
                <w:sz w:val="18"/>
                <w:szCs w:val="18"/>
                <w:lang w:val="fr-CA" w:eastAsia="en-CA"/>
              </w:rPr>
              <w:t>2025</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41229495" w14:textId="77777777" w:rsidR="0087239B" w:rsidRPr="00741F1B" w:rsidRDefault="0087239B" w:rsidP="0087239B">
            <w:pPr>
              <w:jc w:val="center"/>
              <w:rPr>
                <w:color w:val="000000"/>
                <w:sz w:val="18"/>
                <w:szCs w:val="18"/>
                <w:lang w:val="fr-CA" w:eastAsia="en-CA"/>
              </w:rPr>
            </w:pPr>
            <w:r w:rsidRPr="00741F1B">
              <w:rPr>
                <w:color w:val="000000"/>
                <w:sz w:val="18"/>
                <w:szCs w:val="18"/>
                <w:lang w:val="fr-CA" w:eastAsia="en-CA"/>
              </w:rPr>
              <w:t>2026</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66AAFFD4" w14:textId="77777777" w:rsidR="0087239B" w:rsidRPr="00741F1B" w:rsidRDefault="0087239B" w:rsidP="0087239B">
            <w:pPr>
              <w:jc w:val="center"/>
              <w:rPr>
                <w:color w:val="000000"/>
                <w:sz w:val="18"/>
                <w:szCs w:val="18"/>
                <w:lang w:val="fr-CA" w:eastAsia="en-CA"/>
              </w:rPr>
            </w:pPr>
            <w:r w:rsidRPr="00741F1B">
              <w:rPr>
                <w:color w:val="000000"/>
                <w:sz w:val="18"/>
                <w:szCs w:val="18"/>
                <w:lang w:val="fr-CA" w:eastAsia="en-CA"/>
              </w:rPr>
              <w:t>2027</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492550D7" w14:textId="77777777" w:rsidR="0087239B" w:rsidRPr="00741F1B" w:rsidRDefault="0087239B" w:rsidP="0087239B">
            <w:pPr>
              <w:jc w:val="center"/>
              <w:rPr>
                <w:color w:val="000000"/>
                <w:sz w:val="18"/>
                <w:szCs w:val="18"/>
                <w:lang w:val="fr-CA" w:eastAsia="en-CA"/>
              </w:rPr>
            </w:pPr>
            <w:r w:rsidRPr="00741F1B">
              <w:rPr>
                <w:color w:val="000000"/>
                <w:sz w:val="18"/>
                <w:szCs w:val="18"/>
                <w:lang w:val="fr-CA" w:eastAsia="en-CA"/>
              </w:rPr>
              <w:t>2028</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379B265E" w14:textId="77777777" w:rsidR="0087239B" w:rsidRPr="00741F1B" w:rsidRDefault="0087239B" w:rsidP="0087239B">
            <w:pPr>
              <w:jc w:val="center"/>
              <w:rPr>
                <w:color w:val="000000"/>
                <w:sz w:val="18"/>
                <w:szCs w:val="18"/>
                <w:lang w:val="fr-CA" w:eastAsia="en-CA"/>
              </w:rPr>
            </w:pPr>
            <w:r w:rsidRPr="00741F1B">
              <w:rPr>
                <w:color w:val="000000"/>
                <w:sz w:val="18"/>
                <w:szCs w:val="18"/>
                <w:lang w:val="fr-CA" w:eastAsia="en-CA"/>
              </w:rPr>
              <w:t>2029</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561BAAF4" w14:textId="77777777" w:rsidR="0087239B" w:rsidRPr="00741F1B" w:rsidRDefault="0087239B" w:rsidP="0087239B">
            <w:pPr>
              <w:jc w:val="center"/>
              <w:rPr>
                <w:color w:val="000000"/>
                <w:sz w:val="18"/>
                <w:szCs w:val="18"/>
                <w:lang w:val="fr-CA" w:eastAsia="en-CA"/>
              </w:rPr>
            </w:pPr>
            <w:r w:rsidRPr="00741F1B">
              <w:rPr>
                <w:color w:val="000000"/>
                <w:sz w:val="18"/>
                <w:szCs w:val="18"/>
                <w:lang w:val="fr-CA" w:eastAsia="en-CA"/>
              </w:rPr>
              <w:t>2030</w:t>
            </w:r>
          </w:p>
        </w:tc>
        <w:tc>
          <w:tcPr>
            <w:tcW w:w="383" w:type="pct"/>
            <w:tcBorders>
              <w:top w:val="single" w:sz="4" w:space="0" w:color="auto"/>
              <w:left w:val="nil"/>
              <w:bottom w:val="single" w:sz="4" w:space="0" w:color="auto"/>
              <w:right w:val="single" w:sz="4" w:space="0" w:color="auto"/>
            </w:tcBorders>
            <w:shd w:val="clear" w:color="auto" w:fill="auto"/>
            <w:noWrap/>
            <w:vAlign w:val="center"/>
            <w:hideMark/>
          </w:tcPr>
          <w:p w14:paraId="7E7A456D" w14:textId="77777777" w:rsidR="0087239B" w:rsidRPr="00741F1B" w:rsidRDefault="0087239B" w:rsidP="0087239B">
            <w:pPr>
              <w:jc w:val="center"/>
              <w:rPr>
                <w:color w:val="000000"/>
                <w:sz w:val="18"/>
                <w:szCs w:val="18"/>
                <w:lang w:val="fr-CA" w:eastAsia="en-CA"/>
              </w:rPr>
            </w:pPr>
            <w:r w:rsidRPr="00741F1B">
              <w:rPr>
                <w:color w:val="000000"/>
                <w:sz w:val="18"/>
                <w:szCs w:val="18"/>
                <w:lang w:val="fr-CA" w:eastAsia="en-CA"/>
              </w:rPr>
              <w:t>Total</w:t>
            </w:r>
          </w:p>
        </w:tc>
      </w:tr>
      <w:tr w:rsidR="0087239B" w:rsidRPr="00741F1B" w14:paraId="549F2882" w14:textId="77777777" w:rsidTr="00315E8F">
        <w:tc>
          <w:tcPr>
            <w:tcW w:w="213" w:type="pct"/>
            <w:tcBorders>
              <w:top w:val="nil"/>
              <w:left w:val="single" w:sz="4" w:space="0" w:color="auto"/>
              <w:bottom w:val="single" w:sz="4" w:space="0" w:color="auto"/>
              <w:right w:val="single" w:sz="4" w:space="0" w:color="auto"/>
            </w:tcBorders>
            <w:shd w:val="clear" w:color="auto" w:fill="auto"/>
            <w:noWrap/>
            <w:vAlign w:val="center"/>
            <w:hideMark/>
          </w:tcPr>
          <w:p w14:paraId="5EF5061D" w14:textId="77777777" w:rsidR="0087239B" w:rsidRPr="00741F1B" w:rsidRDefault="0087239B" w:rsidP="0087239B">
            <w:pPr>
              <w:jc w:val="left"/>
              <w:rPr>
                <w:color w:val="000000"/>
                <w:sz w:val="18"/>
                <w:szCs w:val="18"/>
                <w:lang w:val="fr-CA" w:eastAsia="en-CA"/>
              </w:rPr>
            </w:pPr>
            <w:r w:rsidRPr="00741F1B">
              <w:rPr>
                <w:color w:val="000000"/>
                <w:sz w:val="18"/>
                <w:szCs w:val="18"/>
                <w:lang w:val="fr-CA" w:eastAsia="en-CA"/>
              </w:rPr>
              <w:t>1.1</w:t>
            </w:r>
          </w:p>
        </w:tc>
        <w:tc>
          <w:tcPr>
            <w:tcW w:w="1220" w:type="pct"/>
            <w:tcBorders>
              <w:top w:val="nil"/>
              <w:left w:val="nil"/>
              <w:bottom w:val="single" w:sz="4" w:space="0" w:color="auto"/>
              <w:right w:val="single" w:sz="4" w:space="0" w:color="auto"/>
            </w:tcBorders>
            <w:shd w:val="clear" w:color="auto" w:fill="auto"/>
            <w:vAlign w:val="center"/>
            <w:hideMark/>
          </w:tcPr>
          <w:p w14:paraId="78F86564" w14:textId="77777777" w:rsidR="0087239B" w:rsidRPr="00741F1B" w:rsidRDefault="0087239B" w:rsidP="0087239B">
            <w:pPr>
              <w:jc w:val="left"/>
              <w:rPr>
                <w:color w:val="000000"/>
                <w:sz w:val="18"/>
                <w:szCs w:val="18"/>
                <w:lang w:val="fr-CA" w:eastAsia="en-CA"/>
              </w:rPr>
            </w:pPr>
            <w:r>
              <w:rPr>
                <w:color w:val="000000"/>
                <w:sz w:val="18"/>
                <w:szCs w:val="18"/>
                <w:lang w:val="fr-CA" w:eastAsia="en-CA"/>
              </w:rPr>
              <w:t>Consommation maximum permise de substances du groupe II de l’annexe F par 100 kg de substances du groupe I de l’annexe C produits (kg)</w:t>
            </w:r>
          </w:p>
        </w:tc>
        <w:tc>
          <w:tcPr>
            <w:tcW w:w="329" w:type="pct"/>
            <w:tcBorders>
              <w:top w:val="nil"/>
              <w:left w:val="nil"/>
              <w:bottom w:val="single" w:sz="4" w:space="0" w:color="auto"/>
              <w:right w:val="single" w:sz="4" w:space="0" w:color="auto"/>
            </w:tcBorders>
            <w:shd w:val="clear" w:color="auto" w:fill="auto"/>
            <w:vAlign w:val="center"/>
            <w:hideMark/>
          </w:tcPr>
          <w:p w14:paraId="6C56ABE1" w14:textId="77777777" w:rsidR="0087239B" w:rsidRPr="00741F1B" w:rsidRDefault="0087239B" w:rsidP="0087239B">
            <w:pPr>
              <w:jc w:val="right"/>
              <w:rPr>
                <w:color w:val="000000"/>
                <w:sz w:val="18"/>
                <w:szCs w:val="18"/>
                <w:lang w:val="fr-CA" w:eastAsia="en-CA"/>
              </w:rPr>
            </w:pPr>
            <w:r>
              <w:rPr>
                <w:color w:val="000000"/>
                <w:sz w:val="18"/>
                <w:szCs w:val="18"/>
                <w:lang w:val="fr-CA" w:eastAsia="en-CA"/>
              </w:rPr>
              <w:t>S.o.</w:t>
            </w:r>
          </w:p>
        </w:tc>
        <w:tc>
          <w:tcPr>
            <w:tcW w:w="221" w:type="pct"/>
            <w:tcBorders>
              <w:top w:val="nil"/>
              <w:left w:val="nil"/>
              <w:bottom w:val="single" w:sz="4" w:space="0" w:color="auto"/>
              <w:right w:val="single" w:sz="4" w:space="0" w:color="auto"/>
            </w:tcBorders>
            <w:shd w:val="clear" w:color="auto" w:fill="auto"/>
            <w:noWrap/>
            <w:vAlign w:val="center"/>
            <w:hideMark/>
          </w:tcPr>
          <w:p w14:paraId="540CCEFF" w14:textId="77777777" w:rsidR="0087239B" w:rsidRPr="00741F1B" w:rsidRDefault="0087239B" w:rsidP="0087239B">
            <w:pPr>
              <w:jc w:val="right"/>
              <w:rPr>
                <w:color w:val="000000"/>
                <w:sz w:val="18"/>
                <w:szCs w:val="18"/>
                <w:lang w:val="fr-CA" w:eastAsia="en-CA"/>
              </w:rPr>
            </w:pPr>
            <w:r w:rsidRPr="00741F1B">
              <w:rPr>
                <w:color w:val="000000"/>
                <w:sz w:val="18"/>
                <w:szCs w:val="18"/>
                <w:lang w:val="fr-CA" w:eastAsia="en-CA"/>
              </w:rPr>
              <w:t>0</w:t>
            </w:r>
            <w:r>
              <w:rPr>
                <w:color w:val="000000"/>
                <w:sz w:val="18"/>
                <w:szCs w:val="18"/>
                <w:lang w:val="fr-CA" w:eastAsia="en-CA"/>
              </w:rPr>
              <w:t>,</w:t>
            </w:r>
            <w:r w:rsidRPr="00741F1B">
              <w:rPr>
                <w:color w:val="000000"/>
                <w:sz w:val="18"/>
                <w:szCs w:val="18"/>
                <w:lang w:val="fr-CA" w:eastAsia="en-CA"/>
              </w:rPr>
              <w:t>10</w:t>
            </w:r>
          </w:p>
        </w:tc>
        <w:tc>
          <w:tcPr>
            <w:tcW w:w="329" w:type="pct"/>
            <w:tcBorders>
              <w:top w:val="nil"/>
              <w:left w:val="nil"/>
              <w:bottom w:val="single" w:sz="4" w:space="0" w:color="auto"/>
              <w:right w:val="single" w:sz="4" w:space="0" w:color="auto"/>
            </w:tcBorders>
            <w:shd w:val="clear" w:color="auto" w:fill="auto"/>
            <w:noWrap/>
            <w:vAlign w:val="center"/>
            <w:hideMark/>
          </w:tcPr>
          <w:p w14:paraId="0A6DFB02" w14:textId="77777777" w:rsidR="0087239B" w:rsidRPr="00741F1B" w:rsidRDefault="0087239B" w:rsidP="0087239B">
            <w:pPr>
              <w:jc w:val="right"/>
              <w:rPr>
                <w:color w:val="000000"/>
                <w:sz w:val="18"/>
                <w:szCs w:val="18"/>
                <w:lang w:val="fr-CA" w:eastAsia="en-CA"/>
              </w:rPr>
            </w:pPr>
            <w:r w:rsidRPr="00741F1B">
              <w:rPr>
                <w:color w:val="000000"/>
                <w:sz w:val="18"/>
                <w:szCs w:val="18"/>
                <w:lang w:val="fr-CA" w:eastAsia="en-CA"/>
              </w:rPr>
              <w:t>0</w:t>
            </w:r>
            <w:r>
              <w:rPr>
                <w:color w:val="000000"/>
                <w:sz w:val="18"/>
                <w:szCs w:val="18"/>
                <w:lang w:val="fr-CA" w:eastAsia="en-CA"/>
              </w:rPr>
              <w:t>,</w:t>
            </w:r>
            <w:r w:rsidRPr="00741F1B">
              <w:rPr>
                <w:color w:val="000000"/>
                <w:sz w:val="18"/>
                <w:szCs w:val="18"/>
                <w:lang w:val="fr-CA" w:eastAsia="en-CA"/>
              </w:rPr>
              <w:t>10</w:t>
            </w:r>
          </w:p>
        </w:tc>
        <w:tc>
          <w:tcPr>
            <w:tcW w:w="329" w:type="pct"/>
            <w:tcBorders>
              <w:top w:val="nil"/>
              <w:left w:val="nil"/>
              <w:bottom w:val="single" w:sz="4" w:space="0" w:color="auto"/>
              <w:right w:val="single" w:sz="4" w:space="0" w:color="auto"/>
            </w:tcBorders>
            <w:shd w:val="clear" w:color="auto" w:fill="auto"/>
            <w:noWrap/>
            <w:vAlign w:val="center"/>
            <w:hideMark/>
          </w:tcPr>
          <w:p w14:paraId="3843448F" w14:textId="77777777" w:rsidR="0087239B" w:rsidRPr="00741F1B" w:rsidRDefault="0087239B" w:rsidP="0087239B">
            <w:pPr>
              <w:jc w:val="right"/>
              <w:rPr>
                <w:color w:val="000000"/>
                <w:sz w:val="18"/>
                <w:szCs w:val="18"/>
                <w:lang w:val="fr-CA" w:eastAsia="en-CA"/>
              </w:rPr>
            </w:pPr>
            <w:r w:rsidRPr="00741F1B">
              <w:rPr>
                <w:color w:val="000000"/>
                <w:sz w:val="18"/>
                <w:szCs w:val="18"/>
                <w:lang w:val="fr-CA" w:eastAsia="en-CA"/>
              </w:rPr>
              <w:t>0</w:t>
            </w:r>
            <w:r>
              <w:rPr>
                <w:color w:val="000000"/>
                <w:sz w:val="18"/>
                <w:szCs w:val="18"/>
                <w:lang w:val="fr-CA" w:eastAsia="en-CA"/>
              </w:rPr>
              <w:t>,</w:t>
            </w:r>
            <w:r w:rsidRPr="00741F1B">
              <w:rPr>
                <w:color w:val="000000"/>
                <w:sz w:val="18"/>
                <w:szCs w:val="18"/>
                <w:lang w:val="fr-CA" w:eastAsia="en-CA"/>
              </w:rPr>
              <w:t>10</w:t>
            </w:r>
          </w:p>
        </w:tc>
        <w:tc>
          <w:tcPr>
            <w:tcW w:w="329" w:type="pct"/>
            <w:tcBorders>
              <w:top w:val="nil"/>
              <w:left w:val="nil"/>
              <w:bottom w:val="single" w:sz="4" w:space="0" w:color="auto"/>
              <w:right w:val="single" w:sz="4" w:space="0" w:color="auto"/>
            </w:tcBorders>
            <w:shd w:val="clear" w:color="auto" w:fill="auto"/>
            <w:noWrap/>
            <w:vAlign w:val="center"/>
            <w:hideMark/>
          </w:tcPr>
          <w:p w14:paraId="07A9EAB5" w14:textId="77777777" w:rsidR="0087239B" w:rsidRPr="00741F1B" w:rsidRDefault="0087239B" w:rsidP="0087239B">
            <w:pPr>
              <w:jc w:val="right"/>
              <w:rPr>
                <w:color w:val="000000"/>
                <w:sz w:val="18"/>
                <w:szCs w:val="18"/>
                <w:lang w:val="fr-CA" w:eastAsia="en-CA"/>
              </w:rPr>
            </w:pPr>
            <w:r w:rsidRPr="00741F1B">
              <w:rPr>
                <w:color w:val="000000"/>
                <w:sz w:val="18"/>
                <w:szCs w:val="18"/>
                <w:lang w:val="fr-CA" w:eastAsia="en-CA"/>
              </w:rPr>
              <w:t>0</w:t>
            </w:r>
            <w:r>
              <w:rPr>
                <w:color w:val="000000"/>
                <w:sz w:val="18"/>
                <w:szCs w:val="18"/>
                <w:lang w:val="fr-CA" w:eastAsia="en-CA"/>
              </w:rPr>
              <w:t>,</w:t>
            </w:r>
            <w:r w:rsidRPr="00741F1B">
              <w:rPr>
                <w:color w:val="000000"/>
                <w:sz w:val="18"/>
                <w:szCs w:val="18"/>
                <w:lang w:val="fr-CA" w:eastAsia="en-CA"/>
              </w:rPr>
              <w:t>10</w:t>
            </w:r>
          </w:p>
        </w:tc>
        <w:tc>
          <w:tcPr>
            <w:tcW w:w="329" w:type="pct"/>
            <w:tcBorders>
              <w:top w:val="nil"/>
              <w:left w:val="nil"/>
              <w:bottom w:val="single" w:sz="4" w:space="0" w:color="auto"/>
              <w:right w:val="single" w:sz="4" w:space="0" w:color="auto"/>
            </w:tcBorders>
            <w:shd w:val="clear" w:color="auto" w:fill="auto"/>
            <w:noWrap/>
            <w:vAlign w:val="center"/>
            <w:hideMark/>
          </w:tcPr>
          <w:p w14:paraId="1C9DE38B" w14:textId="77777777" w:rsidR="0087239B" w:rsidRPr="00741F1B" w:rsidRDefault="0087239B" w:rsidP="0087239B">
            <w:pPr>
              <w:jc w:val="right"/>
              <w:rPr>
                <w:color w:val="000000"/>
                <w:sz w:val="18"/>
                <w:szCs w:val="18"/>
                <w:lang w:val="fr-CA" w:eastAsia="en-CA"/>
              </w:rPr>
            </w:pPr>
            <w:r w:rsidRPr="00741F1B">
              <w:rPr>
                <w:color w:val="000000"/>
                <w:sz w:val="18"/>
                <w:szCs w:val="18"/>
                <w:lang w:val="fr-CA" w:eastAsia="en-CA"/>
              </w:rPr>
              <w:t>0</w:t>
            </w:r>
            <w:r>
              <w:rPr>
                <w:color w:val="000000"/>
                <w:sz w:val="18"/>
                <w:szCs w:val="18"/>
                <w:lang w:val="fr-CA" w:eastAsia="en-CA"/>
              </w:rPr>
              <w:t>,</w:t>
            </w:r>
            <w:r w:rsidRPr="00741F1B">
              <w:rPr>
                <w:color w:val="000000"/>
                <w:sz w:val="18"/>
                <w:szCs w:val="18"/>
                <w:lang w:val="fr-CA" w:eastAsia="en-CA"/>
              </w:rPr>
              <w:t>10</w:t>
            </w:r>
          </w:p>
        </w:tc>
        <w:tc>
          <w:tcPr>
            <w:tcW w:w="329" w:type="pct"/>
            <w:tcBorders>
              <w:top w:val="nil"/>
              <w:left w:val="nil"/>
              <w:bottom w:val="single" w:sz="4" w:space="0" w:color="auto"/>
              <w:right w:val="single" w:sz="4" w:space="0" w:color="auto"/>
            </w:tcBorders>
            <w:shd w:val="clear" w:color="auto" w:fill="auto"/>
            <w:noWrap/>
            <w:vAlign w:val="center"/>
            <w:hideMark/>
          </w:tcPr>
          <w:p w14:paraId="702F1167" w14:textId="77777777" w:rsidR="0087239B" w:rsidRPr="00741F1B" w:rsidRDefault="0087239B" w:rsidP="0087239B">
            <w:pPr>
              <w:jc w:val="right"/>
              <w:rPr>
                <w:color w:val="000000"/>
                <w:sz w:val="18"/>
                <w:szCs w:val="18"/>
                <w:lang w:val="fr-CA" w:eastAsia="en-CA"/>
              </w:rPr>
            </w:pPr>
            <w:r w:rsidRPr="00741F1B">
              <w:rPr>
                <w:color w:val="000000"/>
                <w:sz w:val="18"/>
                <w:szCs w:val="18"/>
                <w:lang w:val="fr-CA" w:eastAsia="en-CA"/>
              </w:rPr>
              <w:t>0</w:t>
            </w:r>
            <w:r>
              <w:rPr>
                <w:color w:val="000000"/>
                <w:sz w:val="18"/>
                <w:szCs w:val="18"/>
                <w:lang w:val="fr-CA" w:eastAsia="en-CA"/>
              </w:rPr>
              <w:t>,</w:t>
            </w:r>
            <w:r w:rsidRPr="00741F1B">
              <w:rPr>
                <w:color w:val="000000"/>
                <w:sz w:val="18"/>
                <w:szCs w:val="18"/>
                <w:lang w:val="fr-CA" w:eastAsia="en-CA"/>
              </w:rPr>
              <w:t>10</w:t>
            </w:r>
          </w:p>
        </w:tc>
        <w:tc>
          <w:tcPr>
            <w:tcW w:w="329" w:type="pct"/>
            <w:tcBorders>
              <w:top w:val="nil"/>
              <w:left w:val="nil"/>
              <w:bottom w:val="single" w:sz="4" w:space="0" w:color="auto"/>
              <w:right w:val="single" w:sz="4" w:space="0" w:color="auto"/>
            </w:tcBorders>
            <w:shd w:val="clear" w:color="auto" w:fill="auto"/>
            <w:noWrap/>
            <w:vAlign w:val="center"/>
            <w:hideMark/>
          </w:tcPr>
          <w:p w14:paraId="58BB8850" w14:textId="77777777" w:rsidR="0087239B" w:rsidRPr="00741F1B" w:rsidRDefault="0087239B" w:rsidP="0087239B">
            <w:pPr>
              <w:jc w:val="right"/>
              <w:rPr>
                <w:color w:val="000000"/>
                <w:sz w:val="18"/>
                <w:szCs w:val="18"/>
                <w:lang w:val="fr-CA" w:eastAsia="en-CA"/>
              </w:rPr>
            </w:pPr>
            <w:r w:rsidRPr="00741F1B">
              <w:rPr>
                <w:color w:val="000000"/>
                <w:sz w:val="18"/>
                <w:szCs w:val="18"/>
                <w:lang w:val="fr-CA" w:eastAsia="en-CA"/>
              </w:rPr>
              <w:t>0</w:t>
            </w:r>
            <w:r>
              <w:rPr>
                <w:color w:val="000000"/>
                <w:sz w:val="18"/>
                <w:szCs w:val="18"/>
                <w:lang w:val="fr-CA" w:eastAsia="en-CA"/>
              </w:rPr>
              <w:t>,</w:t>
            </w:r>
            <w:r w:rsidRPr="00741F1B">
              <w:rPr>
                <w:color w:val="000000"/>
                <w:sz w:val="18"/>
                <w:szCs w:val="18"/>
                <w:lang w:val="fr-CA" w:eastAsia="en-CA"/>
              </w:rPr>
              <w:t>10</w:t>
            </w:r>
          </w:p>
        </w:tc>
        <w:tc>
          <w:tcPr>
            <w:tcW w:w="329" w:type="pct"/>
            <w:tcBorders>
              <w:top w:val="nil"/>
              <w:left w:val="nil"/>
              <w:bottom w:val="single" w:sz="4" w:space="0" w:color="auto"/>
              <w:right w:val="single" w:sz="4" w:space="0" w:color="auto"/>
            </w:tcBorders>
            <w:shd w:val="clear" w:color="auto" w:fill="auto"/>
            <w:noWrap/>
            <w:vAlign w:val="center"/>
            <w:hideMark/>
          </w:tcPr>
          <w:p w14:paraId="2D69547B" w14:textId="77777777" w:rsidR="0087239B" w:rsidRPr="00741F1B" w:rsidRDefault="0087239B" w:rsidP="0087239B">
            <w:pPr>
              <w:jc w:val="right"/>
              <w:rPr>
                <w:color w:val="000000"/>
                <w:sz w:val="18"/>
                <w:szCs w:val="18"/>
                <w:lang w:val="fr-CA" w:eastAsia="en-CA"/>
              </w:rPr>
            </w:pPr>
            <w:r w:rsidRPr="00741F1B">
              <w:rPr>
                <w:color w:val="000000"/>
                <w:sz w:val="18"/>
                <w:szCs w:val="18"/>
                <w:lang w:val="fr-CA" w:eastAsia="en-CA"/>
              </w:rPr>
              <w:t>0</w:t>
            </w:r>
            <w:r>
              <w:rPr>
                <w:color w:val="000000"/>
                <w:sz w:val="18"/>
                <w:szCs w:val="18"/>
                <w:lang w:val="fr-CA" w:eastAsia="en-CA"/>
              </w:rPr>
              <w:t>,</w:t>
            </w:r>
            <w:r w:rsidRPr="00741F1B">
              <w:rPr>
                <w:color w:val="000000"/>
                <w:sz w:val="18"/>
                <w:szCs w:val="18"/>
                <w:lang w:val="fr-CA" w:eastAsia="en-CA"/>
              </w:rPr>
              <w:t>10</w:t>
            </w:r>
          </w:p>
        </w:tc>
        <w:tc>
          <w:tcPr>
            <w:tcW w:w="329" w:type="pct"/>
            <w:tcBorders>
              <w:top w:val="nil"/>
              <w:left w:val="nil"/>
              <w:bottom w:val="single" w:sz="4" w:space="0" w:color="auto"/>
              <w:right w:val="single" w:sz="4" w:space="0" w:color="auto"/>
            </w:tcBorders>
            <w:shd w:val="clear" w:color="auto" w:fill="auto"/>
            <w:noWrap/>
            <w:vAlign w:val="center"/>
            <w:hideMark/>
          </w:tcPr>
          <w:p w14:paraId="3CDAD058" w14:textId="77777777" w:rsidR="0087239B" w:rsidRPr="00741F1B" w:rsidRDefault="0087239B" w:rsidP="0087239B">
            <w:pPr>
              <w:jc w:val="right"/>
              <w:rPr>
                <w:color w:val="000000"/>
                <w:sz w:val="18"/>
                <w:szCs w:val="18"/>
                <w:lang w:val="fr-CA" w:eastAsia="en-CA"/>
              </w:rPr>
            </w:pPr>
            <w:r w:rsidRPr="00741F1B">
              <w:rPr>
                <w:color w:val="000000"/>
                <w:sz w:val="18"/>
                <w:szCs w:val="18"/>
                <w:lang w:val="fr-CA" w:eastAsia="en-CA"/>
              </w:rPr>
              <w:t>0</w:t>
            </w:r>
            <w:r>
              <w:rPr>
                <w:color w:val="000000"/>
                <w:sz w:val="18"/>
                <w:szCs w:val="18"/>
                <w:lang w:val="fr-CA" w:eastAsia="en-CA"/>
              </w:rPr>
              <w:t>,</w:t>
            </w:r>
            <w:r w:rsidRPr="00741F1B">
              <w:rPr>
                <w:color w:val="000000"/>
                <w:sz w:val="18"/>
                <w:szCs w:val="18"/>
                <w:lang w:val="fr-CA" w:eastAsia="en-CA"/>
              </w:rPr>
              <w:t>10</w:t>
            </w:r>
          </w:p>
        </w:tc>
        <w:tc>
          <w:tcPr>
            <w:tcW w:w="383" w:type="pct"/>
            <w:tcBorders>
              <w:top w:val="nil"/>
              <w:left w:val="nil"/>
              <w:bottom w:val="single" w:sz="4" w:space="0" w:color="auto"/>
              <w:right w:val="single" w:sz="4" w:space="0" w:color="auto"/>
            </w:tcBorders>
            <w:shd w:val="clear" w:color="auto" w:fill="auto"/>
            <w:noWrap/>
            <w:vAlign w:val="center"/>
            <w:hideMark/>
          </w:tcPr>
          <w:p w14:paraId="31779BC2" w14:textId="77777777" w:rsidR="0087239B" w:rsidRPr="00741F1B" w:rsidRDefault="0087239B" w:rsidP="0087239B">
            <w:pPr>
              <w:jc w:val="right"/>
              <w:rPr>
                <w:color w:val="000000"/>
                <w:sz w:val="18"/>
                <w:szCs w:val="18"/>
                <w:lang w:val="fr-CA" w:eastAsia="en-CA"/>
              </w:rPr>
            </w:pPr>
            <w:r>
              <w:rPr>
                <w:color w:val="000000"/>
                <w:sz w:val="18"/>
                <w:szCs w:val="18"/>
                <w:lang w:val="fr-CA" w:eastAsia="en-CA"/>
              </w:rPr>
              <w:t>S.o.</w:t>
            </w:r>
          </w:p>
        </w:tc>
      </w:tr>
      <w:tr w:rsidR="0087239B" w:rsidRPr="00741F1B" w14:paraId="3FC33753" w14:textId="77777777" w:rsidTr="00315E8F">
        <w:tc>
          <w:tcPr>
            <w:tcW w:w="213" w:type="pct"/>
            <w:tcBorders>
              <w:top w:val="nil"/>
              <w:left w:val="single" w:sz="4" w:space="0" w:color="auto"/>
              <w:bottom w:val="single" w:sz="4" w:space="0" w:color="auto"/>
              <w:right w:val="single" w:sz="4" w:space="0" w:color="auto"/>
            </w:tcBorders>
            <w:shd w:val="clear" w:color="auto" w:fill="auto"/>
            <w:noWrap/>
            <w:vAlign w:val="center"/>
            <w:hideMark/>
          </w:tcPr>
          <w:p w14:paraId="78E1E48E" w14:textId="77777777" w:rsidR="0087239B" w:rsidRPr="00741F1B" w:rsidRDefault="0087239B" w:rsidP="0087239B">
            <w:pPr>
              <w:jc w:val="left"/>
              <w:rPr>
                <w:color w:val="000000"/>
                <w:sz w:val="18"/>
                <w:szCs w:val="18"/>
                <w:lang w:val="fr-CA" w:eastAsia="en-CA"/>
              </w:rPr>
            </w:pPr>
            <w:r w:rsidRPr="00741F1B">
              <w:rPr>
                <w:color w:val="000000"/>
                <w:sz w:val="18"/>
                <w:szCs w:val="18"/>
                <w:lang w:val="fr-CA" w:eastAsia="en-CA"/>
              </w:rPr>
              <w:t>2.1</w:t>
            </w:r>
          </w:p>
        </w:tc>
        <w:tc>
          <w:tcPr>
            <w:tcW w:w="1220" w:type="pct"/>
            <w:tcBorders>
              <w:top w:val="nil"/>
              <w:left w:val="nil"/>
              <w:bottom w:val="single" w:sz="4" w:space="0" w:color="auto"/>
              <w:right w:val="single" w:sz="4" w:space="0" w:color="auto"/>
            </w:tcBorders>
            <w:shd w:val="clear" w:color="auto" w:fill="auto"/>
            <w:vAlign w:val="center"/>
            <w:hideMark/>
          </w:tcPr>
          <w:p w14:paraId="0D0A19EB" w14:textId="77777777" w:rsidR="0087239B" w:rsidRPr="00741F1B" w:rsidRDefault="0087239B" w:rsidP="0087239B">
            <w:pPr>
              <w:jc w:val="left"/>
              <w:rPr>
                <w:color w:val="000000"/>
                <w:sz w:val="18"/>
                <w:szCs w:val="18"/>
                <w:lang w:val="fr-CA" w:eastAsia="en-CA"/>
              </w:rPr>
            </w:pPr>
            <w:r>
              <w:rPr>
                <w:color w:val="000000"/>
                <w:sz w:val="18"/>
                <w:szCs w:val="18"/>
                <w:lang w:val="fr-CA" w:eastAsia="en-CA"/>
              </w:rPr>
              <w:t>Financement convenu pour l’Agence principale (ONUDI) ($US)</w:t>
            </w:r>
            <w:r w:rsidRPr="00741F1B">
              <w:rPr>
                <w:color w:val="000000"/>
                <w:sz w:val="18"/>
                <w:szCs w:val="18"/>
                <w:vertAlign w:val="superscript"/>
                <w:lang w:val="fr-CA" w:eastAsia="en-CA"/>
              </w:rPr>
              <w:t>*</w:t>
            </w:r>
            <w:r w:rsidRPr="00741F1B">
              <w:rPr>
                <w:color w:val="000000"/>
                <w:sz w:val="18"/>
                <w:szCs w:val="18"/>
                <w:lang w:val="fr-CA" w:eastAsia="en-CA"/>
              </w:rPr>
              <w:t xml:space="preserve"> </w:t>
            </w:r>
          </w:p>
        </w:tc>
        <w:tc>
          <w:tcPr>
            <w:tcW w:w="329" w:type="pct"/>
            <w:tcBorders>
              <w:top w:val="nil"/>
              <w:left w:val="nil"/>
              <w:bottom w:val="single" w:sz="4" w:space="0" w:color="auto"/>
              <w:right w:val="single" w:sz="4" w:space="0" w:color="auto"/>
            </w:tcBorders>
            <w:shd w:val="clear" w:color="auto" w:fill="auto"/>
            <w:noWrap/>
            <w:vAlign w:val="center"/>
            <w:hideMark/>
          </w:tcPr>
          <w:p w14:paraId="57910970" w14:textId="77777777" w:rsidR="0087239B" w:rsidRPr="00741F1B" w:rsidRDefault="0087239B" w:rsidP="0087239B">
            <w:pPr>
              <w:jc w:val="right"/>
              <w:rPr>
                <w:color w:val="000000"/>
                <w:sz w:val="18"/>
                <w:szCs w:val="18"/>
                <w:lang w:val="fr-CA" w:eastAsia="en-CA"/>
              </w:rPr>
            </w:pPr>
            <w:r w:rsidRPr="00741F1B">
              <w:rPr>
                <w:color w:val="000000"/>
                <w:sz w:val="18"/>
                <w:szCs w:val="18"/>
                <w:lang w:val="fr-CA" w:eastAsia="en-CA"/>
              </w:rPr>
              <w:t>483</w:t>
            </w:r>
            <w:r>
              <w:rPr>
                <w:color w:val="000000"/>
                <w:sz w:val="18"/>
                <w:szCs w:val="18"/>
                <w:lang w:val="fr-CA" w:eastAsia="en-CA"/>
              </w:rPr>
              <w:t xml:space="preserve"> </w:t>
            </w:r>
            <w:r w:rsidRPr="00741F1B">
              <w:rPr>
                <w:color w:val="000000"/>
                <w:sz w:val="18"/>
                <w:szCs w:val="18"/>
                <w:lang w:val="fr-CA" w:eastAsia="en-CA"/>
              </w:rPr>
              <w:t>058</w:t>
            </w:r>
          </w:p>
        </w:tc>
        <w:tc>
          <w:tcPr>
            <w:tcW w:w="221" w:type="pct"/>
            <w:tcBorders>
              <w:top w:val="nil"/>
              <w:left w:val="nil"/>
              <w:bottom w:val="single" w:sz="4" w:space="0" w:color="auto"/>
              <w:right w:val="single" w:sz="4" w:space="0" w:color="auto"/>
            </w:tcBorders>
            <w:shd w:val="clear" w:color="auto" w:fill="auto"/>
            <w:noWrap/>
            <w:vAlign w:val="center"/>
            <w:hideMark/>
          </w:tcPr>
          <w:p w14:paraId="7223E8F3" w14:textId="77777777" w:rsidR="0087239B" w:rsidRPr="00741F1B" w:rsidRDefault="0087239B" w:rsidP="0087239B">
            <w:pPr>
              <w:jc w:val="right"/>
              <w:rPr>
                <w:color w:val="000000"/>
                <w:sz w:val="18"/>
                <w:szCs w:val="18"/>
                <w:lang w:val="fr-CA" w:eastAsia="en-CA"/>
              </w:rPr>
            </w:pPr>
            <w:r w:rsidRPr="00741F1B">
              <w:rPr>
                <w:color w:val="000000"/>
                <w:sz w:val="18"/>
                <w:szCs w:val="18"/>
                <w:lang w:val="fr-CA" w:eastAsia="en-CA"/>
              </w:rPr>
              <w:t>-</w:t>
            </w:r>
          </w:p>
        </w:tc>
        <w:tc>
          <w:tcPr>
            <w:tcW w:w="329" w:type="pct"/>
            <w:tcBorders>
              <w:top w:val="nil"/>
              <w:left w:val="nil"/>
              <w:bottom w:val="single" w:sz="4" w:space="0" w:color="auto"/>
              <w:right w:val="single" w:sz="4" w:space="0" w:color="auto"/>
            </w:tcBorders>
            <w:shd w:val="clear" w:color="auto" w:fill="auto"/>
            <w:noWrap/>
            <w:vAlign w:val="bottom"/>
            <w:hideMark/>
          </w:tcPr>
          <w:p w14:paraId="66AC9541"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492</w:t>
            </w:r>
            <w:r>
              <w:rPr>
                <w:color w:val="000000"/>
                <w:sz w:val="18"/>
                <w:szCs w:val="18"/>
                <w:lang w:val="fr-CA"/>
              </w:rPr>
              <w:t xml:space="preserve"> </w:t>
            </w:r>
            <w:r w:rsidRPr="00741F1B">
              <w:rPr>
                <w:color w:val="000000"/>
                <w:sz w:val="18"/>
                <w:szCs w:val="18"/>
                <w:lang w:val="fr-CA"/>
              </w:rPr>
              <w:t xml:space="preserve">160 </w:t>
            </w:r>
          </w:p>
        </w:tc>
        <w:tc>
          <w:tcPr>
            <w:tcW w:w="329" w:type="pct"/>
            <w:tcBorders>
              <w:top w:val="nil"/>
              <w:left w:val="nil"/>
              <w:bottom w:val="single" w:sz="4" w:space="0" w:color="auto"/>
              <w:right w:val="single" w:sz="4" w:space="0" w:color="auto"/>
            </w:tcBorders>
            <w:shd w:val="clear" w:color="auto" w:fill="auto"/>
            <w:noWrap/>
            <w:vAlign w:val="bottom"/>
            <w:hideMark/>
          </w:tcPr>
          <w:p w14:paraId="05E6DCDF"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374</w:t>
            </w:r>
            <w:r>
              <w:rPr>
                <w:color w:val="000000"/>
                <w:sz w:val="18"/>
                <w:szCs w:val="18"/>
                <w:lang w:val="fr-CA"/>
              </w:rPr>
              <w:t xml:space="preserve"> </w:t>
            </w:r>
            <w:r w:rsidRPr="00741F1B">
              <w:rPr>
                <w:color w:val="000000"/>
                <w:sz w:val="18"/>
                <w:szCs w:val="18"/>
                <w:lang w:val="fr-CA"/>
              </w:rPr>
              <w:t xml:space="preserve">381 </w:t>
            </w:r>
          </w:p>
        </w:tc>
        <w:tc>
          <w:tcPr>
            <w:tcW w:w="329" w:type="pct"/>
            <w:tcBorders>
              <w:top w:val="nil"/>
              <w:left w:val="nil"/>
              <w:bottom w:val="single" w:sz="4" w:space="0" w:color="auto"/>
              <w:right w:val="single" w:sz="4" w:space="0" w:color="auto"/>
            </w:tcBorders>
            <w:shd w:val="clear" w:color="auto" w:fill="auto"/>
            <w:noWrap/>
            <w:vAlign w:val="bottom"/>
            <w:hideMark/>
          </w:tcPr>
          <w:p w14:paraId="04B40CF7"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473</w:t>
            </w:r>
            <w:r>
              <w:rPr>
                <w:color w:val="000000"/>
                <w:sz w:val="18"/>
                <w:szCs w:val="18"/>
                <w:lang w:val="fr-CA"/>
              </w:rPr>
              <w:t xml:space="preserve"> </w:t>
            </w:r>
            <w:r w:rsidRPr="00741F1B">
              <w:rPr>
                <w:color w:val="000000"/>
                <w:sz w:val="18"/>
                <w:szCs w:val="18"/>
                <w:lang w:val="fr-CA"/>
              </w:rPr>
              <w:t xml:space="preserve">131 </w:t>
            </w:r>
          </w:p>
        </w:tc>
        <w:tc>
          <w:tcPr>
            <w:tcW w:w="329" w:type="pct"/>
            <w:tcBorders>
              <w:top w:val="nil"/>
              <w:left w:val="nil"/>
              <w:bottom w:val="single" w:sz="4" w:space="0" w:color="auto"/>
              <w:right w:val="single" w:sz="4" w:space="0" w:color="auto"/>
            </w:tcBorders>
            <w:shd w:val="clear" w:color="auto" w:fill="auto"/>
            <w:noWrap/>
            <w:vAlign w:val="bottom"/>
            <w:hideMark/>
          </w:tcPr>
          <w:p w14:paraId="0A620AD1"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433</w:t>
            </w:r>
            <w:r>
              <w:rPr>
                <w:color w:val="000000"/>
                <w:sz w:val="18"/>
                <w:szCs w:val="18"/>
                <w:lang w:val="fr-CA"/>
              </w:rPr>
              <w:t xml:space="preserve"> </w:t>
            </w:r>
            <w:r w:rsidRPr="00741F1B">
              <w:rPr>
                <w:color w:val="000000"/>
                <w:sz w:val="18"/>
                <w:szCs w:val="18"/>
                <w:lang w:val="fr-CA"/>
              </w:rPr>
              <w:t xml:space="preserve">131 </w:t>
            </w:r>
          </w:p>
        </w:tc>
        <w:tc>
          <w:tcPr>
            <w:tcW w:w="329" w:type="pct"/>
            <w:tcBorders>
              <w:top w:val="nil"/>
              <w:left w:val="nil"/>
              <w:bottom w:val="single" w:sz="4" w:space="0" w:color="auto"/>
              <w:right w:val="single" w:sz="4" w:space="0" w:color="auto"/>
            </w:tcBorders>
            <w:shd w:val="clear" w:color="auto" w:fill="auto"/>
            <w:noWrap/>
            <w:vAlign w:val="bottom"/>
            <w:hideMark/>
          </w:tcPr>
          <w:p w14:paraId="6E45B868"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414</w:t>
            </w:r>
            <w:r>
              <w:rPr>
                <w:color w:val="000000"/>
                <w:sz w:val="18"/>
                <w:szCs w:val="18"/>
                <w:lang w:val="fr-CA"/>
              </w:rPr>
              <w:t xml:space="preserve"> </w:t>
            </w:r>
            <w:r w:rsidRPr="00741F1B">
              <w:rPr>
                <w:color w:val="000000"/>
                <w:sz w:val="18"/>
                <w:szCs w:val="18"/>
                <w:lang w:val="fr-CA"/>
              </w:rPr>
              <w:t xml:space="preserve">381 </w:t>
            </w:r>
          </w:p>
        </w:tc>
        <w:tc>
          <w:tcPr>
            <w:tcW w:w="329" w:type="pct"/>
            <w:tcBorders>
              <w:top w:val="nil"/>
              <w:left w:val="nil"/>
              <w:bottom w:val="single" w:sz="4" w:space="0" w:color="auto"/>
              <w:right w:val="single" w:sz="4" w:space="0" w:color="auto"/>
            </w:tcBorders>
            <w:shd w:val="clear" w:color="auto" w:fill="auto"/>
            <w:noWrap/>
            <w:vAlign w:val="bottom"/>
            <w:hideMark/>
          </w:tcPr>
          <w:p w14:paraId="03C06EBD"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374</w:t>
            </w:r>
            <w:r>
              <w:rPr>
                <w:color w:val="000000"/>
                <w:sz w:val="18"/>
                <w:szCs w:val="18"/>
                <w:lang w:val="fr-CA"/>
              </w:rPr>
              <w:t xml:space="preserve"> </w:t>
            </w:r>
            <w:r w:rsidRPr="00741F1B">
              <w:rPr>
                <w:color w:val="000000"/>
                <w:sz w:val="18"/>
                <w:szCs w:val="18"/>
                <w:lang w:val="fr-CA"/>
              </w:rPr>
              <w:t xml:space="preserve">381 </w:t>
            </w:r>
          </w:p>
        </w:tc>
        <w:tc>
          <w:tcPr>
            <w:tcW w:w="329" w:type="pct"/>
            <w:tcBorders>
              <w:top w:val="nil"/>
              <w:left w:val="nil"/>
              <w:bottom w:val="single" w:sz="4" w:space="0" w:color="auto"/>
              <w:right w:val="single" w:sz="4" w:space="0" w:color="auto"/>
            </w:tcBorders>
            <w:shd w:val="clear" w:color="auto" w:fill="auto"/>
            <w:noWrap/>
            <w:vAlign w:val="bottom"/>
            <w:hideMark/>
          </w:tcPr>
          <w:p w14:paraId="0864ED01"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414</w:t>
            </w:r>
            <w:r>
              <w:rPr>
                <w:color w:val="000000"/>
                <w:sz w:val="18"/>
                <w:szCs w:val="18"/>
                <w:lang w:val="fr-CA"/>
              </w:rPr>
              <w:t xml:space="preserve"> </w:t>
            </w:r>
            <w:r w:rsidRPr="00741F1B">
              <w:rPr>
                <w:color w:val="000000"/>
                <w:sz w:val="18"/>
                <w:szCs w:val="18"/>
                <w:lang w:val="fr-CA"/>
              </w:rPr>
              <w:t xml:space="preserve">381 </w:t>
            </w:r>
          </w:p>
        </w:tc>
        <w:tc>
          <w:tcPr>
            <w:tcW w:w="329" w:type="pct"/>
            <w:tcBorders>
              <w:top w:val="nil"/>
              <w:left w:val="nil"/>
              <w:bottom w:val="single" w:sz="4" w:space="0" w:color="auto"/>
              <w:right w:val="single" w:sz="4" w:space="0" w:color="auto"/>
            </w:tcBorders>
            <w:shd w:val="clear" w:color="auto" w:fill="auto"/>
            <w:noWrap/>
            <w:vAlign w:val="bottom"/>
            <w:hideMark/>
          </w:tcPr>
          <w:p w14:paraId="22E4F683"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374</w:t>
            </w:r>
            <w:r>
              <w:rPr>
                <w:color w:val="000000"/>
                <w:sz w:val="18"/>
                <w:szCs w:val="18"/>
                <w:lang w:val="fr-CA"/>
              </w:rPr>
              <w:t xml:space="preserve"> </w:t>
            </w:r>
            <w:r w:rsidRPr="00741F1B">
              <w:rPr>
                <w:color w:val="000000"/>
                <w:sz w:val="18"/>
                <w:szCs w:val="18"/>
                <w:lang w:val="fr-CA"/>
              </w:rPr>
              <w:t xml:space="preserve">380 </w:t>
            </w:r>
          </w:p>
        </w:tc>
        <w:tc>
          <w:tcPr>
            <w:tcW w:w="383" w:type="pct"/>
            <w:tcBorders>
              <w:top w:val="nil"/>
              <w:left w:val="nil"/>
              <w:bottom w:val="single" w:sz="4" w:space="0" w:color="auto"/>
              <w:right w:val="single" w:sz="4" w:space="0" w:color="auto"/>
            </w:tcBorders>
            <w:shd w:val="clear" w:color="auto" w:fill="auto"/>
            <w:noWrap/>
            <w:vAlign w:val="bottom"/>
            <w:hideMark/>
          </w:tcPr>
          <w:p w14:paraId="44D1CD71"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3</w:t>
            </w:r>
            <w:r>
              <w:rPr>
                <w:color w:val="000000"/>
                <w:sz w:val="18"/>
                <w:szCs w:val="18"/>
                <w:lang w:val="fr-CA"/>
              </w:rPr>
              <w:t xml:space="preserve"> </w:t>
            </w:r>
            <w:r w:rsidRPr="00741F1B">
              <w:rPr>
                <w:color w:val="000000"/>
                <w:sz w:val="18"/>
                <w:szCs w:val="18"/>
                <w:lang w:val="fr-CA"/>
              </w:rPr>
              <w:t>833</w:t>
            </w:r>
            <w:r>
              <w:rPr>
                <w:color w:val="000000"/>
                <w:sz w:val="18"/>
                <w:szCs w:val="18"/>
                <w:lang w:val="fr-CA"/>
              </w:rPr>
              <w:t xml:space="preserve"> </w:t>
            </w:r>
            <w:r w:rsidRPr="00741F1B">
              <w:rPr>
                <w:color w:val="000000"/>
                <w:sz w:val="18"/>
                <w:szCs w:val="18"/>
                <w:lang w:val="fr-CA"/>
              </w:rPr>
              <w:t xml:space="preserve">384 </w:t>
            </w:r>
          </w:p>
        </w:tc>
      </w:tr>
      <w:tr w:rsidR="0087239B" w:rsidRPr="00741F1B" w14:paraId="77CAB0CC" w14:textId="77777777" w:rsidTr="00315E8F">
        <w:tc>
          <w:tcPr>
            <w:tcW w:w="213" w:type="pct"/>
            <w:tcBorders>
              <w:top w:val="nil"/>
              <w:left w:val="single" w:sz="4" w:space="0" w:color="auto"/>
              <w:bottom w:val="single" w:sz="4" w:space="0" w:color="auto"/>
              <w:right w:val="single" w:sz="4" w:space="0" w:color="auto"/>
            </w:tcBorders>
            <w:shd w:val="clear" w:color="auto" w:fill="auto"/>
            <w:noWrap/>
            <w:vAlign w:val="center"/>
            <w:hideMark/>
          </w:tcPr>
          <w:p w14:paraId="3F2E4BBC" w14:textId="77777777" w:rsidR="0087239B" w:rsidRPr="00741F1B" w:rsidRDefault="0087239B" w:rsidP="0087239B">
            <w:pPr>
              <w:jc w:val="left"/>
              <w:rPr>
                <w:color w:val="000000"/>
                <w:sz w:val="18"/>
                <w:szCs w:val="18"/>
                <w:lang w:val="fr-CA" w:eastAsia="en-CA"/>
              </w:rPr>
            </w:pPr>
            <w:r w:rsidRPr="00741F1B">
              <w:rPr>
                <w:color w:val="000000"/>
                <w:sz w:val="18"/>
                <w:szCs w:val="18"/>
                <w:lang w:val="fr-CA" w:eastAsia="en-CA"/>
              </w:rPr>
              <w:t>2.2</w:t>
            </w:r>
          </w:p>
        </w:tc>
        <w:tc>
          <w:tcPr>
            <w:tcW w:w="1220" w:type="pct"/>
            <w:tcBorders>
              <w:top w:val="nil"/>
              <w:left w:val="nil"/>
              <w:bottom w:val="single" w:sz="4" w:space="0" w:color="auto"/>
              <w:right w:val="single" w:sz="4" w:space="0" w:color="auto"/>
            </w:tcBorders>
            <w:shd w:val="clear" w:color="auto" w:fill="auto"/>
            <w:noWrap/>
            <w:vAlign w:val="center"/>
            <w:hideMark/>
          </w:tcPr>
          <w:p w14:paraId="6E1C4A4E" w14:textId="77777777" w:rsidR="0087239B" w:rsidRPr="00741F1B" w:rsidRDefault="0087239B" w:rsidP="0087239B">
            <w:pPr>
              <w:jc w:val="left"/>
              <w:rPr>
                <w:color w:val="000000"/>
                <w:sz w:val="18"/>
                <w:szCs w:val="18"/>
                <w:lang w:val="fr-CA" w:eastAsia="en-CA"/>
              </w:rPr>
            </w:pPr>
            <w:r>
              <w:rPr>
                <w:color w:val="000000"/>
                <w:sz w:val="18"/>
                <w:szCs w:val="18"/>
                <w:lang w:val="fr-CA" w:eastAsia="en-CA"/>
              </w:rPr>
              <w:t>Coûts d’appui pour l’Agence principale ($US)</w:t>
            </w:r>
            <w:r w:rsidRPr="00741F1B">
              <w:rPr>
                <w:color w:val="000000"/>
                <w:sz w:val="18"/>
                <w:szCs w:val="18"/>
                <w:lang w:val="fr-CA" w:eastAsia="en-CA"/>
              </w:rPr>
              <w:t xml:space="preserve"> </w:t>
            </w:r>
          </w:p>
        </w:tc>
        <w:tc>
          <w:tcPr>
            <w:tcW w:w="329" w:type="pct"/>
            <w:tcBorders>
              <w:top w:val="nil"/>
              <w:left w:val="nil"/>
              <w:bottom w:val="single" w:sz="4" w:space="0" w:color="auto"/>
              <w:right w:val="single" w:sz="4" w:space="0" w:color="auto"/>
            </w:tcBorders>
            <w:shd w:val="clear" w:color="auto" w:fill="auto"/>
            <w:noWrap/>
            <w:vAlign w:val="center"/>
            <w:hideMark/>
          </w:tcPr>
          <w:p w14:paraId="4E5B7876" w14:textId="77777777" w:rsidR="0087239B" w:rsidRPr="00741F1B" w:rsidRDefault="0087239B" w:rsidP="0087239B">
            <w:pPr>
              <w:jc w:val="right"/>
              <w:rPr>
                <w:color w:val="000000"/>
                <w:sz w:val="18"/>
                <w:szCs w:val="18"/>
                <w:lang w:val="fr-CA" w:eastAsia="en-CA"/>
              </w:rPr>
            </w:pPr>
            <w:r w:rsidRPr="00741F1B">
              <w:rPr>
                <w:color w:val="000000"/>
                <w:sz w:val="18"/>
                <w:szCs w:val="18"/>
                <w:lang w:val="fr-CA" w:eastAsia="en-CA"/>
              </w:rPr>
              <w:t>33</w:t>
            </w:r>
            <w:r>
              <w:rPr>
                <w:color w:val="000000"/>
                <w:sz w:val="18"/>
                <w:szCs w:val="18"/>
                <w:lang w:val="fr-CA" w:eastAsia="en-CA"/>
              </w:rPr>
              <w:t xml:space="preserve"> </w:t>
            </w:r>
            <w:r w:rsidRPr="00741F1B">
              <w:rPr>
                <w:color w:val="000000"/>
                <w:sz w:val="18"/>
                <w:szCs w:val="18"/>
                <w:lang w:val="fr-CA" w:eastAsia="en-CA"/>
              </w:rPr>
              <w:t>814</w:t>
            </w:r>
          </w:p>
        </w:tc>
        <w:tc>
          <w:tcPr>
            <w:tcW w:w="221" w:type="pct"/>
            <w:tcBorders>
              <w:top w:val="nil"/>
              <w:left w:val="nil"/>
              <w:bottom w:val="single" w:sz="4" w:space="0" w:color="auto"/>
              <w:right w:val="single" w:sz="4" w:space="0" w:color="auto"/>
            </w:tcBorders>
            <w:shd w:val="clear" w:color="auto" w:fill="auto"/>
            <w:noWrap/>
            <w:vAlign w:val="center"/>
            <w:hideMark/>
          </w:tcPr>
          <w:p w14:paraId="262936E3" w14:textId="77777777" w:rsidR="0087239B" w:rsidRPr="00741F1B" w:rsidRDefault="0087239B" w:rsidP="0087239B">
            <w:pPr>
              <w:jc w:val="right"/>
              <w:rPr>
                <w:color w:val="000000"/>
                <w:sz w:val="18"/>
                <w:szCs w:val="18"/>
                <w:lang w:val="fr-CA" w:eastAsia="en-CA"/>
              </w:rPr>
            </w:pPr>
            <w:r w:rsidRPr="00741F1B">
              <w:rPr>
                <w:color w:val="000000"/>
                <w:sz w:val="18"/>
                <w:szCs w:val="18"/>
                <w:lang w:val="fr-CA" w:eastAsia="en-CA"/>
              </w:rPr>
              <w:t>-</w:t>
            </w:r>
          </w:p>
        </w:tc>
        <w:tc>
          <w:tcPr>
            <w:tcW w:w="329" w:type="pct"/>
            <w:tcBorders>
              <w:top w:val="nil"/>
              <w:left w:val="nil"/>
              <w:bottom w:val="single" w:sz="4" w:space="0" w:color="auto"/>
              <w:right w:val="single" w:sz="4" w:space="0" w:color="auto"/>
            </w:tcBorders>
            <w:shd w:val="clear" w:color="auto" w:fill="auto"/>
            <w:noWrap/>
            <w:vAlign w:val="bottom"/>
            <w:hideMark/>
          </w:tcPr>
          <w:p w14:paraId="162B6B26"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34</w:t>
            </w:r>
            <w:r>
              <w:rPr>
                <w:color w:val="000000"/>
                <w:sz w:val="18"/>
                <w:szCs w:val="18"/>
                <w:lang w:val="fr-CA"/>
              </w:rPr>
              <w:t xml:space="preserve"> </w:t>
            </w:r>
            <w:r w:rsidRPr="00741F1B">
              <w:rPr>
                <w:color w:val="000000"/>
                <w:sz w:val="18"/>
                <w:szCs w:val="18"/>
                <w:lang w:val="fr-CA"/>
              </w:rPr>
              <w:t xml:space="preserve">451 </w:t>
            </w:r>
          </w:p>
        </w:tc>
        <w:tc>
          <w:tcPr>
            <w:tcW w:w="329" w:type="pct"/>
            <w:tcBorders>
              <w:top w:val="nil"/>
              <w:left w:val="nil"/>
              <w:bottom w:val="single" w:sz="4" w:space="0" w:color="auto"/>
              <w:right w:val="single" w:sz="4" w:space="0" w:color="auto"/>
            </w:tcBorders>
            <w:shd w:val="clear" w:color="auto" w:fill="auto"/>
            <w:noWrap/>
            <w:vAlign w:val="bottom"/>
            <w:hideMark/>
          </w:tcPr>
          <w:p w14:paraId="1ABA4BA0"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26</w:t>
            </w:r>
            <w:r>
              <w:rPr>
                <w:color w:val="000000"/>
                <w:sz w:val="18"/>
                <w:szCs w:val="18"/>
                <w:lang w:val="fr-CA"/>
              </w:rPr>
              <w:t xml:space="preserve"> </w:t>
            </w:r>
            <w:r w:rsidRPr="00741F1B">
              <w:rPr>
                <w:color w:val="000000"/>
                <w:sz w:val="18"/>
                <w:szCs w:val="18"/>
                <w:lang w:val="fr-CA"/>
              </w:rPr>
              <w:t xml:space="preserve">207 </w:t>
            </w:r>
          </w:p>
        </w:tc>
        <w:tc>
          <w:tcPr>
            <w:tcW w:w="329" w:type="pct"/>
            <w:tcBorders>
              <w:top w:val="nil"/>
              <w:left w:val="nil"/>
              <w:bottom w:val="single" w:sz="4" w:space="0" w:color="auto"/>
              <w:right w:val="single" w:sz="4" w:space="0" w:color="auto"/>
            </w:tcBorders>
            <w:shd w:val="clear" w:color="auto" w:fill="auto"/>
            <w:noWrap/>
            <w:vAlign w:val="bottom"/>
            <w:hideMark/>
          </w:tcPr>
          <w:p w14:paraId="77F40327"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33</w:t>
            </w:r>
            <w:r>
              <w:rPr>
                <w:color w:val="000000"/>
                <w:sz w:val="18"/>
                <w:szCs w:val="18"/>
                <w:lang w:val="fr-CA"/>
              </w:rPr>
              <w:t xml:space="preserve"> </w:t>
            </w:r>
            <w:r w:rsidRPr="00741F1B">
              <w:rPr>
                <w:color w:val="000000"/>
                <w:sz w:val="18"/>
                <w:szCs w:val="18"/>
                <w:lang w:val="fr-CA"/>
              </w:rPr>
              <w:t xml:space="preserve">119 </w:t>
            </w:r>
          </w:p>
        </w:tc>
        <w:tc>
          <w:tcPr>
            <w:tcW w:w="329" w:type="pct"/>
            <w:tcBorders>
              <w:top w:val="nil"/>
              <w:left w:val="nil"/>
              <w:bottom w:val="single" w:sz="4" w:space="0" w:color="auto"/>
              <w:right w:val="single" w:sz="4" w:space="0" w:color="auto"/>
            </w:tcBorders>
            <w:shd w:val="clear" w:color="auto" w:fill="auto"/>
            <w:noWrap/>
            <w:vAlign w:val="bottom"/>
            <w:hideMark/>
          </w:tcPr>
          <w:p w14:paraId="6729DAB0"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30</w:t>
            </w:r>
            <w:r>
              <w:rPr>
                <w:color w:val="000000"/>
                <w:sz w:val="18"/>
                <w:szCs w:val="18"/>
                <w:lang w:val="fr-CA"/>
              </w:rPr>
              <w:t xml:space="preserve"> </w:t>
            </w:r>
            <w:r w:rsidRPr="00741F1B">
              <w:rPr>
                <w:color w:val="000000"/>
                <w:sz w:val="18"/>
                <w:szCs w:val="18"/>
                <w:lang w:val="fr-CA"/>
              </w:rPr>
              <w:t xml:space="preserve">319 </w:t>
            </w:r>
          </w:p>
        </w:tc>
        <w:tc>
          <w:tcPr>
            <w:tcW w:w="329" w:type="pct"/>
            <w:tcBorders>
              <w:top w:val="nil"/>
              <w:left w:val="nil"/>
              <w:bottom w:val="single" w:sz="4" w:space="0" w:color="auto"/>
              <w:right w:val="single" w:sz="4" w:space="0" w:color="auto"/>
            </w:tcBorders>
            <w:shd w:val="clear" w:color="auto" w:fill="auto"/>
            <w:noWrap/>
            <w:vAlign w:val="bottom"/>
            <w:hideMark/>
          </w:tcPr>
          <w:p w14:paraId="4BB784F4"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29</w:t>
            </w:r>
            <w:r>
              <w:rPr>
                <w:color w:val="000000"/>
                <w:sz w:val="18"/>
                <w:szCs w:val="18"/>
                <w:lang w:val="fr-CA"/>
              </w:rPr>
              <w:t xml:space="preserve"> </w:t>
            </w:r>
            <w:r w:rsidRPr="00741F1B">
              <w:rPr>
                <w:color w:val="000000"/>
                <w:sz w:val="18"/>
                <w:szCs w:val="18"/>
                <w:lang w:val="fr-CA"/>
              </w:rPr>
              <w:t xml:space="preserve">007 </w:t>
            </w:r>
          </w:p>
        </w:tc>
        <w:tc>
          <w:tcPr>
            <w:tcW w:w="329" w:type="pct"/>
            <w:tcBorders>
              <w:top w:val="nil"/>
              <w:left w:val="nil"/>
              <w:bottom w:val="single" w:sz="4" w:space="0" w:color="auto"/>
              <w:right w:val="single" w:sz="4" w:space="0" w:color="auto"/>
            </w:tcBorders>
            <w:shd w:val="clear" w:color="auto" w:fill="auto"/>
            <w:noWrap/>
            <w:vAlign w:val="bottom"/>
            <w:hideMark/>
          </w:tcPr>
          <w:p w14:paraId="5A745783"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26</w:t>
            </w:r>
            <w:r>
              <w:rPr>
                <w:color w:val="000000"/>
                <w:sz w:val="18"/>
                <w:szCs w:val="18"/>
                <w:lang w:val="fr-CA"/>
              </w:rPr>
              <w:t xml:space="preserve"> </w:t>
            </w:r>
            <w:r w:rsidRPr="00741F1B">
              <w:rPr>
                <w:color w:val="000000"/>
                <w:sz w:val="18"/>
                <w:szCs w:val="18"/>
                <w:lang w:val="fr-CA"/>
              </w:rPr>
              <w:t xml:space="preserve">207 </w:t>
            </w:r>
          </w:p>
        </w:tc>
        <w:tc>
          <w:tcPr>
            <w:tcW w:w="329" w:type="pct"/>
            <w:tcBorders>
              <w:top w:val="nil"/>
              <w:left w:val="nil"/>
              <w:bottom w:val="single" w:sz="4" w:space="0" w:color="auto"/>
              <w:right w:val="single" w:sz="4" w:space="0" w:color="auto"/>
            </w:tcBorders>
            <w:shd w:val="clear" w:color="auto" w:fill="auto"/>
            <w:noWrap/>
            <w:vAlign w:val="bottom"/>
            <w:hideMark/>
          </w:tcPr>
          <w:p w14:paraId="3C4E1262"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29</w:t>
            </w:r>
            <w:r>
              <w:rPr>
                <w:color w:val="000000"/>
                <w:sz w:val="18"/>
                <w:szCs w:val="18"/>
                <w:lang w:val="fr-CA"/>
              </w:rPr>
              <w:t xml:space="preserve"> </w:t>
            </w:r>
            <w:r w:rsidRPr="00741F1B">
              <w:rPr>
                <w:color w:val="000000"/>
                <w:sz w:val="18"/>
                <w:szCs w:val="18"/>
                <w:lang w:val="fr-CA"/>
              </w:rPr>
              <w:t xml:space="preserve">007 </w:t>
            </w:r>
          </w:p>
        </w:tc>
        <w:tc>
          <w:tcPr>
            <w:tcW w:w="329" w:type="pct"/>
            <w:tcBorders>
              <w:top w:val="nil"/>
              <w:left w:val="nil"/>
              <w:bottom w:val="single" w:sz="4" w:space="0" w:color="auto"/>
              <w:right w:val="single" w:sz="4" w:space="0" w:color="auto"/>
            </w:tcBorders>
            <w:shd w:val="clear" w:color="auto" w:fill="auto"/>
            <w:noWrap/>
            <w:vAlign w:val="bottom"/>
            <w:hideMark/>
          </w:tcPr>
          <w:p w14:paraId="1A24129E"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26</w:t>
            </w:r>
            <w:r>
              <w:rPr>
                <w:color w:val="000000"/>
                <w:sz w:val="18"/>
                <w:szCs w:val="18"/>
                <w:lang w:val="fr-CA"/>
              </w:rPr>
              <w:t xml:space="preserve"> </w:t>
            </w:r>
            <w:r w:rsidRPr="00741F1B">
              <w:rPr>
                <w:color w:val="000000"/>
                <w:sz w:val="18"/>
                <w:szCs w:val="18"/>
                <w:lang w:val="fr-CA"/>
              </w:rPr>
              <w:t xml:space="preserve">206 </w:t>
            </w:r>
          </w:p>
        </w:tc>
        <w:tc>
          <w:tcPr>
            <w:tcW w:w="383" w:type="pct"/>
            <w:tcBorders>
              <w:top w:val="nil"/>
              <w:left w:val="nil"/>
              <w:bottom w:val="single" w:sz="4" w:space="0" w:color="auto"/>
              <w:right w:val="single" w:sz="4" w:space="0" w:color="auto"/>
            </w:tcBorders>
            <w:shd w:val="clear" w:color="auto" w:fill="auto"/>
            <w:noWrap/>
            <w:vAlign w:val="bottom"/>
            <w:hideMark/>
          </w:tcPr>
          <w:p w14:paraId="74EB0924"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268</w:t>
            </w:r>
            <w:r>
              <w:rPr>
                <w:color w:val="000000"/>
                <w:sz w:val="18"/>
                <w:szCs w:val="18"/>
                <w:lang w:val="fr-CA"/>
              </w:rPr>
              <w:t xml:space="preserve"> </w:t>
            </w:r>
            <w:r w:rsidRPr="00741F1B">
              <w:rPr>
                <w:color w:val="000000"/>
                <w:sz w:val="18"/>
                <w:szCs w:val="18"/>
                <w:lang w:val="fr-CA"/>
              </w:rPr>
              <w:t xml:space="preserve">337 </w:t>
            </w:r>
          </w:p>
        </w:tc>
      </w:tr>
      <w:tr w:rsidR="0087239B" w:rsidRPr="00741F1B" w14:paraId="07821DED" w14:textId="77777777" w:rsidTr="00315E8F">
        <w:tc>
          <w:tcPr>
            <w:tcW w:w="213" w:type="pct"/>
            <w:tcBorders>
              <w:top w:val="nil"/>
              <w:left w:val="single" w:sz="4" w:space="0" w:color="auto"/>
              <w:bottom w:val="single" w:sz="4" w:space="0" w:color="auto"/>
              <w:right w:val="single" w:sz="4" w:space="0" w:color="auto"/>
            </w:tcBorders>
            <w:shd w:val="clear" w:color="auto" w:fill="auto"/>
            <w:noWrap/>
            <w:vAlign w:val="center"/>
            <w:hideMark/>
          </w:tcPr>
          <w:p w14:paraId="35ED72BA" w14:textId="77777777" w:rsidR="0087239B" w:rsidRPr="00741F1B" w:rsidRDefault="0087239B" w:rsidP="0087239B">
            <w:pPr>
              <w:jc w:val="left"/>
              <w:rPr>
                <w:color w:val="000000"/>
                <w:sz w:val="18"/>
                <w:szCs w:val="18"/>
                <w:lang w:val="fr-CA" w:eastAsia="en-CA"/>
              </w:rPr>
            </w:pPr>
            <w:r w:rsidRPr="00741F1B">
              <w:rPr>
                <w:color w:val="000000"/>
                <w:sz w:val="18"/>
                <w:szCs w:val="18"/>
                <w:lang w:val="fr-CA" w:eastAsia="en-CA"/>
              </w:rPr>
              <w:t>3.1</w:t>
            </w:r>
          </w:p>
        </w:tc>
        <w:tc>
          <w:tcPr>
            <w:tcW w:w="1220" w:type="pct"/>
            <w:tcBorders>
              <w:top w:val="nil"/>
              <w:left w:val="nil"/>
              <w:bottom w:val="single" w:sz="4" w:space="0" w:color="auto"/>
              <w:right w:val="single" w:sz="4" w:space="0" w:color="auto"/>
            </w:tcBorders>
            <w:shd w:val="clear" w:color="auto" w:fill="auto"/>
            <w:noWrap/>
            <w:vAlign w:val="center"/>
            <w:hideMark/>
          </w:tcPr>
          <w:p w14:paraId="715723B5" w14:textId="77777777" w:rsidR="0087239B" w:rsidRPr="00741F1B" w:rsidRDefault="0087239B" w:rsidP="0087239B">
            <w:pPr>
              <w:jc w:val="left"/>
              <w:rPr>
                <w:color w:val="000000"/>
                <w:sz w:val="18"/>
                <w:szCs w:val="18"/>
                <w:lang w:val="fr-CA" w:eastAsia="en-CA"/>
              </w:rPr>
            </w:pPr>
            <w:r>
              <w:rPr>
                <w:color w:val="000000"/>
                <w:sz w:val="18"/>
                <w:szCs w:val="18"/>
                <w:lang w:val="fr-CA" w:eastAsia="en-CA"/>
              </w:rPr>
              <w:t>Total du financement convenu ($US)</w:t>
            </w:r>
            <w:r w:rsidRPr="00741F1B">
              <w:rPr>
                <w:color w:val="000000"/>
                <w:sz w:val="18"/>
                <w:szCs w:val="18"/>
                <w:lang w:val="fr-CA" w:eastAsia="en-CA"/>
              </w:rPr>
              <w:t xml:space="preserve"> </w:t>
            </w:r>
          </w:p>
        </w:tc>
        <w:tc>
          <w:tcPr>
            <w:tcW w:w="329" w:type="pct"/>
            <w:tcBorders>
              <w:top w:val="nil"/>
              <w:left w:val="nil"/>
              <w:bottom w:val="single" w:sz="4" w:space="0" w:color="auto"/>
              <w:right w:val="single" w:sz="4" w:space="0" w:color="auto"/>
            </w:tcBorders>
            <w:shd w:val="clear" w:color="auto" w:fill="auto"/>
            <w:noWrap/>
            <w:vAlign w:val="center"/>
            <w:hideMark/>
          </w:tcPr>
          <w:p w14:paraId="3701C44D" w14:textId="77777777" w:rsidR="0087239B" w:rsidRPr="00741F1B" w:rsidRDefault="0087239B" w:rsidP="0087239B">
            <w:pPr>
              <w:jc w:val="right"/>
              <w:rPr>
                <w:color w:val="000000"/>
                <w:sz w:val="18"/>
                <w:szCs w:val="18"/>
                <w:lang w:val="fr-CA" w:eastAsia="en-CA"/>
              </w:rPr>
            </w:pPr>
            <w:r w:rsidRPr="00741F1B">
              <w:rPr>
                <w:color w:val="000000"/>
                <w:sz w:val="18"/>
                <w:szCs w:val="18"/>
                <w:lang w:val="fr-CA" w:eastAsia="en-CA"/>
              </w:rPr>
              <w:t>483</w:t>
            </w:r>
            <w:r>
              <w:rPr>
                <w:color w:val="000000"/>
                <w:sz w:val="18"/>
                <w:szCs w:val="18"/>
                <w:lang w:val="fr-CA" w:eastAsia="en-CA"/>
              </w:rPr>
              <w:t xml:space="preserve"> </w:t>
            </w:r>
            <w:r w:rsidRPr="00741F1B">
              <w:rPr>
                <w:color w:val="000000"/>
                <w:sz w:val="18"/>
                <w:szCs w:val="18"/>
                <w:lang w:val="fr-CA" w:eastAsia="en-CA"/>
              </w:rPr>
              <w:t>058</w:t>
            </w:r>
          </w:p>
        </w:tc>
        <w:tc>
          <w:tcPr>
            <w:tcW w:w="221" w:type="pct"/>
            <w:tcBorders>
              <w:top w:val="nil"/>
              <w:left w:val="nil"/>
              <w:bottom w:val="single" w:sz="4" w:space="0" w:color="auto"/>
              <w:right w:val="single" w:sz="4" w:space="0" w:color="auto"/>
            </w:tcBorders>
            <w:shd w:val="clear" w:color="auto" w:fill="auto"/>
            <w:noWrap/>
            <w:vAlign w:val="center"/>
            <w:hideMark/>
          </w:tcPr>
          <w:p w14:paraId="59D48707" w14:textId="77777777" w:rsidR="0087239B" w:rsidRPr="00741F1B" w:rsidRDefault="0087239B" w:rsidP="0087239B">
            <w:pPr>
              <w:jc w:val="right"/>
              <w:rPr>
                <w:color w:val="000000"/>
                <w:sz w:val="18"/>
                <w:szCs w:val="18"/>
                <w:lang w:val="fr-CA" w:eastAsia="en-CA"/>
              </w:rPr>
            </w:pPr>
            <w:r w:rsidRPr="00741F1B">
              <w:rPr>
                <w:color w:val="000000"/>
                <w:sz w:val="18"/>
                <w:szCs w:val="18"/>
                <w:lang w:val="fr-CA" w:eastAsia="en-CA"/>
              </w:rPr>
              <w:t>-</w:t>
            </w:r>
          </w:p>
        </w:tc>
        <w:tc>
          <w:tcPr>
            <w:tcW w:w="329" w:type="pct"/>
            <w:tcBorders>
              <w:top w:val="nil"/>
              <w:left w:val="nil"/>
              <w:bottom w:val="single" w:sz="4" w:space="0" w:color="auto"/>
              <w:right w:val="single" w:sz="4" w:space="0" w:color="auto"/>
            </w:tcBorders>
            <w:shd w:val="clear" w:color="auto" w:fill="auto"/>
            <w:noWrap/>
            <w:vAlign w:val="bottom"/>
            <w:hideMark/>
          </w:tcPr>
          <w:p w14:paraId="494CF534"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492</w:t>
            </w:r>
            <w:r>
              <w:rPr>
                <w:color w:val="000000"/>
                <w:sz w:val="18"/>
                <w:szCs w:val="18"/>
                <w:lang w:val="fr-CA"/>
              </w:rPr>
              <w:t xml:space="preserve"> </w:t>
            </w:r>
            <w:r w:rsidRPr="00741F1B">
              <w:rPr>
                <w:color w:val="000000"/>
                <w:sz w:val="18"/>
                <w:szCs w:val="18"/>
                <w:lang w:val="fr-CA"/>
              </w:rPr>
              <w:t xml:space="preserve">160 </w:t>
            </w:r>
          </w:p>
        </w:tc>
        <w:tc>
          <w:tcPr>
            <w:tcW w:w="329" w:type="pct"/>
            <w:tcBorders>
              <w:top w:val="nil"/>
              <w:left w:val="nil"/>
              <w:bottom w:val="single" w:sz="4" w:space="0" w:color="auto"/>
              <w:right w:val="single" w:sz="4" w:space="0" w:color="auto"/>
            </w:tcBorders>
            <w:shd w:val="clear" w:color="auto" w:fill="auto"/>
            <w:noWrap/>
            <w:vAlign w:val="bottom"/>
            <w:hideMark/>
          </w:tcPr>
          <w:p w14:paraId="2867A7AE"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374</w:t>
            </w:r>
            <w:r>
              <w:rPr>
                <w:color w:val="000000"/>
                <w:sz w:val="18"/>
                <w:szCs w:val="18"/>
                <w:lang w:val="fr-CA"/>
              </w:rPr>
              <w:t xml:space="preserve"> </w:t>
            </w:r>
            <w:r w:rsidRPr="00741F1B">
              <w:rPr>
                <w:color w:val="000000"/>
                <w:sz w:val="18"/>
                <w:szCs w:val="18"/>
                <w:lang w:val="fr-CA"/>
              </w:rPr>
              <w:t xml:space="preserve">381 </w:t>
            </w:r>
          </w:p>
        </w:tc>
        <w:tc>
          <w:tcPr>
            <w:tcW w:w="329" w:type="pct"/>
            <w:tcBorders>
              <w:top w:val="nil"/>
              <w:left w:val="nil"/>
              <w:bottom w:val="single" w:sz="4" w:space="0" w:color="auto"/>
              <w:right w:val="single" w:sz="4" w:space="0" w:color="auto"/>
            </w:tcBorders>
            <w:shd w:val="clear" w:color="auto" w:fill="auto"/>
            <w:noWrap/>
            <w:vAlign w:val="bottom"/>
            <w:hideMark/>
          </w:tcPr>
          <w:p w14:paraId="2B98853F"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473</w:t>
            </w:r>
            <w:r>
              <w:rPr>
                <w:color w:val="000000"/>
                <w:sz w:val="18"/>
                <w:szCs w:val="18"/>
                <w:lang w:val="fr-CA"/>
              </w:rPr>
              <w:t xml:space="preserve"> </w:t>
            </w:r>
            <w:r w:rsidRPr="00741F1B">
              <w:rPr>
                <w:color w:val="000000"/>
                <w:sz w:val="18"/>
                <w:szCs w:val="18"/>
                <w:lang w:val="fr-CA"/>
              </w:rPr>
              <w:t xml:space="preserve">131 </w:t>
            </w:r>
          </w:p>
        </w:tc>
        <w:tc>
          <w:tcPr>
            <w:tcW w:w="329" w:type="pct"/>
            <w:tcBorders>
              <w:top w:val="nil"/>
              <w:left w:val="nil"/>
              <w:bottom w:val="single" w:sz="4" w:space="0" w:color="auto"/>
              <w:right w:val="single" w:sz="4" w:space="0" w:color="auto"/>
            </w:tcBorders>
            <w:shd w:val="clear" w:color="auto" w:fill="auto"/>
            <w:noWrap/>
            <w:vAlign w:val="bottom"/>
            <w:hideMark/>
          </w:tcPr>
          <w:p w14:paraId="153C7CDC"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433</w:t>
            </w:r>
            <w:r>
              <w:rPr>
                <w:color w:val="000000"/>
                <w:sz w:val="18"/>
                <w:szCs w:val="18"/>
                <w:lang w:val="fr-CA"/>
              </w:rPr>
              <w:t xml:space="preserve"> </w:t>
            </w:r>
            <w:r w:rsidRPr="00741F1B">
              <w:rPr>
                <w:color w:val="000000"/>
                <w:sz w:val="18"/>
                <w:szCs w:val="18"/>
                <w:lang w:val="fr-CA"/>
              </w:rPr>
              <w:t xml:space="preserve">131 </w:t>
            </w:r>
          </w:p>
        </w:tc>
        <w:tc>
          <w:tcPr>
            <w:tcW w:w="329" w:type="pct"/>
            <w:tcBorders>
              <w:top w:val="nil"/>
              <w:left w:val="nil"/>
              <w:bottom w:val="single" w:sz="4" w:space="0" w:color="auto"/>
              <w:right w:val="single" w:sz="4" w:space="0" w:color="auto"/>
            </w:tcBorders>
            <w:shd w:val="clear" w:color="auto" w:fill="auto"/>
            <w:noWrap/>
            <w:vAlign w:val="bottom"/>
            <w:hideMark/>
          </w:tcPr>
          <w:p w14:paraId="4C8EB586"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414</w:t>
            </w:r>
            <w:r>
              <w:rPr>
                <w:color w:val="000000"/>
                <w:sz w:val="18"/>
                <w:szCs w:val="18"/>
                <w:lang w:val="fr-CA"/>
              </w:rPr>
              <w:t xml:space="preserve"> </w:t>
            </w:r>
            <w:r w:rsidRPr="00741F1B">
              <w:rPr>
                <w:color w:val="000000"/>
                <w:sz w:val="18"/>
                <w:szCs w:val="18"/>
                <w:lang w:val="fr-CA"/>
              </w:rPr>
              <w:t xml:space="preserve">381 </w:t>
            </w:r>
          </w:p>
        </w:tc>
        <w:tc>
          <w:tcPr>
            <w:tcW w:w="329" w:type="pct"/>
            <w:tcBorders>
              <w:top w:val="nil"/>
              <w:left w:val="nil"/>
              <w:bottom w:val="single" w:sz="4" w:space="0" w:color="auto"/>
              <w:right w:val="single" w:sz="4" w:space="0" w:color="auto"/>
            </w:tcBorders>
            <w:shd w:val="clear" w:color="auto" w:fill="auto"/>
            <w:noWrap/>
            <w:vAlign w:val="bottom"/>
            <w:hideMark/>
          </w:tcPr>
          <w:p w14:paraId="19D6B8F6"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374</w:t>
            </w:r>
            <w:r>
              <w:rPr>
                <w:color w:val="000000"/>
                <w:sz w:val="18"/>
                <w:szCs w:val="18"/>
                <w:lang w:val="fr-CA"/>
              </w:rPr>
              <w:t xml:space="preserve"> </w:t>
            </w:r>
            <w:r w:rsidRPr="00741F1B">
              <w:rPr>
                <w:color w:val="000000"/>
                <w:sz w:val="18"/>
                <w:szCs w:val="18"/>
                <w:lang w:val="fr-CA"/>
              </w:rPr>
              <w:t xml:space="preserve">381 </w:t>
            </w:r>
          </w:p>
        </w:tc>
        <w:tc>
          <w:tcPr>
            <w:tcW w:w="329" w:type="pct"/>
            <w:tcBorders>
              <w:top w:val="nil"/>
              <w:left w:val="nil"/>
              <w:bottom w:val="single" w:sz="4" w:space="0" w:color="auto"/>
              <w:right w:val="single" w:sz="4" w:space="0" w:color="auto"/>
            </w:tcBorders>
            <w:shd w:val="clear" w:color="auto" w:fill="auto"/>
            <w:noWrap/>
            <w:vAlign w:val="bottom"/>
            <w:hideMark/>
          </w:tcPr>
          <w:p w14:paraId="5D8282B1"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414</w:t>
            </w:r>
            <w:r>
              <w:rPr>
                <w:color w:val="000000"/>
                <w:sz w:val="18"/>
                <w:szCs w:val="18"/>
                <w:lang w:val="fr-CA"/>
              </w:rPr>
              <w:t xml:space="preserve"> </w:t>
            </w:r>
            <w:r w:rsidRPr="00741F1B">
              <w:rPr>
                <w:color w:val="000000"/>
                <w:sz w:val="18"/>
                <w:szCs w:val="18"/>
                <w:lang w:val="fr-CA"/>
              </w:rPr>
              <w:t xml:space="preserve">381 </w:t>
            </w:r>
          </w:p>
        </w:tc>
        <w:tc>
          <w:tcPr>
            <w:tcW w:w="329" w:type="pct"/>
            <w:tcBorders>
              <w:top w:val="nil"/>
              <w:left w:val="nil"/>
              <w:bottom w:val="single" w:sz="4" w:space="0" w:color="auto"/>
              <w:right w:val="single" w:sz="4" w:space="0" w:color="auto"/>
            </w:tcBorders>
            <w:shd w:val="clear" w:color="auto" w:fill="auto"/>
            <w:noWrap/>
            <w:vAlign w:val="bottom"/>
            <w:hideMark/>
          </w:tcPr>
          <w:p w14:paraId="72DCAB85"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374</w:t>
            </w:r>
            <w:r>
              <w:rPr>
                <w:color w:val="000000"/>
                <w:sz w:val="18"/>
                <w:szCs w:val="18"/>
                <w:lang w:val="fr-CA"/>
              </w:rPr>
              <w:t xml:space="preserve"> </w:t>
            </w:r>
            <w:r w:rsidRPr="00741F1B">
              <w:rPr>
                <w:color w:val="000000"/>
                <w:sz w:val="18"/>
                <w:szCs w:val="18"/>
                <w:lang w:val="fr-CA"/>
              </w:rPr>
              <w:t xml:space="preserve">380 </w:t>
            </w:r>
          </w:p>
        </w:tc>
        <w:tc>
          <w:tcPr>
            <w:tcW w:w="383" w:type="pct"/>
            <w:tcBorders>
              <w:top w:val="nil"/>
              <w:left w:val="nil"/>
              <w:bottom w:val="single" w:sz="4" w:space="0" w:color="auto"/>
              <w:right w:val="single" w:sz="4" w:space="0" w:color="auto"/>
            </w:tcBorders>
            <w:shd w:val="clear" w:color="auto" w:fill="auto"/>
            <w:noWrap/>
            <w:vAlign w:val="bottom"/>
            <w:hideMark/>
          </w:tcPr>
          <w:p w14:paraId="16AD0AC0"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3</w:t>
            </w:r>
            <w:r>
              <w:rPr>
                <w:color w:val="000000"/>
                <w:sz w:val="18"/>
                <w:szCs w:val="18"/>
                <w:lang w:val="fr-CA"/>
              </w:rPr>
              <w:t xml:space="preserve"> </w:t>
            </w:r>
            <w:r w:rsidRPr="00741F1B">
              <w:rPr>
                <w:color w:val="000000"/>
                <w:sz w:val="18"/>
                <w:szCs w:val="18"/>
                <w:lang w:val="fr-CA"/>
              </w:rPr>
              <w:t>833</w:t>
            </w:r>
            <w:r>
              <w:rPr>
                <w:color w:val="000000"/>
                <w:sz w:val="18"/>
                <w:szCs w:val="18"/>
                <w:lang w:val="fr-CA"/>
              </w:rPr>
              <w:t xml:space="preserve"> </w:t>
            </w:r>
            <w:r w:rsidRPr="00741F1B">
              <w:rPr>
                <w:color w:val="000000"/>
                <w:sz w:val="18"/>
                <w:szCs w:val="18"/>
                <w:lang w:val="fr-CA"/>
              </w:rPr>
              <w:t xml:space="preserve">384 </w:t>
            </w:r>
          </w:p>
        </w:tc>
      </w:tr>
      <w:tr w:rsidR="0087239B" w:rsidRPr="00741F1B" w14:paraId="7CD02DCD" w14:textId="77777777" w:rsidTr="00315E8F">
        <w:tc>
          <w:tcPr>
            <w:tcW w:w="213" w:type="pct"/>
            <w:tcBorders>
              <w:top w:val="nil"/>
              <w:left w:val="single" w:sz="4" w:space="0" w:color="auto"/>
              <w:bottom w:val="single" w:sz="4" w:space="0" w:color="auto"/>
              <w:right w:val="single" w:sz="4" w:space="0" w:color="auto"/>
            </w:tcBorders>
            <w:shd w:val="clear" w:color="auto" w:fill="auto"/>
            <w:noWrap/>
            <w:vAlign w:val="center"/>
            <w:hideMark/>
          </w:tcPr>
          <w:p w14:paraId="25C2CD17" w14:textId="77777777" w:rsidR="0087239B" w:rsidRPr="00741F1B" w:rsidRDefault="0087239B" w:rsidP="0087239B">
            <w:pPr>
              <w:jc w:val="left"/>
              <w:rPr>
                <w:color w:val="000000"/>
                <w:sz w:val="18"/>
                <w:szCs w:val="18"/>
                <w:lang w:val="fr-CA" w:eastAsia="en-CA"/>
              </w:rPr>
            </w:pPr>
            <w:r w:rsidRPr="00741F1B">
              <w:rPr>
                <w:color w:val="000000"/>
                <w:sz w:val="18"/>
                <w:szCs w:val="18"/>
                <w:lang w:val="fr-CA" w:eastAsia="en-CA"/>
              </w:rPr>
              <w:t>3.2</w:t>
            </w:r>
          </w:p>
        </w:tc>
        <w:tc>
          <w:tcPr>
            <w:tcW w:w="1220" w:type="pct"/>
            <w:tcBorders>
              <w:top w:val="nil"/>
              <w:left w:val="nil"/>
              <w:bottom w:val="single" w:sz="4" w:space="0" w:color="auto"/>
              <w:right w:val="single" w:sz="4" w:space="0" w:color="auto"/>
            </w:tcBorders>
            <w:shd w:val="clear" w:color="auto" w:fill="auto"/>
            <w:noWrap/>
            <w:vAlign w:val="center"/>
            <w:hideMark/>
          </w:tcPr>
          <w:p w14:paraId="3D42A37A" w14:textId="77777777" w:rsidR="0087239B" w:rsidRPr="00741F1B" w:rsidRDefault="0087239B" w:rsidP="0087239B">
            <w:pPr>
              <w:jc w:val="left"/>
              <w:rPr>
                <w:color w:val="000000"/>
                <w:sz w:val="18"/>
                <w:szCs w:val="18"/>
                <w:lang w:val="fr-CA" w:eastAsia="en-CA"/>
              </w:rPr>
            </w:pPr>
            <w:r>
              <w:rPr>
                <w:color w:val="000000"/>
                <w:sz w:val="18"/>
                <w:szCs w:val="18"/>
                <w:lang w:val="fr-CA" w:eastAsia="en-CA"/>
              </w:rPr>
              <w:t>Total des coûts d’appui ($US)</w:t>
            </w:r>
          </w:p>
        </w:tc>
        <w:tc>
          <w:tcPr>
            <w:tcW w:w="329" w:type="pct"/>
            <w:tcBorders>
              <w:top w:val="nil"/>
              <w:left w:val="nil"/>
              <w:bottom w:val="single" w:sz="4" w:space="0" w:color="auto"/>
              <w:right w:val="single" w:sz="4" w:space="0" w:color="auto"/>
            </w:tcBorders>
            <w:shd w:val="clear" w:color="auto" w:fill="auto"/>
            <w:noWrap/>
            <w:vAlign w:val="center"/>
            <w:hideMark/>
          </w:tcPr>
          <w:p w14:paraId="40865B08" w14:textId="77777777" w:rsidR="0087239B" w:rsidRPr="00741F1B" w:rsidRDefault="0087239B" w:rsidP="0087239B">
            <w:pPr>
              <w:jc w:val="right"/>
              <w:rPr>
                <w:color w:val="000000"/>
                <w:sz w:val="18"/>
                <w:szCs w:val="18"/>
                <w:lang w:val="fr-CA" w:eastAsia="en-CA"/>
              </w:rPr>
            </w:pPr>
            <w:r w:rsidRPr="00741F1B">
              <w:rPr>
                <w:color w:val="000000"/>
                <w:sz w:val="18"/>
                <w:szCs w:val="18"/>
                <w:lang w:val="fr-CA" w:eastAsia="en-CA"/>
              </w:rPr>
              <w:t>33</w:t>
            </w:r>
            <w:r>
              <w:rPr>
                <w:color w:val="000000"/>
                <w:sz w:val="18"/>
                <w:szCs w:val="18"/>
                <w:lang w:val="fr-CA" w:eastAsia="en-CA"/>
              </w:rPr>
              <w:t xml:space="preserve"> </w:t>
            </w:r>
            <w:r w:rsidRPr="00741F1B">
              <w:rPr>
                <w:color w:val="000000"/>
                <w:sz w:val="18"/>
                <w:szCs w:val="18"/>
                <w:lang w:val="fr-CA" w:eastAsia="en-CA"/>
              </w:rPr>
              <w:t>814</w:t>
            </w:r>
          </w:p>
        </w:tc>
        <w:tc>
          <w:tcPr>
            <w:tcW w:w="221" w:type="pct"/>
            <w:tcBorders>
              <w:top w:val="nil"/>
              <w:left w:val="nil"/>
              <w:bottom w:val="single" w:sz="4" w:space="0" w:color="auto"/>
              <w:right w:val="single" w:sz="4" w:space="0" w:color="auto"/>
            </w:tcBorders>
            <w:shd w:val="clear" w:color="auto" w:fill="auto"/>
            <w:noWrap/>
            <w:vAlign w:val="center"/>
            <w:hideMark/>
          </w:tcPr>
          <w:p w14:paraId="7D5F2854" w14:textId="77777777" w:rsidR="0087239B" w:rsidRPr="00741F1B" w:rsidRDefault="0087239B" w:rsidP="0087239B">
            <w:pPr>
              <w:jc w:val="right"/>
              <w:rPr>
                <w:color w:val="000000"/>
                <w:sz w:val="18"/>
                <w:szCs w:val="18"/>
                <w:lang w:val="fr-CA" w:eastAsia="en-CA"/>
              </w:rPr>
            </w:pPr>
            <w:r w:rsidRPr="00741F1B">
              <w:rPr>
                <w:color w:val="000000"/>
                <w:sz w:val="18"/>
                <w:szCs w:val="18"/>
                <w:lang w:val="fr-CA" w:eastAsia="en-CA"/>
              </w:rPr>
              <w:t>-</w:t>
            </w:r>
          </w:p>
        </w:tc>
        <w:tc>
          <w:tcPr>
            <w:tcW w:w="329" w:type="pct"/>
            <w:tcBorders>
              <w:top w:val="nil"/>
              <w:left w:val="nil"/>
              <w:bottom w:val="single" w:sz="4" w:space="0" w:color="auto"/>
              <w:right w:val="single" w:sz="4" w:space="0" w:color="auto"/>
            </w:tcBorders>
            <w:shd w:val="clear" w:color="auto" w:fill="auto"/>
            <w:noWrap/>
            <w:vAlign w:val="bottom"/>
            <w:hideMark/>
          </w:tcPr>
          <w:p w14:paraId="469B2A55"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34</w:t>
            </w:r>
            <w:r>
              <w:rPr>
                <w:color w:val="000000"/>
                <w:sz w:val="18"/>
                <w:szCs w:val="18"/>
                <w:lang w:val="fr-CA"/>
              </w:rPr>
              <w:t xml:space="preserve"> </w:t>
            </w:r>
            <w:r w:rsidRPr="00741F1B">
              <w:rPr>
                <w:color w:val="000000"/>
                <w:sz w:val="18"/>
                <w:szCs w:val="18"/>
                <w:lang w:val="fr-CA"/>
              </w:rPr>
              <w:t xml:space="preserve">451 </w:t>
            </w:r>
          </w:p>
        </w:tc>
        <w:tc>
          <w:tcPr>
            <w:tcW w:w="329" w:type="pct"/>
            <w:tcBorders>
              <w:top w:val="nil"/>
              <w:left w:val="nil"/>
              <w:bottom w:val="single" w:sz="4" w:space="0" w:color="auto"/>
              <w:right w:val="single" w:sz="4" w:space="0" w:color="auto"/>
            </w:tcBorders>
            <w:shd w:val="clear" w:color="auto" w:fill="auto"/>
            <w:noWrap/>
            <w:vAlign w:val="bottom"/>
            <w:hideMark/>
          </w:tcPr>
          <w:p w14:paraId="49B3D69F"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26</w:t>
            </w:r>
            <w:r>
              <w:rPr>
                <w:color w:val="000000"/>
                <w:sz w:val="18"/>
                <w:szCs w:val="18"/>
                <w:lang w:val="fr-CA"/>
              </w:rPr>
              <w:t xml:space="preserve"> </w:t>
            </w:r>
            <w:r w:rsidRPr="00741F1B">
              <w:rPr>
                <w:color w:val="000000"/>
                <w:sz w:val="18"/>
                <w:szCs w:val="18"/>
                <w:lang w:val="fr-CA"/>
              </w:rPr>
              <w:t xml:space="preserve">207 </w:t>
            </w:r>
          </w:p>
        </w:tc>
        <w:tc>
          <w:tcPr>
            <w:tcW w:w="329" w:type="pct"/>
            <w:tcBorders>
              <w:top w:val="nil"/>
              <w:left w:val="nil"/>
              <w:bottom w:val="single" w:sz="4" w:space="0" w:color="auto"/>
              <w:right w:val="single" w:sz="4" w:space="0" w:color="auto"/>
            </w:tcBorders>
            <w:shd w:val="clear" w:color="auto" w:fill="auto"/>
            <w:noWrap/>
            <w:vAlign w:val="bottom"/>
            <w:hideMark/>
          </w:tcPr>
          <w:p w14:paraId="133D6024"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33</w:t>
            </w:r>
            <w:r>
              <w:rPr>
                <w:color w:val="000000"/>
                <w:sz w:val="18"/>
                <w:szCs w:val="18"/>
                <w:lang w:val="fr-CA"/>
              </w:rPr>
              <w:t xml:space="preserve"> </w:t>
            </w:r>
            <w:r w:rsidRPr="00741F1B">
              <w:rPr>
                <w:color w:val="000000"/>
                <w:sz w:val="18"/>
                <w:szCs w:val="18"/>
                <w:lang w:val="fr-CA"/>
              </w:rPr>
              <w:t xml:space="preserve">119 </w:t>
            </w:r>
          </w:p>
        </w:tc>
        <w:tc>
          <w:tcPr>
            <w:tcW w:w="329" w:type="pct"/>
            <w:tcBorders>
              <w:top w:val="nil"/>
              <w:left w:val="nil"/>
              <w:bottom w:val="single" w:sz="4" w:space="0" w:color="auto"/>
              <w:right w:val="single" w:sz="4" w:space="0" w:color="auto"/>
            </w:tcBorders>
            <w:shd w:val="clear" w:color="auto" w:fill="auto"/>
            <w:noWrap/>
            <w:vAlign w:val="bottom"/>
            <w:hideMark/>
          </w:tcPr>
          <w:p w14:paraId="349DF868"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30</w:t>
            </w:r>
            <w:r>
              <w:rPr>
                <w:color w:val="000000"/>
                <w:sz w:val="18"/>
                <w:szCs w:val="18"/>
                <w:lang w:val="fr-CA"/>
              </w:rPr>
              <w:t xml:space="preserve"> </w:t>
            </w:r>
            <w:r w:rsidRPr="00741F1B">
              <w:rPr>
                <w:color w:val="000000"/>
                <w:sz w:val="18"/>
                <w:szCs w:val="18"/>
                <w:lang w:val="fr-CA"/>
              </w:rPr>
              <w:t xml:space="preserve">319 </w:t>
            </w:r>
          </w:p>
        </w:tc>
        <w:tc>
          <w:tcPr>
            <w:tcW w:w="329" w:type="pct"/>
            <w:tcBorders>
              <w:top w:val="nil"/>
              <w:left w:val="nil"/>
              <w:bottom w:val="single" w:sz="4" w:space="0" w:color="auto"/>
              <w:right w:val="single" w:sz="4" w:space="0" w:color="auto"/>
            </w:tcBorders>
            <w:shd w:val="clear" w:color="auto" w:fill="auto"/>
            <w:noWrap/>
            <w:vAlign w:val="bottom"/>
            <w:hideMark/>
          </w:tcPr>
          <w:p w14:paraId="2B4F7185"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29</w:t>
            </w:r>
            <w:r>
              <w:rPr>
                <w:color w:val="000000"/>
                <w:sz w:val="18"/>
                <w:szCs w:val="18"/>
                <w:lang w:val="fr-CA"/>
              </w:rPr>
              <w:t xml:space="preserve"> </w:t>
            </w:r>
            <w:r w:rsidRPr="00741F1B">
              <w:rPr>
                <w:color w:val="000000"/>
                <w:sz w:val="18"/>
                <w:szCs w:val="18"/>
                <w:lang w:val="fr-CA"/>
              </w:rPr>
              <w:t xml:space="preserve">007 </w:t>
            </w:r>
          </w:p>
        </w:tc>
        <w:tc>
          <w:tcPr>
            <w:tcW w:w="329" w:type="pct"/>
            <w:tcBorders>
              <w:top w:val="nil"/>
              <w:left w:val="nil"/>
              <w:bottom w:val="single" w:sz="4" w:space="0" w:color="auto"/>
              <w:right w:val="single" w:sz="4" w:space="0" w:color="auto"/>
            </w:tcBorders>
            <w:shd w:val="clear" w:color="auto" w:fill="auto"/>
            <w:noWrap/>
            <w:vAlign w:val="bottom"/>
            <w:hideMark/>
          </w:tcPr>
          <w:p w14:paraId="21C2B696"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26</w:t>
            </w:r>
            <w:r>
              <w:rPr>
                <w:color w:val="000000"/>
                <w:sz w:val="18"/>
                <w:szCs w:val="18"/>
                <w:lang w:val="fr-CA"/>
              </w:rPr>
              <w:t xml:space="preserve"> </w:t>
            </w:r>
            <w:r w:rsidRPr="00741F1B">
              <w:rPr>
                <w:color w:val="000000"/>
                <w:sz w:val="18"/>
                <w:szCs w:val="18"/>
                <w:lang w:val="fr-CA"/>
              </w:rPr>
              <w:t xml:space="preserve">207 </w:t>
            </w:r>
          </w:p>
        </w:tc>
        <w:tc>
          <w:tcPr>
            <w:tcW w:w="329" w:type="pct"/>
            <w:tcBorders>
              <w:top w:val="nil"/>
              <w:left w:val="nil"/>
              <w:bottom w:val="single" w:sz="4" w:space="0" w:color="auto"/>
              <w:right w:val="single" w:sz="4" w:space="0" w:color="auto"/>
            </w:tcBorders>
            <w:shd w:val="clear" w:color="auto" w:fill="auto"/>
            <w:noWrap/>
            <w:vAlign w:val="bottom"/>
            <w:hideMark/>
          </w:tcPr>
          <w:p w14:paraId="45E365F8"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29</w:t>
            </w:r>
            <w:r>
              <w:rPr>
                <w:color w:val="000000"/>
                <w:sz w:val="18"/>
                <w:szCs w:val="18"/>
                <w:lang w:val="fr-CA"/>
              </w:rPr>
              <w:t xml:space="preserve"> </w:t>
            </w:r>
            <w:r w:rsidRPr="00741F1B">
              <w:rPr>
                <w:color w:val="000000"/>
                <w:sz w:val="18"/>
                <w:szCs w:val="18"/>
                <w:lang w:val="fr-CA"/>
              </w:rPr>
              <w:t xml:space="preserve">007 </w:t>
            </w:r>
          </w:p>
        </w:tc>
        <w:tc>
          <w:tcPr>
            <w:tcW w:w="329" w:type="pct"/>
            <w:tcBorders>
              <w:top w:val="nil"/>
              <w:left w:val="nil"/>
              <w:bottom w:val="single" w:sz="4" w:space="0" w:color="auto"/>
              <w:right w:val="single" w:sz="4" w:space="0" w:color="auto"/>
            </w:tcBorders>
            <w:shd w:val="clear" w:color="auto" w:fill="auto"/>
            <w:noWrap/>
            <w:vAlign w:val="bottom"/>
            <w:hideMark/>
          </w:tcPr>
          <w:p w14:paraId="3FCBADE4"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26</w:t>
            </w:r>
            <w:r>
              <w:rPr>
                <w:color w:val="000000"/>
                <w:sz w:val="18"/>
                <w:szCs w:val="18"/>
                <w:lang w:val="fr-CA"/>
              </w:rPr>
              <w:t xml:space="preserve"> </w:t>
            </w:r>
            <w:r w:rsidRPr="00741F1B">
              <w:rPr>
                <w:color w:val="000000"/>
                <w:sz w:val="18"/>
                <w:szCs w:val="18"/>
                <w:lang w:val="fr-CA"/>
              </w:rPr>
              <w:t xml:space="preserve">206 </w:t>
            </w:r>
          </w:p>
        </w:tc>
        <w:tc>
          <w:tcPr>
            <w:tcW w:w="383" w:type="pct"/>
            <w:tcBorders>
              <w:top w:val="nil"/>
              <w:left w:val="nil"/>
              <w:bottom w:val="single" w:sz="4" w:space="0" w:color="auto"/>
              <w:right w:val="single" w:sz="4" w:space="0" w:color="auto"/>
            </w:tcBorders>
            <w:shd w:val="clear" w:color="auto" w:fill="auto"/>
            <w:noWrap/>
            <w:vAlign w:val="bottom"/>
            <w:hideMark/>
          </w:tcPr>
          <w:p w14:paraId="03DAD2A8"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268</w:t>
            </w:r>
            <w:r>
              <w:rPr>
                <w:color w:val="000000"/>
                <w:sz w:val="18"/>
                <w:szCs w:val="18"/>
                <w:lang w:val="fr-CA"/>
              </w:rPr>
              <w:t xml:space="preserve"> </w:t>
            </w:r>
            <w:r w:rsidRPr="00741F1B">
              <w:rPr>
                <w:color w:val="000000"/>
                <w:sz w:val="18"/>
                <w:szCs w:val="18"/>
                <w:lang w:val="fr-CA"/>
              </w:rPr>
              <w:t xml:space="preserve">337 </w:t>
            </w:r>
          </w:p>
        </w:tc>
      </w:tr>
      <w:tr w:rsidR="0087239B" w:rsidRPr="00741F1B" w14:paraId="619C78D7" w14:textId="77777777" w:rsidTr="00315E8F">
        <w:tc>
          <w:tcPr>
            <w:tcW w:w="213" w:type="pct"/>
            <w:tcBorders>
              <w:top w:val="nil"/>
              <w:left w:val="single" w:sz="4" w:space="0" w:color="auto"/>
              <w:bottom w:val="single" w:sz="4" w:space="0" w:color="auto"/>
              <w:right w:val="single" w:sz="4" w:space="0" w:color="auto"/>
            </w:tcBorders>
            <w:shd w:val="clear" w:color="auto" w:fill="auto"/>
            <w:noWrap/>
            <w:vAlign w:val="center"/>
            <w:hideMark/>
          </w:tcPr>
          <w:p w14:paraId="597A0935" w14:textId="77777777" w:rsidR="0087239B" w:rsidRPr="00741F1B" w:rsidRDefault="0087239B" w:rsidP="0087239B">
            <w:pPr>
              <w:jc w:val="left"/>
              <w:rPr>
                <w:color w:val="000000"/>
                <w:sz w:val="18"/>
                <w:szCs w:val="18"/>
                <w:lang w:val="fr-CA" w:eastAsia="en-CA"/>
              </w:rPr>
            </w:pPr>
            <w:r w:rsidRPr="00741F1B">
              <w:rPr>
                <w:color w:val="000000"/>
                <w:sz w:val="18"/>
                <w:szCs w:val="18"/>
                <w:lang w:val="fr-CA" w:eastAsia="en-CA"/>
              </w:rPr>
              <w:t>3.3</w:t>
            </w:r>
          </w:p>
        </w:tc>
        <w:tc>
          <w:tcPr>
            <w:tcW w:w="1220" w:type="pct"/>
            <w:tcBorders>
              <w:top w:val="nil"/>
              <w:left w:val="nil"/>
              <w:bottom w:val="single" w:sz="4" w:space="0" w:color="auto"/>
              <w:right w:val="single" w:sz="4" w:space="0" w:color="auto"/>
            </w:tcBorders>
            <w:shd w:val="clear" w:color="auto" w:fill="auto"/>
            <w:noWrap/>
            <w:vAlign w:val="center"/>
            <w:hideMark/>
          </w:tcPr>
          <w:p w14:paraId="39C01A49" w14:textId="77777777" w:rsidR="0087239B" w:rsidRPr="00741F1B" w:rsidRDefault="0087239B" w:rsidP="0087239B">
            <w:pPr>
              <w:jc w:val="left"/>
              <w:rPr>
                <w:color w:val="000000"/>
                <w:sz w:val="18"/>
                <w:szCs w:val="18"/>
                <w:lang w:val="fr-CA" w:eastAsia="en-CA"/>
              </w:rPr>
            </w:pPr>
            <w:r>
              <w:rPr>
                <w:color w:val="000000"/>
                <w:sz w:val="18"/>
                <w:szCs w:val="18"/>
                <w:lang w:val="fr-CA" w:eastAsia="en-CA"/>
              </w:rPr>
              <w:t>Total des coûts convenus ($US)</w:t>
            </w:r>
          </w:p>
        </w:tc>
        <w:tc>
          <w:tcPr>
            <w:tcW w:w="329" w:type="pct"/>
            <w:tcBorders>
              <w:top w:val="nil"/>
              <w:left w:val="nil"/>
              <w:bottom w:val="single" w:sz="4" w:space="0" w:color="auto"/>
              <w:right w:val="single" w:sz="4" w:space="0" w:color="auto"/>
            </w:tcBorders>
            <w:shd w:val="clear" w:color="auto" w:fill="auto"/>
            <w:noWrap/>
            <w:vAlign w:val="center"/>
            <w:hideMark/>
          </w:tcPr>
          <w:p w14:paraId="19BD28CE" w14:textId="77777777" w:rsidR="0087239B" w:rsidRPr="00741F1B" w:rsidRDefault="0087239B" w:rsidP="0087239B">
            <w:pPr>
              <w:jc w:val="right"/>
              <w:rPr>
                <w:color w:val="000000"/>
                <w:sz w:val="18"/>
                <w:szCs w:val="18"/>
                <w:lang w:val="fr-CA" w:eastAsia="en-CA"/>
              </w:rPr>
            </w:pPr>
            <w:r w:rsidRPr="00741F1B">
              <w:rPr>
                <w:color w:val="000000"/>
                <w:sz w:val="18"/>
                <w:szCs w:val="18"/>
                <w:lang w:val="fr-CA" w:eastAsia="en-CA"/>
              </w:rPr>
              <w:t>516</w:t>
            </w:r>
            <w:r>
              <w:rPr>
                <w:color w:val="000000"/>
                <w:sz w:val="18"/>
                <w:szCs w:val="18"/>
                <w:lang w:val="fr-CA" w:eastAsia="en-CA"/>
              </w:rPr>
              <w:t xml:space="preserve"> </w:t>
            </w:r>
            <w:r w:rsidRPr="00741F1B">
              <w:rPr>
                <w:color w:val="000000"/>
                <w:sz w:val="18"/>
                <w:szCs w:val="18"/>
                <w:lang w:val="fr-CA" w:eastAsia="en-CA"/>
              </w:rPr>
              <w:t>872</w:t>
            </w:r>
          </w:p>
        </w:tc>
        <w:tc>
          <w:tcPr>
            <w:tcW w:w="221" w:type="pct"/>
            <w:tcBorders>
              <w:top w:val="nil"/>
              <w:left w:val="nil"/>
              <w:bottom w:val="single" w:sz="4" w:space="0" w:color="auto"/>
              <w:right w:val="single" w:sz="4" w:space="0" w:color="auto"/>
            </w:tcBorders>
            <w:shd w:val="clear" w:color="auto" w:fill="auto"/>
            <w:noWrap/>
            <w:vAlign w:val="center"/>
            <w:hideMark/>
          </w:tcPr>
          <w:p w14:paraId="08D328DA" w14:textId="77777777" w:rsidR="0087239B" w:rsidRPr="00741F1B" w:rsidRDefault="0087239B" w:rsidP="0087239B">
            <w:pPr>
              <w:jc w:val="right"/>
              <w:rPr>
                <w:color w:val="000000"/>
                <w:sz w:val="18"/>
                <w:szCs w:val="18"/>
                <w:lang w:val="fr-CA" w:eastAsia="en-CA"/>
              </w:rPr>
            </w:pPr>
            <w:r w:rsidRPr="00741F1B">
              <w:rPr>
                <w:color w:val="000000"/>
                <w:sz w:val="18"/>
                <w:szCs w:val="18"/>
                <w:lang w:val="fr-CA" w:eastAsia="en-CA"/>
              </w:rPr>
              <w:t>-</w:t>
            </w:r>
          </w:p>
        </w:tc>
        <w:tc>
          <w:tcPr>
            <w:tcW w:w="329" w:type="pct"/>
            <w:tcBorders>
              <w:top w:val="nil"/>
              <w:left w:val="nil"/>
              <w:bottom w:val="single" w:sz="4" w:space="0" w:color="auto"/>
              <w:right w:val="single" w:sz="4" w:space="0" w:color="auto"/>
            </w:tcBorders>
            <w:shd w:val="clear" w:color="auto" w:fill="auto"/>
            <w:noWrap/>
            <w:vAlign w:val="bottom"/>
            <w:hideMark/>
          </w:tcPr>
          <w:p w14:paraId="27D2E7A6"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526</w:t>
            </w:r>
            <w:r>
              <w:rPr>
                <w:color w:val="000000"/>
                <w:sz w:val="18"/>
                <w:szCs w:val="18"/>
                <w:lang w:val="fr-CA"/>
              </w:rPr>
              <w:t xml:space="preserve"> </w:t>
            </w:r>
            <w:r w:rsidRPr="00741F1B">
              <w:rPr>
                <w:color w:val="000000"/>
                <w:sz w:val="18"/>
                <w:szCs w:val="18"/>
                <w:lang w:val="fr-CA"/>
              </w:rPr>
              <w:t xml:space="preserve">611 </w:t>
            </w:r>
          </w:p>
        </w:tc>
        <w:tc>
          <w:tcPr>
            <w:tcW w:w="329" w:type="pct"/>
            <w:tcBorders>
              <w:top w:val="nil"/>
              <w:left w:val="nil"/>
              <w:bottom w:val="single" w:sz="4" w:space="0" w:color="auto"/>
              <w:right w:val="single" w:sz="4" w:space="0" w:color="auto"/>
            </w:tcBorders>
            <w:shd w:val="clear" w:color="auto" w:fill="auto"/>
            <w:noWrap/>
            <w:vAlign w:val="bottom"/>
            <w:hideMark/>
          </w:tcPr>
          <w:p w14:paraId="610D8479"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400</w:t>
            </w:r>
            <w:r>
              <w:rPr>
                <w:color w:val="000000"/>
                <w:sz w:val="18"/>
                <w:szCs w:val="18"/>
                <w:lang w:val="fr-CA"/>
              </w:rPr>
              <w:t xml:space="preserve"> </w:t>
            </w:r>
            <w:r w:rsidRPr="00741F1B">
              <w:rPr>
                <w:color w:val="000000"/>
                <w:sz w:val="18"/>
                <w:szCs w:val="18"/>
                <w:lang w:val="fr-CA"/>
              </w:rPr>
              <w:t xml:space="preserve">588 </w:t>
            </w:r>
          </w:p>
        </w:tc>
        <w:tc>
          <w:tcPr>
            <w:tcW w:w="329" w:type="pct"/>
            <w:tcBorders>
              <w:top w:val="nil"/>
              <w:left w:val="nil"/>
              <w:bottom w:val="single" w:sz="4" w:space="0" w:color="auto"/>
              <w:right w:val="single" w:sz="4" w:space="0" w:color="auto"/>
            </w:tcBorders>
            <w:shd w:val="clear" w:color="auto" w:fill="auto"/>
            <w:noWrap/>
            <w:vAlign w:val="bottom"/>
            <w:hideMark/>
          </w:tcPr>
          <w:p w14:paraId="5EA0067F"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506</w:t>
            </w:r>
            <w:r>
              <w:rPr>
                <w:color w:val="000000"/>
                <w:sz w:val="18"/>
                <w:szCs w:val="18"/>
                <w:lang w:val="fr-CA"/>
              </w:rPr>
              <w:t xml:space="preserve"> </w:t>
            </w:r>
            <w:r w:rsidRPr="00741F1B">
              <w:rPr>
                <w:color w:val="000000"/>
                <w:sz w:val="18"/>
                <w:szCs w:val="18"/>
                <w:lang w:val="fr-CA"/>
              </w:rPr>
              <w:t xml:space="preserve">250 </w:t>
            </w:r>
          </w:p>
        </w:tc>
        <w:tc>
          <w:tcPr>
            <w:tcW w:w="329" w:type="pct"/>
            <w:tcBorders>
              <w:top w:val="nil"/>
              <w:left w:val="nil"/>
              <w:bottom w:val="single" w:sz="4" w:space="0" w:color="auto"/>
              <w:right w:val="single" w:sz="4" w:space="0" w:color="auto"/>
            </w:tcBorders>
            <w:shd w:val="clear" w:color="auto" w:fill="auto"/>
            <w:noWrap/>
            <w:vAlign w:val="bottom"/>
            <w:hideMark/>
          </w:tcPr>
          <w:p w14:paraId="3C262F99"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463</w:t>
            </w:r>
            <w:r>
              <w:rPr>
                <w:color w:val="000000"/>
                <w:sz w:val="18"/>
                <w:szCs w:val="18"/>
                <w:lang w:val="fr-CA"/>
              </w:rPr>
              <w:t xml:space="preserve"> </w:t>
            </w:r>
            <w:r w:rsidRPr="00741F1B">
              <w:rPr>
                <w:color w:val="000000"/>
                <w:sz w:val="18"/>
                <w:szCs w:val="18"/>
                <w:lang w:val="fr-CA"/>
              </w:rPr>
              <w:t xml:space="preserve">450 </w:t>
            </w:r>
          </w:p>
        </w:tc>
        <w:tc>
          <w:tcPr>
            <w:tcW w:w="329" w:type="pct"/>
            <w:tcBorders>
              <w:top w:val="nil"/>
              <w:left w:val="nil"/>
              <w:bottom w:val="single" w:sz="4" w:space="0" w:color="auto"/>
              <w:right w:val="single" w:sz="4" w:space="0" w:color="auto"/>
            </w:tcBorders>
            <w:shd w:val="clear" w:color="auto" w:fill="auto"/>
            <w:noWrap/>
            <w:vAlign w:val="bottom"/>
            <w:hideMark/>
          </w:tcPr>
          <w:p w14:paraId="1FFCC4EB"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443</w:t>
            </w:r>
            <w:r>
              <w:rPr>
                <w:color w:val="000000"/>
                <w:sz w:val="18"/>
                <w:szCs w:val="18"/>
                <w:lang w:val="fr-CA"/>
              </w:rPr>
              <w:t xml:space="preserve"> </w:t>
            </w:r>
            <w:r w:rsidRPr="00741F1B">
              <w:rPr>
                <w:color w:val="000000"/>
                <w:sz w:val="18"/>
                <w:szCs w:val="18"/>
                <w:lang w:val="fr-CA"/>
              </w:rPr>
              <w:t xml:space="preserve">388 </w:t>
            </w:r>
          </w:p>
        </w:tc>
        <w:tc>
          <w:tcPr>
            <w:tcW w:w="329" w:type="pct"/>
            <w:tcBorders>
              <w:top w:val="nil"/>
              <w:left w:val="nil"/>
              <w:bottom w:val="single" w:sz="4" w:space="0" w:color="auto"/>
              <w:right w:val="single" w:sz="4" w:space="0" w:color="auto"/>
            </w:tcBorders>
            <w:shd w:val="clear" w:color="auto" w:fill="auto"/>
            <w:noWrap/>
            <w:vAlign w:val="bottom"/>
            <w:hideMark/>
          </w:tcPr>
          <w:p w14:paraId="3F1B3806"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400</w:t>
            </w:r>
            <w:r>
              <w:rPr>
                <w:color w:val="000000"/>
                <w:sz w:val="18"/>
                <w:szCs w:val="18"/>
                <w:lang w:val="fr-CA"/>
              </w:rPr>
              <w:t xml:space="preserve"> </w:t>
            </w:r>
            <w:r w:rsidRPr="00741F1B">
              <w:rPr>
                <w:color w:val="000000"/>
                <w:sz w:val="18"/>
                <w:szCs w:val="18"/>
                <w:lang w:val="fr-CA"/>
              </w:rPr>
              <w:t xml:space="preserve">588 </w:t>
            </w:r>
          </w:p>
        </w:tc>
        <w:tc>
          <w:tcPr>
            <w:tcW w:w="329" w:type="pct"/>
            <w:tcBorders>
              <w:top w:val="nil"/>
              <w:left w:val="nil"/>
              <w:bottom w:val="single" w:sz="4" w:space="0" w:color="auto"/>
              <w:right w:val="single" w:sz="4" w:space="0" w:color="auto"/>
            </w:tcBorders>
            <w:shd w:val="clear" w:color="auto" w:fill="auto"/>
            <w:noWrap/>
            <w:vAlign w:val="bottom"/>
            <w:hideMark/>
          </w:tcPr>
          <w:p w14:paraId="1241110E"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443</w:t>
            </w:r>
            <w:r>
              <w:rPr>
                <w:color w:val="000000"/>
                <w:sz w:val="18"/>
                <w:szCs w:val="18"/>
                <w:lang w:val="fr-CA"/>
              </w:rPr>
              <w:t xml:space="preserve"> </w:t>
            </w:r>
            <w:r w:rsidRPr="00741F1B">
              <w:rPr>
                <w:color w:val="000000"/>
                <w:sz w:val="18"/>
                <w:szCs w:val="18"/>
                <w:lang w:val="fr-CA"/>
              </w:rPr>
              <w:t xml:space="preserve">388 </w:t>
            </w:r>
          </w:p>
        </w:tc>
        <w:tc>
          <w:tcPr>
            <w:tcW w:w="329" w:type="pct"/>
            <w:tcBorders>
              <w:top w:val="nil"/>
              <w:left w:val="nil"/>
              <w:bottom w:val="single" w:sz="4" w:space="0" w:color="auto"/>
              <w:right w:val="single" w:sz="4" w:space="0" w:color="auto"/>
            </w:tcBorders>
            <w:shd w:val="clear" w:color="auto" w:fill="auto"/>
            <w:noWrap/>
            <w:vAlign w:val="bottom"/>
            <w:hideMark/>
          </w:tcPr>
          <w:p w14:paraId="6537F583"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400</w:t>
            </w:r>
            <w:r>
              <w:rPr>
                <w:color w:val="000000"/>
                <w:sz w:val="18"/>
                <w:szCs w:val="18"/>
                <w:lang w:val="fr-CA"/>
              </w:rPr>
              <w:t xml:space="preserve"> </w:t>
            </w:r>
            <w:r w:rsidRPr="00741F1B">
              <w:rPr>
                <w:color w:val="000000"/>
                <w:sz w:val="18"/>
                <w:szCs w:val="18"/>
                <w:lang w:val="fr-CA"/>
              </w:rPr>
              <w:t xml:space="preserve">586 </w:t>
            </w:r>
          </w:p>
        </w:tc>
        <w:tc>
          <w:tcPr>
            <w:tcW w:w="383" w:type="pct"/>
            <w:tcBorders>
              <w:top w:val="nil"/>
              <w:left w:val="nil"/>
              <w:bottom w:val="single" w:sz="4" w:space="0" w:color="auto"/>
              <w:right w:val="single" w:sz="4" w:space="0" w:color="auto"/>
            </w:tcBorders>
            <w:shd w:val="clear" w:color="auto" w:fill="auto"/>
            <w:noWrap/>
            <w:vAlign w:val="bottom"/>
            <w:hideMark/>
          </w:tcPr>
          <w:p w14:paraId="2ED2A1F8" w14:textId="77777777" w:rsidR="0087239B" w:rsidRPr="00741F1B" w:rsidRDefault="0087239B" w:rsidP="0087239B">
            <w:pPr>
              <w:jc w:val="right"/>
              <w:rPr>
                <w:color w:val="000000"/>
                <w:sz w:val="18"/>
                <w:szCs w:val="18"/>
                <w:lang w:val="fr-CA" w:eastAsia="en-CA"/>
              </w:rPr>
            </w:pPr>
            <w:r w:rsidRPr="00741F1B">
              <w:rPr>
                <w:color w:val="000000"/>
                <w:sz w:val="18"/>
                <w:szCs w:val="18"/>
                <w:lang w:val="fr-CA"/>
              </w:rPr>
              <w:t xml:space="preserve">   4</w:t>
            </w:r>
            <w:r>
              <w:rPr>
                <w:color w:val="000000"/>
                <w:sz w:val="18"/>
                <w:szCs w:val="18"/>
                <w:lang w:val="fr-CA"/>
              </w:rPr>
              <w:t xml:space="preserve"> </w:t>
            </w:r>
            <w:r w:rsidRPr="00741F1B">
              <w:rPr>
                <w:color w:val="000000"/>
                <w:sz w:val="18"/>
                <w:szCs w:val="18"/>
                <w:lang w:val="fr-CA"/>
              </w:rPr>
              <w:t>101</w:t>
            </w:r>
            <w:r>
              <w:rPr>
                <w:color w:val="000000"/>
                <w:sz w:val="18"/>
                <w:szCs w:val="18"/>
                <w:lang w:val="fr-CA"/>
              </w:rPr>
              <w:t xml:space="preserve"> </w:t>
            </w:r>
            <w:r w:rsidRPr="00741F1B">
              <w:rPr>
                <w:color w:val="000000"/>
                <w:sz w:val="18"/>
                <w:szCs w:val="18"/>
                <w:lang w:val="fr-CA"/>
              </w:rPr>
              <w:t xml:space="preserve">721 </w:t>
            </w:r>
          </w:p>
        </w:tc>
      </w:tr>
    </w:tbl>
    <w:p w14:paraId="4AD4B077" w14:textId="77777777" w:rsidR="0087239B" w:rsidRPr="001B261F" w:rsidRDefault="0087239B" w:rsidP="00315E8F">
      <w:pPr>
        <w:keepNext/>
        <w:jc w:val="left"/>
        <w:rPr>
          <w:sz w:val="16"/>
          <w:lang w:val="fr-CA"/>
        </w:rPr>
      </w:pPr>
      <w:r w:rsidRPr="001B261F">
        <w:rPr>
          <w:sz w:val="16"/>
          <w:lang w:val="fr-CA"/>
        </w:rPr>
        <w:t>*Le financement convenu pour une année donnée sera réduit conformément au paragraphe 6 de cet Accord</w:t>
      </w:r>
    </w:p>
    <w:p w14:paraId="5C828F55" w14:textId="77777777" w:rsidR="0087239B" w:rsidRDefault="0087239B" w:rsidP="00315E8F">
      <w:pPr>
        <w:keepNext/>
        <w:jc w:val="left"/>
        <w:rPr>
          <w:b/>
          <w:lang w:val="fr-CA"/>
        </w:rPr>
      </w:pPr>
    </w:p>
    <w:p w14:paraId="17C1A25F" w14:textId="77777777" w:rsidR="0087239B" w:rsidRDefault="0087239B" w:rsidP="00315E8F">
      <w:pPr>
        <w:jc w:val="left"/>
        <w:rPr>
          <w:sz w:val="18"/>
          <w:lang w:val="fr-CA"/>
        </w:rPr>
      </w:pPr>
    </w:p>
    <w:p w14:paraId="7A7EDEF7" w14:textId="77777777" w:rsidR="0087239B" w:rsidRPr="007C6AC8" w:rsidRDefault="0087239B" w:rsidP="00315E8F">
      <w:pPr>
        <w:rPr>
          <w:b/>
          <w:lang w:val="fr-CA"/>
        </w:rPr>
        <w:sectPr w:rsidR="0087239B" w:rsidRPr="007C6AC8" w:rsidSect="00963F7D">
          <w:headerReference w:type="even" r:id="rId24"/>
          <w:headerReference w:type="default" r:id="rId25"/>
          <w:headerReference w:type="first" r:id="rId26"/>
          <w:pgSz w:w="15840" w:h="12240" w:orient="landscape" w:code="1"/>
          <w:pgMar w:top="1440" w:right="720" w:bottom="1440" w:left="864" w:header="720" w:footer="475" w:gutter="0"/>
          <w:cols w:space="720"/>
          <w:docGrid w:linePitch="299"/>
        </w:sectPr>
      </w:pPr>
    </w:p>
    <w:p w14:paraId="6047BF0D" w14:textId="77777777" w:rsidR="0087239B" w:rsidRDefault="0087239B" w:rsidP="00315E8F">
      <w:pPr>
        <w:rPr>
          <w:b/>
          <w:lang w:val="fr-CA"/>
        </w:rPr>
      </w:pPr>
      <w:r>
        <w:rPr>
          <w:b/>
          <w:lang w:val="fr-CA"/>
        </w:rPr>
        <w:lastRenderedPageBreak/>
        <w:t>APPENDICE 2-A: FORMAT DES RAPPORTS ET DES PLANS DE MISE EN ŒUVRE DE LA TRANCHE</w:t>
      </w:r>
    </w:p>
    <w:p w14:paraId="3B794E22" w14:textId="77777777" w:rsidR="0087239B" w:rsidRDefault="0087239B" w:rsidP="00315E8F">
      <w:pPr>
        <w:rPr>
          <w:lang w:val="fr-CA"/>
        </w:rPr>
      </w:pPr>
    </w:p>
    <w:p w14:paraId="37B74438" w14:textId="77777777" w:rsidR="0087239B" w:rsidRDefault="0087239B" w:rsidP="0087239B">
      <w:pPr>
        <w:pStyle w:val="Heading1"/>
        <w:numPr>
          <w:ilvl w:val="0"/>
          <w:numId w:val="7"/>
        </w:numPr>
        <w:rPr>
          <w:lang w:val="fr-CA"/>
        </w:rPr>
      </w:pPr>
      <w:r>
        <w:rPr>
          <w:lang w:val="fr-CA"/>
        </w:rPr>
        <w:t>La présentation du plan et du rapport de mise en œuvre de la tranche pour chaque demande de tranche comprendra les parties suivantes :</w:t>
      </w:r>
    </w:p>
    <w:p w14:paraId="0CC0F855" w14:textId="77777777" w:rsidR="0087239B" w:rsidRDefault="0087239B" w:rsidP="00315E8F">
      <w:pPr>
        <w:pStyle w:val="Heading2"/>
        <w:numPr>
          <w:ilvl w:val="1"/>
          <w:numId w:val="1"/>
        </w:numPr>
        <w:rPr>
          <w:lang w:val="fr-CA"/>
        </w:rPr>
      </w:pPr>
      <w:r>
        <w:rPr>
          <w:lang w:val="fr-CA"/>
        </w:rPr>
        <w:t xml:space="preserve">Un rapport narratif, avec des données fournies par tranche, décrivant les progrès réalisés depuis le précédent rapport, reflétant la situation du pays en matière de destruction du sous-produit HFC-23 provenant des chaînes de production du HCFC-22 concernées. Le rapport précisera, notamment, les quantités de HCFC-22 produites, les quantités de sous-produit HFC-23 créées sur les chaînes de production concernées et les quantités de HFC-23 détruites, stockées, vendues et/ou dégagées, ainsi que la technologie de destruction utilisée, afin que le Secrétariat puisse évaluer les résultats obtenus selon les quantités de HFC-23 détruites ou dégagées. Le rapport doit aussi mettre en lumière les réussites, les expériences et les défis correspondant aux différentes activités incluses dans le plan, reflétant tout changement de situation intervenu dans le pays et fournissant d’autres informations utiles afin d’éclairer et de justifier tout changement par rapport au plan de la tranche soumis précédemment, tels que des retards, l’utilisation de la marge de manœuvre pour la réaffectation des fonds durant la mise en œuvre d’une tranche, ou autres changements; </w:t>
      </w:r>
    </w:p>
    <w:p w14:paraId="62037C24" w14:textId="77777777" w:rsidR="0087239B" w:rsidRPr="007C6AC8" w:rsidRDefault="0087239B" w:rsidP="00315E8F">
      <w:pPr>
        <w:pStyle w:val="Heading2"/>
        <w:numPr>
          <w:ilvl w:val="1"/>
          <w:numId w:val="1"/>
        </w:numPr>
        <w:rPr>
          <w:lang w:val="fr-CA"/>
        </w:rPr>
      </w:pPr>
      <w:r>
        <w:rPr>
          <w:lang w:val="fr-CA"/>
        </w:rPr>
        <w:t>Un rapport de vérification indépendant précisant, entre autres choses, les quantités de HCFC-22 produites, les quantités de sous-produit HFC-23 créées et les quantités de HFC-</w:t>
      </w:r>
      <w:r w:rsidRPr="007C6AC8">
        <w:rPr>
          <w:lang w:val="fr-CA"/>
        </w:rPr>
        <w:t>23 détruites, stockées, ven</w:t>
      </w:r>
      <w:r>
        <w:rPr>
          <w:lang w:val="fr-CA"/>
        </w:rPr>
        <w:t>dues et/ou dégagées et ce, pour</w:t>
      </w:r>
      <w:r w:rsidRPr="007C6AC8">
        <w:rPr>
          <w:lang w:val="fr-CA"/>
        </w:rPr>
        <w:t xml:space="preserve"> chaque demande de tranche;</w:t>
      </w:r>
    </w:p>
    <w:p w14:paraId="3ABE51D0" w14:textId="77777777" w:rsidR="0087239B" w:rsidRPr="007C6AC8" w:rsidRDefault="0087239B" w:rsidP="00315E8F">
      <w:pPr>
        <w:pStyle w:val="Heading2"/>
        <w:numPr>
          <w:ilvl w:val="1"/>
          <w:numId w:val="1"/>
        </w:numPr>
        <w:rPr>
          <w:lang w:val="fr-CA"/>
        </w:rPr>
      </w:pPr>
      <w:r w:rsidRPr="007C6AC8">
        <w:rPr>
          <w:lang w:val="fr-CA"/>
        </w:rP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les données du plan seront fournies par année civile; </w:t>
      </w:r>
    </w:p>
    <w:p w14:paraId="32555F25" w14:textId="77777777" w:rsidR="0087239B" w:rsidRPr="007C6AC8" w:rsidRDefault="0087239B" w:rsidP="00315E8F">
      <w:pPr>
        <w:pStyle w:val="Heading2"/>
        <w:numPr>
          <w:ilvl w:val="1"/>
          <w:numId w:val="1"/>
        </w:numPr>
        <w:rPr>
          <w:lang w:val="fr-CA"/>
        </w:rPr>
      </w:pPr>
      <w:r w:rsidRPr="007C6AC8">
        <w:rPr>
          <w:lang w:val="fr-CA"/>
        </w:rPr>
        <w:t>Une synthèse comprenant environ cinq paragraphes, résumant les informations des paragraphes 1 a) à 1 c) ci-dessus.</w:t>
      </w:r>
    </w:p>
    <w:p w14:paraId="102FEC54" w14:textId="77777777" w:rsidR="0087239B" w:rsidRDefault="0087239B" w:rsidP="00315E8F">
      <w:pPr>
        <w:rPr>
          <w:b/>
          <w:lang w:val="fr-CA"/>
        </w:rPr>
      </w:pPr>
      <w:r w:rsidRPr="007C6AC8">
        <w:rPr>
          <w:b/>
          <w:lang w:val="fr-CA"/>
        </w:rPr>
        <w:t>APPENDICE 3-A: INSTITUTIONS DE SUIVI ET LEUR RÔLE</w:t>
      </w:r>
      <w:r>
        <w:rPr>
          <w:b/>
          <w:lang w:val="fr-CA"/>
        </w:rPr>
        <w:t xml:space="preserve"> </w:t>
      </w:r>
    </w:p>
    <w:p w14:paraId="198A1CD9" w14:textId="77777777" w:rsidR="0087239B" w:rsidRDefault="0087239B" w:rsidP="00315E8F">
      <w:pPr>
        <w:rPr>
          <w:lang w:val="fr-CA"/>
        </w:rPr>
      </w:pPr>
    </w:p>
    <w:p w14:paraId="62816B80" w14:textId="77777777" w:rsidR="0087239B" w:rsidRPr="00694FD4" w:rsidRDefault="0087239B" w:rsidP="0087239B">
      <w:pPr>
        <w:pStyle w:val="Heading1"/>
        <w:numPr>
          <w:ilvl w:val="0"/>
          <w:numId w:val="42"/>
        </w:numPr>
        <w:rPr>
          <w:lang w:val="fr-CA"/>
        </w:rPr>
      </w:pPr>
      <w:r w:rsidRPr="00694FD4">
        <w:rPr>
          <w:lang w:val="fr-CA"/>
        </w:rPr>
        <w:t>Le ministère de l’Environnement et des Ressources naturelles (SEMARNAT) est responsable de la protection, de la restauration et de la conservation de tous les écosystèmes, ressources naturelles et services environnementaux, afin de favoriser le développement durable. Il est aussi responsable d’exécuter les politiques nationales en matière de changements climatiques et de protection de la couche d’ozone. Le Bureau national de l’Ozone (qui relève du SEMARNAT) effectue un suivi de la production de HCFC-22 et des HFC-23 créés au cours de cette production par l’entremise de ses équipes régionales. Des inspections des chaînes de production de HCFC-22 sont prévues, afin que le contrôle du HFC-23 se poursuive après l’achèvement du projet.</w:t>
      </w:r>
    </w:p>
    <w:p w14:paraId="1A05EFF5" w14:textId="77777777" w:rsidR="0087239B" w:rsidRPr="00694FD4" w:rsidRDefault="0087239B" w:rsidP="0087239B">
      <w:pPr>
        <w:pStyle w:val="Heading1"/>
        <w:numPr>
          <w:ilvl w:val="0"/>
          <w:numId w:val="42"/>
        </w:numPr>
        <w:rPr>
          <w:lang w:val="fr-CA"/>
        </w:rPr>
      </w:pPr>
      <w:r w:rsidRPr="00694FD4">
        <w:rPr>
          <w:lang w:val="fr-CA"/>
        </w:rPr>
        <w:t>Le Pays a offert et compte continuer à offrir la poursuite des activités et l’appui au projet au cours des années qui suivront, comme précisé dans le volet de soutien des institutions et la liste des activités du projet de renforcement des institutions, afin de garantir le succès de toute activité approuvée pour le Mexique.</w:t>
      </w:r>
    </w:p>
    <w:p w14:paraId="70D35767" w14:textId="77777777" w:rsidR="0087239B" w:rsidRDefault="0087239B" w:rsidP="0087239B">
      <w:pPr>
        <w:pStyle w:val="Heading1"/>
        <w:numPr>
          <w:ilvl w:val="0"/>
          <w:numId w:val="42"/>
        </w:numPr>
        <w:rPr>
          <w:lang w:val="fr-CA"/>
        </w:rPr>
      </w:pPr>
      <w:r w:rsidRPr="00694FD4">
        <w:rPr>
          <w:lang w:val="fr-CA"/>
        </w:rPr>
        <w:t>Un étroit suivi de toutes les activités et la coordination entre les parties prenantes sont essentiels afin d’atteindre la conformité. Des réunions de coordination se tiendront régulièrement avec les parties prenantes de l’industrie, les parties prenantes gouvernementales (ministères de l’Économie, de l’Énergie et de la Santé), diverses associations et tous les secteurs particip</w:t>
      </w:r>
      <w:r>
        <w:rPr>
          <w:lang w:val="fr-CA"/>
        </w:rPr>
        <w:t>ants</w:t>
      </w:r>
      <w:r w:rsidRPr="00694FD4">
        <w:rPr>
          <w:lang w:val="fr-CA"/>
        </w:rPr>
        <w:t>, afin d’adopter les accor</w:t>
      </w:r>
      <w:r>
        <w:rPr>
          <w:lang w:val="fr-CA"/>
        </w:rPr>
        <w:t xml:space="preserve">ds et les mesures </w:t>
      </w:r>
      <w:r>
        <w:rPr>
          <w:lang w:val="fr-CA"/>
        </w:rPr>
        <w:lastRenderedPageBreak/>
        <w:t>nécessaires pour réaliser les activités d’investissement et ne portant pas sur des investissements dans les délais prévus et de manière coordonnée. Un suivi du processus de mise en œuvre et de la réalisation de la destruction de HFC-23 requise sera effectué au moyen de visites dans les entreprises.</w:t>
      </w:r>
    </w:p>
    <w:p w14:paraId="76CCFC9B" w14:textId="77777777" w:rsidR="0087239B" w:rsidRPr="00DC1A8E" w:rsidRDefault="0087239B" w:rsidP="0087239B">
      <w:pPr>
        <w:pStyle w:val="Heading1"/>
        <w:numPr>
          <w:ilvl w:val="0"/>
          <w:numId w:val="42"/>
        </w:numPr>
        <w:rPr>
          <w:lang w:val="fr-CA"/>
        </w:rPr>
      </w:pPr>
      <w:r>
        <w:rPr>
          <w:lang w:val="fr-CA"/>
        </w:rPr>
        <w:t>Un suivi annuel sera réalisé. Les visites de vérification sur place seront effectuées par les experts internationaux indépendants.</w:t>
      </w:r>
    </w:p>
    <w:p w14:paraId="3103BF9E" w14:textId="77777777" w:rsidR="0087239B" w:rsidRPr="007C6AC8" w:rsidRDefault="0087239B" w:rsidP="00315E8F">
      <w:pPr>
        <w:rPr>
          <w:b/>
          <w:lang w:val="fr-CA"/>
        </w:rPr>
      </w:pPr>
      <w:r w:rsidRPr="007C6AC8">
        <w:rPr>
          <w:b/>
          <w:lang w:val="fr-CA"/>
        </w:rPr>
        <w:t xml:space="preserve">APPENDICE 4-A : RÔLE DE L’AGENCE D’EXÉCUTION PRINCIPALE </w:t>
      </w:r>
    </w:p>
    <w:p w14:paraId="77DAED3B" w14:textId="77777777" w:rsidR="0087239B" w:rsidRPr="007C6AC8" w:rsidRDefault="0087239B" w:rsidP="00315E8F">
      <w:pPr>
        <w:rPr>
          <w:lang w:val="fr-CA"/>
        </w:rPr>
      </w:pPr>
    </w:p>
    <w:p w14:paraId="24CBF2A9" w14:textId="77777777" w:rsidR="0087239B" w:rsidRPr="007C6AC8" w:rsidRDefault="0087239B" w:rsidP="0087239B">
      <w:pPr>
        <w:pStyle w:val="Heading1"/>
        <w:numPr>
          <w:ilvl w:val="0"/>
          <w:numId w:val="41"/>
        </w:numPr>
        <w:rPr>
          <w:lang w:val="fr-CA"/>
        </w:rPr>
      </w:pPr>
      <w:r w:rsidRPr="007C6AC8">
        <w:rPr>
          <w:lang w:val="fr-CA"/>
        </w:rPr>
        <w:t xml:space="preserve">L’Agence principale sera responsable </w:t>
      </w:r>
      <w:r w:rsidRPr="007C6AC8">
        <w:rPr>
          <w:color w:val="000000"/>
          <w:lang w:val="fr-CA"/>
        </w:rPr>
        <w:t>d’une série d’activités, incluant au moins les activités suivantes :</w:t>
      </w:r>
    </w:p>
    <w:p w14:paraId="3F290B8C" w14:textId="77777777" w:rsidR="0087239B" w:rsidRPr="007C6AC8" w:rsidRDefault="0087239B" w:rsidP="00894D15">
      <w:pPr>
        <w:pStyle w:val="Heading2"/>
        <w:numPr>
          <w:ilvl w:val="1"/>
          <w:numId w:val="44"/>
        </w:numPr>
        <w:rPr>
          <w:lang w:val="fr-CA"/>
        </w:rPr>
      </w:pPr>
      <w:r w:rsidRPr="007C6AC8">
        <w:rPr>
          <w:lang w:val="fr-CA"/>
        </w:rPr>
        <w:t>S’assurer du rendement et de la vérification financière conformément au présent Accord et à ses procédures internes et exigences spécifiques;</w:t>
      </w:r>
    </w:p>
    <w:p w14:paraId="24ACBEA5" w14:textId="77777777" w:rsidR="0087239B" w:rsidRPr="007C6AC8" w:rsidRDefault="0087239B" w:rsidP="00894D15">
      <w:pPr>
        <w:pStyle w:val="Heading2"/>
        <w:numPr>
          <w:ilvl w:val="1"/>
          <w:numId w:val="44"/>
        </w:numPr>
        <w:rPr>
          <w:lang w:val="fr-CA"/>
        </w:rPr>
      </w:pPr>
      <w:r w:rsidRPr="007C6AC8">
        <w:rPr>
          <w:lang w:val="fr-CA"/>
        </w:rPr>
        <w:t>Aider le Pays à préparer les plans de mise en œuvre de la tranche et les rapports ultérieurs conformément à l’Appendice 2-A;</w:t>
      </w:r>
    </w:p>
    <w:p w14:paraId="121A900B" w14:textId="77777777" w:rsidR="0087239B" w:rsidRPr="007C6AC8" w:rsidRDefault="0087239B" w:rsidP="00894D15">
      <w:pPr>
        <w:pStyle w:val="Heading2"/>
        <w:numPr>
          <w:ilvl w:val="1"/>
          <w:numId w:val="44"/>
        </w:numPr>
        <w:rPr>
          <w:lang w:val="fr-CA"/>
        </w:rPr>
      </w:pPr>
      <w:r w:rsidRPr="007C6AC8">
        <w:rPr>
          <w:lang w:val="fr-CA"/>
        </w:rPr>
        <w:t xml:space="preserve">Remettre au Comité exécutif un rapport de vérification indépendante confirmant que les objectifs ont été atteints et que les activités annuelles correspondantes ont été réalisées conformément au plan de mise en œuvre de la tranche, en accord avec l’Appendice 2-A; </w:t>
      </w:r>
    </w:p>
    <w:p w14:paraId="2014B025" w14:textId="77777777" w:rsidR="0087239B" w:rsidRPr="007C6AC8" w:rsidRDefault="0087239B" w:rsidP="00894D15">
      <w:pPr>
        <w:pStyle w:val="Heading2"/>
        <w:keepNext/>
        <w:keepLines/>
        <w:numPr>
          <w:ilvl w:val="1"/>
          <w:numId w:val="44"/>
        </w:numPr>
        <w:rPr>
          <w:lang w:val="fr-CA"/>
        </w:rPr>
      </w:pPr>
      <w:r w:rsidRPr="007C6AC8">
        <w:rPr>
          <w:lang w:val="fr-CA"/>
        </w:rPr>
        <w:t>Veiller à ce que les expériences et progrès transparaissent dans les mises à jour du plan d’ensemble et les plans annuels de mise en œuvre de la tranche futurs, conformément aux paragraphes 1 a) et 1 c) de l’Appendice 4-A;</w:t>
      </w:r>
    </w:p>
    <w:p w14:paraId="54B62D1E" w14:textId="77777777" w:rsidR="0087239B" w:rsidRPr="007C6AC8" w:rsidRDefault="0087239B" w:rsidP="00894D15">
      <w:pPr>
        <w:pStyle w:val="Heading2"/>
        <w:numPr>
          <w:ilvl w:val="1"/>
          <w:numId w:val="44"/>
        </w:numPr>
        <w:rPr>
          <w:lang w:val="fr-CA"/>
        </w:rPr>
      </w:pPr>
      <w:r w:rsidRPr="007C6AC8">
        <w:rPr>
          <w:lang w:val="fr-CA"/>
        </w:rPr>
        <w:t>Satisfaire aux exigences de rapport pour les rapports et plans de mise en œuvre de la tranche et le plan d’ensemble selon les spécifications de l’Appendice 2-A aux fins de présentation au Comité exécutif;</w:t>
      </w:r>
    </w:p>
    <w:p w14:paraId="6BEDC225" w14:textId="77777777" w:rsidR="0087239B" w:rsidRPr="007C6AC8" w:rsidRDefault="0087239B" w:rsidP="00894D15">
      <w:pPr>
        <w:pStyle w:val="Heading2"/>
        <w:numPr>
          <w:ilvl w:val="1"/>
          <w:numId w:val="44"/>
        </w:numPr>
        <w:rPr>
          <w:lang w:val="fr-CA"/>
        </w:rPr>
      </w:pPr>
      <w:r w:rsidRPr="007C6AC8">
        <w:rPr>
          <w:lang w:val="fr-CA"/>
        </w:rPr>
        <w:t>Veiller à ce que des experts techniques indépendants et qualifiés réalisent les examens techniques;</w:t>
      </w:r>
    </w:p>
    <w:p w14:paraId="1B3DF503" w14:textId="77777777" w:rsidR="0087239B" w:rsidRPr="007C6AC8" w:rsidRDefault="0087239B" w:rsidP="00894D15">
      <w:pPr>
        <w:pStyle w:val="Heading2"/>
        <w:numPr>
          <w:ilvl w:val="1"/>
          <w:numId w:val="44"/>
        </w:numPr>
        <w:rPr>
          <w:lang w:val="fr-CA"/>
        </w:rPr>
      </w:pPr>
      <w:r w:rsidRPr="007C6AC8">
        <w:rPr>
          <w:lang w:val="fr-CA"/>
        </w:rPr>
        <w:t>Exécuter les missions de supervision requises;</w:t>
      </w:r>
    </w:p>
    <w:p w14:paraId="32ED3966" w14:textId="77777777" w:rsidR="0087239B" w:rsidRPr="007C6AC8" w:rsidRDefault="0087239B" w:rsidP="00894D15">
      <w:pPr>
        <w:pStyle w:val="Heading2"/>
        <w:numPr>
          <w:ilvl w:val="1"/>
          <w:numId w:val="44"/>
        </w:numPr>
        <w:rPr>
          <w:lang w:val="fr-CA"/>
        </w:rPr>
      </w:pPr>
      <w:r w:rsidRPr="007C6AC8">
        <w:rPr>
          <w:lang w:val="fr-CA"/>
        </w:rPr>
        <w:t>S’assurer qu’il existe un mécanisme opérationnel permettant la mise en œuvre efficace et transparente du plan de mise en œuvre de la tranche et la communication de données exactes;</w:t>
      </w:r>
    </w:p>
    <w:p w14:paraId="51BFD891" w14:textId="77777777" w:rsidR="0087239B" w:rsidRPr="007C6AC8" w:rsidRDefault="0087239B" w:rsidP="00894D15">
      <w:pPr>
        <w:pStyle w:val="Heading2"/>
        <w:numPr>
          <w:ilvl w:val="1"/>
          <w:numId w:val="44"/>
        </w:numPr>
        <w:rPr>
          <w:lang w:val="fr-CA"/>
        </w:rPr>
      </w:pPr>
      <w:r w:rsidRPr="007C6AC8">
        <w:rPr>
          <w:lang w:val="fr-CA"/>
        </w:rPr>
        <w:t xml:space="preserve">En cas de réduction du soutien financier pour non-conformité au paragraphe 13 de l’Accord, déterminer, en consultation avec le Pays, la répartition des réductions aux différents postes budgétaires; </w:t>
      </w:r>
    </w:p>
    <w:p w14:paraId="47E41CB3" w14:textId="77777777" w:rsidR="0087239B" w:rsidRPr="007C6AC8" w:rsidRDefault="0087239B" w:rsidP="00894D15">
      <w:pPr>
        <w:pStyle w:val="Heading2"/>
        <w:numPr>
          <w:ilvl w:val="1"/>
          <w:numId w:val="44"/>
        </w:numPr>
        <w:rPr>
          <w:lang w:val="fr-CA"/>
        </w:rPr>
      </w:pPr>
      <w:r w:rsidRPr="007C6AC8">
        <w:rPr>
          <w:lang w:val="fr-CA"/>
        </w:rPr>
        <w:t xml:space="preserve">Veiller à ce que les versements effectués au Pays reposent sur l’utilisation des indicateurs; </w:t>
      </w:r>
    </w:p>
    <w:p w14:paraId="152DD9B2" w14:textId="77777777" w:rsidR="0087239B" w:rsidRPr="007C6AC8" w:rsidRDefault="0087239B" w:rsidP="00894D15">
      <w:pPr>
        <w:pStyle w:val="Heading2"/>
        <w:numPr>
          <w:ilvl w:val="1"/>
          <w:numId w:val="44"/>
        </w:numPr>
        <w:rPr>
          <w:lang w:val="fr-CA"/>
        </w:rPr>
      </w:pPr>
      <w:r w:rsidRPr="007C6AC8">
        <w:rPr>
          <w:lang w:val="fr-CA"/>
        </w:rPr>
        <w:t>Fournir si nécessaire une assistance en matière de politique, de gestion et de soutien technique;</w:t>
      </w:r>
    </w:p>
    <w:p w14:paraId="1B052CE6" w14:textId="77777777" w:rsidR="0087239B" w:rsidRPr="007C6AC8" w:rsidRDefault="0087239B" w:rsidP="00894D15">
      <w:pPr>
        <w:pStyle w:val="Heading2"/>
        <w:numPr>
          <w:ilvl w:val="1"/>
          <w:numId w:val="44"/>
        </w:numPr>
        <w:rPr>
          <w:lang w:val="fr-CA"/>
        </w:rPr>
      </w:pPr>
      <w:r w:rsidRPr="007C6AC8">
        <w:rPr>
          <w:lang w:val="fr-CA"/>
        </w:rPr>
        <w:t>Décaisser les sommes au pays/aux entreprises participants dans les délais nécessaires pour achever les activités reliées au projet.</w:t>
      </w:r>
    </w:p>
    <w:p w14:paraId="309845FA" w14:textId="77777777" w:rsidR="0087239B" w:rsidRPr="007C6AC8" w:rsidRDefault="0087239B" w:rsidP="00641C73">
      <w:pPr>
        <w:pStyle w:val="Heading1"/>
        <w:keepNext/>
        <w:keepLines/>
        <w:numPr>
          <w:ilvl w:val="0"/>
          <w:numId w:val="44"/>
        </w:numPr>
        <w:rPr>
          <w:lang w:val="fr-CA"/>
        </w:rPr>
      </w:pPr>
      <w:bookmarkStart w:id="1" w:name="_GoBack"/>
      <w:r w:rsidRPr="007C6AC8">
        <w:rPr>
          <w:lang w:val="fr-CA"/>
        </w:rPr>
        <w:lastRenderedPageBreak/>
        <w:t>Après avoir consulté le Pays et pris en considération les points de vue exprimés, l’Agence principale sélectionnera et chargera une organisation indépendante de réaliser la vérification de la destruction du HFC-23 créé par chaque chaîne de production de HCFC-22 concernée, conformément à l’alinéa 7 b) et à l’alinéa 1 b) de l’Appendice 2</w:t>
      </w:r>
      <w:r w:rsidRPr="007C6AC8">
        <w:rPr>
          <w:lang w:val="fr-CA"/>
        </w:rPr>
        <w:noBreakHyphen/>
        <w:t>A.</w:t>
      </w:r>
    </w:p>
    <w:bookmarkEnd w:id="1"/>
    <w:p w14:paraId="5CC15A2A" w14:textId="77777777" w:rsidR="0087239B" w:rsidRPr="007C6AC8" w:rsidRDefault="0087239B" w:rsidP="00315E8F">
      <w:pPr>
        <w:keepNext/>
        <w:keepLines/>
        <w:rPr>
          <w:b/>
          <w:lang w:val="fr-CA"/>
        </w:rPr>
      </w:pPr>
      <w:r w:rsidRPr="007C6AC8">
        <w:rPr>
          <w:b/>
          <w:lang w:val="fr-CA"/>
        </w:rPr>
        <w:t>APPENDICE 5-A: RÉDUCTIONS DU FINANCEMENT EN CAS DE NON</w:t>
      </w:r>
      <w:r w:rsidRPr="007C6AC8">
        <w:rPr>
          <w:b/>
          <w:lang w:val="fr-CA"/>
        </w:rPr>
        <w:noBreakHyphen/>
        <w:t>CONFORMITÉ</w:t>
      </w:r>
    </w:p>
    <w:p w14:paraId="00ACEF01" w14:textId="77777777" w:rsidR="0087239B" w:rsidRPr="007C6AC8" w:rsidRDefault="0087239B" w:rsidP="00315E8F">
      <w:pPr>
        <w:keepNext/>
        <w:keepLines/>
        <w:rPr>
          <w:lang w:val="fr-CA"/>
        </w:rPr>
      </w:pPr>
    </w:p>
    <w:p w14:paraId="0559A281" w14:textId="77777777" w:rsidR="0087239B" w:rsidRPr="007C6AC8" w:rsidRDefault="0087239B" w:rsidP="0087239B">
      <w:pPr>
        <w:pStyle w:val="Heading1"/>
        <w:keepNext/>
        <w:keepLines/>
        <w:numPr>
          <w:ilvl w:val="0"/>
          <w:numId w:val="40"/>
        </w:numPr>
        <w:rPr>
          <w:lang w:val="fr-CA"/>
        </w:rPr>
      </w:pPr>
      <w:r w:rsidRPr="007C6AC8">
        <w:rPr>
          <w:lang w:val="fr-CA"/>
        </w:rPr>
        <w:t>Conformément au paragraphe 13 de l’Accord, il pourra être déduit du montant du financement accordé un montant 9,84 $US par kilogramme d’émission de HFC-23 créé sur chaque chaîne de production de HCFC-22 dépassant la quantité précisée à la ligne 1.1 de l’Appendice 1-A pour chaque année de non-conformité à l’objectif précisé à la ligne 1.1 de l’Appendice 1-A, étant entendu que la réduction maximum du financement ne dépassera pas le niveau de financement de la tranche demandé. Des mesures supplémentaires pourront s’appliquer si la situation de non-conformité dure plus de deux années consécutives.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3"/>
        <w:gridCol w:w="1873"/>
      </w:tblGrid>
      <w:tr w:rsidR="00025F12" w:rsidRPr="00641C73" w14:paraId="2D4B2DD3" w14:textId="77777777" w:rsidTr="00C03032">
        <w:tc>
          <w:tcPr>
            <w:tcW w:w="1870" w:type="dxa"/>
          </w:tcPr>
          <w:p w14:paraId="2CCFDBC5" w14:textId="77777777" w:rsidR="00025F12" w:rsidRPr="0087239B" w:rsidRDefault="00025F12" w:rsidP="00C03032">
            <w:pPr>
              <w:rPr>
                <w:lang w:val="fr-CA"/>
              </w:rPr>
            </w:pPr>
          </w:p>
        </w:tc>
        <w:tc>
          <w:tcPr>
            <w:tcW w:w="1872" w:type="dxa"/>
          </w:tcPr>
          <w:p w14:paraId="3D2ED442" w14:textId="77777777" w:rsidR="00025F12" w:rsidRPr="0087239B" w:rsidRDefault="00025F12" w:rsidP="00C03032">
            <w:pPr>
              <w:rPr>
                <w:lang w:val="fr-CA"/>
              </w:rPr>
            </w:pPr>
          </w:p>
        </w:tc>
        <w:tc>
          <w:tcPr>
            <w:tcW w:w="1872" w:type="dxa"/>
            <w:tcBorders>
              <w:bottom w:val="single" w:sz="4" w:space="0" w:color="auto"/>
            </w:tcBorders>
          </w:tcPr>
          <w:p w14:paraId="4891AA96" w14:textId="77777777" w:rsidR="00025F12" w:rsidRPr="0087239B" w:rsidRDefault="00025F12" w:rsidP="00C03032">
            <w:pPr>
              <w:rPr>
                <w:lang w:val="fr-CA"/>
              </w:rPr>
            </w:pPr>
          </w:p>
        </w:tc>
        <w:tc>
          <w:tcPr>
            <w:tcW w:w="1873" w:type="dxa"/>
          </w:tcPr>
          <w:p w14:paraId="174A28B1" w14:textId="77777777" w:rsidR="00025F12" w:rsidRPr="0087239B" w:rsidRDefault="00025F12" w:rsidP="00C03032">
            <w:pPr>
              <w:rPr>
                <w:lang w:val="fr-CA"/>
              </w:rPr>
            </w:pPr>
          </w:p>
        </w:tc>
        <w:tc>
          <w:tcPr>
            <w:tcW w:w="1873" w:type="dxa"/>
          </w:tcPr>
          <w:p w14:paraId="1307CCDE" w14:textId="77777777" w:rsidR="00025F12" w:rsidRPr="0087239B" w:rsidRDefault="00025F12" w:rsidP="00C03032">
            <w:pPr>
              <w:rPr>
                <w:lang w:val="fr-CA"/>
              </w:rPr>
            </w:pPr>
          </w:p>
        </w:tc>
      </w:tr>
    </w:tbl>
    <w:p w14:paraId="3829D4F0" w14:textId="77777777" w:rsidR="00025F12" w:rsidRPr="0087239B" w:rsidRDefault="00025F12" w:rsidP="00025F12">
      <w:pPr>
        <w:rPr>
          <w:lang w:val="fr-CA"/>
        </w:rPr>
      </w:pPr>
    </w:p>
    <w:p w14:paraId="47FC10A2" w14:textId="77777777" w:rsidR="00E85409" w:rsidRPr="0087239B" w:rsidRDefault="00E85409" w:rsidP="00025F12">
      <w:pPr>
        <w:rPr>
          <w:lang w:val="fr-CA"/>
        </w:rPr>
      </w:pPr>
    </w:p>
    <w:sectPr w:rsidR="00E85409" w:rsidRPr="0087239B" w:rsidSect="00AD34EE">
      <w:headerReference w:type="default" r:id="rId27"/>
      <w:pgSz w:w="12240" w:h="15840" w:code="1"/>
      <w:pgMar w:top="864" w:right="1440" w:bottom="720"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28E916" w14:textId="77777777" w:rsidR="005D56F4" w:rsidRDefault="005D56F4" w:rsidP="004A504B">
      <w:r>
        <w:separator/>
      </w:r>
    </w:p>
  </w:endnote>
  <w:endnote w:type="continuationSeparator" w:id="0">
    <w:p w14:paraId="4FA37F70" w14:textId="77777777" w:rsidR="005D56F4" w:rsidRDefault="005D56F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0F91C" w14:textId="55DE21DA" w:rsidR="00025F12" w:rsidRPr="0033525D" w:rsidRDefault="00025F12">
    <w:pPr>
      <w:jc w:val="center"/>
    </w:pPr>
    <w:r>
      <w:fldChar w:fldCharType="begin"/>
    </w:r>
    <w:r>
      <w:instrText xml:space="preserve"> PAGE </w:instrText>
    </w:r>
    <w:r>
      <w:fldChar w:fldCharType="separate"/>
    </w:r>
    <w:r w:rsidR="00E71580">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78736" w14:textId="4667D5F1" w:rsidR="00025F12" w:rsidRPr="0033525D" w:rsidRDefault="00025F12">
    <w:pPr>
      <w:jc w:val="center"/>
    </w:pPr>
    <w:r>
      <w:fldChar w:fldCharType="begin"/>
    </w:r>
    <w:r>
      <w:instrText xml:space="preserve"> PAGE </w:instrText>
    </w:r>
    <w:r>
      <w:fldChar w:fldCharType="separate"/>
    </w:r>
    <w:r w:rsidR="00E71580">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BEA25" w14:textId="77777777" w:rsidR="00025F12" w:rsidRPr="005040DA" w:rsidRDefault="00025F12" w:rsidP="00025F12">
    <w:pPr>
      <w:pBdr>
        <w:top w:val="single" w:sz="4" w:space="1" w:color="auto"/>
        <w:left w:val="single" w:sz="4" w:space="4" w:color="auto"/>
        <w:bottom w:val="single" w:sz="4" w:space="1" w:color="auto"/>
        <w:right w:val="single" w:sz="4" w:space="4" w:color="auto"/>
      </w:pBdr>
      <w:jc w:val="center"/>
      <w:rPr>
        <w:sz w:val="18"/>
        <w:szCs w:val="18"/>
        <w:lang w:val="fr-CA"/>
      </w:rPr>
    </w:pPr>
    <w:r w:rsidRPr="005040DA">
      <w:rPr>
        <w:sz w:val="18"/>
        <w:szCs w:val="18"/>
        <w:lang w:val="fr-CA"/>
      </w:rPr>
      <w:t xml:space="preserve">Les documents de présession du Comité exécutif du Fonds multilatéral aux fins d’application du Protocole de </w:t>
    </w:r>
  </w:p>
  <w:p w14:paraId="78A3DBC5" w14:textId="3BFF2A1E" w:rsidR="00025F12" w:rsidRPr="005040DA" w:rsidRDefault="00025F12" w:rsidP="00025F12">
    <w:pPr>
      <w:pBdr>
        <w:top w:val="single" w:sz="4" w:space="1" w:color="auto"/>
        <w:left w:val="single" w:sz="4" w:space="4" w:color="auto"/>
        <w:bottom w:val="single" w:sz="4" w:space="1" w:color="auto"/>
        <w:right w:val="single" w:sz="4" w:space="4" w:color="auto"/>
      </w:pBdr>
      <w:jc w:val="center"/>
      <w:rPr>
        <w:sz w:val="18"/>
        <w:szCs w:val="18"/>
        <w:lang w:val="fr-CA"/>
      </w:rPr>
    </w:pPr>
    <w:r w:rsidRPr="005040DA">
      <w:rPr>
        <w:sz w:val="18"/>
        <w:szCs w:val="18"/>
        <w:lang w:val="fr-CA"/>
      </w:rPr>
      <w:t>Montréal sont présentés sous réserve des décisions pouvant être prises par le Comité exécutif après leur publication.</w:t>
    </w:r>
  </w:p>
  <w:p w14:paraId="41331200" w14:textId="77777777" w:rsidR="00025F12" w:rsidRPr="005040DA" w:rsidRDefault="00025F12"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33D8FC" w14:textId="3CA3FC17" w:rsidR="0087239B" w:rsidRPr="0033525D" w:rsidRDefault="0087239B">
    <w:pPr>
      <w:jc w:val="center"/>
    </w:pPr>
    <w:r>
      <w:fldChar w:fldCharType="begin"/>
    </w:r>
    <w:r>
      <w:instrText xml:space="preserve"> PAGE </w:instrText>
    </w:r>
    <w:r>
      <w:fldChar w:fldCharType="separate"/>
    </w:r>
    <w:r w:rsidR="00E71580">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F63B9" w14:textId="0C359905" w:rsidR="0087239B" w:rsidRPr="0033525D" w:rsidRDefault="0087239B">
    <w:pPr>
      <w:jc w:val="center"/>
    </w:pPr>
    <w:r>
      <w:fldChar w:fldCharType="begin"/>
    </w:r>
    <w:r>
      <w:instrText xml:space="preserve"> PAGE </w:instrText>
    </w:r>
    <w:r>
      <w:fldChar w:fldCharType="separate"/>
    </w:r>
    <w:r w:rsidR="00E71580">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6240431"/>
      <w:docPartObj>
        <w:docPartGallery w:val="Page Numbers (Bottom of Page)"/>
        <w:docPartUnique/>
      </w:docPartObj>
    </w:sdtPr>
    <w:sdtEndPr>
      <w:rPr>
        <w:noProof/>
      </w:rPr>
    </w:sdtEndPr>
    <w:sdtContent>
      <w:p w14:paraId="547F26DD" w14:textId="18A245D8" w:rsidR="0087239B" w:rsidRDefault="0087239B">
        <w:pPr>
          <w:pStyle w:val="Footer"/>
          <w:jc w:val="center"/>
        </w:pPr>
        <w:r>
          <w:fldChar w:fldCharType="begin"/>
        </w:r>
        <w:r>
          <w:instrText xml:space="preserve"> PAGE   \* MERGEFORMAT </w:instrText>
        </w:r>
        <w:r>
          <w:fldChar w:fldCharType="separate"/>
        </w:r>
        <w:r w:rsidR="00E71580">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100DD0" w14:textId="77777777" w:rsidR="005D56F4" w:rsidRDefault="005D56F4" w:rsidP="004A504B">
      <w:r>
        <w:separator/>
      </w:r>
    </w:p>
  </w:footnote>
  <w:footnote w:type="continuationSeparator" w:id="0">
    <w:p w14:paraId="38795BBA" w14:textId="77777777" w:rsidR="005D56F4" w:rsidRDefault="005D56F4" w:rsidP="004A504B">
      <w:r>
        <w:continuationSeparator/>
      </w:r>
    </w:p>
  </w:footnote>
  <w:footnote w:id="1">
    <w:p w14:paraId="7E4F64A7" w14:textId="24EBB2F2" w:rsidR="00025F12" w:rsidRPr="00F51415" w:rsidRDefault="00025F12" w:rsidP="00025F12">
      <w:pPr>
        <w:pStyle w:val="FootnoteText"/>
        <w:rPr>
          <w:lang w:val="fr-FR"/>
        </w:rPr>
      </w:pPr>
      <w:r w:rsidRPr="00F51415">
        <w:rPr>
          <w:rStyle w:val="FootnoteReference"/>
          <w:lang w:val="fr-FR"/>
        </w:rPr>
        <w:footnoteRef/>
      </w:r>
      <w:r w:rsidRPr="00F51415">
        <w:rPr>
          <w:lang w:val="fr-FR"/>
        </w:rPr>
        <w:t xml:space="preserve"> Des réunions en ligne et un processus d’approbation intersessions se tiendront en juin et juillet 2021 à cause du coronavirus (COVID-19)</w:t>
      </w:r>
    </w:p>
  </w:footnote>
  <w:footnote w:id="2">
    <w:p w14:paraId="2FCFBF49" w14:textId="77777777" w:rsidR="00662292" w:rsidRPr="00F51415" w:rsidRDefault="00662292" w:rsidP="00662292">
      <w:pPr>
        <w:pStyle w:val="FootnoteText"/>
        <w:rPr>
          <w:lang w:val="fr-FR"/>
        </w:rPr>
      </w:pPr>
      <w:r w:rsidRPr="00F51415">
        <w:rPr>
          <w:rStyle w:val="FootnoteReference"/>
          <w:lang w:val="fr-FR"/>
        </w:rPr>
        <w:footnoteRef/>
      </w:r>
      <w:r w:rsidRPr="00F51415">
        <w:rPr>
          <w:lang w:val="fr-FR"/>
        </w:rPr>
        <w:t xml:space="preserve"> UNEP/OzL.Pro/ExCom/84/72.</w:t>
      </w:r>
    </w:p>
  </w:footnote>
  <w:footnote w:id="3">
    <w:p w14:paraId="6813DB14" w14:textId="11CBBE82" w:rsidR="00662292" w:rsidRDefault="00662292" w:rsidP="00662292">
      <w:pPr>
        <w:pStyle w:val="FootnoteText"/>
        <w:rPr>
          <w:lang w:val="fr-FR"/>
        </w:rPr>
      </w:pPr>
      <w:r w:rsidRPr="00F51415">
        <w:rPr>
          <w:rStyle w:val="FootnoteReference"/>
          <w:lang w:val="fr-FR"/>
        </w:rPr>
        <w:footnoteRef/>
      </w:r>
      <w:r w:rsidRPr="00F51415">
        <w:rPr>
          <w:lang w:val="fr-FR"/>
        </w:rPr>
        <w:t xml:space="preserve"> En raison de la pandémie de COVID-19, le Comité exécutif a convenu de reporter sa 85ème réunion, initialement prévue du 25 au 29 mai 2020, et de la tenir dos à dos avec la 86ème réunion en novembre 2020. Afin d'assurer la continuité des activités liées à la conformité dans les pays visés à l'article 5, et de réduire sa charge de travail lors de la convocation, le Comité exécutif a décidé de mettre en œuvre un processus d'approbation intersession pour les projets et les activités qui devaient être soumis à la 85ème réunion ; les points de l'ordre du jour qui ne seraient pas examinés entre les sessions seraient inclus dans l'ordre du jour de la 86ème réunion. Compte tenu de l'évolution de la pandémie, le Comité exécutif a en outre reporté les deux réunions à mars 2021.</w:t>
      </w:r>
    </w:p>
    <w:p w14:paraId="50582DA9" w14:textId="77777777" w:rsidR="00641C73" w:rsidRPr="00F51415" w:rsidRDefault="00641C73" w:rsidP="00662292">
      <w:pPr>
        <w:pStyle w:val="FootnoteText"/>
        <w:rPr>
          <w:lang w:val="fr-FR"/>
        </w:rPr>
      </w:pPr>
    </w:p>
  </w:footnote>
  <w:footnote w:id="4">
    <w:p w14:paraId="478878A3" w14:textId="2B0B572B" w:rsidR="00A50522" w:rsidRPr="00F51415" w:rsidRDefault="00A50522" w:rsidP="00A50522">
      <w:pPr>
        <w:pStyle w:val="FootnoteText"/>
        <w:rPr>
          <w:lang w:val="fr-FR"/>
        </w:rPr>
      </w:pPr>
      <w:r w:rsidRPr="00F51415">
        <w:rPr>
          <w:rStyle w:val="FootnoteReference"/>
          <w:lang w:val="fr-FR"/>
        </w:rPr>
        <w:footnoteRef/>
      </w:r>
      <w:r w:rsidRPr="00F51415">
        <w:rPr>
          <w:lang w:val="fr-FR"/>
        </w:rPr>
        <w:t xml:space="preserve"> </w:t>
      </w:r>
      <w:r w:rsidR="00620401" w:rsidRPr="00F51415">
        <w:rPr>
          <w:lang w:val="fr-FR"/>
        </w:rPr>
        <w:t>Comme indiqué dans le tableau 6 et la note de bas de page 5 du document UNEP/OzL.Pro/ExCom/85/65, le taux de génération du flux de déchets de HFC-23 de Quimobásicos est de 1,851 % ; ce flux de déchets est composé de 85 % de HFC-23, et de 15 % de produits non condensables et de HCFC-22, ce qui donne un taux de génération de sous-produits de HFC-23 (pur) de 1,571 %.</w:t>
      </w:r>
      <w:r w:rsidRPr="00F51415">
        <w:rPr>
          <w:lang w:val="fr-FR"/>
        </w:rPr>
        <w:t>.</w:t>
      </w:r>
    </w:p>
  </w:footnote>
  <w:footnote w:id="5">
    <w:p w14:paraId="51796AC4" w14:textId="272A741A" w:rsidR="00A50522" w:rsidRPr="00F51415" w:rsidRDefault="00A50522" w:rsidP="00A50522">
      <w:pPr>
        <w:pStyle w:val="FootnoteText"/>
        <w:rPr>
          <w:lang w:val="fr-FR"/>
        </w:rPr>
      </w:pPr>
      <w:r w:rsidRPr="00F51415">
        <w:rPr>
          <w:rStyle w:val="FootnoteReference"/>
          <w:lang w:val="fr-FR"/>
        </w:rPr>
        <w:footnoteRef/>
      </w:r>
      <w:r w:rsidRPr="00F51415">
        <w:rPr>
          <w:lang w:val="fr-FR"/>
        </w:rPr>
        <w:t xml:space="preserve"> </w:t>
      </w:r>
      <w:r w:rsidR="00620401" w:rsidRPr="00F51415">
        <w:rPr>
          <w:lang w:val="fr-FR"/>
        </w:rPr>
        <w:t>Les coûts ont été calculés sur la base d'une destruction commençant le 1er janvier 2022.</w:t>
      </w:r>
      <w:r w:rsidRPr="00F51415">
        <w:rPr>
          <w:lang w:val="fr-FR"/>
        </w:rPr>
        <w:t>.</w:t>
      </w:r>
    </w:p>
  </w:footnote>
  <w:footnote w:id="6">
    <w:p w14:paraId="42C57889" w14:textId="3FE82191" w:rsidR="00A50522" w:rsidRPr="00F51415" w:rsidRDefault="00A50522" w:rsidP="00A50522">
      <w:pPr>
        <w:pStyle w:val="FootnoteText"/>
        <w:rPr>
          <w:lang w:val="fr-FR"/>
        </w:rPr>
      </w:pPr>
      <w:r w:rsidRPr="00F51415">
        <w:rPr>
          <w:rStyle w:val="FootnoteReference"/>
          <w:lang w:val="fr-FR"/>
        </w:rPr>
        <w:footnoteRef/>
      </w:r>
      <w:r w:rsidRPr="00F51415">
        <w:rPr>
          <w:lang w:val="fr-FR"/>
        </w:rPr>
        <w:t xml:space="preserve"> </w:t>
      </w:r>
      <w:r w:rsidR="00620401" w:rsidRPr="00F51415">
        <w:rPr>
          <w:lang w:val="fr-FR"/>
        </w:rPr>
        <w:t>Paragraphe 316 du document UNEP/OzL.Pro/ExCom/82/72</w:t>
      </w:r>
      <w:r w:rsidRPr="00F51415">
        <w:rPr>
          <w:lang w:val="fr-FR"/>
        </w:rPr>
        <w:t>.</w:t>
      </w:r>
    </w:p>
  </w:footnote>
  <w:footnote w:id="7">
    <w:p w14:paraId="57060730" w14:textId="27A36383" w:rsidR="00A50522" w:rsidRPr="00F51415" w:rsidRDefault="00A50522" w:rsidP="00A50522">
      <w:pPr>
        <w:pStyle w:val="FootnoteText"/>
        <w:rPr>
          <w:lang w:val="fr-FR"/>
        </w:rPr>
      </w:pPr>
      <w:r w:rsidRPr="00F51415">
        <w:rPr>
          <w:rStyle w:val="FootnoteReference"/>
          <w:lang w:val="fr-FR"/>
        </w:rPr>
        <w:footnoteRef/>
      </w:r>
      <w:r w:rsidRPr="00F51415">
        <w:rPr>
          <w:lang w:val="fr-FR"/>
        </w:rPr>
        <w:t xml:space="preserve"> </w:t>
      </w:r>
      <w:r w:rsidR="00620401" w:rsidRPr="00F51415">
        <w:rPr>
          <w:lang w:val="fr-FR"/>
        </w:rPr>
        <w:t>La production de HCFC-22 de Quimobásicos pour 2020 était inférieure de 74 % à la production moyenne de 2017-2019</w:t>
      </w:r>
      <w:r w:rsidRPr="00F51415">
        <w:rPr>
          <w:lang w:val="fr-FR"/>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16436" w14:textId="77777777" w:rsidR="00025F12" w:rsidRPr="0033525D" w:rsidRDefault="00BF4C36">
    <w:fldSimple w:instr=" DOCPROPERTY &quot;Document number&quot;  \* MERGEFORMAT ">
      <w:r w:rsidR="00025F12">
        <w:t>UNEP/OzL.Pro/ExCom/87/54</w:t>
      </w:r>
    </w:fldSimple>
  </w:p>
  <w:p w14:paraId="196E4C21" w14:textId="77777777" w:rsidR="00025F12" w:rsidRPr="0033525D" w:rsidRDefault="00025F12"/>
  <w:p w14:paraId="376B3FAB" w14:textId="77777777" w:rsidR="00025F12" w:rsidRPr="0033525D" w:rsidRDefault="00025F1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EE0EE" w14:textId="77777777" w:rsidR="00025F12" w:rsidRPr="0033525D" w:rsidRDefault="00BF4C36">
    <w:pPr>
      <w:jc w:val="right"/>
    </w:pPr>
    <w:fldSimple w:instr=" DOCPROPERTY &quot;Document number&quot;  \* MERGEFORMAT ">
      <w:r w:rsidR="00025F12">
        <w:t>UNEP/OzL.Pro/ExCom/87/54</w:t>
      </w:r>
    </w:fldSimple>
  </w:p>
  <w:p w14:paraId="7057F60E" w14:textId="77777777" w:rsidR="00025F12" w:rsidRPr="0033525D" w:rsidRDefault="00025F12"/>
  <w:p w14:paraId="798770FE" w14:textId="77777777" w:rsidR="00025F12" w:rsidRPr="0033525D" w:rsidRDefault="00025F1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BD7A0" w14:textId="77777777" w:rsidR="0087239B" w:rsidRPr="0033525D" w:rsidRDefault="0087239B">
    <w:fldSimple w:instr=" DOCPROPERTY &quot;Document number&quot;  \* MERGEFORMAT ">
      <w:r>
        <w:t>UNEP/OzL.Pro/ExCom/87/54</w:t>
      </w:r>
    </w:fldSimple>
  </w:p>
  <w:p w14:paraId="734BF344" w14:textId="77777777" w:rsidR="0087239B" w:rsidRDefault="0087239B">
    <w:r>
      <w:t>Annexe I</w:t>
    </w:r>
  </w:p>
  <w:p w14:paraId="43C065FF" w14:textId="77777777" w:rsidR="0087239B" w:rsidRPr="0033525D" w:rsidRDefault="0087239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41E2A" w14:textId="77777777" w:rsidR="0087239B" w:rsidRPr="0033525D" w:rsidRDefault="0087239B">
    <w:pPr>
      <w:jc w:val="right"/>
    </w:pPr>
    <w:fldSimple w:instr=" DOCPROPERTY &quot;Document number&quot;  \* MERGEFORMAT ">
      <w:r>
        <w:t>UNEP/OzL.Pro/ExCom/87/54</w:t>
      </w:r>
    </w:fldSimple>
  </w:p>
  <w:p w14:paraId="2695F2AC" w14:textId="77777777" w:rsidR="0087239B" w:rsidRDefault="0087239B" w:rsidP="002737E8">
    <w:pPr>
      <w:jc w:val="right"/>
    </w:pPr>
    <w:r>
      <w:t>Annexe I</w:t>
    </w:r>
  </w:p>
  <w:p w14:paraId="618B79EA" w14:textId="77777777" w:rsidR="0087239B" w:rsidRPr="0033525D" w:rsidRDefault="0087239B">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C026B" w14:textId="77777777" w:rsidR="0087239B" w:rsidRDefault="0087239B" w:rsidP="002737E8">
    <w:pPr>
      <w:pStyle w:val="Header"/>
      <w:jc w:val="right"/>
    </w:pPr>
    <w:fldSimple w:instr=" DOCPROPERTY &quot;Document number&quot;  \* MERGEFORMAT ">
      <w:r>
        <w:t>UNEP/OzL.Pro/ExCom/87/54</w:t>
      </w:r>
    </w:fldSimple>
  </w:p>
  <w:p w14:paraId="2B758542" w14:textId="77777777" w:rsidR="0087239B" w:rsidRDefault="0087239B" w:rsidP="002737E8">
    <w:pPr>
      <w:pStyle w:val="Header"/>
      <w:jc w:val="right"/>
    </w:pPr>
    <w:r>
      <w:t>Annexe I</w:t>
    </w:r>
  </w:p>
  <w:p w14:paraId="6F917DFE" w14:textId="77777777" w:rsidR="0087239B" w:rsidRDefault="0087239B" w:rsidP="002737E8">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8AF90" w14:textId="77777777" w:rsidR="0087239B" w:rsidRPr="0033525D" w:rsidRDefault="0087239B" w:rsidP="001B261F">
    <w:pPr>
      <w:jc w:val="right"/>
    </w:pPr>
    <w:fldSimple w:instr=" DOCPROPERTY &quot;Document number&quot;  \* MERGEFORMAT ">
      <w:r>
        <w:t>UNEP/OzL.Pro/ExCom/87/54</w:t>
      </w:r>
    </w:fldSimple>
  </w:p>
  <w:p w14:paraId="7414159B" w14:textId="77777777" w:rsidR="0087239B" w:rsidRPr="0033525D" w:rsidRDefault="0087239B" w:rsidP="001B261F">
    <w:pPr>
      <w:jc w:val="right"/>
    </w:pPr>
    <w:r>
      <w:t>Annexe I</w:t>
    </w:r>
  </w:p>
  <w:p w14:paraId="418DC389" w14:textId="77777777" w:rsidR="0087239B" w:rsidRDefault="0087239B" w:rsidP="001B261F">
    <w:pPr>
      <w:jc w:val="right"/>
    </w:pPr>
  </w:p>
  <w:p w14:paraId="76932BB8" w14:textId="77777777" w:rsidR="0087239B" w:rsidRPr="0033525D" w:rsidRDefault="0087239B" w:rsidP="001B261F">
    <w:pP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C0650" w14:textId="77777777" w:rsidR="0087239B" w:rsidRPr="0033525D" w:rsidRDefault="0087239B" w:rsidP="00AD34EE">
    <w:pPr>
      <w:jc w:val="right"/>
    </w:pPr>
    <w:fldSimple w:instr=" DOCPROPERTY &quot;Document number&quot;  \* MERGEFORMAT ">
      <w:r>
        <w:t>UNEP/OzL.Pro/ExCom/76/66</w:t>
      </w:r>
    </w:fldSimple>
  </w:p>
  <w:p w14:paraId="6C9B1383" w14:textId="77777777" w:rsidR="0087239B" w:rsidRDefault="0087239B" w:rsidP="00AD34EE">
    <w:pPr>
      <w:jc w:val="right"/>
    </w:pPr>
    <w:r>
      <w:t>Annex I</w:t>
    </w:r>
  </w:p>
  <w:p w14:paraId="14486A60" w14:textId="77777777" w:rsidR="0087239B" w:rsidRPr="0033525D" w:rsidRDefault="0087239B" w:rsidP="00963F7D">
    <w:pPr>
      <w:jc w:val="left"/>
    </w:pPr>
  </w:p>
  <w:p w14:paraId="39259A00" w14:textId="77777777" w:rsidR="0087239B" w:rsidRPr="0033525D" w:rsidRDefault="0087239B" w:rsidP="00963F7D">
    <w:pPr>
      <w:pStyle w:val="Header"/>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6B722" w14:textId="77777777" w:rsidR="0087239B" w:rsidRDefault="0087239B" w:rsidP="001B261F">
    <w:pPr>
      <w:pStyle w:val="Header"/>
      <w:jc w:val="left"/>
    </w:pPr>
    <w:fldSimple w:instr=" DOCPROPERTY &quot;Document number&quot;  \* MERGEFORMAT ">
      <w:r>
        <w:t>UNEP/OzL.Pro/ExCom/76/66</w:t>
      </w:r>
    </w:fldSimple>
  </w:p>
  <w:p w14:paraId="65AC69E4" w14:textId="77777777" w:rsidR="0087239B" w:rsidRDefault="0087239B" w:rsidP="001B261F">
    <w:pPr>
      <w:pStyle w:val="Header"/>
      <w:jc w:val="left"/>
    </w:pPr>
    <w:r>
      <w:t>Annex I</w:t>
    </w:r>
  </w:p>
  <w:p w14:paraId="2267482A" w14:textId="77777777" w:rsidR="0087239B" w:rsidRDefault="0087239B" w:rsidP="001B261F">
    <w:pPr>
      <w:pStyle w:val="Header"/>
      <w:jc w:val="left"/>
    </w:pPr>
  </w:p>
  <w:p w14:paraId="6F484228" w14:textId="77777777" w:rsidR="0087239B" w:rsidRDefault="0087239B" w:rsidP="001B261F">
    <w:pPr>
      <w:pStyle w:val="Header"/>
      <w:jc w:val="lef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92CBE" w14:textId="3300C274" w:rsidR="003205E3" w:rsidRPr="0033525D" w:rsidRDefault="00E25522" w:rsidP="00AD34EE">
    <w:pPr>
      <w:jc w:val="left"/>
    </w:pPr>
    <w:fldSimple w:instr=" DOCPROPERTY &quot;Document number&quot;  \* MERGEFORMAT ">
      <w:r w:rsidR="00696776">
        <w:t>UNEP/OzL.Pro/ExCom/87/54</w:t>
      </w:r>
    </w:fldSimple>
  </w:p>
  <w:p w14:paraId="07762668" w14:textId="45C384FB" w:rsidR="003205E3" w:rsidRPr="0033525D" w:rsidRDefault="003205E3" w:rsidP="00AD34EE">
    <w:pPr>
      <w:jc w:val="left"/>
    </w:pPr>
    <w:r>
      <w:t>Annex</w:t>
    </w:r>
    <w:r w:rsidR="0087239B">
      <w:t>e</w:t>
    </w:r>
    <w:r>
      <w:t xml:space="preserve"> I</w:t>
    </w:r>
  </w:p>
  <w:p w14:paraId="154D4470" w14:textId="77777777" w:rsidR="003205E3" w:rsidRPr="0033525D" w:rsidRDefault="003205E3" w:rsidP="00AD34EE">
    <w:pPr>
      <w:pStyle w:val="Header"/>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DEE31E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02C156D6"/>
    <w:multiLevelType w:val="multilevel"/>
    <w:tmpl w:val="2BFA86B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15:restartNumberingAfterBreak="0">
    <w:nsid w:val="037E2EBC"/>
    <w:multiLevelType w:val="multilevel"/>
    <w:tmpl w:val="608A0B3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0CA7078B"/>
    <w:multiLevelType w:val="multilevel"/>
    <w:tmpl w:val="CA025B2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 w15:restartNumberingAfterBreak="0">
    <w:nsid w:val="15BD277F"/>
    <w:multiLevelType w:val="multilevel"/>
    <w:tmpl w:val="ADEE31E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1A210E3F"/>
    <w:multiLevelType w:val="multilevel"/>
    <w:tmpl w:val="C9A4199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1C8B4145"/>
    <w:multiLevelType w:val="multilevel"/>
    <w:tmpl w:val="ADEE31E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225D0C26"/>
    <w:multiLevelType w:val="multilevel"/>
    <w:tmpl w:val="6EB6B34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CFA3A5F"/>
    <w:multiLevelType w:val="multilevel"/>
    <w:tmpl w:val="ADEE31E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31636BC0"/>
    <w:multiLevelType w:val="multilevel"/>
    <w:tmpl w:val="ADEE31E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327F5E7A"/>
    <w:multiLevelType w:val="multilevel"/>
    <w:tmpl w:val="3072D1F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347F2BF1"/>
    <w:multiLevelType w:val="multilevel"/>
    <w:tmpl w:val="8DEE89F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379B7818"/>
    <w:multiLevelType w:val="multilevel"/>
    <w:tmpl w:val="CAB6315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465605F2"/>
    <w:multiLevelType w:val="multilevel"/>
    <w:tmpl w:val="F52EA9E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080" w:hanging="360"/>
      </w:pPr>
      <w:rPr>
        <w:rFonts w:hint="default"/>
      </w:r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6" w15:restartNumberingAfterBreak="0">
    <w:nsid w:val="49296C07"/>
    <w:multiLevelType w:val="multilevel"/>
    <w:tmpl w:val="9842A42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4931205E"/>
    <w:multiLevelType w:val="multilevel"/>
    <w:tmpl w:val="932EE6FA"/>
    <w:lvl w:ilvl="0">
      <w:start w:val="1"/>
      <w:numFmt w:val="decimal"/>
      <w:lvlText w:val="%1."/>
      <w:lvlJc w:val="left"/>
      <w:pPr>
        <w:tabs>
          <w:tab w:val="num" w:pos="0"/>
        </w:tabs>
        <w:ind w:left="0" w:firstLine="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4B180BC1"/>
    <w:multiLevelType w:val="multilevel"/>
    <w:tmpl w:val="CDC0B43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B5B7099"/>
    <w:multiLevelType w:val="multilevel"/>
    <w:tmpl w:val="77384476"/>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62691550"/>
    <w:multiLevelType w:val="multilevel"/>
    <w:tmpl w:val="3E50FE3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62937B63"/>
    <w:multiLevelType w:val="multilevel"/>
    <w:tmpl w:val="8840778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67D070A3"/>
    <w:multiLevelType w:val="multilevel"/>
    <w:tmpl w:val="121AF5D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5" w15:restartNumberingAfterBreak="0">
    <w:nsid w:val="6B2E0B2D"/>
    <w:multiLevelType w:val="hybridMultilevel"/>
    <w:tmpl w:val="7C401A4C"/>
    <w:lvl w:ilvl="0" w:tplc="D5DAC1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F4C15DD"/>
    <w:multiLevelType w:val="multilevel"/>
    <w:tmpl w:val="ADEE31E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15:restartNumberingAfterBreak="0">
    <w:nsid w:val="755807B3"/>
    <w:multiLevelType w:val="multilevel"/>
    <w:tmpl w:val="AED6EDA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8"/>
  </w:num>
  <w:num w:numId="3">
    <w:abstractNumId w:val="19"/>
  </w:num>
  <w:num w:numId="4">
    <w:abstractNumId w:val="20"/>
  </w:num>
  <w:num w:numId="5">
    <w:abstractNumId w:val="28"/>
  </w:num>
  <w:num w:numId="6">
    <w:abstractNumId w:val="11"/>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
  </w:num>
  <w:num w:numId="19">
    <w:abstractNumId w:val="18"/>
  </w:num>
  <w:num w:numId="20">
    <w:abstractNumId w:val="2"/>
  </w:num>
  <w:num w:numId="21">
    <w:abstractNumId w:val="7"/>
  </w:num>
  <w:num w:numId="22">
    <w:abstractNumId w:val="23"/>
  </w:num>
  <w:num w:numId="23">
    <w:abstractNumId w:val="13"/>
  </w:num>
  <w:num w:numId="24">
    <w:abstractNumId w:val="3"/>
  </w:num>
  <w:num w:numId="25">
    <w:abstractNumId w:val="5"/>
  </w:num>
  <w:num w:numId="26">
    <w:abstractNumId w:val="1"/>
  </w:num>
  <w:num w:numId="27">
    <w:abstractNumId w:val="21"/>
  </w:num>
  <w:num w:numId="28">
    <w:abstractNumId w:val="12"/>
  </w:num>
  <w:num w:numId="29">
    <w:abstractNumId w:val="14"/>
  </w:num>
  <w:num w:numId="30">
    <w:abstractNumId w:val="16"/>
  </w:num>
  <w:num w:numId="31">
    <w:abstractNumId w:val="24"/>
  </w:num>
  <w:num w:numId="32">
    <w:abstractNumId w:val="15"/>
  </w:num>
  <w:num w:numId="33">
    <w:abstractNumId w:val="15"/>
  </w:num>
  <w:num w:numId="34">
    <w:abstractNumId w:val="25"/>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num>
  <w:num w:numId="37">
    <w:abstractNumId w:val="22"/>
  </w:num>
  <w:num w:numId="38">
    <w:abstractNumId w:val="17"/>
  </w:num>
  <w:num w:numId="39">
    <w:abstractNumId w:val="0"/>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num>
  <w:num w:numId="41">
    <w:abstractNumId w:val="26"/>
  </w:num>
  <w:num w:numId="42">
    <w:abstractNumId w:val="9"/>
  </w:num>
  <w:num w:numId="43">
    <w:abstractNumId w:val="15"/>
  </w:num>
  <w:num w:numId="44">
    <w:abstractNumId w:val="1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2"/>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449"/>
    <w:rsid w:val="00000FED"/>
    <w:rsid w:val="00001884"/>
    <w:rsid w:val="0000434E"/>
    <w:rsid w:val="0001346A"/>
    <w:rsid w:val="00013470"/>
    <w:rsid w:val="000211A9"/>
    <w:rsid w:val="00025EDD"/>
    <w:rsid w:val="00025F12"/>
    <w:rsid w:val="00031260"/>
    <w:rsid w:val="0003681A"/>
    <w:rsid w:val="00036E47"/>
    <w:rsid w:val="000400FE"/>
    <w:rsid w:val="0005028E"/>
    <w:rsid w:val="00050BE6"/>
    <w:rsid w:val="00061EC2"/>
    <w:rsid w:val="000776A0"/>
    <w:rsid w:val="00080ED0"/>
    <w:rsid w:val="00085B8F"/>
    <w:rsid w:val="00087544"/>
    <w:rsid w:val="00090481"/>
    <w:rsid w:val="000911B1"/>
    <w:rsid w:val="00091D53"/>
    <w:rsid w:val="00097C4B"/>
    <w:rsid w:val="000A453F"/>
    <w:rsid w:val="000A6C26"/>
    <w:rsid w:val="000B29FC"/>
    <w:rsid w:val="000C0A58"/>
    <w:rsid w:val="000C5A42"/>
    <w:rsid w:val="000D0379"/>
    <w:rsid w:val="000D0BA2"/>
    <w:rsid w:val="000D1DEE"/>
    <w:rsid w:val="000D6142"/>
    <w:rsid w:val="000E07BC"/>
    <w:rsid w:val="000E7CB8"/>
    <w:rsid w:val="000F1CD4"/>
    <w:rsid w:val="000F1FBC"/>
    <w:rsid w:val="000F4103"/>
    <w:rsid w:val="000F70A7"/>
    <w:rsid w:val="00101BC7"/>
    <w:rsid w:val="00110CEB"/>
    <w:rsid w:val="0012040E"/>
    <w:rsid w:val="00126555"/>
    <w:rsid w:val="001275A1"/>
    <w:rsid w:val="001348B9"/>
    <w:rsid w:val="00135980"/>
    <w:rsid w:val="00135FA9"/>
    <w:rsid w:val="00141F56"/>
    <w:rsid w:val="001429C2"/>
    <w:rsid w:val="00144956"/>
    <w:rsid w:val="00145656"/>
    <w:rsid w:val="00151483"/>
    <w:rsid w:val="001574ED"/>
    <w:rsid w:val="00164719"/>
    <w:rsid w:val="001654FD"/>
    <w:rsid w:val="00166FC4"/>
    <w:rsid w:val="00167365"/>
    <w:rsid w:val="001677AC"/>
    <w:rsid w:val="00177D4B"/>
    <w:rsid w:val="001804EA"/>
    <w:rsid w:val="00180E88"/>
    <w:rsid w:val="001811BB"/>
    <w:rsid w:val="00190A61"/>
    <w:rsid w:val="001913F4"/>
    <w:rsid w:val="00193EDC"/>
    <w:rsid w:val="00194C1D"/>
    <w:rsid w:val="001A113D"/>
    <w:rsid w:val="001A3342"/>
    <w:rsid w:val="001A3E3D"/>
    <w:rsid w:val="001A7049"/>
    <w:rsid w:val="001B1086"/>
    <w:rsid w:val="001B1E40"/>
    <w:rsid w:val="001B5123"/>
    <w:rsid w:val="001C1CA5"/>
    <w:rsid w:val="001C5D42"/>
    <w:rsid w:val="001C5FAE"/>
    <w:rsid w:val="001C764E"/>
    <w:rsid w:val="001C7C4C"/>
    <w:rsid w:val="001D26B7"/>
    <w:rsid w:val="001E1052"/>
    <w:rsid w:val="001E21B1"/>
    <w:rsid w:val="001E2F93"/>
    <w:rsid w:val="001E37C3"/>
    <w:rsid w:val="001E61E5"/>
    <w:rsid w:val="001F2159"/>
    <w:rsid w:val="00213F7D"/>
    <w:rsid w:val="00214863"/>
    <w:rsid w:val="002156B4"/>
    <w:rsid w:val="002218BE"/>
    <w:rsid w:val="002300A1"/>
    <w:rsid w:val="0023548E"/>
    <w:rsid w:val="0024469D"/>
    <w:rsid w:val="00246FB2"/>
    <w:rsid w:val="00247CF9"/>
    <w:rsid w:val="002516D7"/>
    <w:rsid w:val="00253222"/>
    <w:rsid w:val="00262847"/>
    <w:rsid w:val="00266163"/>
    <w:rsid w:val="002663F3"/>
    <w:rsid w:val="002670A6"/>
    <w:rsid w:val="00281BB2"/>
    <w:rsid w:val="002906FB"/>
    <w:rsid w:val="00295B3E"/>
    <w:rsid w:val="002961D6"/>
    <w:rsid w:val="002A6613"/>
    <w:rsid w:val="002B72E9"/>
    <w:rsid w:val="002C301F"/>
    <w:rsid w:val="002C7998"/>
    <w:rsid w:val="002E02A4"/>
    <w:rsid w:val="002E14A4"/>
    <w:rsid w:val="002F1E53"/>
    <w:rsid w:val="002F2CAA"/>
    <w:rsid w:val="002F39CC"/>
    <w:rsid w:val="002F5052"/>
    <w:rsid w:val="002F6ADE"/>
    <w:rsid w:val="002F7D49"/>
    <w:rsid w:val="00311E0E"/>
    <w:rsid w:val="00317172"/>
    <w:rsid w:val="003202DA"/>
    <w:rsid w:val="003205E3"/>
    <w:rsid w:val="003276C2"/>
    <w:rsid w:val="003306E1"/>
    <w:rsid w:val="00331863"/>
    <w:rsid w:val="003320E4"/>
    <w:rsid w:val="0033525D"/>
    <w:rsid w:val="00340922"/>
    <w:rsid w:val="00340CC1"/>
    <w:rsid w:val="003414F3"/>
    <w:rsid w:val="0034531F"/>
    <w:rsid w:val="00346928"/>
    <w:rsid w:val="003532DF"/>
    <w:rsid w:val="00353C69"/>
    <w:rsid w:val="0035613E"/>
    <w:rsid w:val="003630C4"/>
    <w:rsid w:val="00363B0D"/>
    <w:rsid w:val="00363EE9"/>
    <w:rsid w:val="00374A84"/>
    <w:rsid w:val="00376128"/>
    <w:rsid w:val="003764E7"/>
    <w:rsid w:val="0037742E"/>
    <w:rsid w:val="00380A7D"/>
    <w:rsid w:val="0038245A"/>
    <w:rsid w:val="003860A2"/>
    <w:rsid w:val="003864C4"/>
    <w:rsid w:val="0039337A"/>
    <w:rsid w:val="00394989"/>
    <w:rsid w:val="00394C56"/>
    <w:rsid w:val="003A3189"/>
    <w:rsid w:val="003A4813"/>
    <w:rsid w:val="003B1C26"/>
    <w:rsid w:val="003B569D"/>
    <w:rsid w:val="003C174F"/>
    <w:rsid w:val="003C3C0E"/>
    <w:rsid w:val="003C7A13"/>
    <w:rsid w:val="003D1EA3"/>
    <w:rsid w:val="003D2192"/>
    <w:rsid w:val="003D2346"/>
    <w:rsid w:val="003D4FAC"/>
    <w:rsid w:val="003E0F59"/>
    <w:rsid w:val="003E15F8"/>
    <w:rsid w:val="003E7906"/>
    <w:rsid w:val="003F1A80"/>
    <w:rsid w:val="003F3C50"/>
    <w:rsid w:val="003F6875"/>
    <w:rsid w:val="00403D18"/>
    <w:rsid w:val="00406A6A"/>
    <w:rsid w:val="00406B22"/>
    <w:rsid w:val="00410B9F"/>
    <w:rsid w:val="00424760"/>
    <w:rsid w:val="0042535C"/>
    <w:rsid w:val="004328A7"/>
    <w:rsid w:val="0043372A"/>
    <w:rsid w:val="00434C74"/>
    <w:rsid w:val="00446E52"/>
    <w:rsid w:val="00451736"/>
    <w:rsid w:val="00454875"/>
    <w:rsid w:val="00455C27"/>
    <w:rsid w:val="00456EB4"/>
    <w:rsid w:val="00457C14"/>
    <w:rsid w:val="004677DE"/>
    <w:rsid w:val="0047160C"/>
    <w:rsid w:val="004718F3"/>
    <w:rsid w:val="00475040"/>
    <w:rsid w:val="00475E4C"/>
    <w:rsid w:val="00486B95"/>
    <w:rsid w:val="004909ED"/>
    <w:rsid w:val="00493D40"/>
    <w:rsid w:val="00496350"/>
    <w:rsid w:val="004967B6"/>
    <w:rsid w:val="004A504B"/>
    <w:rsid w:val="004A5630"/>
    <w:rsid w:val="004A6911"/>
    <w:rsid w:val="004B011F"/>
    <w:rsid w:val="004B17FB"/>
    <w:rsid w:val="004B38C0"/>
    <w:rsid w:val="004B54E0"/>
    <w:rsid w:val="004B7384"/>
    <w:rsid w:val="004C10CF"/>
    <w:rsid w:val="004C4269"/>
    <w:rsid w:val="004C514F"/>
    <w:rsid w:val="004D1B9C"/>
    <w:rsid w:val="004D5B3B"/>
    <w:rsid w:val="004D5E32"/>
    <w:rsid w:val="004D6236"/>
    <w:rsid w:val="004E4DBB"/>
    <w:rsid w:val="004E4E41"/>
    <w:rsid w:val="004E79AD"/>
    <w:rsid w:val="004E7F9C"/>
    <w:rsid w:val="004F3493"/>
    <w:rsid w:val="004F4FE9"/>
    <w:rsid w:val="004F5143"/>
    <w:rsid w:val="005040DA"/>
    <w:rsid w:val="00506BE0"/>
    <w:rsid w:val="00512B09"/>
    <w:rsid w:val="00520309"/>
    <w:rsid w:val="0052752D"/>
    <w:rsid w:val="00532EF7"/>
    <w:rsid w:val="0054318D"/>
    <w:rsid w:val="005447E2"/>
    <w:rsid w:val="00555D75"/>
    <w:rsid w:val="00560DF0"/>
    <w:rsid w:val="0056289E"/>
    <w:rsid w:val="0056759C"/>
    <w:rsid w:val="00570F4F"/>
    <w:rsid w:val="00581C91"/>
    <w:rsid w:val="0059513E"/>
    <w:rsid w:val="005A3267"/>
    <w:rsid w:val="005A43C2"/>
    <w:rsid w:val="005A533A"/>
    <w:rsid w:val="005B0E08"/>
    <w:rsid w:val="005B1D6E"/>
    <w:rsid w:val="005B48FF"/>
    <w:rsid w:val="005B7BFF"/>
    <w:rsid w:val="005D106A"/>
    <w:rsid w:val="005D438F"/>
    <w:rsid w:val="005D49B5"/>
    <w:rsid w:val="005D55B2"/>
    <w:rsid w:val="005D56F4"/>
    <w:rsid w:val="005E0688"/>
    <w:rsid w:val="005F5255"/>
    <w:rsid w:val="005F5CE3"/>
    <w:rsid w:val="00604C15"/>
    <w:rsid w:val="006158D5"/>
    <w:rsid w:val="00620401"/>
    <w:rsid w:val="00625D83"/>
    <w:rsid w:val="00630024"/>
    <w:rsid w:val="0063154E"/>
    <w:rsid w:val="00633BA1"/>
    <w:rsid w:val="00641C73"/>
    <w:rsid w:val="006454D3"/>
    <w:rsid w:val="00651E17"/>
    <w:rsid w:val="00653161"/>
    <w:rsid w:val="00653854"/>
    <w:rsid w:val="00662126"/>
    <w:rsid w:val="00662292"/>
    <w:rsid w:val="006623E7"/>
    <w:rsid w:val="00662640"/>
    <w:rsid w:val="00662B80"/>
    <w:rsid w:val="006839F2"/>
    <w:rsid w:val="006852C7"/>
    <w:rsid w:val="006952C8"/>
    <w:rsid w:val="00696776"/>
    <w:rsid w:val="00697B15"/>
    <w:rsid w:val="00697B72"/>
    <w:rsid w:val="006A1719"/>
    <w:rsid w:val="006A4EAA"/>
    <w:rsid w:val="006B45FC"/>
    <w:rsid w:val="006B46CF"/>
    <w:rsid w:val="006C1727"/>
    <w:rsid w:val="006C2423"/>
    <w:rsid w:val="006C32FD"/>
    <w:rsid w:val="006C39CE"/>
    <w:rsid w:val="006C5493"/>
    <w:rsid w:val="006C6653"/>
    <w:rsid w:val="006D0729"/>
    <w:rsid w:val="006D0FCC"/>
    <w:rsid w:val="006D5038"/>
    <w:rsid w:val="006E1FC3"/>
    <w:rsid w:val="006F0E08"/>
    <w:rsid w:val="006F75C1"/>
    <w:rsid w:val="00704563"/>
    <w:rsid w:val="0070616B"/>
    <w:rsid w:val="00706FDA"/>
    <w:rsid w:val="00710259"/>
    <w:rsid w:val="00711F9A"/>
    <w:rsid w:val="00712B99"/>
    <w:rsid w:val="00713810"/>
    <w:rsid w:val="00721E12"/>
    <w:rsid w:val="007230CD"/>
    <w:rsid w:val="00725009"/>
    <w:rsid w:val="00725464"/>
    <w:rsid w:val="007270FA"/>
    <w:rsid w:val="007303A5"/>
    <w:rsid w:val="00730B3E"/>
    <w:rsid w:val="007312CC"/>
    <w:rsid w:val="0073420B"/>
    <w:rsid w:val="00742E39"/>
    <w:rsid w:val="00745CE1"/>
    <w:rsid w:val="00746312"/>
    <w:rsid w:val="0074760E"/>
    <w:rsid w:val="00754ABA"/>
    <w:rsid w:val="00761BBF"/>
    <w:rsid w:val="00762DA5"/>
    <w:rsid w:val="007656B6"/>
    <w:rsid w:val="00772726"/>
    <w:rsid w:val="00772AB6"/>
    <w:rsid w:val="007770F2"/>
    <w:rsid w:val="00777A19"/>
    <w:rsid w:val="00797C64"/>
    <w:rsid w:val="007A1546"/>
    <w:rsid w:val="007A1EAA"/>
    <w:rsid w:val="007A228C"/>
    <w:rsid w:val="007A368E"/>
    <w:rsid w:val="007A5868"/>
    <w:rsid w:val="007A58D6"/>
    <w:rsid w:val="007B04CE"/>
    <w:rsid w:val="007B3F0F"/>
    <w:rsid w:val="007B4A8B"/>
    <w:rsid w:val="007B5990"/>
    <w:rsid w:val="007B6871"/>
    <w:rsid w:val="007B7A2F"/>
    <w:rsid w:val="007B7D27"/>
    <w:rsid w:val="007C3D33"/>
    <w:rsid w:val="007C6F58"/>
    <w:rsid w:val="007D0108"/>
    <w:rsid w:val="007D294A"/>
    <w:rsid w:val="007D47D2"/>
    <w:rsid w:val="007D6EC0"/>
    <w:rsid w:val="007D7E1D"/>
    <w:rsid w:val="007E1F1E"/>
    <w:rsid w:val="007E2B65"/>
    <w:rsid w:val="007F6165"/>
    <w:rsid w:val="008072F6"/>
    <w:rsid w:val="0081521D"/>
    <w:rsid w:val="008164C2"/>
    <w:rsid w:val="008169BB"/>
    <w:rsid w:val="00831979"/>
    <w:rsid w:val="00844046"/>
    <w:rsid w:val="00851352"/>
    <w:rsid w:val="008551F8"/>
    <w:rsid w:val="00863230"/>
    <w:rsid w:val="008717D8"/>
    <w:rsid w:val="0087215C"/>
    <w:rsid w:val="0087239B"/>
    <w:rsid w:val="008767A3"/>
    <w:rsid w:val="008875FE"/>
    <w:rsid w:val="00887F8E"/>
    <w:rsid w:val="008949F0"/>
    <w:rsid w:val="00894D15"/>
    <w:rsid w:val="00896234"/>
    <w:rsid w:val="00897796"/>
    <w:rsid w:val="00897E43"/>
    <w:rsid w:val="008B2DB0"/>
    <w:rsid w:val="008B30AC"/>
    <w:rsid w:val="008B61E7"/>
    <w:rsid w:val="008C0B34"/>
    <w:rsid w:val="008C4DB5"/>
    <w:rsid w:val="008C5738"/>
    <w:rsid w:val="008C7EAD"/>
    <w:rsid w:val="008D0B76"/>
    <w:rsid w:val="008D0CFE"/>
    <w:rsid w:val="008D561E"/>
    <w:rsid w:val="008D6152"/>
    <w:rsid w:val="008E3AB1"/>
    <w:rsid w:val="008E55B1"/>
    <w:rsid w:val="008E6AB6"/>
    <w:rsid w:val="008F0F81"/>
    <w:rsid w:val="008F27BF"/>
    <w:rsid w:val="008F6B98"/>
    <w:rsid w:val="00907157"/>
    <w:rsid w:val="00912625"/>
    <w:rsid w:val="00913ACF"/>
    <w:rsid w:val="00920917"/>
    <w:rsid w:val="00923540"/>
    <w:rsid w:val="00926767"/>
    <w:rsid w:val="00930A44"/>
    <w:rsid w:val="00930E83"/>
    <w:rsid w:val="009319D9"/>
    <w:rsid w:val="00931D26"/>
    <w:rsid w:val="009358C3"/>
    <w:rsid w:val="009361D5"/>
    <w:rsid w:val="0094004D"/>
    <w:rsid w:val="009428A4"/>
    <w:rsid w:val="00944449"/>
    <w:rsid w:val="00947DF2"/>
    <w:rsid w:val="00950B6E"/>
    <w:rsid w:val="00953370"/>
    <w:rsid w:val="009605E1"/>
    <w:rsid w:val="00962C9D"/>
    <w:rsid w:val="00963F7D"/>
    <w:rsid w:val="009659F4"/>
    <w:rsid w:val="00970D60"/>
    <w:rsid w:val="009833B2"/>
    <w:rsid w:val="009960E5"/>
    <w:rsid w:val="0099735C"/>
    <w:rsid w:val="009A7ADC"/>
    <w:rsid w:val="009B367C"/>
    <w:rsid w:val="009C19B7"/>
    <w:rsid w:val="009D1DA4"/>
    <w:rsid w:val="009D2B92"/>
    <w:rsid w:val="009D7C51"/>
    <w:rsid w:val="009F28D7"/>
    <w:rsid w:val="009F36BF"/>
    <w:rsid w:val="009F58CF"/>
    <w:rsid w:val="00A07868"/>
    <w:rsid w:val="00A111B6"/>
    <w:rsid w:val="00A137EE"/>
    <w:rsid w:val="00A155A3"/>
    <w:rsid w:val="00A20E4B"/>
    <w:rsid w:val="00A24DCB"/>
    <w:rsid w:val="00A264AA"/>
    <w:rsid w:val="00A26D27"/>
    <w:rsid w:val="00A34ABF"/>
    <w:rsid w:val="00A376EE"/>
    <w:rsid w:val="00A409D0"/>
    <w:rsid w:val="00A42A99"/>
    <w:rsid w:val="00A50522"/>
    <w:rsid w:val="00A5151A"/>
    <w:rsid w:val="00A57E0A"/>
    <w:rsid w:val="00A64B2B"/>
    <w:rsid w:val="00A823F6"/>
    <w:rsid w:val="00A824E6"/>
    <w:rsid w:val="00A834F3"/>
    <w:rsid w:val="00A910A4"/>
    <w:rsid w:val="00AA0A89"/>
    <w:rsid w:val="00AA6429"/>
    <w:rsid w:val="00AC01AA"/>
    <w:rsid w:val="00AC032A"/>
    <w:rsid w:val="00AC2C1B"/>
    <w:rsid w:val="00AC3BD9"/>
    <w:rsid w:val="00AC4F72"/>
    <w:rsid w:val="00AD10BF"/>
    <w:rsid w:val="00AD2ABF"/>
    <w:rsid w:val="00AD34EE"/>
    <w:rsid w:val="00AD4392"/>
    <w:rsid w:val="00AE46DF"/>
    <w:rsid w:val="00AF741A"/>
    <w:rsid w:val="00B01ADB"/>
    <w:rsid w:val="00B022F4"/>
    <w:rsid w:val="00B04161"/>
    <w:rsid w:val="00B056F9"/>
    <w:rsid w:val="00B11E3D"/>
    <w:rsid w:val="00B13079"/>
    <w:rsid w:val="00B17E82"/>
    <w:rsid w:val="00B22A9F"/>
    <w:rsid w:val="00B232A9"/>
    <w:rsid w:val="00B23502"/>
    <w:rsid w:val="00B2485B"/>
    <w:rsid w:val="00B2579A"/>
    <w:rsid w:val="00B3012A"/>
    <w:rsid w:val="00B32997"/>
    <w:rsid w:val="00B36B96"/>
    <w:rsid w:val="00B37296"/>
    <w:rsid w:val="00B4575A"/>
    <w:rsid w:val="00B50661"/>
    <w:rsid w:val="00B5511D"/>
    <w:rsid w:val="00B575BA"/>
    <w:rsid w:val="00B726F1"/>
    <w:rsid w:val="00B72E4E"/>
    <w:rsid w:val="00B73182"/>
    <w:rsid w:val="00B75EEA"/>
    <w:rsid w:val="00B76429"/>
    <w:rsid w:val="00B92E4B"/>
    <w:rsid w:val="00B956D4"/>
    <w:rsid w:val="00B97446"/>
    <w:rsid w:val="00BA7432"/>
    <w:rsid w:val="00BA746B"/>
    <w:rsid w:val="00BC1AA0"/>
    <w:rsid w:val="00BC2495"/>
    <w:rsid w:val="00BC67DF"/>
    <w:rsid w:val="00BC752B"/>
    <w:rsid w:val="00BC7EB9"/>
    <w:rsid w:val="00BD148A"/>
    <w:rsid w:val="00BD1BC1"/>
    <w:rsid w:val="00BD2643"/>
    <w:rsid w:val="00BD56B1"/>
    <w:rsid w:val="00BD6558"/>
    <w:rsid w:val="00BF2662"/>
    <w:rsid w:val="00BF3022"/>
    <w:rsid w:val="00BF3214"/>
    <w:rsid w:val="00BF4C36"/>
    <w:rsid w:val="00BF5C6B"/>
    <w:rsid w:val="00BF6172"/>
    <w:rsid w:val="00BF7E1E"/>
    <w:rsid w:val="00C13657"/>
    <w:rsid w:val="00C145A7"/>
    <w:rsid w:val="00C15867"/>
    <w:rsid w:val="00C165FE"/>
    <w:rsid w:val="00C207CC"/>
    <w:rsid w:val="00C2296D"/>
    <w:rsid w:val="00C22C3E"/>
    <w:rsid w:val="00C23155"/>
    <w:rsid w:val="00C24D75"/>
    <w:rsid w:val="00C2570B"/>
    <w:rsid w:val="00C32D4D"/>
    <w:rsid w:val="00C3736F"/>
    <w:rsid w:val="00C40C41"/>
    <w:rsid w:val="00C45885"/>
    <w:rsid w:val="00C464D9"/>
    <w:rsid w:val="00C500AB"/>
    <w:rsid w:val="00C50F22"/>
    <w:rsid w:val="00C53621"/>
    <w:rsid w:val="00C566D5"/>
    <w:rsid w:val="00C57971"/>
    <w:rsid w:val="00C61BC8"/>
    <w:rsid w:val="00C62282"/>
    <w:rsid w:val="00C639CA"/>
    <w:rsid w:val="00C64D4A"/>
    <w:rsid w:val="00C718AA"/>
    <w:rsid w:val="00C7346C"/>
    <w:rsid w:val="00C76BA4"/>
    <w:rsid w:val="00C7781F"/>
    <w:rsid w:val="00C83A48"/>
    <w:rsid w:val="00C85865"/>
    <w:rsid w:val="00C85E85"/>
    <w:rsid w:val="00CA0F66"/>
    <w:rsid w:val="00CA2EAE"/>
    <w:rsid w:val="00CA305C"/>
    <w:rsid w:val="00CA4AC1"/>
    <w:rsid w:val="00CB0316"/>
    <w:rsid w:val="00CB0B11"/>
    <w:rsid w:val="00CB2BC7"/>
    <w:rsid w:val="00CB5354"/>
    <w:rsid w:val="00CC591A"/>
    <w:rsid w:val="00CC6A14"/>
    <w:rsid w:val="00CC70A3"/>
    <w:rsid w:val="00CD4442"/>
    <w:rsid w:val="00CD53C3"/>
    <w:rsid w:val="00CD574E"/>
    <w:rsid w:val="00CD5C88"/>
    <w:rsid w:val="00CE4C22"/>
    <w:rsid w:val="00CE52A0"/>
    <w:rsid w:val="00CE5732"/>
    <w:rsid w:val="00CF3A70"/>
    <w:rsid w:val="00CF41EC"/>
    <w:rsid w:val="00CF5D04"/>
    <w:rsid w:val="00CF6F9D"/>
    <w:rsid w:val="00D0237E"/>
    <w:rsid w:val="00D02FB3"/>
    <w:rsid w:val="00D04DE4"/>
    <w:rsid w:val="00D05526"/>
    <w:rsid w:val="00D063F1"/>
    <w:rsid w:val="00D07BE3"/>
    <w:rsid w:val="00D07C79"/>
    <w:rsid w:val="00D14F22"/>
    <w:rsid w:val="00D25DAD"/>
    <w:rsid w:val="00D27779"/>
    <w:rsid w:val="00D37B96"/>
    <w:rsid w:val="00D412CC"/>
    <w:rsid w:val="00D47AB4"/>
    <w:rsid w:val="00D50030"/>
    <w:rsid w:val="00D50A6D"/>
    <w:rsid w:val="00D520ED"/>
    <w:rsid w:val="00D553DA"/>
    <w:rsid w:val="00D57918"/>
    <w:rsid w:val="00D721E9"/>
    <w:rsid w:val="00D73DC6"/>
    <w:rsid w:val="00D74C1A"/>
    <w:rsid w:val="00D754C1"/>
    <w:rsid w:val="00D77A35"/>
    <w:rsid w:val="00D81B3E"/>
    <w:rsid w:val="00D87D55"/>
    <w:rsid w:val="00D90C70"/>
    <w:rsid w:val="00D90E49"/>
    <w:rsid w:val="00D91272"/>
    <w:rsid w:val="00D96ADE"/>
    <w:rsid w:val="00D978AD"/>
    <w:rsid w:val="00DA00F8"/>
    <w:rsid w:val="00DA0DAB"/>
    <w:rsid w:val="00DB2771"/>
    <w:rsid w:val="00DB27BE"/>
    <w:rsid w:val="00DB2A6F"/>
    <w:rsid w:val="00DB476A"/>
    <w:rsid w:val="00DB5847"/>
    <w:rsid w:val="00DC2ED6"/>
    <w:rsid w:val="00DC32D9"/>
    <w:rsid w:val="00DC4C7E"/>
    <w:rsid w:val="00DC6A10"/>
    <w:rsid w:val="00DD161D"/>
    <w:rsid w:val="00DE4CFE"/>
    <w:rsid w:val="00DE5A38"/>
    <w:rsid w:val="00DE657E"/>
    <w:rsid w:val="00DF4704"/>
    <w:rsid w:val="00E01CEB"/>
    <w:rsid w:val="00E024AA"/>
    <w:rsid w:val="00E04E75"/>
    <w:rsid w:val="00E07A50"/>
    <w:rsid w:val="00E21E26"/>
    <w:rsid w:val="00E250F1"/>
    <w:rsid w:val="00E25522"/>
    <w:rsid w:val="00E277FC"/>
    <w:rsid w:val="00E3235E"/>
    <w:rsid w:val="00E3321E"/>
    <w:rsid w:val="00E3550D"/>
    <w:rsid w:val="00E422B7"/>
    <w:rsid w:val="00E42AFC"/>
    <w:rsid w:val="00E47144"/>
    <w:rsid w:val="00E476C9"/>
    <w:rsid w:val="00E614E0"/>
    <w:rsid w:val="00E63040"/>
    <w:rsid w:val="00E70A10"/>
    <w:rsid w:val="00E71580"/>
    <w:rsid w:val="00E73F7F"/>
    <w:rsid w:val="00E75DF4"/>
    <w:rsid w:val="00E85409"/>
    <w:rsid w:val="00E85A63"/>
    <w:rsid w:val="00EA2535"/>
    <w:rsid w:val="00EA429F"/>
    <w:rsid w:val="00EA4F9E"/>
    <w:rsid w:val="00EA6201"/>
    <w:rsid w:val="00EA63CA"/>
    <w:rsid w:val="00EA6D3B"/>
    <w:rsid w:val="00EB00AD"/>
    <w:rsid w:val="00EB136C"/>
    <w:rsid w:val="00EB480E"/>
    <w:rsid w:val="00EB5D00"/>
    <w:rsid w:val="00EB5EC6"/>
    <w:rsid w:val="00EB7FC9"/>
    <w:rsid w:val="00EC1B34"/>
    <w:rsid w:val="00EC4E37"/>
    <w:rsid w:val="00ED27E8"/>
    <w:rsid w:val="00ED6E6D"/>
    <w:rsid w:val="00ED7137"/>
    <w:rsid w:val="00EE2B10"/>
    <w:rsid w:val="00EF08BA"/>
    <w:rsid w:val="00EF1BDC"/>
    <w:rsid w:val="00EF791D"/>
    <w:rsid w:val="00F039E7"/>
    <w:rsid w:val="00F06E63"/>
    <w:rsid w:val="00F2008B"/>
    <w:rsid w:val="00F21088"/>
    <w:rsid w:val="00F23B2E"/>
    <w:rsid w:val="00F32511"/>
    <w:rsid w:val="00F327E7"/>
    <w:rsid w:val="00F35746"/>
    <w:rsid w:val="00F376D1"/>
    <w:rsid w:val="00F447C7"/>
    <w:rsid w:val="00F44D22"/>
    <w:rsid w:val="00F51415"/>
    <w:rsid w:val="00F554A9"/>
    <w:rsid w:val="00F64031"/>
    <w:rsid w:val="00F70066"/>
    <w:rsid w:val="00F716FD"/>
    <w:rsid w:val="00F71D8A"/>
    <w:rsid w:val="00F75595"/>
    <w:rsid w:val="00F80355"/>
    <w:rsid w:val="00FA215F"/>
    <w:rsid w:val="00FA3908"/>
    <w:rsid w:val="00FB0C81"/>
    <w:rsid w:val="00FB0F2F"/>
    <w:rsid w:val="00FB295E"/>
    <w:rsid w:val="00FB3BBF"/>
    <w:rsid w:val="00FC2200"/>
    <w:rsid w:val="00FC2540"/>
    <w:rsid w:val="00FC52FA"/>
    <w:rsid w:val="00FD405D"/>
    <w:rsid w:val="00FD4062"/>
    <w:rsid w:val="00FD5064"/>
    <w:rsid w:val="00FE18F8"/>
    <w:rsid w:val="00FE3AE9"/>
    <w:rsid w:val="00FF0204"/>
    <w:rsid w:val="00FF3AED"/>
    <w:rsid w:val="00FF675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9646C8E"/>
  <w15:docId w15:val="{8B7A70FF-2084-4A04-A6C1-E3D603CFD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6"/>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6"/>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6"/>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6"/>
      </w:numPr>
      <w:spacing w:before="240" w:after="60"/>
      <w:outlineLvl w:val="5"/>
    </w:pPr>
    <w:rPr>
      <w:rFonts w:ascii="Arial" w:hAnsi="Arial"/>
      <w:i/>
    </w:rPr>
  </w:style>
  <w:style w:type="paragraph" w:styleId="Heading7">
    <w:name w:val="heading 7"/>
    <w:basedOn w:val="Normal"/>
    <w:next w:val="Normal"/>
    <w:qFormat/>
    <w:rsid w:val="00A5151A"/>
    <w:pPr>
      <w:numPr>
        <w:ilvl w:val="6"/>
        <w:numId w:val="1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C32D9"/>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77D4B"/>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177D4B"/>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BC752B"/>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basedOn w:val="DefaultParagraphFont"/>
    <w:link w:val="FootnoteText"/>
    <w:uiPriority w:val="99"/>
    <w:rsid w:val="00BC752B"/>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BC752B"/>
    <w:rPr>
      <w:vertAlign w:val="superscript"/>
    </w:rPr>
  </w:style>
  <w:style w:type="character" w:customStyle="1" w:styleId="FooterChar">
    <w:name w:val="Footer Char"/>
    <w:basedOn w:val="DefaultParagraphFont"/>
    <w:link w:val="Footer"/>
    <w:uiPriority w:val="99"/>
    <w:rsid w:val="00963F7D"/>
    <w:rPr>
      <w:sz w:val="22"/>
      <w:szCs w:val="22"/>
      <w:lang w:val="en-GB"/>
    </w:rPr>
  </w:style>
  <w:style w:type="paragraph" w:customStyle="1" w:styleId="Default">
    <w:name w:val="Default"/>
    <w:rsid w:val="00963F7D"/>
    <w:pPr>
      <w:widowControl w:val="0"/>
      <w:autoSpaceDE w:val="0"/>
      <w:autoSpaceDN w:val="0"/>
      <w:adjustRightInd w:val="0"/>
    </w:pPr>
    <w:rPr>
      <w:color w:val="000000"/>
      <w:sz w:val="24"/>
      <w:szCs w:val="24"/>
    </w:rPr>
  </w:style>
  <w:style w:type="character" w:customStyle="1" w:styleId="HeaderChar">
    <w:name w:val="Header Char"/>
    <w:aliases w:val="EthylHeader Char"/>
    <w:basedOn w:val="DefaultParagraphFont"/>
    <w:link w:val="Header"/>
    <w:locked/>
    <w:rsid w:val="00963F7D"/>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55C27"/>
    <w:pPr>
      <w:spacing w:after="160" w:line="240" w:lineRule="exact"/>
    </w:pPr>
    <w:rPr>
      <w:sz w:val="20"/>
      <w:szCs w:val="20"/>
      <w:vertAlign w:val="superscript"/>
      <w:lang w:val="en-US"/>
    </w:rPr>
  </w:style>
  <w:style w:type="paragraph" w:customStyle="1" w:styleId="StyleHeading1Para1Heading1CharHeading1Char3CharHeadin">
    <w:name w:val="Style Heading 1Para (1)Heading 1 CharHeading 1 Char3 CharHeadin..."/>
    <w:basedOn w:val="Heading1"/>
    <w:uiPriority w:val="99"/>
    <w:rsid w:val="0087239B"/>
    <w:pPr>
      <w:numPr>
        <w:numId w:val="0"/>
      </w:numPr>
      <w:tabs>
        <w:tab w:val="left" w:pos="720"/>
      </w:tabs>
    </w:pPr>
    <w:rPr>
      <w:szCs w:val="20"/>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398153">
      <w:bodyDiv w:val="1"/>
      <w:marLeft w:val="0"/>
      <w:marRight w:val="0"/>
      <w:marTop w:val="0"/>
      <w:marBottom w:val="0"/>
      <w:divBdr>
        <w:top w:val="none" w:sz="0" w:space="0" w:color="auto"/>
        <w:left w:val="none" w:sz="0" w:space="0" w:color="auto"/>
        <w:bottom w:val="none" w:sz="0" w:space="0" w:color="auto"/>
        <w:right w:val="none" w:sz="0" w:space="0" w:color="auto"/>
      </w:divBdr>
    </w:div>
    <w:div w:id="695079776">
      <w:bodyDiv w:val="1"/>
      <w:marLeft w:val="0"/>
      <w:marRight w:val="0"/>
      <w:marTop w:val="0"/>
      <w:marBottom w:val="0"/>
      <w:divBdr>
        <w:top w:val="none" w:sz="0" w:space="0" w:color="auto"/>
        <w:left w:val="none" w:sz="0" w:space="0" w:color="auto"/>
        <w:bottom w:val="none" w:sz="0" w:space="0" w:color="auto"/>
        <w:right w:val="none" w:sz="0" w:space="0" w:color="auto"/>
      </w:divBdr>
    </w:div>
    <w:div w:id="696352424">
      <w:bodyDiv w:val="1"/>
      <w:marLeft w:val="0"/>
      <w:marRight w:val="0"/>
      <w:marTop w:val="0"/>
      <w:marBottom w:val="0"/>
      <w:divBdr>
        <w:top w:val="none" w:sz="0" w:space="0" w:color="auto"/>
        <w:left w:val="none" w:sz="0" w:space="0" w:color="auto"/>
        <w:bottom w:val="none" w:sz="0" w:space="0" w:color="auto"/>
        <w:right w:val="none" w:sz="0" w:space="0" w:color="auto"/>
      </w:divBdr>
    </w:div>
    <w:div w:id="740518158">
      <w:bodyDiv w:val="1"/>
      <w:marLeft w:val="0"/>
      <w:marRight w:val="0"/>
      <w:marTop w:val="0"/>
      <w:marBottom w:val="0"/>
      <w:divBdr>
        <w:top w:val="none" w:sz="0" w:space="0" w:color="auto"/>
        <w:left w:val="none" w:sz="0" w:space="0" w:color="auto"/>
        <w:bottom w:val="none" w:sz="0" w:space="0" w:color="auto"/>
        <w:right w:val="none" w:sz="0" w:space="0" w:color="auto"/>
      </w:divBdr>
    </w:div>
    <w:div w:id="846482174">
      <w:bodyDiv w:val="1"/>
      <w:marLeft w:val="0"/>
      <w:marRight w:val="0"/>
      <w:marTop w:val="0"/>
      <w:marBottom w:val="0"/>
      <w:divBdr>
        <w:top w:val="none" w:sz="0" w:space="0" w:color="auto"/>
        <w:left w:val="none" w:sz="0" w:space="0" w:color="auto"/>
        <w:bottom w:val="none" w:sz="0" w:space="0" w:color="auto"/>
        <w:right w:val="none" w:sz="0" w:space="0" w:color="auto"/>
      </w:divBdr>
    </w:div>
    <w:div w:id="895898362">
      <w:bodyDiv w:val="1"/>
      <w:marLeft w:val="0"/>
      <w:marRight w:val="0"/>
      <w:marTop w:val="0"/>
      <w:marBottom w:val="0"/>
      <w:divBdr>
        <w:top w:val="none" w:sz="0" w:space="0" w:color="auto"/>
        <w:left w:val="none" w:sz="0" w:space="0" w:color="auto"/>
        <w:bottom w:val="none" w:sz="0" w:space="0" w:color="auto"/>
        <w:right w:val="none" w:sz="0" w:space="0" w:color="auto"/>
      </w:divBdr>
    </w:div>
    <w:div w:id="997227149">
      <w:bodyDiv w:val="1"/>
      <w:marLeft w:val="0"/>
      <w:marRight w:val="0"/>
      <w:marTop w:val="0"/>
      <w:marBottom w:val="0"/>
      <w:divBdr>
        <w:top w:val="none" w:sz="0" w:space="0" w:color="auto"/>
        <w:left w:val="none" w:sz="0" w:space="0" w:color="auto"/>
        <w:bottom w:val="none" w:sz="0" w:space="0" w:color="auto"/>
        <w:right w:val="none" w:sz="0" w:space="0" w:color="auto"/>
      </w:divBdr>
    </w:div>
    <w:div w:id="1094352113">
      <w:bodyDiv w:val="1"/>
      <w:marLeft w:val="0"/>
      <w:marRight w:val="0"/>
      <w:marTop w:val="0"/>
      <w:marBottom w:val="0"/>
      <w:divBdr>
        <w:top w:val="none" w:sz="0" w:space="0" w:color="auto"/>
        <w:left w:val="none" w:sz="0" w:space="0" w:color="auto"/>
        <w:bottom w:val="none" w:sz="0" w:space="0" w:color="auto"/>
        <w:right w:val="none" w:sz="0" w:space="0" w:color="auto"/>
      </w:divBdr>
    </w:div>
    <w:div w:id="1277714379">
      <w:bodyDiv w:val="1"/>
      <w:marLeft w:val="0"/>
      <w:marRight w:val="0"/>
      <w:marTop w:val="0"/>
      <w:marBottom w:val="0"/>
      <w:divBdr>
        <w:top w:val="none" w:sz="0" w:space="0" w:color="auto"/>
        <w:left w:val="none" w:sz="0" w:space="0" w:color="auto"/>
        <w:bottom w:val="none" w:sz="0" w:space="0" w:color="auto"/>
        <w:right w:val="none" w:sz="0" w:space="0" w:color="auto"/>
      </w:divBdr>
    </w:div>
    <w:div w:id="1432050140">
      <w:bodyDiv w:val="1"/>
      <w:marLeft w:val="0"/>
      <w:marRight w:val="0"/>
      <w:marTop w:val="0"/>
      <w:marBottom w:val="0"/>
      <w:divBdr>
        <w:top w:val="none" w:sz="0" w:space="0" w:color="auto"/>
        <w:left w:val="none" w:sz="0" w:space="0" w:color="auto"/>
        <w:bottom w:val="none" w:sz="0" w:space="0" w:color="auto"/>
        <w:right w:val="none" w:sz="0" w:space="0" w:color="auto"/>
      </w:divBdr>
    </w:div>
    <w:div w:id="1470246569">
      <w:bodyDiv w:val="1"/>
      <w:marLeft w:val="0"/>
      <w:marRight w:val="0"/>
      <w:marTop w:val="0"/>
      <w:marBottom w:val="0"/>
      <w:divBdr>
        <w:top w:val="none" w:sz="0" w:space="0" w:color="auto"/>
        <w:left w:val="none" w:sz="0" w:space="0" w:color="auto"/>
        <w:bottom w:val="none" w:sz="0" w:space="0" w:color="auto"/>
        <w:right w:val="none" w:sz="0" w:space="0" w:color="auto"/>
      </w:divBdr>
    </w:div>
    <w:div w:id="1602684015">
      <w:bodyDiv w:val="1"/>
      <w:marLeft w:val="0"/>
      <w:marRight w:val="0"/>
      <w:marTop w:val="0"/>
      <w:marBottom w:val="0"/>
      <w:divBdr>
        <w:top w:val="none" w:sz="0" w:space="0" w:color="auto"/>
        <w:left w:val="none" w:sz="0" w:space="0" w:color="auto"/>
        <w:bottom w:val="none" w:sz="0" w:space="0" w:color="auto"/>
        <w:right w:val="none" w:sz="0" w:space="0" w:color="auto"/>
      </w:divBdr>
    </w:div>
    <w:div w:id="160812276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8662b4aa-cf42-4f00-a3f0-9d3b4acad230">UNEP/OzL.Pro/ExCom/87/54</Document_x0020_Number>
    <DocumentType xmlns="310e179b-1379-4e79-9b74-d5a32b1812d3">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52D4772-BE47-46C8-B860-BAEA549F2E57}"/>
</file>

<file path=customXml/itemProps2.xml><?xml version="1.0" encoding="utf-8"?>
<ds:datastoreItem xmlns:ds="http://schemas.openxmlformats.org/officeDocument/2006/customXml" ds:itemID="{230ECF65-9C7C-4AED-89A8-05FA507BF678}"/>
</file>

<file path=customXml/itemProps3.xml><?xml version="1.0" encoding="utf-8"?>
<ds:datastoreItem xmlns:ds="http://schemas.openxmlformats.org/officeDocument/2006/customXml" ds:itemID="{8F0372CE-FB7C-4C1A-A9A8-CCFF77425D79}"/>
</file>

<file path=customXml/itemProps4.xml><?xml version="1.0" encoding="utf-8"?>
<ds:datastoreItem xmlns:ds="http://schemas.openxmlformats.org/officeDocument/2006/customXml" ds:itemID="{C8F809DA-095D-40A0-B6A5-8BB4A62453B6}"/>
</file>

<file path=docProps/app.xml><?xml version="1.0" encoding="utf-8"?>
<Properties xmlns="http://schemas.openxmlformats.org/officeDocument/2006/extended-properties" xmlns:vt="http://schemas.openxmlformats.org/officeDocument/2006/docPropsVTypes">
  <Template>Normal</Template>
  <TotalTime>7</TotalTime>
  <Pages>14</Pages>
  <Words>5136</Words>
  <Characters>27427</Characters>
  <Application>Microsoft Office Word</Application>
  <DocSecurity>0</DocSecurity>
  <Lines>228</Lines>
  <Paragraphs>64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Principaux aspects liés aux technologies de contrôle du sous-produit HFC-23 : Mexique</vt:lpstr>
      <vt:lpstr>Key aspects related to HFC-23 by-product control technologies</vt:lpstr>
    </vt:vector>
  </TitlesOfParts>
  <Company>UNMFS</Company>
  <LinksUpToDate>false</LinksUpToDate>
  <CharactersWithSpaces>32499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Principaux aspects liés aux technologies de contrôle du sous-produit HFC-23 : Mexique</dc:title>
  <dc:subject>87TH</dc:subject>
  <dc:creator>FSM &amp; JS</dc:creator>
  <cp:lastModifiedBy>HB</cp:lastModifiedBy>
  <cp:revision>6</cp:revision>
  <cp:lastPrinted>2021-06-09T16:18:00Z</cp:lastPrinted>
  <dcterms:created xsi:type="dcterms:W3CDTF">2021-06-25T13:56:00Z</dcterms:created>
  <dcterms:modified xsi:type="dcterms:W3CDTF">2021-06-29T15:59:00Z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UNEP/OzL.Pro/ExCom/87/54</vt:lpwstr>
  </property>
  <property fmtid="{D5CDD505-2E9C-101B-9397-08002B2CF9AE}" pid="3" name="Revision date">
    <vt:lpwstr>6/8/2021</vt:lpwstr>
  </property>
  <property fmtid="{D5CDD505-2E9C-101B-9397-08002B2CF9AE}" pid="4" name="ContentTypeId">
    <vt:lpwstr>0x0101006D54131ACC863C4CBCCC233143506327</vt:lpwstr>
  </property>
  <property fmtid="{D5CDD505-2E9C-101B-9397-08002B2CF9AE}" pid="5" name="Format">
    <vt:lpwstr>Word</vt:lpwstr>
  </property>
</Properties>
</file>