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229483D" w14:textId="77777777" w:rsidTr="009C59F7">
        <w:trPr>
          <w:trHeight w:val="720"/>
        </w:trPr>
        <w:tc>
          <w:tcPr>
            <w:tcW w:w="5490" w:type="dxa"/>
            <w:gridSpan w:val="2"/>
            <w:tcBorders>
              <w:bottom w:val="single" w:sz="18" w:space="0" w:color="auto"/>
            </w:tcBorders>
          </w:tcPr>
          <w:p w14:paraId="154575E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4C9861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13AA12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C534F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B595A99" wp14:editId="1DF55BA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80F79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8E85C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B01D0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955A23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53D765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1F2E930" w14:textId="77777777" w:rsidR="00C15867" w:rsidRPr="009B0D30" w:rsidRDefault="00C15867" w:rsidP="009C59F7">
            <w:r w:rsidRPr="009B0D30">
              <w:t>Distr.</w:t>
            </w:r>
          </w:p>
          <w:p w14:paraId="1EE8A5A4" w14:textId="77777777" w:rsidR="00923540" w:rsidRPr="009B0D30" w:rsidRDefault="00923540" w:rsidP="00923540">
            <w:r w:rsidRPr="009B0D30">
              <w:t>GENERAL</w:t>
            </w:r>
          </w:p>
          <w:p w14:paraId="5E2737D4" w14:textId="77777777" w:rsidR="00C15867" w:rsidRPr="009B0D30" w:rsidRDefault="00C15867" w:rsidP="009C59F7"/>
          <w:p w14:paraId="2195A326" w14:textId="77777777" w:rsidR="00C15867" w:rsidRPr="009B0D30" w:rsidRDefault="00C15867" w:rsidP="009C59F7"/>
          <w:p w14:paraId="04A0A833" w14:textId="0ECEBF9A" w:rsidR="00C15867" w:rsidRPr="009B0D30" w:rsidRDefault="007548C4" w:rsidP="009C59F7">
            <w:fldSimple w:instr=" DOCPROPERTY &quot;Document number&quot;  \* MERGEFORMAT ">
              <w:r w:rsidR="00544577">
                <w:t>UNEP/OzL.Pro/ExCom/95/47/Add.1</w:t>
              </w:r>
            </w:fldSimple>
          </w:p>
          <w:p w14:paraId="22615344" w14:textId="4D8A7B9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44577">
              <w:t>21 November 2024</w:t>
            </w:r>
            <w:r w:rsidRPr="009B0D30">
              <w:fldChar w:fldCharType="end"/>
            </w:r>
          </w:p>
          <w:p w14:paraId="0AC42E06" w14:textId="77777777" w:rsidR="00C15867" w:rsidRPr="009B0D30" w:rsidRDefault="00C15867" w:rsidP="009C59F7">
            <w:pPr>
              <w:rPr>
                <w:caps/>
              </w:rPr>
            </w:pPr>
          </w:p>
          <w:p w14:paraId="23265940" w14:textId="77777777" w:rsidR="00C15867" w:rsidRPr="009B0D30" w:rsidRDefault="00C15867" w:rsidP="009C59F7">
            <w:r w:rsidRPr="009B0D30">
              <w:t>ORIGINAL: ENGLISH</w:t>
            </w:r>
          </w:p>
        </w:tc>
      </w:tr>
    </w:tbl>
    <w:p w14:paraId="114511C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21C823D6"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16139E17" w14:textId="0E1890E2" w:rsidR="0079781A" w:rsidRDefault="0079781A" w:rsidP="0079781A">
      <w:pPr>
        <w:jc w:val="left"/>
      </w:pPr>
      <w:r>
        <w:t xml:space="preserve">Item </w:t>
      </w:r>
      <w:r w:rsidR="00555DA6">
        <w:t>9(d)</w:t>
      </w:r>
      <w:r>
        <w:t xml:space="preserve"> </w:t>
      </w:r>
      <w:r w:rsidRPr="00512BEF">
        <w:t>of the provisional agenda</w:t>
      </w:r>
      <w:r w:rsidRPr="00512BEF">
        <w:rPr>
          <w:rStyle w:val="FootnoteReference"/>
        </w:rPr>
        <w:footnoteReference w:id="1"/>
      </w:r>
    </w:p>
    <w:p w14:paraId="09A48790" w14:textId="77777777" w:rsidR="00C15867" w:rsidRPr="009B0D30" w:rsidRDefault="00C15867" w:rsidP="00CA59FB">
      <w:pPr>
        <w:jc w:val="left"/>
      </w:pPr>
    </w:p>
    <w:p w14:paraId="07F1636D" w14:textId="77777777" w:rsidR="009145E4" w:rsidRDefault="009145E4" w:rsidP="00555DA6">
      <w:pPr>
        <w:pStyle w:val="Heading1"/>
        <w:numPr>
          <w:ilvl w:val="0"/>
          <w:numId w:val="0"/>
        </w:numPr>
        <w:spacing w:after="0"/>
      </w:pPr>
    </w:p>
    <w:p w14:paraId="6CCE7A46" w14:textId="77777777" w:rsidR="00555DA6" w:rsidRPr="00555DA6" w:rsidRDefault="00555DA6" w:rsidP="00555DA6"/>
    <w:p w14:paraId="52800458" w14:textId="77777777" w:rsidR="00066CE8" w:rsidRPr="009B0D30" w:rsidRDefault="00066CE8" w:rsidP="00857077">
      <w:pPr>
        <w:jc w:val="left"/>
      </w:pPr>
    </w:p>
    <w:p w14:paraId="06BDA089" w14:textId="77777777" w:rsidR="00555DA6" w:rsidRPr="00F325B1" w:rsidRDefault="00555DA6" w:rsidP="00555DA6">
      <w:pPr>
        <w:pStyle w:val="Title1"/>
        <w:rPr>
          <w:bCs/>
          <w:caps w:val="0"/>
          <w:lang w:val="en-CA"/>
        </w:rPr>
      </w:pPr>
      <w:r w:rsidRPr="00F325B1">
        <w:rPr>
          <w:bCs/>
          <w:caps w:val="0"/>
          <w:lang w:val="en-CA"/>
        </w:rPr>
        <w:t>Addendum</w:t>
      </w:r>
    </w:p>
    <w:p w14:paraId="33C4558D" w14:textId="77777777" w:rsidR="00555DA6" w:rsidRPr="00F325B1" w:rsidRDefault="00555DA6" w:rsidP="00555DA6">
      <w:pPr>
        <w:pStyle w:val="Title1"/>
        <w:rPr>
          <w:lang w:val="en-CA"/>
        </w:rPr>
      </w:pPr>
    </w:p>
    <w:p w14:paraId="0E12DB64" w14:textId="77777777" w:rsidR="00555DA6" w:rsidRPr="00F325B1" w:rsidRDefault="00555DA6" w:rsidP="00555DA6">
      <w:pPr>
        <w:pStyle w:val="Title1"/>
        <w:rPr>
          <w:bCs/>
          <w:lang w:val="en-CA"/>
        </w:rPr>
      </w:pPr>
      <w:r w:rsidRPr="00F325B1">
        <w:rPr>
          <w:bCs/>
          <w:lang w:val="en-CA"/>
        </w:rPr>
        <w:t>PROJECT PROPOSALS: China</w:t>
      </w:r>
    </w:p>
    <w:p w14:paraId="047744A7" w14:textId="77777777" w:rsidR="00555DA6" w:rsidRPr="00F325B1" w:rsidRDefault="00555DA6" w:rsidP="00555DA6">
      <w:pPr>
        <w:pStyle w:val="Title1"/>
        <w:rPr>
          <w:bCs/>
          <w:lang w:val="en-CA"/>
        </w:rPr>
      </w:pPr>
    </w:p>
    <w:p w14:paraId="6E916C6B" w14:textId="77777777" w:rsidR="00555DA6" w:rsidRPr="00F325B1" w:rsidRDefault="00555DA6" w:rsidP="00555DA6">
      <w:pPr>
        <w:pStyle w:val="StyleHeader4Para4Left0Firstline0"/>
        <w:numPr>
          <w:ilvl w:val="0"/>
          <w:numId w:val="0"/>
        </w:numPr>
        <w:tabs>
          <w:tab w:val="left" w:pos="720"/>
        </w:tabs>
        <w:ind w:firstLine="720"/>
        <w:rPr>
          <w:caps/>
        </w:rPr>
      </w:pPr>
      <w:r w:rsidRPr="00F325B1">
        <w:rPr>
          <w:sz w:val="22"/>
        </w:rPr>
        <w:t xml:space="preserve">This document is issued to add an additional project proposal for consideration below. </w:t>
      </w:r>
    </w:p>
    <w:p w14:paraId="5BF93616" w14:textId="77777777" w:rsidR="00555DA6" w:rsidRPr="00F325B1" w:rsidRDefault="00555DA6" w:rsidP="00555DA6">
      <w:pPr>
        <w:spacing w:before="240" w:after="240"/>
        <w:rPr>
          <w:u w:val="single"/>
        </w:rPr>
      </w:pPr>
      <w:r w:rsidRPr="00F325B1">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555DA6" w:rsidRPr="00F325B1" w14:paraId="4B247D9E" w14:textId="77777777" w:rsidTr="00B007EC">
        <w:tc>
          <w:tcPr>
            <w:tcW w:w="5812" w:type="dxa"/>
            <w:hideMark/>
          </w:tcPr>
          <w:p w14:paraId="029CD585" w14:textId="77777777" w:rsidR="00555DA6" w:rsidRPr="00F325B1" w:rsidRDefault="00555DA6" w:rsidP="00555DA6">
            <w:pPr>
              <w:pStyle w:val="ListParagraph"/>
              <w:numPr>
                <w:ilvl w:val="0"/>
                <w:numId w:val="21"/>
              </w:numPr>
              <w:ind w:hanging="830"/>
              <w:rPr>
                <w:lang w:val="en-CA"/>
              </w:rPr>
            </w:pPr>
            <w:bookmarkStart w:id="0" w:name="_Hlk148535675"/>
            <w:r w:rsidRPr="00F325B1">
              <w:rPr>
                <w:lang w:val="en-CA"/>
              </w:rPr>
              <w:t xml:space="preserve">Pilot project to enhance the energy efficiency of </w:t>
            </w:r>
            <w:bookmarkEnd w:id="0"/>
            <w:r w:rsidRPr="00F325B1">
              <w:rPr>
                <w:lang w:val="en-CA"/>
              </w:rPr>
              <w:t>cooling technologies in data centres through the demonstration of single-phase immersion cooling system in a data centre</w:t>
            </w:r>
          </w:p>
        </w:tc>
        <w:tc>
          <w:tcPr>
            <w:tcW w:w="1985" w:type="dxa"/>
            <w:hideMark/>
          </w:tcPr>
          <w:p w14:paraId="55B7F587" w14:textId="77777777" w:rsidR="00555DA6" w:rsidRPr="00F325B1" w:rsidRDefault="00555DA6" w:rsidP="00B007EC">
            <w:pPr>
              <w:jc w:val="center"/>
            </w:pPr>
            <w:r w:rsidRPr="00F325B1">
              <w:t>UNDP</w:t>
            </w:r>
          </w:p>
        </w:tc>
        <w:tc>
          <w:tcPr>
            <w:tcW w:w="1563" w:type="dxa"/>
            <w:hideMark/>
          </w:tcPr>
          <w:p w14:paraId="0D532E50" w14:textId="77777777" w:rsidR="00555DA6" w:rsidRPr="00F325B1" w:rsidRDefault="00555DA6" w:rsidP="00B007EC">
            <w:pPr>
              <w:jc w:val="center"/>
            </w:pPr>
            <w:r w:rsidRPr="00F325B1">
              <w:t>Individual consideration</w:t>
            </w:r>
          </w:p>
        </w:tc>
      </w:tr>
    </w:tbl>
    <w:p w14:paraId="51F3E5F9" w14:textId="77777777" w:rsidR="00555DA6" w:rsidRPr="00F325B1" w:rsidRDefault="00555DA6" w:rsidP="00555DA6">
      <w:pPr>
        <w:pStyle w:val="Title1"/>
        <w:jc w:val="right"/>
        <w:rPr>
          <w:b w:val="0"/>
          <w:lang w:val="en-CA"/>
        </w:rPr>
      </w:pPr>
    </w:p>
    <w:p w14:paraId="14CA578D" w14:textId="77777777" w:rsidR="00555DA6" w:rsidRPr="00F325B1" w:rsidRDefault="00555DA6" w:rsidP="00555DA6">
      <w:pPr>
        <w:pStyle w:val="Title1"/>
        <w:rPr>
          <w:lang w:val="en-CA"/>
        </w:rPr>
      </w:pPr>
    </w:p>
    <w:p w14:paraId="318D8AC0" w14:textId="77777777" w:rsidR="00555DA6" w:rsidRPr="00F325B1" w:rsidRDefault="00555DA6" w:rsidP="00555DA6">
      <w:pPr>
        <w:pStyle w:val="StyleHeader4Para4Left0Firstline0"/>
        <w:numPr>
          <w:ilvl w:val="0"/>
          <w:numId w:val="0"/>
        </w:numPr>
        <w:jc w:val="right"/>
        <w:rPr>
          <w:b/>
          <w:sz w:val="22"/>
        </w:rPr>
      </w:pPr>
    </w:p>
    <w:p w14:paraId="1E10A904" w14:textId="77777777" w:rsidR="00555DA6" w:rsidRPr="00F325B1" w:rsidRDefault="00555DA6" w:rsidP="00555DA6"/>
    <w:p w14:paraId="0030B9F3" w14:textId="77777777" w:rsidR="00555DA6" w:rsidRPr="00F325B1" w:rsidRDefault="00555DA6" w:rsidP="00555DA6">
      <w:pPr>
        <w:pStyle w:val="StyleHeader4Para4Left0Firstline0"/>
        <w:numPr>
          <w:ilvl w:val="0"/>
          <w:numId w:val="0"/>
        </w:numPr>
        <w:tabs>
          <w:tab w:val="clear" w:pos="2880"/>
          <w:tab w:val="clear" w:pos="5760"/>
        </w:tabs>
        <w:jc w:val="center"/>
        <w:rPr>
          <w:b/>
          <w:sz w:val="22"/>
        </w:rPr>
      </w:pPr>
      <w:r w:rsidRPr="00F325B1">
        <w:rPr>
          <w:b/>
          <w:sz w:val="22"/>
        </w:rPr>
        <w:br w:type="page"/>
      </w:r>
    </w:p>
    <w:p w14:paraId="685A5B4B" w14:textId="77777777" w:rsidR="00555DA6" w:rsidRPr="00F325B1" w:rsidRDefault="00555DA6" w:rsidP="00555DA6">
      <w:pPr>
        <w:jc w:val="center"/>
        <w:rPr>
          <w:b/>
        </w:rPr>
      </w:pPr>
      <w:r w:rsidRPr="00F325B1">
        <w:rPr>
          <w:b/>
        </w:rPr>
        <w:lastRenderedPageBreak/>
        <w:t xml:space="preserve">PROJECT EVALUATION SHEET – NON-MULTI-YEAR PROJECT </w:t>
      </w:r>
    </w:p>
    <w:p w14:paraId="6D6D390A" w14:textId="77777777" w:rsidR="00555DA6" w:rsidRPr="00F325B1" w:rsidRDefault="00555DA6" w:rsidP="00555DA6">
      <w:pPr>
        <w:jc w:val="center"/>
        <w:rPr>
          <w:b/>
        </w:rPr>
      </w:pPr>
    </w:p>
    <w:p w14:paraId="12323955" w14:textId="77777777" w:rsidR="00555DA6" w:rsidRPr="00F325B1" w:rsidRDefault="00555DA6" w:rsidP="00555DA6">
      <w:pPr>
        <w:jc w:val="center"/>
        <w:rPr>
          <w:b/>
        </w:rPr>
      </w:pPr>
      <w:r w:rsidRPr="00F325B1">
        <w:rPr>
          <w:b/>
        </w:rPr>
        <w:t>China</w:t>
      </w:r>
    </w:p>
    <w:p w14:paraId="2BCE3FBB" w14:textId="77777777" w:rsidR="00555DA6" w:rsidRPr="00F325B1" w:rsidRDefault="00555DA6" w:rsidP="00555DA6">
      <w:pPr>
        <w:ind w:left="142"/>
        <w:jc w:val="center"/>
        <w:rPr>
          <w:b/>
        </w:rPr>
      </w:pPr>
    </w:p>
    <w:p w14:paraId="226FB836" w14:textId="77777777" w:rsidR="00555DA6" w:rsidRPr="00F325B1" w:rsidRDefault="00555DA6" w:rsidP="00555DA6">
      <w:pPr>
        <w:tabs>
          <w:tab w:val="left" w:pos="5580"/>
        </w:tabs>
        <w:ind w:right="-450" w:hanging="450"/>
        <w:rPr>
          <w:b/>
          <w:sz w:val="20"/>
        </w:rPr>
      </w:pPr>
      <w:bookmarkStart w:id="1" w:name="_Hlk149308122"/>
      <w:r w:rsidRPr="00F325B1">
        <w:rPr>
          <w:b/>
          <w:caps/>
          <w:sz w:val="20"/>
        </w:rPr>
        <w:t>Project titlE</w:t>
      </w:r>
      <w:bookmarkEnd w:id="1"/>
      <w:r w:rsidRPr="00F325B1">
        <w:rPr>
          <w:b/>
          <w:sz w:val="20"/>
        </w:rPr>
        <w:tab/>
        <w:t xml:space="preserve">  </w:t>
      </w:r>
      <w:r w:rsidRPr="00F325B1">
        <w:rPr>
          <w:b/>
          <w:caps/>
          <w:sz w:val="20"/>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555DA6" w:rsidRPr="00F325B1" w14:paraId="52B08CE0" w14:textId="77777777" w:rsidTr="00B007EC">
        <w:trPr>
          <w:trHeight w:val="274"/>
        </w:trPr>
        <w:tc>
          <w:tcPr>
            <w:tcW w:w="7039" w:type="dxa"/>
            <w:tcBorders>
              <w:right w:val="single" w:sz="4" w:space="0" w:color="auto"/>
            </w:tcBorders>
          </w:tcPr>
          <w:p w14:paraId="32FAA9D6" w14:textId="77777777" w:rsidR="00555DA6" w:rsidRPr="00F325B1" w:rsidRDefault="00555DA6" w:rsidP="00B007EC">
            <w:pPr>
              <w:tabs>
                <w:tab w:val="left" w:pos="383"/>
              </w:tabs>
              <w:rPr>
                <w:sz w:val="20"/>
                <w:szCs w:val="20"/>
              </w:rPr>
            </w:pPr>
            <w:r w:rsidRPr="00F325B1">
              <w:rPr>
                <w:sz w:val="20"/>
                <w:szCs w:val="20"/>
              </w:rPr>
              <w:t>•Pilot project to enhance the energy efficiency of cooling technologies in data centres through the demonstration of single-phase immersion cooling system in a data centre</w:t>
            </w:r>
          </w:p>
        </w:tc>
        <w:tc>
          <w:tcPr>
            <w:tcW w:w="3126" w:type="dxa"/>
            <w:tcBorders>
              <w:top w:val="single" w:sz="4" w:space="0" w:color="auto"/>
              <w:left w:val="single" w:sz="4" w:space="0" w:color="auto"/>
              <w:bottom w:val="single" w:sz="4" w:space="0" w:color="auto"/>
            </w:tcBorders>
          </w:tcPr>
          <w:p w14:paraId="555255C0" w14:textId="77777777" w:rsidR="00555DA6" w:rsidRPr="00F325B1" w:rsidRDefault="00555DA6" w:rsidP="00B007EC">
            <w:pPr>
              <w:jc w:val="center"/>
              <w:rPr>
                <w:sz w:val="20"/>
                <w:szCs w:val="20"/>
              </w:rPr>
            </w:pPr>
            <w:r w:rsidRPr="00F325B1">
              <w:rPr>
                <w:sz w:val="20"/>
                <w:szCs w:val="20"/>
              </w:rPr>
              <w:t>UNDP</w:t>
            </w:r>
          </w:p>
        </w:tc>
      </w:tr>
    </w:tbl>
    <w:p w14:paraId="5A195D51" w14:textId="77777777" w:rsidR="00555DA6" w:rsidRPr="00F325B1" w:rsidRDefault="00555DA6" w:rsidP="00555DA6">
      <w:pPr>
        <w:tabs>
          <w:tab w:val="left" w:pos="3492"/>
        </w:tabs>
        <w:rPr>
          <w:sz w:val="20"/>
        </w:rPr>
      </w:pPr>
      <w:r w:rsidRPr="00F325B1">
        <w:rPr>
          <w:sz w:val="20"/>
        </w:rPr>
        <w:tab/>
      </w:r>
    </w:p>
    <w:p w14:paraId="1A1DD481" w14:textId="77777777" w:rsidR="00555DA6" w:rsidRPr="00F325B1" w:rsidRDefault="00555DA6" w:rsidP="00555DA6">
      <w:pPr>
        <w:ind w:hanging="426"/>
        <w:rPr>
          <w:sz w:val="20"/>
        </w:rPr>
      </w:pPr>
      <w:r w:rsidRPr="00F325B1">
        <w:rPr>
          <w:b/>
          <w:caps/>
          <w:sz w:val="20"/>
        </w:rPr>
        <w:t>Project OBJECTIVE</w:t>
      </w:r>
    </w:p>
    <w:tbl>
      <w:tblPr>
        <w:tblStyle w:val="TableGrid"/>
        <w:tblW w:w="10165" w:type="dxa"/>
        <w:jc w:val="center"/>
        <w:tblLook w:val="01E0" w:firstRow="1" w:lastRow="1" w:firstColumn="1" w:lastColumn="1" w:noHBand="0" w:noVBand="0"/>
      </w:tblPr>
      <w:tblGrid>
        <w:gridCol w:w="10165"/>
      </w:tblGrid>
      <w:tr w:rsidR="00555DA6" w:rsidRPr="00F325B1" w14:paraId="23486079" w14:textId="77777777" w:rsidTr="00B007EC">
        <w:trPr>
          <w:trHeight w:val="350"/>
          <w:jc w:val="center"/>
        </w:trPr>
        <w:tc>
          <w:tcPr>
            <w:tcW w:w="10165" w:type="dxa"/>
            <w:shd w:val="clear" w:color="auto" w:fill="auto"/>
          </w:tcPr>
          <w:p w14:paraId="056E17CF" w14:textId="77777777" w:rsidR="00555DA6" w:rsidRPr="00F325B1" w:rsidRDefault="00555DA6" w:rsidP="00555DA6">
            <w:pPr>
              <w:pStyle w:val="ListParagraph"/>
              <w:framePr w:hSpace="180" w:wrap="around" w:vAnchor="text" w:hAnchor="margin" w:xAlign="center" w:y="62"/>
              <w:numPr>
                <w:ilvl w:val="0"/>
                <w:numId w:val="24"/>
              </w:numPr>
              <w:tabs>
                <w:tab w:val="num" w:pos="692"/>
              </w:tabs>
              <w:outlineLvl w:val="0"/>
              <w:rPr>
                <w:sz w:val="20"/>
                <w:szCs w:val="20"/>
                <w:lang w:val="en-CA"/>
              </w:rPr>
            </w:pPr>
            <w:r w:rsidRPr="00F325B1">
              <w:rPr>
                <w:sz w:val="20"/>
                <w:szCs w:val="20"/>
                <w:lang w:val="en-CA"/>
              </w:rPr>
              <w:t>To demonstrate the use of single-phase immersion cooling systems in data centres using a new environmentally friendly proprietary coolant “Bing Yi 797” which has no ODP and with zero GWP eliminating the need for new HFC</w:t>
            </w:r>
            <w:r w:rsidRPr="00F325B1">
              <w:rPr>
                <w:sz w:val="20"/>
                <w:szCs w:val="20"/>
                <w:lang w:val="en-CA"/>
              </w:rPr>
              <w:noBreakHyphen/>
              <w:t>based cooling equipment in data centres</w:t>
            </w:r>
          </w:p>
          <w:p w14:paraId="6B94037D" w14:textId="77777777" w:rsidR="00555DA6" w:rsidRPr="00F325B1" w:rsidRDefault="00555DA6" w:rsidP="00555DA6">
            <w:pPr>
              <w:pStyle w:val="ListParagraph"/>
              <w:framePr w:hSpace="180" w:wrap="around" w:vAnchor="text" w:hAnchor="margin" w:xAlign="center" w:y="62"/>
              <w:numPr>
                <w:ilvl w:val="0"/>
                <w:numId w:val="24"/>
              </w:numPr>
              <w:tabs>
                <w:tab w:val="num" w:pos="692"/>
              </w:tabs>
              <w:outlineLvl w:val="0"/>
              <w:rPr>
                <w:sz w:val="20"/>
                <w:szCs w:val="20"/>
                <w:lang w:val="en-CA"/>
              </w:rPr>
            </w:pPr>
            <w:r w:rsidRPr="00F325B1">
              <w:rPr>
                <w:sz w:val="20"/>
                <w:szCs w:val="20"/>
                <w:lang w:val="en-CA"/>
              </w:rPr>
              <w:t>To integrate a waste-heat recovery system and mixed power supply for a stable and energy-efficient data centre</w:t>
            </w:r>
          </w:p>
          <w:p w14:paraId="2856C175" w14:textId="77777777" w:rsidR="00555DA6" w:rsidRPr="00F325B1" w:rsidRDefault="00555DA6" w:rsidP="00555DA6">
            <w:pPr>
              <w:pStyle w:val="ListParagraph"/>
              <w:framePr w:hSpace="180" w:wrap="around" w:vAnchor="text" w:hAnchor="margin" w:xAlign="center" w:y="62"/>
              <w:numPr>
                <w:ilvl w:val="0"/>
                <w:numId w:val="24"/>
              </w:numPr>
              <w:tabs>
                <w:tab w:val="num" w:pos="692"/>
              </w:tabs>
              <w:outlineLvl w:val="0"/>
              <w:rPr>
                <w:sz w:val="20"/>
                <w:szCs w:val="20"/>
                <w:lang w:val="en-CA"/>
              </w:rPr>
            </w:pPr>
            <w:r w:rsidRPr="00F325B1">
              <w:rPr>
                <w:sz w:val="20"/>
                <w:szCs w:val="20"/>
                <w:lang w:val="en-CA"/>
              </w:rPr>
              <w:t>To disseminate the results and promote use of single-phase immersion cooling systems in new and existing data centres relying on high-GWP HFCs</w:t>
            </w:r>
          </w:p>
        </w:tc>
      </w:tr>
    </w:tbl>
    <w:p w14:paraId="2AA9D9ED" w14:textId="77777777" w:rsidR="00555DA6" w:rsidRPr="00F325B1" w:rsidRDefault="00555DA6" w:rsidP="00555DA6">
      <w:pPr>
        <w:rPr>
          <w:sz w:val="20"/>
        </w:rPr>
      </w:pPr>
    </w:p>
    <w:tbl>
      <w:tblPr>
        <w:tblStyle w:val="TableGrid"/>
        <w:tblW w:w="10165" w:type="dxa"/>
        <w:jc w:val="center"/>
        <w:tblLook w:val="01E0" w:firstRow="1" w:lastRow="1" w:firstColumn="1" w:lastColumn="1" w:noHBand="0" w:noVBand="0"/>
      </w:tblPr>
      <w:tblGrid>
        <w:gridCol w:w="5125"/>
        <w:gridCol w:w="5040"/>
      </w:tblGrid>
      <w:tr w:rsidR="00555DA6" w:rsidRPr="00F325B1" w14:paraId="263ACC19" w14:textId="77777777" w:rsidTr="00B007EC">
        <w:trPr>
          <w:jc w:val="center"/>
        </w:trPr>
        <w:tc>
          <w:tcPr>
            <w:tcW w:w="5125" w:type="dxa"/>
          </w:tcPr>
          <w:p w14:paraId="511A1603" w14:textId="77777777" w:rsidR="00555DA6" w:rsidRPr="00F325B1" w:rsidRDefault="00555DA6" w:rsidP="00B007EC">
            <w:pPr>
              <w:rPr>
                <w:sz w:val="20"/>
                <w:szCs w:val="20"/>
              </w:rPr>
            </w:pPr>
            <w:r w:rsidRPr="00F325B1">
              <w:rPr>
                <w:b/>
                <w:caps/>
                <w:sz w:val="20"/>
                <w:szCs w:val="20"/>
              </w:rPr>
              <w:t>National co-ordinating agency</w:t>
            </w:r>
          </w:p>
        </w:tc>
        <w:tc>
          <w:tcPr>
            <w:tcW w:w="5040" w:type="dxa"/>
          </w:tcPr>
          <w:p w14:paraId="70CB64C7" w14:textId="77777777" w:rsidR="00555DA6" w:rsidRPr="00F325B1" w:rsidRDefault="00555DA6" w:rsidP="00B007EC">
            <w:pPr>
              <w:jc w:val="right"/>
              <w:rPr>
                <w:sz w:val="20"/>
                <w:szCs w:val="20"/>
              </w:rPr>
            </w:pPr>
            <w:r w:rsidRPr="00F325B1">
              <w:rPr>
                <w:sz w:val="20"/>
                <w:szCs w:val="20"/>
              </w:rPr>
              <w:t>Foreign Economic Cooperation Office (FECO) /</w:t>
            </w:r>
          </w:p>
          <w:p w14:paraId="45E61184" w14:textId="77777777" w:rsidR="00555DA6" w:rsidRPr="00F325B1" w:rsidRDefault="00555DA6" w:rsidP="00B007EC">
            <w:pPr>
              <w:jc w:val="right"/>
              <w:rPr>
                <w:sz w:val="20"/>
                <w:szCs w:val="20"/>
              </w:rPr>
            </w:pPr>
            <w:r w:rsidRPr="00F325B1">
              <w:rPr>
                <w:sz w:val="20"/>
                <w:szCs w:val="20"/>
              </w:rPr>
              <w:t>Ministry of Ecology and Environment (MEE)</w:t>
            </w:r>
          </w:p>
        </w:tc>
      </w:tr>
    </w:tbl>
    <w:p w14:paraId="38B49813" w14:textId="77777777" w:rsidR="00555DA6" w:rsidRPr="00F325B1" w:rsidRDefault="00555DA6" w:rsidP="00555DA6">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393"/>
        <w:gridCol w:w="1616"/>
        <w:gridCol w:w="2518"/>
      </w:tblGrid>
      <w:tr w:rsidR="00555DA6" w:rsidRPr="00F325B1" w14:paraId="179440CC" w14:textId="77777777" w:rsidTr="00B007EC">
        <w:trPr>
          <w:trHeight w:val="77"/>
        </w:trPr>
        <w:tc>
          <w:tcPr>
            <w:tcW w:w="4679" w:type="dxa"/>
            <w:shd w:val="clear" w:color="auto" w:fill="auto"/>
          </w:tcPr>
          <w:p w14:paraId="033AE533" w14:textId="77777777" w:rsidR="00555DA6" w:rsidRPr="00F325B1" w:rsidRDefault="00555DA6" w:rsidP="00B007EC">
            <w:pPr>
              <w:jc w:val="left"/>
              <w:rPr>
                <w:b/>
                <w:sz w:val="20"/>
              </w:rPr>
            </w:pPr>
            <w:r w:rsidRPr="00F325B1">
              <w:rPr>
                <w:b/>
                <w:sz w:val="20"/>
              </w:rPr>
              <w:t>LATEST ARTICLE 7 DATA (Annex F)</w:t>
            </w:r>
          </w:p>
        </w:tc>
        <w:tc>
          <w:tcPr>
            <w:tcW w:w="1393" w:type="dxa"/>
            <w:shd w:val="clear" w:color="auto" w:fill="auto"/>
          </w:tcPr>
          <w:p w14:paraId="05779645" w14:textId="77777777" w:rsidR="00555DA6" w:rsidRPr="00F325B1" w:rsidRDefault="00555DA6" w:rsidP="00B007EC">
            <w:pPr>
              <w:jc w:val="left"/>
              <w:rPr>
                <w:sz w:val="20"/>
              </w:rPr>
            </w:pPr>
            <w:r w:rsidRPr="00F325B1">
              <w:rPr>
                <w:b/>
                <w:bCs/>
                <w:sz w:val="20"/>
              </w:rPr>
              <w:t>Year:</w:t>
            </w:r>
            <w:r w:rsidRPr="00F325B1">
              <w:rPr>
                <w:sz w:val="20"/>
              </w:rPr>
              <w:t xml:space="preserve"> </w:t>
            </w:r>
            <w:r w:rsidRPr="00F325B1">
              <w:rPr>
                <w:color w:val="000000" w:themeColor="text1"/>
                <w:sz w:val="20"/>
              </w:rPr>
              <w:t>2022</w:t>
            </w:r>
          </w:p>
        </w:tc>
        <w:tc>
          <w:tcPr>
            <w:tcW w:w="1616" w:type="dxa"/>
            <w:shd w:val="clear" w:color="auto" w:fill="auto"/>
          </w:tcPr>
          <w:p w14:paraId="57CC8625" w14:textId="77777777" w:rsidR="00555DA6" w:rsidRPr="00F325B1" w:rsidRDefault="00555DA6" w:rsidP="00B007EC">
            <w:pPr>
              <w:ind w:left="-109"/>
              <w:jc w:val="right"/>
              <w:rPr>
                <w:sz w:val="20"/>
              </w:rPr>
            </w:pPr>
            <w:r w:rsidRPr="00F325B1">
              <w:rPr>
                <w:sz w:val="20"/>
              </w:rPr>
              <w:t>370,903.36 mt</w:t>
            </w:r>
          </w:p>
        </w:tc>
        <w:tc>
          <w:tcPr>
            <w:tcW w:w="2518" w:type="dxa"/>
            <w:shd w:val="clear" w:color="auto" w:fill="auto"/>
          </w:tcPr>
          <w:p w14:paraId="5C43294C" w14:textId="77777777" w:rsidR="00555DA6" w:rsidRPr="00F325B1" w:rsidRDefault="00555DA6" w:rsidP="00B007EC">
            <w:pPr>
              <w:ind w:left="-110"/>
              <w:jc w:val="right"/>
              <w:rPr>
                <w:sz w:val="20"/>
              </w:rPr>
            </w:pPr>
            <w:r w:rsidRPr="00F325B1">
              <w:rPr>
                <w:sz w:val="20"/>
              </w:rPr>
              <w:t>669,563,731 CO</w:t>
            </w:r>
            <w:r w:rsidRPr="00F325B1">
              <w:rPr>
                <w:sz w:val="20"/>
                <w:vertAlign w:val="subscript"/>
              </w:rPr>
              <w:t>2</w:t>
            </w:r>
            <w:r w:rsidRPr="00F325B1">
              <w:rPr>
                <w:sz w:val="20"/>
              </w:rPr>
              <w:t>-eq tonnes</w:t>
            </w:r>
          </w:p>
        </w:tc>
      </w:tr>
    </w:tbl>
    <w:p w14:paraId="2D869313" w14:textId="18C189E8" w:rsidR="00555DA6" w:rsidRPr="00F325B1" w:rsidRDefault="00555DA6" w:rsidP="00555DA6">
      <w:pPr>
        <w:spacing w:after="240"/>
        <w:rPr>
          <w:sz w:val="18"/>
          <w:szCs w:val="18"/>
        </w:rPr>
      </w:pPr>
      <w:r w:rsidRPr="00F325B1">
        <w:rPr>
          <w:sz w:val="18"/>
          <w:szCs w:val="18"/>
        </w:rPr>
        <w:t xml:space="preserve">* The consumption data for 2022 was updated to 666,491,379 </w:t>
      </w:r>
      <w:r w:rsidR="00F1534F" w:rsidRPr="00F325B1">
        <w:rPr>
          <w:sz w:val="20"/>
        </w:rPr>
        <w:t>CO</w:t>
      </w:r>
      <w:r w:rsidR="00F1534F" w:rsidRPr="00F325B1">
        <w:rPr>
          <w:sz w:val="20"/>
          <w:vertAlign w:val="subscript"/>
        </w:rPr>
        <w:t>2</w:t>
      </w:r>
      <w:r w:rsidR="00F1534F" w:rsidRPr="00F325B1">
        <w:rPr>
          <w:sz w:val="20"/>
        </w:rPr>
        <w:noBreakHyphen/>
        <w:t>eq tonnes</w:t>
      </w:r>
      <w:r w:rsidR="00F1534F" w:rsidRPr="00F325B1">
        <w:rPr>
          <w:sz w:val="18"/>
          <w:szCs w:val="18"/>
        </w:rPr>
        <w:t xml:space="preserve"> </w:t>
      </w:r>
      <w:r w:rsidRPr="00F325B1">
        <w:rPr>
          <w:sz w:val="18"/>
          <w:szCs w:val="18"/>
        </w:rPr>
        <w:t>and the consumption data for 2023 was at 769,361,542 </w:t>
      </w:r>
      <w:r w:rsidRPr="00F325B1">
        <w:rPr>
          <w:sz w:val="20"/>
        </w:rPr>
        <w:t>CO</w:t>
      </w:r>
      <w:r w:rsidRPr="00F325B1">
        <w:rPr>
          <w:sz w:val="20"/>
          <w:vertAlign w:val="subscript"/>
        </w:rPr>
        <w:t>2</w:t>
      </w:r>
      <w:r w:rsidRPr="00F325B1">
        <w:rPr>
          <w:sz w:val="20"/>
        </w:rPr>
        <w:noBreakHyphen/>
        <w:t>eq tonnes</w:t>
      </w:r>
      <w:r w:rsidRPr="00F325B1">
        <w:rPr>
          <w:sz w:val="18"/>
          <w:szCs w:val="18"/>
        </w:rPr>
        <w:t xml:space="preserve"> and posted on the Ozone Secretariat website in November 2024. The Multilateral Fund Secretariat did not have the breakdown of the consumption in mt at the time of posting of this document.</w:t>
      </w: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2875"/>
        <w:gridCol w:w="3160"/>
        <w:gridCol w:w="2704"/>
      </w:tblGrid>
      <w:tr w:rsidR="00555DA6" w:rsidRPr="00F325B1" w14:paraId="21BE2695" w14:textId="77777777" w:rsidTr="00B007EC">
        <w:trPr>
          <w:trHeight w:val="158"/>
          <w:jc w:val="center"/>
        </w:trPr>
        <w:tc>
          <w:tcPr>
            <w:tcW w:w="4315" w:type="dxa"/>
            <w:gridSpan w:val="2"/>
            <w:tcBorders>
              <w:left w:val="single" w:sz="4" w:space="0" w:color="auto"/>
              <w:bottom w:val="single" w:sz="4" w:space="0" w:color="auto"/>
              <w:right w:val="single" w:sz="4" w:space="0" w:color="auto"/>
            </w:tcBorders>
          </w:tcPr>
          <w:p w14:paraId="1EC505E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F325B1">
              <w:rPr>
                <w:b/>
                <w:sz w:val="20"/>
                <w:szCs w:val="20"/>
              </w:rPr>
              <w:t>Particular</w:t>
            </w:r>
          </w:p>
        </w:tc>
        <w:tc>
          <w:tcPr>
            <w:tcW w:w="3160" w:type="dxa"/>
            <w:tcBorders>
              <w:top w:val="single" w:sz="4" w:space="0" w:color="auto"/>
              <w:left w:val="single" w:sz="4" w:space="0" w:color="auto"/>
              <w:bottom w:val="single" w:sz="4" w:space="0" w:color="auto"/>
              <w:right w:val="single" w:sz="4" w:space="0" w:color="auto"/>
            </w:tcBorders>
          </w:tcPr>
          <w:p w14:paraId="077FA1F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highlight w:val="cyan"/>
              </w:rPr>
            </w:pPr>
            <w:r w:rsidRPr="00F325B1">
              <w:rPr>
                <w:b/>
                <w:bCs/>
                <w:sz w:val="20"/>
                <w:szCs w:val="20"/>
              </w:rPr>
              <w:t>Units</w:t>
            </w:r>
          </w:p>
        </w:tc>
        <w:tc>
          <w:tcPr>
            <w:tcW w:w="2704" w:type="dxa"/>
            <w:tcBorders>
              <w:top w:val="single" w:sz="4" w:space="0" w:color="auto"/>
              <w:left w:val="single" w:sz="4" w:space="0" w:color="auto"/>
              <w:bottom w:val="single" w:sz="4" w:space="0" w:color="auto"/>
              <w:right w:val="single" w:sz="4" w:space="0" w:color="auto"/>
            </w:tcBorders>
          </w:tcPr>
          <w:p w14:paraId="46756C07"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F325B1">
              <w:rPr>
                <w:b/>
                <w:bCs/>
                <w:sz w:val="20"/>
                <w:szCs w:val="20"/>
              </w:rPr>
              <w:t>HFC-410A</w:t>
            </w:r>
          </w:p>
        </w:tc>
      </w:tr>
      <w:tr w:rsidR="00555DA6" w:rsidRPr="00F325B1" w14:paraId="4CD2EB5E" w14:textId="77777777" w:rsidTr="00B007EC">
        <w:trPr>
          <w:trHeight w:val="117"/>
          <w:jc w:val="center"/>
        </w:trPr>
        <w:tc>
          <w:tcPr>
            <w:tcW w:w="4315" w:type="dxa"/>
            <w:gridSpan w:val="2"/>
            <w:vMerge w:val="restart"/>
            <w:tcBorders>
              <w:top w:val="single" w:sz="4" w:space="0" w:color="auto"/>
              <w:left w:val="single" w:sz="4" w:space="0" w:color="auto"/>
              <w:right w:val="single" w:sz="4" w:space="0" w:color="auto"/>
            </w:tcBorders>
          </w:tcPr>
          <w:p w14:paraId="16DAD409"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F325B1">
              <w:rPr>
                <w:bCs/>
                <w:sz w:val="20"/>
                <w:szCs w:val="20"/>
              </w:rPr>
              <w:t>HFC to be avoided through this project:</w:t>
            </w:r>
          </w:p>
        </w:tc>
        <w:tc>
          <w:tcPr>
            <w:tcW w:w="3160" w:type="dxa"/>
            <w:tcBorders>
              <w:top w:val="single" w:sz="4" w:space="0" w:color="auto"/>
              <w:left w:val="single" w:sz="4" w:space="0" w:color="auto"/>
              <w:bottom w:val="single" w:sz="4" w:space="0" w:color="auto"/>
              <w:right w:val="single" w:sz="4" w:space="0" w:color="auto"/>
            </w:tcBorders>
            <w:shd w:val="clear" w:color="auto" w:fill="auto"/>
          </w:tcPr>
          <w:p w14:paraId="64050FB2"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mt</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13802D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4,320</w:t>
            </w:r>
          </w:p>
        </w:tc>
      </w:tr>
      <w:tr w:rsidR="00555DA6" w:rsidRPr="00F325B1" w14:paraId="3A0558BC" w14:textId="77777777" w:rsidTr="00B007EC">
        <w:trPr>
          <w:trHeight w:val="46"/>
          <w:jc w:val="center"/>
        </w:trPr>
        <w:tc>
          <w:tcPr>
            <w:tcW w:w="4315" w:type="dxa"/>
            <w:gridSpan w:val="2"/>
            <w:vMerge/>
            <w:tcBorders>
              <w:left w:val="single" w:sz="4" w:space="0" w:color="auto"/>
              <w:bottom w:val="single" w:sz="4" w:space="0" w:color="auto"/>
              <w:right w:val="single" w:sz="4" w:space="0" w:color="auto"/>
            </w:tcBorders>
          </w:tcPr>
          <w:p w14:paraId="529C647E"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3160" w:type="dxa"/>
            <w:tcBorders>
              <w:top w:val="single" w:sz="4" w:space="0" w:color="auto"/>
              <w:left w:val="single" w:sz="4" w:space="0" w:color="auto"/>
              <w:bottom w:val="single" w:sz="4" w:space="0" w:color="auto"/>
              <w:right w:val="single" w:sz="4" w:space="0" w:color="auto"/>
            </w:tcBorders>
            <w:shd w:val="clear" w:color="auto" w:fill="auto"/>
          </w:tcPr>
          <w:p w14:paraId="54C80C77"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CO</w:t>
            </w:r>
            <w:r w:rsidRPr="00F325B1">
              <w:rPr>
                <w:sz w:val="20"/>
                <w:szCs w:val="20"/>
                <w:vertAlign w:val="subscript"/>
              </w:rPr>
              <w:t>2</w:t>
            </w:r>
            <w:r w:rsidRPr="00F325B1">
              <w:rPr>
                <w:sz w:val="20"/>
                <w:szCs w:val="20"/>
              </w:rPr>
              <w:t>-eq tonnes</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993112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9,020,160</w:t>
            </w:r>
          </w:p>
        </w:tc>
      </w:tr>
      <w:tr w:rsidR="00555DA6" w:rsidRPr="00F325B1" w14:paraId="5EF8BB5B" w14:textId="77777777" w:rsidTr="00B007EC">
        <w:trPr>
          <w:trHeight w:val="619"/>
          <w:jc w:val="center"/>
        </w:trPr>
        <w:tc>
          <w:tcPr>
            <w:tcW w:w="4315" w:type="dxa"/>
            <w:gridSpan w:val="2"/>
            <w:tcBorders>
              <w:top w:val="single" w:sz="4" w:space="0" w:color="auto"/>
              <w:left w:val="single" w:sz="4" w:space="0" w:color="auto"/>
              <w:right w:val="single" w:sz="4" w:space="0" w:color="auto"/>
            </w:tcBorders>
          </w:tcPr>
          <w:p w14:paraId="7A2A092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bCs/>
                <w:sz w:val="20"/>
                <w:szCs w:val="20"/>
              </w:rPr>
            </w:pPr>
            <w:r w:rsidRPr="00F325B1">
              <w:rPr>
                <w:bCs/>
                <w:sz w:val="20"/>
                <w:szCs w:val="20"/>
              </w:rPr>
              <w:t>Alternative to be phased in:</w:t>
            </w:r>
          </w:p>
        </w:tc>
        <w:tc>
          <w:tcPr>
            <w:tcW w:w="5864" w:type="dxa"/>
            <w:gridSpan w:val="2"/>
            <w:tcBorders>
              <w:top w:val="single" w:sz="4" w:space="0" w:color="auto"/>
              <w:left w:val="single" w:sz="4" w:space="0" w:color="auto"/>
              <w:right w:val="single" w:sz="4" w:space="0" w:color="auto"/>
            </w:tcBorders>
          </w:tcPr>
          <w:p w14:paraId="39ADE360"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bCs/>
                <w:sz w:val="20"/>
                <w:szCs w:val="20"/>
              </w:rPr>
            </w:pPr>
            <w:r w:rsidRPr="00F325B1">
              <w:rPr>
                <w:bCs/>
                <w:sz w:val="20"/>
                <w:szCs w:val="20"/>
              </w:rPr>
              <w:t>A proprietary liquid coolant, Bing Yi 797 owned by the enterprise Tianjin Tier, a subsidiary of Anhui Tier Liquid Cooling Technology Co., Ltd. which developed the immersion cooling technology, and will be leading the implementation of the project. It is a synthetic oil coolant composed mainly of hydrogenated polidocanol (90-99.8 per cent) and compound antioxidants (0.2-0.9 per cent), with no aromatic HCs</w:t>
            </w:r>
          </w:p>
        </w:tc>
      </w:tr>
      <w:tr w:rsidR="00555DA6" w:rsidRPr="00F325B1" w14:paraId="01ACAADC"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073877F7"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Project duration (months):</w:t>
            </w:r>
          </w:p>
        </w:tc>
        <w:tc>
          <w:tcPr>
            <w:tcW w:w="5864" w:type="dxa"/>
            <w:gridSpan w:val="2"/>
            <w:tcBorders>
              <w:top w:val="single" w:sz="4" w:space="0" w:color="auto"/>
              <w:left w:val="single" w:sz="4" w:space="0" w:color="auto"/>
              <w:bottom w:val="single" w:sz="4" w:space="0" w:color="auto"/>
              <w:right w:val="single" w:sz="4" w:space="0" w:color="auto"/>
            </w:tcBorders>
            <w:shd w:val="clear" w:color="auto" w:fill="auto"/>
          </w:tcPr>
          <w:p w14:paraId="1C5EF368" w14:textId="77777777" w:rsidR="00555DA6" w:rsidRPr="00F325B1" w:rsidRDefault="00555DA6" w:rsidP="00B007EC">
            <w:pPr>
              <w:jc w:val="right"/>
              <w:rPr>
                <w:sz w:val="20"/>
                <w:szCs w:val="20"/>
                <w:highlight w:val="cyan"/>
              </w:rPr>
            </w:pPr>
            <w:r w:rsidRPr="00F325B1">
              <w:rPr>
                <w:sz w:val="20"/>
                <w:szCs w:val="20"/>
              </w:rPr>
              <w:t>24</w:t>
            </w:r>
          </w:p>
        </w:tc>
      </w:tr>
      <w:tr w:rsidR="00555DA6" w:rsidRPr="00F325B1" w14:paraId="4078EBE0"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582377B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Initial amount requested (US $):</w:t>
            </w:r>
          </w:p>
        </w:tc>
        <w:tc>
          <w:tcPr>
            <w:tcW w:w="5864" w:type="dxa"/>
            <w:gridSpan w:val="2"/>
            <w:tcBorders>
              <w:top w:val="single" w:sz="4" w:space="0" w:color="auto"/>
              <w:left w:val="single" w:sz="4" w:space="0" w:color="auto"/>
              <w:bottom w:val="single" w:sz="4" w:space="0" w:color="auto"/>
              <w:right w:val="single" w:sz="4" w:space="0" w:color="auto"/>
            </w:tcBorders>
          </w:tcPr>
          <w:p w14:paraId="63B561E1"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r w:rsidRPr="00F325B1">
              <w:rPr>
                <w:rFonts w:eastAsia="SimSun"/>
                <w:sz w:val="20"/>
                <w:szCs w:val="20"/>
              </w:rPr>
              <w:t>2,456,900</w:t>
            </w:r>
          </w:p>
        </w:tc>
      </w:tr>
      <w:tr w:rsidR="00555DA6" w:rsidRPr="00F325B1" w14:paraId="377763C6"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79FDC2DE"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Final project costs (US $):</w:t>
            </w:r>
          </w:p>
        </w:tc>
        <w:tc>
          <w:tcPr>
            <w:tcW w:w="5864" w:type="dxa"/>
            <w:gridSpan w:val="2"/>
            <w:tcBorders>
              <w:top w:val="single" w:sz="4" w:space="0" w:color="auto"/>
              <w:left w:val="single" w:sz="4" w:space="0" w:color="auto"/>
              <w:bottom w:val="single" w:sz="4" w:space="0" w:color="auto"/>
              <w:right w:val="single" w:sz="4" w:space="0" w:color="auto"/>
            </w:tcBorders>
          </w:tcPr>
          <w:p w14:paraId="1729BE5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p>
        </w:tc>
      </w:tr>
      <w:tr w:rsidR="00555DA6" w:rsidRPr="00F325B1" w14:paraId="0E8CC85B" w14:textId="77777777" w:rsidTr="00B007EC">
        <w:trPr>
          <w:trHeight w:val="230"/>
          <w:jc w:val="center"/>
        </w:trPr>
        <w:tc>
          <w:tcPr>
            <w:tcW w:w="1440" w:type="dxa"/>
            <w:tcBorders>
              <w:top w:val="single" w:sz="4" w:space="0" w:color="auto"/>
              <w:left w:val="single" w:sz="4" w:space="0" w:color="auto"/>
              <w:bottom w:val="single" w:sz="4" w:space="0" w:color="auto"/>
              <w:right w:val="nil"/>
            </w:tcBorders>
          </w:tcPr>
          <w:p w14:paraId="7A3B72C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875" w:type="dxa"/>
            <w:tcBorders>
              <w:top w:val="single" w:sz="4" w:space="0" w:color="auto"/>
              <w:left w:val="nil"/>
              <w:bottom w:val="single" w:sz="4" w:space="0" w:color="auto"/>
              <w:right w:val="single" w:sz="4" w:space="0" w:color="auto"/>
            </w:tcBorders>
          </w:tcPr>
          <w:p w14:paraId="55B01470"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108"/>
              <w:rPr>
                <w:sz w:val="20"/>
                <w:szCs w:val="20"/>
              </w:rPr>
            </w:pPr>
            <w:r w:rsidRPr="00F325B1">
              <w:rPr>
                <w:sz w:val="20"/>
                <w:szCs w:val="20"/>
              </w:rPr>
              <w:t>Capital cost:</w:t>
            </w:r>
          </w:p>
        </w:tc>
        <w:tc>
          <w:tcPr>
            <w:tcW w:w="5864" w:type="dxa"/>
            <w:gridSpan w:val="2"/>
            <w:tcBorders>
              <w:top w:val="single" w:sz="4" w:space="0" w:color="auto"/>
              <w:left w:val="single" w:sz="4" w:space="0" w:color="auto"/>
              <w:bottom w:val="single" w:sz="4" w:space="0" w:color="auto"/>
              <w:right w:val="single" w:sz="4" w:space="0" w:color="auto"/>
            </w:tcBorders>
          </w:tcPr>
          <w:p w14:paraId="5F0CF12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1,790,800</w:t>
            </w:r>
          </w:p>
        </w:tc>
      </w:tr>
      <w:tr w:rsidR="00555DA6" w:rsidRPr="00F325B1" w14:paraId="7513A0C6" w14:textId="77777777" w:rsidTr="00B007EC">
        <w:trPr>
          <w:trHeight w:val="230"/>
          <w:jc w:val="center"/>
        </w:trPr>
        <w:tc>
          <w:tcPr>
            <w:tcW w:w="1440" w:type="dxa"/>
            <w:tcBorders>
              <w:top w:val="single" w:sz="4" w:space="0" w:color="auto"/>
              <w:left w:val="single" w:sz="4" w:space="0" w:color="auto"/>
              <w:bottom w:val="single" w:sz="4" w:space="0" w:color="auto"/>
              <w:right w:val="nil"/>
            </w:tcBorders>
          </w:tcPr>
          <w:p w14:paraId="49EEF45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875" w:type="dxa"/>
            <w:tcBorders>
              <w:top w:val="single" w:sz="4" w:space="0" w:color="auto"/>
              <w:left w:val="nil"/>
              <w:bottom w:val="single" w:sz="4" w:space="0" w:color="auto"/>
              <w:right w:val="single" w:sz="4" w:space="0" w:color="auto"/>
            </w:tcBorders>
          </w:tcPr>
          <w:p w14:paraId="6F20B107"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216"/>
              <w:rPr>
                <w:sz w:val="20"/>
                <w:szCs w:val="20"/>
              </w:rPr>
            </w:pPr>
            <w:r w:rsidRPr="00F325B1">
              <w:rPr>
                <w:sz w:val="20"/>
                <w:szCs w:val="20"/>
              </w:rPr>
              <w:t xml:space="preserve">Contingency (10%): </w:t>
            </w:r>
          </w:p>
        </w:tc>
        <w:tc>
          <w:tcPr>
            <w:tcW w:w="5864" w:type="dxa"/>
            <w:gridSpan w:val="2"/>
            <w:tcBorders>
              <w:top w:val="single" w:sz="4" w:space="0" w:color="auto"/>
              <w:left w:val="single" w:sz="4" w:space="0" w:color="auto"/>
              <w:bottom w:val="single" w:sz="4" w:space="0" w:color="auto"/>
              <w:right w:val="single" w:sz="4" w:space="0" w:color="auto"/>
            </w:tcBorders>
          </w:tcPr>
          <w:p w14:paraId="54344A4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Not requested</w:t>
            </w:r>
          </w:p>
        </w:tc>
      </w:tr>
      <w:tr w:rsidR="00555DA6" w:rsidRPr="00F325B1" w14:paraId="06E44F7A" w14:textId="77777777" w:rsidTr="00B007EC">
        <w:trPr>
          <w:trHeight w:val="230"/>
          <w:jc w:val="center"/>
        </w:trPr>
        <w:tc>
          <w:tcPr>
            <w:tcW w:w="1440" w:type="dxa"/>
            <w:tcBorders>
              <w:top w:val="single" w:sz="4" w:space="0" w:color="auto"/>
              <w:left w:val="single" w:sz="4" w:space="0" w:color="auto"/>
              <w:bottom w:val="single" w:sz="4" w:space="0" w:color="auto"/>
              <w:right w:val="nil"/>
            </w:tcBorders>
          </w:tcPr>
          <w:p w14:paraId="0D0BB13C"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875" w:type="dxa"/>
            <w:tcBorders>
              <w:top w:val="single" w:sz="4" w:space="0" w:color="auto"/>
              <w:left w:val="nil"/>
              <w:bottom w:val="single" w:sz="4" w:space="0" w:color="auto"/>
              <w:right w:val="single" w:sz="4" w:space="0" w:color="auto"/>
            </w:tcBorders>
          </w:tcPr>
          <w:p w14:paraId="149B1474"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126"/>
              <w:rPr>
                <w:sz w:val="20"/>
                <w:szCs w:val="20"/>
              </w:rPr>
            </w:pPr>
            <w:r w:rsidRPr="00F325B1">
              <w:rPr>
                <w:sz w:val="20"/>
                <w:szCs w:val="20"/>
              </w:rPr>
              <w:t xml:space="preserve">Operating cost: </w:t>
            </w:r>
          </w:p>
        </w:tc>
        <w:tc>
          <w:tcPr>
            <w:tcW w:w="5864" w:type="dxa"/>
            <w:gridSpan w:val="2"/>
            <w:tcBorders>
              <w:top w:val="single" w:sz="4" w:space="0" w:color="auto"/>
              <w:left w:val="single" w:sz="4" w:space="0" w:color="auto"/>
              <w:bottom w:val="single" w:sz="4" w:space="0" w:color="auto"/>
              <w:right w:val="single" w:sz="4" w:space="0" w:color="auto"/>
            </w:tcBorders>
          </w:tcPr>
          <w:p w14:paraId="1C6C6ED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Not requested</w:t>
            </w:r>
          </w:p>
        </w:tc>
      </w:tr>
      <w:tr w:rsidR="00555DA6" w:rsidRPr="00F325B1" w14:paraId="4FEDCABF" w14:textId="77777777" w:rsidTr="00B007EC">
        <w:trPr>
          <w:trHeight w:val="230"/>
          <w:jc w:val="center"/>
        </w:trPr>
        <w:tc>
          <w:tcPr>
            <w:tcW w:w="1440" w:type="dxa"/>
            <w:tcBorders>
              <w:top w:val="single" w:sz="4" w:space="0" w:color="auto"/>
              <w:left w:val="single" w:sz="4" w:space="0" w:color="auto"/>
              <w:bottom w:val="single" w:sz="4" w:space="0" w:color="auto"/>
              <w:right w:val="nil"/>
            </w:tcBorders>
          </w:tcPr>
          <w:p w14:paraId="7FC99EFC"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2875" w:type="dxa"/>
            <w:tcBorders>
              <w:top w:val="single" w:sz="4" w:space="0" w:color="auto"/>
              <w:left w:val="nil"/>
              <w:bottom w:val="single" w:sz="4" w:space="0" w:color="auto"/>
              <w:right w:val="single" w:sz="4" w:space="0" w:color="auto"/>
            </w:tcBorders>
          </w:tcPr>
          <w:p w14:paraId="74E51511" w14:textId="77777777" w:rsidR="00555DA6" w:rsidRPr="00F325B1" w:rsidRDefault="00555DA6" w:rsidP="00B007EC">
            <w:pPr>
              <w:tabs>
                <w:tab w:val="left" w:pos="-717"/>
                <w:tab w:val="left" w:pos="5042"/>
                <w:tab w:val="left" w:pos="5762"/>
                <w:tab w:val="left" w:pos="6482"/>
                <w:tab w:val="left" w:pos="7202"/>
                <w:tab w:val="left" w:pos="7922"/>
              </w:tabs>
              <w:spacing w:line="225" w:lineRule="auto"/>
              <w:ind w:right="517"/>
              <w:rPr>
                <w:sz w:val="20"/>
                <w:szCs w:val="20"/>
              </w:rPr>
            </w:pPr>
            <w:r w:rsidRPr="00F325B1">
              <w:rPr>
                <w:sz w:val="20"/>
                <w:szCs w:val="20"/>
              </w:rPr>
              <w:t xml:space="preserve">Total project cost: </w:t>
            </w:r>
          </w:p>
        </w:tc>
        <w:tc>
          <w:tcPr>
            <w:tcW w:w="5864" w:type="dxa"/>
            <w:gridSpan w:val="2"/>
            <w:tcBorders>
              <w:top w:val="single" w:sz="4" w:space="0" w:color="auto"/>
              <w:left w:val="single" w:sz="4" w:space="0" w:color="auto"/>
              <w:bottom w:val="single" w:sz="4" w:space="0" w:color="auto"/>
              <w:right w:val="single" w:sz="4" w:space="0" w:color="auto"/>
            </w:tcBorders>
          </w:tcPr>
          <w:p w14:paraId="13662032"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1,790,800</w:t>
            </w:r>
          </w:p>
        </w:tc>
      </w:tr>
      <w:tr w:rsidR="00555DA6" w:rsidRPr="00F325B1" w14:paraId="7C59A138"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7087DE25"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Local ownership (%):</w:t>
            </w:r>
          </w:p>
        </w:tc>
        <w:tc>
          <w:tcPr>
            <w:tcW w:w="5864" w:type="dxa"/>
            <w:gridSpan w:val="2"/>
            <w:tcBorders>
              <w:top w:val="single" w:sz="4" w:space="0" w:color="auto"/>
              <w:left w:val="single" w:sz="4" w:space="0" w:color="auto"/>
              <w:bottom w:val="single" w:sz="4" w:space="0" w:color="auto"/>
              <w:right w:val="single" w:sz="4" w:space="0" w:color="auto"/>
            </w:tcBorders>
          </w:tcPr>
          <w:p w14:paraId="27622CB3" w14:textId="77777777" w:rsidR="00555DA6" w:rsidRPr="00F325B1" w:rsidRDefault="00555DA6" w:rsidP="00B007EC">
            <w:pPr>
              <w:pStyle w:val="Footer1"/>
              <w:jc w:val="right"/>
              <w:rPr>
                <w:lang w:val="en-CA"/>
              </w:rPr>
            </w:pPr>
            <w:r w:rsidRPr="00F325B1">
              <w:rPr>
                <w:lang w:val="en-CA"/>
              </w:rPr>
              <w:t xml:space="preserve">100 </w:t>
            </w:r>
          </w:p>
        </w:tc>
      </w:tr>
      <w:tr w:rsidR="00555DA6" w:rsidRPr="00F325B1" w14:paraId="166D0342"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158AEB8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Export component (%):</w:t>
            </w:r>
          </w:p>
        </w:tc>
        <w:tc>
          <w:tcPr>
            <w:tcW w:w="5864" w:type="dxa"/>
            <w:gridSpan w:val="2"/>
            <w:tcBorders>
              <w:top w:val="single" w:sz="4" w:space="0" w:color="auto"/>
              <w:left w:val="single" w:sz="4" w:space="0" w:color="auto"/>
              <w:bottom w:val="single" w:sz="4" w:space="0" w:color="auto"/>
              <w:right w:val="single" w:sz="4" w:space="0" w:color="auto"/>
            </w:tcBorders>
          </w:tcPr>
          <w:p w14:paraId="0D79D85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 xml:space="preserve">0 </w:t>
            </w:r>
          </w:p>
        </w:tc>
      </w:tr>
      <w:tr w:rsidR="00555DA6" w:rsidRPr="00F325B1" w14:paraId="42DA562C"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6F22AE4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Requested grant (US $):</w:t>
            </w:r>
          </w:p>
        </w:tc>
        <w:tc>
          <w:tcPr>
            <w:tcW w:w="5864" w:type="dxa"/>
            <w:gridSpan w:val="2"/>
            <w:tcBorders>
              <w:top w:val="single" w:sz="4" w:space="0" w:color="auto"/>
              <w:left w:val="single" w:sz="4" w:space="0" w:color="auto"/>
              <w:bottom w:val="single" w:sz="4" w:space="0" w:color="auto"/>
              <w:right w:val="single" w:sz="4" w:space="0" w:color="auto"/>
            </w:tcBorders>
          </w:tcPr>
          <w:p w14:paraId="2085AA1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1,790,800</w:t>
            </w:r>
          </w:p>
        </w:tc>
      </w:tr>
      <w:tr w:rsidR="00555DA6" w:rsidRPr="00F325B1" w14:paraId="2EA02095"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4D28A376"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Implementing agency support cost (US $):</w:t>
            </w:r>
          </w:p>
        </w:tc>
        <w:tc>
          <w:tcPr>
            <w:tcW w:w="5864" w:type="dxa"/>
            <w:gridSpan w:val="2"/>
            <w:tcBorders>
              <w:top w:val="single" w:sz="4" w:space="0" w:color="auto"/>
              <w:left w:val="single" w:sz="4" w:space="0" w:color="auto"/>
              <w:bottom w:val="single" w:sz="4" w:space="0" w:color="auto"/>
              <w:right w:val="single" w:sz="4" w:space="0" w:color="auto"/>
            </w:tcBorders>
          </w:tcPr>
          <w:p w14:paraId="2B13B8A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125,356</w:t>
            </w:r>
          </w:p>
        </w:tc>
      </w:tr>
      <w:tr w:rsidR="00555DA6" w:rsidRPr="00F325B1" w14:paraId="17A68FC9"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500ED14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Total cost of project to Multilateral Fund (US $):</w:t>
            </w:r>
          </w:p>
        </w:tc>
        <w:tc>
          <w:tcPr>
            <w:tcW w:w="5864" w:type="dxa"/>
            <w:gridSpan w:val="2"/>
            <w:tcBorders>
              <w:top w:val="single" w:sz="4" w:space="0" w:color="auto"/>
              <w:left w:val="single" w:sz="4" w:space="0" w:color="auto"/>
              <w:bottom w:val="single" w:sz="4" w:space="0" w:color="auto"/>
              <w:right w:val="single" w:sz="4" w:space="0" w:color="auto"/>
            </w:tcBorders>
          </w:tcPr>
          <w:p w14:paraId="637EEF1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1,916,156</w:t>
            </w:r>
          </w:p>
        </w:tc>
      </w:tr>
      <w:tr w:rsidR="00555DA6" w:rsidRPr="00F325B1" w14:paraId="4276438F"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6BE6CA5D"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Energy efficiency savings (US $/MWh):</w:t>
            </w:r>
          </w:p>
        </w:tc>
        <w:tc>
          <w:tcPr>
            <w:tcW w:w="5864" w:type="dxa"/>
            <w:gridSpan w:val="2"/>
            <w:tcBorders>
              <w:top w:val="single" w:sz="4" w:space="0" w:color="auto"/>
              <w:left w:val="single" w:sz="4" w:space="0" w:color="auto"/>
              <w:bottom w:val="single" w:sz="4" w:space="0" w:color="auto"/>
              <w:right w:val="single" w:sz="4" w:space="0" w:color="auto"/>
            </w:tcBorders>
          </w:tcPr>
          <w:p w14:paraId="0FEE4268"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3.55</w:t>
            </w:r>
          </w:p>
        </w:tc>
      </w:tr>
      <w:tr w:rsidR="00555DA6" w:rsidRPr="00F325B1" w14:paraId="1B9F5CB4"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4E0A8C21"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Status of counterpart funding (Y/N):</w:t>
            </w:r>
          </w:p>
        </w:tc>
        <w:tc>
          <w:tcPr>
            <w:tcW w:w="5864" w:type="dxa"/>
            <w:gridSpan w:val="2"/>
            <w:tcBorders>
              <w:top w:val="single" w:sz="4" w:space="0" w:color="auto"/>
              <w:left w:val="single" w:sz="4" w:space="0" w:color="auto"/>
              <w:bottom w:val="single" w:sz="4" w:space="0" w:color="auto"/>
              <w:right w:val="single" w:sz="4" w:space="0" w:color="auto"/>
            </w:tcBorders>
          </w:tcPr>
          <w:p w14:paraId="05AEBD43"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Y</w:t>
            </w:r>
          </w:p>
        </w:tc>
      </w:tr>
      <w:tr w:rsidR="00555DA6" w:rsidRPr="00F325B1" w14:paraId="35A23A4F" w14:textId="77777777" w:rsidTr="00B007EC">
        <w:trPr>
          <w:trHeight w:val="230"/>
          <w:jc w:val="center"/>
        </w:trPr>
        <w:tc>
          <w:tcPr>
            <w:tcW w:w="4315" w:type="dxa"/>
            <w:gridSpan w:val="2"/>
            <w:tcBorders>
              <w:top w:val="single" w:sz="4" w:space="0" w:color="auto"/>
              <w:left w:val="single" w:sz="4" w:space="0" w:color="auto"/>
              <w:bottom w:val="single" w:sz="4" w:space="0" w:color="auto"/>
              <w:right w:val="single" w:sz="4" w:space="0" w:color="auto"/>
            </w:tcBorders>
          </w:tcPr>
          <w:p w14:paraId="4BB4230E"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Project monitoring milestones included (Y/N):</w:t>
            </w:r>
          </w:p>
        </w:tc>
        <w:tc>
          <w:tcPr>
            <w:tcW w:w="5864" w:type="dxa"/>
            <w:gridSpan w:val="2"/>
            <w:tcBorders>
              <w:top w:val="single" w:sz="4" w:space="0" w:color="auto"/>
              <w:left w:val="single" w:sz="4" w:space="0" w:color="auto"/>
              <w:bottom w:val="single" w:sz="4" w:space="0" w:color="auto"/>
              <w:right w:val="single" w:sz="4" w:space="0" w:color="auto"/>
            </w:tcBorders>
          </w:tcPr>
          <w:p w14:paraId="58B1BCBB"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Y</w:t>
            </w:r>
          </w:p>
        </w:tc>
      </w:tr>
      <w:tr w:rsidR="00555DA6" w:rsidRPr="00F325B1" w14:paraId="70918DCD" w14:textId="77777777" w:rsidTr="00B007EC">
        <w:trPr>
          <w:trHeight w:val="232"/>
          <w:jc w:val="center"/>
        </w:trPr>
        <w:tc>
          <w:tcPr>
            <w:tcW w:w="4315" w:type="dxa"/>
            <w:gridSpan w:val="2"/>
            <w:tcBorders>
              <w:top w:val="single" w:sz="4" w:space="0" w:color="auto"/>
              <w:left w:val="single" w:sz="4" w:space="0" w:color="auto"/>
              <w:bottom w:val="single" w:sz="4" w:space="0" w:color="auto"/>
              <w:right w:val="single" w:sz="4" w:space="0" w:color="auto"/>
            </w:tcBorders>
          </w:tcPr>
          <w:p w14:paraId="2BA3C384"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F325B1">
              <w:rPr>
                <w:sz w:val="20"/>
                <w:szCs w:val="20"/>
              </w:rPr>
              <w:t>Minimum energy performance standards available for the relevant sector (Y/N):</w:t>
            </w:r>
          </w:p>
        </w:tc>
        <w:tc>
          <w:tcPr>
            <w:tcW w:w="5864" w:type="dxa"/>
            <w:gridSpan w:val="2"/>
            <w:tcBorders>
              <w:top w:val="single" w:sz="4" w:space="0" w:color="auto"/>
              <w:left w:val="single" w:sz="4" w:space="0" w:color="auto"/>
              <w:bottom w:val="single" w:sz="4" w:space="0" w:color="auto"/>
              <w:right w:val="single" w:sz="4" w:space="0" w:color="auto"/>
            </w:tcBorders>
          </w:tcPr>
          <w:p w14:paraId="44905820"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F325B1">
              <w:rPr>
                <w:sz w:val="20"/>
                <w:szCs w:val="20"/>
              </w:rPr>
              <w:t>Not Available</w:t>
            </w:r>
          </w:p>
        </w:tc>
      </w:tr>
    </w:tbl>
    <w:p w14:paraId="1AF9EAEF" w14:textId="77777777" w:rsidR="00555DA6" w:rsidRPr="00F325B1" w:rsidRDefault="00555DA6" w:rsidP="00555DA6">
      <w:pPr>
        <w:tabs>
          <w:tab w:val="left" w:pos="4428"/>
        </w:tabs>
        <w:spacing w:line="225" w:lineRule="auto"/>
        <w:ind w:left="113"/>
        <w:jc w:val="left"/>
        <w:rPr>
          <w:sz w:val="20"/>
          <w:szCs w:val="20"/>
        </w:rPr>
      </w:pPr>
      <w:r w:rsidRPr="00F325B1">
        <w:rPr>
          <w:sz w:val="20"/>
          <w:szCs w:val="20"/>
        </w:rPr>
        <w:tab/>
      </w:r>
    </w:p>
    <w:p w14:paraId="00B6973D" w14:textId="77777777" w:rsidR="00555DA6" w:rsidRPr="00F325B1" w:rsidRDefault="00555DA6" w:rsidP="00555DA6">
      <w:pPr>
        <w:tabs>
          <w:tab w:val="left" w:pos="4428"/>
        </w:tabs>
        <w:spacing w:line="225" w:lineRule="auto"/>
        <w:ind w:left="113"/>
        <w:jc w:val="left"/>
        <w:rPr>
          <w:sz w:val="20"/>
          <w:szCs w:val="20"/>
        </w:rPr>
      </w:pPr>
      <w:r w:rsidRPr="00F325B1">
        <w:rPr>
          <w:sz w:val="20"/>
          <w:szCs w:val="20"/>
        </w:rPr>
        <w:tab/>
      </w: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5864"/>
      </w:tblGrid>
      <w:tr w:rsidR="00555DA6" w:rsidRPr="00F325B1" w14:paraId="297FDC8B" w14:textId="77777777" w:rsidTr="00B007EC">
        <w:trPr>
          <w:trHeight w:val="134"/>
          <w:jc w:val="center"/>
        </w:trPr>
        <w:tc>
          <w:tcPr>
            <w:tcW w:w="4315" w:type="dxa"/>
            <w:tcBorders>
              <w:top w:val="single" w:sz="4" w:space="0" w:color="auto"/>
              <w:left w:val="single" w:sz="4" w:space="0" w:color="auto"/>
              <w:bottom w:val="single" w:sz="4" w:space="0" w:color="auto"/>
              <w:right w:val="single" w:sz="4" w:space="0" w:color="auto"/>
            </w:tcBorders>
          </w:tcPr>
          <w:p w14:paraId="77D4AC6A"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F325B1">
              <w:rPr>
                <w:b/>
                <w:sz w:val="20"/>
                <w:szCs w:val="20"/>
              </w:rPr>
              <w:t>SECRETARIAT’S RECOMMENDATION</w:t>
            </w:r>
          </w:p>
        </w:tc>
        <w:tc>
          <w:tcPr>
            <w:tcW w:w="5864" w:type="dxa"/>
            <w:tcBorders>
              <w:top w:val="single" w:sz="4" w:space="0" w:color="auto"/>
              <w:left w:val="single" w:sz="4" w:space="0" w:color="auto"/>
              <w:bottom w:val="single" w:sz="4" w:space="0" w:color="auto"/>
              <w:right w:val="single" w:sz="4" w:space="0" w:color="auto"/>
            </w:tcBorders>
          </w:tcPr>
          <w:p w14:paraId="34E7539F" w14:textId="77777777" w:rsidR="00555DA6" w:rsidRPr="00F325B1" w:rsidRDefault="00555DA6" w:rsidP="00B007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F325B1">
              <w:rPr>
                <w:sz w:val="20"/>
                <w:szCs w:val="20"/>
              </w:rPr>
              <w:t>Individual consideration</w:t>
            </w:r>
          </w:p>
        </w:tc>
      </w:tr>
    </w:tbl>
    <w:p w14:paraId="293C9BE9" w14:textId="77777777" w:rsidR="00555DA6" w:rsidRPr="00F325B1" w:rsidRDefault="00555DA6" w:rsidP="00555DA6">
      <w:pPr>
        <w:widowControl w:val="0"/>
        <w:spacing w:after="240"/>
        <w:jc w:val="left"/>
        <w:outlineLvl w:val="2"/>
        <w:rPr>
          <w:bCs/>
          <w:sz w:val="18"/>
          <w:szCs w:val="18"/>
        </w:rPr>
      </w:pPr>
      <w:r w:rsidRPr="00F325B1">
        <w:rPr>
          <w:bCs/>
          <w:sz w:val="18"/>
          <w:szCs w:val="18"/>
        </w:rPr>
        <w:br w:type="page"/>
      </w:r>
    </w:p>
    <w:p w14:paraId="15360433" w14:textId="77777777" w:rsidR="00555DA6" w:rsidRPr="00F325B1" w:rsidRDefault="00555DA6" w:rsidP="00555DA6">
      <w:pPr>
        <w:widowControl w:val="0"/>
        <w:tabs>
          <w:tab w:val="left" w:pos="2880"/>
          <w:tab w:val="left" w:pos="5760"/>
        </w:tabs>
        <w:spacing w:before="240" w:after="240"/>
        <w:jc w:val="center"/>
        <w:rPr>
          <w:b/>
        </w:rPr>
      </w:pPr>
      <w:r w:rsidRPr="00F325B1">
        <w:rPr>
          <w:b/>
        </w:rPr>
        <w:lastRenderedPageBreak/>
        <w:t>PROJECT DESCRIPTION</w:t>
      </w:r>
    </w:p>
    <w:p w14:paraId="544BE81A" w14:textId="77777777" w:rsidR="00555DA6" w:rsidRPr="00F325B1" w:rsidRDefault="00555DA6" w:rsidP="00555DA6">
      <w:pPr>
        <w:spacing w:after="240"/>
        <w:rPr>
          <w:b/>
        </w:rPr>
      </w:pPr>
      <w:r w:rsidRPr="00F325B1">
        <w:rPr>
          <w:b/>
        </w:rPr>
        <w:t>Background</w:t>
      </w:r>
    </w:p>
    <w:p w14:paraId="7F140389" w14:textId="77777777" w:rsidR="00555DA6" w:rsidRPr="00F325B1" w:rsidRDefault="00555DA6" w:rsidP="00555DA6">
      <w:pPr>
        <w:pStyle w:val="Heading1"/>
      </w:pPr>
      <w:r w:rsidRPr="00F325B1">
        <w:t>On behalf of the Government of China, UNDP has submitted, in line with decision 91/65, a request for a demonstration project for a single-phase immersion cooling system in a data centre in the amount of US $2,456,900, plus agency support cost of US $171,983, as originally submitted.</w:t>
      </w:r>
      <w:r w:rsidRPr="00F325B1">
        <w:rPr>
          <w:vertAlign w:val="superscript"/>
        </w:rPr>
        <w:footnoteReference w:id="2"/>
      </w:r>
      <w:r w:rsidRPr="00F325B1">
        <w:t xml:space="preserve"> Project preparation for this project was approved at the 94</w:t>
      </w:r>
      <w:r w:rsidRPr="00F325B1">
        <w:rPr>
          <w:vertAlign w:val="superscript"/>
        </w:rPr>
        <w:t>th</w:t>
      </w:r>
      <w:r w:rsidRPr="00F325B1">
        <w:t xml:space="preserve"> meeting.</w:t>
      </w:r>
    </w:p>
    <w:p w14:paraId="3DD893A8" w14:textId="77777777" w:rsidR="00555DA6" w:rsidRPr="00F325B1" w:rsidRDefault="00555DA6" w:rsidP="00555DA6">
      <w:pPr>
        <w:keepNext/>
        <w:keepLines/>
        <w:spacing w:after="240"/>
        <w:rPr>
          <w:u w:val="single"/>
        </w:rPr>
      </w:pPr>
      <w:r w:rsidRPr="00F325B1">
        <w:rPr>
          <w:u w:val="single"/>
        </w:rPr>
        <w:t xml:space="preserve">Status of implementation of energy efficiency-related activities funded by the Multilateral Fund </w:t>
      </w:r>
    </w:p>
    <w:p w14:paraId="38A57BA8" w14:textId="77777777" w:rsidR="00555DA6" w:rsidRPr="00F325B1" w:rsidRDefault="00555DA6" w:rsidP="00555DA6">
      <w:pPr>
        <w:pStyle w:val="Heading1"/>
      </w:pPr>
      <w:r w:rsidRPr="00F325B1">
        <w:t>Under the approved stages of the HCFC phase-out management plan (HPMP) of China, some project components have included the promotion of energy-efficient equipment. The fourth tranche of stage I of the HPMP for the room air-conditioner (AC) manufacturing sector plan included a component to carry out a study on the energy efficiency standards of different refrigerants and research on the environmental impact of appliances. Under stage II of the HPMP, the conversion project in the room AC manufacturing sector plan included dissemination of the results of the project, the benefits of R-290 technology, and the energy efficiency performance of the technology. Under stage II of the HPMP in the servicing sector plan, the component on the standards and codes development for servicing in the industrial and commercial refrigeration and AC sectors included developing technical specification codes to promote good practices, including safety-related skills and knowledge for the new generation of refrigerants, and to enhance/maintain the energy efficiency of the equipment. The conversion project approved at the 82</w:t>
      </w:r>
      <w:r w:rsidRPr="00F325B1">
        <w:rPr>
          <w:vertAlign w:val="superscript"/>
        </w:rPr>
        <w:t>nd</w:t>
      </w:r>
      <w:r w:rsidRPr="00F325B1">
        <w:t xml:space="preserve"> meeting to convert from HFC-245fa to HFOs in the manufacture of insulation foam in a domestic refrigerator manufacturer (Hisense Kelon) was funded on the understanding that changes in the energy efficiency of the product would be assessed and reported as well as any related changes in government policies. </w:t>
      </w:r>
    </w:p>
    <w:p w14:paraId="3F85BDE3" w14:textId="77777777" w:rsidR="00555DA6" w:rsidRPr="00F325B1" w:rsidRDefault="00555DA6" w:rsidP="00555DA6">
      <w:pPr>
        <w:widowControl w:val="0"/>
        <w:spacing w:after="240"/>
        <w:outlineLvl w:val="2"/>
        <w:rPr>
          <w:rFonts w:eastAsia="Calibri"/>
          <w:u w:val="single"/>
        </w:rPr>
      </w:pPr>
      <w:r w:rsidRPr="00F325B1">
        <w:rPr>
          <w:rFonts w:eastAsia="Calibri"/>
          <w:u w:val="single"/>
        </w:rPr>
        <w:t>Policy, regulatory and institutional framework</w:t>
      </w:r>
    </w:p>
    <w:p w14:paraId="08D28FD9" w14:textId="77777777" w:rsidR="00555DA6" w:rsidRPr="00F325B1" w:rsidRDefault="00555DA6" w:rsidP="00555DA6">
      <w:pPr>
        <w:pStyle w:val="Heading1"/>
      </w:pPr>
      <w:r w:rsidRPr="00F325B1">
        <w:t>The Government of China ratified the Kigali Amendment on 17 June 2021. In response to ratifying the Kigali Amendment, China revised the Regulation on Ozone Depleting Substances Management, which was approved in December 2023. The revised regulation, effective from 1 March 2024, included HFCs in the list of controlled substances and implemented quotas on HFC production and imports for 2024. China submitted a request for preparatory funding for stage I for the Kigali HFC implementation plan (KIP) to the 94</w:t>
      </w:r>
      <w:r w:rsidRPr="00F325B1">
        <w:rPr>
          <w:vertAlign w:val="superscript"/>
        </w:rPr>
        <w:t>th</w:t>
      </w:r>
      <w:r w:rsidRPr="00F325B1">
        <w:t xml:space="preserve"> meeting. Following bilateral discussions, the Executive Committee agreed to defer consideration of the request to the present</w:t>
      </w:r>
      <w:r w:rsidRPr="00F325B1">
        <w:rPr>
          <w:vertAlign w:val="superscript"/>
        </w:rPr>
        <w:t xml:space="preserve"> </w:t>
      </w:r>
      <w:r w:rsidRPr="00F325B1">
        <w:t>meeting.</w:t>
      </w:r>
    </w:p>
    <w:p w14:paraId="10E53E45" w14:textId="77777777" w:rsidR="00555DA6" w:rsidRPr="00F325B1" w:rsidRDefault="00555DA6" w:rsidP="00555DA6">
      <w:pPr>
        <w:pStyle w:val="Heading1"/>
      </w:pPr>
      <w:r w:rsidRPr="00F325B1">
        <w:t xml:space="preserve">The national standard GB40879-2021 </w:t>
      </w:r>
      <w:r w:rsidRPr="00F325B1">
        <w:rPr>
          <w:i/>
          <w:iCs/>
        </w:rPr>
        <w:t>Maximum allowable values of energy efficiency and energy efficiency grades for data centres</w:t>
      </w:r>
      <w:r w:rsidRPr="00F325B1">
        <w:t xml:space="preserve"> was implemented on 1 November 2022. This regulation specifies the technical standards for an energy efficiency rating, energy consumption measurement, and energy efficiency calculation and assessment of data centres. The energy efficiency rating created for data centres was based on a measure of power usage effectiveness (PUE)</w:t>
      </w:r>
      <w:r w:rsidRPr="00F325B1">
        <w:rPr>
          <w:rStyle w:val="FootnoteReference"/>
          <w:rFonts w:asciiTheme="majorBidi" w:hAnsiTheme="majorBidi" w:cstheme="majorBidi"/>
          <w:color w:val="000000"/>
        </w:rPr>
        <w:footnoteReference w:id="3"/>
      </w:r>
      <w:r w:rsidRPr="00F325B1">
        <w:t xml:space="preserve"> and had three levels: level I is less than 1.20 PUE, level II between 1.20-1.30 of PUE, and level III is larger than 1.30 of PUE.</w:t>
      </w:r>
      <w:r w:rsidRPr="00F325B1">
        <w:rPr>
          <w:rStyle w:val="FootnoteReference"/>
          <w:rFonts w:asciiTheme="majorBidi" w:hAnsiTheme="majorBidi" w:cstheme="majorBidi"/>
          <w:color w:val="000000"/>
        </w:rPr>
        <w:footnoteReference w:id="4"/>
      </w:r>
      <w:r w:rsidRPr="00F325B1">
        <w:t xml:space="preserve"> In July 2024, the National Development and Reform Commission and the Ministry of Industry and Information Technology released an action plan on the green development of data centres, which defines requirements for data centre equipment, such as the maximum PUE of less than 1.5 PUE from 2025 onward. Renewable </w:t>
      </w:r>
      <w:r w:rsidRPr="00F325B1">
        <w:lastRenderedPageBreak/>
        <w:t>energy must also make up a gradually increasing percentage of total energy consumption of data centres and targets a 10 per cent per year increase in renewable energy use.</w:t>
      </w:r>
      <w:r w:rsidRPr="00F325B1">
        <w:rPr>
          <w:rStyle w:val="FootnoteReference"/>
          <w:rFonts w:asciiTheme="majorBidi" w:hAnsiTheme="majorBidi" w:cstheme="majorBidi"/>
          <w:color w:val="000000"/>
        </w:rPr>
        <w:footnoteReference w:id="5"/>
      </w:r>
    </w:p>
    <w:p w14:paraId="459286A7" w14:textId="77777777" w:rsidR="00555DA6" w:rsidRPr="00F325B1" w:rsidRDefault="00555DA6" w:rsidP="00555DA6">
      <w:pPr>
        <w:spacing w:before="240" w:after="240"/>
        <w:rPr>
          <w:u w:val="single"/>
        </w:rPr>
      </w:pPr>
      <w:r w:rsidRPr="00F325B1">
        <w:rPr>
          <w:u w:val="single"/>
        </w:rPr>
        <w:t xml:space="preserve">HFC and energy consumption in data centres in China </w:t>
      </w:r>
    </w:p>
    <w:p w14:paraId="2144873E" w14:textId="77777777" w:rsidR="00555DA6" w:rsidRPr="00F325B1" w:rsidRDefault="00555DA6" w:rsidP="00555DA6">
      <w:pPr>
        <w:pStyle w:val="Heading1"/>
      </w:pPr>
      <w:r w:rsidRPr="00F325B1">
        <w:t>Data centres are a rapidly growing sector in China which, due to their high demand for cooling, have led to rapid growth in HFC consumption.</w:t>
      </w:r>
      <w:r w:rsidRPr="00F325B1">
        <w:rPr>
          <w:rStyle w:val="FootnoteReference"/>
        </w:rPr>
        <w:footnoteReference w:id="6"/>
      </w:r>
      <w:r w:rsidRPr="00F325B1">
        <w:t xml:space="preserve"> In 2024, data centres in China are expected to account for about 10 per cent of the global total. Data centres are significant drivers of growth in electricity demand, globally consuming an estimated 460 terawatt-hours (TWh) in 2022, with electricity consumption projected to potentially reach more than 1,000 TWh in 2026, globally.</w:t>
      </w:r>
      <w:r w:rsidRPr="00F325B1">
        <w:rPr>
          <w:rStyle w:val="FootnoteReference"/>
        </w:rPr>
        <w:footnoteReference w:id="7"/>
      </w:r>
      <w:r w:rsidRPr="00F325B1">
        <w:t xml:space="preserve"> In China in 2023, data centres were estimated to consume around 267 TWh of electricity.</w:t>
      </w:r>
      <w:r w:rsidRPr="00F325B1">
        <w:rPr>
          <w:rStyle w:val="FootnoteReference"/>
        </w:rPr>
        <w:footnoteReference w:id="8"/>
      </w:r>
    </w:p>
    <w:p w14:paraId="5D050F71" w14:textId="77777777" w:rsidR="00555DA6" w:rsidRPr="00F325B1" w:rsidRDefault="00555DA6" w:rsidP="00555DA6">
      <w:pPr>
        <w:pStyle w:val="Heading1"/>
      </w:pPr>
      <w:r w:rsidRPr="00F325B1">
        <w:t>HFCs are widely used in the refrigeration and air-conditioning, and heat pump (RACHP) systems in China. Historically, the cooling method used in data centres in China has been computer room air</w:t>
      </w:r>
      <w:r w:rsidRPr="00F325B1">
        <w:noBreakHyphen/>
        <w:t>conditioning (CRAC), which involves mechanical refrigeration systems using refrigerants to cool air, with air flow then transferring heat away from the IT equipment. The most common refrigerants used in CRAC systems are HFC-134a and R-410A. For example, in a data centre with an IT heat load of 7,200 kW, the typical mechanical refrigeration system would require approximately 4.32 mt (9,020 CO</w:t>
      </w:r>
      <w:r w:rsidRPr="00F325B1">
        <w:rPr>
          <w:vertAlign w:val="subscript"/>
        </w:rPr>
        <w:t>2</w:t>
      </w:r>
      <w:r w:rsidRPr="00F325B1">
        <w:t>-eq tonnes) of R</w:t>
      </w:r>
      <w:r w:rsidRPr="00F325B1">
        <w:noBreakHyphen/>
        <w:t xml:space="preserve">410A. </w:t>
      </w:r>
      <w:r w:rsidRPr="00F325B1">
        <w:rPr>
          <w:rFonts w:eastAsia="SimSun"/>
        </w:rPr>
        <w:t xml:space="preserve">Moreover, due to the limitations of air’s thermal properties, the efficiency of heat exchange of CRAC systems is relatively low. Consequently, the energy consumption of the cooling system typically accounts from 30 to 50 per cent of the total energy use in a traditional data centre. </w:t>
      </w:r>
      <w:r w:rsidRPr="00F325B1">
        <w:t>In general, air-cooling technology can only support power consumption per cabinet up to 30kW.</w:t>
      </w:r>
      <w:r w:rsidRPr="00F325B1">
        <w:rPr>
          <w:rStyle w:val="FootnoteReference"/>
        </w:rPr>
        <w:footnoteReference w:id="9"/>
      </w:r>
    </w:p>
    <w:p w14:paraId="262E4B8D" w14:textId="77777777" w:rsidR="00555DA6" w:rsidRPr="00F325B1" w:rsidRDefault="00555DA6" w:rsidP="00555DA6">
      <w:pPr>
        <w:pStyle w:val="Heading1"/>
        <w:rPr>
          <w:b/>
          <w:bCs/>
        </w:rPr>
      </w:pPr>
      <w:r w:rsidRPr="00F325B1">
        <w:t>China imports and exports R-410A and HFC-134a. Based on Article 7 data the combined consumption of R-410A and HFC-134a in 2022 was negative because of more exports of R</w:t>
      </w:r>
      <w:r w:rsidRPr="00F325B1">
        <w:noBreakHyphen/>
        <w:t>410A than imports that year. In the country programme data for 2022, use for R-410A is reported at 116,711 mt (243,692,067 CO</w:t>
      </w:r>
      <w:r w:rsidRPr="00F325B1">
        <w:rPr>
          <w:vertAlign w:val="subscript"/>
        </w:rPr>
        <w:t>2</w:t>
      </w:r>
      <w:r w:rsidRPr="00F325B1">
        <w:t>-eq tonnes) and accounts for 32 per cent of the reported use of HFCs for that year. As for HFC-134a, use was reported as 72,500 mt (103,674,500 CO</w:t>
      </w:r>
      <w:r w:rsidRPr="00F325B1">
        <w:rPr>
          <w:vertAlign w:val="subscript"/>
        </w:rPr>
        <w:t>2</w:t>
      </w:r>
      <w:r w:rsidRPr="00F325B1">
        <w:t xml:space="preserve">-eq) tonnes, which is roughly 20 per cent of HFC use reported for that year. For both substances about 30 per cent of the reported use in 2022 was in the refrigeration and air-conditioning (RAC) servicing sector. </w:t>
      </w:r>
    </w:p>
    <w:p w14:paraId="59153078" w14:textId="77777777" w:rsidR="00555DA6" w:rsidRPr="00F325B1" w:rsidRDefault="00555DA6" w:rsidP="00555DA6">
      <w:pPr>
        <w:spacing w:before="240"/>
        <w:rPr>
          <w:b/>
          <w:bCs/>
        </w:rPr>
      </w:pPr>
      <w:r w:rsidRPr="00F325B1">
        <w:rPr>
          <w:b/>
          <w:bCs/>
        </w:rPr>
        <w:t>Table 1. Article 7 and CP data for HFC-134a and R-410A in China (2020-2022)</w:t>
      </w:r>
    </w:p>
    <w:tbl>
      <w:tblPr>
        <w:tblW w:w="9356" w:type="dxa"/>
        <w:tblInd w:w="-5" w:type="dxa"/>
        <w:tblLayout w:type="fixed"/>
        <w:tblCellMar>
          <w:left w:w="57" w:type="dxa"/>
          <w:right w:w="57" w:type="dxa"/>
        </w:tblCellMar>
        <w:tblLook w:val="04A0" w:firstRow="1" w:lastRow="0" w:firstColumn="1" w:lastColumn="0" w:noHBand="0" w:noVBand="1"/>
      </w:tblPr>
      <w:tblGrid>
        <w:gridCol w:w="2160"/>
        <w:gridCol w:w="675"/>
        <w:gridCol w:w="1134"/>
        <w:gridCol w:w="1134"/>
        <w:gridCol w:w="1134"/>
        <w:gridCol w:w="873"/>
        <w:gridCol w:w="1112"/>
        <w:gridCol w:w="1134"/>
      </w:tblGrid>
      <w:tr w:rsidR="00555DA6" w:rsidRPr="00F325B1" w14:paraId="6F91BF20" w14:textId="77777777" w:rsidTr="00B007EC">
        <w:trPr>
          <w:trHeight w:val="460"/>
          <w:tblHeader/>
        </w:trPr>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15A0A"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Substance</w:t>
            </w:r>
          </w:p>
        </w:tc>
        <w:tc>
          <w:tcPr>
            <w:tcW w:w="675" w:type="dxa"/>
            <w:tcBorders>
              <w:top w:val="single" w:sz="4" w:space="0" w:color="auto"/>
              <w:left w:val="nil"/>
              <w:bottom w:val="single" w:sz="4" w:space="0" w:color="auto"/>
              <w:right w:val="single" w:sz="4" w:space="0" w:color="auto"/>
            </w:tcBorders>
            <w:shd w:val="clear" w:color="auto" w:fill="auto"/>
            <w:vAlign w:val="center"/>
            <w:hideMark/>
          </w:tcPr>
          <w:p w14:paraId="7218016E"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GWP</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DFBC3F6"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Article 7 (2020)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997687"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Article 7 (2021)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06501CB"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Article 7 (2022)</w:t>
            </w:r>
          </w:p>
        </w:tc>
        <w:tc>
          <w:tcPr>
            <w:tcW w:w="873" w:type="dxa"/>
            <w:tcBorders>
              <w:top w:val="single" w:sz="4" w:space="0" w:color="auto"/>
              <w:left w:val="nil"/>
              <w:bottom w:val="single" w:sz="4" w:space="0" w:color="auto"/>
              <w:right w:val="single" w:sz="4" w:space="0" w:color="auto"/>
            </w:tcBorders>
            <w:shd w:val="clear" w:color="auto" w:fill="auto"/>
            <w:vAlign w:val="center"/>
            <w:hideMark/>
          </w:tcPr>
          <w:p w14:paraId="7E02A009"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CP (2020)</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14:paraId="45C26A90"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 xml:space="preserve">CP </w:t>
            </w:r>
          </w:p>
          <w:p w14:paraId="4E7EE25D"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BEF1A2"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CP</w:t>
            </w:r>
          </w:p>
          <w:p w14:paraId="5C48CA9D" w14:textId="77777777" w:rsidR="00555DA6" w:rsidRPr="00F325B1" w:rsidRDefault="00555DA6" w:rsidP="00B007EC">
            <w:pPr>
              <w:jc w:val="center"/>
              <w:rPr>
                <w:b/>
                <w:bCs/>
                <w:color w:val="000000"/>
                <w:sz w:val="18"/>
                <w:szCs w:val="18"/>
                <w:lang w:eastAsia="en-CA"/>
              </w:rPr>
            </w:pPr>
            <w:r w:rsidRPr="00F325B1">
              <w:rPr>
                <w:b/>
                <w:bCs/>
                <w:color w:val="000000"/>
                <w:sz w:val="18"/>
                <w:szCs w:val="18"/>
                <w:lang w:eastAsia="en-CA"/>
              </w:rPr>
              <w:t xml:space="preserve"> (2022)</w:t>
            </w:r>
          </w:p>
        </w:tc>
      </w:tr>
      <w:tr w:rsidR="00555DA6" w:rsidRPr="00F325B1" w14:paraId="47854037" w14:textId="77777777" w:rsidTr="00B007EC">
        <w:trPr>
          <w:trHeight w:val="290"/>
        </w:trPr>
        <w:tc>
          <w:tcPr>
            <w:tcW w:w="9356" w:type="dxa"/>
            <w:gridSpan w:val="8"/>
            <w:tcBorders>
              <w:top w:val="nil"/>
              <w:left w:val="single" w:sz="4" w:space="0" w:color="auto"/>
              <w:bottom w:val="single" w:sz="4" w:space="0" w:color="auto"/>
              <w:right w:val="single" w:sz="4" w:space="0" w:color="auto"/>
            </w:tcBorders>
            <w:shd w:val="clear" w:color="auto" w:fill="auto"/>
            <w:hideMark/>
          </w:tcPr>
          <w:p w14:paraId="455E2383" w14:textId="77777777" w:rsidR="00555DA6" w:rsidRPr="00F325B1" w:rsidRDefault="00555DA6" w:rsidP="00B007EC">
            <w:pPr>
              <w:jc w:val="center"/>
              <w:rPr>
                <w:b/>
                <w:bCs/>
                <w:strike/>
                <w:color w:val="000000"/>
                <w:sz w:val="18"/>
                <w:szCs w:val="18"/>
                <w:lang w:eastAsia="en-CA"/>
              </w:rPr>
            </w:pPr>
            <w:r w:rsidRPr="00F325B1">
              <w:rPr>
                <w:b/>
                <w:bCs/>
                <w:color w:val="000000"/>
                <w:sz w:val="18"/>
                <w:szCs w:val="18"/>
                <w:lang w:eastAsia="en-CA"/>
              </w:rPr>
              <w:t>Metric tonnes</w:t>
            </w:r>
          </w:p>
        </w:tc>
      </w:tr>
      <w:tr w:rsidR="00555DA6" w:rsidRPr="00F325B1" w14:paraId="714E3BDC"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DFD5FD6" w14:textId="77777777" w:rsidR="00555DA6" w:rsidRPr="00F325B1" w:rsidRDefault="00555DA6" w:rsidP="00B007EC">
            <w:pPr>
              <w:jc w:val="left"/>
              <w:rPr>
                <w:color w:val="000000"/>
                <w:sz w:val="18"/>
                <w:szCs w:val="18"/>
                <w:lang w:eastAsia="en-CA"/>
              </w:rPr>
            </w:pPr>
            <w:r w:rsidRPr="00F325B1">
              <w:rPr>
                <w:color w:val="000000"/>
                <w:sz w:val="18"/>
                <w:szCs w:val="18"/>
                <w:lang w:eastAsia="en-CA"/>
              </w:rPr>
              <w:t>HFC-134a</w:t>
            </w:r>
          </w:p>
        </w:tc>
        <w:tc>
          <w:tcPr>
            <w:tcW w:w="675" w:type="dxa"/>
            <w:tcBorders>
              <w:top w:val="nil"/>
              <w:left w:val="nil"/>
              <w:bottom w:val="single" w:sz="4" w:space="0" w:color="auto"/>
              <w:right w:val="single" w:sz="4" w:space="0" w:color="auto"/>
            </w:tcBorders>
            <w:shd w:val="clear" w:color="auto" w:fill="auto"/>
            <w:hideMark/>
          </w:tcPr>
          <w:p w14:paraId="5C52771F" w14:textId="77777777" w:rsidR="00555DA6" w:rsidRPr="00F325B1" w:rsidRDefault="00555DA6" w:rsidP="00B007EC">
            <w:pPr>
              <w:jc w:val="right"/>
              <w:rPr>
                <w:color w:val="000000"/>
                <w:sz w:val="18"/>
                <w:szCs w:val="18"/>
                <w:lang w:eastAsia="en-CA"/>
              </w:rPr>
            </w:pPr>
            <w:r w:rsidRPr="00F325B1">
              <w:rPr>
                <w:color w:val="000000"/>
                <w:sz w:val="18"/>
                <w:szCs w:val="18"/>
                <w:lang w:eastAsia="en-CA"/>
              </w:rPr>
              <w:t>1,430</w:t>
            </w:r>
          </w:p>
        </w:tc>
        <w:tc>
          <w:tcPr>
            <w:tcW w:w="1134" w:type="dxa"/>
            <w:tcBorders>
              <w:top w:val="nil"/>
              <w:left w:val="nil"/>
              <w:bottom w:val="single" w:sz="4" w:space="0" w:color="auto"/>
              <w:right w:val="single" w:sz="4" w:space="0" w:color="auto"/>
            </w:tcBorders>
            <w:shd w:val="clear" w:color="auto" w:fill="auto"/>
            <w:hideMark/>
          </w:tcPr>
          <w:p w14:paraId="62B0CD0E" w14:textId="77777777" w:rsidR="00555DA6" w:rsidRPr="00F325B1" w:rsidRDefault="00555DA6" w:rsidP="00B007EC">
            <w:pPr>
              <w:jc w:val="right"/>
              <w:rPr>
                <w:color w:val="000000"/>
                <w:sz w:val="18"/>
                <w:szCs w:val="18"/>
                <w:lang w:eastAsia="en-CA"/>
              </w:rPr>
            </w:pPr>
            <w:r w:rsidRPr="00F325B1">
              <w:rPr>
                <w:color w:val="000000"/>
                <w:sz w:val="18"/>
                <w:szCs w:val="18"/>
                <w:lang w:eastAsia="en-CA"/>
              </w:rPr>
              <w:t>89,165</w:t>
            </w:r>
          </w:p>
        </w:tc>
        <w:tc>
          <w:tcPr>
            <w:tcW w:w="1134" w:type="dxa"/>
            <w:tcBorders>
              <w:top w:val="nil"/>
              <w:left w:val="nil"/>
              <w:bottom w:val="single" w:sz="4" w:space="0" w:color="auto"/>
              <w:right w:val="single" w:sz="4" w:space="0" w:color="auto"/>
            </w:tcBorders>
            <w:shd w:val="clear" w:color="auto" w:fill="auto"/>
            <w:hideMark/>
          </w:tcPr>
          <w:p w14:paraId="33B78866" w14:textId="77777777" w:rsidR="00555DA6" w:rsidRPr="00F325B1" w:rsidRDefault="00555DA6" w:rsidP="00B007EC">
            <w:pPr>
              <w:jc w:val="right"/>
              <w:rPr>
                <w:color w:val="000000"/>
                <w:sz w:val="18"/>
                <w:szCs w:val="18"/>
                <w:lang w:eastAsia="en-CA"/>
              </w:rPr>
            </w:pPr>
            <w:r w:rsidRPr="00F325B1">
              <w:rPr>
                <w:color w:val="000000"/>
                <w:sz w:val="18"/>
                <w:szCs w:val="18"/>
                <w:lang w:eastAsia="en-CA"/>
              </w:rPr>
              <w:t>100,729</w:t>
            </w:r>
          </w:p>
        </w:tc>
        <w:tc>
          <w:tcPr>
            <w:tcW w:w="1134" w:type="dxa"/>
            <w:tcBorders>
              <w:top w:val="nil"/>
              <w:left w:val="nil"/>
              <w:bottom w:val="single" w:sz="4" w:space="0" w:color="auto"/>
              <w:right w:val="single" w:sz="4" w:space="0" w:color="auto"/>
            </w:tcBorders>
            <w:shd w:val="clear" w:color="auto" w:fill="auto"/>
            <w:hideMark/>
          </w:tcPr>
          <w:p w14:paraId="22F883A1" w14:textId="77777777" w:rsidR="00555DA6" w:rsidRPr="00F325B1" w:rsidRDefault="00555DA6" w:rsidP="00B007EC">
            <w:pPr>
              <w:jc w:val="right"/>
              <w:rPr>
                <w:color w:val="000000"/>
                <w:sz w:val="18"/>
                <w:szCs w:val="18"/>
                <w:lang w:eastAsia="en-CA"/>
              </w:rPr>
            </w:pPr>
            <w:r w:rsidRPr="00F325B1">
              <w:rPr>
                <w:color w:val="000000"/>
                <w:sz w:val="18"/>
                <w:szCs w:val="18"/>
                <w:lang w:eastAsia="en-CA"/>
              </w:rPr>
              <w:t>82,030</w:t>
            </w:r>
          </w:p>
        </w:tc>
        <w:tc>
          <w:tcPr>
            <w:tcW w:w="873" w:type="dxa"/>
            <w:tcBorders>
              <w:top w:val="nil"/>
              <w:left w:val="nil"/>
              <w:bottom w:val="single" w:sz="4" w:space="0" w:color="auto"/>
              <w:right w:val="single" w:sz="4" w:space="0" w:color="auto"/>
            </w:tcBorders>
            <w:shd w:val="clear" w:color="auto" w:fill="auto"/>
            <w:hideMark/>
          </w:tcPr>
          <w:p w14:paraId="32DE7169"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1AB18C48" w14:textId="77777777" w:rsidR="00555DA6" w:rsidRPr="00F325B1" w:rsidRDefault="00555DA6" w:rsidP="00B007EC">
            <w:pPr>
              <w:jc w:val="right"/>
              <w:rPr>
                <w:color w:val="000000"/>
                <w:sz w:val="18"/>
                <w:szCs w:val="18"/>
                <w:lang w:eastAsia="en-CA"/>
              </w:rPr>
            </w:pPr>
            <w:r w:rsidRPr="00F325B1">
              <w:rPr>
                <w:color w:val="000000"/>
                <w:sz w:val="18"/>
                <w:szCs w:val="18"/>
                <w:lang w:eastAsia="en-CA"/>
              </w:rPr>
              <w:t>85,625</w:t>
            </w:r>
          </w:p>
        </w:tc>
        <w:tc>
          <w:tcPr>
            <w:tcW w:w="1134" w:type="dxa"/>
            <w:tcBorders>
              <w:top w:val="nil"/>
              <w:left w:val="nil"/>
              <w:bottom w:val="single" w:sz="4" w:space="0" w:color="auto"/>
              <w:right w:val="single" w:sz="4" w:space="0" w:color="auto"/>
            </w:tcBorders>
            <w:shd w:val="clear" w:color="auto" w:fill="auto"/>
            <w:hideMark/>
          </w:tcPr>
          <w:p w14:paraId="285F7668" w14:textId="77777777" w:rsidR="00555DA6" w:rsidRPr="00F325B1" w:rsidRDefault="00555DA6" w:rsidP="00B007EC">
            <w:pPr>
              <w:jc w:val="right"/>
              <w:rPr>
                <w:color w:val="000000"/>
                <w:sz w:val="18"/>
                <w:szCs w:val="18"/>
                <w:lang w:eastAsia="en-CA"/>
              </w:rPr>
            </w:pPr>
            <w:r w:rsidRPr="00F325B1">
              <w:rPr>
                <w:color w:val="000000"/>
                <w:sz w:val="18"/>
                <w:szCs w:val="18"/>
                <w:lang w:eastAsia="en-CA"/>
              </w:rPr>
              <w:t>72,500</w:t>
            </w:r>
          </w:p>
        </w:tc>
      </w:tr>
      <w:tr w:rsidR="00555DA6" w:rsidRPr="00F325B1" w14:paraId="0C190391"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615B5D15" w14:textId="77777777" w:rsidR="00555DA6" w:rsidRPr="00F325B1" w:rsidRDefault="00555DA6" w:rsidP="00B007EC">
            <w:pPr>
              <w:jc w:val="left"/>
              <w:rPr>
                <w:color w:val="000000"/>
                <w:sz w:val="18"/>
                <w:szCs w:val="18"/>
                <w:lang w:eastAsia="en-CA"/>
              </w:rPr>
            </w:pPr>
            <w:r w:rsidRPr="00F325B1">
              <w:rPr>
                <w:color w:val="000000"/>
                <w:sz w:val="18"/>
                <w:szCs w:val="18"/>
                <w:lang w:eastAsia="en-CA"/>
              </w:rPr>
              <w:t>R-410A</w:t>
            </w:r>
          </w:p>
        </w:tc>
        <w:tc>
          <w:tcPr>
            <w:tcW w:w="675" w:type="dxa"/>
            <w:tcBorders>
              <w:top w:val="nil"/>
              <w:left w:val="nil"/>
              <w:bottom w:val="single" w:sz="4" w:space="0" w:color="auto"/>
              <w:right w:val="single" w:sz="4" w:space="0" w:color="auto"/>
            </w:tcBorders>
            <w:shd w:val="clear" w:color="auto" w:fill="auto"/>
            <w:hideMark/>
          </w:tcPr>
          <w:p w14:paraId="090ED9B5" w14:textId="77777777" w:rsidR="00555DA6" w:rsidRPr="00F325B1" w:rsidRDefault="00555DA6" w:rsidP="00B007EC">
            <w:pPr>
              <w:jc w:val="right"/>
              <w:rPr>
                <w:color w:val="000000"/>
                <w:sz w:val="18"/>
                <w:szCs w:val="18"/>
                <w:lang w:eastAsia="en-CA"/>
              </w:rPr>
            </w:pPr>
            <w:r w:rsidRPr="00F325B1">
              <w:rPr>
                <w:color w:val="000000"/>
                <w:sz w:val="18"/>
                <w:szCs w:val="18"/>
                <w:lang w:eastAsia="en-CA"/>
              </w:rPr>
              <w:t>2,088</w:t>
            </w:r>
          </w:p>
        </w:tc>
        <w:tc>
          <w:tcPr>
            <w:tcW w:w="1134" w:type="dxa"/>
            <w:tcBorders>
              <w:top w:val="nil"/>
              <w:left w:val="nil"/>
              <w:bottom w:val="single" w:sz="4" w:space="0" w:color="auto"/>
              <w:right w:val="single" w:sz="4" w:space="0" w:color="auto"/>
            </w:tcBorders>
            <w:shd w:val="clear" w:color="auto" w:fill="auto"/>
            <w:hideMark/>
          </w:tcPr>
          <w:p w14:paraId="19C29786" w14:textId="77777777" w:rsidR="00555DA6" w:rsidRPr="00F325B1" w:rsidRDefault="00555DA6" w:rsidP="00B007EC">
            <w:pPr>
              <w:jc w:val="right"/>
              <w:rPr>
                <w:color w:val="000000"/>
                <w:sz w:val="18"/>
                <w:szCs w:val="18"/>
                <w:lang w:eastAsia="en-CA"/>
              </w:rPr>
            </w:pPr>
            <w:r w:rsidRPr="00F325B1">
              <w:rPr>
                <w:color w:val="000000"/>
                <w:sz w:val="18"/>
                <w:szCs w:val="18"/>
                <w:lang w:eastAsia="en-CA"/>
              </w:rPr>
              <w:t xml:space="preserve"> -68,464</w:t>
            </w:r>
          </w:p>
        </w:tc>
        <w:tc>
          <w:tcPr>
            <w:tcW w:w="1134" w:type="dxa"/>
            <w:tcBorders>
              <w:top w:val="nil"/>
              <w:left w:val="nil"/>
              <w:bottom w:val="single" w:sz="4" w:space="0" w:color="auto"/>
              <w:right w:val="single" w:sz="4" w:space="0" w:color="auto"/>
            </w:tcBorders>
            <w:shd w:val="clear" w:color="auto" w:fill="auto"/>
            <w:hideMark/>
          </w:tcPr>
          <w:p w14:paraId="593BADF2" w14:textId="77777777" w:rsidR="00555DA6" w:rsidRPr="00F325B1" w:rsidRDefault="00555DA6" w:rsidP="00B007EC">
            <w:pPr>
              <w:jc w:val="right"/>
              <w:rPr>
                <w:color w:val="000000"/>
                <w:sz w:val="18"/>
                <w:szCs w:val="18"/>
                <w:lang w:eastAsia="en-CA"/>
              </w:rPr>
            </w:pPr>
            <w:r w:rsidRPr="00F325B1">
              <w:rPr>
                <w:color w:val="000000"/>
                <w:sz w:val="18"/>
                <w:szCs w:val="18"/>
                <w:lang w:eastAsia="en-CA"/>
              </w:rPr>
              <w:t xml:space="preserve">    -74,522</w:t>
            </w:r>
          </w:p>
        </w:tc>
        <w:tc>
          <w:tcPr>
            <w:tcW w:w="1134" w:type="dxa"/>
            <w:tcBorders>
              <w:top w:val="nil"/>
              <w:left w:val="nil"/>
              <w:bottom w:val="single" w:sz="4" w:space="0" w:color="auto"/>
              <w:right w:val="single" w:sz="4" w:space="0" w:color="auto"/>
            </w:tcBorders>
            <w:shd w:val="clear" w:color="auto" w:fill="auto"/>
            <w:hideMark/>
          </w:tcPr>
          <w:p w14:paraId="618CF494" w14:textId="77777777" w:rsidR="00555DA6" w:rsidRPr="00F325B1" w:rsidRDefault="00555DA6" w:rsidP="00B007EC">
            <w:pPr>
              <w:jc w:val="right"/>
              <w:rPr>
                <w:color w:val="000000"/>
                <w:sz w:val="18"/>
                <w:szCs w:val="18"/>
                <w:lang w:eastAsia="en-CA"/>
              </w:rPr>
            </w:pPr>
            <w:r w:rsidRPr="00F325B1">
              <w:rPr>
                <w:color w:val="000000"/>
                <w:sz w:val="18"/>
                <w:szCs w:val="18"/>
                <w:lang w:eastAsia="en-CA"/>
              </w:rPr>
              <w:t xml:space="preserve">   -106,255</w:t>
            </w:r>
          </w:p>
        </w:tc>
        <w:tc>
          <w:tcPr>
            <w:tcW w:w="873" w:type="dxa"/>
            <w:tcBorders>
              <w:top w:val="nil"/>
              <w:left w:val="nil"/>
              <w:bottom w:val="single" w:sz="4" w:space="0" w:color="auto"/>
              <w:right w:val="single" w:sz="4" w:space="0" w:color="auto"/>
            </w:tcBorders>
            <w:shd w:val="clear" w:color="auto" w:fill="auto"/>
            <w:hideMark/>
          </w:tcPr>
          <w:p w14:paraId="778FBF88"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60B3C894" w14:textId="77777777" w:rsidR="00555DA6" w:rsidRPr="00F325B1" w:rsidRDefault="00555DA6" w:rsidP="00B007EC">
            <w:pPr>
              <w:jc w:val="right"/>
              <w:rPr>
                <w:color w:val="000000"/>
                <w:sz w:val="18"/>
                <w:szCs w:val="18"/>
                <w:lang w:eastAsia="en-CA"/>
              </w:rPr>
            </w:pPr>
            <w:r w:rsidRPr="00F325B1">
              <w:rPr>
                <w:color w:val="000000"/>
                <w:sz w:val="18"/>
                <w:szCs w:val="18"/>
                <w:lang w:eastAsia="en-CA"/>
              </w:rPr>
              <w:t>102,538</w:t>
            </w:r>
          </w:p>
        </w:tc>
        <w:tc>
          <w:tcPr>
            <w:tcW w:w="1134" w:type="dxa"/>
            <w:tcBorders>
              <w:top w:val="nil"/>
              <w:left w:val="nil"/>
              <w:bottom w:val="single" w:sz="4" w:space="0" w:color="auto"/>
              <w:right w:val="single" w:sz="4" w:space="0" w:color="auto"/>
            </w:tcBorders>
            <w:shd w:val="clear" w:color="auto" w:fill="auto"/>
            <w:hideMark/>
          </w:tcPr>
          <w:p w14:paraId="6C22BF7D" w14:textId="77777777" w:rsidR="00555DA6" w:rsidRPr="00F325B1" w:rsidRDefault="00555DA6" w:rsidP="00B007EC">
            <w:pPr>
              <w:jc w:val="right"/>
              <w:rPr>
                <w:color w:val="000000"/>
                <w:sz w:val="18"/>
                <w:szCs w:val="18"/>
                <w:lang w:eastAsia="en-CA"/>
              </w:rPr>
            </w:pPr>
            <w:r w:rsidRPr="00F325B1">
              <w:rPr>
                <w:color w:val="000000"/>
                <w:sz w:val="18"/>
                <w:szCs w:val="18"/>
                <w:lang w:eastAsia="en-CA"/>
              </w:rPr>
              <w:t>116,711</w:t>
            </w:r>
          </w:p>
        </w:tc>
      </w:tr>
      <w:tr w:rsidR="00555DA6" w:rsidRPr="00F325B1" w14:paraId="5BD4F34F"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36AA8D8B" w14:textId="77777777" w:rsidR="00555DA6" w:rsidRPr="00F325B1" w:rsidRDefault="00555DA6" w:rsidP="00B007EC">
            <w:pPr>
              <w:jc w:val="left"/>
              <w:rPr>
                <w:b/>
                <w:bCs/>
                <w:color w:val="000000"/>
                <w:sz w:val="18"/>
                <w:szCs w:val="18"/>
                <w:lang w:eastAsia="en-CA"/>
              </w:rPr>
            </w:pPr>
            <w:r w:rsidRPr="00F325B1">
              <w:rPr>
                <w:b/>
                <w:bCs/>
                <w:color w:val="000000"/>
                <w:sz w:val="18"/>
                <w:szCs w:val="18"/>
                <w:lang w:eastAsia="en-CA"/>
              </w:rPr>
              <w:t xml:space="preserve">Total </w:t>
            </w:r>
          </w:p>
        </w:tc>
        <w:tc>
          <w:tcPr>
            <w:tcW w:w="675" w:type="dxa"/>
            <w:tcBorders>
              <w:top w:val="nil"/>
              <w:left w:val="nil"/>
              <w:bottom w:val="single" w:sz="4" w:space="0" w:color="auto"/>
              <w:right w:val="single" w:sz="4" w:space="0" w:color="auto"/>
            </w:tcBorders>
            <w:shd w:val="clear" w:color="auto" w:fill="auto"/>
            <w:hideMark/>
          </w:tcPr>
          <w:p w14:paraId="4804EC5B"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7FEC373F"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20,700</w:t>
            </w:r>
          </w:p>
        </w:tc>
        <w:tc>
          <w:tcPr>
            <w:tcW w:w="1134" w:type="dxa"/>
            <w:tcBorders>
              <w:top w:val="nil"/>
              <w:left w:val="nil"/>
              <w:bottom w:val="single" w:sz="4" w:space="0" w:color="auto"/>
              <w:right w:val="single" w:sz="4" w:space="0" w:color="auto"/>
            </w:tcBorders>
            <w:shd w:val="clear" w:color="auto" w:fill="auto"/>
            <w:hideMark/>
          </w:tcPr>
          <w:p w14:paraId="24106413"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26,206</w:t>
            </w:r>
          </w:p>
        </w:tc>
        <w:tc>
          <w:tcPr>
            <w:tcW w:w="1134" w:type="dxa"/>
            <w:tcBorders>
              <w:top w:val="nil"/>
              <w:left w:val="nil"/>
              <w:bottom w:val="single" w:sz="4" w:space="0" w:color="auto"/>
              <w:right w:val="single" w:sz="4" w:space="0" w:color="auto"/>
            </w:tcBorders>
            <w:shd w:val="clear" w:color="auto" w:fill="auto"/>
            <w:hideMark/>
          </w:tcPr>
          <w:p w14:paraId="23DBEDDE"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 xml:space="preserve">    -24,225</w:t>
            </w:r>
          </w:p>
        </w:tc>
        <w:tc>
          <w:tcPr>
            <w:tcW w:w="873" w:type="dxa"/>
            <w:tcBorders>
              <w:top w:val="nil"/>
              <w:left w:val="nil"/>
              <w:bottom w:val="single" w:sz="4" w:space="0" w:color="auto"/>
              <w:right w:val="single" w:sz="4" w:space="0" w:color="auto"/>
            </w:tcBorders>
            <w:shd w:val="clear" w:color="auto" w:fill="auto"/>
            <w:hideMark/>
          </w:tcPr>
          <w:p w14:paraId="474123A2"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2900CA5B"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188,163</w:t>
            </w:r>
          </w:p>
        </w:tc>
        <w:tc>
          <w:tcPr>
            <w:tcW w:w="1134" w:type="dxa"/>
            <w:tcBorders>
              <w:top w:val="nil"/>
              <w:left w:val="nil"/>
              <w:bottom w:val="single" w:sz="4" w:space="0" w:color="auto"/>
              <w:right w:val="single" w:sz="4" w:space="0" w:color="auto"/>
            </w:tcBorders>
            <w:shd w:val="clear" w:color="auto" w:fill="auto"/>
            <w:hideMark/>
          </w:tcPr>
          <w:p w14:paraId="1E5FC9FF"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189,210</w:t>
            </w:r>
          </w:p>
        </w:tc>
      </w:tr>
      <w:tr w:rsidR="00555DA6" w:rsidRPr="00F325B1" w14:paraId="4A6A7259"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1386F5F8" w14:textId="77777777" w:rsidR="00555DA6" w:rsidRPr="00F325B1" w:rsidRDefault="00555DA6" w:rsidP="00B007EC">
            <w:pPr>
              <w:jc w:val="left"/>
              <w:rPr>
                <w:color w:val="000000"/>
                <w:sz w:val="18"/>
                <w:szCs w:val="18"/>
                <w:lang w:eastAsia="en-CA"/>
              </w:rPr>
            </w:pPr>
            <w:r w:rsidRPr="00F325B1">
              <w:rPr>
                <w:color w:val="000000"/>
                <w:sz w:val="18"/>
                <w:szCs w:val="18"/>
                <w:lang w:eastAsia="en-CA"/>
              </w:rPr>
              <w:t>Servicing sector total for HFC</w:t>
            </w:r>
            <w:r w:rsidRPr="00F325B1">
              <w:rPr>
                <w:color w:val="000000"/>
                <w:sz w:val="18"/>
                <w:szCs w:val="18"/>
                <w:lang w:eastAsia="en-CA"/>
              </w:rPr>
              <w:noBreakHyphen/>
              <w:t xml:space="preserve">134a </w:t>
            </w:r>
          </w:p>
        </w:tc>
        <w:tc>
          <w:tcPr>
            <w:tcW w:w="675" w:type="dxa"/>
            <w:tcBorders>
              <w:top w:val="nil"/>
              <w:left w:val="nil"/>
              <w:bottom w:val="single" w:sz="4" w:space="0" w:color="auto"/>
              <w:right w:val="single" w:sz="4" w:space="0" w:color="auto"/>
            </w:tcBorders>
            <w:shd w:val="clear" w:color="auto" w:fill="auto"/>
            <w:hideMark/>
          </w:tcPr>
          <w:p w14:paraId="3B96DD85" w14:textId="77777777" w:rsidR="00555DA6" w:rsidRPr="00F325B1" w:rsidRDefault="00555DA6" w:rsidP="00B007EC">
            <w:pPr>
              <w:jc w:val="right"/>
              <w:rPr>
                <w:color w:val="000000"/>
                <w:sz w:val="18"/>
                <w:szCs w:val="18"/>
                <w:lang w:eastAsia="en-CA"/>
              </w:rPr>
            </w:pPr>
            <w:r w:rsidRPr="00F325B1">
              <w:rPr>
                <w:color w:val="000000"/>
                <w:sz w:val="18"/>
                <w:szCs w:val="18"/>
                <w:lang w:eastAsia="en-CA"/>
              </w:rPr>
              <w:t>1,430</w:t>
            </w:r>
          </w:p>
        </w:tc>
        <w:tc>
          <w:tcPr>
            <w:tcW w:w="1134" w:type="dxa"/>
            <w:tcBorders>
              <w:top w:val="nil"/>
              <w:left w:val="nil"/>
              <w:bottom w:val="single" w:sz="4" w:space="0" w:color="auto"/>
              <w:right w:val="single" w:sz="4" w:space="0" w:color="auto"/>
            </w:tcBorders>
            <w:shd w:val="clear" w:color="auto" w:fill="auto"/>
            <w:hideMark/>
          </w:tcPr>
          <w:p w14:paraId="25BD1A86"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62AF4D09"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7A2B419C"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873" w:type="dxa"/>
            <w:tcBorders>
              <w:top w:val="nil"/>
              <w:left w:val="nil"/>
              <w:bottom w:val="single" w:sz="4" w:space="0" w:color="auto"/>
              <w:right w:val="single" w:sz="4" w:space="0" w:color="auto"/>
            </w:tcBorders>
            <w:shd w:val="clear" w:color="auto" w:fill="auto"/>
            <w:hideMark/>
          </w:tcPr>
          <w:p w14:paraId="6880FABA"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371F918E" w14:textId="77777777" w:rsidR="00555DA6" w:rsidRPr="00F325B1" w:rsidRDefault="00555DA6" w:rsidP="00B007EC">
            <w:pPr>
              <w:jc w:val="right"/>
              <w:rPr>
                <w:color w:val="000000"/>
                <w:sz w:val="18"/>
                <w:szCs w:val="18"/>
                <w:lang w:eastAsia="en-CA"/>
              </w:rPr>
            </w:pPr>
            <w:r w:rsidRPr="00F325B1">
              <w:rPr>
                <w:color w:val="000000"/>
                <w:sz w:val="18"/>
                <w:szCs w:val="18"/>
                <w:lang w:eastAsia="en-CA"/>
              </w:rPr>
              <w:t>34,943</w:t>
            </w:r>
          </w:p>
        </w:tc>
        <w:tc>
          <w:tcPr>
            <w:tcW w:w="1134" w:type="dxa"/>
            <w:tcBorders>
              <w:top w:val="nil"/>
              <w:left w:val="nil"/>
              <w:bottom w:val="single" w:sz="4" w:space="0" w:color="auto"/>
              <w:right w:val="single" w:sz="4" w:space="0" w:color="auto"/>
            </w:tcBorders>
            <w:shd w:val="clear" w:color="auto" w:fill="auto"/>
            <w:hideMark/>
          </w:tcPr>
          <w:p w14:paraId="511FC236" w14:textId="77777777" w:rsidR="00555DA6" w:rsidRPr="00F325B1" w:rsidRDefault="00555DA6" w:rsidP="00B007EC">
            <w:pPr>
              <w:jc w:val="right"/>
              <w:rPr>
                <w:color w:val="000000"/>
                <w:sz w:val="18"/>
                <w:szCs w:val="18"/>
                <w:lang w:eastAsia="en-CA"/>
              </w:rPr>
            </w:pPr>
            <w:r w:rsidRPr="00F325B1">
              <w:rPr>
                <w:color w:val="000000"/>
                <w:sz w:val="18"/>
                <w:szCs w:val="18"/>
                <w:lang w:eastAsia="en-CA"/>
              </w:rPr>
              <w:t>23,920</w:t>
            </w:r>
          </w:p>
        </w:tc>
      </w:tr>
      <w:tr w:rsidR="00555DA6" w:rsidRPr="00F325B1" w14:paraId="1D21C39B"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70B1AD46" w14:textId="77777777" w:rsidR="00555DA6" w:rsidRPr="00F325B1" w:rsidRDefault="00555DA6" w:rsidP="00B007EC">
            <w:pPr>
              <w:jc w:val="left"/>
              <w:rPr>
                <w:color w:val="000000"/>
                <w:sz w:val="18"/>
                <w:szCs w:val="18"/>
                <w:lang w:eastAsia="en-CA"/>
              </w:rPr>
            </w:pPr>
            <w:r w:rsidRPr="00F325B1">
              <w:rPr>
                <w:color w:val="000000"/>
                <w:sz w:val="18"/>
                <w:szCs w:val="18"/>
                <w:lang w:eastAsia="en-CA"/>
              </w:rPr>
              <w:t>Servicing sector total for R</w:t>
            </w:r>
            <w:r w:rsidRPr="00F325B1">
              <w:rPr>
                <w:color w:val="000000"/>
                <w:sz w:val="18"/>
                <w:szCs w:val="18"/>
                <w:lang w:eastAsia="en-CA"/>
              </w:rPr>
              <w:noBreakHyphen/>
              <w:t>410A</w:t>
            </w:r>
          </w:p>
        </w:tc>
        <w:tc>
          <w:tcPr>
            <w:tcW w:w="675" w:type="dxa"/>
            <w:tcBorders>
              <w:top w:val="nil"/>
              <w:left w:val="nil"/>
              <w:bottom w:val="single" w:sz="4" w:space="0" w:color="auto"/>
              <w:right w:val="single" w:sz="4" w:space="0" w:color="auto"/>
            </w:tcBorders>
            <w:shd w:val="clear" w:color="auto" w:fill="auto"/>
            <w:hideMark/>
          </w:tcPr>
          <w:p w14:paraId="6B515AAD" w14:textId="77777777" w:rsidR="00555DA6" w:rsidRPr="00F325B1" w:rsidRDefault="00555DA6" w:rsidP="00B007EC">
            <w:pPr>
              <w:jc w:val="right"/>
              <w:rPr>
                <w:color w:val="000000"/>
                <w:sz w:val="18"/>
                <w:szCs w:val="18"/>
                <w:lang w:eastAsia="en-CA"/>
              </w:rPr>
            </w:pPr>
            <w:r w:rsidRPr="00F325B1">
              <w:rPr>
                <w:color w:val="000000"/>
                <w:sz w:val="18"/>
                <w:szCs w:val="18"/>
                <w:lang w:eastAsia="en-CA"/>
              </w:rPr>
              <w:t>2,088</w:t>
            </w:r>
          </w:p>
        </w:tc>
        <w:tc>
          <w:tcPr>
            <w:tcW w:w="1134" w:type="dxa"/>
            <w:tcBorders>
              <w:top w:val="nil"/>
              <w:left w:val="nil"/>
              <w:bottom w:val="single" w:sz="4" w:space="0" w:color="auto"/>
              <w:right w:val="single" w:sz="4" w:space="0" w:color="auto"/>
            </w:tcBorders>
            <w:shd w:val="clear" w:color="auto" w:fill="auto"/>
            <w:hideMark/>
          </w:tcPr>
          <w:p w14:paraId="2B108F9E"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3562621D"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1A5AB17A"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873" w:type="dxa"/>
            <w:tcBorders>
              <w:top w:val="nil"/>
              <w:left w:val="nil"/>
              <w:bottom w:val="single" w:sz="4" w:space="0" w:color="auto"/>
              <w:right w:val="single" w:sz="4" w:space="0" w:color="auto"/>
            </w:tcBorders>
            <w:shd w:val="clear" w:color="auto" w:fill="auto"/>
            <w:hideMark/>
          </w:tcPr>
          <w:p w14:paraId="24575EFA"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46E36580" w14:textId="77777777" w:rsidR="00555DA6" w:rsidRPr="00F325B1" w:rsidRDefault="00555DA6" w:rsidP="00B007EC">
            <w:pPr>
              <w:jc w:val="right"/>
              <w:rPr>
                <w:color w:val="000000"/>
                <w:sz w:val="18"/>
                <w:szCs w:val="18"/>
                <w:lang w:eastAsia="en-CA"/>
              </w:rPr>
            </w:pPr>
            <w:r w:rsidRPr="00F325B1">
              <w:rPr>
                <w:color w:val="000000"/>
                <w:sz w:val="18"/>
                <w:szCs w:val="18"/>
                <w:lang w:eastAsia="en-CA"/>
              </w:rPr>
              <w:t>24,828</w:t>
            </w:r>
          </w:p>
        </w:tc>
        <w:tc>
          <w:tcPr>
            <w:tcW w:w="1134" w:type="dxa"/>
            <w:tcBorders>
              <w:top w:val="nil"/>
              <w:left w:val="nil"/>
              <w:bottom w:val="single" w:sz="4" w:space="0" w:color="auto"/>
              <w:right w:val="single" w:sz="4" w:space="0" w:color="auto"/>
            </w:tcBorders>
            <w:shd w:val="clear" w:color="auto" w:fill="auto"/>
            <w:hideMark/>
          </w:tcPr>
          <w:p w14:paraId="1CB9C0AF" w14:textId="77777777" w:rsidR="00555DA6" w:rsidRPr="00F325B1" w:rsidRDefault="00555DA6" w:rsidP="00B007EC">
            <w:pPr>
              <w:jc w:val="right"/>
              <w:rPr>
                <w:color w:val="000000"/>
                <w:sz w:val="18"/>
                <w:szCs w:val="18"/>
                <w:lang w:eastAsia="en-CA"/>
              </w:rPr>
            </w:pPr>
            <w:r w:rsidRPr="00F325B1">
              <w:rPr>
                <w:color w:val="000000"/>
                <w:sz w:val="18"/>
                <w:szCs w:val="18"/>
                <w:lang w:eastAsia="en-CA"/>
              </w:rPr>
              <w:t>35,780</w:t>
            </w:r>
          </w:p>
        </w:tc>
      </w:tr>
      <w:tr w:rsidR="00555DA6" w:rsidRPr="00F325B1" w14:paraId="1885862C" w14:textId="77777777" w:rsidTr="00B007EC">
        <w:trPr>
          <w:trHeight w:val="290"/>
        </w:trPr>
        <w:tc>
          <w:tcPr>
            <w:tcW w:w="9356" w:type="dxa"/>
            <w:gridSpan w:val="8"/>
            <w:tcBorders>
              <w:top w:val="nil"/>
              <w:left w:val="single" w:sz="4" w:space="0" w:color="auto"/>
              <w:bottom w:val="single" w:sz="4" w:space="0" w:color="auto"/>
              <w:right w:val="single" w:sz="4" w:space="0" w:color="auto"/>
            </w:tcBorders>
            <w:shd w:val="clear" w:color="auto" w:fill="auto"/>
            <w:hideMark/>
          </w:tcPr>
          <w:p w14:paraId="3359D678" w14:textId="77777777" w:rsidR="00555DA6" w:rsidRPr="00F325B1" w:rsidRDefault="00555DA6" w:rsidP="00B007EC">
            <w:pPr>
              <w:keepNext/>
              <w:jc w:val="center"/>
              <w:rPr>
                <w:b/>
                <w:bCs/>
                <w:color w:val="000000"/>
                <w:sz w:val="18"/>
                <w:szCs w:val="18"/>
                <w:lang w:eastAsia="en-CA"/>
              </w:rPr>
            </w:pPr>
            <w:r w:rsidRPr="00F325B1">
              <w:rPr>
                <w:b/>
                <w:bCs/>
                <w:color w:val="000000"/>
                <w:sz w:val="18"/>
                <w:szCs w:val="18"/>
                <w:lang w:eastAsia="en-CA"/>
              </w:rPr>
              <w:lastRenderedPageBreak/>
              <w:t>CO</w:t>
            </w:r>
            <w:r w:rsidRPr="00F325B1">
              <w:rPr>
                <w:b/>
                <w:bCs/>
                <w:color w:val="000000"/>
                <w:sz w:val="18"/>
                <w:szCs w:val="18"/>
                <w:vertAlign w:val="subscript"/>
                <w:lang w:eastAsia="en-CA"/>
              </w:rPr>
              <w:t>2</w:t>
            </w:r>
            <w:r w:rsidRPr="00F325B1">
              <w:rPr>
                <w:b/>
                <w:bCs/>
                <w:color w:val="000000"/>
                <w:sz w:val="18"/>
                <w:szCs w:val="18"/>
                <w:lang w:eastAsia="en-CA"/>
              </w:rPr>
              <w:t>-eq tonnes</w:t>
            </w:r>
          </w:p>
        </w:tc>
      </w:tr>
      <w:tr w:rsidR="00555DA6" w:rsidRPr="00F325B1" w14:paraId="4BEDD9BA"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57911E3" w14:textId="77777777" w:rsidR="00555DA6" w:rsidRPr="00F325B1" w:rsidRDefault="00555DA6" w:rsidP="00B007EC">
            <w:pPr>
              <w:keepNext/>
              <w:jc w:val="left"/>
              <w:rPr>
                <w:color w:val="000000"/>
                <w:sz w:val="18"/>
                <w:szCs w:val="18"/>
                <w:lang w:eastAsia="en-CA"/>
              </w:rPr>
            </w:pPr>
            <w:r w:rsidRPr="00F325B1">
              <w:rPr>
                <w:color w:val="000000"/>
                <w:sz w:val="18"/>
                <w:szCs w:val="18"/>
                <w:lang w:eastAsia="en-CA"/>
              </w:rPr>
              <w:t>HFC-134a</w:t>
            </w:r>
          </w:p>
        </w:tc>
        <w:tc>
          <w:tcPr>
            <w:tcW w:w="675" w:type="dxa"/>
            <w:tcBorders>
              <w:top w:val="nil"/>
              <w:left w:val="nil"/>
              <w:bottom w:val="single" w:sz="4" w:space="0" w:color="auto"/>
              <w:right w:val="single" w:sz="4" w:space="0" w:color="auto"/>
            </w:tcBorders>
            <w:shd w:val="clear" w:color="auto" w:fill="auto"/>
            <w:hideMark/>
          </w:tcPr>
          <w:p w14:paraId="20B00B62"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1,430</w:t>
            </w:r>
          </w:p>
        </w:tc>
        <w:tc>
          <w:tcPr>
            <w:tcW w:w="1134" w:type="dxa"/>
            <w:tcBorders>
              <w:top w:val="nil"/>
              <w:left w:val="nil"/>
              <w:bottom w:val="single" w:sz="4" w:space="0" w:color="auto"/>
              <w:right w:val="single" w:sz="4" w:space="0" w:color="auto"/>
            </w:tcBorders>
            <w:shd w:val="clear" w:color="auto" w:fill="auto"/>
            <w:hideMark/>
          </w:tcPr>
          <w:p w14:paraId="1CB160E2"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127,505,365</w:t>
            </w:r>
          </w:p>
        </w:tc>
        <w:tc>
          <w:tcPr>
            <w:tcW w:w="1134" w:type="dxa"/>
            <w:tcBorders>
              <w:top w:val="nil"/>
              <w:left w:val="nil"/>
              <w:bottom w:val="single" w:sz="4" w:space="0" w:color="auto"/>
              <w:right w:val="single" w:sz="4" w:space="0" w:color="auto"/>
            </w:tcBorders>
            <w:shd w:val="clear" w:color="auto" w:fill="auto"/>
            <w:hideMark/>
          </w:tcPr>
          <w:p w14:paraId="5BDE6D01"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144,041,928</w:t>
            </w:r>
          </w:p>
        </w:tc>
        <w:tc>
          <w:tcPr>
            <w:tcW w:w="1134" w:type="dxa"/>
            <w:tcBorders>
              <w:top w:val="nil"/>
              <w:left w:val="nil"/>
              <w:bottom w:val="single" w:sz="4" w:space="0" w:color="auto"/>
              <w:right w:val="single" w:sz="4" w:space="0" w:color="auto"/>
            </w:tcBorders>
            <w:shd w:val="clear" w:color="auto" w:fill="auto"/>
            <w:hideMark/>
          </w:tcPr>
          <w:p w14:paraId="7F08B453"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117,302,710</w:t>
            </w:r>
          </w:p>
        </w:tc>
        <w:tc>
          <w:tcPr>
            <w:tcW w:w="873" w:type="dxa"/>
            <w:tcBorders>
              <w:top w:val="nil"/>
              <w:left w:val="nil"/>
              <w:bottom w:val="single" w:sz="4" w:space="0" w:color="auto"/>
              <w:right w:val="single" w:sz="4" w:space="0" w:color="auto"/>
            </w:tcBorders>
            <w:shd w:val="clear" w:color="auto" w:fill="auto"/>
            <w:hideMark/>
          </w:tcPr>
          <w:p w14:paraId="0BFAC2C0"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2E0DF720"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122,443,664</w:t>
            </w:r>
          </w:p>
        </w:tc>
        <w:tc>
          <w:tcPr>
            <w:tcW w:w="1134" w:type="dxa"/>
            <w:tcBorders>
              <w:top w:val="nil"/>
              <w:left w:val="nil"/>
              <w:bottom w:val="single" w:sz="4" w:space="0" w:color="auto"/>
              <w:right w:val="single" w:sz="4" w:space="0" w:color="auto"/>
            </w:tcBorders>
            <w:shd w:val="clear" w:color="auto" w:fill="auto"/>
            <w:hideMark/>
          </w:tcPr>
          <w:p w14:paraId="68CE4304" w14:textId="77777777" w:rsidR="00555DA6" w:rsidRPr="00F325B1" w:rsidRDefault="00555DA6" w:rsidP="00B007EC">
            <w:pPr>
              <w:keepNext/>
              <w:jc w:val="right"/>
              <w:rPr>
                <w:color w:val="000000"/>
                <w:sz w:val="18"/>
                <w:szCs w:val="18"/>
                <w:lang w:eastAsia="en-CA"/>
              </w:rPr>
            </w:pPr>
            <w:r w:rsidRPr="00F325B1">
              <w:rPr>
                <w:color w:val="000000"/>
                <w:sz w:val="18"/>
                <w:szCs w:val="18"/>
                <w:lang w:eastAsia="en-CA"/>
              </w:rPr>
              <w:t>103,674,500</w:t>
            </w:r>
          </w:p>
        </w:tc>
      </w:tr>
      <w:tr w:rsidR="00555DA6" w:rsidRPr="00F325B1" w14:paraId="71049C1F"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7EC69646" w14:textId="77777777" w:rsidR="00555DA6" w:rsidRPr="00F325B1" w:rsidRDefault="00555DA6" w:rsidP="00B007EC">
            <w:pPr>
              <w:jc w:val="left"/>
              <w:rPr>
                <w:color w:val="000000"/>
                <w:sz w:val="18"/>
                <w:szCs w:val="18"/>
                <w:lang w:eastAsia="en-CA"/>
              </w:rPr>
            </w:pPr>
            <w:r w:rsidRPr="00F325B1">
              <w:rPr>
                <w:color w:val="000000"/>
                <w:sz w:val="18"/>
                <w:szCs w:val="18"/>
                <w:lang w:eastAsia="en-CA"/>
              </w:rPr>
              <w:t>R-410A</w:t>
            </w:r>
            <w:r w:rsidRPr="00F325B1">
              <w:t xml:space="preserve"> </w:t>
            </w:r>
          </w:p>
        </w:tc>
        <w:tc>
          <w:tcPr>
            <w:tcW w:w="675" w:type="dxa"/>
            <w:tcBorders>
              <w:top w:val="nil"/>
              <w:left w:val="nil"/>
              <w:bottom w:val="single" w:sz="4" w:space="0" w:color="auto"/>
              <w:right w:val="single" w:sz="4" w:space="0" w:color="auto"/>
            </w:tcBorders>
            <w:shd w:val="clear" w:color="auto" w:fill="auto"/>
            <w:hideMark/>
          </w:tcPr>
          <w:p w14:paraId="237FF63D" w14:textId="77777777" w:rsidR="00555DA6" w:rsidRPr="00F325B1" w:rsidRDefault="00555DA6" w:rsidP="00B007EC">
            <w:pPr>
              <w:jc w:val="right"/>
              <w:rPr>
                <w:color w:val="000000"/>
                <w:sz w:val="18"/>
                <w:szCs w:val="18"/>
                <w:lang w:eastAsia="en-CA"/>
              </w:rPr>
            </w:pPr>
            <w:r w:rsidRPr="00F325B1">
              <w:rPr>
                <w:color w:val="000000"/>
                <w:sz w:val="18"/>
                <w:szCs w:val="18"/>
                <w:lang w:eastAsia="en-CA"/>
              </w:rPr>
              <w:t>2,088</w:t>
            </w:r>
          </w:p>
        </w:tc>
        <w:tc>
          <w:tcPr>
            <w:tcW w:w="1134" w:type="dxa"/>
            <w:tcBorders>
              <w:top w:val="nil"/>
              <w:left w:val="nil"/>
              <w:bottom w:val="single" w:sz="4" w:space="0" w:color="auto"/>
              <w:right w:val="single" w:sz="4" w:space="0" w:color="auto"/>
            </w:tcBorders>
            <w:shd w:val="clear" w:color="auto" w:fill="auto"/>
            <w:hideMark/>
          </w:tcPr>
          <w:p w14:paraId="7F1650E8" w14:textId="77777777" w:rsidR="00555DA6" w:rsidRPr="00F325B1" w:rsidRDefault="00555DA6" w:rsidP="00B007EC">
            <w:pPr>
              <w:jc w:val="right"/>
              <w:rPr>
                <w:color w:val="000000"/>
                <w:sz w:val="18"/>
                <w:szCs w:val="18"/>
                <w:lang w:eastAsia="en-CA"/>
              </w:rPr>
            </w:pPr>
            <w:r w:rsidRPr="00F325B1">
              <w:rPr>
                <w:color w:val="000000"/>
                <w:sz w:val="18"/>
                <w:szCs w:val="18"/>
                <w:lang w:eastAsia="en-CA"/>
              </w:rPr>
              <w:t>-142,918,864</w:t>
            </w:r>
          </w:p>
        </w:tc>
        <w:tc>
          <w:tcPr>
            <w:tcW w:w="1134" w:type="dxa"/>
            <w:tcBorders>
              <w:top w:val="nil"/>
              <w:left w:val="nil"/>
              <w:bottom w:val="single" w:sz="4" w:space="0" w:color="auto"/>
              <w:right w:val="single" w:sz="4" w:space="0" w:color="auto"/>
            </w:tcBorders>
            <w:shd w:val="clear" w:color="auto" w:fill="auto"/>
            <w:hideMark/>
          </w:tcPr>
          <w:p w14:paraId="162AD0D1" w14:textId="77777777" w:rsidR="00555DA6" w:rsidRPr="00F325B1" w:rsidRDefault="00555DA6" w:rsidP="00B007EC">
            <w:pPr>
              <w:jc w:val="right"/>
              <w:rPr>
                <w:color w:val="000000"/>
                <w:sz w:val="18"/>
                <w:szCs w:val="18"/>
                <w:lang w:eastAsia="en-CA"/>
              </w:rPr>
            </w:pPr>
            <w:r w:rsidRPr="00F325B1">
              <w:rPr>
                <w:color w:val="000000"/>
                <w:sz w:val="18"/>
                <w:szCs w:val="18"/>
                <w:lang w:eastAsia="en-CA"/>
              </w:rPr>
              <w:t>-155,565,505</w:t>
            </w:r>
          </w:p>
        </w:tc>
        <w:tc>
          <w:tcPr>
            <w:tcW w:w="1134" w:type="dxa"/>
            <w:tcBorders>
              <w:top w:val="nil"/>
              <w:left w:val="nil"/>
              <w:bottom w:val="single" w:sz="4" w:space="0" w:color="auto"/>
              <w:right w:val="single" w:sz="4" w:space="0" w:color="auto"/>
            </w:tcBorders>
            <w:shd w:val="clear" w:color="auto" w:fill="auto"/>
            <w:hideMark/>
          </w:tcPr>
          <w:p w14:paraId="03999136" w14:textId="77777777" w:rsidR="00555DA6" w:rsidRPr="00F325B1" w:rsidRDefault="00555DA6" w:rsidP="00B007EC">
            <w:pPr>
              <w:jc w:val="right"/>
              <w:rPr>
                <w:color w:val="000000"/>
                <w:sz w:val="18"/>
                <w:szCs w:val="18"/>
                <w:lang w:eastAsia="en-CA"/>
              </w:rPr>
            </w:pPr>
            <w:r w:rsidRPr="00F325B1">
              <w:rPr>
                <w:color w:val="000000"/>
                <w:sz w:val="18"/>
                <w:szCs w:val="18"/>
                <w:lang w:eastAsia="en-CA"/>
              </w:rPr>
              <w:t>-221,807,965</w:t>
            </w:r>
          </w:p>
        </w:tc>
        <w:tc>
          <w:tcPr>
            <w:tcW w:w="873" w:type="dxa"/>
            <w:tcBorders>
              <w:top w:val="nil"/>
              <w:left w:val="nil"/>
              <w:bottom w:val="single" w:sz="4" w:space="0" w:color="auto"/>
              <w:right w:val="single" w:sz="4" w:space="0" w:color="auto"/>
            </w:tcBorders>
            <w:shd w:val="clear" w:color="auto" w:fill="auto"/>
            <w:hideMark/>
          </w:tcPr>
          <w:p w14:paraId="35646955"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hideMark/>
          </w:tcPr>
          <w:p w14:paraId="6829BBDE" w14:textId="77777777" w:rsidR="00555DA6" w:rsidRPr="00F325B1" w:rsidRDefault="00555DA6" w:rsidP="00B007EC">
            <w:pPr>
              <w:jc w:val="right"/>
              <w:rPr>
                <w:color w:val="000000"/>
                <w:sz w:val="18"/>
                <w:szCs w:val="18"/>
                <w:lang w:eastAsia="en-CA"/>
              </w:rPr>
            </w:pPr>
            <w:r w:rsidRPr="00F325B1">
              <w:rPr>
                <w:color w:val="000000"/>
                <w:sz w:val="18"/>
                <w:szCs w:val="18"/>
                <w:lang w:eastAsia="en-CA"/>
              </w:rPr>
              <w:t>214,099,553</w:t>
            </w:r>
          </w:p>
        </w:tc>
        <w:tc>
          <w:tcPr>
            <w:tcW w:w="1134" w:type="dxa"/>
            <w:tcBorders>
              <w:top w:val="nil"/>
              <w:left w:val="nil"/>
              <w:bottom w:val="single" w:sz="4" w:space="0" w:color="auto"/>
              <w:right w:val="single" w:sz="4" w:space="0" w:color="auto"/>
            </w:tcBorders>
            <w:shd w:val="clear" w:color="auto" w:fill="auto"/>
            <w:hideMark/>
          </w:tcPr>
          <w:p w14:paraId="24191342" w14:textId="77777777" w:rsidR="00555DA6" w:rsidRPr="00F325B1" w:rsidRDefault="00555DA6" w:rsidP="00B007EC">
            <w:pPr>
              <w:jc w:val="right"/>
              <w:rPr>
                <w:color w:val="000000"/>
                <w:sz w:val="18"/>
                <w:szCs w:val="18"/>
                <w:lang w:eastAsia="en-CA"/>
              </w:rPr>
            </w:pPr>
            <w:r w:rsidRPr="00F325B1">
              <w:rPr>
                <w:color w:val="000000"/>
                <w:sz w:val="18"/>
                <w:szCs w:val="18"/>
                <w:lang w:eastAsia="en-CA"/>
              </w:rPr>
              <w:t>243,692,067</w:t>
            </w:r>
          </w:p>
        </w:tc>
      </w:tr>
      <w:tr w:rsidR="00555DA6" w:rsidRPr="00F325B1" w14:paraId="3086593E" w14:textId="77777777" w:rsidTr="00B007EC">
        <w:trPr>
          <w:trHeight w:val="217"/>
        </w:trPr>
        <w:tc>
          <w:tcPr>
            <w:tcW w:w="2160" w:type="dxa"/>
            <w:tcBorders>
              <w:top w:val="nil"/>
              <w:left w:val="single" w:sz="4" w:space="0" w:color="auto"/>
              <w:bottom w:val="single" w:sz="4" w:space="0" w:color="auto"/>
              <w:right w:val="single" w:sz="4" w:space="0" w:color="auto"/>
            </w:tcBorders>
            <w:shd w:val="clear" w:color="auto" w:fill="auto"/>
            <w:hideMark/>
          </w:tcPr>
          <w:p w14:paraId="58E64699" w14:textId="77777777" w:rsidR="00555DA6" w:rsidRPr="00F325B1" w:rsidRDefault="00555DA6" w:rsidP="00B007EC">
            <w:pPr>
              <w:jc w:val="left"/>
              <w:rPr>
                <w:b/>
                <w:bCs/>
                <w:color w:val="000000"/>
                <w:sz w:val="18"/>
                <w:szCs w:val="18"/>
                <w:lang w:eastAsia="en-CA"/>
              </w:rPr>
            </w:pPr>
            <w:r w:rsidRPr="00F325B1">
              <w:rPr>
                <w:b/>
                <w:bCs/>
                <w:color w:val="000000"/>
                <w:sz w:val="18"/>
                <w:szCs w:val="18"/>
                <w:lang w:eastAsia="en-CA"/>
              </w:rPr>
              <w:t xml:space="preserve">Total </w:t>
            </w:r>
          </w:p>
        </w:tc>
        <w:tc>
          <w:tcPr>
            <w:tcW w:w="675" w:type="dxa"/>
            <w:tcBorders>
              <w:top w:val="nil"/>
              <w:left w:val="nil"/>
              <w:bottom w:val="single" w:sz="4" w:space="0" w:color="auto"/>
              <w:right w:val="single" w:sz="4" w:space="0" w:color="auto"/>
            </w:tcBorders>
            <w:shd w:val="clear" w:color="auto" w:fill="auto"/>
            <w:noWrap/>
            <w:hideMark/>
          </w:tcPr>
          <w:p w14:paraId="152F46CF" w14:textId="77777777" w:rsidR="00555DA6" w:rsidRPr="00F325B1" w:rsidRDefault="00555DA6" w:rsidP="00B007EC">
            <w:pPr>
              <w:jc w:val="right"/>
              <w:rPr>
                <w:rFonts w:ascii="Aptos Narrow" w:hAnsi="Aptos Narrow"/>
                <w:b/>
                <w:bCs/>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noWrap/>
            <w:hideMark/>
          </w:tcPr>
          <w:p w14:paraId="51BC23E7"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- 15,413,499</w:t>
            </w:r>
          </w:p>
        </w:tc>
        <w:tc>
          <w:tcPr>
            <w:tcW w:w="1134" w:type="dxa"/>
            <w:tcBorders>
              <w:top w:val="nil"/>
              <w:left w:val="nil"/>
              <w:bottom w:val="single" w:sz="4" w:space="0" w:color="auto"/>
              <w:right w:val="single" w:sz="4" w:space="0" w:color="auto"/>
            </w:tcBorders>
            <w:shd w:val="clear" w:color="auto" w:fill="auto"/>
            <w:noWrap/>
            <w:hideMark/>
          </w:tcPr>
          <w:p w14:paraId="39BA314E"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-11,523,577</w:t>
            </w:r>
          </w:p>
        </w:tc>
        <w:tc>
          <w:tcPr>
            <w:tcW w:w="1134" w:type="dxa"/>
            <w:tcBorders>
              <w:top w:val="nil"/>
              <w:left w:val="nil"/>
              <w:bottom w:val="single" w:sz="4" w:space="0" w:color="auto"/>
              <w:right w:val="single" w:sz="4" w:space="0" w:color="auto"/>
            </w:tcBorders>
            <w:shd w:val="clear" w:color="auto" w:fill="auto"/>
            <w:noWrap/>
            <w:hideMark/>
          </w:tcPr>
          <w:p w14:paraId="370255C1"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-104,505,255</w:t>
            </w:r>
          </w:p>
        </w:tc>
        <w:tc>
          <w:tcPr>
            <w:tcW w:w="873" w:type="dxa"/>
            <w:tcBorders>
              <w:top w:val="nil"/>
              <w:left w:val="nil"/>
              <w:bottom w:val="single" w:sz="4" w:space="0" w:color="auto"/>
              <w:right w:val="single" w:sz="4" w:space="0" w:color="auto"/>
            </w:tcBorders>
            <w:shd w:val="clear" w:color="auto" w:fill="auto"/>
            <w:hideMark/>
          </w:tcPr>
          <w:p w14:paraId="6FA08D79"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noWrap/>
            <w:hideMark/>
          </w:tcPr>
          <w:p w14:paraId="7D605C48"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336,543,217</w:t>
            </w:r>
          </w:p>
        </w:tc>
        <w:tc>
          <w:tcPr>
            <w:tcW w:w="1134" w:type="dxa"/>
            <w:tcBorders>
              <w:top w:val="nil"/>
              <w:left w:val="nil"/>
              <w:bottom w:val="single" w:sz="4" w:space="0" w:color="auto"/>
              <w:right w:val="single" w:sz="4" w:space="0" w:color="auto"/>
            </w:tcBorders>
            <w:shd w:val="clear" w:color="auto" w:fill="auto"/>
            <w:noWrap/>
            <w:hideMark/>
          </w:tcPr>
          <w:p w14:paraId="74C123C6" w14:textId="77777777" w:rsidR="00555DA6" w:rsidRPr="00F325B1" w:rsidRDefault="00555DA6" w:rsidP="00B007EC">
            <w:pPr>
              <w:jc w:val="right"/>
              <w:rPr>
                <w:b/>
                <w:bCs/>
                <w:color w:val="000000"/>
                <w:sz w:val="18"/>
                <w:szCs w:val="18"/>
                <w:lang w:eastAsia="en-CA"/>
              </w:rPr>
            </w:pPr>
            <w:r w:rsidRPr="00F325B1">
              <w:rPr>
                <w:b/>
                <w:bCs/>
                <w:color w:val="000000"/>
                <w:sz w:val="18"/>
                <w:szCs w:val="18"/>
                <w:lang w:eastAsia="en-CA"/>
              </w:rPr>
              <w:t>347,366,566</w:t>
            </w:r>
          </w:p>
        </w:tc>
      </w:tr>
      <w:tr w:rsidR="00555DA6" w:rsidRPr="00F325B1" w14:paraId="73966351"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2D1A722C" w14:textId="77777777" w:rsidR="00555DA6" w:rsidRPr="00F325B1" w:rsidRDefault="00555DA6" w:rsidP="00B007EC">
            <w:pPr>
              <w:jc w:val="left"/>
              <w:rPr>
                <w:color w:val="000000"/>
                <w:sz w:val="18"/>
                <w:szCs w:val="18"/>
                <w:lang w:eastAsia="en-CA"/>
              </w:rPr>
            </w:pPr>
            <w:r w:rsidRPr="00F325B1">
              <w:rPr>
                <w:color w:val="000000"/>
                <w:sz w:val="18"/>
                <w:szCs w:val="18"/>
                <w:lang w:eastAsia="en-CA"/>
              </w:rPr>
              <w:t>Servicing sector total for HFC-134a</w:t>
            </w:r>
          </w:p>
        </w:tc>
        <w:tc>
          <w:tcPr>
            <w:tcW w:w="675" w:type="dxa"/>
            <w:tcBorders>
              <w:top w:val="nil"/>
              <w:left w:val="nil"/>
              <w:bottom w:val="single" w:sz="4" w:space="0" w:color="auto"/>
              <w:right w:val="single" w:sz="4" w:space="0" w:color="auto"/>
            </w:tcBorders>
            <w:shd w:val="clear" w:color="auto" w:fill="auto"/>
            <w:hideMark/>
          </w:tcPr>
          <w:p w14:paraId="6A9AC2DF" w14:textId="77777777" w:rsidR="00555DA6" w:rsidRPr="00F325B1" w:rsidRDefault="00555DA6" w:rsidP="00B007EC">
            <w:pPr>
              <w:jc w:val="right"/>
              <w:rPr>
                <w:color w:val="000000"/>
                <w:sz w:val="18"/>
                <w:szCs w:val="18"/>
                <w:lang w:eastAsia="en-CA"/>
              </w:rPr>
            </w:pPr>
            <w:r w:rsidRPr="00F325B1">
              <w:rPr>
                <w:color w:val="000000"/>
                <w:sz w:val="18"/>
                <w:szCs w:val="18"/>
                <w:lang w:eastAsia="en-CA"/>
              </w:rPr>
              <w:t>1,430</w:t>
            </w:r>
          </w:p>
        </w:tc>
        <w:tc>
          <w:tcPr>
            <w:tcW w:w="1134" w:type="dxa"/>
            <w:tcBorders>
              <w:top w:val="nil"/>
              <w:left w:val="nil"/>
              <w:bottom w:val="single" w:sz="4" w:space="0" w:color="auto"/>
              <w:right w:val="single" w:sz="4" w:space="0" w:color="auto"/>
            </w:tcBorders>
            <w:shd w:val="clear" w:color="auto" w:fill="auto"/>
            <w:hideMark/>
          </w:tcPr>
          <w:p w14:paraId="4E32CA64"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0D8B2EF4"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2F950B34"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873" w:type="dxa"/>
            <w:tcBorders>
              <w:top w:val="nil"/>
              <w:left w:val="nil"/>
              <w:bottom w:val="single" w:sz="4" w:space="0" w:color="auto"/>
              <w:right w:val="single" w:sz="4" w:space="0" w:color="auto"/>
            </w:tcBorders>
            <w:shd w:val="clear" w:color="auto" w:fill="auto"/>
            <w:hideMark/>
          </w:tcPr>
          <w:p w14:paraId="03DB8517"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noWrap/>
            <w:hideMark/>
          </w:tcPr>
          <w:p w14:paraId="178D6381" w14:textId="77777777" w:rsidR="00555DA6" w:rsidRPr="00F325B1" w:rsidRDefault="00555DA6" w:rsidP="00B007EC">
            <w:pPr>
              <w:jc w:val="right"/>
              <w:rPr>
                <w:color w:val="000000"/>
                <w:sz w:val="18"/>
                <w:szCs w:val="18"/>
                <w:lang w:eastAsia="en-CA"/>
              </w:rPr>
            </w:pPr>
            <w:r w:rsidRPr="00F325B1">
              <w:rPr>
                <w:color w:val="000000"/>
                <w:sz w:val="18"/>
                <w:szCs w:val="18"/>
                <w:lang w:eastAsia="en-CA"/>
              </w:rPr>
              <w:t>49,967,832</w:t>
            </w:r>
          </w:p>
        </w:tc>
        <w:tc>
          <w:tcPr>
            <w:tcW w:w="1134" w:type="dxa"/>
            <w:tcBorders>
              <w:top w:val="nil"/>
              <w:left w:val="nil"/>
              <w:bottom w:val="single" w:sz="4" w:space="0" w:color="auto"/>
              <w:right w:val="single" w:sz="4" w:space="0" w:color="auto"/>
            </w:tcBorders>
            <w:shd w:val="clear" w:color="auto" w:fill="auto"/>
            <w:noWrap/>
            <w:hideMark/>
          </w:tcPr>
          <w:p w14:paraId="262EFC6B" w14:textId="77777777" w:rsidR="00555DA6" w:rsidRPr="00F325B1" w:rsidRDefault="00555DA6" w:rsidP="00B007EC">
            <w:pPr>
              <w:jc w:val="right"/>
              <w:rPr>
                <w:color w:val="000000"/>
                <w:sz w:val="18"/>
                <w:szCs w:val="18"/>
                <w:lang w:eastAsia="en-CA"/>
              </w:rPr>
            </w:pPr>
            <w:r w:rsidRPr="00F325B1">
              <w:rPr>
                <w:color w:val="000000"/>
                <w:sz w:val="18"/>
                <w:szCs w:val="18"/>
                <w:lang w:eastAsia="en-CA"/>
              </w:rPr>
              <w:t>34,205,786</w:t>
            </w:r>
          </w:p>
        </w:tc>
      </w:tr>
      <w:tr w:rsidR="00555DA6" w:rsidRPr="00F325B1" w14:paraId="1494D406" w14:textId="77777777" w:rsidTr="00B007EC">
        <w:trPr>
          <w:trHeight w:val="414"/>
        </w:trPr>
        <w:tc>
          <w:tcPr>
            <w:tcW w:w="2160" w:type="dxa"/>
            <w:tcBorders>
              <w:top w:val="nil"/>
              <w:left w:val="single" w:sz="4" w:space="0" w:color="auto"/>
              <w:bottom w:val="single" w:sz="4" w:space="0" w:color="auto"/>
              <w:right w:val="single" w:sz="4" w:space="0" w:color="auto"/>
            </w:tcBorders>
            <w:shd w:val="clear" w:color="auto" w:fill="auto"/>
            <w:hideMark/>
          </w:tcPr>
          <w:p w14:paraId="6B6D2172" w14:textId="77777777" w:rsidR="00555DA6" w:rsidRPr="00F325B1" w:rsidRDefault="00555DA6" w:rsidP="00B007EC">
            <w:pPr>
              <w:jc w:val="left"/>
              <w:rPr>
                <w:color w:val="000000"/>
                <w:sz w:val="18"/>
                <w:szCs w:val="18"/>
                <w:lang w:eastAsia="en-CA"/>
              </w:rPr>
            </w:pPr>
            <w:r w:rsidRPr="00F325B1">
              <w:rPr>
                <w:color w:val="000000"/>
                <w:sz w:val="18"/>
                <w:szCs w:val="18"/>
                <w:lang w:eastAsia="en-CA"/>
              </w:rPr>
              <w:t>Servicing sector total for R</w:t>
            </w:r>
            <w:r w:rsidRPr="00F325B1">
              <w:rPr>
                <w:color w:val="000000"/>
                <w:sz w:val="18"/>
                <w:szCs w:val="18"/>
                <w:lang w:eastAsia="en-CA"/>
              </w:rPr>
              <w:noBreakHyphen/>
              <w:t>410A</w:t>
            </w:r>
          </w:p>
        </w:tc>
        <w:tc>
          <w:tcPr>
            <w:tcW w:w="675" w:type="dxa"/>
            <w:tcBorders>
              <w:top w:val="nil"/>
              <w:left w:val="nil"/>
              <w:bottom w:val="single" w:sz="4" w:space="0" w:color="auto"/>
              <w:right w:val="single" w:sz="4" w:space="0" w:color="auto"/>
            </w:tcBorders>
            <w:shd w:val="clear" w:color="auto" w:fill="auto"/>
            <w:hideMark/>
          </w:tcPr>
          <w:p w14:paraId="54A8F88A" w14:textId="77777777" w:rsidR="00555DA6" w:rsidRPr="00F325B1" w:rsidRDefault="00555DA6" w:rsidP="00B007EC">
            <w:pPr>
              <w:jc w:val="right"/>
              <w:rPr>
                <w:color w:val="000000"/>
                <w:sz w:val="18"/>
                <w:szCs w:val="18"/>
                <w:lang w:eastAsia="en-CA"/>
              </w:rPr>
            </w:pPr>
            <w:r w:rsidRPr="00F325B1">
              <w:rPr>
                <w:color w:val="000000"/>
                <w:sz w:val="18"/>
                <w:szCs w:val="18"/>
                <w:lang w:eastAsia="en-CA"/>
              </w:rPr>
              <w:t>2,088</w:t>
            </w:r>
          </w:p>
        </w:tc>
        <w:tc>
          <w:tcPr>
            <w:tcW w:w="1134" w:type="dxa"/>
            <w:tcBorders>
              <w:top w:val="nil"/>
              <w:left w:val="nil"/>
              <w:bottom w:val="single" w:sz="4" w:space="0" w:color="auto"/>
              <w:right w:val="single" w:sz="4" w:space="0" w:color="auto"/>
            </w:tcBorders>
            <w:shd w:val="clear" w:color="auto" w:fill="auto"/>
            <w:hideMark/>
          </w:tcPr>
          <w:p w14:paraId="7153B626"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337FBED9"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34" w:type="dxa"/>
            <w:tcBorders>
              <w:top w:val="nil"/>
              <w:left w:val="nil"/>
              <w:bottom w:val="single" w:sz="4" w:space="0" w:color="auto"/>
              <w:right w:val="single" w:sz="4" w:space="0" w:color="auto"/>
            </w:tcBorders>
            <w:shd w:val="clear" w:color="auto" w:fill="auto"/>
            <w:hideMark/>
          </w:tcPr>
          <w:p w14:paraId="46C96C2A"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873" w:type="dxa"/>
            <w:tcBorders>
              <w:top w:val="nil"/>
              <w:left w:val="nil"/>
              <w:bottom w:val="single" w:sz="4" w:space="0" w:color="auto"/>
              <w:right w:val="single" w:sz="4" w:space="0" w:color="auto"/>
            </w:tcBorders>
            <w:shd w:val="clear" w:color="auto" w:fill="auto"/>
            <w:hideMark/>
          </w:tcPr>
          <w:p w14:paraId="38475F39" w14:textId="77777777" w:rsidR="00555DA6" w:rsidRPr="00F325B1" w:rsidRDefault="00555DA6" w:rsidP="00B007EC">
            <w:pPr>
              <w:jc w:val="right"/>
              <w:rPr>
                <w:color w:val="000000"/>
                <w:sz w:val="18"/>
                <w:szCs w:val="18"/>
                <w:lang w:eastAsia="en-CA"/>
              </w:rPr>
            </w:pPr>
            <w:r w:rsidRPr="00F325B1">
              <w:rPr>
                <w:color w:val="000000"/>
                <w:sz w:val="18"/>
                <w:szCs w:val="18"/>
                <w:lang w:eastAsia="en-CA"/>
              </w:rPr>
              <w:t>n/a</w:t>
            </w:r>
          </w:p>
        </w:tc>
        <w:tc>
          <w:tcPr>
            <w:tcW w:w="1112" w:type="dxa"/>
            <w:tcBorders>
              <w:top w:val="nil"/>
              <w:left w:val="nil"/>
              <w:bottom w:val="single" w:sz="4" w:space="0" w:color="auto"/>
              <w:right w:val="single" w:sz="4" w:space="0" w:color="auto"/>
            </w:tcBorders>
            <w:shd w:val="clear" w:color="auto" w:fill="auto"/>
            <w:noWrap/>
            <w:hideMark/>
          </w:tcPr>
          <w:p w14:paraId="251CF0FD" w14:textId="77777777" w:rsidR="00555DA6" w:rsidRPr="00F325B1" w:rsidRDefault="00555DA6" w:rsidP="00B007EC">
            <w:pPr>
              <w:jc w:val="right"/>
              <w:rPr>
                <w:color w:val="000000"/>
                <w:sz w:val="18"/>
                <w:szCs w:val="18"/>
                <w:lang w:eastAsia="en-CA"/>
              </w:rPr>
            </w:pPr>
            <w:r w:rsidRPr="00F325B1">
              <w:rPr>
                <w:color w:val="000000"/>
                <w:sz w:val="18"/>
                <w:szCs w:val="18"/>
                <w:lang w:eastAsia="en-CA"/>
              </w:rPr>
              <w:t>51,839,820</w:t>
            </w:r>
          </w:p>
        </w:tc>
        <w:tc>
          <w:tcPr>
            <w:tcW w:w="1134" w:type="dxa"/>
            <w:tcBorders>
              <w:top w:val="nil"/>
              <w:left w:val="nil"/>
              <w:bottom w:val="single" w:sz="4" w:space="0" w:color="auto"/>
              <w:right w:val="single" w:sz="4" w:space="0" w:color="auto"/>
            </w:tcBorders>
            <w:shd w:val="clear" w:color="auto" w:fill="auto"/>
            <w:noWrap/>
            <w:hideMark/>
          </w:tcPr>
          <w:p w14:paraId="6255E73C" w14:textId="77777777" w:rsidR="00555DA6" w:rsidRPr="00F325B1" w:rsidRDefault="00555DA6" w:rsidP="00B007EC">
            <w:pPr>
              <w:jc w:val="right"/>
              <w:rPr>
                <w:color w:val="000000"/>
                <w:sz w:val="18"/>
                <w:szCs w:val="18"/>
                <w:lang w:eastAsia="en-CA"/>
              </w:rPr>
            </w:pPr>
            <w:r w:rsidRPr="00F325B1">
              <w:rPr>
                <w:color w:val="000000"/>
                <w:sz w:val="18"/>
                <w:szCs w:val="18"/>
                <w:lang w:eastAsia="en-CA"/>
              </w:rPr>
              <w:t>74,709,183</w:t>
            </w:r>
          </w:p>
        </w:tc>
      </w:tr>
    </w:tbl>
    <w:p w14:paraId="3CF9BAA0" w14:textId="77777777" w:rsidR="00555DA6" w:rsidRDefault="00555DA6" w:rsidP="00555DA6">
      <w:pPr>
        <w:pStyle w:val="Heading1"/>
        <w:numPr>
          <w:ilvl w:val="0"/>
          <w:numId w:val="0"/>
        </w:numPr>
        <w:spacing w:after="0"/>
      </w:pPr>
    </w:p>
    <w:p w14:paraId="2C969AE2" w14:textId="6C420D00" w:rsidR="00555DA6" w:rsidRPr="00F325B1" w:rsidRDefault="00555DA6" w:rsidP="00555DA6">
      <w:pPr>
        <w:pStyle w:val="Heading1"/>
      </w:pPr>
      <w:r w:rsidRPr="00F325B1">
        <w:t>The power requirements of general CPUs (central processing units) have been increasing from 100W to around 400W, and the power of a GPU (graphics processing unit) used for AI (artificial intelligence) can be as high as 2.6kW.</w:t>
      </w:r>
      <w:r w:rsidRPr="00F325B1">
        <w:rPr>
          <w:rStyle w:val="FootnoteReference"/>
        </w:rPr>
        <w:footnoteReference w:id="10"/>
      </w:r>
      <w:r w:rsidRPr="00F325B1">
        <w:t xml:space="preserve"> Traditional air-conditioning systems using air-cooling technology have been unable to meet the cooling requirements of high-density data centres.</w:t>
      </w:r>
      <w:r w:rsidRPr="00F325B1">
        <w:rPr>
          <w:rStyle w:val="FootnoteReference"/>
        </w:rPr>
        <w:footnoteReference w:id="11"/>
      </w:r>
      <w:r w:rsidRPr="00F325B1">
        <w:t xml:space="preserve"> In response to growing needs, </w:t>
      </w:r>
      <w:r w:rsidRPr="00F325B1">
        <w:rPr>
          <w:rFonts w:eastAsia="SimSun"/>
        </w:rPr>
        <w:t>liquid cooling was introduced in China in data centres in 2015,</w:t>
      </w:r>
      <w:r w:rsidRPr="00F325B1">
        <w:t xml:space="preserve"> including cold-plate liquid cooling, immersion liquid cooling and spray liquid cooling. </w:t>
      </w:r>
      <w:r w:rsidRPr="00F325B1">
        <w:rPr>
          <w:rFonts w:eastAsia="SimSun"/>
        </w:rPr>
        <w:t>There are two main categories of liquid cooling technologies based on how the cooling medium interacts with the heat source: non-contact liquid cooling and contact liquid cooling.</w:t>
      </w:r>
    </w:p>
    <w:p w14:paraId="28C0AC7D" w14:textId="77777777" w:rsidR="00555DA6" w:rsidRDefault="00555DA6" w:rsidP="00555DA6">
      <w:pPr>
        <w:rPr>
          <w:rFonts w:eastAsiaTheme="minorEastAsia"/>
          <w:i/>
          <w:iCs/>
        </w:rPr>
      </w:pPr>
      <w:r w:rsidRPr="00F325B1">
        <w:rPr>
          <w:rFonts w:eastAsiaTheme="minorEastAsia"/>
          <w:i/>
          <w:iCs/>
        </w:rPr>
        <w:t>Non-contact liquid cooling</w:t>
      </w:r>
    </w:p>
    <w:p w14:paraId="74ADF65D" w14:textId="77777777" w:rsidR="00555DA6" w:rsidRPr="00555DA6" w:rsidRDefault="00555DA6" w:rsidP="00555DA6">
      <w:pPr>
        <w:rPr>
          <w:rFonts w:eastAsiaTheme="minorEastAsia"/>
        </w:rPr>
      </w:pPr>
    </w:p>
    <w:p w14:paraId="02A60FD4" w14:textId="77777777" w:rsidR="00555DA6" w:rsidRPr="00F325B1" w:rsidRDefault="00555DA6" w:rsidP="00555DA6">
      <w:pPr>
        <w:pStyle w:val="Heading1"/>
      </w:pPr>
      <w:r w:rsidRPr="00F325B1">
        <w:rPr>
          <w:rFonts w:eastAsia="SimSun"/>
        </w:rPr>
        <w:t>Non-contact liquid cooling in data centres includes cold plate cooling and heat pipe cooling</w:t>
      </w:r>
      <w:r w:rsidRPr="00F325B1">
        <w:t>:</w:t>
      </w:r>
    </w:p>
    <w:p w14:paraId="37B9F861" w14:textId="77777777" w:rsidR="00555DA6" w:rsidRPr="00F325B1" w:rsidRDefault="00555DA6" w:rsidP="00555DA6">
      <w:pPr>
        <w:pStyle w:val="Heading2"/>
      </w:pPr>
      <w:r w:rsidRPr="00F325B1">
        <w:rPr>
          <w:rFonts w:eastAsiaTheme="minorEastAsia"/>
        </w:rPr>
        <w:t>Cold plate cooling involves liquid cooling plates with a coolant fluid (normally water) to conduct and cool high-temperature components. They are usually made of metal and have numerous small channels through which the cooling liquid can flow and absorb heat, which is then carried away by a circulating system</w:t>
      </w:r>
      <w:r w:rsidRPr="00F325B1">
        <w:rPr>
          <w:rFonts w:eastAsia="SimSun"/>
        </w:rPr>
        <w:t>.</w:t>
      </w:r>
    </w:p>
    <w:p w14:paraId="747A7C33" w14:textId="77777777" w:rsidR="00555DA6" w:rsidRPr="00F325B1" w:rsidRDefault="00555DA6" w:rsidP="00555DA6">
      <w:pPr>
        <w:pStyle w:val="Heading2"/>
      </w:pPr>
      <w:r w:rsidRPr="00F325B1">
        <w:rPr>
          <w:rFonts w:eastAsia="SimSun"/>
        </w:rPr>
        <w:t xml:space="preserve">Heat pipes </w:t>
      </w:r>
      <w:r w:rsidRPr="00F325B1">
        <w:rPr>
          <w:rFonts w:eastAsiaTheme="minorEastAsia"/>
        </w:rPr>
        <w:t>consist of copper tubes, aluminum fins, and a working fluid that changes phase passively to move heat. As air passes over the warm side (hot air aisle from data centre return air) of the heat pipe, the refrigerant vaporizes, absorbing energy, then travels to the cold side (outside air) where it condenses, releasing energy and then flows back to the warm side. These systems are efficient heat transfer devices; however, these still rely on fluorocarbon-based refrigerants.</w:t>
      </w:r>
    </w:p>
    <w:p w14:paraId="19FBB501" w14:textId="77777777" w:rsidR="00555DA6" w:rsidRPr="00F325B1" w:rsidRDefault="00555DA6" w:rsidP="00555DA6">
      <w:pPr>
        <w:pStyle w:val="Heading1"/>
        <w:rPr>
          <w:rFonts w:eastAsia="SimSun"/>
        </w:rPr>
      </w:pPr>
      <w:r w:rsidRPr="00F325B1">
        <w:rPr>
          <w:rFonts w:eastAsia="SimSun"/>
        </w:rPr>
        <w:t xml:space="preserve">Non-contact liquid cooling is well suited for high-heat flux components like CPUs and GPUs, where efficient heat dissipation is critical. However, it is used in conjunction with other cooling systems such as CRAC systems, to manage lower-heat areas </w:t>
      </w:r>
      <w:r w:rsidRPr="00F325B1">
        <w:rPr>
          <w:rFonts w:eastAsiaTheme="minorEastAsia"/>
        </w:rPr>
        <w:t>across the entire data centre</w:t>
      </w:r>
      <w:r w:rsidRPr="00F325B1">
        <w:rPr>
          <w:rFonts w:eastAsia="SimSun"/>
        </w:rPr>
        <w:t>.</w:t>
      </w:r>
    </w:p>
    <w:p w14:paraId="685BA03B" w14:textId="77777777" w:rsidR="00555DA6" w:rsidRDefault="00555DA6" w:rsidP="00555DA6">
      <w:pPr>
        <w:rPr>
          <w:rFonts w:eastAsiaTheme="minorEastAsia"/>
          <w:i/>
          <w:iCs/>
        </w:rPr>
      </w:pPr>
      <w:r w:rsidRPr="00F325B1">
        <w:rPr>
          <w:rFonts w:eastAsiaTheme="minorEastAsia"/>
          <w:i/>
          <w:iCs/>
        </w:rPr>
        <w:t>Contact liquid cooling</w:t>
      </w:r>
    </w:p>
    <w:p w14:paraId="06C10AA5" w14:textId="77777777" w:rsidR="00555DA6" w:rsidRPr="00555DA6" w:rsidRDefault="00555DA6" w:rsidP="00555DA6">
      <w:pPr>
        <w:rPr>
          <w:rFonts w:eastAsiaTheme="minorEastAsia"/>
        </w:rPr>
      </w:pPr>
    </w:p>
    <w:p w14:paraId="1E1EF278" w14:textId="77777777" w:rsidR="00555DA6" w:rsidRPr="00F325B1" w:rsidRDefault="00555DA6" w:rsidP="00555DA6">
      <w:pPr>
        <w:pStyle w:val="Heading1"/>
        <w:rPr>
          <w:rFonts w:eastAsia="SimSun"/>
        </w:rPr>
      </w:pPr>
      <w:r w:rsidRPr="00F325B1">
        <w:rPr>
          <w:rFonts w:eastAsia="SimSun"/>
        </w:rPr>
        <w:t>Contact liquid cooling in data centres includes two-phased immersion cooling and single-phase immersion cooling:</w:t>
      </w:r>
    </w:p>
    <w:p w14:paraId="2448A2D0" w14:textId="77777777" w:rsidR="00555DA6" w:rsidRPr="00F325B1" w:rsidRDefault="00555DA6" w:rsidP="00555DA6">
      <w:pPr>
        <w:pStyle w:val="Heading2"/>
        <w:rPr>
          <w:rFonts w:eastAsia="SimSun"/>
        </w:rPr>
      </w:pPr>
      <w:r w:rsidRPr="00F325B1">
        <w:rPr>
          <w:rFonts w:eastAsiaTheme="minorEastAsia"/>
        </w:rPr>
        <w:t xml:space="preserve">Two-phase immersion cooling systems use a </w:t>
      </w:r>
      <w:r w:rsidRPr="00F325B1">
        <w:rPr>
          <w:rFonts w:eastAsiaTheme="minorEastAsia"/>
          <w:bCs/>
        </w:rPr>
        <w:t>fluorocarbon</w:t>
      </w:r>
      <w:r w:rsidRPr="00F325B1">
        <w:rPr>
          <w:rFonts w:eastAsiaTheme="minorEastAsia"/>
        </w:rPr>
        <w:t>, which boils at around 50°C. The heat generated by the servers causes this dielectric liquid to boil, turning it into vapor that passively handles the transfer. The vapor then condenses back into liquid form through a condensing coil, after which the chilled liquid is reintegrated into the cycle. This simple cycle eliminates the need for cooling hardware like fans.</w:t>
      </w:r>
    </w:p>
    <w:p w14:paraId="119AC867" w14:textId="77777777" w:rsidR="00555DA6" w:rsidRPr="00F325B1" w:rsidRDefault="00555DA6" w:rsidP="00555DA6">
      <w:pPr>
        <w:pStyle w:val="Heading2"/>
        <w:rPr>
          <w:rFonts w:eastAsiaTheme="minorEastAsia"/>
        </w:rPr>
      </w:pPr>
      <w:r w:rsidRPr="00F325B1">
        <w:rPr>
          <w:rFonts w:eastAsiaTheme="minorEastAsia"/>
        </w:rPr>
        <w:lastRenderedPageBreak/>
        <w:t>Single-phase immersion cooling is a method where the cooling medium does not undergo a phase change during heat exchange. In this technology, servers are immersed in a non</w:t>
      </w:r>
      <w:r w:rsidRPr="00F325B1">
        <w:rPr>
          <w:rFonts w:eastAsiaTheme="minorEastAsia"/>
        </w:rPr>
        <w:noBreakHyphen/>
        <w:t xml:space="preserve">conductive cooling liquid, and the heat generated by the servers is removed through the forced flow of this liquid. The heat is then transferred to the external environment via a plate heat exchanger. </w:t>
      </w:r>
    </w:p>
    <w:p w14:paraId="7A06CBCA" w14:textId="77777777" w:rsidR="00555DA6" w:rsidRPr="00F325B1" w:rsidRDefault="00555DA6" w:rsidP="00555DA6">
      <w:pPr>
        <w:pStyle w:val="Heading1"/>
        <w:rPr>
          <w:rFonts w:eastAsia="SimSun"/>
          <w:strike/>
        </w:rPr>
      </w:pPr>
      <w:r w:rsidRPr="00F325B1">
        <w:rPr>
          <w:rFonts w:eastAsiaTheme="minorEastAsia"/>
        </w:rPr>
        <w:t>Two-phase immersion cooling demonstrates higher heat exchange performance; however, during operation, the data centre essentially functions as a pressure vessel. Thus, maintenance on any specific server requires shutting down the entire system, which is the primary reason why this technology has not seen widespread adoption. In single-phase immersion cooling, a refrigerant is required but the use of a plate heat exchanger reduces the amount of refrigerant needed and can work with various refrigerants, including ammonia, carbon dioxide, and hydrocarbons.</w:t>
      </w:r>
      <w:r w:rsidRPr="00F325B1">
        <w:rPr>
          <w:rStyle w:val="FootnoteReference"/>
          <w:rFonts w:eastAsiaTheme="minorEastAsia"/>
        </w:rPr>
        <w:footnoteReference w:id="12"/>
      </w:r>
      <w:r w:rsidRPr="00F325B1">
        <w:rPr>
          <w:rFonts w:eastAsiaTheme="minorEastAsia"/>
        </w:rPr>
        <w:t xml:space="preserve"> Due to the physical properties of the cooling medium compared to air, this technology enables higher temperature delivery without the need for additional mechanical refrigeration equipment across the entire data centre cooling system.</w:t>
      </w:r>
      <w:r w:rsidRPr="00F325B1">
        <w:rPr>
          <w:rFonts w:eastAsiaTheme="minorEastAsia"/>
          <w:strike/>
        </w:rPr>
        <w:t xml:space="preserve"> </w:t>
      </w:r>
    </w:p>
    <w:p w14:paraId="71C5034F" w14:textId="77777777" w:rsidR="00555DA6" w:rsidRPr="00F325B1" w:rsidRDefault="00555DA6" w:rsidP="00555DA6">
      <w:pPr>
        <w:pStyle w:val="Heading1"/>
        <w:rPr>
          <w:rFonts w:eastAsia="SimSun"/>
        </w:rPr>
      </w:pPr>
      <w:r w:rsidRPr="00F325B1">
        <w:rPr>
          <w:rFonts w:eastAsiaTheme="minorEastAsia"/>
        </w:rPr>
        <w:t>Currently, there are two primary types of coolant liquids used in single-phase immersion cooling systems: fluorinated liquids and synthetic oils. Table 2 presents the properties of the currently used coolants, highlighting the differences in their environmental impact, thermal conductivity, and other key characteristics.</w:t>
      </w:r>
    </w:p>
    <w:p w14:paraId="2E1CE284" w14:textId="77777777" w:rsidR="00555DA6" w:rsidRPr="00F325B1" w:rsidRDefault="00555DA6" w:rsidP="00555DA6">
      <w:pPr>
        <w:pStyle w:val="Heading2"/>
        <w:rPr>
          <w:rFonts w:eastAsiaTheme="minorEastAsia"/>
        </w:rPr>
      </w:pPr>
      <w:r w:rsidRPr="00F325B1">
        <w:rPr>
          <w:rFonts w:eastAsiaTheme="minorEastAsia"/>
        </w:rPr>
        <w:t xml:space="preserve">Fluorinated liquids are composed of fluorocarbon compounds, such as perfluorocarbon (PFC) and perfluorinated polyether (PFPE). These coolants are effective but have environmental concerns due to their high GWP values. </w:t>
      </w:r>
    </w:p>
    <w:p w14:paraId="252A9C53" w14:textId="77777777" w:rsidR="00555DA6" w:rsidRPr="00F325B1" w:rsidRDefault="00555DA6" w:rsidP="00555DA6">
      <w:pPr>
        <w:pStyle w:val="Heading2"/>
        <w:rPr>
          <w:rFonts w:eastAsiaTheme="minorEastAsia"/>
        </w:rPr>
      </w:pPr>
      <w:r w:rsidRPr="00F325B1">
        <w:rPr>
          <w:rFonts w:eastAsiaTheme="minorEastAsia"/>
        </w:rPr>
        <w:t>Synthetic oils are primarily composed of hydrocarbons, including polyol esters (POE) and polyalphaolefin (PAO). Unlike fluorinated liquids, synthetic oils do not contribute to greenhouse gas emissions, making them a more environmentally friendly choice. Table 2 presents the properties of the currently used coolants, highlighting the differences in their environmental impact, thermal conductivity, and other key characteristics.</w:t>
      </w:r>
    </w:p>
    <w:p w14:paraId="6EBBE2BB" w14:textId="77777777" w:rsidR="00555DA6" w:rsidRPr="00F325B1" w:rsidRDefault="00555DA6" w:rsidP="00555DA6">
      <w:pPr>
        <w:pStyle w:val="Heading2"/>
        <w:rPr>
          <w:rFonts w:eastAsia="SimSun"/>
        </w:rPr>
      </w:pPr>
      <w:r w:rsidRPr="00F325B1">
        <w:rPr>
          <w:rFonts w:eastAsiaTheme="minorEastAsia"/>
        </w:rPr>
        <w:t xml:space="preserve">Bing Yi 797, a synthetic oil coolant innovated and registered by Tianjin Tier, is composed mainly of 90-99.8% hydrogenated polidocanol and 0.2%-0.9% compound antioxidants, with no aromatic hydrocarbons. This composition is designed to maximize cooling performance and environmental friendliness. The demonstration project would validate the effectiveness of the single-phase immersion cooling system in data centre using Bing Yi 797. </w:t>
      </w:r>
    </w:p>
    <w:p w14:paraId="38F6242F" w14:textId="77777777" w:rsidR="00555DA6" w:rsidRPr="00F325B1" w:rsidRDefault="00555DA6" w:rsidP="00555DA6">
      <w:pPr>
        <w:keepNext/>
        <w:rPr>
          <w:rFonts w:eastAsiaTheme="minorEastAsia"/>
          <w:b/>
          <w:bCs/>
          <w:lang w:eastAsia="zh-CN"/>
        </w:rPr>
      </w:pPr>
      <w:r w:rsidRPr="00F325B1">
        <w:rPr>
          <w:rFonts w:eastAsiaTheme="minorEastAsia"/>
          <w:b/>
          <w:bCs/>
          <w:lang w:eastAsia="zh-CN"/>
        </w:rPr>
        <w:t>Table 2. Coolants used in single-phase immersion cooling</w:t>
      </w:r>
    </w:p>
    <w:tbl>
      <w:tblPr>
        <w:tblW w:w="9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29"/>
        <w:gridCol w:w="1276"/>
        <w:gridCol w:w="1134"/>
        <w:gridCol w:w="1134"/>
        <w:gridCol w:w="851"/>
        <w:gridCol w:w="850"/>
        <w:gridCol w:w="667"/>
        <w:gridCol w:w="789"/>
        <w:gridCol w:w="658"/>
        <w:gridCol w:w="920"/>
      </w:tblGrid>
      <w:tr w:rsidR="00555DA6" w:rsidRPr="00177CDE" w14:paraId="5FCE5DDF" w14:textId="77777777" w:rsidTr="00B007EC">
        <w:trPr>
          <w:trHeight w:val="392"/>
          <w:jc w:val="center"/>
        </w:trPr>
        <w:tc>
          <w:tcPr>
            <w:tcW w:w="2405" w:type="dxa"/>
            <w:gridSpan w:val="2"/>
            <w:vMerge w:val="restart"/>
            <w:vAlign w:val="center"/>
          </w:tcPr>
          <w:p w14:paraId="55D6E97A" w14:textId="77777777" w:rsidR="00555DA6" w:rsidRPr="00177CDE" w:rsidRDefault="00555DA6" w:rsidP="00B007EC">
            <w:pPr>
              <w:keepNext/>
              <w:tabs>
                <w:tab w:val="left" w:pos="480"/>
              </w:tabs>
              <w:jc w:val="center"/>
              <w:rPr>
                <w:rFonts w:asciiTheme="majorBidi" w:eastAsia="DengXian" w:hAnsiTheme="majorBidi" w:cstheme="majorBidi"/>
                <w:b/>
                <w:bCs/>
                <w:sz w:val="20"/>
                <w:szCs w:val="20"/>
                <w:lang w:eastAsia="zh-CN"/>
              </w:rPr>
            </w:pPr>
            <w:r w:rsidRPr="00177CDE">
              <w:rPr>
                <w:rFonts w:asciiTheme="majorBidi" w:hAnsiTheme="majorBidi" w:cstheme="majorBidi"/>
                <w:b/>
                <w:bCs/>
                <w:sz w:val="20"/>
                <w:szCs w:val="20"/>
              </w:rPr>
              <w:t>Coolant</w:t>
            </w:r>
          </w:p>
        </w:tc>
        <w:tc>
          <w:tcPr>
            <w:tcW w:w="3969" w:type="dxa"/>
            <w:gridSpan w:val="4"/>
            <w:vAlign w:val="center"/>
          </w:tcPr>
          <w:p w14:paraId="30C7D552" w14:textId="77777777" w:rsidR="00555DA6" w:rsidRPr="00177CDE" w:rsidRDefault="00555DA6" w:rsidP="00B007EC">
            <w:pPr>
              <w:keepNext/>
              <w:tabs>
                <w:tab w:val="left" w:pos="480"/>
              </w:tabs>
              <w:jc w:val="center"/>
              <w:rPr>
                <w:rFonts w:asciiTheme="majorBidi" w:eastAsia="DengXian" w:hAnsiTheme="majorBidi" w:cstheme="majorBidi"/>
                <w:b/>
                <w:sz w:val="20"/>
                <w:szCs w:val="20"/>
                <w:lang w:eastAsia="zh-CN"/>
              </w:rPr>
            </w:pPr>
            <w:r w:rsidRPr="00177CDE">
              <w:rPr>
                <w:rFonts w:asciiTheme="majorBidi" w:eastAsia="DengXian" w:hAnsiTheme="majorBidi" w:cstheme="majorBidi"/>
                <w:b/>
                <w:sz w:val="20"/>
                <w:szCs w:val="20"/>
                <w:lang w:eastAsia="zh-CN"/>
              </w:rPr>
              <w:t>Thermal performance</w:t>
            </w:r>
          </w:p>
        </w:tc>
        <w:tc>
          <w:tcPr>
            <w:tcW w:w="1456" w:type="dxa"/>
            <w:gridSpan w:val="2"/>
            <w:vAlign w:val="center"/>
          </w:tcPr>
          <w:p w14:paraId="7D4F891F" w14:textId="77777777" w:rsidR="00555DA6" w:rsidRPr="00177CDE" w:rsidRDefault="00555DA6" w:rsidP="00B007EC">
            <w:pPr>
              <w:keepNext/>
              <w:tabs>
                <w:tab w:val="left" w:pos="480"/>
              </w:tabs>
              <w:jc w:val="center"/>
              <w:rPr>
                <w:rFonts w:asciiTheme="majorBidi" w:eastAsia="SimSun" w:hAnsiTheme="majorBidi" w:cstheme="majorBidi"/>
                <w:b/>
                <w:sz w:val="20"/>
                <w:szCs w:val="20"/>
                <w:lang w:eastAsia="zh-CN"/>
              </w:rPr>
            </w:pPr>
            <w:r w:rsidRPr="00177CDE">
              <w:rPr>
                <w:rFonts w:asciiTheme="majorBidi" w:eastAsia="SimSun" w:hAnsiTheme="majorBidi" w:cstheme="majorBidi"/>
                <w:b/>
                <w:sz w:val="20"/>
                <w:szCs w:val="20"/>
                <w:lang w:eastAsia="zh-CN"/>
              </w:rPr>
              <w:t>Environmental impact</w:t>
            </w:r>
          </w:p>
        </w:tc>
        <w:tc>
          <w:tcPr>
            <w:tcW w:w="1578" w:type="dxa"/>
            <w:gridSpan w:val="2"/>
            <w:vAlign w:val="center"/>
          </w:tcPr>
          <w:p w14:paraId="6F4C5E66" w14:textId="77777777" w:rsidR="00555DA6" w:rsidRPr="00177CDE" w:rsidRDefault="00555DA6" w:rsidP="00B007EC">
            <w:pPr>
              <w:keepNext/>
              <w:tabs>
                <w:tab w:val="left" w:pos="480"/>
              </w:tabs>
              <w:jc w:val="center"/>
              <w:rPr>
                <w:rFonts w:asciiTheme="majorBidi" w:eastAsia="SimSun" w:hAnsiTheme="majorBidi" w:cstheme="majorBidi"/>
                <w:b/>
                <w:sz w:val="20"/>
                <w:szCs w:val="20"/>
                <w:lang w:eastAsia="zh-CN"/>
              </w:rPr>
            </w:pPr>
            <w:r w:rsidRPr="00177CDE">
              <w:rPr>
                <w:rFonts w:asciiTheme="majorBidi" w:eastAsia="SimSun" w:hAnsiTheme="majorBidi" w:cstheme="majorBidi"/>
                <w:b/>
                <w:sz w:val="20"/>
                <w:szCs w:val="20"/>
                <w:lang w:eastAsia="zh-CN"/>
              </w:rPr>
              <w:t>Safety performance</w:t>
            </w:r>
          </w:p>
        </w:tc>
      </w:tr>
      <w:tr w:rsidR="00555DA6" w:rsidRPr="00177CDE" w14:paraId="3A7F8A15" w14:textId="77777777" w:rsidTr="00B007EC">
        <w:trPr>
          <w:trHeight w:val="640"/>
          <w:jc w:val="center"/>
        </w:trPr>
        <w:tc>
          <w:tcPr>
            <w:tcW w:w="2405" w:type="dxa"/>
            <w:gridSpan w:val="2"/>
            <w:vMerge/>
            <w:vAlign w:val="center"/>
          </w:tcPr>
          <w:p w14:paraId="0AF426BB"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p>
        </w:tc>
        <w:tc>
          <w:tcPr>
            <w:tcW w:w="1134" w:type="dxa"/>
          </w:tcPr>
          <w:p w14:paraId="537E8AEE"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Thermal conductivity</w:t>
            </w:r>
          </w:p>
          <w:p w14:paraId="38A4B2BD" w14:textId="77777777" w:rsidR="00555DA6" w:rsidRPr="00177CDE" w:rsidRDefault="00555DA6" w:rsidP="00B007EC">
            <w:pPr>
              <w:tabs>
                <w:tab w:val="left" w:pos="480"/>
              </w:tabs>
              <w:jc w:val="center"/>
              <w:rPr>
                <w:rFonts w:asciiTheme="majorBidi" w:hAnsiTheme="majorBidi" w:cstheme="majorBidi"/>
                <w:sz w:val="20"/>
                <w:szCs w:val="20"/>
                <w:lang w:eastAsia="zh-CN"/>
              </w:rPr>
            </w:pPr>
            <w:r w:rsidRPr="00177CDE">
              <w:rPr>
                <w:rFonts w:asciiTheme="majorBidi" w:eastAsia="SimSun" w:hAnsiTheme="majorBidi" w:cstheme="majorBidi"/>
                <w:sz w:val="20"/>
                <w:szCs w:val="20"/>
                <w:lang w:eastAsia="zh-CN"/>
              </w:rPr>
              <w:t>W/(m·°C)</w:t>
            </w:r>
          </w:p>
        </w:tc>
        <w:tc>
          <w:tcPr>
            <w:tcW w:w="1134" w:type="dxa"/>
          </w:tcPr>
          <w:p w14:paraId="2169D42E"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bookmarkStart w:id="3" w:name="OLE_LINK1"/>
            <w:r w:rsidRPr="00177CDE">
              <w:rPr>
                <w:rFonts w:asciiTheme="majorBidi" w:eastAsia="SimSun" w:hAnsiTheme="majorBidi" w:cstheme="majorBidi"/>
                <w:sz w:val="20"/>
                <w:szCs w:val="20"/>
                <w:lang w:eastAsia="zh-CN"/>
              </w:rPr>
              <w:t>Heat capacity</w:t>
            </w:r>
          </w:p>
          <w:bookmarkEnd w:id="3"/>
          <w:p w14:paraId="73FDA22E" w14:textId="77777777" w:rsidR="00555DA6" w:rsidRPr="00177CDE" w:rsidRDefault="00555DA6" w:rsidP="00B007EC">
            <w:pPr>
              <w:tabs>
                <w:tab w:val="left" w:pos="480"/>
              </w:tabs>
              <w:jc w:val="center"/>
              <w:rPr>
                <w:rFonts w:asciiTheme="majorBidi" w:eastAsia="DengXian" w:hAnsiTheme="majorBidi" w:cstheme="majorBidi"/>
                <w:sz w:val="20"/>
                <w:szCs w:val="20"/>
                <w:lang w:eastAsia="zh-CN"/>
              </w:rPr>
            </w:pPr>
            <w:r w:rsidRPr="00177CDE">
              <w:rPr>
                <w:rFonts w:asciiTheme="majorBidi" w:eastAsia="SimSun" w:hAnsiTheme="majorBidi" w:cstheme="majorBidi"/>
                <w:sz w:val="20"/>
                <w:szCs w:val="20"/>
                <w:lang w:eastAsia="zh-CN"/>
              </w:rPr>
              <w:t>kJ/(kg·°C)</w:t>
            </w:r>
          </w:p>
        </w:tc>
        <w:tc>
          <w:tcPr>
            <w:tcW w:w="851" w:type="dxa"/>
          </w:tcPr>
          <w:p w14:paraId="6443A4C3"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Density</w:t>
            </w:r>
          </w:p>
          <w:p w14:paraId="1214B5F8" w14:textId="77777777" w:rsidR="00555DA6" w:rsidRPr="00177CDE" w:rsidRDefault="00555DA6" w:rsidP="00B007EC">
            <w:pPr>
              <w:tabs>
                <w:tab w:val="left" w:pos="480"/>
              </w:tabs>
              <w:jc w:val="center"/>
              <w:rPr>
                <w:rFonts w:asciiTheme="majorBidi" w:hAnsiTheme="majorBidi" w:cstheme="majorBidi"/>
                <w:sz w:val="20"/>
                <w:szCs w:val="20"/>
                <w:lang w:eastAsia="zh-CN"/>
              </w:rPr>
            </w:pPr>
            <w:r w:rsidRPr="00177CDE">
              <w:rPr>
                <w:rFonts w:asciiTheme="majorBidi" w:eastAsia="SimSun" w:hAnsiTheme="majorBidi" w:cstheme="majorBidi"/>
                <w:sz w:val="20"/>
                <w:szCs w:val="20"/>
                <w:lang w:eastAsia="zh-CN"/>
              </w:rPr>
              <w:t>kg/m</w:t>
            </w:r>
            <w:r w:rsidRPr="00177CDE">
              <w:rPr>
                <w:rFonts w:asciiTheme="majorBidi" w:eastAsia="SimSun" w:hAnsiTheme="majorBidi" w:cstheme="majorBidi"/>
                <w:sz w:val="20"/>
                <w:szCs w:val="20"/>
                <w:vertAlign w:val="superscript"/>
                <w:lang w:eastAsia="zh-CN"/>
              </w:rPr>
              <w:t>3</w:t>
            </w:r>
          </w:p>
        </w:tc>
        <w:tc>
          <w:tcPr>
            <w:tcW w:w="850" w:type="dxa"/>
          </w:tcPr>
          <w:p w14:paraId="3F959880"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Dynamic viscosity</w:t>
            </w:r>
          </w:p>
          <w:p w14:paraId="6908432F"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mm</w:t>
            </w:r>
            <w:r w:rsidRPr="00177CDE">
              <w:rPr>
                <w:rFonts w:asciiTheme="majorBidi" w:eastAsia="SimSun" w:hAnsiTheme="majorBidi" w:cstheme="majorBidi"/>
                <w:sz w:val="20"/>
                <w:szCs w:val="20"/>
                <w:vertAlign w:val="superscript"/>
                <w:lang w:eastAsia="zh-CN"/>
              </w:rPr>
              <w:t>2</w:t>
            </w:r>
            <w:r w:rsidRPr="00177CDE">
              <w:rPr>
                <w:rFonts w:asciiTheme="majorBidi" w:eastAsia="SimSun" w:hAnsiTheme="majorBidi" w:cstheme="majorBidi"/>
                <w:sz w:val="20"/>
                <w:szCs w:val="20"/>
                <w:lang w:eastAsia="zh-CN"/>
              </w:rPr>
              <w:t>/s</w:t>
            </w:r>
          </w:p>
        </w:tc>
        <w:tc>
          <w:tcPr>
            <w:tcW w:w="667" w:type="dxa"/>
          </w:tcPr>
          <w:p w14:paraId="7D06565C" w14:textId="77777777" w:rsidR="00555DA6" w:rsidRPr="00177CDE" w:rsidRDefault="00555DA6" w:rsidP="00B007EC">
            <w:pPr>
              <w:tabs>
                <w:tab w:val="left" w:pos="480"/>
              </w:tabs>
              <w:jc w:val="center"/>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ODP</w:t>
            </w:r>
          </w:p>
        </w:tc>
        <w:tc>
          <w:tcPr>
            <w:tcW w:w="789" w:type="dxa"/>
          </w:tcPr>
          <w:p w14:paraId="772C0406" w14:textId="77777777" w:rsidR="00555DA6" w:rsidRPr="00177CDE" w:rsidRDefault="00555DA6" w:rsidP="00B007EC">
            <w:pPr>
              <w:tabs>
                <w:tab w:val="left" w:pos="480"/>
              </w:tabs>
              <w:jc w:val="center"/>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GWP</w:t>
            </w:r>
          </w:p>
        </w:tc>
        <w:tc>
          <w:tcPr>
            <w:tcW w:w="658" w:type="dxa"/>
          </w:tcPr>
          <w:p w14:paraId="6EA35D14"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Flash point</w:t>
            </w:r>
          </w:p>
          <w:p w14:paraId="0C36AEB2" w14:textId="77777777" w:rsidR="00555DA6" w:rsidRPr="00177CDE" w:rsidRDefault="00555DA6" w:rsidP="00B007EC">
            <w:pPr>
              <w:tabs>
                <w:tab w:val="left" w:pos="480"/>
              </w:tabs>
              <w:jc w:val="center"/>
              <w:rPr>
                <w:rFonts w:asciiTheme="majorBidi" w:hAnsiTheme="majorBidi" w:cstheme="majorBidi"/>
                <w:sz w:val="20"/>
                <w:szCs w:val="20"/>
                <w:lang w:eastAsia="zh-CN"/>
              </w:rPr>
            </w:pPr>
            <w:r w:rsidRPr="00177CDE">
              <w:rPr>
                <w:rFonts w:asciiTheme="majorBidi" w:eastAsia="SimSun" w:hAnsiTheme="majorBidi" w:cstheme="majorBidi"/>
                <w:sz w:val="20"/>
                <w:szCs w:val="20"/>
                <w:lang w:eastAsia="zh-CN"/>
              </w:rPr>
              <w:t>°C</w:t>
            </w:r>
          </w:p>
        </w:tc>
        <w:tc>
          <w:tcPr>
            <w:tcW w:w="920" w:type="dxa"/>
          </w:tcPr>
          <w:p w14:paraId="28D8A1D5" w14:textId="77777777" w:rsidR="00555DA6" w:rsidRPr="00177CDE" w:rsidRDefault="00555DA6" w:rsidP="00B007EC">
            <w:pPr>
              <w:tabs>
                <w:tab w:val="left" w:pos="480"/>
              </w:tabs>
              <w:jc w:val="center"/>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Ignition point</w:t>
            </w:r>
          </w:p>
          <w:p w14:paraId="19C52094"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eastAsia="SimSun" w:hAnsiTheme="majorBidi" w:cstheme="majorBidi"/>
                <w:sz w:val="20"/>
                <w:szCs w:val="20"/>
                <w:lang w:eastAsia="zh-CN"/>
              </w:rPr>
              <w:t>°C</w:t>
            </w:r>
          </w:p>
        </w:tc>
      </w:tr>
      <w:tr w:rsidR="00555DA6" w:rsidRPr="00177CDE" w14:paraId="51A936C0" w14:textId="77777777" w:rsidTr="00B007EC">
        <w:trPr>
          <w:trHeight w:val="235"/>
          <w:jc w:val="center"/>
        </w:trPr>
        <w:tc>
          <w:tcPr>
            <w:tcW w:w="1129" w:type="dxa"/>
            <w:vMerge w:val="restart"/>
            <w:vAlign w:val="center"/>
          </w:tcPr>
          <w:p w14:paraId="49E129EF"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Fluorinated liquid</w:t>
            </w:r>
          </w:p>
        </w:tc>
        <w:tc>
          <w:tcPr>
            <w:tcW w:w="1276" w:type="dxa"/>
            <w:vAlign w:val="center"/>
          </w:tcPr>
          <w:p w14:paraId="5E129BA6" w14:textId="2CA1699E"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FC-40</w:t>
            </w:r>
          </w:p>
        </w:tc>
        <w:tc>
          <w:tcPr>
            <w:tcW w:w="1134" w:type="dxa"/>
          </w:tcPr>
          <w:p w14:paraId="0AEA29BE"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0.065</w:t>
            </w:r>
          </w:p>
        </w:tc>
        <w:tc>
          <w:tcPr>
            <w:tcW w:w="1134" w:type="dxa"/>
          </w:tcPr>
          <w:p w14:paraId="545009DB" w14:textId="77777777" w:rsidR="00555DA6" w:rsidRPr="00177CDE" w:rsidRDefault="00555DA6" w:rsidP="00B007EC">
            <w:pPr>
              <w:tabs>
                <w:tab w:val="left" w:pos="480"/>
              </w:tabs>
              <w:jc w:val="right"/>
              <w:rPr>
                <w:rFonts w:asciiTheme="majorBidi" w:eastAsia="SimSun" w:hAnsiTheme="majorBidi" w:cstheme="majorBidi"/>
                <w:sz w:val="20"/>
                <w:szCs w:val="20"/>
                <w:lang w:eastAsia="zh-CN"/>
              </w:rPr>
            </w:pPr>
            <w:r w:rsidRPr="00177CDE">
              <w:rPr>
                <w:rFonts w:asciiTheme="majorBidi" w:eastAsia="SimSun" w:hAnsiTheme="majorBidi" w:cstheme="majorBidi"/>
                <w:sz w:val="20"/>
                <w:szCs w:val="20"/>
                <w:lang w:eastAsia="zh-CN"/>
              </w:rPr>
              <w:t>1.1</w:t>
            </w:r>
          </w:p>
        </w:tc>
        <w:tc>
          <w:tcPr>
            <w:tcW w:w="851" w:type="dxa"/>
          </w:tcPr>
          <w:p w14:paraId="1D96FA5E" w14:textId="643B06A2"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r w:rsidR="00F44961">
              <w:rPr>
                <w:rFonts w:asciiTheme="majorBidi" w:hAnsiTheme="majorBidi" w:cstheme="majorBidi"/>
                <w:sz w:val="20"/>
                <w:szCs w:val="20"/>
              </w:rPr>
              <w:t>,</w:t>
            </w:r>
            <w:r w:rsidRPr="00177CDE">
              <w:rPr>
                <w:rFonts w:asciiTheme="majorBidi" w:hAnsiTheme="majorBidi" w:cstheme="majorBidi"/>
                <w:sz w:val="20"/>
                <w:szCs w:val="20"/>
              </w:rPr>
              <w:t>855</w:t>
            </w:r>
          </w:p>
        </w:tc>
        <w:tc>
          <w:tcPr>
            <w:tcW w:w="850" w:type="dxa"/>
          </w:tcPr>
          <w:p w14:paraId="440F9987"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2.2</w:t>
            </w:r>
          </w:p>
        </w:tc>
        <w:tc>
          <w:tcPr>
            <w:tcW w:w="667" w:type="dxa"/>
          </w:tcPr>
          <w:p w14:paraId="25819E6B"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78A7488F" w14:textId="63B65F4D"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&gt;5</w:t>
            </w:r>
            <w:r w:rsidR="00F44961">
              <w:rPr>
                <w:rFonts w:asciiTheme="majorBidi" w:hAnsiTheme="majorBidi" w:cstheme="majorBidi"/>
                <w:sz w:val="20"/>
                <w:szCs w:val="20"/>
              </w:rPr>
              <w:t>,</w:t>
            </w:r>
            <w:r w:rsidRPr="00177CDE">
              <w:rPr>
                <w:rFonts w:asciiTheme="majorBidi" w:hAnsiTheme="majorBidi" w:cstheme="majorBidi"/>
                <w:sz w:val="20"/>
                <w:szCs w:val="20"/>
              </w:rPr>
              <w:t>000</w:t>
            </w:r>
          </w:p>
        </w:tc>
        <w:tc>
          <w:tcPr>
            <w:tcW w:w="658" w:type="dxa"/>
          </w:tcPr>
          <w:p w14:paraId="4497800C"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920" w:type="dxa"/>
          </w:tcPr>
          <w:p w14:paraId="03182DFF"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555DA6" w:rsidRPr="00177CDE" w14:paraId="2B122DE2" w14:textId="77777777" w:rsidTr="00B007EC">
        <w:trPr>
          <w:trHeight w:val="141"/>
          <w:jc w:val="center"/>
        </w:trPr>
        <w:tc>
          <w:tcPr>
            <w:tcW w:w="1129" w:type="dxa"/>
            <w:vMerge/>
            <w:vAlign w:val="center"/>
          </w:tcPr>
          <w:p w14:paraId="63A6368C" w14:textId="77777777" w:rsidR="00555DA6" w:rsidRPr="00177CDE" w:rsidRDefault="00555DA6" w:rsidP="00B007EC">
            <w:pPr>
              <w:tabs>
                <w:tab w:val="left" w:pos="480"/>
              </w:tabs>
              <w:jc w:val="center"/>
              <w:rPr>
                <w:rFonts w:asciiTheme="majorBidi" w:hAnsiTheme="majorBidi" w:cstheme="majorBidi"/>
                <w:sz w:val="20"/>
                <w:szCs w:val="20"/>
              </w:rPr>
            </w:pPr>
          </w:p>
        </w:tc>
        <w:tc>
          <w:tcPr>
            <w:tcW w:w="1276" w:type="dxa"/>
            <w:vAlign w:val="center"/>
          </w:tcPr>
          <w:p w14:paraId="7A877EAF"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Novec7500</w:t>
            </w:r>
          </w:p>
        </w:tc>
        <w:tc>
          <w:tcPr>
            <w:tcW w:w="1134" w:type="dxa"/>
          </w:tcPr>
          <w:p w14:paraId="3B13FA02"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0.065</w:t>
            </w:r>
          </w:p>
        </w:tc>
        <w:tc>
          <w:tcPr>
            <w:tcW w:w="1134" w:type="dxa"/>
          </w:tcPr>
          <w:p w14:paraId="086AF114"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1.128</w:t>
            </w:r>
          </w:p>
        </w:tc>
        <w:tc>
          <w:tcPr>
            <w:tcW w:w="851" w:type="dxa"/>
          </w:tcPr>
          <w:p w14:paraId="09AF3149" w14:textId="477A653E"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r w:rsidR="00F44961">
              <w:rPr>
                <w:rFonts w:asciiTheme="majorBidi" w:hAnsiTheme="majorBidi" w:cstheme="majorBidi"/>
                <w:sz w:val="20"/>
                <w:szCs w:val="20"/>
              </w:rPr>
              <w:t>,</w:t>
            </w:r>
            <w:r w:rsidRPr="00177CDE">
              <w:rPr>
                <w:rFonts w:asciiTheme="majorBidi" w:hAnsiTheme="majorBidi" w:cstheme="majorBidi"/>
                <w:sz w:val="20"/>
                <w:szCs w:val="20"/>
              </w:rPr>
              <w:t>614</w:t>
            </w:r>
          </w:p>
        </w:tc>
        <w:tc>
          <w:tcPr>
            <w:tcW w:w="850" w:type="dxa"/>
          </w:tcPr>
          <w:p w14:paraId="210266A8"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0.77</w:t>
            </w:r>
          </w:p>
        </w:tc>
        <w:tc>
          <w:tcPr>
            <w:tcW w:w="667" w:type="dxa"/>
          </w:tcPr>
          <w:p w14:paraId="74290A27"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6577732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100</w:t>
            </w:r>
          </w:p>
        </w:tc>
        <w:tc>
          <w:tcPr>
            <w:tcW w:w="658" w:type="dxa"/>
          </w:tcPr>
          <w:p w14:paraId="328A6CA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920" w:type="dxa"/>
          </w:tcPr>
          <w:p w14:paraId="0377EED6"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555DA6" w:rsidRPr="00177CDE" w14:paraId="4F99B98D" w14:textId="77777777" w:rsidTr="00B007EC">
        <w:trPr>
          <w:trHeight w:val="141"/>
          <w:jc w:val="center"/>
        </w:trPr>
        <w:tc>
          <w:tcPr>
            <w:tcW w:w="1129" w:type="dxa"/>
            <w:vMerge/>
            <w:vAlign w:val="center"/>
          </w:tcPr>
          <w:p w14:paraId="7376FC08" w14:textId="77777777" w:rsidR="00555DA6" w:rsidRPr="00177CDE" w:rsidRDefault="00555DA6" w:rsidP="00B007EC">
            <w:pPr>
              <w:tabs>
                <w:tab w:val="left" w:pos="480"/>
              </w:tabs>
              <w:jc w:val="center"/>
              <w:rPr>
                <w:rFonts w:asciiTheme="majorBidi" w:hAnsiTheme="majorBidi" w:cstheme="majorBidi"/>
                <w:sz w:val="20"/>
                <w:szCs w:val="20"/>
              </w:rPr>
            </w:pPr>
          </w:p>
        </w:tc>
        <w:tc>
          <w:tcPr>
            <w:tcW w:w="1276" w:type="dxa"/>
            <w:vAlign w:val="center"/>
          </w:tcPr>
          <w:p w14:paraId="36AFC34E" w14:textId="475DACE9"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SF-10</w:t>
            </w:r>
          </w:p>
        </w:tc>
        <w:tc>
          <w:tcPr>
            <w:tcW w:w="1134" w:type="dxa"/>
          </w:tcPr>
          <w:p w14:paraId="0FE45FAE"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0.077</w:t>
            </w:r>
          </w:p>
        </w:tc>
        <w:tc>
          <w:tcPr>
            <w:tcW w:w="1134" w:type="dxa"/>
          </w:tcPr>
          <w:p w14:paraId="47374F9B"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1</w:t>
            </w:r>
          </w:p>
        </w:tc>
        <w:tc>
          <w:tcPr>
            <w:tcW w:w="851" w:type="dxa"/>
          </w:tcPr>
          <w:p w14:paraId="2FF5CC65" w14:textId="3D8AE70C"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r w:rsidR="00F44961">
              <w:rPr>
                <w:rFonts w:asciiTheme="majorBidi" w:hAnsiTheme="majorBidi" w:cstheme="majorBidi"/>
                <w:sz w:val="20"/>
                <w:szCs w:val="20"/>
              </w:rPr>
              <w:t>,</w:t>
            </w:r>
            <w:r w:rsidRPr="00177CDE">
              <w:rPr>
                <w:rFonts w:asciiTheme="majorBidi" w:hAnsiTheme="majorBidi" w:cstheme="majorBidi"/>
                <w:sz w:val="20"/>
                <w:szCs w:val="20"/>
              </w:rPr>
              <w:t>580</w:t>
            </w:r>
          </w:p>
        </w:tc>
        <w:tc>
          <w:tcPr>
            <w:tcW w:w="850" w:type="dxa"/>
          </w:tcPr>
          <w:p w14:paraId="03AF056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0.71</w:t>
            </w:r>
          </w:p>
        </w:tc>
        <w:tc>
          <w:tcPr>
            <w:tcW w:w="667" w:type="dxa"/>
          </w:tcPr>
          <w:p w14:paraId="6C6FEC0E"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1CBFBD8A"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2.5</w:t>
            </w:r>
          </w:p>
        </w:tc>
        <w:tc>
          <w:tcPr>
            <w:tcW w:w="658" w:type="dxa"/>
          </w:tcPr>
          <w:p w14:paraId="02D712B4"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920" w:type="dxa"/>
          </w:tcPr>
          <w:p w14:paraId="0FF54661"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555DA6" w:rsidRPr="00177CDE" w14:paraId="40E0C681" w14:textId="77777777" w:rsidTr="00B007EC">
        <w:trPr>
          <w:trHeight w:val="141"/>
          <w:jc w:val="center"/>
        </w:trPr>
        <w:tc>
          <w:tcPr>
            <w:tcW w:w="1129" w:type="dxa"/>
            <w:vMerge/>
            <w:vAlign w:val="center"/>
          </w:tcPr>
          <w:p w14:paraId="57703D8C" w14:textId="77777777" w:rsidR="00555DA6" w:rsidRPr="00177CDE" w:rsidRDefault="00555DA6" w:rsidP="00B007EC">
            <w:pPr>
              <w:tabs>
                <w:tab w:val="left" w:pos="480"/>
              </w:tabs>
              <w:jc w:val="center"/>
              <w:rPr>
                <w:rFonts w:asciiTheme="majorBidi" w:hAnsiTheme="majorBidi" w:cstheme="majorBidi"/>
                <w:sz w:val="20"/>
                <w:szCs w:val="20"/>
              </w:rPr>
            </w:pPr>
          </w:p>
        </w:tc>
        <w:tc>
          <w:tcPr>
            <w:tcW w:w="1276" w:type="dxa"/>
            <w:vAlign w:val="center"/>
          </w:tcPr>
          <w:p w14:paraId="07F61036" w14:textId="19868AC9"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HT-135</w:t>
            </w:r>
          </w:p>
        </w:tc>
        <w:tc>
          <w:tcPr>
            <w:tcW w:w="1134" w:type="dxa"/>
          </w:tcPr>
          <w:p w14:paraId="05D88DC2"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0.065</w:t>
            </w:r>
          </w:p>
        </w:tc>
        <w:tc>
          <w:tcPr>
            <w:tcW w:w="1134" w:type="dxa"/>
          </w:tcPr>
          <w:p w14:paraId="5FC31069"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0.963</w:t>
            </w:r>
          </w:p>
        </w:tc>
        <w:tc>
          <w:tcPr>
            <w:tcW w:w="851" w:type="dxa"/>
          </w:tcPr>
          <w:p w14:paraId="59596A2E" w14:textId="14CE83F0"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r w:rsidR="00F44961">
              <w:rPr>
                <w:rFonts w:asciiTheme="majorBidi" w:hAnsiTheme="majorBidi" w:cstheme="majorBidi"/>
                <w:sz w:val="20"/>
                <w:szCs w:val="20"/>
              </w:rPr>
              <w:t>,</w:t>
            </w:r>
            <w:r w:rsidRPr="00177CDE">
              <w:rPr>
                <w:rFonts w:asciiTheme="majorBidi" w:hAnsiTheme="majorBidi" w:cstheme="majorBidi"/>
                <w:sz w:val="20"/>
                <w:szCs w:val="20"/>
              </w:rPr>
              <w:t>720</w:t>
            </w:r>
          </w:p>
        </w:tc>
        <w:tc>
          <w:tcPr>
            <w:tcW w:w="850" w:type="dxa"/>
          </w:tcPr>
          <w:p w14:paraId="564B3EFA"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w:t>
            </w:r>
          </w:p>
        </w:tc>
        <w:tc>
          <w:tcPr>
            <w:tcW w:w="667" w:type="dxa"/>
          </w:tcPr>
          <w:p w14:paraId="1FBBD59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03FEA4E2" w14:textId="6672FC04"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&gt;5</w:t>
            </w:r>
            <w:r w:rsidR="00F44961">
              <w:rPr>
                <w:rFonts w:asciiTheme="majorBidi" w:hAnsiTheme="majorBidi" w:cstheme="majorBidi"/>
                <w:sz w:val="20"/>
                <w:szCs w:val="20"/>
              </w:rPr>
              <w:t>,</w:t>
            </w:r>
            <w:r w:rsidRPr="00177CDE">
              <w:rPr>
                <w:rFonts w:asciiTheme="majorBidi" w:hAnsiTheme="majorBidi" w:cstheme="majorBidi"/>
                <w:sz w:val="20"/>
                <w:szCs w:val="20"/>
              </w:rPr>
              <w:t>000</w:t>
            </w:r>
          </w:p>
        </w:tc>
        <w:tc>
          <w:tcPr>
            <w:tcW w:w="658" w:type="dxa"/>
          </w:tcPr>
          <w:p w14:paraId="5B081218"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c>
          <w:tcPr>
            <w:tcW w:w="920" w:type="dxa"/>
          </w:tcPr>
          <w:p w14:paraId="5FAB1210"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w:t>
            </w:r>
          </w:p>
        </w:tc>
      </w:tr>
      <w:tr w:rsidR="00555DA6" w:rsidRPr="00177CDE" w14:paraId="0619162A" w14:textId="77777777" w:rsidTr="00B007EC">
        <w:trPr>
          <w:trHeight w:val="235"/>
          <w:jc w:val="center"/>
        </w:trPr>
        <w:tc>
          <w:tcPr>
            <w:tcW w:w="1129" w:type="dxa"/>
            <w:vMerge w:val="restart"/>
            <w:vAlign w:val="center"/>
          </w:tcPr>
          <w:p w14:paraId="0A2C22C6"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eastAsiaTheme="minorEastAsia" w:hAnsiTheme="majorBidi" w:cstheme="majorBidi"/>
                <w:sz w:val="20"/>
                <w:szCs w:val="20"/>
                <w:lang w:eastAsia="zh-CN"/>
              </w:rPr>
              <w:t>S</w:t>
            </w:r>
            <w:r w:rsidRPr="00177CDE">
              <w:rPr>
                <w:rFonts w:asciiTheme="majorBidi" w:hAnsiTheme="majorBidi" w:cstheme="majorBidi"/>
                <w:sz w:val="20"/>
                <w:szCs w:val="20"/>
              </w:rPr>
              <w:t>ynthetic oil</w:t>
            </w:r>
          </w:p>
        </w:tc>
        <w:tc>
          <w:tcPr>
            <w:tcW w:w="1276" w:type="dxa"/>
            <w:vAlign w:val="center"/>
          </w:tcPr>
          <w:p w14:paraId="5A3ECC96" w14:textId="77777777" w:rsidR="00555DA6" w:rsidRPr="00177CDE" w:rsidRDefault="00555DA6" w:rsidP="00B007EC">
            <w:pPr>
              <w:tabs>
                <w:tab w:val="left" w:pos="480"/>
              </w:tabs>
              <w:jc w:val="center"/>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Bing Yi 797</w:t>
            </w:r>
          </w:p>
        </w:tc>
        <w:tc>
          <w:tcPr>
            <w:tcW w:w="1134" w:type="dxa"/>
          </w:tcPr>
          <w:p w14:paraId="363B7B59" w14:textId="77777777" w:rsidR="00555DA6" w:rsidRPr="00177CDE" w:rsidRDefault="00555DA6" w:rsidP="00B007EC">
            <w:pPr>
              <w:tabs>
                <w:tab w:val="left" w:pos="480"/>
              </w:tabs>
              <w:jc w:val="right"/>
              <w:rPr>
                <w:rFonts w:asciiTheme="majorBidi" w:eastAsia="DengXian" w:hAnsiTheme="majorBidi" w:cstheme="majorBidi"/>
                <w:b/>
                <w:bCs/>
                <w:color w:val="000000" w:themeColor="text1"/>
                <w:sz w:val="20"/>
                <w:szCs w:val="20"/>
                <w:lang w:eastAsia="zh-CN"/>
              </w:rPr>
            </w:pPr>
            <w:r w:rsidRPr="00177CDE">
              <w:rPr>
                <w:rFonts w:asciiTheme="majorBidi" w:hAnsiTheme="majorBidi" w:cstheme="majorBidi"/>
                <w:b/>
                <w:bCs/>
                <w:color w:val="000000" w:themeColor="text1"/>
                <w:sz w:val="20"/>
                <w:szCs w:val="20"/>
              </w:rPr>
              <w:t>0.342</w:t>
            </w:r>
          </w:p>
        </w:tc>
        <w:tc>
          <w:tcPr>
            <w:tcW w:w="1134" w:type="dxa"/>
          </w:tcPr>
          <w:p w14:paraId="22F7CB8B" w14:textId="77777777" w:rsidR="00555DA6" w:rsidRPr="00177CDE" w:rsidRDefault="00555DA6" w:rsidP="00B007EC">
            <w:pPr>
              <w:tabs>
                <w:tab w:val="left" w:pos="480"/>
              </w:tabs>
              <w:jc w:val="right"/>
              <w:rPr>
                <w:rFonts w:asciiTheme="majorBidi" w:eastAsia="DengXian" w:hAnsiTheme="majorBidi" w:cstheme="majorBidi"/>
                <w:b/>
                <w:bCs/>
                <w:color w:val="000000" w:themeColor="text1"/>
                <w:sz w:val="20"/>
                <w:szCs w:val="20"/>
                <w:lang w:eastAsia="zh-CN"/>
              </w:rPr>
            </w:pPr>
            <w:r w:rsidRPr="00177CDE">
              <w:rPr>
                <w:rFonts w:asciiTheme="majorBidi" w:eastAsia="DengXian" w:hAnsiTheme="majorBidi" w:cstheme="majorBidi"/>
                <w:b/>
                <w:bCs/>
                <w:color w:val="000000" w:themeColor="text1"/>
                <w:sz w:val="20"/>
                <w:szCs w:val="20"/>
                <w:lang w:eastAsia="zh-CN"/>
              </w:rPr>
              <w:t>1.987</w:t>
            </w:r>
          </w:p>
        </w:tc>
        <w:tc>
          <w:tcPr>
            <w:tcW w:w="851" w:type="dxa"/>
          </w:tcPr>
          <w:p w14:paraId="17484E8B"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797</w:t>
            </w:r>
          </w:p>
        </w:tc>
        <w:tc>
          <w:tcPr>
            <w:tcW w:w="850" w:type="dxa"/>
          </w:tcPr>
          <w:p w14:paraId="4BF9E311"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13</w:t>
            </w:r>
          </w:p>
        </w:tc>
        <w:tc>
          <w:tcPr>
            <w:tcW w:w="667" w:type="dxa"/>
          </w:tcPr>
          <w:p w14:paraId="4C88E256"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0</w:t>
            </w:r>
          </w:p>
        </w:tc>
        <w:tc>
          <w:tcPr>
            <w:tcW w:w="789" w:type="dxa"/>
          </w:tcPr>
          <w:p w14:paraId="3A5FCAF2"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0</w:t>
            </w:r>
          </w:p>
        </w:tc>
        <w:tc>
          <w:tcPr>
            <w:tcW w:w="658" w:type="dxa"/>
          </w:tcPr>
          <w:p w14:paraId="07F96741"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175</w:t>
            </w:r>
          </w:p>
        </w:tc>
        <w:tc>
          <w:tcPr>
            <w:tcW w:w="920" w:type="dxa"/>
          </w:tcPr>
          <w:p w14:paraId="05FAEB14" w14:textId="77777777" w:rsidR="00555DA6" w:rsidRPr="00177CDE" w:rsidRDefault="00555DA6" w:rsidP="00B007EC">
            <w:pPr>
              <w:tabs>
                <w:tab w:val="left" w:pos="480"/>
              </w:tabs>
              <w:jc w:val="right"/>
              <w:rPr>
                <w:rFonts w:asciiTheme="majorBidi" w:hAnsiTheme="majorBidi" w:cstheme="majorBidi"/>
                <w:b/>
                <w:bCs/>
                <w:color w:val="000000" w:themeColor="text1"/>
                <w:sz w:val="20"/>
                <w:szCs w:val="20"/>
              </w:rPr>
            </w:pPr>
            <w:r w:rsidRPr="00177CDE">
              <w:rPr>
                <w:rFonts w:asciiTheme="majorBidi" w:hAnsiTheme="majorBidi" w:cstheme="majorBidi"/>
                <w:b/>
                <w:bCs/>
                <w:color w:val="000000" w:themeColor="text1"/>
                <w:sz w:val="20"/>
                <w:szCs w:val="20"/>
              </w:rPr>
              <w:t>164</w:t>
            </w:r>
          </w:p>
        </w:tc>
      </w:tr>
      <w:tr w:rsidR="00555DA6" w:rsidRPr="00177CDE" w14:paraId="688BC887" w14:textId="77777777" w:rsidTr="00B007EC">
        <w:trPr>
          <w:trHeight w:val="141"/>
          <w:jc w:val="center"/>
        </w:trPr>
        <w:tc>
          <w:tcPr>
            <w:tcW w:w="1129" w:type="dxa"/>
            <w:vMerge/>
            <w:vAlign w:val="center"/>
          </w:tcPr>
          <w:p w14:paraId="0B741012" w14:textId="77777777" w:rsidR="00555DA6" w:rsidRPr="00177CDE" w:rsidRDefault="00555DA6" w:rsidP="00B007EC">
            <w:pPr>
              <w:tabs>
                <w:tab w:val="left" w:pos="480"/>
              </w:tabs>
              <w:jc w:val="center"/>
              <w:rPr>
                <w:rFonts w:asciiTheme="majorBidi" w:hAnsiTheme="majorBidi" w:cstheme="majorBidi"/>
                <w:sz w:val="20"/>
                <w:szCs w:val="20"/>
              </w:rPr>
            </w:pPr>
          </w:p>
        </w:tc>
        <w:tc>
          <w:tcPr>
            <w:tcW w:w="1276" w:type="dxa"/>
            <w:vAlign w:val="center"/>
          </w:tcPr>
          <w:p w14:paraId="7E992899"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VP-3</w:t>
            </w:r>
          </w:p>
        </w:tc>
        <w:tc>
          <w:tcPr>
            <w:tcW w:w="1134" w:type="dxa"/>
          </w:tcPr>
          <w:p w14:paraId="54B78046"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hAnsiTheme="majorBidi" w:cstheme="majorBidi"/>
                <w:sz w:val="20"/>
                <w:szCs w:val="20"/>
              </w:rPr>
              <w:t>0.117</w:t>
            </w:r>
          </w:p>
        </w:tc>
        <w:tc>
          <w:tcPr>
            <w:tcW w:w="1134" w:type="dxa"/>
          </w:tcPr>
          <w:p w14:paraId="1EC0DFAA"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1.630</w:t>
            </w:r>
          </w:p>
        </w:tc>
        <w:tc>
          <w:tcPr>
            <w:tcW w:w="851" w:type="dxa"/>
          </w:tcPr>
          <w:p w14:paraId="68513540"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930</w:t>
            </w:r>
          </w:p>
        </w:tc>
        <w:tc>
          <w:tcPr>
            <w:tcW w:w="850" w:type="dxa"/>
          </w:tcPr>
          <w:p w14:paraId="0E74D6CF"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2.79</w:t>
            </w:r>
          </w:p>
        </w:tc>
        <w:tc>
          <w:tcPr>
            <w:tcW w:w="667" w:type="dxa"/>
          </w:tcPr>
          <w:p w14:paraId="33616EA9"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3BDF0A5C"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658" w:type="dxa"/>
          </w:tcPr>
          <w:p w14:paraId="769D3167"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113</w:t>
            </w:r>
          </w:p>
        </w:tc>
        <w:tc>
          <w:tcPr>
            <w:tcW w:w="920" w:type="dxa"/>
          </w:tcPr>
          <w:p w14:paraId="077D2F49"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104</w:t>
            </w:r>
          </w:p>
        </w:tc>
      </w:tr>
      <w:tr w:rsidR="00555DA6" w:rsidRPr="00177CDE" w14:paraId="66EC8156" w14:textId="77777777" w:rsidTr="00B007EC">
        <w:trPr>
          <w:trHeight w:val="141"/>
          <w:jc w:val="center"/>
        </w:trPr>
        <w:tc>
          <w:tcPr>
            <w:tcW w:w="1129" w:type="dxa"/>
            <w:vMerge/>
            <w:vAlign w:val="center"/>
          </w:tcPr>
          <w:p w14:paraId="5598C80C" w14:textId="77777777" w:rsidR="00555DA6" w:rsidRPr="00177CDE" w:rsidRDefault="00555DA6" w:rsidP="00B007EC">
            <w:pPr>
              <w:tabs>
                <w:tab w:val="left" w:pos="480"/>
              </w:tabs>
              <w:jc w:val="center"/>
              <w:rPr>
                <w:rFonts w:asciiTheme="majorBidi" w:hAnsiTheme="majorBidi" w:cstheme="majorBidi"/>
                <w:sz w:val="20"/>
                <w:szCs w:val="20"/>
              </w:rPr>
            </w:pPr>
          </w:p>
        </w:tc>
        <w:tc>
          <w:tcPr>
            <w:tcW w:w="1276" w:type="dxa"/>
            <w:vAlign w:val="center"/>
          </w:tcPr>
          <w:p w14:paraId="613F4881" w14:textId="77777777" w:rsidR="00555DA6" w:rsidRPr="00177CDE" w:rsidRDefault="00555DA6" w:rsidP="00B007EC">
            <w:pPr>
              <w:tabs>
                <w:tab w:val="left" w:pos="480"/>
              </w:tabs>
              <w:jc w:val="center"/>
              <w:rPr>
                <w:rFonts w:asciiTheme="majorBidi" w:hAnsiTheme="majorBidi" w:cstheme="majorBidi"/>
                <w:sz w:val="20"/>
                <w:szCs w:val="20"/>
              </w:rPr>
            </w:pPr>
            <w:r w:rsidRPr="00177CDE">
              <w:rPr>
                <w:rFonts w:asciiTheme="majorBidi" w:hAnsiTheme="majorBidi" w:cstheme="majorBidi"/>
                <w:sz w:val="20"/>
                <w:szCs w:val="20"/>
              </w:rPr>
              <w:t>EC-110</w:t>
            </w:r>
          </w:p>
        </w:tc>
        <w:tc>
          <w:tcPr>
            <w:tcW w:w="1134" w:type="dxa"/>
          </w:tcPr>
          <w:p w14:paraId="53CD5607"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hAnsiTheme="majorBidi" w:cstheme="majorBidi"/>
                <w:sz w:val="20"/>
                <w:szCs w:val="20"/>
              </w:rPr>
              <w:t>0.1376</w:t>
            </w:r>
          </w:p>
        </w:tc>
        <w:tc>
          <w:tcPr>
            <w:tcW w:w="1134" w:type="dxa"/>
          </w:tcPr>
          <w:p w14:paraId="076A2A3B" w14:textId="77777777" w:rsidR="00555DA6" w:rsidRPr="00177CDE" w:rsidRDefault="00555DA6" w:rsidP="00B007EC">
            <w:pPr>
              <w:tabs>
                <w:tab w:val="left" w:pos="480"/>
              </w:tabs>
              <w:jc w:val="right"/>
              <w:rPr>
                <w:rFonts w:asciiTheme="majorBidi" w:eastAsia="DengXian" w:hAnsiTheme="majorBidi" w:cstheme="majorBidi"/>
                <w:sz w:val="20"/>
                <w:szCs w:val="20"/>
                <w:lang w:eastAsia="zh-CN"/>
              </w:rPr>
            </w:pPr>
            <w:r w:rsidRPr="00177CDE">
              <w:rPr>
                <w:rFonts w:asciiTheme="majorBidi" w:eastAsia="DengXian" w:hAnsiTheme="majorBidi" w:cstheme="majorBidi"/>
                <w:sz w:val="20"/>
                <w:szCs w:val="20"/>
                <w:lang w:eastAsia="zh-CN"/>
              </w:rPr>
              <w:t>2.155</w:t>
            </w:r>
          </w:p>
        </w:tc>
        <w:tc>
          <w:tcPr>
            <w:tcW w:w="851" w:type="dxa"/>
          </w:tcPr>
          <w:p w14:paraId="0EE2CB30"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820</w:t>
            </w:r>
          </w:p>
        </w:tc>
        <w:tc>
          <w:tcPr>
            <w:tcW w:w="850" w:type="dxa"/>
          </w:tcPr>
          <w:p w14:paraId="2D99BB4B"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16.94</w:t>
            </w:r>
          </w:p>
        </w:tc>
        <w:tc>
          <w:tcPr>
            <w:tcW w:w="667" w:type="dxa"/>
          </w:tcPr>
          <w:p w14:paraId="7DB2F154"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789" w:type="dxa"/>
          </w:tcPr>
          <w:p w14:paraId="54E10F7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0</w:t>
            </w:r>
          </w:p>
        </w:tc>
        <w:tc>
          <w:tcPr>
            <w:tcW w:w="658" w:type="dxa"/>
          </w:tcPr>
          <w:p w14:paraId="591BFE82"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&gt;350</w:t>
            </w:r>
          </w:p>
        </w:tc>
        <w:tc>
          <w:tcPr>
            <w:tcW w:w="920" w:type="dxa"/>
          </w:tcPr>
          <w:p w14:paraId="21FFA1BD" w14:textId="77777777" w:rsidR="00555DA6" w:rsidRPr="00177CDE" w:rsidRDefault="00555DA6" w:rsidP="00B007EC">
            <w:pPr>
              <w:tabs>
                <w:tab w:val="left" w:pos="480"/>
              </w:tabs>
              <w:jc w:val="right"/>
              <w:rPr>
                <w:rFonts w:asciiTheme="majorBidi" w:hAnsiTheme="majorBidi" w:cstheme="majorBidi"/>
                <w:sz w:val="20"/>
                <w:szCs w:val="20"/>
              </w:rPr>
            </w:pPr>
            <w:r w:rsidRPr="00177CDE">
              <w:rPr>
                <w:rFonts w:asciiTheme="majorBidi" w:hAnsiTheme="majorBidi" w:cstheme="majorBidi"/>
                <w:sz w:val="20"/>
                <w:szCs w:val="20"/>
              </w:rPr>
              <w:t>203</w:t>
            </w:r>
          </w:p>
        </w:tc>
      </w:tr>
    </w:tbl>
    <w:p w14:paraId="1A2AAA7E" w14:textId="77777777" w:rsidR="00555DA6" w:rsidRPr="00F325B1" w:rsidRDefault="00555DA6" w:rsidP="00555DA6">
      <w:pPr>
        <w:widowControl w:val="0"/>
        <w:spacing w:before="240" w:after="240"/>
        <w:outlineLvl w:val="2"/>
        <w:rPr>
          <w:rFonts w:eastAsia="Calibri"/>
          <w:u w:val="single"/>
        </w:rPr>
      </w:pPr>
      <w:r w:rsidRPr="00F325B1">
        <w:rPr>
          <w:rFonts w:eastAsia="Calibri"/>
          <w:u w:val="single"/>
        </w:rPr>
        <w:lastRenderedPageBreak/>
        <w:t>Enterprise information</w:t>
      </w:r>
    </w:p>
    <w:p w14:paraId="71DB6CFA" w14:textId="77777777" w:rsidR="00555DA6" w:rsidRPr="00F325B1" w:rsidRDefault="00555DA6" w:rsidP="00555DA6">
      <w:pPr>
        <w:pStyle w:val="Heading1"/>
        <w:rPr>
          <w:rFonts w:eastAsiaTheme="minorEastAsia"/>
        </w:rPr>
      </w:pPr>
      <w:r w:rsidRPr="00F325B1">
        <w:rPr>
          <w:rFonts w:eastAsiaTheme="minorEastAsia"/>
        </w:rPr>
        <w:t>The enterprise Anhui Tier Liquid Cooling Technology Co., Ltd., (Anhui Tier), is a technology enterprise specializing in advanced cooling solutions for data centres. The coolant technology to be used was developed by its subsidiary, Tianjin Tier Technology Co., Ltd, which was founded in 2019. Anhui Tier would lead the pilot project on design, manufacturing, installation, engineering, and maintenance.</w:t>
      </w:r>
    </w:p>
    <w:p w14:paraId="09F09E6C" w14:textId="77777777" w:rsidR="00555DA6" w:rsidRPr="00F325B1" w:rsidRDefault="00555DA6" w:rsidP="00555DA6">
      <w:pPr>
        <w:pStyle w:val="Heading1"/>
        <w:rPr>
          <w:rFonts w:eastAsiaTheme="minorEastAsia"/>
        </w:rPr>
      </w:pPr>
      <w:r w:rsidRPr="00F325B1">
        <w:rPr>
          <w:rFonts w:eastAsiaTheme="minorEastAsia"/>
        </w:rPr>
        <w:t xml:space="preserve">The project will be implemented in a new data centre; hence, there is no current use of HFCs and energy consumption, but the project would avoid the use of HFCs and would reduce the typical energy requirement of a data centre. </w:t>
      </w:r>
      <w:r w:rsidRPr="00F325B1">
        <w:rPr>
          <w:bCs/>
          <w:iCs/>
        </w:rPr>
        <w:t>The site for this demonstration project is confirmed and comprises more than 20,000 m</w:t>
      </w:r>
      <w:r w:rsidRPr="00F325B1">
        <w:rPr>
          <w:bCs/>
          <w:iCs/>
          <w:vertAlign w:val="superscript"/>
        </w:rPr>
        <w:t>2</w:t>
      </w:r>
      <w:r w:rsidRPr="00F325B1">
        <w:rPr>
          <w:bCs/>
          <w:iCs/>
        </w:rPr>
        <w:t>, as well as a 5,000 kVA dual-power supply, water supply, and bandwidth network for operational requirements in Wuhu City.</w:t>
      </w:r>
    </w:p>
    <w:p w14:paraId="6EFA426A" w14:textId="77777777" w:rsidR="00555DA6" w:rsidRPr="00F325B1" w:rsidRDefault="00555DA6" w:rsidP="00555DA6">
      <w:pPr>
        <w:spacing w:before="240" w:after="240"/>
        <w:rPr>
          <w:b/>
          <w:bCs/>
        </w:rPr>
      </w:pPr>
      <w:r w:rsidRPr="00F325B1">
        <w:rPr>
          <w:b/>
          <w:bCs/>
        </w:rPr>
        <w:t>Project overview and funding request</w:t>
      </w:r>
    </w:p>
    <w:p w14:paraId="11D2CAA8" w14:textId="77777777" w:rsidR="00555DA6" w:rsidRPr="00F325B1" w:rsidRDefault="00555DA6" w:rsidP="00555DA6">
      <w:pPr>
        <w:pStyle w:val="Heading1"/>
      </w:pPr>
      <w:r w:rsidRPr="00F325B1">
        <w:t>The pilot project is being submitted in line with decision 91/65(c).</w:t>
      </w:r>
    </w:p>
    <w:p w14:paraId="5EB5431B" w14:textId="77777777" w:rsidR="00555DA6" w:rsidRPr="00F325B1" w:rsidRDefault="00555DA6" w:rsidP="00555DA6">
      <w:pPr>
        <w:spacing w:after="240"/>
        <w:outlineLvl w:val="0"/>
      </w:pPr>
      <w:r w:rsidRPr="00F325B1">
        <w:rPr>
          <w:u w:val="single"/>
        </w:rPr>
        <w:t>Project objective</w:t>
      </w:r>
    </w:p>
    <w:p w14:paraId="6ADC45DD" w14:textId="77777777" w:rsidR="00555DA6" w:rsidRPr="00F325B1" w:rsidRDefault="00555DA6" w:rsidP="00555DA6">
      <w:pPr>
        <w:pStyle w:val="Heading1"/>
      </w:pPr>
      <w:r w:rsidRPr="00F325B1">
        <w:t>The project proposes to begin with the design, construction, and operation of the data centre, including upgrading the servers and designing six liquid cooling cabinets with a total capacity of 7,200 kW integrating 10 GRP computing cards into a single server followed by the design, construction and operation of a waste heat recovery system using a R-290 heat pump and a hybrid power supply system and aims for a 50 per cent renewable energy. The project would include a comprehensive assessment and comparative analysis against other air-cooled data centres and measuring energy efficiency, and a review of energy efficiency standards for data centres using the operational data of the demonstration project and promoting the results of the project through different awareness and outreach activities.</w:t>
      </w:r>
    </w:p>
    <w:p w14:paraId="1F710E12" w14:textId="77777777" w:rsidR="00555DA6" w:rsidRPr="00F325B1" w:rsidRDefault="00555DA6" w:rsidP="00555DA6">
      <w:pPr>
        <w:spacing w:before="240" w:after="240"/>
      </w:pPr>
      <w:r w:rsidRPr="00F325B1">
        <w:t xml:space="preserve"> </w:t>
      </w:r>
      <w:r w:rsidRPr="00F325B1">
        <w:rPr>
          <w:u w:val="single"/>
        </w:rPr>
        <w:t>Proposed activities</w:t>
      </w:r>
    </w:p>
    <w:p w14:paraId="4F3599D6" w14:textId="77777777" w:rsidR="00555DA6" w:rsidRPr="00F325B1" w:rsidRDefault="00555DA6" w:rsidP="00555DA6">
      <w:pPr>
        <w:pStyle w:val="Heading1"/>
      </w:pPr>
      <w:r w:rsidRPr="00F325B1">
        <w:t>There are six main elements in the project, and each element is described below:</w:t>
      </w:r>
    </w:p>
    <w:p w14:paraId="565B83A7" w14:textId="77777777" w:rsidR="00555DA6" w:rsidRPr="00F325B1" w:rsidRDefault="00555DA6" w:rsidP="00555DA6">
      <w:pPr>
        <w:pStyle w:val="Heading2"/>
      </w:pPr>
      <w:r w:rsidRPr="00F325B1">
        <w:rPr>
          <w:i/>
          <w:iCs/>
        </w:rPr>
        <w:t>Data centre</w:t>
      </w:r>
      <w:r w:rsidRPr="00F325B1">
        <w:t xml:space="preserve">: Activities would include the optimisation of the servers </w:t>
      </w:r>
      <w:r w:rsidRPr="00F325B1">
        <w:rPr>
          <w:rFonts w:eastAsia="SimSun"/>
        </w:rPr>
        <w:t>to improve the internal flow field and enhance the heat exchange between chips and coolant</w:t>
      </w:r>
      <w:r w:rsidRPr="00F325B1">
        <w:t>; system design, assembly, and operation, analysis</w:t>
      </w:r>
      <w:r w:rsidRPr="00F325B1">
        <w:rPr>
          <w:rFonts w:eastAsia="SimSun"/>
        </w:rPr>
        <w:t xml:space="preserve"> of the effects of structural parameters, physical properties, and operational parameters of liquid-cooled servers</w:t>
      </w:r>
      <w:r w:rsidRPr="00F325B1">
        <w:t>; design of liquid cooling cabinet and analysis of operational parameters such as coolant flow rate and temperature; designing the operational logic for external cooling equipment;</w:t>
      </w:r>
    </w:p>
    <w:p w14:paraId="0FD68080" w14:textId="77777777" w:rsidR="00555DA6" w:rsidRPr="00F325B1" w:rsidRDefault="00555DA6" w:rsidP="00555DA6">
      <w:pPr>
        <w:pStyle w:val="Heading2"/>
      </w:pPr>
      <w:r w:rsidRPr="00F325B1">
        <w:rPr>
          <w:i/>
          <w:iCs/>
        </w:rPr>
        <w:t>Wastewater recovery:</w:t>
      </w:r>
      <w:r w:rsidRPr="00F325B1">
        <w:rPr>
          <w:rFonts w:eastAsiaTheme="minorEastAsia"/>
        </w:rPr>
        <w:t xml:space="preserve"> The data centre will use wastewater to provide heat for the data centre park, leveraging its high temperature (over 50°C) for efficient energy recovery; this will include</w:t>
      </w:r>
      <w:r w:rsidRPr="00F325B1">
        <w:t xml:space="preserve"> the design of a wastewater recovery system, encompassing heat pump devices and pipeline designs; developing an operational logic using AI methods to optimize system performance, ensuring the data centre is efficiently cooled while supplying heat to the park; and processing, assembly, and trial operation;</w:t>
      </w:r>
    </w:p>
    <w:p w14:paraId="330C7861" w14:textId="77777777" w:rsidR="00555DA6" w:rsidRPr="00F325B1" w:rsidRDefault="00555DA6" w:rsidP="00555DA6">
      <w:pPr>
        <w:pStyle w:val="Heading2"/>
        <w:widowControl/>
      </w:pPr>
      <w:r w:rsidRPr="00F325B1">
        <w:rPr>
          <w:i/>
          <w:iCs/>
        </w:rPr>
        <w:t>Hybrid power supply system</w:t>
      </w:r>
      <w:r w:rsidRPr="00F325B1">
        <w:t>:</w:t>
      </w:r>
      <w:r w:rsidRPr="00F325B1">
        <w:rPr>
          <w:rFonts w:eastAsia="SimSun"/>
        </w:rPr>
        <w:t xml:space="preserve"> Introduce two municipal power supply sources, each capable of carrying 50 per cent of the load under normal conditions and 100 per cent if one source fails; assess the supplementary heating requirements; use data collected during the trial operation on the system’s heat dissipation and heating supply requirements; determine the heating needs for the data centre park to determine if waste heat recovery system can meet these demands efficiently; develop operational strategies based on data collected</w:t>
      </w:r>
      <w:r w:rsidRPr="00F325B1">
        <w:t xml:space="preserve">; </w:t>
      </w:r>
      <w:r w:rsidRPr="00F325B1">
        <w:lastRenderedPageBreak/>
        <w:t>processing and assembly for mixed power supply; and trial operation for mixed power supply;</w:t>
      </w:r>
    </w:p>
    <w:p w14:paraId="0072FED4" w14:textId="77777777" w:rsidR="00555DA6" w:rsidRPr="00F325B1" w:rsidRDefault="00555DA6" w:rsidP="00555DA6">
      <w:pPr>
        <w:pStyle w:val="Heading2"/>
      </w:pPr>
      <w:r w:rsidRPr="00F325B1">
        <w:rPr>
          <w:i/>
          <w:iCs/>
        </w:rPr>
        <w:t xml:space="preserve">Comparative study: </w:t>
      </w:r>
      <w:r w:rsidRPr="00F325B1">
        <w:t xml:space="preserve">Conduct an </w:t>
      </w:r>
      <w:r w:rsidRPr="00F325B1">
        <w:rPr>
          <w:rFonts w:eastAsia="SimSun"/>
        </w:rPr>
        <w:t>in-depth analysis of single-phase immersion cooling data centres focusing on comparing the performance, energy efficiency, environmental impact, and economic benefits of single-phase immersion cooling with traditional air-cooled data centres; the environmental impact of the coolant's lifecycle and the system’s carbon emissions over its lifecycle conducted; energy efficiency and economic aspects, parameters, such as PUE, water usage effectiveness, investment costs, and operating costs for the system analysed; comprehensive research report;</w:t>
      </w:r>
    </w:p>
    <w:p w14:paraId="56A6B978" w14:textId="77777777" w:rsidR="00555DA6" w:rsidRPr="00F325B1" w:rsidRDefault="00555DA6" w:rsidP="00555DA6">
      <w:pPr>
        <w:pStyle w:val="Heading2"/>
      </w:pPr>
      <w:r w:rsidRPr="00F325B1">
        <w:rPr>
          <w:i/>
          <w:iCs/>
        </w:rPr>
        <w:t>Standards improvement:</w:t>
      </w:r>
      <w:r w:rsidRPr="00F325B1">
        <w:t xml:space="preserve"> Market assessment of demand for single-phase immersion cooling systems in new and existing facilities that currently rely on HFC-based cooling systems including an analysis of industry trends, potential adoption rates, and the regulatory landscape; national standard for maximum allowable values of energy efficiency and energy efficiency grades for data centres reviewed, including consultation meetings with industry experts and the national standardization committee; a report with recommendations on enhancing the standard prepared; and</w:t>
      </w:r>
    </w:p>
    <w:p w14:paraId="5526221C" w14:textId="77777777" w:rsidR="00555DA6" w:rsidRPr="00F325B1" w:rsidRDefault="00555DA6" w:rsidP="00555DA6">
      <w:pPr>
        <w:pStyle w:val="Heading2"/>
        <w:rPr>
          <w:i/>
          <w:iCs/>
        </w:rPr>
      </w:pPr>
      <w:r w:rsidRPr="00F325B1">
        <w:rPr>
          <w:i/>
          <w:iCs/>
        </w:rPr>
        <w:t xml:space="preserve">Technology awareness and dissemination: </w:t>
      </w:r>
      <w:r w:rsidRPr="00F325B1">
        <w:t>Including a technical seminar and participation in industry exhibition; and training for designers, technicians, production managers, installation technician, and equipment maintenance personnel.</w:t>
      </w:r>
    </w:p>
    <w:p w14:paraId="32F77898" w14:textId="77777777" w:rsidR="00555DA6" w:rsidRPr="00F325B1" w:rsidRDefault="00555DA6" w:rsidP="00555DA6">
      <w:pPr>
        <w:pStyle w:val="Heading1"/>
      </w:pPr>
      <w:r w:rsidRPr="00F325B1">
        <w:t>The project will be implemented between December 2024 and December 2026.</w:t>
      </w:r>
    </w:p>
    <w:p w14:paraId="5ADA32B0" w14:textId="77777777" w:rsidR="00555DA6" w:rsidRPr="00F325B1" w:rsidRDefault="00555DA6" w:rsidP="00555DA6">
      <w:pPr>
        <w:keepNext/>
        <w:keepLines/>
        <w:spacing w:before="240" w:after="240"/>
        <w:rPr>
          <w:u w:val="single"/>
        </w:rPr>
      </w:pPr>
      <w:r w:rsidRPr="00F325B1">
        <w:rPr>
          <w:u w:val="single"/>
        </w:rPr>
        <w:t>Total cost of the pilot project</w:t>
      </w:r>
    </w:p>
    <w:p w14:paraId="7FD7711C" w14:textId="77777777" w:rsidR="00555DA6" w:rsidRPr="00F325B1" w:rsidRDefault="00555DA6" w:rsidP="00555DA6">
      <w:pPr>
        <w:pStyle w:val="Heading1"/>
      </w:pPr>
      <w:r w:rsidRPr="00F325B1">
        <w:t>The total cost for the pilot project as submitted is summarized in table 3.</w:t>
      </w:r>
    </w:p>
    <w:p w14:paraId="071B43F3" w14:textId="77777777" w:rsidR="00555DA6" w:rsidRPr="00F325B1" w:rsidRDefault="00555DA6" w:rsidP="00555DA6">
      <w:pPr>
        <w:pStyle w:val="Caption"/>
        <w:ind w:left="0"/>
        <w:rPr>
          <w:lang w:val="en-CA"/>
        </w:rPr>
      </w:pPr>
      <w:bookmarkStart w:id="4" w:name="_Hlk150446883"/>
      <w:r w:rsidRPr="00F325B1">
        <w:rPr>
          <w:lang w:val="en-CA"/>
        </w:rPr>
        <w:t>Table 3. Estimated costs for the pilot energy efficiency project at a data centre, as submitted (US</w:t>
      </w:r>
      <w:r>
        <w:rPr>
          <w:lang w:val="en-CA"/>
        </w:rPr>
        <w:t> </w:t>
      </w:r>
      <w:r w:rsidRPr="00F325B1">
        <w:rPr>
          <w:lang w:val="en-CA"/>
        </w:rPr>
        <w:t>$)</w:t>
      </w:r>
    </w:p>
    <w:tbl>
      <w:tblPr>
        <w:tblW w:w="9863" w:type="dxa"/>
        <w:tblCellMar>
          <w:left w:w="57" w:type="dxa"/>
          <w:right w:w="57" w:type="dxa"/>
        </w:tblCellMar>
        <w:tblLook w:val="04A0" w:firstRow="1" w:lastRow="0" w:firstColumn="1" w:lastColumn="0" w:noHBand="0" w:noVBand="1"/>
      </w:tblPr>
      <w:tblGrid>
        <w:gridCol w:w="1377"/>
        <w:gridCol w:w="4226"/>
        <w:gridCol w:w="1363"/>
        <w:gridCol w:w="1362"/>
        <w:gridCol w:w="1535"/>
      </w:tblGrid>
      <w:tr w:rsidR="00555DA6" w:rsidRPr="003D2176" w14:paraId="4DC384CB" w14:textId="77777777" w:rsidTr="00B007EC">
        <w:trPr>
          <w:trHeight w:val="345"/>
          <w:tblHeader/>
        </w:trPr>
        <w:tc>
          <w:tcPr>
            <w:tcW w:w="5603" w:type="dxa"/>
            <w:gridSpan w:val="2"/>
            <w:tcBorders>
              <w:top w:val="single" w:sz="4" w:space="0" w:color="auto"/>
              <w:left w:val="single" w:sz="4" w:space="0" w:color="auto"/>
              <w:bottom w:val="single" w:sz="4" w:space="0" w:color="auto"/>
              <w:right w:val="single" w:sz="4" w:space="0" w:color="auto"/>
            </w:tcBorders>
            <w:shd w:val="clear" w:color="auto" w:fill="auto"/>
            <w:hideMark/>
          </w:tcPr>
          <w:bookmarkEnd w:id="4"/>
          <w:p w14:paraId="3C0A6FA9"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Itemized costs </w:t>
            </w:r>
          </w:p>
        </w:tc>
        <w:tc>
          <w:tcPr>
            <w:tcW w:w="1363" w:type="dxa"/>
            <w:tcBorders>
              <w:top w:val="single" w:sz="4" w:space="0" w:color="auto"/>
              <w:left w:val="nil"/>
              <w:bottom w:val="single" w:sz="4" w:space="0" w:color="auto"/>
              <w:right w:val="single" w:sz="4" w:space="0" w:color="auto"/>
            </w:tcBorders>
            <w:shd w:val="clear" w:color="auto" w:fill="auto"/>
            <w:noWrap/>
            <w:hideMark/>
          </w:tcPr>
          <w:p w14:paraId="776A6A94"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Total project cost</w:t>
            </w:r>
          </w:p>
          <w:p w14:paraId="488794D8"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p>
        </w:tc>
        <w:tc>
          <w:tcPr>
            <w:tcW w:w="1362" w:type="dxa"/>
            <w:tcBorders>
              <w:top w:val="single" w:sz="4" w:space="0" w:color="auto"/>
              <w:left w:val="nil"/>
              <w:bottom w:val="single" w:sz="4" w:space="0" w:color="auto"/>
              <w:right w:val="single" w:sz="4" w:space="0" w:color="auto"/>
            </w:tcBorders>
            <w:shd w:val="clear" w:color="auto" w:fill="auto"/>
            <w:noWrap/>
            <w:hideMark/>
          </w:tcPr>
          <w:p w14:paraId="1465FDA9"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Co-financed by China</w:t>
            </w:r>
          </w:p>
          <w:p w14:paraId="27C0F20C"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p>
        </w:tc>
        <w:tc>
          <w:tcPr>
            <w:tcW w:w="1535" w:type="dxa"/>
            <w:tcBorders>
              <w:top w:val="single" w:sz="4" w:space="0" w:color="auto"/>
              <w:left w:val="single" w:sz="4" w:space="0" w:color="auto"/>
              <w:bottom w:val="single" w:sz="4" w:space="0" w:color="auto"/>
              <w:right w:val="single" w:sz="4" w:space="0" w:color="auto"/>
            </w:tcBorders>
            <w:shd w:val="clear" w:color="auto" w:fill="auto"/>
            <w:noWrap/>
            <w:hideMark/>
          </w:tcPr>
          <w:p w14:paraId="30126BEF" w14:textId="77777777" w:rsidR="00555DA6" w:rsidRPr="003D2176" w:rsidRDefault="00555DA6" w:rsidP="00B007EC">
            <w:pPr>
              <w:jc w:val="center"/>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MLF funds</w:t>
            </w:r>
          </w:p>
        </w:tc>
      </w:tr>
      <w:tr w:rsidR="00555DA6" w:rsidRPr="003D2176" w14:paraId="60D2CFCE"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vAlign w:val="center"/>
            <w:hideMark/>
          </w:tcPr>
          <w:p w14:paraId="60CA38D6" w14:textId="77777777" w:rsidR="00555DA6" w:rsidRPr="003D2176" w:rsidRDefault="00555DA6" w:rsidP="00B007EC">
            <w:pPr>
              <w:jc w:val="lef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Physical infrastructure</w:t>
            </w:r>
          </w:p>
        </w:tc>
        <w:tc>
          <w:tcPr>
            <w:tcW w:w="4225" w:type="dxa"/>
            <w:tcBorders>
              <w:top w:val="nil"/>
              <w:left w:val="nil"/>
              <w:bottom w:val="single" w:sz="4" w:space="0" w:color="auto"/>
              <w:right w:val="single" w:sz="4" w:space="0" w:color="auto"/>
            </w:tcBorders>
            <w:shd w:val="clear" w:color="auto" w:fill="auto"/>
            <w:vAlign w:val="center"/>
            <w:hideMark/>
          </w:tcPr>
          <w:p w14:paraId="48F34275"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Land separation</w:t>
            </w:r>
          </w:p>
        </w:tc>
        <w:tc>
          <w:tcPr>
            <w:tcW w:w="1363" w:type="dxa"/>
            <w:tcBorders>
              <w:top w:val="single" w:sz="4" w:space="0" w:color="auto"/>
              <w:left w:val="nil"/>
              <w:bottom w:val="single" w:sz="4" w:space="0" w:color="auto"/>
              <w:right w:val="single" w:sz="4" w:space="0" w:color="auto"/>
            </w:tcBorders>
            <w:shd w:val="clear" w:color="auto" w:fill="auto"/>
            <w:noWrap/>
            <w:vAlign w:val="center"/>
            <w:hideMark/>
          </w:tcPr>
          <w:p w14:paraId="37495EB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1,540,000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14C4698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1,540,000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4E10427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09063ADD"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27B065A" w14:textId="77777777" w:rsidR="00555DA6" w:rsidRPr="003D2176" w:rsidRDefault="00555DA6" w:rsidP="00B007EC">
            <w:pPr>
              <w:rPr>
                <w:rFonts w:asciiTheme="majorBidi" w:eastAsia="DengXian" w:hAnsiTheme="majorBidi" w:cstheme="majorBidi"/>
                <w:b/>
                <w:bCs/>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14AF6F7C"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Civil construction of site</w:t>
            </w:r>
          </w:p>
        </w:tc>
        <w:tc>
          <w:tcPr>
            <w:tcW w:w="1363" w:type="dxa"/>
            <w:tcBorders>
              <w:top w:val="nil"/>
              <w:left w:val="nil"/>
              <w:bottom w:val="single" w:sz="4" w:space="0" w:color="auto"/>
              <w:right w:val="single" w:sz="4" w:space="0" w:color="auto"/>
            </w:tcBorders>
            <w:shd w:val="clear" w:color="auto" w:fill="auto"/>
            <w:noWrap/>
            <w:vAlign w:val="center"/>
            <w:hideMark/>
          </w:tcPr>
          <w:p w14:paraId="295491C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400,000</w:t>
            </w:r>
          </w:p>
        </w:tc>
        <w:tc>
          <w:tcPr>
            <w:tcW w:w="1362" w:type="dxa"/>
            <w:tcBorders>
              <w:top w:val="nil"/>
              <w:left w:val="nil"/>
              <w:bottom w:val="single" w:sz="4" w:space="0" w:color="auto"/>
              <w:right w:val="single" w:sz="4" w:space="0" w:color="auto"/>
            </w:tcBorders>
            <w:shd w:val="clear" w:color="auto" w:fill="auto"/>
            <w:noWrap/>
            <w:vAlign w:val="center"/>
            <w:hideMark/>
          </w:tcPr>
          <w:p w14:paraId="2C69862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400,000</w:t>
            </w:r>
          </w:p>
        </w:tc>
        <w:tc>
          <w:tcPr>
            <w:tcW w:w="1535" w:type="dxa"/>
            <w:tcBorders>
              <w:top w:val="nil"/>
              <w:left w:val="nil"/>
              <w:bottom w:val="single" w:sz="4" w:space="0" w:color="auto"/>
              <w:right w:val="single" w:sz="4" w:space="0" w:color="auto"/>
            </w:tcBorders>
            <w:shd w:val="clear" w:color="auto" w:fill="auto"/>
            <w:noWrap/>
            <w:vAlign w:val="center"/>
            <w:hideMark/>
          </w:tcPr>
          <w:p w14:paraId="674CD14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3BE2F1FB"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CD320"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3A0C5E39"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1,940,000</w:t>
            </w:r>
          </w:p>
        </w:tc>
        <w:tc>
          <w:tcPr>
            <w:tcW w:w="1362" w:type="dxa"/>
            <w:tcBorders>
              <w:top w:val="nil"/>
              <w:left w:val="nil"/>
              <w:bottom w:val="single" w:sz="4" w:space="0" w:color="auto"/>
              <w:right w:val="single" w:sz="4" w:space="0" w:color="auto"/>
            </w:tcBorders>
            <w:shd w:val="clear" w:color="auto" w:fill="auto"/>
            <w:noWrap/>
            <w:vAlign w:val="center"/>
            <w:hideMark/>
          </w:tcPr>
          <w:p w14:paraId="07878441"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1,940,000</w:t>
            </w:r>
          </w:p>
        </w:tc>
        <w:tc>
          <w:tcPr>
            <w:tcW w:w="1535" w:type="dxa"/>
            <w:tcBorders>
              <w:top w:val="nil"/>
              <w:left w:val="nil"/>
              <w:bottom w:val="single" w:sz="4" w:space="0" w:color="auto"/>
              <w:right w:val="single" w:sz="4" w:space="0" w:color="auto"/>
            </w:tcBorders>
            <w:shd w:val="clear" w:color="auto" w:fill="auto"/>
            <w:noWrap/>
            <w:vAlign w:val="center"/>
            <w:hideMark/>
          </w:tcPr>
          <w:p w14:paraId="74E97964"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0</w:t>
            </w:r>
          </w:p>
        </w:tc>
      </w:tr>
      <w:tr w:rsidR="00555DA6" w:rsidRPr="003D2176" w14:paraId="6FC5E25B"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69FF61" w14:textId="77777777" w:rsidR="00555DA6" w:rsidRPr="003D2176" w:rsidRDefault="00555DA6" w:rsidP="00B007EC">
            <w:pPr>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Design </w:t>
            </w:r>
          </w:p>
        </w:tc>
        <w:tc>
          <w:tcPr>
            <w:tcW w:w="4225" w:type="dxa"/>
            <w:tcBorders>
              <w:top w:val="nil"/>
              <w:left w:val="nil"/>
              <w:bottom w:val="single" w:sz="4" w:space="0" w:color="auto"/>
              <w:right w:val="single" w:sz="4" w:space="0" w:color="auto"/>
            </w:tcBorders>
            <w:shd w:val="clear" w:color="auto" w:fill="auto"/>
            <w:noWrap/>
            <w:vAlign w:val="center"/>
            <w:hideMark/>
          </w:tcPr>
          <w:p w14:paraId="5976F3DE"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Development of immersed liquid cooling package component</w:t>
            </w:r>
          </w:p>
        </w:tc>
        <w:tc>
          <w:tcPr>
            <w:tcW w:w="1363" w:type="dxa"/>
            <w:tcBorders>
              <w:top w:val="nil"/>
              <w:left w:val="nil"/>
              <w:bottom w:val="single" w:sz="4" w:space="0" w:color="auto"/>
              <w:right w:val="single" w:sz="4" w:space="0" w:color="auto"/>
            </w:tcBorders>
            <w:shd w:val="clear" w:color="auto" w:fill="auto"/>
            <w:noWrap/>
            <w:vAlign w:val="center"/>
            <w:hideMark/>
          </w:tcPr>
          <w:p w14:paraId="43767E5D"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65,000</w:t>
            </w:r>
          </w:p>
        </w:tc>
        <w:tc>
          <w:tcPr>
            <w:tcW w:w="1362" w:type="dxa"/>
            <w:tcBorders>
              <w:top w:val="nil"/>
              <w:left w:val="nil"/>
              <w:bottom w:val="single" w:sz="4" w:space="0" w:color="auto"/>
              <w:right w:val="single" w:sz="4" w:space="0" w:color="auto"/>
            </w:tcBorders>
            <w:shd w:val="clear" w:color="auto" w:fill="auto"/>
            <w:noWrap/>
            <w:vAlign w:val="center"/>
            <w:hideMark/>
          </w:tcPr>
          <w:p w14:paraId="33DA932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32,500</w:t>
            </w:r>
          </w:p>
        </w:tc>
        <w:tc>
          <w:tcPr>
            <w:tcW w:w="1535" w:type="dxa"/>
            <w:tcBorders>
              <w:top w:val="nil"/>
              <w:left w:val="nil"/>
              <w:bottom w:val="single" w:sz="4" w:space="0" w:color="auto"/>
              <w:right w:val="single" w:sz="4" w:space="0" w:color="auto"/>
            </w:tcBorders>
            <w:shd w:val="clear" w:color="auto" w:fill="auto"/>
            <w:noWrap/>
            <w:vAlign w:val="center"/>
            <w:hideMark/>
          </w:tcPr>
          <w:p w14:paraId="634BD8B7"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32,500</w:t>
            </w:r>
          </w:p>
        </w:tc>
      </w:tr>
      <w:tr w:rsidR="00555DA6" w:rsidRPr="003D2176" w14:paraId="41FD1FE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89C34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1147ABD"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Development of immersed liquid cooling motherboard</w:t>
            </w:r>
          </w:p>
        </w:tc>
        <w:tc>
          <w:tcPr>
            <w:tcW w:w="1363" w:type="dxa"/>
            <w:tcBorders>
              <w:top w:val="nil"/>
              <w:left w:val="nil"/>
              <w:bottom w:val="single" w:sz="4" w:space="0" w:color="auto"/>
              <w:right w:val="single" w:sz="4" w:space="0" w:color="auto"/>
            </w:tcBorders>
            <w:shd w:val="clear" w:color="auto" w:fill="auto"/>
            <w:noWrap/>
            <w:vAlign w:val="center"/>
            <w:hideMark/>
          </w:tcPr>
          <w:p w14:paraId="69B5949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120,000</w:t>
            </w:r>
          </w:p>
        </w:tc>
        <w:tc>
          <w:tcPr>
            <w:tcW w:w="1362" w:type="dxa"/>
            <w:tcBorders>
              <w:top w:val="nil"/>
              <w:left w:val="nil"/>
              <w:bottom w:val="single" w:sz="4" w:space="0" w:color="auto"/>
              <w:right w:val="single" w:sz="4" w:space="0" w:color="auto"/>
            </w:tcBorders>
            <w:shd w:val="clear" w:color="auto" w:fill="auto"/>
            <w:noWrap/>
            <w:vAlign w:val="center"/>
            <w:hideMark/>
          </w:tcPr>
          <w:p w14:paraId="7612C00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60,000</w:t>
            </w:r>
          </w:p>
        </w:tc>
        <w:tc>
          <w:tcPr>
            <w:tcW w:w="1535" w:type="dxa"/>
            <w:tcBorders>
              <w:top w:val="nil"/>
              <w:left w:val="nil"/>
              <w:bottom w:val="single" w:sz="4" w:space="0" w:color="auto"/>
              <w:right w:val="single" w:sz="4" w:space="0" w:color="auto"/>
            </w:tcBorders>
            <w:shd w:val="clear" w:color="auto" w:fill="auto"/>
            <w:noWrap/>
            <w:vAlign w:val="center"/>
            <w:hideMark/>
          </w:tcPr>
          <w:p w14:paraId="485D651F"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60,000</w:t>
            </w:r>
          </w:p>
        </w:tc>
      </w:tr>
      <w:tr w:rsidR="00555DA6" w:rsidRPr="003D2176" w14:paraId="30A1D06D"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6BE430E"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C1F2AE7"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Development of immersed liquid control algorithm</w:t>
            </w:r>
          </w:p>
        </w:tc>
        <w:tc>
          <w:tcPr>
            <w:tcW w:w="1363" w:type="dxa"/>
            <w:tcBorders>
              <w:top w:val="nil"/>
              <w:left w:val="nil"/>
              <w:bottom w:val="single" w:sz="4" w:space="0" w:color="auto"/>
              <w:right w:val="single" w:sz="4" w:space="0" w:color="auto"/>
            </w:tcBorders>
            <w:shd w:val="clear" w:color="auto" w:fill="auto"/>
            <w:noWrap/>
            <w:vAlign w:val="center"/>
            <w:hideMark/>
          </w:tcPr>
          <w:p w14:paraId="02BDD05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195,000</w:t>
            </w:r>
          </w:p>
        </w:tc>
        <w:tc>
          <w:tcPr>
            <w:tcW w:w="1362" w:type="dxa"/>
            <w:tcBorders>
              <w:top w:val="nil"/>
              <w:left w:val="nil"/>
              <w:bottom w:val="single" w:sz="4" w:space="0" w:color="auto"/>
              <w:right w:val="single" w:sz="4" w:space="0" w:color="auto"/>
            </w:tcBorders>
            <w:shd w:val="clear" w:color="auto" w:fill="auto"/>
            <w:noWrap/>
            <w:vAlign w:val="center"/>
            <w:hideMark/>
          </w:tcPr>
          <w:p w14:paraId="46ED523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97,500</w:t>
            </w:r>
          </w:p>
        </w:tc>
        <w:tc>
          <w:tcPr>
            <w:tcW w:w="1535" w:type="dxa"/>
            <w:tcBorders>
              <w:top w:val="nil"/>
              <w:left w:val="nil"/>
              <w:bottom w:val="single" w:sz="4" w:space="0" w:color="auto"/>
              <w:right w:val="single" w:sz="4" w:space="0" w:color="auto"/>
            </w:tcBorders>
            <w:shd w:val="clear" w:color="auto" w:fill="auto"/>
            <w:noWrap/>
            <w:vAlign w:val="center"/>
            <w:hideMark/>
          </w:tcPr>
          <w:p w14:paraId="1978214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97,500</w:t>
            </w:r>
          </w:p>
        </w:tc>
      </w:tr>
      <w:tr w:rsidR="00555DA6" w:rsidRPr="003D2176" w14:paraId="6D3512E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AC5B67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DF50CE1"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Development of heat sink and server structure</w:t>
            </w:r>
          </w:p>
        </w:tc>
        <w:tc>
          <w:tcPr>
            <w:tcW w:w="1363" w:type="dxa"/>
            <w:tcBorders>
              <w:top w:val="nil"/>
              <w:left w:val="nil"/>
              <w:bottom w:val="single" w:sz="4" w:space="0" w:color="auto"/>
              <w:right w:val="single" w:sz="4" w:space="0" w:color="auto"/>
            </w:tcBorders>
            <w:shd w:val="clear" w:color="auto" w:fill="auto"/>
            <w:noWrap/>
            <w:vAlign w:val="center"/>
            <w:hideMark/>
          </w:tcPr>
          <w:p w14:paraId="5CFBE8E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150,000</w:t>
            </w:r>
          </w:p>
        </w:tc>
        <w:tc>
          <w:tcPr>
            <w:tcW w:w="1362" w:type="dxa"/>
            <w:tcBorders>
              <w:top w:val="nil"/>
              <w:left w:val="nil"/>
              <w:bottom w:val="single" w:sz="4" w:space="0" w:color="auto"/>
              <w:right w:val="single" w:sz="4" w:space="0" w:color="auto"/>
            </w:tcBorders>
            <w:shd w:val="clear" w:color="auto" w:fill="auto"/>
            <w:noWrap/>
            <w:vAlign w:val="center"/>
            <w:hideMark/>
          </w:tcPr>
          <w:p w14:paraId="4723E07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75,000</w:t>
            </w:r>
          </w:p>
        </w:tc>
        <w:tc>
          <w:tcPr>
            <w:tcW w:w="1535" w:type="dxa"/>
            <w:tcBorders>
              <w:top w:val="nil"/>
              <w:left w:val="nil"/>
              <w:bottom w:val="single" w:sz="4" w:space="0" w:color="auto"/>
              <w:right w:val="single" w:sz="4" w:space="0" w:color="auto"/>
            </w:tcBorders>
            <w:shd w:val="clear" w:color="auto" w:fill="auto"/>
            <w:noWrap/>
            <w:vAlign w:val="center"/>
            <w:hideMark/>
          </w:tcPr>
          <w:p w14:paraId="4666B4D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75,000</w:t>
            </w:r>
          </w:p>
        </w:tc>
      </w:tr>
      <w:tr w:rsidR="00555DA6" w:rsidRPr="003D2176" w14:paraId="59F29638"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823A7A6"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7AE362E5"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Design of liquid cooling tank</w:t>
            </w:r>
          </w:p>
        </w:tc>
        <w:tc>
          <w:tcPr>
            <w:tcW w:w="1363" w:type="dxa"/>
            <w:tcBorders>
              <w:top w:val="nil"/>
              <w:left w:val="nil"/>
              <w:bottom w:val="single" w:sz="4" w:space="0" w:color="auto"/>
              <w:right w:val="single" w:sz="4" w:space="0" w:color="auto"/>
            </w:tcBorders>
            <w:shd w:val="clear" w:color="auto" w:fill="auto"/>
            <w:noWrap/>
            <w:vAlign w:val="center"/>
            <w:hideMark/>
          </w:tcPr>
          <w:p w14:paraId="0055D1FF"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55,000</w:t>
            </w:r>
          </w:p>
        </w:tc>
        <w:tc>
          <w:tcPr>
            <w:tcW w:w="1362" w:type="dxa"/>
            <w:tcBorders>
              <w:top w:val="nil"/>
              <w:left w:val="nil"/>
              <w:bottom w:val="single" w:sz="4" w:space="0" w:color="auto"/>
              <w:right w:val="single" w:sz="4" w:space="0" w:color="auto"/>
            </w:tcBorders>
            <w:shd w:val="clear" w:color="auto" w:fill="auto"/>
            <w:noWrap/>
            <w:vAlign w:val="center"/>
            <w:hideMark/>
          </w:tcPr>
          <w:p w14:paraId="7765DF3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27,500</w:t>
            </w:r>
          </w:p>
        </w:tc>
        <w:tc>
          <w:tcPr>
            <w:tcW w:w="1535" w:type="dxa"/>
            <w:tcBorders>
              <w:top w:val="nil"/>
              <w:left w:val="nil"/>
              <w:bottom w:val="single" w:sz="4" w:space="0" w:color="auto"/>
              <w:right w:val="single" w:sz="4" w:space="0" w:color="auto"/>
            </w:tcBorders>
            <w:shd w:val="clear" w:color="auto" w:fill="auto"/>
            <w:noWrap/>
            <w:vAlign w:val="center"/>
            <w:hideMark/>
          </w:tcPr>
          <w:p w14:paraId="1A30B73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27,500</w:t>
            </w:r>
          </w:p>
        </w:tc>
      </w:tr>
      <w:tr w:rsidR="00555DA6" w:rsidRPr="003D2176" w14:paraId="556D957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A79D43C"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ECFDF3C"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Design of coolant circulation</w:t>
            </w:r>
          </w:p>
        </w:tc>
        <w:tc>
          <w:tcPr>
            <w:tcW w:w="1363" w:type="dxa"/>
            <w:tcBorders>
              <w:top w:val="nil"/>
              <w:left w:val="nil"/>
              <w:bottom w:val="single" w:sz="4" w:space="0" w:color="auto"/>
              <w:right w:val="single" w:sz="4" w:space="0" w:color="auto"/>
            </w:tcBorders>
            <w:shd w:val="clear" w:color="auto" w:fill="auto"/>
            <w:noWrap/>
            <w:vAlign w:val="center"/>
            <w:hideMark/>
          </w:tcPr>
          <w:p w14:paraId="47B3C7A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20,000</w:t>
            </w:r>
          </w:p>
        </w:tc>
        <w:tc>
          <w:tcPr>
            <w:tcW w:w="1362" w:type="dxa"/>
            <w:tcBorders>
              <w:top w:val="nil"/>
              <w:left w:val="nil"/>
              <w:bottom w:val="single" w:sz="4" w:space="0" w:color="auto"/>
              <w:right w:val="single" w:sz="4" w:space="0" w:color="auto"/>
            </w:tcBorders>
            <w:shd w:val="clear" w:color="auto" w:fill="auto"/>
            <w:noWrap/>
            <w:vAlign w:val="center"/>
            <w:hideMark/>
          </w:tcPr>
          <w:p w14:paraId="5700319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10,000</w:t>
            </w:r>
          </w:p>
        </w:tc>
        <w:tc>
          <w:tcPr>
            <w:tcW w:w="1535" w:type="dxa"/>
            <w:tcBorders>
              <w:top w:val="nil"/>
              <w:left w:val="nil"/>
              <w:bottom w:val="single" w:sz="4" w:space="0" w:color="auto"/>
              <w:right w:val="single" w:sz="4" w:space="0" w:color="auto"/>
            </w:tcBorders>
            <w:shd w:val="clear" w:color="auto" w:fill="auto"/>
            <w:noWrap/>
            <w:vAlign w:val="center"/>
            <w:hideMark/>
          </w:tcPr>
          <w:p w14:paraId="3D7BE78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10,000</w:t>
            </w:r>
          </w:p>
        </w:tc>
      </w:tr>
      <w:tr w:rsidR="00555DA6" w:rsidRPr="003D2176" w14:paraId="34C8CA23"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80C8A6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4426F294"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Design of waste heat recovery</w:t>
            </w:r>
          </w:p>
        </w:tc>
        <w:tc>
          <w:tcPr>
            <w:tcW w:w="1363" w:type="dxa"/>
            <w:tcBorders>
              <w:top w:val="nil"/>
              <w:left w:val="nil"/>
              <w:bottom w:val="single" w:sz="4" w:space="0" w:color="auto"/>
              <w:right w:val="single" w:sz="4" w:space="0" w:color="auto"/>
            </w:tcBorders>
            <w:shd w:val="clear" w:color="auto" w:fill="auto"/>
            <w:noWrap/>
            <w:vAlign w:val="center"/>
            <w:hideMark/>
          </w:tcPr>
          <w:p w14:paraId="2534EB1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70,000</w:t>
            </w:r>
          </w:p>
        </w:tc>
        <w:tc>
          <w:tcPr>
            <w:tcW w:w="1362" w:type="dxa"/>
            <w:tcBorders>
              <w:top w:val="nil"/>
              <w:left w:val="nil"/>
              <w:bottom w:val="single" w:sz="4" w:space="0" w:color="auto"/>
              <w:right w:val="single" w:sz="4" w:space="0" w:color="auto"/>
            </w:tcBorders>
            <w:shd w:val="clear" w:color="auto" w:fill="auto"/>
            <w:noWrap/>
            <w:vAlign w:val="center"/>
            <w:hideMark/>
          </w:tcPr>
          <w:p w14:paraId="7A2B843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35,000</w:t>
            </w:r>
          </w:p>
        </w:tc>
        <w:tc>
          <w:tcPr>
            <w:tcW w:w="1535" w:type="dxa"/>
            <w:tcBorders>
              <w:top w:val="nil"/>
              <w:left w:val="nil"/>
              <w:bottom w:val="single" w:sz="4" w:space="0" w:color="auto"/>
              <w:right w:val="single" w:sz="4" w:space="0" w:color="auto"/>
            </w:tcBorders>
            <w:shd w:val="clear" w:color="auto" w:fill="auto"/>
            <w:noWrap/>
            <w:vAlign w:val="center"/>
            <w:hideMark/>
          </w:tcPr>
          <w:p w14:paraId="727CB21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35,000</w:t>
            </w:r>
          </w:p>
        </w:tc>
      </w:tr>
      <w:tr w:rsidR="00555DA6" w:rsidRPr="003D2176" w14:paraId="70329B49"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FF79F5"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04F66C4C"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 xml:space="preserve">Development of infrastructure management platform software </w:t>
            </w:r>
          </w:p>
        </w:tc>
        <w:tc>
          <w:tcPr>
            <w:tcW w:w="1363" w:type="dxa"/>
            <w:tcBorders>
              <w:top w:val="nil"/>
              <w:left w:val="nil"/>
              <w:bottom w:val="single" w:sz="4" w:space="0" w:color="auto"/>
              <w:right w:val="single" w:sz="4" w:space="0" w:color="auto"/>
            </w:tcBorders>
            <w:shd w:val="clear" w:color="auto" w:fill="auto"/>
            <w:noWrap/>
            <w:vAlign w:val="center"/>
            <w:hideMark/>
          </w:tcPr>
          <w:p w14:paraId="7CA54D3D"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88,500</w:t>
            </w:r>
          </w:p>
        </w:tc>
        <w:tc>
          <w:tcPr>
            <w:tcW w:w="1362" w:type="dxa"/>
            <w:tcBorders>
              <w:top w:val="nil"/>
              <w:left w:val="nil"/>
              <w:bottom w:val="single" w:sz="4" w:space="0" w:color="auto"/>
              <w:right w:val="single" w:sz="4" w:space="0" w:color="auto"/>
            </w:tcBorders>
            <w:shd w:val="clear" w:color="auto" w:fill="auto"/>
            <w:noWrap/>
            <w:vAlign w:val="center"/>
            <w:hideMark/>
          </w:tcPr>
          <w:p w14:paraId="6C910EC0"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44,250</w:t>
            </w:r>
          </w:p>
        </w:tc>
        <w:tc>
          <w:tcPr>
            <w:tcW w:w="1535" w:type="dxa"/>
            <w:tcBorders>
              <w:top w:val="nil"/>
              <w:left w:val="nil"/>
              <w:bottom w:val="single" w:sz="4" w:space="0" w:color="auto"/>
              <w:right w:val="single" w:sz="4" w:space="0" w:color="auto"/>
            </w:tcBorders>
            <w:shd w:val="clear" w:color="auto" w:fill="auto"/>
            <w:noWrap/>
            <w:vAlign w:val="center"/>
            <w:hideMark/>
          </w:tcPr>
          <w:p w14:paraId="13EFC3A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44,250</w:t>
            </w:r>
          </w:p>
        </w:tc>
      </w:tr>
      <w:tr w:rsidR="00555DA6" w:rsidRPr="003D2176" w14:paraId="17FD183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07C3EBF"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9800FB6"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Development of AI algorithm</w:t>
            </w:r>
          </w:p>
        </w:tc>
        <w:tc>
          <w:tcPr>
            <w:tcW w:w="1363" w:type="dxa"/>
            <w:tcBorders>
              <w:top w:val="nil"/>
              <w:left w:val="nil"/>
              <w:bottom w:val="single" w:sz="4" w:space="0" w:color="auto"/>
              <w:right w:val="single" w:sz="4" w:space="0" w:color="auto"/>
            </w:tcBorders>
            <w:shd w:val="clear" w:color="auto" w:fill="auto"/>
            <w:noWrap/>
            <w:vAlign w:val="center"/>
            <w:hideMark/>
          </w:tcPr>
          <w:p w14:paraId="60E7894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100,000</w:t>
            </w:r>
          </w:p>
        </w:tc>
        <w:tc>
          <w:tcPr>
            <w:tcW w:w="1362" w:type="dxa"/>
            <w:tcBorders>
              <w:top w:val="nil"/>
              <w:left w:val="nil"/>
              <w:bottom w:val="single" w:sz="4" w:space="0" w:color="auto"/>
              <w:right w:val="single" w:sz="4" w:space="0" w:color="auto"/>
            </w:tcBorders>
            <w:shd w:val="clear" w:color="auto" w:fill="auto"/>
            <w:noWrap/>
            <w:vAlign w:val="center"/>
            <w:hideMark/>
          </w:tcPr>
          <w:p w14:paraId="2D8AC35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50,000</w:t>
            </w:r>
          </w:p>
        </w:tc>
        <w:tc>
          <w:tcPr>
            <w:tcW w:w="1535" w:type="dxa"/>
            <w:tcBorders>
              <w:top w:val="nil"/>
              <w:left w:val="nil"/>
              <w:bottom w:val="single" w:sz="4" w:space="0" w:color="auto"/>
              <w:right w:val="single" w:sz="4" w:space="0" w:color="auto"/>
            </w:tcBorders>
            <w:shd w:val="clear" w:color="auto" w:fill="auto"/>
            <w:noWrap/>
            <w:vAlign w:val="center"/>
            <w:hideMark/>
          </w:tcPr>
          <w:p w14:paraId="3F75745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50,000</w:t>
            </w:r>
          </w:p>
        </w:tc>
      </w:tr>
      <w:tr w:rsidR="00555DA6" w:rsidRPr="003D2176" w14:paraId="01F784FB"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397551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FA936E4"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CFD software engineer</w:t>
            </w:r>
          </w:p>
        </w:tc>
        <w:tc>
          <w:tcPr>
            <w:tcW w:w="1363" w:type="dxa"/>
            <w:tcBorders>
              <w:top w:val="nil"/>
              <w:left w:val="nil"/>
              <w:bottom w:val="single" w:sz="4" w:space="0" w:color="auto"/>
              <w:right w:val="single" w:sz="4" w:space="0" w:color="auto"/>
            </w:tcBorders>
            <w:shd w:val="clear" w:color="auto" w:fill="auto"/>
            <w:noWrap/>
            <w:vAlign w:val="center"/>
            <w:hideMark/>
          </w:tcPr>
          <w:p w14:paraId="59AB9E3F"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80,000</w:t>
            </w:r>
          </w:p>
        </w:tc>
        <w:tc>
          <w:tcPr>
            <w:tcW w:w="1362" w:type="dxa"/>
            <w:tcBorders>
              <w:top w:val="nil"/>
              <w:left w:val="nil"/>
              <w:bottom w:val="single" w:sz="4" w:space="0" w:color="auto"/>
              <w:right w:val="single" w:sz="4" w:space="0" w:color="auto"/>
            </w:tcBorders>
            <w:shd w:val="clear" w:color="auto" w:fill="auto"/>
            <w:noWrap/>
            <w:vAlign w:val="center"/>
            <w:hideMark/>
          </w:tcPr>
          <w:p w14:paraId="27E2B36D"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40,000</w:t>
            </w:r>
          </w:p>
        </w:tc>
        <w:tc>
          <w:tcPr>
            <w:tcW w:w="1535" w:type="dxa"/>
            <w:tcBorders>
              <w:top w:val="nil"/>
              <w:left w:val="nil"/>
              <w:bottom w:val="single" w:sz="4" w:space="0" w:color="auto"/>
              <w:right w:val="single" w:sz="4" w:space="0" w:color="auto"/>
            </w:tcBorders>
            <w:shd w:val="clear" w:color="auto" w:fill="auto"/>
            <w:noWrap/>
            <w:vAlign w:val="center"/>
            <w:hideMark/>
          </w:tcPr>
          <w:p w14:paraId="3F0A1C9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40,000</w:t>
            </w:r>
          </w:p>
        </w:tc>
      </w:tr>
      <w:tr w:rsidR="00555DA6" w:rsidRPr="003D2176" w14:paraId="20F75860" w14:textId="77777777" w:rsidTr="00B007EC">
        <w:trPr>
          <w:trHeight w:val="252"/>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FB54689"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85FB5D6"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Design of overall data centre system</w:t>
            </w:r>
          </w:p>
        </w:tc>
        <w:tc>
          <w:tcPr>
            <w:tcW w:w="1363" w:type="dxa"/>
            <w:tcBorders>
              <w:top w:val="nil"/>
              <w:left w:val="nil"/>
              <w:bottom w:val="single" w:sz="4" w:space="0" w:color="auto"/>
              <w:right w:val="single" w:sz="4" w:space="0" w:color="auto"/>
            </w:tcBorders>
            <w:shd w:val="clear" w:color="auto" w:fill="auto"/>
            <w:noWrap/>
            <w:vAlign w:val="center"/>
            <w:hideMark/>
          </w:tcPr>
          <w:p w14:paraId="4ACFA8D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55,000</w:t>
            </w:r>
          </w:p>
        </w:tc>
        <w:tc>
          <w:tcPr>
            <w:tcW w:w="1362" w:type="dxa"/>
            <w:tcBorders>
              <w:top w:val="nil"/>
              <w:left w:val="nil"/>
              <w:bottom w:val="single" w:sz="4" w:space="0" w:color="auto"/>
              <w:right w:val="single" w:sz="4" w:space="0" w:color="auto"/>
            </w:tcBorders>
            <w:shd w:val="clear" w:color="auto" w:fill="auto"/>
            <w:noWrap/>
            <w:vAlign w:val="center"/>
            <w:hideMark/>
          </w:tcPr>
          <w:p w14:paraId="1B8CE84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38,500</w:t>
            </w:r>
          </w:p>
        </w:tc>
        <w:tc>
          <w:tcPr>
            <w:tcW w:w="1535" w:type="dxa"/>
            <w:tcBorders>
              <w:top w:val="nil"/>
              <w:left w:val="nil"/>
              <w:bottom w:val="single" w:sz="4" w:space="0" w:color="auto"/>
              <w:right w:val="single" w:sz="4" w:space="0" w:color="auto"/>
            </w:tcBorders>
            <w:shd w:val="clear" w:color="auto" w:fill="auto"/>
            <w:noWrap/>
            <w:vAlign w:val="center"/>
            <w:hideMark/>
          </w:tcPr>
          <w:p w14:paraId="07B7605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16,500</w:t>
            </w:r>
          </w:p>
        </w:tc>
      </w:tr>
      <w:tr w:rsidR="00555DA6" w:rsidRPr="003D2176" w14:paraId="7CEC243D"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0616E4"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Subtotal</w:t>
            </w:r>
          </w:p>
        </w:tc>
        <w:tc>
          <w:tcPr>
            <w:tcW w:w="1363" w:type="dxa"/>
            <w:tcBorders>
              <w:top w:val="nil"/>
              <w:left w:val="nil"/>
              <w:bottom w:val="single" w:sz="4" w:space="0" w:color="auto"/>
              <w:right w:val="single" w:sz="4" w:space="0" w:color="auto"/>
            </w:tcBorders>
            <w:shd w:val="clear" w:color="auto" w:fill="auto"/>
            <w:noWrap/>
            <w:vAlign w:val="center"/>
            <w:hideMark/>
          </w:tcPr>
          <w:p w14:paraId="20A915A0"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998,500</w:t>
            </w:r>
          </w:p>
        </w:tc>
        <w:tc>
          <w:tcPr>
            <w:tcW w:w="1362" w:type="dxa"/>
            <w:tcBorders>
              <w:top w:val="nil"/>
              <w:left w:val="nil"/>
              <w:bottom w:val="single" w:sz="4" w:space="0" w:color="auto"/>
              <w:right w:val="single" w:sz="4" w:space="0" w:color="auto"/>
            </w:tcBorders>
            <w:shd w:val="clear" w:color="auto" w:fill="auto"/>
            <w:noWrap/>
            <w:vAlign w:val="center"/>
            <w:hideMark/>
          </w:tcPr>
          <w:p w14:paraId="11AF6B14"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510,250</w:t>
            </w:r>
          </w:p>
        </w:tc>
        <w:tc>
          <w:tcPr>
            <w:tcW w:w="1535" w:type="dxa"/>
            <w:tcBorders>
              <w:top w:val="nil"/>
              <w:left w:val="nil"/>
              <w:bottom w:val="single" w:sz="4" w:space="0" w:color="auto"/>
              <w:right w:val="single" w:sz="4" w:space="0" w:color="auto"/>
            </w:tcBorders>
            <w:shd w:val="clear" w:color="auto" w:fill="auto"/>
            <w:noWrap/>
            <w:vAlign w:val="center"/>
            <w:hideMark/>
          </w:tcPr>
          <w:p w14:paraId="11AB8A7A" w14:textId="77777777" w:rsidR="00555DA6" w:rsidRPr="003D2176" w:rsidRDefault="00555DA6" w:rsidP="00B007EC">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488,250</w:t>
            </w:r>
          </w:p>
        </w:tc>
      </w:tr>
      <w:tr w:rsidR="00555DA6" w:rsidRPr="003D2176" w14:paraId="1D1A46C9"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3721AA" w14:textId="77777777" w:rsidR="00555DA6" w:rsidRPr="003D2176" w:rsidRDefault="00555DA6" w:rsidP="00B007EC">
            <w:pPr>
              <w:jc w:val="lef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Process and assembly</w:t>
            </w:r>
          </w:p>
        </w:tc>
        <w:tc>
          <w:tcPr>
            <w:tcW w:w="4225" w:type="dxa"/>
            <w:tcBorders>
              <w:top w:val="nil"/>
              <w:left w:val="nil"/>
              <w:bottom w:val="single" w:sz="4" w:space="0" w:color="auto"/>
              <w:right w:val="single" w:sz="4" w:space="0" w:color="auto"/>
            </w:tcBorders>
            <w:shd w:val="clear" w:color="auto" w:fill="auto"/>
            <w:noWrap/>
            <w:vAlign w:val="center"/>
            <w:hideMark/>
          </w:tcPr>
          <w:p w14:paraId="001320A6"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Glass for data centres</w:t>
            </w:r>
          </w:p>
        </w:tc>
        <w:tc>
          <w:tcPr>
            <w:tcW w:w="1363" w:type="dxa"/>
            <w:tcBorders>
              <w:top w:val="nil"/>
              <w:left w:val="nil"/>
              <w:bottom w:val="single" w:sz="4" w:space="0" w:color="auto"/>
              <w:right w:val="single" w:sz="4" w:space="0" w:color="auto"/>
            </w:tcBorders>
            <w:shd w:val="clear" w:color="auto" w:fill="auto"/>
            <w:noWrap/>
            <w:vAlign w:val="center"/>
            <w:hideMark/>
          </w:tcPr>
          <w:p w14:paraId="78D8220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59,040</w:t>
            </w:r>
          </w:p>
        </w:tc>
        <w:tc>
          <w:tcPr>
            <w:tcW w:w="1362" w:type="dxa"/>
            <w:tcBorders>
              <w:top w:val="nil"/>
              <w:left w:val="nil"/>
              <w:bottom w:val="single" w:sz="4" w:space="0" w:color="auto"/>
              <w:right w:val="single" w:sz="4" w:space="0" w:color="auto"/>
            </w:tcBorders>
            <w:shd w:val="clear" w:color="auto" w:fill="auto"/>
            <w:noWrap/>
            <w:vAlign w:val="center"/>
            <w:hideMark/>
          </w:tcPr>
          <w:p w14:paraId="169E0FF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59,040</w:t>
            </w:r>
          </w:p>
        </w:tc>
        <w:tc>
          <w:tcPr>
            <w:tcW w:w="1535" w:type="dxa"/>
            <w:tcBorders>
              <w:top w:val="nil"/>
              <w:left w:val="nil"/>
              <w:bottom w:val="single" w:sz="4" w:space="0" w:color="auto"/>
              <w:right w:val="single" w:sz="4" w:space="0" w:color="auto"/>
            </w:tcBorders>
            <w:shd w:val="clear" w:color="auto" w:fill="auto"/>
            <w:noWrap/>
            <w:vAlign w:val="center"/>
            <w:hideMark/>
          </w:tcPr>
          <w:p w14:paraId="48D7E28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1BBEAD97"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41A5C85"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25C2971"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Container production and assembly</w:t>
            </w:r>
          </w:p>
        </w:tc>
        <w:tc>
          <w:tcPr>
            <w:tcW w:w="1363" w:type="dxa"/>
            <w:tcBorders>
              <w:top w:val="nil"/>
              <w:left w:val="nil"/>
              <w:bottom w:val="single" w:sz="4" w:space="0" w:color="auto"/>
              <w:right w:val="single" w:sz="4" w:space="0" w:color="auto"/>
            </w:tcBorders>
            <w:shd w:val="clear" w:color="auto" w:fill="auto"/>
            <w:noWrap/>
            <w:vAlign w:val="center"/>
            <w:hideMark/>
          </w:tcPr>
          <w:p w14:paraId="34AEA6B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520,000</w:t>
            </w:r>
          </w:p>
        </w:tc>
        <w:tc>
          <w:tcPr>
            <w:tcW w:w="1362" w:type="dxa"/>
            <w:tcBorders>
              <w:top w:val="nil"/>
              <w:left w:val="nil"/>
              <w:bottom w:val="single" w:sz="4" w:space="0" w:color="auto"/>
              <w:right w:val="single" w:sz="4" w:space="0" w:color="auto"/>
            </w:tcBorders>
            <w:shd w:val="clear" w:color="auto" w:fill="auto"/>
            <w:noWrap/>
            <w:vAlign w:val="center"/>
            <w:hideMark/>
          </w:tcPr>
          <w:p w14:paraId="2B3DE1E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520,000</w:t>
            </w:r>
          </w:p>
        </w:tc>
        <w:tc>
          <w:tcPr>
            <w:tcW w:w="1535" w:type="dxa"/>
            <w:tcBorders>
              <w:top w:val="nil"/>
              <w:left w:val="nil"/>
              <w:bottom w:val="single" w:sz="4" w:space="0" w:color="auto"/>
              <w:right w:val="single" w:sz="4" w:space="0" w:color="auto"/>
            </w:tcBorders>
            <w:shd w:val="clear" w:color="auto" w:fill="auto"/>
            <w:noWrap/>
            <w:vAlign w:val="center"/>
            <w:hideMark/>
          </w:tcPr>
          <w:p w14:paraId="0010B36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0A610C8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D163E6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96557B3"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Liquid cooling cabinet</w:t>
            </w:r>
          </w:p>
        </w:tc>
        <w:tc>
          <w:tcPr>
            <w:tcW w:w="1363" w:type="dxa"/>
            <w:tcBorders>
              <w:top w:val="nil"/>
              <w:left w:val="nil"/>
              <w:bottom w:val="single" w:sz="4" w:space="0" w:color="auto"/>
              <w:right w:val="single" w:sz="4" w:space="0" w:color="auto"/>
            </w:tcBorders>
            <w:shd w:val="clear" w:color="auto" w:fill="auto"/>
            <w:noWrap/>
            <w:vAlign w:val="center"/>
            <w:hideMark/>
          </w:tcPr>
          <w:p w14:paraId="1FE25D2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1,285,000</w:t>
            </w:r>
          </w:p>
        </w:tc>
        <w:tc>
          <w:tcPr>
            <w:tcW w:w="1362" w:type="dxa"/>
            <w:tcBorders>
              <w:top w:val="nil"/>
              <w:left w:val="nil"/>
              <w:bottom w:val="single" w:sz="4" w:space="0" w:color="auto"/>
              <w:right w:val="single" w:sz="4" w:space="0" w:color="auto"/>
            </w:tcBorders>
            <w:shd w:val="clear" w:color="auto" w:fill="auto"/>
            <w:noWrap/>
            <w:vAlign w:val="center"/>
            <w:hideMark/>
          </w:tcPr>
          <w:p w14:paraId="4A1C3C97"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642,500</w:t>
            </w:r>
          </w:p>
        </w:tc>
        <w:tc>
          <w:tcPr>
            <w:tcW w:w="1535" w:type="dxa"/>
            <w:tcBorders>
              <w:top w:val="nil"/>
              <w:left w:val="nil"/>
              <w:bottom w:val="single" w:sz="4" w:space="0" w:color="auto"/>
              <w:right w:val="single" w:sz="4" w:space="0" w:color="auto"/>
            </w:tcBorders>
            <w:shd w:val="clear" w:color="auto" w:fill="auto"/>
            <w:noWrap/>
            <w:vAlign w:val="center"/>
            <w:hideMark/>
          </w:tcPr>
          <w:p w14:paraId="384D592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642,500</w:t>
            </w:r>
          </w:p>
        </w:tc>
      </w:tr>
      <w:tr w:rsidR="00555DA6" w:rsidRPr="003D2176" w14:paraId="4D281317"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82A39BC"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6F5BEF6"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Liquid cooling motherboard</w:t>
            </w:r>
          </w:p>
        </w:tc>
        <w:tc>
          <w:tcPr>
            <w:tcW w:w="1363" w:type="dxa"/>
            <w:tcBorders>
              <w:top w:val="nil"/>
              <w:left w:val="nil"/>
              <w:bottom w:val="single" w:sz="4" w:space="0" w:color="auto"/>
              <w:right w:val="single" w:sz="4" w:space="0" w:color="auto"/>
            </w:tcBorders>
            <w:shd w:val="clear" w:color="auto" w:fill="auto"/>
            <w:noWrap/>
            <w:vAlign w:val="center"/>
            <w:hideMark/>
          </w:tcPr>
          <w:p w14:paraId="6CAB98C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1,714,000</w:t>
            </w:r>
          </w:p>
        </w:tc>
        <w:tc>
          <w:tcPr>
            <w:tcW w:w="1362" w:type="dxa"/>
            <w:tcBorders>
              <w:top w:val="nil"/>
              <w:left w:val="nil"/>
              <w:bottom w:val="single" w:sz="4" w:space="0" w:color="auto"/>
              <w:right w:val="single" w:sz="4" w:space="0" w:color="auto"/>
            </w:tcBorders>
            <w:shd w:val="clear" w:color="auto" w:fill="auto"/>
            <w:noWrap/>
            <w:vAlign w:val="center"/>
            <w:hideMark/>
          </w:tcPr>
          <w:p w14:paraId="0E116AC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1,199,800</w:t>
            </w:r>
          </w:p>
        </w:tc>
        <w:tc>
          <w:tcPr>
            <w:tcW w:w="1535" w:type="dxa"/>
            <w:tcBorders>
              <w:top w:val="nil"/>
              <w:left w:val="nil"/>
              <w:bottom w:val="single" w:sz="4" w:space="0" w:color="auto"/>
              <w:right w:val="single" w:sz="4" w:space="0" w:color="auto"/>
            </w:tcBorders>
            <w:shd w:val="clear" w:color="auto" w:fill="auto"/>
            <w:noWrap/>
            <w:vAlign w:val="center"/>
            <w:hideMark/>
          </w:tcPr>
          <w:p w14:paraId="4D3A35A0"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514,200</w:t>
            </w:r>
          </w:p>
        </w:tc>
      </w:tr>
      <w:tr w:rsidR="00555DA6" w:rsidRPr="003D2176" w14:paraId="7912008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15713CA3"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430068B"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Liquid cooling shell of servers</w:t>
            </w:r>
          </w:p>
        </w:tc>
        <w:tc>
          <w:tcPr>
            <w:tcW w:w="1363" w:type="dxa"/>
            <w:tcBorders>
              <w:top w:val="nil"/>
              <w:left w:val="nil"/>
              <w:bottom w:val="single" w:sz="4" w:space="0" w:color="auto"/>
              <w:right w:val="single" w:sz="4" w:space="0" w:color="auto"/>
            </w:tcBorders>
            <w:shd w:val="clear" w:color="auto" w:fill="auto"/>
            <w:noWrap/>
            <w:vAlign w:val="center"/>
            <w:hideMark/>
          </w:tcPr>
          <w:p w14:paraId="3177C75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342,800</w:t>
            </w:r>
          </w:p>
        </w:tc>
        <w:tc>
          <w:tcPr>
            <w:tcW w:w="1362" w:type="dxa"/>
            <w:tcBorders>
              <w:top w:val="nil"/>
              <w:left w:val="nil"/>
              <w:bottom w:val="single" w:sz="4" w:space="0" w:color="auto"/>
              <w:right w:val="single" w:sz="4" w:space="0" w:color="auto"/>
            </w:tcBorders>
            <w:shd w:val="clear" w:color="auto" w:fill="auto"/>
            <w:noWrap/>
            <w:vAlign w:val="center"/>
            <w:hideMark/>
          </w:tcPr>
          <w:p w14:paraId="5B27C520"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171,400</w:t>
            </w:r>
          </w:p>
        </w:tc>
        <w:tc>
          <w:tcPr>
            <w:tcW w:w="1535" w:type="dxa"/>
            <w:tcBorders>
              <w:top w:val="nil"/>
              <w:left w:val="nil"/>
              <w:bottom w:val="single" w:sz="4" w:space="0" w:color="auto"/>
              <w:right w:val="single" w:sz="4" w:space="0" w:color="auto"/>
            </w:tcBorders>
            <w:shd w:val="clear" w:color="auto" w:fill="auto"/>
            <w:noWrap/>
            <w:vAlign w:val="center"/>
            <w:hideMark/>
          </w:tcPr>
          <w:p w14:paraId="1FC2390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171,400</w:t>
            </w:r>
          </w:p>
        </w:tc>
      </w:tr>
      <w:tr w:rsidR="00555DA6" w:rsidRPr="003D2176" w14:paraId="2CE32CE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2AA3B97"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7BCEAE5"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Liquid cooling special package components</w:t>
            </w:r>
          </w:p>
        </w:tc>
        <w:tc>
          <w:tcPr>
            <w:tcW w:w="1363" w:type="dxa"/>
            <w:tcBorders>
              <w:top w:val="nil"/>
              <w:left w:val="nil"/>
              <w:bottom w:val="single" w:sz="4" w:space="0" w:color="auto"/>
              <w:right w:val="single" w:sz="4" w:space="0" w:color="auto"/>
            </w:tcBorders>
            <w:shd w:val="clear" w:color="auto" w:fill="auto"/>
            <w:noWrap/>
            <w:vAlign w:val="center"/>
            <w:hideMark/>
          </w:tcPr>
          <w:p w14:paraId="458C214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342,000</w:t>
            </w:r>
          </w:p>
        </w:tc>
        <w:tc>
          <w:tcPr>
            <w:tcW w:w="1362" w:type="dxa"/>
            <w:tcBorders>
              <w:top w:val="nil"/>
              <w:left w:val="nil"/>
              <w:bottom w:val="single" w:sz="4" w:space="0" w:color="auto"/>
              <w:right w:val="single" w:sz="4" w:space="0" w:color="auto"/>
            </w:tcBorders>
            <w:shd w:val="clear" w:color="auto" w:fill="auto"/>
            <w:noWrap/>
            <w:vAlign w:val="center"/>
            <w:hideMark/>
          </w:tcPr>
          <w:p w14:paraId="2BE511E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171,000</w:t>
            </w:r>
          </w:p>
        </w:tc>
        <w:tc>
          <w:tcPr>
            <w:tcW w:w="1535" w:type="dxa"/>
            <w:tcBorders>
              <w:top w:val="nil"/>
              <w:left w:val="nil"/>
              <w:bottom w:val="single" w:sz="4" w:space="0" w:color="auto"/>
              <w:right w:val="single" w:sz="4" w:space="0" w:color="auto"/>
            </w:tcBorders>
            <w:shd w:val="clear" w:color="auto" w:fill="auto"/>
            <w:noWrap/>
            <w:vAlign w:val="center"/>
            <w:hideMark/>
          </w:tcPr>
          <w:p w14:paraId="0DEBDF5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171,000</w:t>
            </w:r>
          </w:p>
        </w:tc>
      </w:tr>
      <w:tr w:rsidR="00555DA6" w:rsidRPr="003D2176" w14:paraId="5DD8AAF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23F354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DEC7D19"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Chip module</w:t>
            </w:r>
          </w:p>
        </w:tc>
        <w:tc>
          <w:tcPr>
            <w:tcW w:w="1363" w:type="dxa"/>
            <w:tcBorders>
              <w:top w:val="nil"/>
              <w:left w:val="nil"/>
              <w:bottom w:val="single" w:sz="4" w:space="0" w:color="auto"/>
              <w:right w:val="single" w:sz="4" w:space="0" w:color="auto"/>
            </w:tcBorders>
            <w:shd w:val="clear" w:color="auto" w:fill="auto"/>
            <w:noWrap/>
            <w:vAlign w:val="center"/>
            <w:hideMark/>
          </w:tcPr>
          <w:p w14:paraId="248815C7"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24,000,000</w:t>
            </w:r>
          </w:p>
        </w:tc>
        <w:tc>
          <w:tcPr>
            <w:tcW w:w="1362" w:type="dxa"/>
            <w:tcBorders>
              <w:top w:val="nil"/>
              <w:left w:val="nil"/>
              <w:bottom w:val="single" w:sz="4" w:space="0" w:color="auto"/>
              <w:right w:val="single" w:sz="4" w:space="0" w:color="auto"/>
            </w:tcBorders>
            <w:shd w:val="clear" w:color="auto" w:fill="auto"/>
            <w:noWrap/>
            <w:vAlign w:val="center"/>
            <w:hideMark/>
          </w:tcPr>
          <w:p w14:paraId="13B84A2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24,000,000</w:t>
            </w:r>
          </w:p>
        </w:tc>
        <w:tc>
          <w:tcPr>
            <w:tcW w:w="1535" w:type="dxa"/>
            <w:tcBorders>
              <w:top w:val="nil"/>
              <w:left w:val="nil"/>
              <w:bottom w:val="single" w:sz="4" w:space="0" w:color="auto"/>
              <w:right w:val="single" w:sz="4" w:space="0" w:color="auto"/>
            </w:tcBorders>
            <w:shd w:val="clear" w:color="auto" w:fill="auto"/>
            <w:noWrap/>
            <w:vAlign w:val="center"/>
            <w:hideMark/>
          </w:tcPr>
          <w:p w14:paraId="2000E83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76560EE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C22C527"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CF24EB2"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Memory,</w:t>
            </w:r>
            <w:r w:rsidRPr="003D2176">
              <w:rPr>
                <w:rFonts w:asciiTheme="majorBidi" w:eastAsia="SimSun" w:hAnsiTheme="majorBidi" w:cstheme="majorBidi"/>
                <w:color w:val="000000"/>
                <w:sz w:val="20"/>
                <w:szCs w:val="20"/>
                <w:lang w:eastAsia="zh-CN"/>
              </w:rPr>
              <w:t xml:space="preserve"> </w:t>
            </w:r>
            <w:r w:rsidRPr="003D2176">
              <w:rPr>
                <w:rFonts w:asciiTheme="majorBidi" w:eastAsia="DengXian" w:hAnsiTheme="majorBidi" w:cstheme="majorBidi"/>
                <w:color w:val="000000"/>
                <w:sz w:val="20"/>
                <w:szCs w:val="20"/>
                <w:lang w:eastAsia="zh-CN"/>
              </w:rPr>
              <w:t>CPU</w:t>
            </w:r>
            <w:r w:rsidRPr="003D2176">
              <w:rPr>
                <w:rFonts w:asciiTheme="majorBidi" w:eastAsia="SimSun" w:hAnsiTheme="majorBidi" w:cstheme="majorBidi"/>
                <w:color w:val="000000"/>
                <w:sz w:val="20"/>
                <w:szCs w:val="20"/>
                <w:lang w:eastAsia="zh-CN"/>
              </w:rPr>
              <w:t xml:space="preserve">, </w:t>
            </w:r>
            <w:r w:rsidRPr="003D2176">
              <w:rPr>
                <w:rFonts w:asciiTheme="majorBidi" w:eastAsia="DengXian" w:hAnsiTheme="majorBidi" w:cstheme="majorBidi"/>
                <w:color w:val="000000"/>
                <w:sz w:val="20"/>
                <w:szCs w:val="20"/>
                <w:lang w:eastAsia="zh-CN"/>
              </w:rPr>
              <w:t>network card</w:t>
            </w:r>
          </w:p>
        </w:tc>
        <w:tc>
          <w:tcPr>
            <w:tcW w:w="1363" w:type="dxa"/>
            <w:tcBorders>
              <w:top w:val="nil"/>
              <w:left w:val="nil"/>
              <w:bottom w:val="single" w:sz="4" w:space="0" w:color="auto"/>
              <w:right w:val="single" w:sz="4" w:space="0" w:color="auto"/>
            </w:tcBorders>
            <w:shd w:val="clear" w:color="auto" w:fill="auto"/>
            <w:noWrap/>
            <w:vAlign w:val="center"/>
            <w:hideMark/>
          </w:tcPr>
          <w:p w14:paraId="36C1E13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1,650,000</w:t>
            </w:r>
          </w:p>
        </w:tc>
        <w:tc>
          <w:tcPr>
            <w:tcW w:w="1362" w:type="dxa"/>
            <w:tcBorders>
              <w:top w:val="nil"/>
              <w:left w:val="nil"/>
              <w:bottom w:val="single" w:sz="4" w:space="0" w:color="auto"/>
              <w:right w:val="single" w:sz="4" w:space="0" w:color="auto"/>
            </w:tcBorders>
            <w:shd w:val="clear" w:color="auto" w:fill="auto"/>
            <w:noWrap/>
            <w:vAlign w:val="center"/>
            <w:hideMark/>
          </w:tcPr>
          <w:p w14:paraId="46EA2A6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1,650,000</w:t>
            </w:r>
          </w:p>
        </w:tc>
        <w:tc>
          <w:tcPr>
            <w:tcW w:w="1535" w:type="dxa"/>
            <w:tcBorders>
              <w:top w:val="nil"/>
              <w:left w:val="nil"/>
              <w:bottom w:val="single" w:sz="4" w:space="0" w:color="auto"/>
              <w:right w:val="single" w:sz="4" w:space="0" w:color="auto"/>
            </w:tcBorders>
            <w:shd w:val="clear" w:color="auto" w:fill="auto"/>
            <w:noWrap/>
            <w:vAlign w:val="center"/>
            <w:hideMark/>
          </w:tcPr>
          <w:p w14:paraId="2068FA46"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7957985A"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E863B42"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E9C4BAF"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Coolant</w:t>
            </w:r>
          </w:p>
        </w:tc>
        <w:tc>
          <w:tcPr>
            <w:tcW w:w="1363" w:type="dxa"/>
            <w:tcBorders>
              <w:top w:val="nil"/>
              <w:left w:val="nil"/>
              <w:bottom w:val="single" w:sz="4" w:space="0" w:color="auto"/>
              <w:right w:val="single" w:sz="4" w:space="0" w:color="auto"/>
            </w:tcBorders>
            <w:shd w:val="clear" w:color="auto" w:fill="auto"/>
            <w:noWrap/>
            <w:vAlign w:val="center"/>
            <w:hideMark/>
          </w:tcPr>
          <w:p w14:paraId="2D106A5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857,000</w:t>
            </w:r>
          </w:p>
        </w:tc>
        <w:tc>
          <w:tcPr>
            <w:tcW w:w="1362" w:type="dxa"/>
            <w:tcBorders>
              <w:top w:val="nil"/>
              <w:left w:val="nil"/>
              <w:bottom w:val="single" w:sz="4" w:space="0" w:color="auto"/>
              <w:right w:val="single" w:sz="4" w:space="0" w:color="auto"/>
            </w:tcBorders>
            <w:shd w:val="clear" w:color="auto" w:fill="auto"/>
            <w:noWrap/>
            <w:vAlign w:val="center"/>
            <w:hideMark/>
          </w:tcPr>
          <w:p w14:paraId="69CB74E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728,500</w:t>
            </w:r>
          </w:p>
        </w:tc>
        <w:tc>
          <w:tcPr>
            <w:tcW w:w="1535" w:type="dxa"/>
            <w:tcBorders>
              <w:top w:val="nil"/>
              <w:left w:val="nil"/>
              <w:bottom w:val="single" w:sz="4" w:space="0" w:color="auto"/>
              <w:right w:val="single" w:sz="4" w:space="0" w:color="auto"/>
            </w:tcBorders>
            <w:shd w:val="clear" w:color="auto" w:fill="auto"/>
            <w:noWrap/>
            <w:vAlign w:val="center"/>
            <w:hideMark/>
          </w:tcPr>
          <w:p w14:paraId="3D51773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128,500</w:t>
            </w:r>
          </w:p>
        </w:tc>
      </w:tr>
      <w:tr w:rsidR="00555DA6" w:rsidRPr="003D2176" w14:paraId="103BDCB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307C9BF3"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37777871"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Intelligent computing centre infrastructure management platform deployment and commissioning</w:t>
            </w:r>
          </w:p>
        </w:tc>
        <w:tc>
          <w:tcPr>
            <w:tcW w:w="1363" w:type="dxa"/>
            <w:tcBorders>
              <w:top w:val="nil"/>
              <w:left w:val="nil"/>
              <w:bottom w:val="single" w:sz="4" w:space="0" w:color="auto"/>
              <w:right w:val="single" w:sz="4" w:space="0" w:color="auto"/>
            </w:tcBorders>
            <w:shd w:val="clear" w:color="auto" w:fill="auto"/>
            <w:noWrap/>
            <w:vAlign w:val="center"/>
            <w:hideMark/>
          </w:tcPr>
          <w:p w14:paraId="7D54659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142,500</w:t>
            </w:r>
          </w:p>
        </w:tc>
        <w:tc>
          <w:tcPr>
            <w:tcW w:w="1362" w:type="dxa"/>
            <w:tcBorders>
              <w:top w:val="nil"/>
              <w:left w:val="nil"/>
              <w:bottom w:val="single" w:sz="4" w:space="0" w:color="auto"/>
              <w:right w:val="single" w:sz="4" w:space="0" w:color="auto"/>
            </w:tcBorders>
            <w:shd w:val="clear" w:color="auto" w:fill="auto"/>
            <w:noWrap/>
            <w:vAlign w:val="center"/>
            <w:hideMark/>
          </w:tcPr>
          <w:p w14:paraId="29CAF45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99,750</w:t>
            </w:r>
          </w:p>
        </w:tc>
        <w:tc>
          <w:tcPr>
            <w:tcW w:w="1535" w:type="dxa"/>
            <w:tcBorders>
              <w:top w:val="nil"/>
              <w:left w:val="nil"/>
              <w:bottom w:val="single" w:sz="4" w:space="0" w:color="auto"/>
              <w:right w:val="single" w:sz="4" w:space="0" w:color="auto"/>
            </w:tcBorders>
            <w:shd w:val="clear" w:color="auto" w:fill="auto"/>
            <w:noWrap/>
            <w:vAlign w:val="center"/>
            <w:hideMark/>
          </w:tcPr>
          <w:p w14:paraId="6A0D031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42,750</w:t>
            </w:r>
          </w:p>
        </w:tc>
      </w:tr>
      <w:tr w:rsidR="00555DA6" w:rsidRPr="003D2176" w14:paraId="1F126CC5"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38E8EF9"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6F0FDF64"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AI self-tuning platform</w:t>
            </w:r>
          </w:p>
        </w:tc>
        <w:tc>
          <w:tcPr>
            <w:tcW w:w="1363" w:type="dxa"/>
            <w:tcBorders>
              <w:top w:val="nil"/>
              <w:left w:val="nil"/>
              <w:bottom w:val="single" w:sz="4" w:space="0" w:color="auto"/>
              <w:right w:val="single" w:sz="4" w:space="0" w:color="auto"/>
            </w:tcBorders>
            <w:shd w:val="clear" w:color="auto" w:fill="auto"/>
            <w:noWrap/>
            <w:vAlign w:val="center"/>
            <w:hideMark/>
          </w:tcPr>
          <w:p w14:paraId="4EF9DF9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66,000</w:t>
            </w:r>
          </w:p>
        </w:tc>
        <w:tc>
          <w:tcPr>
            <w:tcW w:w="1362" w:type="dxa"/>
            <w:tcBorders>
              <w:top w:val="nil"/>
              <w:left w:val="nil"/>
              <w:bottom w:val="single" w:sz="4" w:space="0" w:color="auto"/>
              <w:right w:val="single" w:sz="4" w:space="0" w:color="auto"/>
            </w:tcBorders>
            <w:shd w:val="clear" w:color="auto" w:fill="auto"/>
            <w:noWrap/>
            <w:vAlign w:val="center"/>
            <w:hideMark/>
          </w:tcPr>
          <w:p w14:paraId="63044D3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46,200</w:t>
            </w:r>
          </w:p>
        </w:tc>
        <w:tc>
          <w:tcPr>
            <w:tcW w:w="1535" w:type="dxa"/>
            <w:tcBorders>
              <w:top w:val="nil"/>
              <w:left w:val="nil"/>
              <w:bottom w:val="single" w:sz="4" w:space="0" w:color="auto"/>
              <w:right w:val="single" w:sz="4" w:space="0" w:color="auto"/>
            </w:tcBorders>
            <w:shd w:val="clear" w:color="auto" w:fill="auto"/>
            <w:noWrap/>
            <w:vAlign w:val="center"/>
            <w:hideMark/>
          </w:tcPr>
          <w:p w14:paraId="3714411B"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19,800</w:t>
            </w:r>
          </w:p>
        </w:tc>
      </w:tr>
      <w:tr w:rsidR="00555DA6" w:rsidRPr="003D2176" w14:paraId="035B7D5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0E391BE"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55AE723"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Hydrodynamic module</w:t>
            </w:r>
          </w:p>
        </w:tc>
        <w:tc>
          <w:tcPr>
            <w:tcW w:w="1363" w:type="dxa"/>
            <w:tcBorders>
              <w:top w:val="nil"/>
              <w:left w:val="nil"/>
              <w:bottom w:val="single" w:sz="4" w:space="0" w:color="auto"/>
              <w:right w:val="single" w:sz="4" w:space="0" w:color="auto"/>
            </w:tcBorders>
            <w:shd w:val="clear" w:color="auto" w:fill="auto"/>
            <w:noWrap/>
            <w:vAlign w:val="center"/>
            <w:hideMark/>
          </w:tcPr>
          <w:p w14:paraId="1B61FDA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250,000</w:t>
            </w:r>
          </w:p>
        </w:tc>
        <w:tc>
          <w:tcPr>
            <w:tcW w:w="1362" w:type="dxa"/>
            <w:tcBorders>
              <w:top w:val="nil"/>
              <w:left w:val="nil"/>
              <w:bottom w:val="single" w:sz="4" w:space="0" w:color="auto"/>
              <w:right w:val="single" w:sz="4" w:space="0" w:color="auto"/>
            </w:tcBorders>
            <w:shd w:val="clear" w:color="auto" w:fill="auto"/>
            <w:noWrap/>
            <w:vAlign w:val="center"/>
            <w:hideMark/>
          </w:tcPr>
          <w:p w14:paraId="194C1A7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250,000</w:t>
            </w:r>
          </w:p>
        </w:tc>
        <w:tc>
          <w:tcPr>
            <w:tcW w:w="1535" w:type="dxa"/>
            <w:tcBorders>
              <w:top w:val="nil"/>
              <w:left w:val="nil"/>
              <w:bottom w:val="single" w:sz="4" w:space="0" w:color="auto"/>
              <w:right w:val="single" w:sz="4" w:space="0" w:color="auto"/>
            </w:tcBorders>
            <w:shd w:val="clear" w:color="auto" w:fill="auto"/>
            <w:noWrap/>
            <w:vAlign w:val="center"/>
            <w:hideMark/>
          </w:tcPr>
          <w:p w14:paraId="17A0800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1DDC52F5"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7E4E17A"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52AAE1DB"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Dry cooler</w:t>
            </w:r>
          </w:p>
        </w:tc>
        <w:tc>
          <w:tcPr>
            <w:tcW w:w="1363" w:type="dxa"/>
            <w:tcBorders>
              <w:top w:val="nil"/>
              <w:left w:val="nil"/>
              <w:bottom w:val="single" w:sz="4" w:space="0" w:color="auto"/>
              <w:right w:val="single" w:sz="4" w:space="0" w:color="auto"/>
            </w:tcBorders>
            <w:shd w:val="clear" w:color="auto" w:fill="auto"/>
            <w:noWrap/>
            <w:vAlign w:val="center"/>
            <w:hideMark/>
          </w:tcPr>
          <w:p w14:paraId="00A774EA"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500,850</w:t>
            </w:r>
          </w:p>
        </w:tc>
        <w:tc>
          <w:tcPr>
            <w:tcW w:w="1362" w:type="dxa"/>
            <w:tcBorders>
              <w:top w:val="nil"/>
              <w:left w:val="nil"/>
              <w:bottom w:val="single" w:sz="4" w:space="0" w:color="auto"/>
              <w:right w:val="single" w:sz="4" w:space="0" w:color="auto"/>
            </w:tcBorders>
            <w:shd w:val="clear" w:color="auto" w:fill="auto"/>
            <w:noWrap/>
            <w:vAlign w:val="center"/>
            <w:hideMark/>
          </w:tcPr>
          <w:p w14:paraId="333CED2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500,850</w:t>
            </w:r>
          </w:p>
        </w:tc>
        <w:tc>
          <w:tcPr>
            <w:tcW w:w="1535" w:type="dxa"/>
            <w:tcBorders>
              <w:top w:val="nil"/>
              <w:left w:val="nil"/>
              <w:bottom w:val="single" w:sz="4" w:space="0" w:color="auto"/>
              <w:right w:val="single" w:sz="4" w:space="0" w:color="auto"/>
            </w:tcBorders>
            <w:shd w:val="clear" w:color="auto" w:fill="auto"/>
            <w:noWrap/>
            <w:vAlign w:val="center"/>
            <w:hideMark/>
          </w:tcPr>
          <w:p w14:paraId="4361E6B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3A41B20A"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8674EC8"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E4616F7"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Uninterrupted hybrid power supply system (mixed power supply system)</w:t>
            </w:r>
          </w:p>
        </w:tc>
        <w:tc>
          <w:tcPr>
            <w:tcW w:w="1363" w:type="dxa"/>
            <w:tcBorders>
              <w:top w:val="nil"/>
              <w:left w:val="nil"/>
              <w:bottom w:val="single" w:sz="4" w:space="0" w:color="auto"/>
              <w:right w:val="single" w:sz="4" w:space="0" w:color="auto"/>
            </w:tcBorders>
            <w:shd w:val="clear" w:color="auto" w:fill="auto"/>
            <w:noWrap/>
            <w:vAlign w:val="center"/>
            <w:hideMark/>
          </w:tcPr>
          <w:p w14:paraId="01EBC01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1,141,800</w:t>
            </w:r>
          </w:p>
        </w:tc>
        <w:tc>
          <w:tcPr>
            <w:tcW w:w="1362" w:type="dxa"/>
            <w:tcBorders>
              <w:top w:val="nil"/>
              <w:left w:val="nil"/>
              <w:bottom w:val="single" w:sz="4" w:space="0" w:color="auto"/>
              <w:right w:val="single" w:sz="4" w:space="0" w:color="auto"/>
            </w:tcBorders>
            <w:shd w:val="clear" w:color="auto" w:fill="auto"/>
            <w:noWrap/>
            <w:vAlign w:val="center"/>
            <w:hideMark/>
          </w:tcPr>
          <w:p w14:paraId="4C34512C"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1,141,800</w:t>
            </w:r>
          </w:p>
        </w:tc>
        <w:tc>
          <w:tcPr>
            <w:tcW w:w="1535" w:type="dxa"/>
            <w:tcBorders>
              <w:top w:val="nil"/>
              <w:left w:val="nil"/>
              <w:bottom w:val="single" w:sz="4" w:space="0" w:color="auto"/>
              <w:right w:val="single" w:sz="4" w:space="0" w:color="auto"/>
            </w:tcBorders>
            <w:shd w:val="clear" w:color="auto" w:fill="auto"/>
            <w:noWrap/>
            <w:vAlign w:val="center"/>
            <w:hideMark/>
          </w:tcPr>
          <w:p w14:paraId="0E1AEEA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793587E8"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55806C6"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1D0884F1"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Heat pump (wastewater recovery system)</w:t>
            </w:r>
          </w:p>
        </w:tc>
        <w:tc>
          <w:tcPr>
            <w:tcW w:w="1363" w:type="dxa"/>
            <w:tcBorders>
              <w:top w:val="nil"/>
              <w:left w:val="nil"/>
              <w:bottom w:val="single" w:sz="4" w:space="0" w:color="auto"/>
              <w:right w:val="single" w:sz="4" w:space="0" w:color="auto"/>
            </w:tcBorders>
            <w:shd w:val="clear" w:color="auto" w:fill="auto"/>
            <w:noWrap/>
            <w:vAlign w:val="center"/>
            <w:hideMark/>
          </w:tcPr>
          <w:p w14:paraId="6AE0CF1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120,000</w:t>
            </w:r>
          </w:p>
        </w:tc>
        <w:tc>
          <w:tcPr>
            <w:tcW w:w="1362" w:type="dxa"/>
            <w:tcBorders>
              <w:top w:val="nil"/>
              <w:left w:val="nil"/>
              <w:bottom w:val="single" w:sz="4" w:space="0" w:color="auto"/>
              <w:right w:val="single" w:sz="4" w:space="0" w:color="auto"/>
            </w:tcBorders>
            <w:shd w:val="clear" w:color="auto" w:fill="auto"/>
            <w:noWrap/>
            <w:vAlign w:val="center"/>
            <w:hideMark/>
          </w:tcPr>
          <w:p w14:paraId="4D749DE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120,000</w:t>
            </w:r>
          </w:p>
        </w:tc>
        <w:tc>
          <w:tcPr>
            <w:tcW w:w="1535" w:type="dxa"/>
            <w:tcBorders>
              <w:top w:val="nil"/>
              <w:left w:val="nil"/>
              <w:bottom w:val="single" w:sz="4" w:space="0" w:color="auto"/>
              <w:right w:val="single" w:sz="4" w:space="0" w:color="auto"/>
            </w:tcBorders>
            <w:shd w:val="clear" w:color="auto" w:fill="auto"/>
            <w:noWrap/>
            <w:vAlign w:val="center"/>
            <w:hideMark/>
          </w:tcPr>
          <w:p w14:paraId="0DD9D7B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68002EF0"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ABB5DC"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776C8605"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32,990,990</w:t>
            </w:r>
          </w:p>
        </w:tc>
        <w:tc>
          <w:tcPr>
            <w:tcW w:w="1362" w:type="dxa"/>
            <w:tcBorders>
              <w:top w:val="nil"/>
              <w:left w:val="nil"/>
              <w:bottom w:val="single" w:sz="4" w:space="0" w:color="auto"/>
              <w:right w:val="single" w:sz="4" w:space="0" w:color="auto"/>
            </w:tcBorders>
            <w:shd w:val="clear" w:color="auto" w:fill="auto"/>
            <w:noWrap/>
            <w:vAlign w:val="center"/>
            <w:hideMark/>
          </w:tcPr>
          <w:p w14:paraId="195E6A80"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31,300,840</w:t>
            </w:r>
          </w:p>
        </w:tc>
        <w:tc>
          <w:tcPr>
            <w:tcW w:w="1535" w:type="dxa"/>
            <w:tcBorders>
              <w:top w:val="nil"/>
              <w:left w:val="nil"/>
              <w:bottom w:val="single" w:sz="4" w:space="0" w:color="auto"/>
              <w:right w:val="single" w:sz="4" w:space="0" w:color="auto"/>
            </w:tcBorders>
            <w:shd w:val="clear" w:color="auto" w:fill="auto"/>
            <w:noWrap/>
            <w:vAlign w:val="center"/>
            <w:hideMark/>
          </w:tcPr>
          <w:p w14:paraId="56286D91"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1,690,150</w:t>
            </w:r>
          </w:p>
        </w:tc>
      </w:tr>
      <w:tr w:rsidR="00555DA6" w:rsidRPr="003D2176" w14:paraId="70F6BCE2" w14:textId="77777777" w:rsidTr="00B007EC">
        <w:trPr>
          <w:trHeight w:val="334"/>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15902A"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b/>
                <w:bCs/>
                <w:color w:val="000000"/>
                <w:sz w:val="20"/>
                <w:szCs w:val="20"/>
                <w:lang w:eastAsia="zh-CN"/>
              </w:rPr>
              <w:t>Trial operation</w:t>
            </w:r>
            <w:r w:rsidRPr="003D2176">
              <w:rPr>
                <w:rStyle w:val="FootnoteReference"/>
                <w:rFonts w:asciiTheme="majorBidi" w:eastAsia="DengXian" w:hAnsiTheme="majorBidi" w:cstheme="majorBidi"/>
                <w:color w:val="000000"/>
                <w:sz w:val="20"/>
                <w:szCs w:val="20"/>
                <w:lang w:eastAsia="zh-CN"/>
              </w:rPr>
              <w:footnoteReference w:id="13"/>
            </w:r>
          </w:p>
        </w:tc>
        <w:tc>
          <w:tcPr>
            <w:tcW w:w="4225" w:type="dxa"/>
            <w:tcBorders>
              <w:top w:val="nil"/>
              <w:left w:val="nil"/>
              <w:bottom w:val="single" w:sz="4" w:space="0" w:color="auto"/>
              <w:right w:val="single" w:sz="4" w:space="0" w:color="auto"/>
            </w:tcBorders>
            <w:shd w:val="clear" w:color="auto" w:fill="auto"/>
            <w:noWrap/>
            <w:vAlign w:val="center"/>
            <w:hideMark/>
          </w:tcPr>
          <w:p w14:paraId="58489970"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Installation and commissioning costs</w:t>
            </w:r>
          </w:p>
        </w:tc>
        <w:tc>
          <w:tcPr>
            <w:tcW w:w="1363" w:type="dxa"/>
            <w:tcBorders>
              <w:top w:val="nil"/>
              <w:left w:val="nil"/>
              <w:bottom w:val="single" w:sz="4" w:space="0" w:color="auto"/>
              <w:right w:val="single" w:sz="4" w:space="0" w:color="auto"/>
            </w:tcBorders>
            <w:shd w:val="clear" w:color="auto" w:fill="auto"/>
            <w:noWrap/>
            <w:vAlign w:val="center"/>
            <w:hideMark/>
          </w:tcPr>
          <w:p w14:paraId="74333307"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30,000</w:t>
            </w:r>
          </w:p>
        </w:tc>
        <w:tc>
          <w:tcPr>
            <w:tcW w:w="1362" w:type="dxa"/>
            <w:tcBorders>
              <w:top w:val="nil"/>
              <w:left w:val="nil"/>
              <w:bottom w:val="single" w:sz="4" w:space="0" w:color="auto"/>
              <w:right w:val="single" w:sz="4" w:space="0" w:color="auto"/>
            </w:tcBorders>
            <w:shd w:val="clear" w:color="auto" w:fill="auto"/>
            <w:noWrap/>
            <w:vAlign w:val="center"/>
            <w:hideMark/>
          </w:tcPr>
          <w:p w14:paraId="6B398F79"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15,000</w:t>
            </w:r>
          </w:p>
        </w:tc>
        <w:tc>
          <w:tcPr>
            <w:tcW w:w="1535" w:type="dxa"/>
            <w:tcBorders>
              <w:top w:val="nil"/>
              <w:left w:val="nil"/>
              <w:bottom w:val="single" w:sz="4" w:space="0" w:color="auto"/>
              <w:right w:val="single" w:sz="4" w:space="0" w:color="auto"/>
            </w:tcBorders>
            <w:shd w:val="clear" w:color="auto" w:fill="auto"/>
            <w:noWrap/>
            <w:vAlign w:val="center"/>
            <w:hideMark/>
          </w:tcPr>
          <w:p w14:paraId="1A41FF9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15,000</w:t>
            </w:r>
          </w:p>
        </w:tc>
      </w:tr>
      <w:tr w:rsidR="00555DA6" w:rsidRPr="003D2176" w14:paraId="221775CF" w14:textId="77777777" w:rsidTr="00B007EC">
        <w:trPr>
          <w:trHeight w:val="243"/>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4B92E6D" w14:textId="77777777" w:rsidR="00555DA6" w:rsidRPr="003D2176" w:rsidRDefault="00555DA6" w:rsidP="00B007EC">
            <w:pPr>
              <w:rPr>
                <w:rFonts w:asciiTheme="majorBidi" w:eastAsia="DengXian" w:hAnsiTheme="majorBidi" w:cstheme="majorBidi"/>
                <w:color w:val="000000"/>
                <w:sz w:val="20"/>
                <w:szCs w:val="20"/>
                <w:lang w:eastAsia="zh-CN"/>
              </w:rPr>
            </w:pPr>
          </w:p>
        </w:tc>
        <w:tc>
          <w:tcPr>
            <w:tcW w:w="4225" w:type="dxa"/>
            <w:tcBorders>
              <w:top w:val="nil"/>
              <w:left w:val="nil"/>
              <w:bottom w:val="single" w:sz="4" w:space="0" w:color="auto"/>
              <w:right w:val="single" w:sz="4" w:space="0" w:color="auto"/>
            </w:tcBorders>
            <w:shd w:val="clear" w:color="auto" w:fill="auto"/>
            <w:noWrap/>
            <w:vAlign w:val="center"/>
            <w:hideMark/>
          </w:tcPr>
          <w:p w14:paraId="0F36DD0C" w14:textId="77777777" w:rsidR="00555DA6" w:rsidRPr="003D2176" w:rsidRDefault="00555DA6" w:rsidP="00B007EC">
            <w:pPr>
              <w:jc w:val="lef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Administrative cost</w:t>
            </w:r>
          </w:p>
        </w:tc>
        <w:tc>
          <w:tcPr>
            <w:tcW w:w="1363" w:type="dxa"/>
            <w:tcBorders>
              <w:top w:val="nil"/>
              <w:left w:val="nil"/>
              <w:bottom w:val="single" w:sz="4" w:space="0" w:color="auto"/>
              <w:right w:val="single" w:sz="4" w:space="0" w:color="auto"/>
            </w:tcBorders>
            <w:shd w:val="clear" w:color="auto" w:fill="auto"/>
            <w:noWrap/>
            <w:vAlign w:val="center"/>
            <w:hideMark/>
          </w:tcPr>
          <w:p w14:paraId="46CAD9D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12,000</w:t>
            </w:r>
          </w:p>
        </w:tc>
        <w:tc>
          <w:tcPr>
            <w:tcW w:w="1362" w:type="dxa"/>
            <w:tcBorders>
              <w:top w:val="nil"/>
              <w:left w:val="nil"/>
              <w:bottom w:val="single" w:sz="4" w:space="0" w:color="auto"/>
              <w:right w:val="single" w:sz="4" w:space="0" w:color="auto"/>
            </w:tcBorders>
            <w:shd w:val="clear" w:color="auto" w:fill="auto"/>
            <w:noWrap/>
            <w:vAlign w:val="center"/>
            <w:hideMark/>
          </w:tcPr>
          <w:p w14:paraId="6F140E0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6,000</w:t>
            </w:r>
          </w:p>
        </w:tc>
        <w:tc>
          <w:tcPr>
            <w:tcW w:w="1535" w:type="dxa"/>
            <w:tcBorders>
              <w:top w:val="nil"/>
              <w:left w:val="nil"/>
              <w:bottom w:val="single" w:sz="4" w:space="0" w:color="auto"/>
              <w:right w:val="single" w:sz="4" w:space="0" w:color="auto"/>
            </w:tcBorders>
            <w:shd w:val="clear" w:color="auto" w:fill="auto"/>
            <w:noWrap/>
            <w:vAlign w:val="center"/>
            <w:hideMark/>
          </w:tcPr>
          <w:p w14:paraId="6F6C201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6,000</w:t>
            </w:r>
          </w:p>
        </w:tc>
      </w:tr>
      <w:tr w:rsidR="00555DA6" w:rsidRPr="003D2176" w14:paraId="46FB1244"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F583E"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5CB93EC1"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42,000</w:t>
            </w:r>
          </w:p>
        </w:tc>
        <w:tc>
          <w:tcPr>
            <w:tcW w:w="1362" w:type="dxa"/>
            <w:tcBorders>
              <w:top w:val="nil"/>
              <w:left w:val="nil"/>
              <w:bottom w:val="single" w:sz="4" w:space="0" w:color="auto"/>
              <w:right w:val="single" w:sz="4" w:space="0" w:color="auto"/>
            </w:tcBorders>
            <w:shd w:val="clear" w:color="auto" w:fill="auto"/>
            <w:noWrap/>
            <w:vAlign w:val="center"/>
            <w:hideMark/>
          </w:tcPr>
          <w:p w14:paraId="49A9523F"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21,000</w:t>
            </w:r>
          </w:p>
        </w:tc>
        <w:tc>
          <w:tcPr>
            <w:tcW w:w="1535" w:type="dxa"/>
            <w:tcBorders>
              <w:top w:val="nil"/>
              <w:left w:val="nil"/>
              <w:bottom w:val="single" w:sz="4" w:space="0" w:color="auto"/>
              <w:right w:val="single" w:sz="4" w:space="0" w:color="auto"/>
            </w:tcBorders>
            <w:shd w:val="clear" w:color="auto" w:fill="auto"/>
            <w:noWrap/>
            <w:vAlign w:val="center"/>
            <w:hideMark/>
          </w:tcPr>
          <w:p w14:paraId="7FC51672"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21,000</w:t>
            </w:r>
          </w:p>
        </w:tc>
      </w:tr>
      <w:tr w:rsidR="00555DA6" w:rsidRPr="003D2176" w14:paraId="544F12CD" w14:textId="77777777" w:rsidTr="00B007EC">
        <w:trPr>
          <w:trHeight w:val="1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F8A87A"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System operation</w:t>
            </w:r>
            <w:r w:rsidRPr="003D2176">
              <w:rPr>
                <w:rStyle w:val="FootnoteReference"/>
                <w:rFonts w:asciiTheme="majorBidi" w:eastAsia="DengXian" w:hAnsiTheme="majorBidi" w:cstheme="majorBidi"/>
                <w:color w:val="000000" w:themeColor="text1"/>
                <w:sz w:val="20"/>
                <w:szCs w:val="20"/>
                <w:lang w:eastAsia="zh-CN"/>
              </w:rPr>
              <w:footnoteReference w:id="14"/>
            </w:r>
          </w:p>
        </w:tc>
        <w:tc>
          <w:tcPr>
            <w:tcW w:w="4225" w:type="dxa"/>
            <w:tcBorders>
              <w:top w:val="nil"/>
              <w:left w:val="nil"/>
              <w:bottom w:val="single" w:sz="4" w:space="0" w:color="auto"/>
              <w:right w:val="single" w:sz="4" w:space="0" w:color="auto"/>
            </w:tcBorders>
            <w:shd w:val="clear" w:color="auto" w:fill="auto"/>
            <w:noWrap/>
            <w:vAlign w:val="center"/>
            <w:hideMark/>
          </w:tcPr>
          <w:p w14:paraId="666407C4"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Maintenance cost</w:t>
            </w:r>
          </w:p>
        </w:tc>
        <w:tc>
          <w:tcPr>
            <w:tcW w:w="1363" w:type="dxa"/>
            <w:tcBorders>
              <w:top w:val="nil"/>
              <w:left w:val="nil"/>
              <w:bottom w:val="single" w:sz="4" w:space="0" w:color="auto"/>
              <w:right w:val="single" w:sz="4" w:space="0" w:color="auto"/>
            </w:tcBorders>
            <w:shd w:val="clear" w:color="auto" w:fill="auto"/>
            <w:noWrap/>
            <w:vAlign w:val="center"/>
            <w:hideMark/>
          </w:tcPr>
          <w:p w14:paraId="268AD3EE"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45,000</w:t>
            </w:r>
          </w:p>
        </w:tc>
        <w:tc>
          <w:tcPr>
            <w:tcW w:w="1362" w:type="dxa"/>
            <w:tcBorders>
              <w:top w:val="nil"/>
              <w:left w:val="nil"/>
              <w:bottom w:val="single" w:sz="4" w:space="0" w:color="auto"/>
              <w:right w:val="single" w:sz="4" w:space="0" w:color="auto"/>
            </w:tcBorders>
            <w:shd w:val="clear" w:color="auto" w:fill="auto"/>
            <w:noWrap/>
            <w:vAlign w:val="center"/>
            <w:hideMark/>
          </w:tcPr>
          <w:p w14:paraId="36F11040"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22,500</w:t>
            </w:r>
          </w:p>
        </w:tc>
        <w:tc>
          <w:tcPr>
            <w:tcW w:w="1535" w:type="dxa"/>
            <w:tcBorders>
              <w:top w:val="nil"/>
              <w:left w:val="nil"/>
              <w:bottom w:val="single" w:sz="4" w:space="0" w:color="auto"/>
              <w:right w:val="single" w:sz="4" w:space="0" w:color="auto"/>
            </w:tcBorders>
            <w:shd w:val="clear" w:color="auto" w:fill="auto"/>
            <w:noWrap/>
            <w:vAlign w:val="center"/>
            <w:hideMark/>
          </w:tcPr>
          <w:p w14:paraId="59094954"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22,500</w:t>
            </w:r>
          </w:p>
        </w:tc>
      </w:tr>
      <w:tr w:rsidR="00555DA6" w:rsidRPr="003D2176" w14:paraId="72E3F521"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89122E7"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72F4EF5A"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Power cost</w:t>
            </w:r>
          </w:p>
        </w:tc>
        <w:tc>
          <w:tcPr>
            <w:tcW w:w="1363" w:type="dxa"/>
            <w:tcBorders>
              <w:top w:val="nil"/>
              <w:left w:val="nil"/>
              <w:bottom w:val="single" w:sz="4" w:space="0" w:color="auto"/>
              <w:right w:val="single" w:sz="4" w:space="0" w:color="auto"/>
            </w:tcBorders>
            <w:shd w:val="clear" w:color="auto" w:fill="auto"/>
            <w:noWrap/>
            <w:vAlign w:val="center"/>
            <w:hideMark/>
          </w:tcPr>
          <w:p w14:paraId="398F3E37"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852,700</w:t>
            </w:r>
          </w:p>
        </w:tc>
        <w:tc>
          <w:tcPr>
            <w:tcW w:w="1362" w:type="dxa"/>
            <w:tcBorders>
              <w:top w:val="nil"/>
              <w:left w:val="nil"/>
              <w:bottom w:val="single" w:sz="4" w:space="0" w:color="auto"/>
              <w:right w:val="single" w:sz="4" w:space="0" w:color="auto"/>
            </w:tcBorders>
            <w:shd w:val="clear" w:color="auto" w:fill="auto"/>
            <w:noWrap/>
            <w:vAlign w:val="center"/>
            <w:hideMark/>
          </w:tcPr>
          <w:p w14:paraId="47529AD2"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852,700</w:t>
            </w:r>
          </w:p>
        </w:tc>
        <w:tc>
          <w:tcPr>
            <w:tcW w:w="1535" w:type="dxa"/>
            <w:tcBorders>
              <w:top w:val="nil"/>
              <w:left w:val="nil"/>
              <w:bottom w:val="single" w:sz="4" w:space="0" w:color="auto"/>
              <w:right w:val="single" w:sz="4" w:space="0" w:color="auto"/>
            </w:tcBorders>
            <w:shd w:val="clear" w:color="auto" w:fill="auto"/>
            <w:noWrap/>
            <w:vAlign w:val="center"/>
            <w:hideMark/>
          </w:tcPr>
          <w:p w14:paraId="470A582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0</w:t>
            </w:r>
          </w:p>
        </w:tc>
      </w:tr>
      <w:tr w:rsidR="00555DA6" w:rsidRPr="003D2176" w14:paraId="02F7E8B6"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3FD898"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6264FE62"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897,700</w:t>
            </w:r>
          </w:p>
        </w:tc>
        <w:tc>
          <w:tcPr>
            <w:tcW w:w="1362" w:type="dxa"/>
            <w:tcBorders>
              <w:top w:val="nil"/>
              <w:left w:val="nil"/>
              <w:bottom w:val="single" w:sz="4" w:space="0" w:color="auto"/>
              <w:right w:val="single" w:sz="4" w:space="0" w:color="auto"/>
            </w:tcBorders>
            <w:shd w:val="clear" w:color="auto" w:fill="auto"/>
            <w:noWrap/>
            <w:vAlign w:val="center"/>
            <w:hideMark/>
          </w:tcPr>
          <w:p w14:paraId="577FD429"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875,200</w:t>
            </w:r>
          </w:p>
        </w:tc>
        <w:tc>
          <w:tcPr>
            <w:tcW w:w="1535" w:type="dxa"/>
            <w:tcBorders>
              <w:top w:val="nil"/>
              <w:left w:val="nil"/>
              <w:bottom w:val="single" w:sz="4" w:space="0" w:color="auto"/>
              <w:right w:val="single" w:sz="4" w:space="0" w:color="auto"/>
            </w:tcBorders>
            <w:shd w:val="clear" w:color="auto" w:fill="auto"/>
            <w:noWrap/>
            <w:vAlign w:val="center"/>
            <w:hideMark/>
          </w:tcPr>
          <w:p w14:paraId="5DFB0B93"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22,500</w:t>
            </w:r>
          </w:p>
        </w:tc>
      </w:tr>
      <w:tr w:rsidR="00555DA6" w:rsidRPr="003D2176" w14:paraId="10699E36"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A74D94" w14:textId="77777777" w:rsidR="00555DA6" w:rsidRPr="003D2176" w:rsidRDefault="00555DA6" w:rsidP="00B007EC">
            <w:pPr>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Comparative research</w:t>
            </w:r>
          </w:p>
        </w:tc>
        <w:tc>
          <w:tcPr>
            <w:tcW w:w="4225" w:type="dxa"/>
            <w:tcBorders>
              <w:top w:val="nil"/>
              <w:left w:val="nil"/>
              <w:bottom w:val="single" w:sz="4" w:space="0" w:color="auto"/>
              <w:right w:val="single" w:sz="4" w:space="0" w:color="auto"/>
            </w:tcBorders>
            <w:shd w:val="clear" w:color="auto" w:fill="auto"/>
            <w:vAlign w:val="center"/>
            <w:hideMark/>
          </w:tcPr>
          <w:p w14:paraId="5C582133"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Data processing and analysis</w:t>
            </w:r>
          </w:p>
        </w:tc>
        <w:tc>
          <w:tcPr>
            <w:tcW w:w="1363" w:type="dxa"/>
            <w:tcBorders>
              <w:top w:val="nil"/>
              <w:left w:val="nil"/>
              <w:bottom w:val="single" w:sz="4" w:space="0" w:color="auto"/>
              <w:right w:val="single" w:sz="4" w:space="0" w:color="auto"/>
            </w:tcBorders>
            <w:shd w:val="clear" w:color="auto" w:fill="auto"/>
            <w:noWrap/>
            <w:vAlign w:val="center"/>
            <w:hideMark/>
          </w:tcPr>
          <w:p w14:paraId="3BFE8ACD"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15,000</w:t>
            </w:r>
          </w:p>
        </w:tc>
        <w:tc>
          <w:tcPr>
            <w:tcW w:w="1362" w:type="dxa"/>
            <w:tcBorders>
              <w:top w:val="nil"/>
              <w:left w:val="nil"/>
              <w:bottom w:val="single" w:sz="4" w:space="0" w:color="auto"/>
              <w:right w:val="single" w:sz="4" w:space="0" w:color="auto"/>
            </w:tcBorders>
            <w:shd w:val="clear" w:color="auto" w:fill="auto"/>
            <w:noWrap/>
            <w:vAlign w:val="center"/>
            <w:hideMark/>
          </w:tcPr>
          <w:p w14:paraId="2F1FBC2E"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7,500</w:t>
            </w:r>
          </w:p>
        </w:tc>
        <w:tc>
          <w:tcPr>
            <w:tcW w:w="1535" w:type="dxa"/>
            <w:tcBorders>
              <w:top w:val="nil"/>
              <w:left w:val="nil"/>
              <w:bottom w:val="single" w:sz="4" w:space="0" w:color="auto"/>
              <w:right w:val="single" w:sz="4" w:space="0" w:color="auto"/>
            </w:tcBorders>
            <w:shd w:val="clear" w:color="auto" w:fill="auto"/>
            <w:noWrap/>
            <w:vAlign w:val="center"/>
            <w:hideMark/>
          </w:tcPr>
          <w:p w14:paraId="6F830527"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7,500</w:t>
            </w:r>
          </w:p>
        </w:tc>
      </w:tr>
      <w:tr w:rsidR="00555DA6" w:rsidRPr="003D2176" w14:paraId="3FD5716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3EE7269A"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44C0C97F"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Comprehensive assessment- environment impact</w:t>
            </w:r>
          </w:p>
        </w:tc>
        <w:tc>
          <w:tcPr>
            <w:tcW w:w="1363" w:type="dxa"/>
            <w:tcBorders>
              <w:top w:val="nil"/>
              <w:left w:val="nil"/>
              <w:bottom w:val="single" w:sz="4" w:space="0" w:color="auto"/>
              <w:right w:val="single" w:sz="4" w:space="0" w:color="auto"/>
            </w:tcBorders>
            <w:shd w:val="clear" w:color="auto" w:fill="auto"/>
            <w:noWrap/>
            <w:vAlign w:val="center"/>
            <w:hideMark/>
          </w:tcPr>
          <w:p w14:paraId="32FEE807"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10,000</w:t>
            </w:r>
          </w:p>
        </w:tc>
        <w:tc>
          <w:tcPr>
            <w:tcW w:w="1362" w:type="dxa"/>
            <w:tcBorders>
              <w:top w:val="nil"/>
              <w:left w:val="nil"/>
              <w:bottom w:val="single" w:sz="4" w:space="0" w:color="auto"/>
              <w:right w:val="single" w:sz="4" w:space="0" w:color="auto"/>
            </w:tcBorders>
            <w:shd w:val="clear" w:color="auto" w:fill="auto"/>
            <w:noWrap/>
            <w:vAlign w:val="center"/>
            <w:hideMark/>
          </w:tcPr>
          <w:p w14:paraId="781814AE"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w:t>
            </w:r>
          </w:p>
        </w:tc>
        <w:tc>
          <w:tcPr>
            <w:tcW w:w="1535" w:type="dxa"/>
            <w:tcBorders>
              <w:top w:val="nil"/>
              <w:left w:val="nil"/>
              <w:bottom w:val="single" w:sz="4" w:space="0" w:color="auto"/>
              <w:right w:val="single" w:sz="4" w:space="0" w:color="auto"/>
            </w:tcBorders>
            <w:shd w:val="clear" w:color="auto" w:fill="auto"/>
            <w:noWrap/>
            <w:vAlign w:val="center"/>
            <w:hideMark/>
          </w:tcPr>
          <w:p w14:paraId="4EDE43A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w:t>
            </w:r>
          </w:p>
        </w:tc>
      </w:tr>
      <w:tr w:rsidR="00555DA6" w:rsidRPr="003D2176" w14:paraId="345DCBC3"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A6C1DD5"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20C17508"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Comprehensive assessment- energy efficiency and economic analysis</w:t>
            </w:r>
          </w:p>
        </w:tc>
        <w:tc>
          <w:tcPr>
            <w:tcW w:w="1363" w:type="dxa"/>
            <w:tcBorders>
              <w:top w:val="nil"/>
              <w:left w:val="nil"/>
              <w:bottom w:val="single" w:sz="4" w:space="0" w:color="auto"/>
              <w:right w:val="single" w:sz="4" w:space="0" w:color="auto"/>
            </w:tcBorders>
            <w:shd w:val="clear" w:color="auto" w:fill="auto"/>
            <w:noWrap/>
            <w:vAlign w:val="center"/>
            <w:hideMark/>
          </w:tcPr>
          <w:p w14:paraId="38B3891A"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10,000</w:t>
            </w:r>
          </w:p>
        </w:tc>
        <w:tc>
          <w:tcPr>
            <w:tcW w:w="1362" w:type="dxa"/>
            <w:tcBorders>
              <w:top w:val="nil"/>
              <w:left w:val="nil"/>
              <w:bottom w:val="single" w:sz="4" w:space="0" w:color="auto"/>
              <w:right w:val="single" w:sz="4" w:space="0" w:color="auto"/>
            </w:tcBorders>
            <w:shd w:val="clear" w:color="auto" w:fill="auto"/>
            <w:noWrap/>
            <w:vAlign w:val="center"/>
            <w:hideMark/>
          </w:tcPr>
          <w:p w14:paraId="5A9F7213"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w:t>
            </w:r>
          </w:p>
        </w:tc>
        <w:tc>
          <w:tcPr>
            <w:tcW w:w="1535" w:type="dxa"/>
            <w:tcBorders>
              <w:top w:val="nil"/>
              <w:left w:val="nil"/>
              <w:bottom w:val="single" w:sz="4" w:space="0" w:color="auto"/>
              <w:right w:val="single" w:sz="4" w:space="0" w:color="auto"/>
            </w:tcBorders>
            <w:shd w:val="clear" w:color="auto" w:fill="auto"/>
            <w:noWrap/>
            <w:vAlign w:val="center"/>
            <w:hideMark/>
          </w:tcPr>
          <w:p w14:paraId="31E8359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w:t>
            </w:r>
          </w:p>
        </w:tc>
      </w:tr>
      <w:tr w:rsidR="00555DA6" w:rsidRPr="003D2176" w14:paraId="382D6D76"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D5EB7C2"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05BC3EA2"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Comparative research- investigation for the air</w:t>
            </w:r>
            <w:r w:rsidRPr="003D2176">
              <w:rPr>
                <w:rFonts w:asciiTheme="majorBidi" w:eastAsia="DengXian" w:hAnsiTheme="majorBidi" w:cstheme="majorBidi"/>
                <w:color w:val="000000" w:themeColor="text1"/>
                <w:sz w:val="20"/>
                <w:szCs w:val="20"/>
                <w:lang w:eastAsia="zh-CN"/>
              </w:rPr>
              <w:noBreakHyphen/>
              <w:t>based cooling data centre</w:t>
            </w:r>
          </w:p>
        </w:tc>
        <w:tc>
          <w:tcPr>
            <w:tcW w:w="1363" w:type="dxa"/>
            <w:tcBorders>
              <w:top w:val="nil"/>
              <w:left w:val="nil"/>
              <w:bottom w:val="single" w:sz="4" w:space="0" w:color="auto"/>
              <w:right w:val="single" w:sz="4" w:space="0" w:color="auto"/>
            </w:tcBorders>
            <w:shd w:val="clear" w:color="auto" w:fill="auto"/>
            <w:noWrap/>
            <w:vAlign w:val="center"/>
            <w:hideMark/>
          </w:tcPr>
          <w:p w14:paraId="21BB8653"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15,000</w:t>
            </w:r>
          </w:p>
        </w:tc>
        <w:tc>
          <w:tcPr>
            <w:tcW w:w="1362" w:type="dxa"/>
            <w:tcBorders>
              <w:top w:val="nil"/>
              <w:left w:val="nil"/>
              <w:bottom w:val="single" w:sz="4" w:space="0" w:color="auto"/>
              <w:right w:val="single" w:sz="4" w:space="0" w:color="auto"/>
            </w:tcBorders>
            <w:shd w:val="clear" w:color="auto" w:fill="auto"/>
            <w:noWrap/>
            <w:vAlign w:val="center"/>
            <w:hideMark/>
          </w:tcPr>
          <w:p w14:paraId="321CDDD8"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7,500</w:t>
            </w:r>
          </w:p>
        </w:tc>
        <w:tc>
          <w:tcPr>
            <w:tcW w:w="1535" w:type="dxa"/>
            <w:tcBorders>
              <w:top w:val="nil"/>
              <w:left w:val="nil"/>
              <w:bottom w:val="single" w:sz="4" w:space="0" w:color="auto"/>
              <w:right w:val="single" w:sz="4" w:space="0" w:color="auto"/>
            </w:tcBorders>
            <w:shd w:val="clear" w:color="auto" w:fill="auto"/>
            <w:noWrap/>
            <w:vAlign w:val="center"/>
            <w:hideMark/>
          </w:tcPr>
          <w:p w14:paraId="18776A15"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7,500</w:t>
            </w:r>
          </w:p>
        </w:tc>
      </w:tr>
      <w:tr w:rsidR="00555DA6" w:rsidRPr="003D2176" w14:paraId="14702D9E"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41CD2CCC"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773C5B48"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Comparative research- performance comparison between air-based and the project</w:t>
            </w:r>
          </w:p>
        </w:tc>
        <w:tc>
          <w:tcPr>
            <w:tcW w:w="1363" w:type="dxa"/>
            <w:tcBorders>
              <w:top w:val="nil"/>
              <w:left w:val="nil"/>
              <w:bottom w:val="single" w:sz="4" w:space="0" w:color="auto"/>
              <w:right w:val="single" w:sz="4" w:space="0" w:color="auto"/>
            </w:tcBorders>
            <w:shd w:val="clear" w:color="auto" w:fill="auto"/>
            <w:noWrap/>
            <w:vAlign w:val="center"/>
            <w:hideMark/>
          </w:tcPr>
          <w:p w14:paraId="6186DCCE" w14:textId="77777777" w:rsidR="00555DA6" w:rsidRPr="003D2176" w:rsidRDefault="00555DA6" w:rsidP="00B007EC">
            <w:pPr>
              <w:jc w:val="right"/>
              <w:rPr>
                <w:rFonts w:asciiTheme="majorBidi" w:eastAsia="DengXian" w:hAnsiTheme="majorBidi" w:cstheme="majorBidi"/>
                <w:sz w:val="20"/>
                <w:szCs w:val="20"/>
                <w:lang w:eastAsia="zh-CN"/>
              </w:rPr>
            </w:pPr>
            <w:r w:rsidRPr="003D2176">
              <w:rPr>
                <w:rFonts w:asciiTheme="majorBidi" w:eastAsia="DengXian" w:hAnsiTheme="majorBidi" w:cstheme="majorBidi"/>
                <w:sz w:val="20"/>
                <w:szCs w:val="20"/>
                <w:lang w:eastAsia="zh-CN"/>
              </w:rPr>
              <w:t>10,000</w:t>
            </w:r>
          </w:p>
        </w:tc>
        <w:tc>
          <w:tcPr>
            <w:tcW w:w="1362" w:type="dxa"/>
            <w:tcBorders>
              <w:top w:val="nil"/>
              <w:left w:val="nil"/>
              <w:bottom w:val="single" w:sz="4" w:space="0" w:color="auto"/>
              <w:right w:val="single" w:sz="4" w:space="0" w:color="auto"/>
            </w:tcBorders>
            <w:shd w:val="clear" w:color="auto" w:fill="auto"/>
            <w:noWrap/>
            <w:vAlign w:val="center"/>
            <w:hideMark/>
          </w:tcPr>
          <w:p w14:paraId="0DD1AA39"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w:t>
            </w:r>
          </w:p>
        </w:tc>
        <w:tc>
          <w:tcPr>
            <w:tcW w:w="1535" w:type="dxa"/>
            <w:tcBorders>
              <w:top w:val="nil"/>
              <w:left w:val="nil"/>
              <w:bottom w:val="single" w:sz="4" w:space="0" w:color="auto"/>
              <w:right w:val="single" w:sz="4" w:space="0" w:color="auto"/>
            </w:tcBorders>
            <w:shd w:val="clear" w:color="auto" w:fill="auto"/>
            <w:noWrap/>
            <w:vAlign w:val="center"/>
            <w:hideMark/>
          </w:tcPr>
          <w:p w14:paraId="3F7C08F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w:t>
            </w:r>
          </w:p>
        </w:tc>
      </w:tr>
      <w:tr w:rsidR="00555DA6" w:rsidRPr="003D2176" w14:paraId="3FD4BA4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2E92C9FC"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505B9C3E"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Research report</w:t>
            </w:r>
          </w:p>
        </w:tc>
        <w:tc>
          <w:tcPr>
            <w:tcW w:w="1363" w:type="dxa"/>
            <w:tcBorders>
              <w:top w:val="nil"/>
              <w:left w:val="nil"/>
              <w:bottom w:val="single" w:sz="4" w:space="0" w:color="auto"/>
              <w:right w:val="single" w:sz="4" w:space="0" w:color="auto"/>
            </w:tcBorders>
            <w:shd w:val="clear" w:color="auto" w:fill="auto"/>
            <w:noWrap/>
            <w:vAlign w:val="center"/>
            <w:hideMark/>
          </w:tcPr>
          <w:p w14:paraId="6585CC3D" w14:textId="77777777" w:rsidR="00555DA6" w:rsidRPr="003D2176" w:rsidRDefault="00555DA6" w:rsidP="00B007EC">
            <w:pPr>
              <w:jc w:val="right"/>
              <w:rPr>
                <w:rFonts w:asciiTheme="majorBidi" w:eastAsia="DengXian" w:hAnsiTheme="majorBidi" w:cstheme="majorBidi"/>
                <w:sz w:val="20"/>
                <w:szCs w:val="20"/>
                <w:lang w:eastAsia="zh-CN"/>
              </w:rPr>
            </w:pPr>
            <w:r w:rsidRPr="003D2176">
              <w:rPr>
                <w:rFonts w:asciiTheme="majorBidi" w:eastAsia="DengXian" w:hAnsiTheme="majorBidi" w:cstheme="majorBidi"/>
                <w:sz w:val="20"/>
                <w:szCs w:val="20"/>
                <w:lang w:eastAsia="zh-CN"/>
              </w:rPr>
              <w:t>10,000</w:t>
            </w:r>
          </w:p>
        </w:tc>
        <w:tc>
          <w:tcPr>
            <w:tcW w:w="1362" w:type="dxa"/>
            <w:tcBorders>
              <w:top w:val="nil"/>
              <w:left w:val="nil"/>
              <w:bottom w:val="single" w:sz="4" w:space="0" w:color="auto"/>
              <w:right w:val="single" w:sz="4" w:space="0" w:color="auto"/>
            </w:tcBorders>
            <w:shd w:val="clear" w:color="auto" w:fill="auto"/>
            <w:noWrap/>
            <w:vAlign w:val="center"/>
            <w:hideMark/>
          </w:tcPr>
          <w:p w14:paraId="58F93892"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w:t>
            </w:r>
          </w:p>
        </w:tc>
        <w:tc>
          <w:tcPr>
            <w:tcW w:w="1535" w:type="dxa"/>
            <w:tcBorders>
              <w:top w:val="nil"/>
              <w:left w:val="nil"/>
              <w:bottom w:val="single" w:sz="4" w:space="0" w:color="auto"/>
              <w:right w:val="single" w:sz="4" w:space="0" w:color="auto"/>
            </w:tcBorders>
            <w:shd w:val="clear" w:color="auto" w:fill="auto"/>
            <w:noWrap/>
            <w:vAlign w:val="center"/>
            <w:hideMark/>
          </w:tcPr>
          <w:p w14:paraId="6BFC0EE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5,000</w:t>
            </w:r>
          </w:p>
        </w:tc>
      </w:tr>
      <w:tr w:rsidR="00555DA6" w:rsidRPr="003D2176" w14:paraId="2D01BF67"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tcPr>
          <w:p w14:paraId="5EFA9067"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Subtotal</w:t>
            </w:r>
          </w:p>
        </w:tc>
        <w:tc>
          <w:tcPr>
            <w:tcW w:w="1363" w:type="dxa"/>
            <w:tcBorders>
              <w:top w:val="nil"/>
              <w:left w:val="nil"/>
              <w:bottom w:val="single" w:sz="4" w:space="0" w:color="auto"/>
              <w:right w:val="single" w:sz="4" w:space="0" w:color="auto"/>
            </w:tcBorders>
            <w:shd w:val="clear" w:color="auto" w:fill="auto"/>
            <w:noWrap/>
            <w:vAlign w:val="center"/>
            <w:hideMark/>
          </w:tcPr>
          <w:p w14:paraId="4D82A71E" w14:textId="77777777" w:rsidR="00555DA6" w:rsidRPr="003D2176" w:rsidRDefault="00555DA6" w:rsidP="00B007EC">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70,000</w:t>
            </w:r>
          </w:p>
        </w:tc>
        <w:tc>
          <w:tcPr>
            <w:tcW w:w="1362" w:type="dxa"/>
            <w:tcBorders>
              <w:top w:val="nil"/>
              <w:left w:val="nil"/>
              <w:bottom w:val="single" w:sz="4" w:space="0" w:color="auto"/>
              <w:right w:val="single" w:sz="4" w:space="0" w:color="auto"/>
            </w:tcBorders>
            <w:shd w:val="clear" w:color="auto" w:fill="auto"/>
            <w:noWrap/>
            <w:vAlign w:val="center"/>
            <w:hideMark/>
          </w:tcPr>
          <w:p w14:paraId="285212BA"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35,000</w:t>
            </w:r>
          </w:p>
        </w:tc>
        <w:tc>
          <w:tcPr>
            <w:tcW w:w="1535" w:type="dxa"/>
            <w:tcBorders>
              <w:top w:val="nil"/>
              <w:left w:val="nil"/>
              <w:bottom w:val="single" w:sz="4" w:space="0" w:color="auto"/>
              <w:right w:val="single" w:sz="4" w:space="0" w:color="auto"/>
            </w:tcBorders>
            <w:shd w:val="clear" w:color="auto" w:fill="auto"/>
            <w:noWrap/>
            <w:vAlign w:val="center"/>
            <w:hideMark/>
          </w:tcPr>
          <w:p w14:paraId="6FA52177"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35,000</w:t>
            </w:r>
          </w:p>
        </w:tc>
      </w:tr>
      <w:tr w:rsidR="00555DA6" w:rsidRPr="003D2176" w14:paraId="7D7B2093"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189EEC" w14:textId="77777777" w:rsidR="00555DA6" w:rsidRPr="003D2176" w:rsidRDefault="00555DA6" w:rsidP="00B007EC">
            <w:pPr>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Standards improvement</w:t>
            </w:r>
          </w:p>
        </w:tc>
        <w:tc>
          <w:tcPr>
            <w:tcW w:w="4225" w:type="dxa"/>
            <w:tcBorders>
              <w:top w:val="single" w:sz="4" w:space="0" w:color="auto"/>
              <w:left w:val="nil"/>
              <w:bottom w:val="single" w:sz="4" w:space="0" w:color="auto"/>
              <w:right w:val="nil"/>
            </w:tcBorders>
            <w:shd w:val="clear" w:color="auto" w:fill="auto"/>
            <w:noWrap/>
            <w:vAlign w:val="bottom"/>
            <w:hideMark/>
          </w:tcPr>
          <w:p w14:paraId="469588AB"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Market assessment</w:t>
            </w:r>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71A8E627"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779264CB"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4631BF0D"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4FEDF73F"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79D92D9"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single" w:sz="4" w:space="0" w:color="auto"/>
              <w:left w:val="nil"/>
              <w:bottom w:val="single" w:sz="4" w:space="0" w:color="auto"/>
              <w:right w:val="nil"/>
            </w:tcBorders>
            <w:shd w:val="clear" w:color="auto" w:fill="auto"/>
            <w:noWrap/>
            <w:vAlign w:val="bottom"/>
            <w:hideMark/>
          </w:tcPr>
          <w:p w14:paraId="73177AF3"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Standard improvement</w:t>
            </w:r>
          </w:p>
        </w:tc>
        <w:tc>
          <w:tcPr>
            <w:tcW w:w="1363" w:type="dxa"/>
            <w:tcBorders>
              <w:top w:val="nil"/>
              <w:left w:val="single" w:sz="4" w:space="0" w:color="auto"/>
              <w:bottom w:val="single" w:sz="4" w:space="0" w:color="auto"/>
              <w:right w:val="single" w:sz="4" w:space="0" w:color="auto"/>
            </w:tcBorders>
            <w:shd w:val="clear" w:color="auto" w:fill="auto"/>
            <w:noWrap/>
            <w:vAlign w:val="center"/>
            <w:hideMark/>
          </w:tcPr>
          <w:p w14:paraId="66D4C0AC"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0AF08531"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48326232"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124B5125"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318FB"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7E524100"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100,000</w:t>
            </w:r>
          </w:p>
        </w:tc>
        <w:tc>
          <w:tcPr>
            <w:tcW w:w="1362" w:type="dxa"/>
            <w:tcBorders>
              <w:top w:val="nil"/>
              <w:left w:val="nil"/>
              <w:bottom w:val="single" w:sz="4" w:space="0" w:color="auto"/>
              <w:right w:val="single" w:sz="4" w:space="0" w:color="auto"/>
            </w:tcBorders>
            <w:shd w:val="clear" w:color="auto" w:fill="auto"/>
            <w:noWrap/>
            <w:vAlign w:val="center"/>
            <w:hideMark/>
          </w:tcPr>
          <w:p w14:paraId="3494ABE4"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50,000</w:t>
            </w:r>
          </w:p>
        </w:tc>
        <w:tc>
          <w:tcPr>
            <w:tcW w:w="1535" w:type="dxa"/>
            <w:tcBorders>
              <w:top w:val="nil"/>
              <w:left w:val="nil"/>
              <w:bottom w:val="single" w:sz="4" w:space="0" w:color="auto"/>
              <w:right w:val="single" w:sz="4" w:space="0" w:color="auto"/>
            </w:tcBorders>
            <w:shd w:val="clear" w:color="auto" w:fill="auto"/>
            <w:noWrap/>
            <w:vAlign w:val="center"/>
            <w:hideMark/>
          </w:tcPr>
          <w:p w14:paraId="46930C4A"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50,000</w:t>
            </w:r>
          </w:p>
        </w:tc>
      </w:tr>
      <w:tr w:rsidR="00555DA6" w:rsidRPr="003D2176" w14:paraId="49691F6D" w14:textId="77777777" w:rsidTr="00B007EC">
        <w:trPr>
          <w:trHeight w:val="245"/>
        </w:trPr>
        <w:tc>
          <w:tcPr>
            <w:tcW w:w="13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74BF3F" w14:textId="77777777" w:rsidR="00555DA6" w:rsidRPr="003D2176" w:rsidRDefault="00555DA6" w:rsidP="00B007EC">
            <w:pPr>
              <w:jc w:val="lef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Awareness and dissemination</w:t>
            </w:r>
          </w:p>
        </w:tc>
        <w:tc>
          <w:tcPr>
            <w:tcW w:w="4225" w:type="dxa"/>
            <w:tcBorders>
              <w:top w:val="nil"/>
              <w:left w:val="nil"/>
              <w:bottom w:val="single" w:sz="4" w:space="0" w:color="auto"/>
              <w:right w:val="single" w:sz="4" w:space="0" w:color="auto"/>
            </w:tcBorders>
            <w:shd w:val="clear" w:color="auto" w:fill="auto"/>
            <w:vAlign w:val="center"/>
            <w:hideMark/>
          </w:tcPr>
          <w:p w14:paraId="0FD9C6AE"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Technology dissemination-Technical seminar</w:t>
            </w:r>
          </w:p>
        </w:tc>
        <w:tc>
          <w:tcPr>
            <w:tcW w:w="1363" w:type="dxa"/>
            <w:tcBorders>
              <w:top w:val="nil"/>
              <w:left w:val="nil"/>
              <w:bottom w:val="single" w:sz="4" w:space="0" w:color="auto"/>
              <w:right w:val="single" w:sz="4" w:space="0" w:color="auto"/>
            </w:tcBorders>
            <w:shd w:val="clear" w:color="auto" w:fill="auto"/>
            <w:noWrap/>
            <w:vAlign w:val="center"/>
            <w:hideMark/>
          </w:tcPr>
          <w:p w14:paraId="30A7BF2E"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2E5E0381"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67B943C1"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170DE12C"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60E76A0B"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28DC12D8"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Technology dissemination-Case sharing</w:t>
            </w:r>
          </w:p>
        </w:tc>
        <w:tc>
          <w:tcPr>
            <w:tcW w:w="1363" w:type="dxa"/>
            <w:tcBorders>
              <w:top w:val="nil"/>
              <w:left w:val="nil"/>
              <w:bottom w:val="single" w:sz="4" w:space="0" w:color="auto"/>
              <w:right w:val="single" w:sz="4" w:space="0" w:color="auto"/>
            </w:tcBorders>
            <w:shd w:val="clear" w:color="auto" w:fill="auto"/>
            <w:noWrap/>
            <w:vAlign w:val="center"/>
            <w:hideMark/>
          </w:tcPr>
          <w:p w14:paraId="1DCBC30F"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2D06E114"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7BF592CE"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59029FE4"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A84240A"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0A6738F3"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Technology dissemination-Participation in industry exhibitions</w:t>
            </w:r>
          </w:p>
        </w:tc>
        <w:tc>
          <w:tcPr>
            <w:tcW w:w="1363" w:type="dxa"/>
            <w:tcBorders>
              <w:top w:val="nil"/>
              <w:left w:val="nil"/>
              <w:bottom w:val="single" w:sz="4" w:space="0" w:color="auto"/>
              <w:right w:val="single" w:sz="4" w:space="0" w:color="auto"/>
            </w:tcBorders>
            <w:shd w:val="clear" w:color="auto" w:fill="auto"/>
            <w:noWrap/>
            <w:vAlign w:val="center"/>
            <w:hideMark/>
          </w:tcPr>
          <w:p w14:paraId="3500874A"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7052E085"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367C48D3"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704B1350"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54BCD47B"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B3046AD"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Training to related designers, technicians</w:t>
            </w:r>
          </w:p>
        </w:tc>
        <w:tc>
          <w:tcPr>
            <w:tcW w:w="1363" w:type="dxa"/>
            <w:tcBorders>
              <w:top w:val="nil"/>
              <w:left w:val="nil"/>
              <w:bottom w:val="single" w:sz="4" w:space="0" w:color="auto"/>
              <w:right w:val="single" w:sz="4" w:space="0" w:color="auto"/>
            </w:tcBorders>
            <w:shd w:val="clear" w:color="auto" w:fill="auto"/>
            <w:noWrap/>
            <w:vAlign w:val="center"/>
            <w:hideMark/>
          </w:tcPr>
          <w:p w14:paraId="36144C71"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43C54C9D"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0318FA6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4A10B2C0"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0B30D25D"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B02EC5C"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Training to production management persons, manufacturing workers</w:t>
            </w:r>
          </w:p>
        </w:tc>
        <w:tc>
          <w:tcPr>
            <w:tcW w:w="1363" w:type="dxa"/>
            <w:tcBorders>
              <w:top w:val="nil"/>
              <w:left w:val="nil"/>
              <w:bottom w:val="single" w:sz="4" w:space="0" w:color="auto"/>
              <w:right w:val="single" w:sz="4" w:space="0" w:color="auto"/>
            </w:tcBorders>
            <w:shd w:val="clear" w:color="auto" w:fill="auto"/>
            <w:noWrap/>
            <w:vAlign w:val="center"/>
            <w:hideMark/>
          </w:tcPr>
          <w:p w14:paraId="6A327690"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2CFB56F1"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41433338"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18BC6DCE" w14:textId="77777777" w:rsidTr="00B007EC">
        <w:trPr>
          <w:trHeight w:val="245"/>
        </w:trPr>
        <w:tc>
          <w:tcPr>
            <w:tcW w:w="1377" w:type="dxa"/>
            <w:vMerge/>
            <w:tcBorders>
              <w:top w:val="nil"/>
              <w:left w:val="single" w:sz="4" w:space="0" w:color="auto"/>
              <w:bottom w:val="single" w:sz="4" w:space="0" w:color="auto"/>
              <w:right w:val="single" w:sz="4" w:space="0" w:color="auto"/>
            </w:tcBorders>
            <w:shd w:val="clear" w:color="auto" w:fill="auto"/>
            <w:vAlign w:val="center"/>
            <w:hideMark/>
          </w:tcPr>
          <w:p w14:paraId="7DA64D8F" w14:textId="77777777" w:rsidR="00555DA6" w:rsidRPr="003D2176" w:rsidRDefault="00555DA6" w:rsidP="00B007EC">
            <w:pPr>
              <w:rPr>
                <w:rFonts w:asciiTheme="majorBidi" w:eastAsia="DengXian" w:hAnsiTheme="majorBidi" w:cstheme="majorBidi"/>
                <w:color w:val="000000" w:themeColor="text1"/>
                <w:sz w:val="20"/>
                <w:szCs w:val="20"/>
                <w:lang w:eastAsia="zh-CN"/>
              </w:rPr>
            </w:pPr>
          </w:p>
        </w:tc>
        <w:tc>
          <w:tcPr>
            <w:tcW w:w="4225" w:type="dxa"/>
            <w:tcBorders>
              <w:top w:val="nil"/>
              <w:left w:val="nil"/>
              <w:bottom w:val="single" w:sz="4" w:space="0" w:color="auto"/>
              <w:right w:val="single" w:sz="4" w:space="0" w:color="auto"/>
            </w:tcBorders>
            <w:shd w:val="clear" w:color="auto" w:fill="auto"/>
            <w:vAlign w:val="center"/>
            <w:hideMark/>
          </w:tcPr>
          <w:p w14:paraId="6FFA50AC" w14:textId="77777777" w:rsidR="00555DA6" w:rsidRPr="003D2176" w:rsidRDefault="00555DA6" w:rsidP="00B007EC">
            <w:pPr>
              <w:jc w:val="lef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Training to equipment maintenance personnel</w:t>
            </w:r>
          </w:p>
        </w:tc>
        <w:tc>
          <w:tcPr>
            <w:tcW w:w="1363" w:type="dxa"/>
            <w:tcBorders>
              <w:top w:val="nil"/>
              <w:left w:val="nil"/>
              <w:bottom w:val="single" w:sz="4" w:space="0" w:color="auto"/>
              <w:right w:val="single" w:sz="4" w:space="0" w:color="auto"/>
            </w:tcBorders>
            <w:shd w:val="clear" w:color="auto" w:fill="auto"/>
            <w:noWrap/>
            <w:vAlign w:val="center"/>
            <w:hideMark/>
          </w:tcPr>
          <w:p w14:paraId="70F5BBB6"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50,000</w:t>
            </w:r>
          </w:p>
        </w:tc>
        <w:tc>
          <w:tcPr>
            <w:tcW w:w="1362" w:type="dxa"/>
            <w:tcBorders>
              <w:top w:val="nil"/>
              <w:left w:val="nil"/>
              <w:bottom w:val="single" w:sz="4" w:space="0" w:color="auto"/>
              <w:right w:val="single" w:sz="4" w:space="0" w:color="auto"/>
            </w:tcBorders>
            <w:shd w:val="clear" w:color="auto" w:fill="auto"/>
            <w:noWrap/>
            <w:vAlign w:val="center"/>
            <w:hideMark/>
          </w:tcPr>
          <w:p w14:paraId="1E2F1E3E" w14:textId="77777777" w:rsidR="00555DA6" w:rsidRPr="003D2176" w:rsidRDefault="00555DA6" w:rsidP="00B007EC">
            <w:pPr>
              <w:jc w:val="right"/>
              <w:rPr>
                <w:rFonts w:asciiTheme="majorBidi" w:eastAsia="DengXian" w:hAnsiTheme="majorBidi" w:cstheme="majorBidi"/>
                <w:color w:val="000000" w:themeColor="text1"/>
                <w:sz w:val="20"/>
                <w:szCs w:val="20"/>
                <w:lang w:eastAsia="zh-CN"/>
              </w:rPr>
            </w:pPr>
            <w:r w:rsidRPr="003D2176">
              <w:rPr>
                <w:rFonts w:asciiTheme="majorBidi" w:eastAsia="DengXian" w:hAnsiTheme="majorBidi" w:cstheme="majorBidi"/>
                <w:color w:val="000000" w:themeColor="text1"/>
                <w:sz w:val="20"/>
                <w:szCs w:val="20"/>
                <w:lang w:eastAsia="zh-CN"/>
              </w:rPr>
              <w:t>25,000</w:t>
            </w:r>
          </w:p>
        </w:tc>
        <w:tc>
          <w:tcPr>
            <w:tcW w:w="1535" w:type="dxa"/>
            <w:tcBorders>
              <w:top w:val="nil"/>
              <w:left w:val="nil"/>
              <w:bottom w:val="single" w:sz="4" w:space="0" w:color="auto"/>
              <w:right w:val="single" w:sz="4" w:space="0" w:color="auto"/>
            </w:tcBorders>
            <w:shd w:val="clear" w:color="auto" w:fill="auto"/>
            <w:noWrap/>
            <w:vAlign w:val="center"/>
            <w:hideMark/>
          </w:tcPr>
          <w:p w14:paraId="10A8045F" w14:textId="77777777" w:rsidR="00555DA6" w:rsidRPr="003D2176" w:rsidRDefault="00555DA6" w:rsidP="00B007EC">
            <w:pPr>
              <w:jc w:val="right"/>
              <w:rPr>
                <w:rFonts w:asciiTheme="majorBidi" w:eastAsia="DengXian" w:hAnsiTheme="majorBidi" w:cstheme="majorBidi"/>
                <w:color w:val="000000"/>
                <w:sz w:val="20"/>
                <w:szCs w:val="20"/>
                <w:lang w:eastAsia="zh-CN"/>
              </w:rPr>
            </w:pPr>
            <w:r w:rsidRPr="003D2176">
              <w:rPr>
                <w:rFonts w:asciiTheme="majorBidi" w:eastAsia="DengXian" w:hAnsiTheme="majorBidi" w:cstheme="majorBidi"/>
                <w:color w:val="000000"/>
                <w:sz w:val="20"/>
                <w:szCs w:val="20"/>
                <w:lang w:eastAsia="zh-CN"/>
              </w:rPr>
              <w:t>25,000</w:t>
            </w:r>
          </w:p>
        </w:tc>
      </w:tr>
      <w:tr w:rsidR="00555DA6" w:rsidRPr="003D2176" w14:paraId="5C7C8F1F"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FCD41A5"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Subtotal </w:t>
            </w:r>
          </w:p>
        </w:tc>
        <w:tc>
          <w:tcPr>
            <w:tcW w:w="1363" w:type="dxa"/>
            <w:tcBorders>
              <w:top w:val="nil"/>
              <w:left w:val="nil"/>
              <w:bottom w:val="single" w:sz="4" w:space="0" w:color="auto"/>
              <w:right w:val="single" w:sz="4" w:space="0" w:color="auto"/>
            </w:tcBorders>
            <w:shd w:val="clear" w:color="auto" w:fill="auto"/>
            <w:noWrap/>
            <w:vAlign w:val="center"/>
            <w:hideMark/>
          </w:tcPr>
          <w:p w14:paraId="505C0732"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300,000</w:t>
            </w:r>
          </w:p>
        </w:tc>
        <w:tc>
          <w:tcPr>
            <w:tcW w:w="1362" w:type="dxa"/>
            <w:tcBorders>
              <w:top w:val="nil"/>
              <w:left w:val="nil"/>
              <w:bottom w:val="single" w:sz="4" w:space="0" w:color="auto"/>
              <w:right w:val="single" w:sz="4" w:space="0" w:color="auto"/>
            </w:tcBorders>
            <w:shd w:val="clear" w:color="auto" w:fill="auto"/>
            <w:noWrap/>
            <w:vAlign w:val="center"/>
            <w:hideMark/>
          </w:tcPr>
          <w:p w14:paraId="758CE21A"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150,000</w:t>
            </w:r>
          </w:p>
        </w:tc>
        <w:tc>
          <w:tcPr>
            <w:tcW w:w="1535" w:type="dxa"/>
            <w:tcBorders>
              <w:top w:val="nil"/>
              <w:left w:val="nil"/>
              <w:bottom w:val="single" w:sz="4" w:space="0" w:color="auto"/>
              <w:right w:val="single" w:sz="4" w:space="0" w:color="auto"/>
            </w:tcBorders>
            <w:shd w:val="clear" w:color="auto" w:fill="auto"/>
            <w:noWrap/>
            <w:vAlign w:val="center"/>
            <w:hideMark/>
          </w:tcPr>
          <w:p w14:paraId="38CAF096"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color w:val="000000"/>
                <w:sz w:val="20"/>
                <w:szCs w:val="20"/>
                <w:lang w:eastAsia="zh-CN"/>
              </w:rPr>
              <w:t>150,000</w:t>
            </w:r>
          </w:p>
        </w:tc>
      </w:tr>
      <w:tr w:rsidR="00555DA6" w:rsidRPr="003D2176" w14:paraId="2E1C863A" w14:textId="77777777" w:rsidTr="00B007EC">
        <w:trPr>
          <w:trHeight w:val="245"/>
        </w:trPr>
        <w:tc>
          <w:tcPr>
            <w:tcW w:w="560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18B6FEE" w14:textId="77777777" w:rsidR="00555DA6" w:rsidRPr="003D2176" w:rsidRDefault="00555DA6" w:rsidP="00B007EC">
            <w:pPr>
              <w:jc w:val="right"/>
              <w:rPr>
                <w:rFonts w:asciiTheme="majorBidi" w:eastAsia="DengXian" w:hAnsiTheme="majorBidi" w:cstheme="majorBidi"/>
                <w:b/>
                <w:bCs/>
                <w:color w:val="000000" w:themeColor="text1"/>
                <w:sz w:val="20"/>
                <w:szCs w:val="20"/>
                <w:lang w:eastAsia="zh-CN"/>
              </w:rPr>
            </w:pPr>
            <w:r w:rsidRPr="003D2176">
              <w:rPr>
                <w:rFonts w:asciiTheme="majorBidi" w:eastAsia="DengXian" w:hAnsiTheme="majorBidi" w:cstheme="majorBidi"/>
                <w:b/>
                <w:bCs/>
                <w:color w:val="000000" w:themeColor="text1"/>
                <w:sz w:val="20"/>
                <w:szCs w:val="20"/>
                <w:lang w:eastAsia="zh-CN"/>
              </w:rPr>
              <w:t xml:space="preserve">Total </w:t>
            </w:r>
          </w:p>
        </w:tc>
        <w:tc>
          <w:tcPr>
            <w:tcW w:w="1363" w:type="dxa"/>
            <w:tcBorders>
              <w:top w:val="nil"/>
              <w:left w:val="nil"/>
              <w:bottom w:val="single" w:sz="4" w:space="0" w:color="auto"/>
              <w:right w:val="single" w:sz="4" w:space="0" w:color="auto"/>
            </w:tcBorders>
            <w:shd w:val="clear" w:color="auto" w:fill="auto"/>
            <w:noWrap/>
            <w:vAlign w:val="center"/>
            <w:hideMark/>
          </w:tcPr>
          <w:p w14:paraId="4D51C4DE" w14:textId="77777777" w:rsidR="00555DA6" w:rsidRPr="003D2176" w:rsidRDefault="00555DA6" w:rsidP="00B007EC">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37,339,190</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54FA5675" w14:textId="77777777" w:rsidR="00555DA6" w:rsidRPr="003D2176" w:rsidRDefault="00555DA6" w:rsidP="00B007EC">
            <w:pPr>
              <w:jc w:val="right"/>
              <w:rPr>
                <w:rFonts w:asciiTheme="majorBidi" w:eastAsia="DengXian" w:hAnsiTheme="majorBidi" w:cstheme="majorBidi"/>
                <w:b/>
                <w:bCs/>
                <w:sz w:val="20"/>
                <w:szCs w:val="20"/>
                <w:lang w:eastAsia="zh-CN"/>
              </w:rPr>
            </w:pPr>
            <w:r w:rsidRPr="003D2176">
              <w:rPr>
                <w:rFonts w:asciiTheme="majorBidi" w:eastAsia="DengXian" w:hAnsiTheme="majorBidi" w:cstheme="majorBidi"/>
                <w:b/>
                <w:bCs/>
                <w:sz w:val="20"/>
                <w:szCs w:val="20"/>
                <w:lang w:eastAsia="zh-CN"/>
              </w:rPr>
              <w:t>34,882,290</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22D3B03B" w14:textId="77777777" w:rsidR="00555DA6" w:rsidRPr="003D2176" w:rsidRDefault="00555DA6" w:rsidP="00B007EC">
            <w:pPr>
              <w:jc w:val="right"/>
              <w:rPr>
                <w:rFonts w:asciiTheme="majorBidi" w:eastAsia="DengXian" w:hAnsiTheme="majorBidi" w:cstheme="majorBidi"/>
                <w:b/>
                <w:bCs/>
                <w:color w:val="000000"/>
                <w:sz w:val="20"/>
                <w:szCs w:val="20"/>
                <w:lang w:eastAsia="zh-CN"/>
              </w:rPr>
            </w:pPr>
            <w:r w:rsidRPr="003D2176">
              <w:rPr>
                <w:rFonts w:asciiTheme="majorBidi" w:eastAsia="DengXian" w:hAnsiTheme="majorBidi" w:cstheme="majorBidi"/>
                <w:b/>
                <w:bCs/>
                <w:sz w:val="20"/>
                <w:szCs w:val="20"/>
                <w:lang w:eastAsia="zh-CN"/>
              </w:rPr>
              <w:t>2,456,900</w:t>
            </w:r>
          </w:p>
        </w:tc>
      </w:tr>
    </w:tbl>
    <w:p w14:paraId="17561ACA" w14:textId="77777777" w:rsidR="00555DA6" w:rsidRPr="00F325B1" w:rsidRDefault="00555DA6" w:rsidP="00555DA6">
      <w:pPr>
        <w:keepNext/>
        <w:spacing w:before="240" w:after="240"/>
        <w:jc w:val="center"/>
        <w:rPr>
          <w:b/>
          <w:bCs/>
        </w:rPr>
      </w:pPr>
      <w:r w:rsidRPr="00F325B1">
        <w:rPr>
          <w:b/>
          <w:bCs/>
        </w:rPr>
        <w:lastRenderedPageBreak/>
        <w:t>SECRETARIAT’S COMMENTS AND RECOMMENDATIONS</w:t>
      </w:r>
    </w:p>
    <w:p w14:paraId="5D4E884E" w14:textId="77777777" w:rsidR="00555DA6" w:rsidRPr="00F325B1" w:rsidRDefault="00555DA6" w:rsidP="00555DA6">
      <w:pPr>
        <w:spacing w:before="240" w:after="240"/>
        <w:rPr>
          <w:b/>
          <w:bCs/>
        </w:rPr>
      </w:pPr>
      <w:r w:rsidRPr="00F325B1">
        <w:rPr>
          <w:b/>
          <w:bCs/>
        </w:rPr>
        <w:t>COMMENTS</w:t>
      </w:r>
    </w:p>
    <w:p w14:paraId="28CFF8C5" w14:textId="77777777" w:rsidR="00555DA6" w:rsidRPr="00F325B1" w:rsidRDefault="00555DA6" w:rsidP="00555DA6">
      <w:pPr>
        <w:pStyle w:val="Heading1"/>
      </w:pPr>
      <w:r w:rsidRPr="00F325B1">
        <w:t>The Secretariat has reviewed the project proposal in light of decision 91/65 and the project preparation that was provided for this project at the 94</w:t>
      </w:r>
      <w:r w:rsidRPr="00F325B1">
        <w:rPr>
          <w:vertAlign w:val="superscript"/>
        </w:rPr>
        <w:t>th</w:t>
      </w:r>
      <w:r w:rsidRPr="00F325B1">
        <w:t xml:space="preserve"> meeting. </w:t>
      </w:r>
    </w:p>
    <w:p w14:paraId="4D876EA3" w14:textId="77777777" w:rsidR="00555DA6" w:rsidRPr="00F325B1" w:rsidRDefault="00555DA6" w:rsidP="00555DA6">
      <w:pPr>
        <w:spacing w:before="240" w:after="240"/>
        <w:rPr>
          <w:u w:val="single"/>
        </w:rPr>
      </w:pPr>
      <w:r w:rsidRPr="00F325B1">
        <w:rPr>
          <w:u w:val="single"/>
        </w:rPr>
        <w:t xml:space="preserve">Technical and cost-related issues </w:t>
      </w:r>
    </w:p>
    <w:p w14:paraId="5FAC5195" w14:textId="77777777" w:rsidR="00555DA6" w:rsidRDefault="00555DA6" w:rsidP="00555DA6">
      <w:pPr>
        <w:spacing w:after="240"/>
        <w:rPr>
          <w:rFonts w:asciiTheme="majorBidi" w:hAnsiTheme="majorBidi" w:cstheme="majorBidi"/>
          <w:i/>
          <w:iCs/>
        </w:rPr>
      </w:pPr>
      <w:r w:rsidRPr="00F325B1">
        <w:rPr>
          <w:rFonts w:asciiTheme="majorBidi" w:hAnsiTheme="majorBidi" w:cstheme="majorBidi"/>
          <w:i/>
          <w:iCs/>
        </w:rPr>
        <w:t>Validation of the technology</w:t>
      </w:r>
    </w:p>
    <w:p w14:paraId="70C2B052" w14:textId="77777777" w:rsidR="00555DA6" w:rsidRPr="00F325B1" w:rsidRDefault="00555DA6" w:rsidP="00555DA6">
      <w:pPr>
        <w:pStyle w:val="Heading1"/>
      </w:pPr>
      <w:r w:rsidRPr="00F325B1">
        <w:t>The Secretariat noted from the submission that Bing Yi 797, a synthetic oil coolant innovated and registered by Tianjin Tier, is composed mainly of 90-99.8 per cent hydrogenated polidocanol and 0.2</w:t>
      </w:r>
      <w:r w:rsidRPr="00F325B1">
        <w:noBreakHyphen/>
        <w:t>0.9 per cent compound antioxidants, with no aromatic hydrocarbons. Regarding testing of the performance of this product on safety and product performance, UNDP explained that this has been vetted by independent laboratories.</w:t>
      </w:r>
    </w:p>
    <w:p w14:paraId="77F328E8" w14:textId="77777777" w:rsidR="00555DA6" w:rsidRDefault="00555DA6" w:rsidP="00555DA6">
      <w:pPr>
        <w:spacing w:after="240"/>
        <w:rPr>
          <w:rFonts w:asciiTheme="majorBidi" w:hAnsiTheme="majorBidi" w:cstheme="majorBidi"/>
          <w:i/>
          <w:iCs/>
        </w:rPr>
      </w:pPr>
      <w:r w:rsidRPr="00F325B1">
        <w:rPr>
          <w:rFonts w:asciiTheme="majorBidi" w:hAnsiTheme="majorBidi" w:cstheme="majorBidi"/>
          <w:i/>
          <w:iCs/>
        </w:rPr>
        <w:t xml:space="preserve">Status of adoption of Bing Yi 797 </w:t>
      </w:r>
    </w:p>
    <w:p w14:paraId="46753482" w14:textId="77777777" w:rsidR="00555DA6" w:rsidRPr="00F325B1" w:rsidRDefault="00555DA6" w:rsidP="00555DA6">
      <w:pPr>
        <w:pStyle w:val="Heading1"/>
      </w:pPr>
      <w:r w:rsidRPr="00F325B1">
        <w:t>The Secretariat requested additional information on the status of adoption of the proposed technology. UNDP explained that this technology has been validated in laboratory settings and adopted in small-scale data centres in China. Initially, it was implemented in a university data centre with only one cabinet, and later it was expanded to a commercial data centre with six cabinets. These applications handle relatively low heat loads and are primarily used for basic computing services. Further, customer feedback has been positive, with users appreciating the technology’s cleanliness, compact design, reduced noise levels, and manageable energy costs. UNDP also explained that compared to traditional systems, this solution has been well-received for its efficiency and operational advantages in smaller-scale data centres. UNDP also clarified that single-phase immersion cooling could be used in other applications, such as battery thermal management systems for both electric vehicles (EV) and battery energy storage systems (BESS) and charging piles for EVs. Such technology mainly addresses the heat dissipation for high heat</w:t>
      </w:r>
      <w:r w:rsidRPr="00F325B1">
        <w:noBreakHyphen/>
        <w:t>flux scenarios, avoiding the use of air-conditioning systems.</w:t>
      </w:r>
    </w:p>
    <w:p w14:paraId="196C2C2E" w14:textId="77777777" w:rsidR="00555DA6" w:rsidRDefault="00555DA6" w:rsidP="00555DA6">
      <w:pPr>
        <w:spacing w:after="240"/>
        <w:rPr>
          <w:rFonts w:asciiTheme="majorBidi" w:hAnsiTheme="majorBidi" w:cstheme="majorBidi"/>
          <w:i/>
          <w:iCs/>
        </w:rPr>
      </w:pPr>
      <w:r w:rsidRPr="00F325B1">
        <w:rPr>
          <w:rFonts w:asciiTheme="majorBidi" w:hAnsiTheme="majorBidi" w:cstheme="majorBidi"/>
          <w:i/>
          <w:iCs/>
        </w:rPr>
        <w:t>Heat recovery process</w:t>
      </w:r>
    </w:p>
    <w:p w14:paraId="65E7A917" w14:textId="77777777" w:rsidR="00555DA6" w:rsidRPr="00F325B1" w:rsidRDefault="00555DA6" w:rsidP="00555DA6">
      <w:pPr>
        <w:pStyle w:val="Heading1"/>
      </w:pPr>
      <w:r w:rsidRPr="00F325B1">
        <w:t>The Secretariat requested clarifications relating to the heat recovery process, noting that this is not directly a part of the system used for cooling the centre. UNDP explained that to ensure high cooling efficiency and effective waste heat recovery in data centres, it is crucial that the parameters of both systems—such as temperature, flow rate, and heat transfer capacities—are precisely aligned; mismatches result in efficiency loss and would affect the performance of the system as a whole. In addition, they also mentioned that an imbalance in matching heat flows would result in thermal imbalance affecting coolant performance, excessive energy consumption in different unit operations, higher wear and tear of components, system instability contributing to downtime risks, and lower levels of heat recovery which indirectly would result in inefficiency. Based on consultations, UNDP agreed to remove the costs relating to this component from the proposal.</w:t>
      </w:r>
    </w:p>
    <w:p w14:paraId="034EC308" w14:textId="77777777" w:rsidR="00555DA6" w:rsidRDefault="00555DA6" w:rsidP="00555DA6">
      <w:pPr>
        <w:spacing w:after="240"/>
        <w:rPr>
          <w:rFonts w:asciiTheme="majorBidi" w:hAnsiTheme="majorBidi" w:cstheme="majorBidi"/>
          <w:i/>
          <w:iCs/>
        </w:rPr>
      </w:pPr>
      <w:r w:rsidRPr="00F325B1">
        <w:rPr>
          <w:rFonts w:asciiTheme="majorBidi" w:hAnsiTheme="majorBidi" w:cstheme="majorBidi"/>
          <w:i/>
          <w:iCs/>
        </w:rPr>
        <w:t>Supplementary cooling needs</w:t>
      </w:r>
    </w:p>
    <w:p w14:paraId="7F9CBE0E" w14:textId="77777777" w:rsidR="00555DA6" w:rsidRPr="00F325B1" w:rsidRDefault="00555DA6" w:rsidP="00555DA6">
      <w:pPr>
        <w:pStyle w:val="Heading1"/>
      </w:pPr>
      <w:r w:rsidRPr="00F325B1">
        <w:t>On supplementary cooling needs, UNDP explained that based on laboratory testing data, such systems do not need supplementary cooling. The server could normally operate even if the coolant inlet</w:t>
      </w:r>
      <w:r w:rsidRPr="00F325B1">
        <w:rPr>
          <w:rStyle w:val="FootnoteReference"/>
        </w:rPr>
        <w:footnoteReference w:id="15"/>
      </w:r>
      <w:r w:rsidRPr="00F325B1">
        <w:t xml:space="preserve"> </w:t>
      </w:r>
      <w:r w:rsidRPr="00F325B1">
        <w:lastRenderedPageBreak/>
        <w:t>temperature is as high as 50°C. Correspondingly, the coolant outlet temperature</w:t>
      </w:r>
      <w:r w:rsidRPr="00F325B1">
        <w:rPr>
          <w:rStyle w:val="FootnoteReference"/>
        </w:rPr>
        <w:footnoteReference w:id="16"/>
      </w:r>
      <w:r w:rsidRPr="00F325B1">
        <w:t xml:space="preserve"> could be around 60°C; thus, this technology could be applied in both hot and cold climates around the world.</w:t>
      </w:r>
    </w:p>
    <w:p w14:paraId="3B34091D" w14:textId="77777777" w:rsidR="00555DA6" w:rsidRPr="00F325B1" w:rsidRDefault="00555DA6" w:rsidP="00555DA6">
      <w:pPr>
        <w:spacing w:after="240"/>
        <w:rPr>
          <w:rFonts w:asciiTheme="majorBidi" w:hAnsiTheme="majorBidi" w:cstheme="majorBidi"/>
          <w:i/>
          <w:iCs/>
        </w:rPr>
      </w:pPr>
      <w:r w:rsidRPr="00F325B1">
        <w:rPr>
          <w:rFonts w:asciiTheme="majorBidi" w:hAnsiTheme="majorBidi" w:cstheme="majorBidi"/>
          <w:i/>
          <w:iCs/>
        </w:rPr>
        <w:t>Information sharing upon project completion</w:t>
      </w:r>
    </w:p>
    <w:p w14:paraId="564E68D6" w14:textId="77777777" w:rsidR="00555DA6" w:rsidRPr="00F325B1" w:rsidRDefault="00555DA6" w:rsidP="00555DA6">
      <w:pPr>
        <w:pStyle w:val="Heading1"/>
      </w:pPr>
      <w:r w:rsidRPr="00F325B1">
        <w:t>The Secretariat requested information on what would be shared with the clients after the successful demonstration of the technology. UNDP explained that the overall system information covering details on the system setup (such as the setup for servers and cabinets); operating parameters (covering key operational data such as server temperature variations and including GPUs and CPUs); system temperature and flow rate measurements at critical points; and operational data analysis, including a comparative study with HFC</w:t>
      </w:r>
      <w:r w:rsidRPr="00F325B1">
        <w:noBreakHyphen/>
        <w:t>based systems, energy consumption metrics, and an economic analysis, would be made available to the Multilateral Fund and other interested parties. Certain aspects of the technology will remain proprietary, including the system design process which will be retained as proprietary information, and the coolant</w:t>
      </w:r>
      <w:r w:rsidRPr="00F325B1">
        <w:noBreakHyphen/>
        <w:t>related information since this is a proprietary chemical it would be provided directly to customers by Tier. Further, Tier guarantees the coolant’s functionality for up to 10 years (exceeding the average data centre lifespan of about 8 years) and will handle coolant recycling at the end of the data centre’s life.</w:t>
      </w:r>
    </w:p>
    <w:p w14:paraId="1918C8A4" w14:textId="77777777" w:rsidR="00555DA6" w:rsidRPr="00F325B1" w:rsidRDefault="00555DA6" w:rsidP="00555DA6">
      <w:pPr>
        <w:spacing w:after="240"/>
        <w:rPr>
          <w:rFonts w:asciiTheme="majorBidi" w:hAnsiTheme="majorBidi" w:cstheme="majorBidi"/>
          <w:i/>
          <w:iCs/>
        </w:rPr>
      </w:pPr>
      <w:r w:rsidRPr="00F325B1">
        <w:rPr>
          <w:rFonts w:asciiTheme="majorBidi" w:hAnsiTheme="majorBidi" w:cstheme="majorBidi"/>
          <w:i/>
          <w:iCs/>
        </w:rPr>
        <w:t>Development of standards for data centres based on the results</w:t>
      </w:r>
    </w:p>
    <w:p w14:paraId="66D5E875" w14:textId="77777777" w:rsidR="00555DA6" w:rsidRPr="00F325B1" w:rsidRDefault="00555DA6" w:rsidP="00555DA6">
      <w:pPr>
        <w:pStyle w:val="Heading1"/>
      </w:pPr>
      <w:r w:rsidRPr="00F325B1">
        <w:t>On standards development, the Secretariat had discussions on the time taken to implement such standards, noting that standards development can be an important output for improving the energy efficiency of data centres. UNDP explained that reviewing the minimum energy performance standards (MEPS) is a crucial aspect for projects under the energy efficiency funding window. This not only facilitates the dissemination of green technology but also establishes a benchmark for energy-efficient and related practices</w:t>
      </w:r>
      <w:r w:rsidRPr="00F325B1">
        <w:rPr>
          <w:vertAlign w:val="superscript"/>
        </w:rPr>
        <w:footnoteReference w:id="17"/>
      </w:r>
      <w:r w:rsidRPr="00F325B1">
        <w:t xml:space="preserve"> in data centres that would result in “green data centres”. Keeping in view the time taken for the implementation of standards, it was agreed to remove this component from the project, noting that the energy performance-related results from the project would contribute to the development of standards for data centres only after the completion of the project.</w:t>
      </w:r>
    </w:p>
    <w:p w14:paraId="3743C924" w14:textId="77777777" w:rsidR="00555DA6" w:rsidRPr="00F325B1" w:rsidRDefault="00555DA6" w:rsidP="00555DA6">
      <w:pPr>
        <w:spacing w:after="240"/>
        <w:rPr>
          <w:rFonts w:asciiTheme="majorBidi" w:hAnsiTheme="majorBidi" w:cstheme="majorBidi"/>
          <w:i/>
          <w:iCs/>
        </w:rPr>
      </w:pPr>
      <w:r w:rsidRPr="00F325B1">
        <w:rPr>
          <w:rFonts w:asciiTheme="majorBidi" w:hAnsiTheme="majorBidi" w:cstheme="majorBidi"/>
          <w:i/>
          <w:iCs/>
        </w:rPr>
        <w:t>Awareness and outreach programmes</w:t>
      </w:r>
    </w:p>
    <w:p w14:paraId="3E882E7D" w14:textId="77777777" w:rsidR="00555DA6" w:rsidRPr="00F325B1" w:rsidRDefault="00555DA6" w:rsidP="00555DA6">
      <w:pPr>
        <w:pStyle w:val="Heading1"/>
      </w:pPr>
      <w:r w:rsidRPr="00F325B1">
        <w:t>On awareness and outreach programmes on the results of the project, UNDP explained that Tier would undertake a range of awareness and outreach activities relating to product performance and project outcomes and target audiences including industry representatives, designers and technicians of similar applications, maintenance personnel, and other relevant stakeholders. They would also share the results of this project and other green technology developments in RACHP equipment which could be presented at international meetings such as Montreal Protocol-related meetings.</w:t>
      </w:r>
    </w:p>
    <w:p w14:paraId="096C4509" w14:textId="77777777" w:rsidR="00555DA6" w:rsidRPr="00F325B1" w:rsidRDefault="00555DA6" w:rsidP="00555DA6">
      <w:pPr>
        <w:spacing w:after="240"/>
        <w:rPr>
          <w:rFonts w:asciiTheme="majorBidi" w:hAnsiTheme="majorBidi" w:cstheme="majorBidi"/>
          <w:u w:val="single"/>
        </w:rPr>
      </w:pPr>
      <w:r w:rsidRPr="00F325B1">
        <w:rPr>
          <w:rFonts w:asciiTheme="majorBidi" w:hAnsiTheme="majorBidi" w:cstheme="majorBidi"/>
          <w:u w:val="single"/>
        </w:rPr>
        <w:t xml:space="preserve">Agreed cost of the pilot project </w:t>
      </w:r>
    </w:p>
    <w:p w14:paraId="19A112A9" w14:textId="77777777" w:rsidR="00555DA6" w:rsidRPr="00F325B1" w:rsidRDefault="00555DA6" w:rsidP="00555DA6">
      <w:pPr>
        <w:pStyle w:val="Heading1"/>
        <w:rPr>
          <w:rFonts w:asciiTheme="majorBidi" w:hAnsiTheme="majorBidi" w:cstheme="majorBidi"/>
        </w:rPr>
      </w:pPr>
      <w:r w:rsidRPr="00F325B1">
        <w:t xml:space="preserve">The Secretariat had discussions on the costs for different components related to this project noting that some of the costs are based on estimates made by the enterprise with inputs from their technical experts. The Secretariat had detailed consultations on the different project cost components keeping in view that there were some cost elements which were not directly related to cooling and noting that some of the costs pertained to technical designs (e.g., costs relating to process and assembly) that are specific to the proposed project. Based on the consultations, costs related to design were adjusted to 74 per cent of the original request; costs for process and assembly relating to the liquid cooling cabinet, liquid cooling motherboard, liquid cooling shell of servers, and liquid cooling special package components were adjusted to 77 per cent of the original request; costs for trials, systems operation, and comparative research were adjusted to 60 per </w:t>
      </w:r>
      <w:r w:rsidRPr="00F325B1">
        <w:lastRenderedPageBreak/>
        <w:t>cent of the original request; the costs for standards improvements were removed from the request; and costs for awareness and information dissemination were adjusted to 50 per cent of the original request. Table 4 below presents the proposal as submitted and the agreed costs.</w:t>
      </w:r>
    </w:p>
    <w:p w14:paraId="53558D33" w14:textId="77777777" w:rsidR="00555DA6" w:rsidRPr="00F325B1" w:rsidRDefault="00555DA6" w:rsidP="00555DA6">
      <w:pPr>
        <w:keepNext/>
        <w:keepLines/>
        <w:rPr>
          <w:rFonts w:asciiTheme="majorBidi" w:hAnsiTheme="majorBidi" w:cstheme="majorBidi"/>
          <w:b/>
          <w:bCs/>
        </w:rPr>
      </w:pPr>
      <w:r w:rsidRPr="00F325B1">
        <w:rPr>
          <w:rFonts w:asciiTheme="majorBidi" w:hAnsiTheme="majorBidi" w:cstheme="majorBidi"/>
          <w:b/>
          <w:bCs/>
        </w:rPr>
        <w:t>Table 4. Agreed costs for pilot demonstration of single-phase immersion cooling in a data centre</w:t>
      </w:r>
    </w:p>
    <w:tbl>
      <w:tblPr>
        <w:tblW w:w="9265" w:type="dxa"/>
        <w:tblLook w:val="04A0" w:firstRow="1" w:lastRow="0" w:firstColumn="1" w:lastColumn="0" w:noHBand="0" w:noVBand="1"/>
      </w:tblPr>
      <w:tblGrid>
        <w:gridCol w:w="3931"/>
        <w:gridCol w:w="2724"/>
        <w:gridCol w:w="2610"/>
      </w:tblGrid>
      <w:tr w:rsidR="00555DA6" w:rsidRPr="00F325B1" w14:paraId="451014AD" w14:textId="77777777" w:rsidTr="00B007EC">
        <w:trPr>
          <w:trHeight w:val="267"/>
        </w:trPr>
        <w:tc>
          <w:tcPr>
            <w:tcW w:w="3931" w:type="dxa"/>
            <w:tcBorders>
              <w:top w:val="single" w:sz="4" w:space="0" w:color="auto"/>
              <w:left w:val="single" w:sz="4" w:space="0" w:color="auto"/>
              <w:bottom w:val="single" w:sz="4" w:space="0" w:color="auto"/>
              <w:right w:val="single" w:sz="4" w:space="0" w:color="auto"/>
            </w:tcBorders>
            <w:shd w:val="clear" w:color="auto" w:fill="auto"/>
            <w:noWrap/>
            <w:hideMark/>
          </w:tcPr>
          <w:p w14:paraId="1416B306" w14:textId="77777777" w:rsidR="00555DA6" w:rsidRPr="00F325B1" w:rsidRDefault="00555DA6" w:rsidP="00B007EC">
            <w:pPr>
              <w:keepNext/>
              <w:keepLines/>
              <w:jc w:val="left"/>
              <w:rPr>
                <w:b/>
                <w:bCs/>
                <w:color w:val="000000"/>
                <w:sz w:val="20"/>
                <w:szCs w:val="20"/>
                <w:lang w:eastAsia="zh-CN"/>
              </w:rPr>
            </w:pPr>
            <w:r w:rsidRPr="00F325B1">
              <w:rPr>
                <w:b/>
                <w:bCs/>
                <w:color w:val="000000"/>
                <w:sz w:val="20"/>
                <w:szCs w:val="20"/>
                <w:lang w:eastAsia="zh-CN"/>
              </w:rPr>
              <w:t>Particulars</w:t>
            </w:r>
          </w:p>
        </w:tc>
        <w:tc>
          <w:tcPr>
            <w:tcW w:w="2724" w:type="dxa"/>
            <w:tcBorders>
              <w:top w:val="single" w:sz="4" w:space="0" w:color="auto"/>
              <w:left w:val="nil"/>
              <w:bottom w:val="single" w:sz="4" w:space="0" w:color="auto"/>
              <w:right w:val="single" w:sz="4" w:space="0" w:color="auto"/>
            </w:tcBorders>
            <w:shd w:val="clear" w:color="auto" w:fill="auto"/>
            <w:noWrap/>
            <w:hideMark/>
          </w:tcPr>
          <w:p w14:paraId="45DEAA52" w14:textId="77777777" w:rsidR="00555DA6" w:rsidRPr="00F325B1" w:rsidRDefault="00555DA6" w:rsidP="00B007EC">
            <w:pPr>
              <w:keepNext/>
              <w:keepLines/>
              <w:jc w:val="center"/>
              <w:rPr>
                <w:b/>
                <w:bCs/>
                <w:color w:val="000000"/>
                <w:sz w:val="20"/>
                <w:szCs w:val="20"/>
                <w:lang w:eastAsia="zh-CN"/>
              </w:rPr>
            </w:pPr>
            <w:r w:rsidRPr="00F325B1">
              <w:rPr>
                <w:b/>
                <w:bCs/>
                <w:color w:val="000000"/>
                <w:sz w:val="20"/>
                <w:szCs w:val="20"/>
                <w:lang w:eastAsia="zh-CN"/>
              </w:rPr>
              <w:t>As submitted (US $)</w:t>
            </w:r>
          </w:p>
        </w:tc>
        <w:tc>
          <w:tcPr>
            <w:tcW w:w="2610" w:type="dxa"/>
            <w:tcBorders>
              <w:top w:val="single" w:sz="4" w:space="0" w:color="auto"/>
              <w:left w:val="nil"/>
              <w:bottom w:val="single" w:sz="4" w:space="0" w:color="auto"/>
              <w:right w:val="single" w:sz="4" w:space="0" w:color="auto"/>
            </w:tcBorders>
            <w:shd w:val="clear" w:color="auto" w:fill="auto"/>
            <w:noWrap/>
            <w:hideMark/>
          </w:tcPr>
          <w:p w14:paraId="0A38EE06" w14:textId="77777777" w:rsidR="00555DA6" w:rsidRPr="00F325B1" w:rsidRDefault="00555DA6" w:rsidP="00B007EC">
            <w:pPr>
              <w:keepNext/>
              <w:keepLines/>
              <w:jc w:val="center"/>
              <w:rPr>
                <w:b/>
                <w:bCs/>
                <w:color w:val="000000"/>
                <w:sz w:val="20"/>
                <w:szCs w:val="20"/>
                <w:lang w:eastAsia="zh-CN"/>
              </w:rPr>
            </w:pPr>
            <w:r w:rsidRPr="00F325B1">
              <w:rPr>
                <w:b/>
                <w:bCs/>
                <w:color w:val="000000"/>
                <w:sz w:val="20"/>
                <w:szCs w:val="20"/>
                <w:lang w:eastAsia="zh-CN"/>
              </w:rPr>
              <w:t>Agreed costs (US $)</w:t>
            </w:r>
          </w:p>
        </w:tc>
      </w:tr>
      <w:tr w:rsidR="00555DA6" w:rsidRPr="00F325B1" w14:paraId="3DD60C94"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14F6090B"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 xml:space="preserve">Design </w:t>
            </w:r>
          </w:p>
        </w:tc>
        <w:tc>
          <w:tcPr>
            <w:tcW w:w="2724" w:type="dxa"/>
            <w:tcBorders>
              <w:top w:val="nil"/>
              <w:left w:val="nil"/>
              <w:bottom w:val="single" w:sz="4" w:space="0" w:color="auto"/>
              <w:right w:val="single" w:sz="4" w:space="0" w:color="auto"/>
            </w:tcBorders>
            <w:shd w:val="clear" w:color="auto" w:fill="auto"/>
            <w:noWrap/>
            <w:hideMark/>
          </w:tcPr>
          <w:p w14:paraId="3DC59674"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488,250 </w:t>
            </w:r>
          </w:p>
        </w:tc>
        <w:tc>
          <w:tcPr>
            <w:tcW w:w="2610" w:type="dxa"/>
            <w:tcBorders>
              <w:top w:val="nil"/>
              <w:left w:val="nil"/>
              <w:bottom w:val="single" w:sz="4" w:space="0" w:color="auto"/>
              <w:right w:val="single" w:sz="4" w:space="0" w:color="auto"/>
            </w:tcBorders>
            <w:shd w:val="clear" w:color="auto" w:fill="auto"/>
            <w:noWrap/>
            <w:hideMark/>
          </w:tcPr>
          <w:p w14:paraId="6029C777"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362,500 </w:t>
            </w:r>
          </w:p>
        </w:tc>
      </w:tr>
      <w:tr w:rsidR="00555DA6" w:rsidRPr="00F325B1" w14:paraId="1412818A"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57AD5644"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Process and assembly</w:t>
            </w:r>
          </w:p>
        </w:tc>
        <w:tc>
          <w:tcPr>
            <w:tcW w:w="2724" w:type="dxa"/>
            <w:tcBorders>
              <w:top w:val="nil"/>
              <w:left w:val="nil"/>
              <w:bottom w:val="single" w:sz="4" w:space="0" w:color="auto"/>
              <w:right w:val="single" w:sz="4" w:space="0" w:color="auto"/>
            </w:tcBorders>
            <w:shd w:val="clear" w:color="auto" w:fill="auto"/>
            <w:noWrap/>
            <w:hideMark/>
          </w:tcPr>
          <w:p w14:paraId="2FD35A00"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1,690,150 </w:t>
            </w:r>
          </w:p>
        </w:tc>
        <w:tc>
          <w:tcPr>
            <w:tcW w:w="2610" w:type="dxa"/>
            <w:tcBorders>
              <w:top w:val="nil"/>
              <w:left w:val="nil"/>
              <w:bottom w:val="single" w:sz="4" w:space="0" w:color="auto"/>
              <w:right w:val="single" w:sz="4" w:space="0" w:color="auto"/>
            </w:tcBorders>
            <w:shd w:val="clear" w:color="auto" w:fill="auto"/>
            <w:noWrap/>
            <w:hideMark/>
          </w:tcPr>
          <w:p w14:paraId="5A309009"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1,306,200 </w:t>
            </w:r>
          </w:p>
        </w:tc>
      </w:tr>
      <w:tr w:rsidR="00555DA6" w:rsidRPr="00F325B1" w14:paraId="7C7FF1CE"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25003D90"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Trial operation</w:t>
            </w:r>
          </w:p>
        </w:tc>
        <w:tc>
          <w:tcPr>
            <w:tcW w:w="2724" w:type="dxa"/>
            <w:tcBorders>
              <w:top w:val="nil"/>
              <w:left w:val="nil"/>
              <w:bottom w:val="single" w:sz="4" w:space="0" w:color="auto"/>
              <w:right w:val="single" w:sz="4" w:space="0" w:color="auto"/>
            </w:tcBorders>
            <w:shd w:val="clear" w:color="auto" w:fill="auto"/>
            <w:noWrap/>
            <w:hideMark/>
          </w:tcPr>
          <w:p w14:paraId="15467A28"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21,000 </w:t>
            </w:r>
          </w:p>
        </w:tc>
        <w:tc>
          <w:tcPr>
            <w:tcW w:w="2610" w:type="dxa"/>
            <w:tcBorders>
              <w:top w:val="nil"/>
              <w:left w:val="nil"/>
              <w:bottom w:val="single" w:sz="4" w:space="0" w:color="auto"/>
              <w:right w:val="single" w:sz="4" w:space="0" w:color="auto"/>
            </w:tcBorders>
            <w:shd w:val="clear" w:color="auto" w:fill="auto"/>
            <w:noWrap/>
            <w:hideMark/>
          </w:tcPr>
          <w:p w14:paraId="4BC916E3"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12,600 </w:t>
            </w:r>
          </w:p>
        </w:tc>
      </w:tr>
      <w:tr w:rsidR="00555DA6" w:rsidRPr="00F325B1" w14:paraId="13B2692D"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536C68E4"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System operation</w:t>
            </w:r>
          </w:p>
        </w:tc>
        <w:tc>
          <w:tcPr>
            <w:tcW w:w="2724" w:type="dxa"/>
            <w:tcBorders>
              <w:top w:val="nil"/>
              <w:left w:val="nil"/>
              <w:bottom w:val="single" w:sz="4" w:space="0" w:color="auto"/>
              <w:right w:val="single" w:sz="4" w:space="0" w:color="auto"/>
            </w:tcBorders>
            <w:shd w:val="clear" w:color="auto" w:fill="auto"/>
            <w:noWrap/>
            <w:hideMark/>
          </w:tcPr>
          <w:p w14:paraId="0100D2D1"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22,500 </w:t>
            </w:r>
          </w:p>
        </w:tc>
        <w:tc>
          <w:tcPr>
            <w:tcW w:w="2610" w:type="dxa"/>
            <w:tcBorders>
              <w:top w:val="nil"/>
              <w:left w:val="nil"/>
              <w:bottom w:val="single" w:sz="4" w:space="0" w:color="auto"/>
              <w:right w:val="single" w:sz="4" w:space="0" w:color="auto"/>
            </w:tcBorders>
            <w:shd w:val="clear" w:color="auto" w:fill="auto"/>
            <w:noWrap/>
            <w:hideMark/>
          </w:tcPr>
          <w:p w14:paraId="17A44331"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13,500 </w:t>
            </w:r>
          </w:p>
        </w:tc>
      </w:tr>
      <w:tr w:rsidR="00555DA6" w:rsidRPr="00F325B1" w14:paraId="2AF208AC"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3E798F12"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Comparative research</w:t>
            </w:r>
          </w:p>
        </w:tc>
        <w:tc>
          <w:tcPr>
            <w:tcW w:w="2724" w:type="dxa"/>
            <w:tcBorders>
              <w:top w:val="nil"/>
              <w:left w:val="nil"/>
              <w:bottom w:val="single" w:sz="4" w:space="0" w:color="auto"/>
              <w:right w:val="single" w:sz="4" w:space="0" w:color="auto"/>
            </w:tcBorders>
            <w:shd w:val="clear" w:color="auto" w:fill="auto"/>
            <w:noWrap/>
            <w:hideMark/>
          </w:tcPr>
          <w:p w14:paraId="58726BB5"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35,000 </w:t>
            </w:r>
          </w:p>
        </w:tc>
        <w:tc>
          <w:tcPr>
            <w:tcW w:w="2610" w:type="dxa"/>
            <w:tcBorders>
              <w:top w:val="nil"/>
              <w:left w:val="nil"/>
              <w:bottom w:val="single" w:sz="4" w:space="0" w:color="auto"/>
              <w:right w:val="single" w:sz="4" w:space="0" w:color="auto"/>
            </w:tcBorders>
            <w:shd w:val="clear" w:color="auto" w:fill="auto"/>
            <w:noWrap/>
            <w:hideMark/>
          </w:tcPr>
          <w:p w14:paraId="389AEFE5"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21,000 </w:t>
            </w:r>
          </w:p>
        </w:tc>
      </w:tr>
      <w:tr w:rsidR="00555DA6" w:rsidRPr="00F325B1" w14:paraId="3F5161A0"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22437837"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Standards improvement</w:t>
            </w:r>
          </w:p>
        </w:tc>
        <w:tc>
          <w:tcPr>
            <w:tcW w:w="2724" w:type="dxa"/>
            <w:tcBorders>
              <w:top w:val="nil"/>
              <w:left w:val="nil"/>
              <w:bottom w:val="single" w:sz="4" w:space="0" w:color="auto"/>
              <w:right w:val="single" w:sz="4" w:space="0" w:color="auto"/>
            </w:tcBorders>
            <w:shd w:val="clear" w:color="auto" w:fill="auto"/>
            <w:noWrap/>
            <w:hideMark/>
          </w:tcPr>
          <w:p w14:paraId="1167A5A2"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50,000 </w:t>
            </w:r>
          </w:p>
        </w:tc>
        <w:tc>
          <w:tcPr>
            <w:tcW w:w="2610" w:type="dxa"/>
            <w:tcBorders>
              <w:top w:val="nil"/>
              <w:left w:val="nil"/>
              <w:bottom w:val="single" w:sz="4" w:space="0" w:color="auto"/>
              <w:right w:val="single" w:sz="4" w:space="0" w:color="auto"/>
            </w:tcBorders>
            <w:shd w:val="clear" w:color="auto" w:fill="auto"/>
            <w:noWrap/>
            <w:hideMark/>
          </w:tcPr>
          <w:p w14:paraId="5049EE8C"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  </w:t>
            </w:r>
          </w:p>
        </w:tc>
      </w:tr>
      <w:tr w:rsidR="00555DA6" w:rsidRPr="00F325B1" w14:paraId="6AE1BEBF"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301B1F20" w14:textId="77777777" w:rsidR="00555DA6" w:rsidRPr="00F325B1" w:rsidRDefault="00555DA6" w:rsidP="00B007EC">
            <w:pPr>
              <w:keepNext/>
              <w:keepLines/>
              <w:jc w:val="left"/>
              <w:rPr>
                <w:color w:val="000000"/>
                <w:sz w:val="20"/>
                <w:szCs w:val="20"/>
                <w:lang w:eastAsia="zh-CN"/>
              </w:rPr>
            </w:pPr>
            <w:r w:rsidRPr="00F325B1">
              <w:rPr>
                <w:color w:val="000000"/>
                <w:sz w:val="20"/>
                <w:szCs w:val="20"/>
                <w:lang w:eastAsia="zh-CN"/>
              </w:rPr>
              <w:t>Awareness and information dissemination</w:t>
            </w:r>
          </w:p>
        </w:tc>
        <w:tc>
          <w:tcPr>
            <w:tcW w:w="2724" w:type="dxa"/>
            <w:tcBorders>
              <w:top w:val="nil"/>
              <w:left w:val="nil"/>
              <w:bottom w:val="single" w:sz="4" w:space="0" w:color="auto"/>
              <w:right w:val="single" w:sz="4" w:space="0" w:color="auto"/>
            </w:tcBorders>
            <w:shd w:val="clear" w:color="auto" w:fill="auto"/>
            <w:noWrap/>
            <w:hideMark/>
          </w:tcPr>
          <w:p w14:paraId="1B85ECF6"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150,000 </w:t>
            </w:r>
          </w:p>
        </w:tc>
        <w:tc>
          <w:tcPr>
            <w:tcW w:w="2610" w:type="dxa"/>
            <w:tcBorders>
              <w:top w:val="nil"/>
              <w:left w:val="nil"/>
              <w:bottom w:val="single" w:sz="4" w:space="0" w:color="auto"/>
              <w:right w:val="single" w:sz="4" w:space="0" w:color="auto"/>
            </w:tcBorders>
            <w:shd w:val="clear" w:color="auto" w:fill="auto"/>
            <w:noWrap/>
            <w:hideMark/>
          </w:tcPr>
          <w:p w14:paraId="7BE06724" w14:textId="77777777" w:rsidR="00555DA6" w:rsidRPr="00F325B1" w:rsidRDefault="00555DA6" w:rsidP="00B007EC">
            <w:pPr>
              <w:keepNext/>
              <w:keepLines/>
              <w:jc w:val="right"/>
              <w:rPr>
                <w:color w:val="000000"/>
                <w:sz w:val="20"/>
                <w:szCs w:val="20"/>
                <w:lang w:eastAsia="zh-CN"/>
              </w:rPr>
            </w:pPr>
            <w:r w:rsidRPr="00F325B1">
              <w:rPr>
                <w:color w:val="000000"/>
                <w:sz w:val="20"/>
                <w:szCs w:val="20"/>
                <w:lang w:eastAsia="zh-CN"/>
              </w:rPr>
              <w:t xml:space="preserve">            75,000 </w:t>
            </w:r>
          </w:p>
        </w:tc>
      </w:tr>
      <w:tr w:rsidR="00555DA6" w:rsidRPr="00F325B1" w14:paraId="0D0D0F2D" w14:textId="77777777" w:rsidTr="00B007EC">
        <w:trPr>
          <w:trHeight w:val="267"/>
        </w:trPr>
        <w:tc>
          <w:tcPr>
            <w:tcW w:w="3931" w:type="dxa"/>
            <w:tcBorders>
              <w:top w:val="nil"/>
              <w:left w:val="single" w:sz="4" w:space="0" w:color="auto"/>
              <w:bottom w:val="single" w:sz="4" w:space="0" w:color="auto"/>
              <w:right w:val="single" w:sz="4" w:space="0" w:color="auto"/>
            </w:tcBorders>
            <w:shd w:val="clear" w:color="auto" w:fill="auto"/>
            <w:noWrap/>
            <w:hideMark/>
          </w:tcPr>
          <w:p w14:paraId="715F8A2A" w14:textId="77777777" w:rsidR="00555DA6" w:rsidRPr="00F325B1" w:rsidRDefault="00555DA6" w:rsidP="00B007EC">
            <w:pPr>
              <w:keepNext/>
              <w:keepLines/>
              <w:jc w:val="left"/>
              <w:rPr>
                <w:b/>
                <w:bCs/>
                <w:color w:val="000000"/>
                <w:sz w:val="20"/>
                <w:szCs w:val="20"/>
                <w:lang w:eastAsia="zh-CN"/>
              </w:rPr>
            </w:pPr>
            <w:r w:rsidRPr="00F325B1">
              <w:rPr>
                <w:b/>
                <w:bCs/>
                <w:color w:val="000000"/>
                <w:sz w:val="20"/>
                <w:szCs w:val="20"/>
                <w:lang w:eastAsia="zh-CN"/>
              </w:rPr>
              <w:t>Total</w:t>
            </w:r>
          </w:p>
        </w:tc>
        <w:tc>
          <w:tcPr>
            <w:tcW w:w="2724" w:type="dxa"/>
            <w:tcBorders>
              <w:top w:val="nil"/>
              <w:left w:val="nil"/>
              <w:bottom w:val="single" w:sz="4" w:space="0" w:color="auto"/>
              <w:right w:val="single" w:sz="4" w:space="0" w:color="auto"/>
            </w:tcBorders>
            <w:shd w:val="clear" w:color="auto" w:fill="auto"/>
            <w:noWrap/>
            <w:hideMark/>
          </w:tcPr>
          <w:p w14:paraId="794452EF" w14:textId="77777777" w:rsidR="00555DA6" w:rsidRPr="00F325B1" w:rsidRDefault="00555DA6" w:rsidP="00B007EC">
            <w:pPr>
              <w:keepNext/>
              <w:keepLines/>
              <w:jc w:val="right"/>
              <w:rPr>
                <w:b/>
                <w:bCs/>
                <w:color w:val="000000"/>
                <w:sz w:val="20"/>
                <w:szCs w:val="20"/>
                <w:lang w:eastAsia="zh-CN"/>
              </w:rPr>
            </w:pPr>
            <w:r w:rsidRPr="00F325B1">
              <w:rPr>
                <w:b/>
                <w:bCs/>
                <w:color w:val="000000"/>
                <w:sz w:val="20"/>
                <w:szCs w:val="20"/>
                <w:lang w:eastAsia="zh-CN"/>
              </w:rPr>
              <w:t xml:space="preserve">        2,456,00 </w:t>
            </w:r>
          </w:p>
        </w:tc>
        <w:tc>
          <w:tcPr>
            <w:tcW w:w="2610" w:type="dxa"/>
            <w:tcBorders>
              <w:top w:val="nil"/>
              <w:left w:val="nil"/>
              <w:bottom w:val="single" w:sz="4" w:space="0" w:color="auto"/>
              <w:right w:val="single" w:sz="4" w:space="0" w:color="auto"/>
            </w:tcBorders>
            <w:shd w:val="clear" w:color="auto" w:fill="auto"/>
            <w:noWrap/>
            <w:hideMark/>
          </w:tcPr>
          <w:p w14:paraId="4D2E8765" w14:textId="77777777" w:rsidR="00555DA6" w:rsidRPr="00F325B1" w:rsidRDefault="00555DA6" w:rsidP="00B007EC">
            <w:pPr>
              <w:keepNext/>
              <w:keepLines/>
              <w:jc w:val="right"/>
              <w:rPr>
                <w:b/>
                <w:bCs/>
                <w:color w:val="000000"/>
                <w:sz w:val="20"/>
                <w:szCs w:val="20"/>
                <w:lang w:eastAsia="zh-CN"/>
              </w:rPr>
            </w:pPr>
            <w:r w:rsidRPr="00F325B1">
              <w:rPr>
                <w:b/>
                <w:bCs/>
                <w:color w:val="000000"/>
                <w:sz w:val="20"/>
                <w:szCs w:val="20"/>
                <w:lang w:eastAsia="zh-CN"/>
              </w:rPr>
              <w:t xml:space="preserve">         1,790,800 </w:t>
            </w:r>
          </w:p>
        </w:tc>
      </w:tr>
    </w:tbl>
    <w:p w14:paraId="490BF0E3" w14:textId="77777777" w:rsidR="00555DA6" w:rsidRPr="00F325B1" w:rsidRDefault="00555DA6" w:rsidP="00555DA6">
      <w:pPr>
        <w:spacing w:before="240" w:after="240"/>
        <w:rPr>
          <w:u w:val="single"/>
        </w:rPr>
      </w:pPr>
      <w:r w:rsidRPr="00F325B1">
        <w:rPr>
          <w:u w:val="single"/>
        </w:rPr>
        <w:t>Avoidance of emissions</w:t>
      </w:r>
    </w:p>
    <w:p w14:paraId="6A250F80" w14:textId="77777777" w:rsidR="00555DA6" w:rsidRPr="00F325B1" w:rsidRDefault="00555DA6" w:rsidP="00555DA6">
      <w:pPr>
        <w:pStyle w:val="Heading1"/>
      </w:pPr>
      <w:r w:rsidRPr="00F325B1">
        <w:rPr>
          <w:rFonts w:asciiTheme="majorBidi" w:hAnsiTheme="majorBidi" w:cstheme="majorBidi"/>
        </w:rPr>
        <w:t xml:space="preserve"> </w:t>
      </w:r>
      <w:r w:rsidRPr="00F325B1">
        <w:t>Compared to R-410A-based air-conditioning systems catering to a 7,200 kW heat load and taking into account a waste heat recovery level of 40 per cent, and an indirect greenhouse gas emission level of electricity of 0.997 kg CO</w:t>
      </w:r>
      <w:r w:rsidRPr="00F325B1">
        <w:rPr>
          <w:vertAlign w:val="subscript"/>
        </w:rPr>
        <w:t>2</w:t>
      </w:r>
      <w:r w:rsidRPr="00F325B1">
        <w:t>/kWh, the direct and indirect emissions savings over the life of the data centre (i.e., 20 years) are 9,020 CO</w:t>
      </w:r>
      <w:r w:rsidRPr="00F325B1">
        <w:rPr>
          <w:vertAlign w:val="subscript"/>
        </w:rPr>
        <w:t>2</w:t>
      </w:r>
      <w:r w:rsidRPr="00F325B1">
        <w:t>-eq tonnes and 1.17 million CO</w:t>
      </w:r>
      <w:r w:rsidRPr="00F325B1">
        <w:rPr>
          <w:vertAlign w:val="subscript"/>
        </w:rPr>
        <w:t>2</w:t>
      </w:r>
      <w:r w:rsidRPr="00F325B1">
        <w:t>-eq tonnes, respectively.</w:t>
      </w:r>
    </w:p>
    <w:p w14:paraId="2AD095F1" w14:textId="77777777" w:rsidR="00555DA6" w:rsidRPr="00F325B1" w:rsidRDefault="00555DA6" w:rsidP="00555DA6">
      <w:pPr>
        <w:spacing w:before="240" w:after="240"/>
        <w:rPr>
          <w:u w:val="single"/>
        </w:rPr>
      </w:pPr>
      <w:r w:rsidRPr="00F325B1">
        <w:rPr>
          <w:u w:val="single"/>
        </w:rPr>
        <w:t>Sustainability, replicability of the pilot project and assessment of risks</w:t>
      </w:r>
    </w:p>
    <w:p w14:paraId="1F14FC5E" w14:textId="77777777" w:rsidR="00555DA6" w:rsidRPr="00F325B1" w:rsidRDefault="00555DA6" w:rsidP="00555DA6">
      <w:pPr>
        <w:pStyle w:val="Heading1"/>
      </w:pPr>
      <w:r w:rsidRPr="00F325B1">
        <w:t>The project is expected to demonstrate the results of the use of single-phase immersion cooling systems in data centres using a new environmentally friendly proprietary coolant, “Bing Yi 797”. It would also provide information on the performance of the technology in terms of impact on potential HFC consumption reduction that would be avoided and overall energy consumption levels compared to a traditional HFC-based cooling system for a similar data centre. The project is also expected to provide results relating to how the climate impact can be maximized through waste heat recovery and possible use of renewable energy sources with traditional power to create a stable, reliable, and energy efficient power supply for the data centre. The project would also have a significant investment on different components from the beneficiary (Anhui Tier) demonstrating their commitment to project implementation. The Government will comply with the conditions specified in paragraph b(iv) of decision 91/65. This project will also provide information on performance of this technology, which can help in the future development and strengthening of energy efficiency standards and performance parameters for data centres.</w:t>
      </w:r>
    </w:p>
    <w:p w14:paraId="0322765F" w14:textId="77777777" w:rsidR="00555DA6" w:rsidRPr="00F325B1" w:rsidRDefault="00555DA6" w:rsidP="00555DA6">
      <w:pPr>
        <w:keepNext/>
        <w:spacing w:before="240" w:after="240"/>
        <w:rPr>
          <w:b/>
        </w:rPr>
      </w:pPr>
      <w:r w:rsidRPr="00F325B1">
        <w:rPr>
          <w:b/>
        </w:rPr>
        <w:t>RECOMMENDATION</w:t>
      </w:r>
    </w:p>
    <w:p w14:paraId="5C23D448" w14:textId="01A4BEE8" w:rsidR="00555DA6" w:rsidRPr="00F325B1" w:rsidRDefault="00555DA6" w:rsidP="00555DA6">
      <w:pPr>
        <w:pStyle w:val="Heading1"/>
      </w:pPr>
      <w:r w:rsidRPr="00F325B1">
        <w:t>The Executive Committee may wish to consider approving the pilot project to enhance the energy efficiency of cooling technologies in data centres th</w:t>
      </w:r>
      <w:r>
        <w:t>r</w:t>
      </w:r>
      <w:r w:rsidRPr="00F325B1">
        <w:t>ough the demonstration of single-phase immersion cooling system in a data centre</w:t>
      </w:r>
      <w:r w:rsidRPr="00F325B1" w:rsidDel="00A91C64">
        <w:t xml:space="preserve"> </w:t>
      </w:r>
      <w:r w:rsidRPr="00F325B1">
        <w:t>in the amount of US</w:t>
      </w:r>
      <w:r w:rsidR="00D54206">
        <w:t> </w:t>
      </w:r>
      <w:r w:rsidRPr="00F325B1">
        <w:t>$1,790,800, plus agency support costs of US</w:t>
      </w:r>
      <w:r w:rsidR="00D54206">
        <w:t> </w:t>
      </w:r>
      <w:r w:rsidRPr="00F325B1">
        <w:t>$125,356</w:t>
      </w:r>
      <w:r>
        <w:t xml:space="preserve"> for UNDP</w:t>
      </w:r>
      <w:r w:rsidRPr="00F325B1">
        <w:t xml:space="preserve">, noting: </w:t>
      </w:r>
    </w:p>
    <w:p w14:paraId="6593A9B8" w14:textId="77777777" w:rsidR="00555DA6" w:rsidRPr="00F325B1" w:rsidRDefault="00555DA6" w:rsidP="00555DA6">
      <w:pPr>
        <w:pStyle w:val="Heading2"/>
      </w:pPr>
      <w:r w:rsidRPr="00F325B1">
        <w:t>The expected direct emission reduction of 9,020 CO</w:t>
      </w:r>
      <w:r w:rsidRPr="00F325B1">
        <w:rPr>
          <w:vertAlign w:val="subscript"/>
        </w:rPr>
        <w:t>2</w:t>
      </w:r>
      <w:r w:rsidRPr="00F325B1">
        <w:t>-eq tonnes over the estimated life of 20 years; and</w:t>
      </w:r>
    </w:p>
    <w:p w14:paraId="6CE2E756" w14:textId="77777777" w:rsidR="00555DA6" w:rsidRPr="00F325B1" w:rsidRDefault="00555DA6" w:rsidP="00FD7885">
      <w:pPr>
        <w:pStyle w:val="Heading2"/>
      </w:pPr>
      <w:r w:rsidRPr="00F325B1">
        <w:t>That the project would be completed no later than 31 December 2026 and a detailed project report would be submitted to the Executive Committee within six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1A0EAB" w14:textId="77777777" w:rsidTr="00555DA6">
        <w:tc>
          <w:tcPr>
            <w:tcW w:w="1871" w:type="dxa"/>
          </w:tcPr>
          <w:p w14:paraId="365FFCF0" w14:textId="77777777" w:rsidR="00E85409" w:rsidRPr="009B0D30" w:rsidRDefault="00E85409" w:rsidP="00FB077C"/>
        </w:tc>
        <w:tc>
          <w:tcPr>
            <w:tcW w:w="1872" w:type="dxa"/>
          </w:tcPr>
          <w:p w14:paraId="1B77632C" w14:textId="77777777" w:rsidR="00E85409" w:rsidRPr="009B0D30" w:rsidRDefault="00E85409" w:rsidP="00FB077C"/>
        </w:tc>
        <w:tc>
          <w:tcPr>
            <w:tcW w:w="1872" w:type="dxa"/>
            <w:tcBorders>
              <w:bottom w:val="single" w:sz="4" w:space="0" w:color="auto"/>
            </w:tcBorders>
          </w:tcPr>
          <w:p w14:paraId="4E245C9C" w14:textId="77777777" w:rsidR="00E85409" w:rsidRPr="009B0D30" w:rsidRDefault="00E85409" w:rsidP="00FB077C"/>
        </w:tc>
        <w:tc>
          <w:tcPr>
            <w:tcW w:w="1872" w:type="dxa"/>
          </w:tcPr>
          <w:p w14:paraId="6401AD67" w14:textId="77777777" w:rsidR="00E85409" w:rsidRPr="009B0D30" w:rsidRDefault="00E85409" w:rsidP="00FB077C"/>
        </w:tc>
        <w:tc>
          <w:tcPr>
            <w:tcW w:w="1873" w:type="dxa"/>
          </w:tcPr>
          <w:p w14:paraId="2F66355D" w14:textId="77777777" w:rsidR="00E85409" w:rsidRPr="009B0D30" w:rsidRDefault="00E85409" w:rsidP="00FB077C"/>
        </w:tc>
      </w:tr>
    </w:tbl>
    <w:p w14:paraId="25B1A6D1" w14:textId="77777777" w:rsidR="00E85409" w:rsidRPr="000D16FE" w:rsidRDefault="00E85409" w:rsidP="004E7F9C">
      <w:pPr>
        <w:rPr>
          <w:sz w:val="16"/>
          <w:szCs w:val="16"/>
        </w:rPr>
      </w:pPr>
    </w:p>
    <w:sectPr w:rsidR="00E85409" w:rsidRPr="000D16F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1A679" w14:textId="77777777" w:rsidR="00555DA6" w:rsidRDefault="00555DA6" w:rsidP="004A504B">
      <w:r>
        <w:separator/>
      </w:r>
    </w:p>
  </w:endnote>
  <w:endnote w:type="continuationSeparator" w:id="0">
    <w:p w14:paraId="665AE39B" w14:textId="77777777" w:rsidR="00555DA6" w:rsidRDefault="00555D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9C4C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6704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B70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ADF3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976814" w14:textId="77777777" w:rsidR="00555DA6" w:rsidRDefault="00555DA6" w:rsidP="004A504B">
      <w:r>
        <w:separator/>
      </w:r>
    </w:p>
  </w:footnote>
  <w:footnote w:type="continuationSeparator" w:id="0">
    <w:p w14:paraId="15A8E662" w14:textId="77777777" w:rsidR="00555DA6" w:rsidRDefault="00555DA6" w:rsidP="004A504B">
      <w:r>
        <w:continuationSeparator/>
      </w:r>
    </w:p>
  </w:footnote>
  <w:footnote w:id="1">
    <w:p w14:paraId="7DF31CF4"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57D1B2DF" w14:textId="77777777" w:rsidR="00555DA6" w:rsidRPr="00E455C7" w:rsidRDefault="00555DA6" w:rsidP="00555DA6">
      <w:pPr>
        <w:pStyle w:val="FootnoteText"/>
      </w:pPr>
      <w:r w:rsidRPr="00E455C7">
        <w:rPr>
          <w:rStyle w:val="FootnoteReference"/>
        </w:rPr>
        <w:footnoteRef/>
      </w:r>
      <w:r w:rsidRPr="00E455C7">
        <w:t xml:space="preserve"> As per the letter of 6 September 2024 from the </w:t>
      </w:r>
      <w:bookmarkStart w:id="2" w:name="_Hlk150594554"/>
      <w:r w:rsidRPr="00E455C7">
        <w:t xml:space="preserve">Ministry of Ecology and Environment of </w:t>
      </w:r>
      <w:bookmarkEnd w:id="2"/>
      <w:r w:rsidRPr="00E455C7">
        <w:t>China to UNDP.</w:t>
      </w:r>
    </w:p>
  </w:footnote>
  <w:footnote w:id="3">
    <w:p w14:paraId="22C7ECC1" w14:textId="77777777" w:rsidR="00555DA6" w:rsidRPr="00E455C7" w:rsidRDefault="00555DA6" w:rsidP="00555DA6">
      <w:pPr>
        <w:pStyle w:val="FootnoteText"/>
      </w:pPr>
      <w:r w:rsidRPr="00E455C7">
        <w:rPr>
          <w:rStyle w:val="FootnoteReference"/>
        </w:rPr>
        <w:footnoteRef/>
      </w:r>
      <w:r w:rsidRPr="00E455C7">
        <w:t xml:space="preserve"> PUE is the ratio of the total amount of energy used by a computer data centre facility to the energy delivered to computing equipment.</w:t>
      </w:r>
    </w:p>
  </w:footnote>
  <w:footnote w:id="4">
    <w:p w14:paraId="6AD2767C" w14:textId="77777777" w:rsidR="00555DA6" w:rsidRPr="00E455C7" w:rsidRDefault="00555DA6" w:rsidP="00555DA6">
      <w:pPr>
        <w:pStyle w:val="FootnoteText"/>
      </w:pPr>
      <w:r w:rsidRPr="00E455C7">
        <w:rPr>
          <w:rStyle w:val="FootnoteReference"/>
        </w:rPr>
        <w:footnoteRef/>
      </w:r>
      <w:r w:rsidRPr="00E455C7">
        <w:t xml:space="preserve"> International Energy Agency report: Policy development on energy efficiency of data centres, Page 44 https://www.iea-4e.org/wp-content/uploads/2024/02/Policy-development-on-energy-efficiency-of-data-centres-draft-final-report-v1.05.pdf</w:t>
      </w:r>
    </w:p>
  </w:footnote>
  <w:footnote w:id="5">
    <w:p w14:paraId="2718731A" w14:textId="77777777" w:rsidR="00555DA6" w:rsidRPr="00E455C7" w:rsidRDefault="00555DA6" w:rsidP="00555DA6">
      <w:pPr>
        <w:pStyle w:val="FootnoteText"/>
        <w:tabs>
          <w:tab w:val="center" w:pos="4680"/>
        </w:tabs>
      </w:pPr>
      <w:r w:rsidRPr="00E455C7">
        <w:rPr>
          <w:rStyle w:val="FootnoteReference"/>
        </w:rPr>
        <w:footnoteRef/>
      </w:r>
      <w:r w:rsidRPr="00E455C7">
        <w:t xml:space="preserve"> English.gov.cn, the official English-language communication platform of the State Council of the People’s Republic of China https://english.www.gov.cn/news/202407/24/content_WS66a0b167c6d0868f4e8e96ba.html</w:t>
      </w:r>
      <w:r w:rsidRPr="00E455C7">
        <w:tab/>
      </w:r>
    </w:p>
  </w:footnote>
  <w:footnote w:id="6">
    <w:p w14:paraId="70047041" w14:textId="77777777" w:rsidR="00555DA6" w:rsidRPr="00E455C7" w:rsidRDefault="00555DA6" w:rsidP="00555DA6">
      <w:pPr>
        <w:pStyle w:val="FootnoteText"/>
        <w:rPr>
          <w:color w:val="0000FF" w:themeColor="hyperlink"/>
          <w:u w:val="single"/>
        </w:rPr>
      </w:pPr>
      <w:r w:rsidRPr="00E455C7">
        <w:rPr>
          <w:rStyle w:val="FootnoteReference"/>
        </w:rPr>
        <w:footnoteRef/>
      </w:r>
      <w:r w:rsidRPr="00E455C7">
        <w:t xml:space="preserve"> The climate cost of China’s digital infrastructure rush, dialogue Earth https://dialogue.earth/en/energy/11960-the-climate-cost-of-china-s-digital-infrastructure-rush/</w:t>
      </w:r>
    </w:p>
  </w:footnote>
  <w:footnote w:id="7">
    <w:p w14:paraId="75535636" w14:textId="77777777" w:rsidR="00555DA6" w:rsidRPr="00E455C7" w:rsidRDefault="00555DA6" w:rsidP="00555DA6">
      <w:pPr>
        <w:pStyle w:val="FootnoteText"/>
      </w:pPr>
      <w:r w:rsidRPr="00E455C7">
        <w:rPr>
          <w:rStyle w:val="FootnoteReference"/>
        </w:rPr>
        <w:footnoteRef/>
      </w:r>
      <w:r w:rsidRPr="00E455C7">
        <w:t xml:space="preserve"> International Energy Agency (IEA) https://www.iea.org/reports/electricity-2024/executive-summary</w:t>
      </w:r>
    </w:p>
  </w:footnote>
  <w:footnote w:id="8">
    <w:p w14:paraId="191F4557" w14:textId="77777777" w:rsidR="00555DA6" w:rsidRPr="00E455C7" w:rsidRDefault="00555DA6" w:rsidP="00555DA6">
      <w:pPr>
        <w:pStyle w:val="FootnoteText"/>
      </w:pPr>
      <w:r w:rsidRPr="00E455C7">
        <w:rPr>
          <w:rStyle w:val="FootnoteReference"/>
        </w:rPr>
        <w:footnoteRef/>
      </w:r>
      <w:r w:rsidRPr="00E455C7">
        <w:t xml:space="preserve"> In a report by Greenpeace East Asia and the North China Electric Power University https://www.techerati.com/news-hub/data-centres-china-renewables-energy/</w:t>
      </w:r>
    </w:p>
  </w:footnote>
  <w:footnote w:id="9">
    <w:p w14:paraId="5FB3C77C" w14:textId="77777777" w:rsidR="00555DA6" w:rsidRPr="00E455C7" w:rsidRDefault="00555DA6" w:rsidP="00555DA6">
      <w:pPr>
        <w:pStyle w:val="FootnoteText"/>
      </w:pPr>
      <w:r w:rsidRPr="00E455C7">
        <w:rPr>
          <w:rStyle w:val="FootnoteReference"/>
        </w:rPr>
        <w:footnoteRef/>
      </w:r>
      <w:r w:rsidRPr="00E455C7">
        <w:t xml:space="preserve"> Copenhagen Centre on Energy Efficiency, Innovative Data-Centre Cooling Technologies in China – Liquid Cooling Solution, https://c2e2.unepccc.org/kms_object/innovative-data-centre-cooling-technologies-in-china-liquid-cooling-solution/</w:t>
      </w:r>
    </w:p>
  </w:footnote>
  <w:footnote w:id="10">
    <w:p w14:paraId="0EF8D8AF" w14:textId="77777777" w:rsidR="00555DA6" w:rsidRPr="00E455C7" w:rsidRDefault="00555DA6" w:rsidP="00555DA6">
      <w:pPr>
        <w:pStyle w:val="FootnoteText"/>
      </w:pPr>
      <w:r w:rsidRPr="00E455C7">
        <w:rPr>
          <w:rStyle w:val="FootnoteReference"/>
        </w:rPr>
        <w:footnoteRef/>
      </w:r>
      <w:r w:rsidRPr="00E455C7">
        <w:t xml:space="preserve"> Ibid.</w:t>
      </w:r>
    </w:p>
  </w:footnote>
  <w:footnote w:id="11">
    <w:p w14:paraId="7B9D75FB" w14:textId="77777777" w:rsidR="00555DA6" w:rsidRPr="00E455C7" w:rsidRDefault="00555DA6" w:rsidP="00555DA6">
      <w:pPr>
        <w:pStyle w:val="FootnoteText"/>
      </w:pPr>
      <w:r w:rsidRPr="00E455C7">
        <w:rPr>
          <w:rStyle w:val="FootnoteReference"/>
        </w:rPr>
        <w:footnoteRef/>
      </w:r>
      <w:r w:rsidRPr="00E455C7">
        <w:t xml:space="preserve"> Ibid.</w:t>
      </w:r>
    </w:p>
  </w:footnote>
  <w:footnote w:id="12">
    <w:p w14:paraId="62C4182A" w14:textId="77777777" w:rsidR="00555DA6" w:rsidRPr="00E455C7" w:rsidRDefault="00555DA6" w:rsidP="00555DA6">
      <w:pPr>
        <w:pStyle w:val="FootnoteText"/>
      </w:pPr>
      <w:r w:rsidRPr="00E455C7">
        <w:rPr>
          <w:rStyle w:val="FootnoteReference"/>
        </w:rPr>
        <w:footnoteRef/>
      </w:r>
      <w:r w:rsidRPr="00E455C7">
        <w:t xml:space="preserve"> https://www.hvacinformed.com/news/dfc-explains-advantages-plate-heat-exchangers-in-refrigeration-technology-co-1711435756-ga.1711435878.html; https://www.swep.net/refrigerant-handbook/10.-systems/asdf8/; https://www.alfalaval.us/industries/refrigeration/industrial-refrigeration/</w:t>
      </w:r>
    </w:p>
  </w:footnote>
  <w:footnote w:id="13">
    <w:p w14:paraId="17DFF860" w14:textId="77777777" w:rsidR="00555DA6" w:rsidRPr="00E455C7" w:rsidRDefault="00555DA6" w:rsidP="00555DA6">
      <w:pPr>
        <w:pStyle w:val="FootnoteText"/>
      </w:pPr>
      <w:r w:rsidRPr="00E455C7">
        <w:rPr>
          <w:rStyle w:val="FootnoteReference"/>
        </w:rPr>
        <w:footnoteRef/>
      </w:r>
      <w:r w:rsidRPr="00E455C7">
        <w:t xml:space="preserve"> This relates to operations of the data centre on a trial basis to collect data for optimising system performance relating to temperature, heat transfer aspects that affect temperature fluctuations and impact on energy consumption.</w:t>
      </w:r>
    </w:p>
  </w:footnote>
  <w:footnote w:id="14">
    <w:p w14:paraId="06482AAF" w14:textId="77777777" w:rsidR="00555DA6" w:rsidRPr="00E455C7" w:rsidRDefault="00555DA6" w:rsidP="00555DA6">
      <w:pPr>
        <w:pStyle w:val="FootnoteText"/>
      </w:pPr>
      <w:r w:rsidRPr="00E455C7">
        <w:rPr>
          <w:rStyle w:val="FootnoteReference"/>
        </w:rPr>
        <w:footnoteRef/>
      </w:r>
      <w:r w:rsidRPr="00E455C7">
        <w:t xml:space="preserve"> This relates to costs for technical and maintenance personnel for onsite operation of the equipment.</w:t>
      </w:r>
    </w:p>
  </w:footnote>
  <w:footnote w:id="15">
    <w:p w14:paraId="199A2AB5" w14:textId="77777777" w:rsidR="00555DA6" w:rsidRPr="00E455C7" w:rsidRDefault="00555DA6" w:rsidP="00555DA6">
      <w:pPr>
        <w:pStyle w:val="FootnoteText"/>
      </w:pPr>
      <w:r w:rsidRPr="00E455C7">
        <w:rPr>
          <w:rStyle w:val="FootnoteReference"/>
        </w:rPr>
        <w:footnoteRef/>
      </w:r>
      <w:r w:rsidRPr="00E455C7">
        <w:t xml:space="preserve"> The temperature of the coolant at the point where it enters a system</w:t>
      </w:r>
    </w:p>
  </w:footnote>
  <w:footnote w:id="16">
    <w:p w14:paraId="4A651EE5" w14:textId="77777777" w:rsidR="00555DA6" w:rsidRPr="00E455C7" w:rsidRDefault="00555DA6" w:rsidP="00555DA6">
      <w:pPr>
        <w:pStyle w:val="FootnoteText"/>
      </w:pPr>
      <w:r w:rsidRPr="00E455C7">
        <w:rPr>
          <w:rStyle w:val="FootnoteReference"/>
        </w:rPr>
        <w:footnoteRef/>
      </w:r>
      <w:r w:rsidRPr="00E455C7">
        <w:t xml:space="preserve"> The temperature of the coolant at the point where it exits a system</w:t>
      </w:r>
    </w:p>
  </w:footnote>
  <w:footnote w:id="17">
    <w:p w14:paraId="245F196D" w14:textId="77777777" w:rsidR="00555DA6" w:rsidRPr="00E455C7" w:rsidRDefault="00555DA6" w:rsidP="00555DA6">
      <w:pPr>
        <w:pStyle w:val="FootnoteText"/>
        <w:rPr>
          <w:rFonts w:asciiTheme="majorBidi" w:hAnsiTheme="majorBidi" w:cstheme="majorBidi"/>
        </w:rPr>
      </w:pPr>
      <w:r w:rsidRPr="00E455C7">
        <w:rPr>
          <w:rStyle w:val="FootnoteReference"/>
        </w:rPr>
        <w:footnoteRef/>
      </w:r>
      <w:r w:rsidRPr="00E455C7">
        <w:t xml:space="preserve"> </w:t>
      </w:r>
      <w:r w:rsidRPr="00E455C7">
        <w:rPr>
          <w:rFonts w:asciiTheme="majorBidi" w:hAnsiTheme="majorBidi" w:cstheme="majorBidi"/>
        </w:rPr>
        <w:t>Other parameters for efficiency would be Water Usage Effectiveness (WUE), Renewable Energy Factor (REF), partial Power Usage Effectiveness (PPUE); these indicators would also be calculated for assessing project performance.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294B2" w14:textId="5B11E754" w:rsidR="00DC6A10" w:rsidRPr="0033525D" w:rsidRDefault="007548C4">
    <w:fldSimple w:instr=" DOCPROPERTY &quot;Document number&quot;  \* MERGEFORMAT ">
      <w:r w:rsidR="00544577">
        <w:t>UNEP/OzL.Pro/ExCom/95/47/Add.1</w:t>
      </w:r>
    </w:fldSimple>
  </w:p>
  <w:p w14:paraId="25DF4902" w14:textId="77777777" w:rsidR="00DC6A10" w:rsidRPr="0033525D" w:rsidRDefault="00DC6A10"/>
  <w:p w14:paraId="02008B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B3411" w14:textId="2D04F323" w:rsidR="00DC6A10" w:rsidRPr="0033525D" w:rsidRDefault="007548C4">
    <w:pPr>
      <w:jc w:val="right"/>
    </w:pPr>
    <w:fldSimple w:instr=" DOCPROPERTY &quot;Document number&quot;  \* MERGEFORMAT ">
      <w:r w:rsidR="00544577">
        <w:t>UNEP/OzL.Pro/ExCom/95/47/Add.1</w:t>
      </w:r>
    </w:fldSimple>
  </w:p>
  <w:p w14:paraId="06A94CA4" w14:textId="77777777" w:rsidR="00DC6A10" w:rsidRPr="0033525D" w:rsidRDefault="00DC6A10"/>
  <w:p w14:paraId="27EDE89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FEA700"/>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60376733"/>
    <w:multiLevelType w:val="hybridMultilevel"/>
    <w:tmpl w:val="A11C1AA4"/>
    <w:lvl w:ilvl="0" w:tplc="E5102E18">
      <w:start w:val="1"/>
      <w:numFmt w:val="decimal"/>
      <w:lvlText w:val="%1."/>
      <w:lvlJc w:val="left"/>
      <w:pPr>
        <w:ind w:left="410" w:hanging="360"/>
      </w:pPr>
      <w:rPr>
        <w:rFonts w:hint="default"/>
      </w:rPr>
    </w:lvl>
    <w:lvl w:ilvl="1" w:tplc="10090019" w:tentative="1">
      <w:start w:val="1"/>
      <w:numFmt w:val="lowerLetter"/>
      <w:lvlText w:val="%2."/>
      <w:lvlJc w:val="left"/>
      <w:pPr>
        <w:ind w:left="1130" w:hanging="360"/>
      </w:pPr>
    </w:lvl>
    <w:lvl w:ilvl="2" w:tplc="1009001B" w:tentative="1">
      <w:start w:val="1"/>
      <w:numFmt w:val="lowerRoman"/>
      <w:lvlText w:val="%3."/>
      <w:lvlJc w:val="right"/>
      <w:pPr>
        <w:ind w:left="1850" w:hanging="180"/>
      </w:pPr>
    </w:lvl>
    <w:lvl w:ilvl="3" w:tplc="1009000F" w:tentative="1">
      <w:start w:val="1"/>
      <w:numFmt w:val="decimal"/>
      <w:lvlText w:val="%4."/>
      <w:lvlJc w:val="left"/>
      <w:pPr>
        <w:ind w:left="2570" w:hanging="360"/>
      </w:pPr>
    </w:lvl>
    <w:lvl w:ilvl="4" w:tplc="10090019" w:tentative="1">
      <w:start w:val="1"/>
      <w:numFmt w:val="lowerLetter"/>
      <w:lvlText w:val="%5."/>
      <w:lvlJc w:val="left"/>
      <w:pPr>
        <w:ind w:left="3290" w:hanging="360"/>
      </w:pPr>
    </w:lvl>
    <w:lvl w:ilvl="5" w:tplc="1009001B" w:tentative="1">
      <w:start w:val="1"/>
      <w:numFmt w:val="lowerRoman"/>
      <w:lvlText w:val="%6."/>
      <w:lvlJc w:val="right"/>
      <w:pPr>
        <w:ind w:left="4010" w:hanging="180"/>
      </w:pPr>
    </w:lvl>
    <w:lvl w:ilvl="6" w:tplc="1009000F" w:tentative="1">
      <w:start w:val="1"/>
      <w:numFmt w:val="decimal"/>
      <w:lvlText w:val="%7."/>
      <w:lvlJc w:val="left"/>
      <w:pPr>
        <w:ind w:left="4730" w:hanging="360"/>
      </w:pPr>
    </w:lvl>
    <w:lvl w:ilvl="7" w:tplc="10090019" w:tentative="1">
      <w:start w:val="1"/>
      <w:numFmt w:val="lowerLetter"/>
      <w:lvlText w:val="%8."/>
      <w:lvlJc w:val="left"/>
      <w:pPr>
        <w:ind w:left="5450" w:hanging="360"/>
      </w:pPr>
    </w:lvl>
    <w:lvl w:ilvl="8" w:tplc="1009001B" w:tentative="1">
      <w:start w:val="1"/>
      <w:numFmt w:val="lowerRoman"/>
      <w:lvlText w:val="%9."/>
      <w:lvlJc w:val="right"/>
      <w:pPr>
        <w:ind w:left="6170" w:hanging="180"/>
      </w:pPr>
    </w:lvl>
  </w:abstractNum>
  <w:abstractNum w:abstractNumId="17" w15:restartNumberingAfterBreak="0">
    <w:nsid w:val="71ED6CF1"/>
    <w:multiLevelType w:val="hybridMultilevel"/>
    <w:tmpl w:val="15FA58EE"/>
    <w:lvl w:ilvl="0" w:tplc="1DC444F2">
      <w:start w:val="1"/>
      <w:numFmt w:val="decimal"/>
      <w:lvlText w:val="%1."/>
      <w:lvlJc w:val="left"/>
      <w:pPr>
        <w:ind w:left="720" w:hanging="360"/>
      </w:pPr>
      <w:rPr>
        <w:rFonts w:hint="default"/>
        <w:b w:val="0"/>
        <w:bCs w:val="0"/>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1161851763">
    <w:abstractNumId w:val="15"/>
  </w:num>
  <w:num w:numId="22" w16cid:durableId="1154417625">
    <w:abstractNumId w:val="17"/>
  </w:num>
  <w:num w:numId="23" w16cid:durableId="1322080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8124263">
    <w:abstractNumId w:val="16"/>
  </w:num>
  <w:num w:numId="25" w16cid:durableId="1776752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40285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9910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5DA6"/>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D16FE"/>
    <w:rsid w:val="000D52A4"/>
    <w:rsid w:val="000E07BC"/>
    <w:rsid w:val="000E2E21"/>
    <w:rsid w:val="000F1CD4"/>
    <w:rsid w:val="000F4103"/>
    <w:rsid w:val="000F70A7"/>
    <w:rsid w:val="00113CCA"/>
    <w:rsid w:val="00122F25"/>
    <w:rsid w:val="00135980"/>
    <w:rsid w:val="0013786F"/>
    <w:rsid w:val="00164719"/>
    <w:rsid w:val="00166FC4"/>
    <w:rsid w:val="001677AC"/>
    <w:rsid w:val="00177CDE"/>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764E"/>
    <w:rsid w:val="003A3189"/>
    <w:rsid w:val="003A3CA7"/>
    <w:rsid w:val="003B2B88"/>
    <w:rsid w:val="003B33BD"/>
    <w:rsid w:val="003B569D"/>
    <w:rsid w:val="003C3C0E"/>
    <w:rsid w:val="003D2176"/>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4577"/>
    <w:rsid w:val="005516F3"/>
    <w:rsid w:val="00555D75"/>
    <w:rsid w:val="00555DA6"/>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68A8"/>
    <w:rsid w:val="0074760E"/>
    <w:rsid w:val="007548C4"/>
    <w:rsid w:val="00754ABA"/>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2522F"/>
    <w:rsid w:val="00831979"/>
    <w:rsid w:val="008502DA"/>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4206"/>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534F"/>
    <w:rsid w:val="00F21088"/>
    <w:rsid w:val="00F326BF"/>
    <w:rsid w:val="00F327E7"/>
    <w:rsid w:val="00F35746"/>
    <w:rsid w:val="00F447C7"/>
    <w:rsid w:val="00F44961"/>
    <w:rsid w:val="00F459B4"/>
    <w:rsid w:val="00F5211B"/>
    <w:rsid w:val="00F554A9"/>
    <w:rsid w:val="00F716FD"/>
    <w:rsid w:val="00F80355"/>
    <w:rsid w:val="00F87C43"/>
    <w:rsid w:val="00FA5722"/>
    <w:rsid w:val="00FB0C81"/>
    <w:rsid w:val="00FC2200"/>
    <w:rsid w:val="00FC2540"/>
    <w:rsid w:val="00FD7885"/>
    <w:rsid w:val="00FE601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174E9"/>
  <w15:docId w15:val="{9F2BABA5-3971-4645-93E7-5676EB7A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55DA6"/>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55DA6"/>
    <w:pPr>
      <w:ind w:left="720"/>
      <w:contextualSpacing/>
    </w:pPr>
    <w:rPr>
      <w:lang w:val="en-GB"/>
    </w:rPr>
  </w:style>
  <w:style w:type="paragraph" w:styleId="Revision">
    <w:name w:val="Revision"/>
    <w:hidden/>
    <w:uiPriority w:val="99"/>
    <w:semiHidden/>
    <w:rsid w:val="00555DA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55DA6"/>
    <w:rPr>
      <w:sz w:val="22"/>
      <w:szCs w:val="22"/>
      <w:lang w:val="en-CA"/>
    </w:rPr>
  </w:style>
  <w:style w:type="paragraph" w:styleId="NormalWeb">
    <w:name w:val="Normal (Web)"/>
    <w:basedOn w:val="Normal"/>
    <w:uiPriority w:val="99"/>
    <w:unhideWhenUsed/>
    <w:rsid w:val="00555D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555DA6"/>
  </w:style>
  <w:style w:type="character" w:customStyle="1" w:styleId="highlight">
    <w:name w:val="highlight"/>
    <w:basedOn w:val="DefaultParagraphFont"/>
    <w:rsid w:val="00555DA6"/>
  </w:style>
  <w:style w:type="table" w:customStyle="1" w:styleId="Cuadrculadetablaclara1">
    <w:name w:val="Cuadrícula de tabla clara1"/>
    <w:basedOn w:val="TableNormal"/>
    <w:uiPriority w:val="40"/>
    <w:rsid w:val="00555DA6"/>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555DA6"/>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555DA6"/>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
    <w:rsid w:val="00555DA6"/>
    <w:pPr>
      <w:widowControl w:val="0"/>
      <w:tabs>
        <w:tab w:val="center" w:pos="4320"/>
        <w:tab w:val="right" w:pos="8640"/>
        <w:tab w:val="left" w:pos="9000"/>
      </w:tabs>
    </w:pPr>
    <w:rPr>
      <w:snapToGrid w:val="0"/>
      <w:sz w:val="20"/>
      <w:szCs w:val="20"/>
      <w:lang w:val="en-US"/>
    </w:rPr>
  </w:style>
  <w:style w:type="paragraph" w:styleId="Caption">
    <w:name w:val="caption"/>
    <w:basedOn w:val="Normal"/>
    <w:next w:val="Normal"/>
    <w:link w:val="CaptionChar"/>
    <w:autoRedefine/>
    <w:uiPriority w:val="35"/>
    <w:qFormat/>
    <w:rsid w:val="00555DA6"/>
    <w:pPr>
      <w:keepNext/>
      <w:ind w:left="270"/>
      <w:jc w:val="left"/>
    </w:pPr>
    <w:rPr>
      <w:rFonts w:eastAsia="Calibri" w:cs="Calibri Light"/>
      <w:b/>
      <w:bCs/>
      <w:iCs/>
      <w:lang w:val="en-US"/>
    </w:rPr>
  </w:style>
  <w:style w:type="character" w:customStyle="1" w:styleId="CaptionChar">
    <w:name w:val="Caption Char"/>
    <w:link w:val="Caption"/>
    <w:uiPriority w:val="35"/>
    <w:locked/>
    <w:rsid w:val="00555DA6"/>
    <w:rPr>
      <w:rFonts w:eastAsia="Calibri" w:cs="Calibri Light"/>
      <w:b/>
      <w:bCs/>
      <w:iCs/>
      <w:sz w:val="22"/>
      <w:szCs w:val="22"/>
    </w:rPr>
  </w:style>
  <w:style w:type="character" w:styleId="Strong">
    <w:name w:val="Strong"/>
    <w:basedOn w:val="DefaultParagraphFont"/>
    <w:uiPriority w:val="22"/>
    <w:qFormat/>
    <w:rsid w:val="00555DA6"/>
    <w:rPr>
      <w:b/>
      <w:bCs/>
    </w:rPr>
  </w:style>
  <w:style w:type="paragraph" w:styleId="NoSpacing">
    <w:name w:val="No Spacing"/>
    <w:uiPriority w:val="1"/>
    <w:qFormat/>
    <w:rsid w:val="00555DA6"/>
    <w:rPr>
      <w:rFonts w:ascii="Arial" w:eastAsiaTheme="minorEastAsia" w:hAnsi="Arial" w:cs="Arial"/>
      <w:sz w:val="22"/>
      <w:szCs w:val="28"/>
      <w:lang w:val="en-SG" w:bidi="bn-BD"/>
    </w:rPr>
  </w:style>
  <w:style w:type="character" w:styleId="PageNumber">
    <w:name w:val="page number"/>
    <w:basedOn w:val="DefaultParagraphFont"/>
    <w:rsid w:val="00555DA6"/>
    <w:rPr>
      <w:sz w:val="22"/>
      <w:szCs w:val="22"/>
    </w:rPr>
  </w:style>
  <w:style w:type="character" w:styleId="Hyperlink">
    <w:name w:val="Hyperlink"/>
    <w:basedOn w:val="DefaultParagraphFont"/>
    <w:unhideWhenUsed/>
    <w:qFormat/>
    <w:rsid w:val="00555DA6"/>
    <w:rPr>
      <w:color w:val="0000FF" w:themeColor="hyperlink"/>
      <w:u w:val="single"/>
    </w:rPr>
  </w:style>
  <w:style w:type="character" w:styleId="UnresolvedMention">
    <w:name w:val="Unresolved Mention"/>
    <w:basedOn w:val="DefaultParagraphFont"/>
    <w:uiPriority w:val="99"/>
    <w:semiHidden/>
    <w:unhideWhenUsed/>
    <w:rsid w:val="00555DA6"/>
    <w:rPr>
      <w:color w:val="605E5C"/>
      <w:shd w:val="clear" w:color="auto" w:fill="E1DFDD"/>
    </w:rPr>
  </w:style>
  <w:style w:type="character" w:styleId="FollowedHyperlink">
    <w:name w:val="FollowedHyperlink"/>
    <w:basedOn w:val="DefaultParagraphFont"/>
    <w:uiPriority w:val="99"/>
    <w:semiHidden/>
    <w:unhideWhenUsed/>
    <w:rsid w:val="00555DA6"/>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55DA6"/>
    <w:pPr>
      <w:spacing w:after="160" w:line="240" w:lineRule="exact"/>
    </w:pPr>
    <w:rPr>
      <w:sz w:val="20"/>
      <w:szCs w:val="20"/>
      <w:vertAlign w:val="superscript"/>
      <w:lang w:val="en-US"/>
    </w:rPr>
  </w:style>
  <w:style w:type="character" w:customStyle="1" w:styleId="cf01">
    <w:name w:val="cf01"/>
    <w:basedOn w:val="DefaultParagraphFont"/>
    <w:rsid w:val="00555DA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b93c647f-d63b-431a-95c8-8e00048cff23"/>
    <ds:schemaRef ds:uri="http://schemas.openxmlformats.org/package/2006/metadata/core-properties"/>
    <ds:schemaRef ds:uri="eb6c2e4c-3f1c-4103-a37b-37c984dbe58f"/>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13</TotalTime>
  <Pages>12</Pages>
  <Words>5072</Words>
  <Characters>29664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Addendum - Project proposals: China</vt:lpstr>
    </vt:vector>
  </TitlesOfParts>
  <Company/>
  <LinksUpToDate>false</LinksUpToDate>
  <CharactersWithSpaces>34667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Project proposals: China</dc:title>
  <dc:creator/>
  <cp:lastModifiedBy>Muriel Aguiar</cp:lastModifiedBy>
  <cp:revision>11</cp:revision>
  <cp:lastPrinted>2001-05-26T16:40:00Z</cp:lastPrinted>
  <dcterms:created xsi:type="dcterms:W3CDTF">2024-11-21T21:49:00Z</dcterms:created>
  <dcterms:modified xsi:type="dcterms:W3CDTF">2024-11-21T22:05:00Z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UNEP/OzL.Pro/ExCom/95/47/Add.1</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