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080736F" w14:textId="77777777">
        <w:trPr>
          <w:trHeight w:val="720"/>
        </w:trPr>
        <w:tc>
          <w:tcPr>
            <w:tcW w:w="6494" w:type="dxa"/>
            <w:gridSpan w:val="2"/>
            <w:tcBorders>
              <w:bottom w:val="single" w:sz="18" w:space="0" w:color="auto"/>
            </w:tcBorders>
          </w:tcPr>
          <w:p w14:paraId="5DC1B592" w14:textId="77777777" w:rsidR="0087455A" w:rsidRDefault="0024162E">
            <w:pPr>
              <w:rPr>
                <w:rFonts w:ascii="Univers" w:hAnsi="Univers"/>
                <w:b/>
                <w:sz w:val="28"/>
                <w:szCs w:val="28"/>
                <w:lang w:val="es-MX"/>
              </w:rPr>
            </w:pPr>
            <w:r>
              <w:rPr>
                <w:rFonts w:ascii="Univers" w:hAnsi="Univers"/>
                <w:b/>
                <w:sz w:val="28"/>
                <w:szCs w:val="28"/>
                <w:lang w:val="es-MX"/>
              </w:rPr>
              <w:t>NACIONES</w:t>
            </w:r>
          </w:p>
          <w:p w14:paraId="6B5F794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8BB9CF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70FE6" w14:paraId="59908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D957C5" w14:textId="77777777" w:rsidR="0087455A" w:rsidRDefault="0024162E">
            <w:pPr>
              <w:spacing w:before="120"/>
            </w:pPr>
            <w:r>
              <w:rPr>
                <w:noProof/>
                <w:lang w:val="en-US"/>
              </w:rPr>
              <w:drawing>
                <wp:anchor distT="0" distB="0" distL="114300" distR="114300" simplePos="0" relativeHeight="251660288" behindDoc="0" locked="0" layoutInCell="1" allowOverlap="1" wp14:anchorId="702E051E" wp14:editId="3027A9DE">
                  <wp:simplePos x="0" y="0"/>
                  <wp:positionH relativeFrom="column">
                    <wp:posOffset>29301</wp:posOffset>
                  </wp:positionH>
                  <wp:positionV relativeFrom="paragraph">
                    <wp:posOffset>955766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4FDFA0CC" wp14:editId="51289C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F08F05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4FA0AC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77C832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EC1647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C37DA2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5B921D4"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A5367B5" w14:textId="77777777" w:rsidR="0087455A" w:rsidRDefault="0087455A">
            <w:pPr>
              <w:rPr>
                <w:lang w:val="es-ES"/>
              </w:rPr>
            </w:pPr>
          </w:p>
          <w:p w14:paraId="5CBE4C3D" w14:textId="77777777" w:rsidR="0087455A" w:rsidRDefault="0024162E">
            <w:pPr>
              <w:rPr>
                <w:lang w:val="es-ES"/>
              </w:rPr>
            </w:pPr>
            <w:proofErr w:type="spellStart"/>
            <w:r>
              <w:rPr>
                <w:lang w:val="es-ES"/>
              </w:rPr>
              <w:t>Distr</w:t>
            </w:r>
            <w:proofErr w:type="spellEnd"/>
            <w:r>
              <w:rPr>
                <w:lang w:val="es-ES"/>
              </w:rPr>
              <w:t>.</w:t>
            </w:r>
          </w:p>
          <w:p w14:paraId="0B7FB6ED" w14:textId="77777777" w:rsidR="0087455A" w:rsidRDefault="0024162E">
            <w:pPr>
              <w:rPr>
                <w:lang w:val="es-ES"/>
              </w:rPr>
            </w:pPr>
            <w:r>
              <w:rPr>
                <w:lang w:val="es-ES"/>
              </w:rPr>
              <w:t>GENERAL</w:t>
            </w:r>
          </w:p>
          <w:p w14:paraId="3D9951C1" w14:textId="77777777" w:rsidR="0087455A" w:rsidRDefault="0087455A">
            <w:pPr>
              <w:rPr>
                <w:lang w:val="es-ES"/>
              </w:rPr>
            </w:pPr>
          </w:p>
          <w:p w14:paraId="3DE220AC" w14:textId="5F0D2F50" w:rsidR="0087455A" w:rsidRPr="001D3E0D" w:rsidRDefault="0024162E">
            <w:pPr>
              <w:rPr>
                <w:lang w:val="en-US"/>
              </w:rPr>
            </w:pPr>
            <w:r>
              <w:fldChar w:fldCharType="begin"/>
            </w:r>
            <w:r w:rsidRPr="001D3E0D">
              <w:rPr>
                <w:lang w:val="en-US"/>
              </w:rPr>
              <w:instrText xml:space="preserve"> DOCPROPERTY "Document number"  \* MERGEFORMAT </w:instrText>
            </w:r>
            <w:r>
              <w:fldChar w:fldCharType="separate"/>
            </w:r>
            <w:r w:rsidR="001D3E0D" w:rsidRPr="001D3E0D">
              <w:rPr>
                <w:lang w:val="en-US"/>
              </w:rPr>
              <w:t>UNEP/</w:t>
            </w:r>
            <w:proofErr w:type="spellStart"/>
            <w:r w:rsidR="001D3E0D" w:rsidRPr="001D3E0D">
              <w:rPr>
                <w:lang w:val="en-US"/>
              </w:rPr>
              <w:t>OzL.Pro</w:t>
            </w:r>
            <w:proofErr w:type="spellEnd"/>
            <w:r w:rsidR="001D3E0D" w:rsidRPr="001D3E0D">
              <w:rPr>
                <w:lang w:val="en-US"/>
              </w:rPr>
              <w:t>/</w:t>
            </w:r>
            <w:proofErr w:type="spellStart"/>
            <w:r w:rsidR="001D3E0D" w:rsidRPr="001D3E0D">
              <w:rPr>
                <w:lang w:val="en-US"/>
              </w:rPr>
              <w:t>ExCom</w:t>
            </w:r>
            <w:proofErr w:type="spellEnd"/>
            <w:r w:rsidR="001D3E0D" w:rsidRPr="001D3E0D">
              <w:rPr>
                <w:lang w:val="en-US"/>
              </w:rPr>
              <w:t>/87/9/Add.1</w:t>
            </w:r>
            <w:r>
              <w:fldChar w:fldCharType="end"/>
            </w:r>
          </w:p>
          <w:p w14:paraId="270C2BDF" w14:textId="66977521"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1D3E0D">
              <w:rPr>
                <w:lang w:val="es-AR"/>
              </w:rPr>
              <w:t>14 de junio de 2021</w:t>
            </w:r>
            <w:r>
              <w:fldChar w:fldCharType="end"/>
            </w:r>
          </w:p>
          <w:p w14:paraId="18FBC522" w14:textId="77777777" w:rsidR="00114CAA" w:rsidRPr="00064429" w:rsidRDefault="00114CAA">
            <w:pPr>
              <w:rPr>
                <w:caps/>
                <w:lang w:val="es-AR"/>
              </w:rPr>
            </w:pPr>
          </w:p>
          <w:p w14:paraId="0DC668E5" w14:textId="77777777" w:rsidR="0087455A" w:rsidRDefault="0024162E">
            <w:pPr>
              <w:rPr>
                <w:lang w:val="es-MX"/>
              </w:rPr>
            </w:pPr>
            <w:r>
              <w:rPr>
                <w:lang w:val="es-MX"/>
              </w:rPr>
              <w:t xml:space="preserve">ESPAÑOL </w:t>
            </w:r>
          </w:p>
          <w:p w14:paraId="0FB2CDDF" w14:textId="77777777" w:rsidR="0087455A" w:rsidRDefault="0024162E">
            <w:pPr>
              <w:rPr>
                <w:lang w:val="es-ES"/>
              </w:rPr>
            </w:pPr>
            <w:r>
              <w:rPr>
                <w:lang w:val="es-ES"/>
              </w:rPr>
              <w:t xml:space="preserve">ORIGINAL: </w:t>
            </w:r>
            <w:r>
              <w:rPr>
                <w:lang w:val="es-MX"/>
              </w:rPr>
              <w:t>INGLÉS</w:t>
            </w:r>
          </w:p>
        </w:tc>
      </w:tr>
    </w:tbl>
    <w:p w14:paraId="3E46D62F" w14:textId="77777777" w:rsidR="0087455A" w:rsidRPr="00E94FFA" w:rsidRDefault="0024162E">
      <w:pPr>
        <w:jc w:val="left"/>
        <w:rPr>
          <w:lang w:val="es-ES"/>
        </w:rPr>
      </w:pPr>
      <w:r w:rsidRPr="00E94FFA">
        <w:rPr>
          <w:lang w:val="es-ES"/>
        </w:rPr>
        <w:t>COMITÉ EJECUTIVO DEL FONDO MULTILATERAL</w:t>
      </w:r>
      <w:r w:rsidRPr="00E94FFA">
        <w:rPr>
          <w:lang w:val="es-ES"/>
        </w:rPr>
        <w:br/>
        <w:t xml:space="preserve">  PARA LA APLICACIÓN DEL</w:t>
      </w:r>
      <w:r w:rsidRPr="00E94FFA">
        <w:rPr>
          <w:lang w:val="es-ES"/>
        </w:rPr>
        <w:br/>
        <w:t xml:space="preserve">  PROTOCOLO DE MONTREAL</w:t>
      </w:r>
    </w:p>
    <w:p w14:paraId="3E93A935" w14:textId="78191A07" w:rsidR="00106F6E" w:rsidRPr="00E94FFA" w:rsidRDefault="00106F6E" w:rsidP="002959B4">
      <w:pPr>
        <w:jc w:val="left"/>
        <w:rPr>
          <w:lang w:val="es-ES"/>
        </w:rPr>
      </w:pPr>
      <w:r w:rsidRPr="00E94FFA">
        <w:rPr>
          <w:lang w:val="es-ES"/>
        </w:rPr>
        <w:t xml:space="preserve">Octogésima </w:t>
      </w:r>
      <w:r w:rsidR="002959B4" w:rsidRPr="00E94FFA">
        <w:rPr>
          <w:lang w:val="es-ES"/>
        </w:rPr>
        <w:t>séptima</w:t>
      </w:r>
      <w:r w:rsidR="003863A4" w:rsidRPr="00E94FFA">
        <w:rPr>
          <w:lang w:val="es-ES"/>
        </w:rPr>
        <w:t xml:space="preserve"> Reunión</w:t>
      </w:r>
      <w:r w:rsidR="003863A4" w:rsidRPr="00E94FFA">
        <w:rPr>
          <w:lang w:val="es-ES"/>
        </w:rPr>
        <w:br/>
        <w:t xml:space="preserve">Montreal, </w:t>
      </w:r>
      <w:r w:rsidR="002959B4" w:rsidRPr="00E94FFA">
        <w:rPr>
          <w:lang w:val="es-ES"/>
        </w:rPr>
        <w:t>28 de junio</w:t>
      </w:r>
      <w:r w:rsidR="003863A4" w:rsidRPr="00E94FFA">
        <w:rPr>
          <w:lang w:val="es-ES"/>
        </w:rPr>
        <w:t xml:space="preserve"> </w:t>
      </w:r>
      <w:r w:rsidRPr="00E94FFA">
        <w:rPr>
          <w:lang w:val="es-ES"/>
        </w:rPr>
        <w:t xml:space="preserve">– </w:t>
      </w:r>
      <w:r w:rsidR="003863A4" w:rsidRPr="00E94FFA">
        <w:rPr>
          <w:lang w:val="es-ES"/>
        </w:rPr>
        <w:t>2</w:t>
      </w:r>
      <w:r w:rsidRPr="00E94FFA">
        <w:rPr>
          <w:lang w:val="es-ES"/>
        </w:rPr>
        <w:t xml:space="preserve"> de </w:t>
      </w:r>
      <w:r w:rsidR="002959B4" w:rsidRPr="00E94FFA">
        <w:rPr>
          <w:lang w:val="es-ES"/>
        </w:rPr>
        <w:t>julio de 2021</w:t>
      </w:r>
    </w:p>
    <w:p w14:paraId="41CF31D1" w14:textId="77777777" w:rsidR="00106F6E" w:rsidRPr="00E94FFA" w:rsidRDefault="00106F6E" w:rsidP="00106F6E">
      <w:pPr>
        <w:jc w:val="left"/>
        <w:rPr>
          <w:lang w:val="es-ES"/>
        </w:rPr>
      </w:pPr>
    </w:p>
    <w:p w14:paraId="44B6F76B" w14:textId="77777777" w:rsidR="0087455A" w:rsidRPr="00E94FFA" w:rsidRDefault="0087455A">
      <w:pPr>
        <w:jc w:val="left"/>
        <w:rPr>
          <w:lang w:val="es-ES"/>
        </w:rPr>
      </w:pPr>
    </w:p>
    <w:p w14:paraId="3A3E8B34" w14:textId="77777777" w:rsidR="0087455A" w:rsidRPr="00E94FFA" w:rsidRDefault="0087455A">
      <w:pPr>
        <w:pStyle w:val="Heading3"/>
        <w:numPr>
          <w:ilvl w:val="0"/>
          <w:numId w:val="0"/>
        </w:numPr>
        <w:spacing w:after="0"/>
        <w:rPr>
          <w:lang w:val="es-ES"/>
        </w:rPr>
      </w:pPr>
    </w:p>
    <w:p w14:paraId="0C6F20BC" w14:textId="77777777" w:rsidR="0087455A" w:rsidRPr="00E94FFA" w:rsidRDefault="0087455A">
      <w:pPr>
        <w:pStyle w:val="Title1"/>
        <w:rPr>
          <w:lang w:val="es-ES"/>
        </w:rPr>
      </w:pPr>
    </w:p>
    <w:p w14:paraId="1F5B117A" w14:textId="77777777" w:rsidR="00271511" w:rsidRPr="00271511" w:rsidRDefault="00271511" w:rsidP="00271511">
      <w:pPr>
        <w:jc w:val="center"/>
        <w:outlineLvl w:val="0"/>
        <w:rPr>
          <w:b/>
          <w:caps/>
          <w:lang w:val="es-ES"/>
        </w:rPr>
      </w:pPr>
      <w:proofErr w:type="spellStart"/>
      <w:r w:rsidRPr="00271511">
        <w:rPr>
          <w:b/>
          <w:lang w:val="es-ES"/>
        </w:rPr>
        <w:t>Addendum</w:t>
      </w:r>
      <w:proofErr w:type="spellEnd"/>
    </w:p>
    <w:p w14:paraId="03BA4366" w14:textId="77777777" w:rsidR="00271511" w:rsidRPr="00271511" w:rsidRDefault="00271511" w:rsidP="00271511">
      <w:pPr>
        <w:jc w:val="center"/>
        <w:outlineLvl w:val="0"/>
        <w:rPr>
          <w:b/>
          <w:caps/>
          <w:lang w:val="es-ES"/>
        </w:rPr>
      </w:pPr>
    </w:p>
    <w:p w14:paraId="1BB85DE0" w14:textId="59579877" w:rsidR="00271511" w:rsidRDefault="00226A2D" w:rsidP="00271511">
      <w:pPr>
        <w:jc w:val="center"/>
        <w:outlineLvl w:val="0"/>
        <w:rPr>
          <w:b/>
          <w:lang w:val="es-ES"/>
        </w:rPr>
      </w:pPr>
      <w:r w:rsidRPr="00271511">
        <w:rPr>
          <w:b/>
          <w:lang w:val="es-ES"/>
        </w:rPr>
        <w:t>INFORMES SOBRE LOS PROYECTOS CON REQUISITOS ESPECÍFICOS DE PRESENTACIÓN DE INFORMES</w:t>
      </w:r>
    </w:p>
    <w:p w14:paraId="1080E859" w14:textId="77777777" w:rsidR="00170FE6" w:rsidRPr="00271511" w:rsidRDefault="00170FE6" w:rsidP="00271511">
      <w:pPr>
        <w:jc w:val="center"/>
        <w:outlineLvl w:val="0"/>
        <w:rPr>
          <w:b/>
          <w:caps/>
          <w:lang w:val="es-ES"/>
        </w:rPr>
      </w:pPr>
      <w:bookmarkStart w:id="0" w:name="_GoBack"/>
      <w:bookmarkEnd w:id="0"/>
    </w:p>
    <w:p w14:paraId="64CFE3DA" w14:textId="77777777" w:rsidR="00E02BA2" w:rsidRPr="00E94FFA" w:rsidRDefault="00E02BA2" w:rsidP="00E02BA2">
      <w:pPr>
        <w:rPr>
          <w:lang w:val="es-ES"/>
        </w:rPr>
      </w:pPr>
    </w:p>
    <w:p w14:paraId="60C79C90" w14:textId="0A469037" w:rsidR="00271511" w:rsidRPr="00271511" w:rsidRDefault="00271511" w:rsidP="00271511">
      <w:pPr>
        <w:numPr>
          <w:ilvl w:val="0"/>
          <w:numId w:val="1"/>
        </w:numPr>
        <w:spacing w:after="240"/>
        <w:outlineLvl w:val="0"/>
        <w:rPr>
          <w:lang w:val="es-ES"/>
        </w:rPr>
      </w:pPr>
      <w:r w:rsidRPr="00271511">
        <w:rPr>
          <w:lang w:val="es-ES"/>
        </w:rPr>
        <w:t xml:space="preserve">El presente documento incluye informes </w:t>
      </w:r>
      <w:r w:rsidR="005144C5">
        <w:rPr>
          <w:lang w:val="es-ES"/>
        </w:rPr>
        <w:t>relativos a</w:t>
      </w:r>
      <w:r w:rsidRPr="00271511">
        <w:rPr>
          <w:lang w:val="es-ES"/>
        </w:rPr>
        <w:t xml:space="preserve"> proyectos con requisitos específicos de presentación de informes que pertenecen a China y cuya </w:t>
      </w:r>
      <w:r w:rsidR="005144C5">
        <w:rPr>
          <w:lang w:val="es-ES"/>
        </w:rPr>
        <w:t>comunicación</w:t>
      </w:r>
      <w:r w:rsidRPr="00271511">
        <w:rPr>
          <w:lang w:val="es-ES"/>
        </w:rPr>
        <w:t xml:space="preserve"> está prevista </w:t>
      </w:r>
      <w:r w:rsidR="005144C5">
        <w:rPr>
          <w:lang w:val="es-ES"/>
        </w:rPr>
        <w:t>en</w:t>
      </w:r>
      <w:r w:rsidRPr="00271511">
        <w:rPr>
          <w:lang w:val="es-ES"/>
        </w:rPr>
        <w:t xml:space="preserve"> la 87.</w:t>
      </w:r>
      <w:r w:rsidRPr="00271511">
        <w:rPr>
          <w:vertAlign w:val="superscript"/>
          <w:lang w:val="es-ES"/>
        </w:rPr>
        <w:t>a</w:t>
      </w:r>
      <w:r w:rsidRPr="00271511">
        <w:rPr>
          <w:lang w:val="es-ES"/>
        </w:rPr>
        <w:t xml:space="preserve"> reunión, o lo estaba para la 86</w:t>
      </w:r>
      <w:r w:rsidRPr="00271511">
        <w:rPr>
          <w:vertAlign w:val="superscript"/>
          <w:lang w:val="es-ES"/>
        </w:rPr>
        <w:t>a</w:t>
      </w:r>
      <w:r w:rsidRPr="00271511">
        <w:rPr>
          <w:lang w:val="es-ES"/>
        </w:rPr>
        <w:t> reunión, pero su examen se pospuso hasta la 87.</w:t>
      </w:r>
      <w:r w:rsidRPr="00271511">
        <w:rPr>
          <w:vertAlign w:val="superscript"/>
          <w:lang w:val="es-ES"/>
        </w:rPr>
        <w:t>a</w:t>
      </w:r>
      <w:r w:rsidRPr="00271511">
        <w:rPr>
          <w:lang w:val="es-ES"/>
        </w:rPr>
        <w:t> reunión de acuerdo con los procedimientos acordados para llevar a cabo la 86.</w:t>
      </w:r>
      <w:r w:rsidRPr="00271511">
        <w:rPr>
          <w:vertAlign w:val="superscript"/>
          <w:lang w:val="es-ES"/>
        </w:rPr>
        <w:t>a</w:t>
      </w:r>
      <w:r w:rsidRPr="00271511">
        <w:rPr>
          <w:lang w:val="es-ES"/>
        </w:rPr>
        <w:t> reunión</w:t>
      </w:r>
      <w:r w:rsidRPr="00542611">
        <w:rPr>
          <w:vertAlign w:val="superscript"/>
        </w:rPr>
        <w:footnoteReference w:id="1"/>
      </w:r>
      <w:r w:rsidRPr="00271511">
        <w:rPr>
          <w:lang w:val="es-ES"/>
        </w:rPr>
        <w:t>.</w:t>
      </w:r>
    </w:p>
    <w:p w14:paraId="64CE30B4" w14:textId="77777777" w:rsidR="00271511" w:rsidRPr="00271511" w:rsidRDefault="00271511" w:rsidP="00271511">
      <w:pPr>
        <w:numPr>
          <w:ilvl w:val="0"/>
          <w:numId w:val="1"/>
        </w:numPr>
        <w:outlineLvl w:val="0"/>
        <w:rPr>
          <w:lang w:val="es-ES"/>
        </w:rPr>
      </w:pPr>
      <w:r w:rsidRPr="00271511">
        <w:rPr>
          <w:lang w:val="es-ES"/>
        </w:rPr>
        <w:t>El documento se divide en las siguientes tres partes:</w:t>
      </w:r>
    </w:p>
    <w:p w14:paraId="552F54E9" w14:textId="77777777" w:rsidR="00271511" w:rsidRPr="00271511" w:rsidRDefault="00271511" w:rsidP="00271511">
      <w:pPr>
        <w:rPr>
          <w:lang w:val="es-ES"/>
        </w:rPr>
      </w:pPr>
    </w:p>
    <w:tbl>
      <w:tblPr>
        <w:tblStyle w:val="TableGrid10"/>
        <w:tblW w:w="8793" w:type="dxa"/>
        <w:tblInd w:w="562" w:type="dxa"/>
        <w:tblLayout w:type="fixed"/>
        <w:tblLook w:val="04A0" w:firstRow="1" w:lastRow="0" w:firstColumn="1" w:lastColumn="0" w:noHBand="0" w:noVBand="1"/>
      </w:tblPr>
      <w:tblGrid>
        <w:gridCol w:w="873"/>
        <w:gridCol w:w="6575"/>
        <w:gridCol w:w="1345"/>
      </w:tblGrid>
      <w:tr w:rsidR="00271511" w:rsidRPr="00271953" w14:paraId="591D79F3" w14:textId="77777777" w:rsidTr="005144C5">
        <w:trPr>
          <w:tblHeader/>
        </w:trPr>
        <w:tc>
          <w:tcPr>
            <w:tcW w:w="873" w:type="dxa"/>
          </w:tcPr>
          <w:p w14:paraId="13D96196" w14:textId="77777777" w:rsidR="00271511" w:rsidRPr="005144C5" w:rsidRDefault="00271511" w:rsidP="00192E47">
            <w:pPr>
              <w:widowControl w:val="0"/>
              <w:jc w:val="left"/>
              <w:rPr>
                <w:b/>
                <w:lang w:val="es-ES"/>
              </w:rPr>
            </w:pPr>
            <w:r w:rsidRPr="005144C5">
              <w:rPr>
                <w:b/>
                <w:lang w:val="es-ES"/>
              </w:rPr>
              <w:t>Parte</w:t>
            </w:r>
          </w:p>
        </w:tc>
        <w:tc>
          <w:tcPr>
            <w:tcW w:w="6575" w:type="dxa"/>
            <w:vAlign w:val="center"/>
          </w:tcPr>
          <w:p w14:paraId="15818366" w14:textId="77777777" w:rsidR="00271511" w:rsidRPr="005144C5" w:rsidRDefault="00271511" w:rsidP="00192E47">
            <w:pPr>
              <w:widowControl w:val="0"/>
              <w:jc w:val="center"/>
              <w:rPr>
                <w:b/>
                <w:lang w:val="es-ES"/>
              </w:rPr>
            </w:pPr>
            <w:r w:rsidRPr="005144C5">
              <w:rPr>
                <w:b/>
                <w:lang w:val="es-ES"/>
              </w:rPr>
              <w:t>Título del documento</w:t>
            </w:r>
          </w:p>
        </w:tc>
        <w:tc>
          <w:tcPr>
            <w:tcW w:w="1345" w:type="dxa"/>
            <w:vAlign w:val="center"/>
          </w:tcPr>
          <w:p w14:paraId="249A939B" w14:textId="77777777" w:rsidR="00271511" w:rsidRPr="005144C5" w:rsidRDefault="00271511" w:rsidP="00192E47">
            <w:pPr>
              <w:widowControl w:val="0"/>
              <w:jc w:val="center"/>
              <w:rPr>
                <w:b/>
                <w:lang w:val="es-ES"/>
              </w:rPr>
            </w:pPr>
            <w:r w:rsidRPr="005144C5">
              <w:rPr>
                <w:b/>
                <w:lang w:val="es-ES"/>
              </w:rPr>
              <w:t>Párrafos</w:t>
            </w:r>
          </w:p>
        </w:tc>
      </w:tr>
      <w:tr w:rsidR="00271511" w:rsidRPr="00271953" w14:paraId="5BA4ACD1" w14:textId="77777777" w:rsidTr="005144C5">
        <w:tc>
          <w:tcPr>
            <w:tcW w:w="873" w:type="dxa"/>
            <w:vAlign w:val="center"/>
          </w:tcPr>
          <w:p w14:paraId="5ADC348B" w14:textId="77777777" w:rsidR="00271511" w:rsidRPr="00271953" w:rsidRDefault="00271511" w:rsidP="00192E47">
            <w:pPr>
              <w:widowControl w:val="0"/>
              <w:jc w:val="center"/>
            </w:pPr>
            <w:r>
              <w:t>I</w:t>
            </w:r>
          </w:p>
        </w:tc>
        <w:tc>
          <w:tcPr>
            <w:tcW w:w="6575" w:type="dxa"/>
            <w:vAlign w:val="center"/>
          </w:tcPr>
          <w:p w14:paraId="4CD8AD75" w14:textId="77777777" w:rsidR="00271511" w:rsidRPr="00271511" w:rsidRDefault="00271511" w:rsidP="00192E47">
            <w:pPr>
              <w:widowControl w:val="0"/>
              <w:jc w:val="left"/>
              <w:rPr>
                <w:lang w:val="es-ES"/>
              </w:rPr>
            </w:pPr>
            <w:r w:rsidRPr="00271511">
              <w:rPr>
                <w:lang w:val="es-ES"/>
              </w:rPr>
              <w:t xml:space="preserve">Informes de auditoría financiera correspondientes a los sectores de producción de CFC, </w:t>
            </w:r>
            <w:proofErr w:type="spellStart"/>
            <w:r w:rsidRPr="00271511">
              <w:rPr>
                <w:lang w:val="es-ES"/>
              </w:rPr>
              <w:t>halones</w:t>
            </w:r>
            <w:proofErr w:type="spellEnd"/>
            <w:r w:rsidRPr="00271511">
              <w:rPr>
                <w:lang w:val="es-ES"/>
              </w:rPr>
              <w:t>, espumas de poliuretano, agentes de procesos II, mantenimiento de equipos de refrigeración y disolventes de China (decisión 86/41)</w:t>
            </w:r>
          </w:p>
        </w:tc>
        <w:tc>
          <w:tcPr>
            <w:tcW w:w="1345" w:type="dxa"/>
            <w:vAlign w:val="center"/>
          </w:tcPr>
          <w:p w14:paraId="2F835019" w14:textId="7A4FD2D0" w:rsidR="00271511" w:rsidRPr="00271953" w:rsidRDefault="00271511" w:rsidP="00192E47">
            <w:pPr>
              <w:widowControl w:val="0"/>
              <w:jc w:val="center"/>
            </w:pPr>
            <w:r>
              <w:t>3-11</w:t>
            </w:r>
          </w:p>
        </w:tc>
      </w:tr>
      <w:tr w:rsidR="00271511" w:rsidRPr="00271953" w14:paraId="3DE4EA8F" w14:textId="77777777" w:rsidTr="005144C5">
        <w:tc>
          <w:tcPr>
            <w:tcW w:w="873" w:type="dxa"/>
            <w:vAlign w:val="center"/>
          </w:tcPr>
          <w:p w14:paraId="5786B0AE" w14:textId="77777777" w:rsidR="00271511" w:rsidRPr="00271953" w:rsidRDefault="00271511" w:rsidP="00192E47">
            <w:pPr>
              <w:widowControl w:val="0"/>
              <w:jc w:val="center"/>
            </w:pPr>
            <w:r>
              <w:t>II</w:t>
            </w:r>
          </w:p>
        </w:tc>
        <w:tc>
          <w:tcPr>
            <w:tcW w:w="6575" w:type="dxa"/>
            <w:vAlign w:val="center"/>
          </w:tcPr>
          <w:p w14:paraId="6534EC7C" w14:textId="77777777" w:rsidR="00271511" w:rsidRPr="00271511" w:rsidRDefault="00271511" w:rsidP="00192E47">
            <w:pPr>
              <w:widowControl w:val="0"/>
              <w:jc w:val="left"/>
              <w:rPr>
                <w:lang w:val="es-ES"/>
              </w:rPr>
            </w:pPr>
            <w:r w:rsidRPr="00271511">
              <w:rPr>
                <w:lang w:val="es-ES"/>
              </w:rPr>
              <w:t>Informe sobre la marcha de ejecución de las actividades listadas en la decisión 83/41(e)</w:t>
            </w:r>
          </w:p>
        </w:tc>
        <w:tc>
          <w:tcPr>
            <w:tcW w:w="1345" w:type="dxa"/>
            <w:vAlign w:val="center"/>
          </w:tcPr>
          <w:p w14:paraId="3A6132C1" w14:textId="77777777" w:rsidR="00271511" w:rsidRPr="00271953" w:rsidRDefault="00271511" w:rsidP="00192E47">
            <w:pPr>
              <w:widowControl w:val="0"/>
              <w:jc w:val="center"/>
            </w:pPr>
            <w:r>
              <w:t>12 - 15</w:t>
            </w:r>
          </w:p>
        </w:tc>
      </w:tr>
      <w:tr w:rsidR="00271511" w:rsidRPr="00271953" w14:paraId="400ACE55" w14:textId="77777777" w:rsidTr="005144C5">
        <w:tc>
          <w:tcPr>
            <w:tcW w:w="873" w:type="dxa"/>
            <w:vAlign w:val="center"/>
          </w:tcPr>
          <w:p w14:paraId="12073EA1" w14:textId="77777777" w:rsidR="00271511" w:rsidRPr="00271953" w:rsidRDefault="00271511" w:rsidP="00192E47">
            <w:pPr>
              <w:widowControl w:val="0"/>
              <w:jc w:val="center"/>
            </w:pPr>
            <w:r>
              <w:t>III</w:t>
            </w:r>
          </w:p>
        </w:tc>
        <w:tc>
          <w:tcPr>
            <w:tcW w:w="6575" w:type="dxa"/>
            <w:vAlign w:val="center"/>
          </w:tcPr>
          <w:p w14:paraId="3AFA4F53" w14:textId="77777777" w:rsidR="00271511" w:rsidRPr="00271511" w:rsidRDefault="00271511" w:rsidP="00192E47">
            <w:pPr>
              <w:widowControl w:val="0"/>
              <w:jc w:val="left"/>
              <w:rPr>
                <w:lang w:val="es-ES"/>
              </w:rPr>
            </w:pPr>
            <w:r w:rsidRPr="00271511">
              <w:rPr>
                <w:lang w:val="es-ES"/>
              </w:rPr>
              <w:t>Estudio para establecer qué circunstancias reglamentarías, de vigilancia, de criterios o del mercado podrían haber posibilitado la producción o el uso ilegal de CFC-11 y CFC-12 (decisión 83/41(d))</w:t>
            </w:r>
          </w:p>
        </w:tc>
        <w:tc>
          <w:tcPr>
            <w:tcW w:w="1345" w:type="dxa"/>
            <w:vAlign w:val="center"/>
          </w:tcPr>
          <w:p w14:paraId="2FC1FCC5" w14:textId="77777777" w:rsidR="00271511" w:rsidRPr="00271953" w:rsidRDefault="00271511" w:rsidP="00192E47">
            <w:pPr>
              <w:widowControl w:val="0"/>
              <w:jc w:val="center"/>
            </w:pPr>
            <w:r>
              <w:t>16-17</w:t>
            </w:r>
          </w:p>
        </w:tc>
      </w:tr>
    </w:tbl>
    <w:p w14:paraId="799A78A1" w14:textId="77777777" w:rsidR="00271511" w:rsidRPr="00271953" w:rsidRDefault="00271511" w:rsidP="00271511">
      <w:pPr>
        <w:spacing w:after="240"/>
        <w:jc w:val="left"/>
        <w:outlineLvl w:val="0"/>
      </w:pPr>
      <w:r>
        <w:br w:type="page"/>
      </w:r>
    </w:p>
    <w:p w14:paraId="5A969832" w14:textId="4E846DA5" w:rsidR="00271511" w:rsidRPr="00271511" w:rsidRDefault="00271511" w:rsidP="00271511">
      <w:pPr>
        <w:keepNext/>
        <w:spacing w:after="240"/>
        <w:ind w:left="1440" w:hanging="1440"/>
        <w:rPr>
          <w:b/>
          <w:caps/>
          <w:lang w:val="es-ES"/>
        </w:rPr>
      </w:pPr>
      <w:r w:rsidRPr="00271511">
        <w:rPr>
          <w:b/>
          <w:caps/>
          <w:lang w:val="es-ES"/>
        </w:rPr>
        <w:lastRenderedPageBreak/>
        <w:t>Parte I:</w:t>
      </w:r>
      <w:r w:rsidRPr="00271511">
        <w:rPr>
          <w:b/>
          <w:caps/>
          <w:lang w:val="es-ES"/>
        </w:rPr>
        <w:tab/>
        <w:t xml:space="preserve">Informes de auditoría financiera correspondientes a los sectores de producción de CFC, halones, </w:t>
      </w:r>
      <w:r w:rsidR="005144C5">
        <w:rPr>
          <w:b/>
          <w:lang w:val="es-ES"/>
        </w:rPr>
        <w:t>ESPUMAS DE POLIURETANO</w:t>
      </w:r>
      <w:r w:rsidRPr="00271511">
        <w:rPr>
          <w:b/>
          <w:caps/>
          <w:lang w:val="es-ES"/>
        </w:rPr>
        <w:t>, agentes de procesos II, mantenimiento de equipos de refrigeración y disolventes</w:t>
      </w:r>
    </w:p>
    <w:p w14:paraId="5E59ADD3" w14:textId="77777777" w:rsidR="00271511" w:rsidRPr="005144C5" w:rsidRDefault="00271511" w:rsidP="00271511">
      <w:pPr>
        <w:spacing w:after="240"/>
        <w:rPr>
          <w:b/>
          <w:lang w:val="es-ES"/>
        </w:rPr>
      </w:pPr>
      <w:r w:rsidRPr="005144C5">
        <w:rPr>
          <w:b/>
          <w:lang w:val="es-ES"/>
        </w:rPr>
        <w:t>Antecedentes</w:t>
      </w:r>
    </w:p>
    <w:p w14:paraId="316E5491" w14:textId="023CBBAC" w:rsidR="00271511" w:rsidRPr="005144C5" w:rsidRDefault="00271511" w:rsidP="0087373E">
      <w:pPr>
        <w:widowControl w:val="0"/>
        <w:numPr>
          <w:ilvl w:val="0"/>
          <w:numId w:val="1"/>
        </w:numPr>
        <w:spacing w:after="240"/>
        <w:outlineLvl w:val="0"/>
        <w:rPr>
          <w:lang w:val="es-ES"/>
        </w:rPr>
      </w:pPr>
      <w:r w:rsidRPr="005144C5">
        <w:rPr>
          <w:lang w:val="es-ES"/>
        </w:rPr>
        <w:t>En la 84.</w:t>
      </w:r>
      <w:r w:rsidRPr="005144C5">
        <w:rPr>
          <w:vertAlign w:val="superscript"/>
          <w:lang w:val="es-ES"/>
        </w:rPr>
        <w:t>a</w:t>
      </w:r>
      <w:r w:rsidRPr="005144C5">
        <w:rPr>
          <w:lang w:val="es-ES"/>
        </w:rPr>
        <w:t xml:space="preserve"> reunión, el Comité Ejecutivo examinó los informes de auditoría financiera correspondientes a los sectores de producción de CFC, </w:t>
      </w:r>
      <w:proofErr w:type="spellStart"/>
      <w:r w:rsidRPr="005144C5">
        <w:rPr>
          <w:lang w:val="es-ES"/>
        </w:rPr>
        <w:t>halones</w:t>
      </w:r>
      <w:proofErr w:type="spellEnd"/>
      <w:r w:rsidRPr="005144C5">
        <w:rPr>
          <w:lang w:val="es-ES"/>
        </w:rPr>
        <w:t>, espumas de poliuretano, agentes de procesos II, mantenimiento de equipos de refrigeración y disolventes, que también incluían información actualizada sobre las actividades ejecutadas como parte de cada plan sectorial</w:t>
      </w:r>
      <w:r w:rsidRPr="00271953">
        <w:rPr>
          <w:vertAlign w:val="superscript"/>
        </w:rPr>
        <w:footnoteReference w:id="2"/>
      </w:r>
      <w:r w:rsidRPr="005144C5">
        <w:rPr>
          <w:lang w:val="es-ES"/>
        </w:rPr>
        <w:t>. Posteriormente, el Comité Ejecutivo solicitó al Gobierno de China, entre otras cosas, y a través del organismo de ejecución pertinente, la presentación a la 85.</w:t>
      </w:r>
      <w:r w:rsidRPr="005144C5">
        <w:rPr>
          <w:vertAlign w:val="superscript"/>
          <w:lang w:val="es-ES"/>
        </w:rPr>
        <w:t>a</w:t>
      </w:r>
      <w:r w:rsidRPr="005144C5">
        <w:rPr>
          <w:lang w:val="es-ES"/>
        </w:rPr>
        <w:t xml:space="preserve"> reunión de los informes de auditoría financiera a fecha 31 de diciembre de 2019 correspondientes a los sectores de producción de CFC, </w:t>
      </w:r>
      <w:proofErr w:type="spellStart"/>
      <w:r w:rsidRPr="005144C5">
        <w:rPr>
          <w:lang w:val="es-ES"/>
        </w:rPr>
        <w:t>halones</w:t>
      </w:r>
      <w:proofErr w:type="spellEnd"/>
      <w:r w:rsidRPr="005144C5">
        <w:rPr>
          <w:lang w:val="es-ES"/>
        </w:rPr>
        <w:t>, espumas de poliuretano, agentes de procesos II, mantenimiento de equipos de refrigeración y disolventes</w:t>
      </w:r>
      <w:r w:rsidR="005144C5">
        <w:rPr>
          <w:lang w:val="es-ES"/>
        </w:rPr>
        <w:t>; y</w:t>
      </w:r>
      <w:r w:rsidRPr="005144C5">
        <w:rPr>
          <w:lang w:val="es-ES"/>
        </w:rPr>
        <w:t xml:space="preserve"> de los informes de terminación de proyecto correspondientes a los planes sectoriales de producción de CFC, espumas de poliuretano, mantenimiento de equipos de refrigeración y disolventes; así como la devolución al Fondo Multilateral en la 85.</w:t>
      </w:r>
      <w:r w:rsidRPr="005144C5">
        <w:rPr>
          <w:vertAlign w:val="superscript"/>
          <w:lang w:val="es-ES"/>
        </w:rPr>
        <w:t>a</w:t>
      </w:r>
      <w:r w:rsidRPr="005144C5">
        <w:rPr>
          <w:lang w:val="es-ES"/>
        </w:rPr>
        <w:t> reunión de los saldos de financiación disponibles a fecha 31 de diciembre 2019 asociados con los planes sectoriales de producción de CFC, espumas de poliuretano, mantenimiento de equipos de refrigeración y disolventes (decisión 84/39(c)(i) y (c)(ii)).</w:t>
      </w:r>
    </w:p>
    <w:p w14:paraId="70AEFB24" w14:textId="05027802" w:rsidR="00271511" w:rsidRPr="00271511" w:rsidRDefault="00271511" w:rsidP="00271511">
      <w:pPr>
        <w:widowControl w:val="0"/>
        <w:numPr>
          <w:ilvl w:val="0"/>
          <w:numId w:val="1"/>
        </w:numPr>
        <w:spacing w:after="240"/>
        <w:outlineLvl w:val="0"/>
        <w:rPr>
          <w:lang w:val="es-ES"/>
        </w:rPr>
      </w:pPr>
      <w:r w:rsidRPr="00271511">
        <w:rPr>
          <w:lang w:val="es-ES"/>
        </w:rPr>
        <w:t>En línea con la decisión 84/39(c)(i), los organismos de ejecución pertinentes, en nombre del Gobierno de China, presentaron a la 85.</w:t>
      </w:r>
      <w:r w:rsidRPr="00271511">
        <w:rPr>
          <w:vertAlign w:val="superscript"/>
          <w:lang w:val="es-ES"/>
        </w:rPr>
        <w:t>a</w:t>
      </w:r>
      <w:r w:rsidRPr="00271511">
        <w:rPr>
          <w:lang w:val="es-ES"/>
        </w:rPr>
        <w:t xml:space="preserve"> reunión los informes de auditoría financiera a fecha 31 de diciembre de 2019 y los informes de terminación de proyecto correspondientes a los sectores de producción de CFC, espumas de poliuretano, mantenimiento de equipos de refrigeración y disolventes. Se presentaron informes finales adicionales de los sectores de mantenimiento de refrigeración y disolventes, así como una actualización sobre la marcha de las actividades </w:t>
      </w:r>
      <w:r w:rsidR="005144C5">
        <w:rPr>
          <w:lang w:val="es-ES"/>
        </w:rPr>
        <w:t>relacionadas con el</w:t>
      </w:r>
      <w:r w:rsidRPr="00271511">
        <w:rPr>
          <w:lang w:val="es-ES"/>
        </w:rPr>
        <w:t xml:space="preserve"> agente de proceso II</w:t>
      </w:r>
      <w:r w:rsidRPr="00271953">
        <w:rPr>
          <w:vertAlign w:val="superscript"/>
        </w:rPr>
        <w:footnoteReference w:id="3"/>
      </w:r>
      <w:r w:rsidRPr="00271511">
        <w:rPr>
          <w:lang w:val="es-ES"/>
        </w:rPr>
        <w:t>.</w:t>
      </w:r>
    </w:p>
    <w:p w14:paraId="03E58453" w14:textId="1C34B1C2" w:rsidR="00271511" w:rsidRPr="00271511" w:rsidRDefault="00271511" w:rsidP="00271511">
      <w:pPr>
        <w:numPr>
          <w:ilvl w:val="0"/>
          <w:numId w:val="1"/>
        </w:numPr>
        <w:spacing w:after="240"/>
        <w:outlineLvl w:val="0"/>
        <w:rPr>
          <w:lang w:val="es-ES"/>
        </w:rPr>
      </w:pPr>
      <w:r w:rsidRPr="00271511">
        <w:rPr>
          <w:lang w:val="es-ES"/>
        </w:rPr>
        <w:t>Este asunto no se tuvo en cuenta en el proceso de aprobación en el período entre sesiones de la 85.</w:t>
      </w:r>
      <w:r w:rsidRPr="00271511">
        <w:rPr>
          <w:vertAlign w:val="superscript"/>
          <w:lang w:val="es-ES"/>
        </w:rPr>
        <w:t>a </w:t>
      </w:r>
      <w:r w:rsidRPr="00271511">
        <w:rPr>
          <w:lang w:val="es-ES"/>
        </w:rPr>
        <w:t xml:space="preserve">reunión. </w:t>
      </w:r>
      <w:r w:rsidR="005144C5">
        <w:rPr>
          <w:lang w:val="es-ES"/>
        </w:rPr>
        <w:t>Debido a</w:t>
      </w:r>
      <w:r w:rsidRPr="00271511">
        <w:rPr>
          <w:lang w:val="es-ES"/>
        </w:rPr>
        <w:t xml:space="preserve"> que la reunión se pospuso como consecuencia de las restricciones provocadas por la pandemia de la COVID-19, este aspecto se incluyó de nuevo para su examen en la 86.</w:t>
      </w:r>
      <w:r w:rsidRPr="00271511">
        <w:rPr>
          <w:vertAlign w:val="superscript"/>
          <w:lang w:val="es-ES"/>
        </w:rPr>
        <w:t>a</w:t>
      </w:r>
      <w:r w:rsidRPr="00271511">
        <w:rPr>
          <w:lang w:val="es-ES"/>
        </w:rPr>
        <w:t> reunión</w:t>
      </w:r>
      <w:r w:rsidRPr="00271953">
        <w:rPr>
          <w:vertAlign w:val="superscript"/>
        </w:rPr>
        <w:footnoteReference w:id="4"/>
      </w:r>
      <w:r w:rsidRPr="00271511">
        <w:rPr>
          <w:lang w:val="es-ES"/>
        </w:rPr>
        <w:t>. Durante el proceso de aprobación en el período entre sesiones establecido en noviembre de 2020 para la 86.</w:t>
      </w:r>
      <w:r w:rsidRPr="00271511">
        <w:rPr>
          <w:vertAlign w:val="superscript"/>
          <w:lang w:val="es-ES"/>
        </w:rPr>
        <w:t>a</w:t>
      </w:r>
      <w:r w:rsidRPr="00271511">
        <w:rPr>
          <w:lang w:val="es-ES"/>
        </w:rPr>
        <w:t> reunión, el Comité Ejecutivo examinó este aspecto y decidió</w:t>
      </w:r>
      <w:r w:rsidRPr="00271953">
        <w:rPr>
          <w:vertAlign w:val="superscript"/>
        </w:rPr>
        <w:footnoteReference w:id="5"/>
      </w:r>
      <w:r w:rsidRPr="00271511">
        <w:rPr>
          <w:lang w:val="es-ES"/>
        </w:rPr>
        <w:t>:</w:t>
      </w:r>
    </w:p>
    <w:p w14:paraId="17121B87" w14:textId="77777777" w:rsidR="00271511" w:rsidRPr="00271953" w:rsidRDefault="00271511" w:rsidP="00271511">
      <w:pPr>
        <w:widowControl w:val="0"/>
        <w:numPr>
          <w:ilvl w:val="1"/>
          <w:numId w:val="1"/>
        </w:numPr>
        <w:spacing w:after="240"/>
        <w:outlineLvl w:val="1"/>
      </w:pPr>
      <w:r w:rsidRPr="005144C5">
        <w:rPr>
          <w:lang w:val="es-ES"/>
        </w:rPr>
        <w:t>Tomar nota</w:t>
      </w:r>
      <w:r>
        <w:t xml:space="preserve"> de:</w:t>
      </w:r>
    </w:p>
    <w:p w14:paraId="2CB6C670" w14:textId="77777777" w:rsidR="00271511" w:rsidRPr="00271511" w:rsidRDefault="00271511" w:rsidP="00271511">
      <w:pPr>
        <w:widowControl w:val="0"/>
        <w:numPr>
          <w:ilvl w:val="2"/>
          <w:numId w:val="1"/>
        </w:numPr>
        <w:spacing w:after="240"/>
        <w:outlineLvl w:val="2"/>
        <w:rPr>
          <w:lang w:val="es-ES"/>
        </w:rPr>
      </w:pPr>
      <w:r w:rsidRPr="00271511">
        <w:rPr>
          <w:lang w:val="es-ES"/>
        </w:rPr>
        <w:t xml:space="preserve">Los informes de auditoría financiera correspondientes a los sectores de producción de CFC, </w:t>
      </w:r>
      <w:proofErr w:type="spellStart"/>
      <w:r w:rsidRPr="00271511">
        <w:rPr>
          <w:lang w:val="es-ES"/>
        </w:rPr>
        <w:t>halones</w:t>
      </w:r>
      <w:proofErr w:type="spellEnd"/>
      <w:r w:rsidRPr="00271511">
        <w:rPr>
          <w:lang w:val="es-ES"/>
        </w:rPr>
        <w:t>, espumas de poliuretano (PU), agentes de procesos II, mantenimiento y disolventes de China que se recogen en el documento UNEP/</w:t>
      </w:r>
      <w:proofErr w:type="spellStart"/>
      <w:r w:rsidRPr="00271511">
        <w:rPr>
          <w:lang w:val="es-ES"/>
        </w:rPr>
        <w:t>OzL.Pro</w:t>
      </w:r>
      <w:proofErr w:type="spellEnd"/>
      <w:r w:rsidRPr="00271511">
        <w:rPr>
          <w:lang w:val="es-ES"/>
        </w:rPr>
        <w:t>/</w:t>
      </w:r>
      <w:proofErr w:type="spellStart"/>
      <w:r w:rsidRPr="00271511">
        <w:rPr>
          <w:lang w:val="es-ES"/>
        </w:rPr>
        <w:t>ExCom</w:t>
      </w:r>
      <w:proofErr w:type="spellEnd"/>
      <w:r w:rsidRPr="00271511">
        <w:rPr>
          <w:lang w:val="es-ES"/>
        </w:rPr>
        <w:t xml:space="preserve">/86/21/Add.1. </w:t>
      </w:r>
    </w:p>
    <w:p w14:paraId="7AE77998" w14:textId="2C9423E3" w:rsidR="00271511" w:rsidRPr="00271511" w:rsidRDefault="00271511" w:rsidP="00271511">
      <w:pPr>
        <w:widowControl w:val="0"/>
        <w:numPr>
          <w:ilvl w:val="2"/>
          <w:numId w:val="1"/>
        </w:numPr>
        <w:spacing w:after="240"/>
        <w:outlineLvl w:val="2"/>
        <w:rPr>
          <w:lang w:val="es-ES"/>
        </w:rPr>
      </w:pPr>
      <w:r w:rsidRPr="00271511">
        <w:rPr>
          <w:lang w:val="es-ES"/>
        </w:rPr>
        <w:t>Que el Banco Mundial devolverá a la 86.</w:t>
      </w:r>
      <w:r w:rsidRPr="00271511">
        <w:rPr>
          <w:vertAlign w:val="superscript"/>
          <w:lang w:val="es-ES"/>
        </w:rPr>
        <w:t>a</w:t>
      </w:r>
      <w:r w:rsidRPr="00271511">
        <w:rPr>
          <w:lang w:val="es-ES"/>
        </w:rPr>
        <w:t> reunión los saldos remanentes correspondientes a los sectores de producción de CFC y espumas de poliuretano, por un valor de 314 015 $EUA</w:t>
      </w:r>
      <w:r w:rsidR="005144C5">
        <w:rPr>
          <w:lang w:val="es-ES"/>
        </w:rPr>
        <w:t>,</w:t>
      </w:r>
      <w:r w:rsidRPr="00271511">
        <w:rPr>
          <w:lang w:val="es-ES"/>
        </w:rPr>
        <w:t xml:space="preserve"> más un interés acumulado de 22 119$EUA.</w:t>
      </w:r>
    </w:p>
    <w:p w14:paraId="1D30C44A" w14:textId="77777777" w:rsidR="00271511" w:rsidRPr="00271511" w:rsidRDefault="00271511" w:rsidP="00271511">
      <w:pPr>
        <w:widowControl w:val="0"/>
        <w:numPr>
          <w:ilvl w:val="2"/>
          <w:numId w:val="1"/>
        </w:numPr>
        <w:spacing w:after="240"/>
        <w:outlineLvl w:val="2"/>
        <w:rPr>
          <w:lang w:val="es-ES"/>
        </w:rPr>
      </w:pPr>
      <w:r w:rsidRPr="00271511">
        <w:rPr>
          <w:lang w:val="es-ES"/>
        </w:rPr>
        <w:t>Que la ONUDI devolverá a la 86.</w:t>
      </w:r>
      <w:r w:rsidRPr="00271511">
        <w:rPr>
          <w:vertAlign w:val="superscript"/>
          <w:lang w:val="es-ES"/>
        </w:rPr>
        <w:t>a</w:t>
      </w:r>
      <w:r w:rsidRPr="00271511">
        <w:rPr>
          <w:lang w:val="es-ES"/>
        </w:rPr>
        <w:t> reunión los saldos remanentes correspondientes al sector de mantenimiento de equipos de refrigeración, por un valor de 752 $EUA más un interés acumulado de 99 178 $EUA.</w:t>
      </w:r>
    </w:p>
    <w:p w14:paraId="72E71F53" w14:textId="77777777" w:rsidR="00271511" w:rsidRPr="00271511" w:rsidRDefault="00271511" w:rsidP="00271511">
      <w:pPr>
        <w:widowControl w:val="0"/>
        <w:numPr>
          <w:ilvl w:val="2"/>
          <w:numId w:val="1"/>
        </w:numPr>
        <w:spacing w:after="240"/>
        <w:outlineLvl w:val="2"/>
        <w:rPr>
          <w:lang w:val="es-ES"/>
        </w:rPr>
      </w:pPr>
      <w:r w:rsidRPr="00271511">
        <w:rPr>
          <w:lang w:val="es-ES"/>
        </w:rPr>
        <w:lastRenderedPageBreak/>
        <w:t>Que el PNUD devolverá a la 86.</w:t>
      </w:r>
      <w:r w:rsidRPr="00271511">
        <w:rPr>
          <w:vertAlign w:val="superscript"/>
          <w:lang w:val="es-ES"/>
        </w:rPr>
        <w:t>a</w:t>
      </w:r>
      <w:r w:rsidRPr="00271511">
        <w:rPr>
          <w:lang w:val="es-ES"/>
        </w:rPr>
        <w:t> reunión 356 151 $EUA, el interés acumulado en el plan sectorial de disolventes.</w:t>
      </w:r>
    </w:p>
    <w:p w14:paraId="27A9A831" w14:textId="77777777" w:rsidR="00271511" w:rsidRPr="00271511" w:rsidRDefault="00271511" w:rsidP="002D7CB5">
      <w:pPr>
        <w:widowControl w:val="0"/>
        <w:numPr>
          <w:ilvl w:val="1"/>
          <w:numId w:val="1"/>
        </w:numPr>
        <w:spacing w:after="240"/>
        <w:outlineLvl w:val="1"/>
        <w:rPr>
          <w:lang w:val="es-ES"/>
        </w:rPr>
      </w:pPr>
      <w:r w:rsidRPr="00271511">
        <w:rPr>
          <w:lang w:val="es-ES"/>
        </w:rPr>
        <w:t>Solicitar al Banco Mundial, en línea con la decisión 84/39(b), la presentación a la 87.</w:t>
      </w:r>
      <w:r w:rsidRPr="00271511">
        <w:rPr>
          <w:vertAlign w:val="superscript"/>
          <w:lang w:val="es-ES"/>
        </w:rPr>
        <w:t>a</w:t>
      </w:r>
      <w:r w:rsidRPr="00271511">
        <w:rPr>
          <w:lang w:val="es-ES"/>
        </w:rPr>
        <w:t xml:space="preserve"> reunión de los informes de auditoría financiera correspondientes a los planes sectoriales de </w:t>
      </w:r>
      <w:proofErr w:type="spellStart"/>
      <w:r w:rsidRPr="00271511">
        <w:rPr>
          <w:lang w:val="es-ES"/>
        </w:rPr>
        <w:t>halones</w:t>
      </w:r>
      <w:proofErr w:type="spellEnd"/>
      <w:r w:rsidRPr="00271511">
        <w:rPr>
          <w:lang w:val="es-ES"/>
        </w:rPr>
        <w:t xml:space="preserve"> y agentes de procesos II, con fecha de finalización prevista para el 31 de diciembre de 2020, junto con los correspondientes informes de terminación de proyecto y los posibles saldos remanentes a fecha 31 de diciembre de 2020.</w:t>
      </w:r>
    </w:p>
    <w:p w14:paraId="32A62F27" w14:textId="15CB3472" w:rsidR="00271511" w:rsidRPr="00271511" w:rsidRDefault="00271511" w:rsidP="00271511">
      <w:pPr>
        <w:widowControl w:val="0"/>
        <w:numPr>
          <w:ilvl w:val="1"/>
          <w:numId w:val="1"/>
        </w:numPr>
        <w:spacing w:after="240"/>
        <w:outlineLvl w:val="1"/>
        <w:rPr>
          <w:lang w:val="es-ES"/>
        </w:rPr>
      </w:pPr>
      <w:r w:rsidRPr="00271511">
        <w:rPr>
          <w:lang w:val="es-ES"/>
        </w:rPr>
        <w:t>Solicitar al Oficial superior de supervisión y evaluación colaborar con el organismo de ejecución pertinente para asegurarse de que los informes de terminación de proyecto presentados para los planes sectoriales de producción de CFC, espumas de poliuretano, mantenimiento de equipos de refrigeración y disolventes reflejen desembolsos a los beneficiarios finales en consonancia con la información proporcionada en los informes de auditoría financiera comunicados a la 86.</w:t>
      </w:r>
      <w:r w:rsidRPr="00271511">
        <w:rPr>
          <w:vertAlign w:val="superscript"/>
          <w:lang w:val="es-ES"/>
        </w:rPr>
        <w:t>a </w:t>
      </w:r>
      <w:r w:rsidRPr="00271511">
        <w:rPr>
          <w:lang w:val="es-ES"/>
        </w:rPr>
        <w:t xml:space="preserve">reunión. </w:t>
      </w:r>
    </w:p>
    <w:p w14:paraId="2C6BAC5B" w14:textId="77777777" w:rsidR="00271511" w:rsidRPr="00271511" w:rsidRDefault="00271511" w:rsidP="00271511">
      <w:pPr>
        <w:spacing w:after="240"/>
        <w:outlineLvl w:val="0"/>
        <w:rPr>
          <w:b/>
          <w:lang w:val="es-ES"/>
        </w:rPr>
      </w:pPr>
      <w:r w:rsidRPr="00271511">
        <w:rPr>
          <w:b/>
          <w:lang w:val="es-ES"/>
        </w:rPr>
        <w:t>Informes presentados a la 87.</w:t>
      </w:r>
      <w:r w:rsidRPr="00271511">
        <w:rPr>
          <w:b/>
          <w:vertAlign w:val="superscript"/>
          <w:lang w:val="es-ES"/>
        </w:rPr>
        <w:t>a</w:t>
      </w:r>
      <w:r w:rsidRPr="00271511">
        <w:rPr>
          <w:b/>
          <w:lang w:val="es-ES"/>
        </w:rPr>
        <w:t> reunión</w:t>
      </w:r>
    </w:p>
    <w:p w14:paraId="39BFF9F3" w14:textId="77777777" w:rsidR="00271511" w:rsidRPr="00271511" w:rsidRDefault="00271511" w:rsidP="00271511">
      <w:pPr>
        <w:numPr>
          <w:ilvl w:val="0"/>
          <w:numId w:val="1"/>
        </w:numPr>
        <w:spacing w:after="240"/>
        <w:outlineLvl w:val="0"/>
        <w:rPr>
          <w:lang w:val="es-ES"/>
        </w:rPr>
      </w:pPr>
      <w:r w:rsidRPr="00271511">
        <w:rPr>
          <w:lang w:val="es-ES"/>
        </w:rPr>
        <w:t>El Banco Mundial, en nombre del Gobierno de China, presentó a la 87.</w:t>
      </w:r>
      <w:r w:rsidRPr="00271511">
        <w:rPr>
          <w:vertAlign w:val="superscript"/>
          <w:lang w:val="es-ES"/>
        </w:rPr>
        <w:t>a</w:t>
      </w:r>
      <w:r w:rsidRPr="00271511">
        <w:rPr>
          <w:lang w:val="es-ES"/>
        </w:rPr>
        <w:t xml:space="preserve"> reunión los informes de auditoría financiera a fecha 31 de diciembre de 2020 correspondientes a los planes sectoriales de </w:t>
      </w:r>
      <w:proofErr w:type="spellStart"/>
      <w:r w:rsidRPr="00271511">
        <w:rPr>
          <w:lang w:val="es-ES"/>
        </w:rPr>
        <w:t>halones</w:t>
      </w:r>
      <w:proofErr w:type="spellEnd"/>
      <w:r w:rsidRPr="00271511">
        <w:rPr>
          <w:lang w:val="es-ES"/>
        </w:rPr>
        <w:t xml:space="preserve"> y agentes de procesos II, así como sus respectivos informes de terminación de proyecto, en línea con la decisión 86/41.</w:t>
      </w:r>
    </w:p>
    <w:p w14:paraId="14E49F6B" w14:textId="78934DE0" w:rsidR="00271511" w:rsidRPr="00271511" w:rsidRDefault="005144C5" w:rsidP="00271511">
      <w:pPr>
        <w:pStyle w:val="Heading1"/>
        <w:rPr>
          <w:lang w:val="es-ES"/>
        </w:rPr>
      </w:pPr>
      <w:r>
        <w:rPr>
          <w:lang w:val="es-ES"/>
        </w:rPr>
        <w:t>El</w:t>
      </w:r>
      <w:r w:rsidR="00271511" w:rsidRPr="00271511">
        <w:rPr>
          <w:lang w:val="es-ES"/>
        </w:rPr>
        <w:t xml:space="preserve"> informe de auditoría financiera indica un saldo de 8 723 002 $EUA (Cuadro 1) para el plan sectorial de </w:t>
      </w:r>
      <w:proofErr w:type="spellStart"/>
      <w:r w:rsidR="00271511" w:rsidRPr="00271511">
        <w:rPr>
          <w:lang w:val="es-ES"/>
        </w:rPr>
        <w:t>halones</w:t>
      </w:r>
      <w:proofErr w:type="spellEnd"/>
      <w:r w:rsidR="00271511" w:rsidRPr="00271511">
        <w:rPr>
          <w:lang w:val="es-ES"/>
        </w:rPr>
        <w:t xml:space="preserve">, y unos intereses acumulados de 22 163 $EUA para los planes sectoriales de </w:t>
      </w:r>
      <w:proofErr w:type="spellStart"/>
      <w:r w:rsidR="00271511" w:rsidRPr="00271511">
        <w:rPr>
          <w:lang w:val="es-ES"/>
        </w:rPr>
        <w:t>halones</w:t>
      </w:r>
      <w:proofErr w:type="spellEnd"/>
      <w:r w:rsidR="00271511" w:rsidRPr="00271511">
        <w:rPr>
          <w:lang w:val="es-ES"/>
        </w:rPr>
        <w:t xml:space="preserve"> y agentes de procesos II</w:t>
      </w:r>
      <w:r>
        <w:rPr>
          <w:lang w:val="es-ES"/>
        </w:rPr>
        <w:t>,</w:t>
      </w:r>
      <w:r w:rsidR="00271511" w:rsidRPr="00271511">
        <w:rPr>
          <w:lang w:val="es-ES"/>
        </w:rPr>
        <w:t xml:space="preserve"> que deben devolverse al Fondo Multilateral. No hay saldos del plan sectorial de agentes de procesos II, ya que en 2020 los desembolsos ascendieron a 2 416 996 $EUA, lo que supone un desembolso acumulado de 46 832 188 $EUA, </w:t>
      </w:r>
      <w:r>
        <w:rPr>
          <w:lang w:val="es-ES"/>
        </w:rPr>
        <w:t>superior en</w:t>
      </w:r>
      <w:r w:rsidR="00271511" w:rsidRPr="00271511">
        <w:rPr>
          <w:lang w:val="es-ES"/>
        </w:rPr>
        <w:t xml:space="preserve"> 332 188 $EUA a los 46 500 000 $EUA aprobados para el plan; estos fondos adicionales los proporcionó el Gobierno como cofinanciación para la supervisión y gestión del plan sectorial en 2020. En el Cuadro 1 se resumen los saldos y los intereses devengados para los planes sectoriales de </w:t>
      </w:r>
      <w:proofErr w:type="spellStart"/>
      <w:r w:rsidR="00271511" w:rsidRPr="00271511">
        <w:rPr>
          <w:lang w:val="es-ES"/>
        </w:rPr>
        <w:t>halones</w:t>
      </w:r>
      <w:proofErr w:type="spellEnd"/>
      <w:r w:rsidR="00271511" w:rsidRPr="00271511">
        <w:rPr>
          <w:lang w:val="es-ES"/>
        </w:rPr>
        <w:t xml:space="preserve"> y agentes de procesos II.</w:t>
      </w:r>
    </w:p>
    <w:p w14:paraId="21C491EE" w14:textId="77777777" w:rsidR="00271511" w:rsidRPr="00271511" w:rsidRDefault="00271511" w:rsidP="00271511">
      <w:pPr>
        <w:outlineLvl w:val="0"/>
        <w:rPr>
          <w:b/>
          <w:lang w:val="es-ES"/>
        </w:rPr>
      </w:pPr>
      <w:r w:rsidRPr="00271511">
        <w:rPr>
          <w:b/>
          <w:lang w:val="es-ES"/>
        </w:rPr>
        <w:t xml:space="preserve">Cuadro 1. Saldos remanentes e intereses correspondientes a los planes sectoriales de </w:t>
      </w:r>
      <w:proofErr w:type="spellStart"/>
      <w:r w:rsidRPr="00271511">
        <w:rPr>
          <w:b/>
          <w:lang w:val="es-ES"/>
        </w:rPr>
        <w:t>halones</w:t>
      </w:r>
      <w:proofErr w:type="spellEnd"/>
      <w:r w:rsidRPr="00271511">
        <w:rPr>
          <w:b/>
          <w:lang w:val="es-ES"/>
        </w:rPr>
        <w:t xml:space="preserve"> y agentes de procesos II ($EUA)</w:t>
      </w:r>
    </w:p>
    <w:tbl>
      <w:tblPr>
        <w:tblW w:w="5000" w:type="pct"/>
        <w:tblLook w:val="04A0" w:firstRow="1" w:lastRow="0" w:firstColumn="1" w:lastColumn="0" w:noHBand="0" w:noVBand="1"/>
      </w:tblPr>
      <w:tblGrid>
        <w:gridCol w:w="2473"/>
        <w:gridCol w:w="1911"/>
        <w:gridCol w:w="1886"/>
        <w:gridCol w:w="1331"/>
        <w:gridCol w:w="1749"/>
      </w:tblGrid>
      <w:tr w:rsidR="00271511" w:rsidRPr="00271953" w14:paraId="70D2EE3D" w14:textId="77777777" w:rsidTr="00192E47">
        <w:trPr>
          <w:tblHeader/>
        </w:trPr>
        <w:tc>
          <w:tcPr>
            <w:tcW w:w="13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1F2AEF" w14:textId="77777777" w:rsidR="00271511" w:rsidRPr="00E8249B" w:rsidRDefault="00271511" w:rsidP="00192E47">
            <w:pPr>
              <w:jc w:val="left"/>
              <w:rPr>
                <w:b/>
                <w:color w:val="000000"/>
                <w:sz w:val="20"/>
                <w:szCs w:val="20"/>
                <w:lang w:val="es-ES"/>
              </w:rPr>
            </w:pPr>
            <w:r w:rsidRPr="00E8249B">
              <w:rPr>
                <w:b/>
                <w:color w:val="000000"/>
                <w:sz w:val="20"/>
                <w:szCs w:val="20"/>
                <w:lang w:val="es-ES"/>
              </w:rPr>
              <w:t>Actividad</w:t>
            </w:r>
          </w:p>
        </w:tc>
        <w:tc>
          <w:tcPr>
            <w:tcW w:w="1026" w:type="pct"/>
            <w:tcBorders>
              <w:top w:val="single" w:sz="4" w:space="0" w:color="auto"/>
              <w:left w:val="nil"/>
              <w:bottom w:val="single" w:sz="4" w:space="0" w:color="auto"/>
              <w:right w:val="single" w:sz="4" w:space="0" w:color="auto"/>
            </w:tcBorders>
            <w:shd w:val="clear" w:color="auto" w:fill="auto"/>
            <w:vAlign w:val="center"/>
            <w:hideMark/>
          </w:tcPr>
          <w:p w14:paraId="7FBED3A2" w14:textId="77777777" w:rsidR="00271511" w:rsidRPr="00E8249B" w:rsidRDefault="00271511" w:rsidP="00192E47">
            <w:pPr>
              <w:jc w:val="center"/>
              <w:rPr>
                <w:b/>
                <w:color w:val="000000"/>
                <w:sz w:val="20"/>
                <w:szCs w:val="20"/>
                <w:lang w:val="es-ES"/>
              </w:rPr>
            </w:pPr>
            <w:r w:rsidRPr="00E8249B">
              <w:rPr>
                <w:b/>
                <w:color w:val="000000"/>
                <w:sz w:val="20"/>
                <w:szCs w:val="20"/>
                <w:lang w:val="es-ES"/>
              </w:rPr>
              <w:t>Saldo a 31 de diciembre de 2019</w:t>
            </w:r>
          </w:p>
        </w:tc>
        <w:tc>
          <w:tcPr>
            <w:tcW w:w="1013" w:type="pct"/>
            <w:tcBorders>
              <w:top w:val="single" w:sz="4" w:space="0" w:color="auto"/>
              <w:left w:val="nil"/>
              <w:bottom w:val="single" w:sz="4" w:space="0" w:color="auto"/>
              <w:right w:val="single" w:sz="4" w:space="0" w:color="auto"/>
            </w:tcBorders>
            <w:shd w:val="clear" w:color="auto" w:fill="auto"/>
            <w:vAlign w:val="center"/>
            <w:hideMark/>
          </w:tcPr>
          <w:p w14:paraId="56C9F2A0" w14:textId="77777777" w:rsidR="00271511" w:rsidRPr="00E8249B" w:rsidRDefault="00271511" w:rsidP="00192E47">
            <w:pPr>
              <w:jc w:val="center"/>
              <w:rPr>
                <w:b/>
                <w:color w:val="000000"/>
                <w:sz w:val="20"/>
                <w:szCs w:val="20"/>
                <w:lang w:val="es-ES"/>
              </w:rPr>
            </w:pPr>
            <w:r w:rsidRPr="00E8249B">
              <w:rPr>
                <w:b/>
                <w:color w:val="000000"/>
                <w:sz w:val="20"/>
                <w:szCs w:val="20"/>
                <w:lang w:val="es-ES"/>
              </w:rPr>
              <w:t xml:space="preserve">Saldo al 31 de diciembre de 2020 </w:t>
            </w:r>
          </w:p>
        </w:tc>
        <w:tc>
          <w:tcPr>
            <w:tcW w:w="716" w:type="pct"/>
            <w:tcBorders>
              <w:top w:val="single" w:sz="4" w:space="0" w:color="auto"/>
              <w:left w:val="nil"/>
              <w:bottom w:val="single" w:sz="4" w:space="0" w:color="auto"/>
              <w:right w:val="single" w:sz="4" w:space="0" w:color="auto"/>
            </w:tcBorders>
            <w:shd w:val="clear" w:color="auto" w:fill="auto"/>
            <w:vAlign w:val="center"/>
            <w:hideMark/>
          </w:tcPr>
          <w:p w14:paraId="1C6DB8DF" w14:textId="77777777" w:rsidR="00271511" w:rsidRPr="00E8249B" w:rsidRDefault="00271511" w:rsidP="00192E47">
            <w:pPr>
              <w:jc w:val="center"/>
              <w:rPr>
                <w:b/>
                <w:color w:val="000000"/>
                <w:sz w:val="20"/>
                <w:szCs w:val="20"/>
                <w:lang w:val="es-ES"/>
              </w:rPr>
            </w:pPr>
            <w:r w:rsidRPr="00E8249B">
              <w:rPr>
                <w:b/>
                <w:color w:val="000000"/>
                <w:sz w:val="20"/>
                <w:szCs w:val="20"/>
                <w:lang w:val="es-ES"/>
              </w:rPr>
              <w:t>Intereses acumulados</w:t>
            </w:r>
          </w:p>
        </w:tc>
        <w:tc>
          <w:tcPr>
            <w:tcW w:w="918" w:type="pct"/>
            <w:tcBorders>
              <w:top w:val="single" w:sz="4" w:space="0" w:color="auto"/>
              <w:left w:val="nil"/>
              <w:bottom w:val="single" w:sz="4" w:space="0" w:color="auto"/>
              <w:right w:val="single" w:sz="4" w:space="0" w:color="auto"/>
            </w:tcBorders>
            <w:shd w:val="clear" w:color="auto" w:fill="auto"/>
            <w:vAlign w:val="center"/>
            <w:hideMark/>
          </w:tcPr>
          <w:p w14:paraId="385A0732" w14:textId="77777777" w:rsidR="00271511" w:rsidRPr="00E8249B" w:rsidRDefault="00271511" w:rsidP="00192E47">
            <w:pPr>
              <w:jc w:val="center"/>
              <w:rPr>
                <w:b/>
                <w:color w:val="000000"/>
                <w:sz w:val="20"/>
                <w:szCs w:val="20"/>
                <w:lang w:val="es-ES"/>
              </w:rPr>
            </w:pPr>
            <w:r w:rsidRPr="00E8249B">
              <w:rPr>
                <w:b/>
                <w:color w:val="000000"/>
                <w:sz w:val="20"/>
                <w:szCs w:val="20"/>
                <w:lang w:val="es-ES"/>
              </w:rPr>
              <w:t>Fecha de terminación</w:t>
            </w:r>
          </w:p>
        </w:tc>
      </w:tr>
      <w:tr w:rsidR="00271511" w:rsidRPr="00271953" w14:paraId="62899A83" w14:textId="77777777" w:rsidTr="00192E47">
        <w:tc>
          <w:tcPr>
            <w:tcW w:w="1327" w:type="pct"/>
            <w:tcBorders>
              <w:top w:val="nil"/>
              <w:left w:val="single" w:sz="4" w:space="0" w:color="auto"/>
              <w:bottom w:val="single" w:sz="4" w:space="0" w:color="auto"/>
              <w:right w:val="single" w:sz="4" w:space="0" w:color="auto"/>
            </w:tcBorders>
            <w:shd w:val="clear" w:color="auto" w:fill="auto"/>
            <w:vAlign w:val="center"/>
            <w:hideMark/>
          </w:tcPr>
          <w:p w14:paraId="670A9BA2" w14:textId="77777777" w:rsidR="00271511" w:rsidRPr="00E8249B" w:rsidRDefault="00271511" w:rsidP="00192E47">
            <w:pPr>
              <w:jc w:val="left"/>
              <w:rPr>
                <w:color w:val="000000"/>
                <w:sz w:val="20"/>
                <w:szCs w:val="20"/>
                <w:lang w:val="es-ES"/>
              </w:rPr>
            </w:pPr>
            <w:r w:rsidRPr="00E8249B">
              <w:rPr>
                <w:color w:val="000000"/>
                <w:sz w:val="20"/>
                <w:szCs w:val="20"/>
                <w:lang w:val="es-ES"/>
              </w:rPr>
              <w:t xml:space="preserve">Sector de </w:t>
            </w:r>
            <w:proofErr w:type="spellStart"/>
            <w:r w:rsidRPr="00E8249B">
              <w:rPr>
                <w:color w:val="000000"/>
                <w:sz w:val="20"/>
                <w:szCs w:val="20"/>
                <w:lang w:val="es-ES"/>
              </w:rPr>
              <w:t>halones</w:t>
            </w:r>
            <w:proofErr w:type="spellEnd"/>
            <w:r w:rsidRPr="00E8249B">
              <w:rPr>
                <w:color w:val="000000"/>
                <w:sz w:val="20"/>
                <w:szCs w:val="20"/>
                <w:lang w:val="es-ES"/>
              </w:rPr>
              <w:t xml:space="preserve"> </w:t>
            </w:r>
          </w:p>
        </w:tc>
        <w:tc>
          <w:tcPr>
            <w:tcW w:w="1026" w:type="pct"/>
            <w:tcBorders>
              <w:top w:val="nil"/>
              <w:left w:val="nil"/>
              <w:bottom w:val="single" w:sz="4" w:space="0" w:color="auto"/>
              <w:right w:val="single" w:sz="4" w:space="0" w:color="auto"/>
            </w:tcBorders>
            <w:shd w:val="clear" w:color="auto" w:fill="auto"/>
            <w:noWrap/>
            <w:vAlign w:val="center"/>
          </w:tcPr>
          <w:p w14:paraId="1D019143" w14:textId="77777777" w:rsidR="00271511" w:rsidRPr="00E8249B" w:rsidRDefault="00271511" w:rsidP="00192E47">
            <w:pPr>
              <w:jc w:val="right"/>
              <w:rPr>
                <w:color w:val="000000"/>
                <w:sz w:val="20"/>
                <w:szCs w:val="20"/>
                <w:lang w:val="es-ES"/>
              </w:rPr>
            </w:pPr>
            <w:r w:rsidRPr="00E8249B">
              <w:rPr>
                <w:color w:val="000000"/>
                <w:sz w:val="20"/>
                <w:szCs w:val="20"/>
                <w:lang w:val="es-ES"/>
              </w:rPr>
              <w:t>8 913 167</w:t>
            </w:r>
          </w:p>
        </w:tc>
        <w:tc>
          <w:tcPr>
            <w:tcW w:w="1013" w:type="pct"/>
            <w:tcBorders>
              <w:top w:val="nil"/>
              <w:left w:val="nil"/>
              <w:bottom w:val="single" w:sz="4" w:space="0" w:color="auto"/>
              <w:right w:val="single" w:sz="4" w:space="0" w:color="auto"/>
            </w:tcBorders>
            <w:shd w:val="clear" w:color="auto" w:fill="auto"/>
            <w:noWrap/>
            <w:vAlign w:val="center"/>
          </w:tcPr>
          <w:p w14:paraId="602E7108" w14:textId="77777777" w:rsidR="00271511" w:rsidRPr="00E8249B" w:rsidRDefault="00271511" w:rsidP="00192E47">
            <w:pPr>
              <w:jc w:val="right"/>
              <w:rPr>
                <w:color w:val="000000"/>
                <w:sz w:val="20"/>
                <w:szCs w:val="20"/>
                <w:lang w:val="es-ES"/>
              </w:rPr>
            </w:pPr>
            <w:r w:rsidRPr="00E8249B">
              <w:rPr>
                <w:color w:val="000000"/>
                <w:sz w:val="20"/>
                <w:szCs w:val="20"/>
                <w:lang w:val="es-ES"/>
              </w:rPr>
              <w:t>8 723 002</w:t>
            </w:r>
          </w:p>
        </w:tc>
        <w:tc>
          <w:tcPr>
            <w:tcW w:w="716" w:type="pct"/>
            <w:vMerge w:val="restart"/>
            <w:tcBorders>
              <w:top w:val="nil"/>
              <w:left w:val="single" w:sz="4" w:space="0" w:color="auto"/>
              <w:bottom w:val="single" w:sz="4" w:space="0" w:color="auto"/>
              <w:right w:val="single" w:sz="4" w:space="0" w:color="auto"/>
            </w:tcBorders>
            <w:shd w:val="clear" w:color="auto" w:fill="auto"/>
            <w:vAlign w:val="center"/>
            <w:hideMark/>
          </w:tcPr>
          <w:p w14:paraId="70B33ADC" w14:textId="77777777" w:rsidR="00271511" w:rsidRPr="00E8249B" w:rsidRDefault="00271511" w:rsidP="00192E47">
            <w:pPr>
              <w:jc w:val="right"/>
              <w:rPr>
                <w:color w:val="000000"/>
                <w:sz w:val="20"/>
                <w:szCs w:val="20"/>
                <w:lang w:val="es-ES"/>
              </w:rPr>
            </w:pPr>
            <w:r w:rsidRPr="00E8249B">
              <w:rPr>
                <w:color w:val="000000"/>
                <w:sz w:val="20"/>
                <w:szCs w:val="20"/>
                <w:lang w:val="es-ES"/>
              </w:rPr>
              <w:t>22 163</w:t>
            </w:r>
          </w:p>
        </w:tc>
        <w:tc>
          <w:tcPr>
            <w:tcW w:w="918" w:type="pct"/>
            <w:tcBorders>
              <w:top w:val="nil"/>
              <w:left w:val="nil"/>
              <w:bottom w:val="single" w:sz="4" w:space="0" w:color="auto"/>
              <w:right w:val="single" w:sz="4" w:space="0" w:color="auto"/>
            </w:tcBorders>
            <w:shd w:val="clear" w:color="auto" w:fill="auto"/>
            <w:noWrap/>
            <w:vAlign w:val="center"/>
            <w:hideMark/>
          </w:tcPr>
          <w:p w14:paraId="26E60CE6" w14:textId="77777777" w:rsidR="00271511" w:rsidRPr="00E8249B" w:rsidRDefault="00271511" w:rsidP="00192E47">
            <w:pPr>
              <w:jc w:val="center"/>
              <w:rPr>
                <w:color w:val="000000"/>
                <w:sz w:val="20"/>
                <w:szCs w:val="20"/>
                <w:lang w:val="es-ES"/>
              </w:rPr>
            </w:pPr>
            <w:r w:rsidRPr="00E8249B">
              <w:rPr>
                <w:color w:val="000000"/>
                <w:sz w:val="20"/>
                <w:szCs w:val="20"/>
                <w:lang w:val="es-ES"/>
              </w:rPr>
              <w:t>Diciembre de 2020</w:t>
            </w:r>
          </w:p>
        </w:tc>
      </w:tr>
      <w:tr w:rsidR="00271511" w:rsidRPr="00271953" w14:paraId="1132E030" w14:textId="77777777" w:rsidTr="00192E47">
        <w:tc>
          <w:tcPr>
            <w:tcW w:w="13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F96DF4" w14:textId="77777777" w:rsidR="00271511" w:rsidRPr="00E8249B" w:rsidRDefault="00271511" w:rsidP="00192E47">
            <w:pPr>
              <w:jc w:val="left"/>
              <w:rPr>
                <w:color w:val="000000"/>
                <w:sz w:val="20"/>
                <w:szCs w:val="20"/>
                <w:lang w:val="es-ES"/>
              </w:rPr>
            </w:pPr>
            <w:r w:rsidRPr="00E8249B">
              <w:rPr>
                <w:color w:val="000000"/>
                <w:sz w:val="20"/>
                <w:szCs w:val="20"/>
                <w:lang w:val="es-ES"/>
              </w:rPr>
              <w:t xml:space="preserve">Agente de procesos II </w:t>
            </w:r>
          </w:p>
        </w:tc>
        <w:tc>
          <w:tcPr>
            <w:tcW w:w="1026" w:type="pct"/>
            <w:tcBorders>
              <w:top w:val="single" w:sz="4" w:space="0" w:color="auto"/>
              <w:left w:val="nil"/>
              <w:bottom w:val="single" w:sz="4" w:space="0" w:color="auto"/>
              <w:right w:val="single" w:sz="4" w:space="0" w:color="auto"/>
            </w:tcBorders>
            <w:shd w:val="clear" w:color="auto" w:fill="auto"/>
            <w:noWrap/>
            <w:vAlign w:val="center"/>
          </w:tcPr>
          <w:p w14:paraId="22FC05BB" w14:textId="77777777" w:rsidR="00271511" w:rsidRPr="00271953" w:rsidRDefault="00271511" w:rsidP="00192E47">
            <w:pPr>
              <w:jc w:val="right"/>
              <w:rPr>
                <w:color w:val="000000"/>
                <w:sz w:val="20"/>
                <w:szCs w:val="20"/>
              </w:rPr>
            </w:pPr>
            <w:r>
              <w:rPr>
                <w:color w:val="000000"/>
                <w:sz w:val="20"/>
                <w:szCs w:val="20"/>
              </w:rPr>
              <w:t>2 084 808</w:t>
            </w:r>
          </w:p>
        </w:tc>
        <w:tc>
          <w:tcPr>
            <w:tcW w:w="1013" w:type="pct"/>
            <w:tcBorders>
              <w:top w:val="single" w:sz="4" w:space="0" w:color="auto"/>
              <w:left w:val="nil"/>
              <w:bottom w:val="single" w:sz="4" w:space="0" w:color="auto"/>
              <w:right w:val="single" w:sz="4" w:space="0" w:color="auto"/>
            </w:tcBorders>
            <w:shd w:val="clear" w:color="auto" w:fill="auto"/>
            <w:noWrap/>
            <w:vAlign w:val="center"/>
          </w:tcPr>
          <w:p w14:paraId="3974937A" w14:textId="77777777" w:rsidR="00271511" w:rsidRPr="00271953" w:rsidRDefault="00271511" w:rsidP="00192E47">
            <w:pPr>
              <w:jc w:val="right"/>
              <w:rPr>
                <w:color w:val="000000"/>
                <w:sz w:val="20"/>
                <w:szCs w:val="20"/>
              </w:rPr>
            </w:pPr>
            <w:r>
              <w:rPr>
                <w:color w:val="000000"/>
                <w:sz w:val="20"/>
                <w:szCs w:val="20"/>
              </w:rPr>
              <w:t>-332.188*</w:t>
            </w:r>
          </w:p>
        </w:tc>
        <w:tc>
          <w:tcPr>
            <w:tcW w:w="71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4A802B" w14:textId="77777777" w:rsidR="00271511" w:rsidRPr="00271953" w:rsidRDefault="00271511" w:rsidP="00192E47">
            <w:pPr>
              <w:jc w:val="left"/>
              <w:rPr>
                <w:color w:val="000000"/>
                <w:sz w:val="20"/>
                <w:szCs w:val="20"/>
                <w:lang w:eastAsia="en-CA"/>
              </w:rPr>
            </w:pPr>
          </w:p>
        </w:tc>
        <w:tc>
          <w:tcPr>
            <w:tcW w:w="918" w:type="pct"/>
            <w:tcBorders>
              <w:top w:val="single" w:sz="4" w:space="0" w:color="auto"/>
              <w:left w:val="nil"/>
              <w:bottom w:val="single" w:sz="4" w:space="0" w:color="auto"/>
              <w:right w:val="single" w:sz="4" w:space="0" w:color="auto"/>
            </w:tcBorders>
            <w:shd w:val="clear" w:color="auto" w:fill="auto"/>
            <w:noWrap/>
            <w:vAlign w:val="center"/>
            <w:hideMark/>
          </w:tcPr>
          <w:p w14:paraId="6D23CB15" w14:textId="77777777" w:rsidR="00271511" w:rsidRPr="00E8249B" w:rsidRDefault="00271511" w:rsidP="00192E47">
            <w:pPr>
              <w:jc w:val="center"/>
              <w:rPr>
                <w:color w:val="000000"/>
                <w:sz w:val="20"/>
                <w:szCs w:val="20"/>
                <w:lang w:val="es-ES"/>
              </w:rPr>
            </w:pPr>
            <w:r w:rsidRPr="00E8249B">
              <w:rPr>
                <w:color w:val="000000"/>
                <w:sz w:val="20"/>
                <w:szCs w:val="20"/>
                <w:lang w:val="es-ES"/>
              </w:rPr>
              <w:t>Diciembre de 2020</w:t>
            </w:r>
          </w:p>
        </w:tc>
      </w:tr>
    </w:tbl>
    <w:p w14:paraId="67CF5924" w14:textId="77777777" w:rsidR="00271511" w:rsidRPr="00271511" w:rsidRDefault="00271511" w:rsidP="00271511">
      <w:pPr>
        <w:spacing w:after="240"/>
        <w:rPr>
          <w:sz w:val="18"/>
          <w:szCs w:val="18"/>
          <w:lang w:val="es-ES"/>
        </w:rPr>
      </w:pPr>
      <w:r w:rsidRPr="00271511">
        <w:rPr>
          <w:sz w:val="18"/>
          <w:szCs w:val="18"/>
          <w:lang w:val="es-ES"/>
        </w:rPr>
        <w:t>*Fondos proporcionados por el Gobierno como cofinanciación para la supervisión y gestión del plan sectorial en 2020.</w:t>
      </w:r>
    </w:p>
    <w:p w14:paraId="189BB3C4" w14:textId="77777777" w:rsidR="00271511" w:rsidRPr="00E8249B" w:rsidRDefault="00271511" w:rsidP="00271511">
      <w:pPr>
        <w:spacing w:after="240"/>
        <w:rPr>
          <w:b/>
          <w:lang w:val="es-ES"/>
        </w:rPr>
      </w:pPr>
      <w:r w:rsidRPr="00E8249B">
        <w:rPr>
          <w:b/>
          <w:lang w:val="es-ES"/>
        </w:rPr>
        <w:t>Observaciones de la Secretaría</w:t>
      </w:r>
    </w:p>
    <w:p w14:paraId="284C1915" w14:textId="0EDAD354" w:rsidR="00271511" w:rsidRPr="00271511" w:rsidRDefault="00271511" w:rsidP="00271511">
      <w:pPr>
        <w:widowControl w:val="0"/>
        <w:numPr>
          <w:ilvl w:val="0"/>
          <w:numId w:val="1"/>
        </w:numPr>
        <w:spacing w:after="240"/>
        <w:outlineLvl w:val="0"/>
        <w:rPr>
          <w:lang w:val="es-ES"/>
        </w:rPr>
      </w:pPr>
      <w:r w:rsidRPr="00271511">
        <w:rPr>
          <w:lang w:val="es-ES"/>
        </w:rPr>
        <w:t xml:space="preserve">La Secretaría toma nota y valora que el Gobierno de China ha completado los planes sectoriales de producción de CFC, espumas de poliuretano, disolventes y mantenimiento antes del 31 de diciembre de 2019 y los planes sectoriales de </w:t>
      </w:r>
      <w:proofErr w:type="spellStart"/>
      <w:r w:rsidRPr="00271511">
        <w:rPr>
          <w:lang w:val="es-ES"/>
        </w:rPr>
        <w:t>halones</w:t>
      </w:r>
      <w:proofErr w:type="spellEnd"/>
      <w:r w:rsidRPr="00271511">
        <w:rPr>
          <w:lang w:val="es-ES"/>
        </w:rPr>
        <w:t xml:space="preserve"> y agentes de procesos II antes del 31 de diciembre de 2020, y que los saldos asociados con estos planes sectoriales, incluidos los intereses devengados</w:t>
      </w:r>
      <w:r w:rsidR="00E8249B">
        <w:rPr>
          <w:lang w:val="es-ES"/>
        </w:rPr>
        <w:t xml:space="preserve"> </w:t>
      </w:r>
      <w:r w:rsidRPr="00271511">
        <w:rPr>
          <w:lang w:val="es-ES"/>
        </w:rPr>
        <w:t>se han devuelto al Fondo Multilateral o se devolverán a la 87.</w:t>
      </w:r>
      <w:r w:rsidRPr="00271511">
        <w:rPr>
          <w:vertAlign w:val="superscript"/>
          <w:lang w:val="es-ES"/>
        </w:rPr>
        <w:t>a</w:t>
      </w:r>
      <w:r w:rsidRPr="00271511">
        <w:rPr>
          <w:lang w:val="es-ES"/>
        </w:rPr>
        <w:t> reunión.</w:t>
      </w:r>
    </w:p>
    <w:p w14:paraId="0A6AFAEC" w14:textId="7BE9F2B6" w:rsidR="00271511" w:rsidRPr="00271511" w:rsidRDefault="00271511" w:rsidP="00271511">
      <w:pPr>
        <w:numPr>
          <w:ilvl w:val="0"/>
          <w:numId w:val="1"/>
        </w:numPr>
        <w:spacing w:after="240"/>
        <w:outlineLvl w:val="0"/>
        <w:rPr>
          <w:lang w:val="es-ES"/>
        </w:rPr>
      </w:pPr>
      <w:r w:rsidRPr="00271511">
        <w:rPr>
          <w:lang w:val="es-ES"/>
        </w:rPr>
        <w:t>En línea con la decisión 84/39(c)(iii)</w:t>
      </w:r>
      <w:r w:rsidRPr="00271953">
        <w:rPr>
          <w:vertAlign w:val="superscript"/>
        </w:rPr>
        <w:footnoteReference w:id="6"/>
      </w:r>
      <w:r w:rsidRPr="00271511">
        <w:rPr>
          <w:lang w:val="es-ES"/>
        </w:rPr>
        <w:t xml:space="preserve">, el Banco Mundial informó de que las Oficinas de Ecología y Medio Ambiente locales siguen trabajando para gestionar y supervisar las sustancias que agotan la capa </w:t>
      </w:r>
      <w:r w:rsidRPr="00271511">
        <w:rPr>
          <w:lang w:val="es-ES"/>
        </w:rPr>
        <w:lastRenderedPageBreak/>
        <w:t>de ozono (SAO) conforme a los criterios y reglamentos de gestión para las SAO. No ha habido más resultados ni casos de consumo o producción ilegal de CFC-11 que hayan hecho necesario actualizar esta información entre las reuniones 86.</w:t>
      </w:r>
      <w:r w:rsidRPr="00271511">
        <w:rPr>
          <w:vertAlign w:val="superscript"/>
          <w:lang w:val="es-ES"/>
        </w:rPr>
        <w:t>a</w:t>
      </w:r>
      <w:r w:rsidRPr="00271953">
        <w:rPr>
          <w:vertAlign w:val="superscript"/>
        </w:rPr>
        <w:footnoteReference w:id="7"/>
      </w:r>
      <w:r w:rsidRPr="00271511">
        <w:rPr>
          <w:lang w:val="es-ES"/>
        </w:rPr>
        <w:t xml:space="preserve"> y 87.</w:t>
      </w:r>
      <w:r w:rsidRPr="00271511">
        <w:rPr>
          <w:vertAlign w:val="superscript"/>
          <w:lang w:val="es-ES"/>
        </w:rPr>
        <w:t>a</w:t>
      </w:r>
      <w:r w:rsidRPr="00271511">
        <w:rPr>
          <w:lang w:val="es-ES"/>
        </w:rPr>
        <w:t>.</w:t>
      </w:r>
    </w:p>
    <w:p w14:paraId="4528DD5E" w14:textId="77777777" w:rsidR="00271511" w:rsidRPr="00271511" w:rsidRDefault="00271511" w:rsidP="00271511">
      <w:pPr>
        <w:widowControl w:val="0"/>
        <w:numPr>
          <w:ilvl w:val="0"/>
          <w:numId w:val="1"/>
        </w:numPr>
        <w:spacing w:after="240"/>
        <w:outlineLvl w:val="0"/>
        <w:rPr>
          <w:lang w:val="es-ES"/>
        </w:rPr>
      </w:pPr>
      <w:r w:rsidRPr="00271511">
        <w:rPr>
          <w:lang w:val="es-ES"/>
        </w:rPr>
        <w:t xml:space="preserve">Aunque los informes de terminación de proyecto correspondientes a los planes sectoriales de producción de CFC, espumas de poliuretano, </w:t>
      </w:r>
      <w:proofErr w:type="spellStart"/>
      <w:r w:rsidRPr="00271511">
        <w:rPr>
          <w:lang w:val="es-ES"/>
        </w:rPr>
        <w:t>halones</w:t>
      </w:r>
      <w:proofErr w:type="spellEnd"/>
      <w:r w:rsidRPr="00271511">
        <w:rPr>
          <w:lang w:val="es-ES"/>
        </w:rPr>
        <w:t xml:space="preserve"> y agentes de procesos II contienen datos financieros que están en consonancia con sus respectivos informes de auditoría financiera y con la devolución de los saldos remanentes al Fondo Multilateral, este no es el caso para los informes de terminación de proyecto de los planes sectoriales de mantenimiento de equipos de refrigeración y de disolventes que se habían completado en diciembre de 2019. El Oficial superior de supervisión y evaluación que se designe en 2021 necesitará seguir trabajando con los organismos de ejecución pertinentes para asegurarse de que se incluyan los datos financieros en estos informes de terminación de proyecto. </w:t>
      </w:r>
    </w:p>
    <w:p w14:paraId="4BC12A60" w14:textId="77777777" w:rsidR="00271511" w:rsidRPr="00E8249B" w:rsidRDefault="00271511" w:rsidP="00271511">
      <w:pPr>
        <w:widowControl w:val="0"/>
        <w:spacing w:after="240"/>
        <w:rPr>
          <w:b/>
          <w:bCs/>
          <w:lang w:val="es-ES"/>
        </w:rPr>
      </w:pPr>
      <w:r w:rsidRPr="00E8249B">
        <w:rPr>
          <w:b/>
          <w:bCs/>
          <w:lang w:val="es-ES"/>
        </w:rPr>
        <w:t>Recomendación</w:t>
      </w:r>
    </w:p>
    <w:p w14:paraId="4C838CCD" w14:textId="77777777" w:rsidR="00271511" w:rsidRPr="00271511" w:rsidRDefault="00271511" w:rsidP="00271511">
      <w:pPr>
        <w:widowControl w:val="0"/>
        <w:numPr>
          <w:ilvl w:val="0"/>
          <w:numId w:val="1"/>
        </w:numPr>
        <w:spacing w:after="240"/>
        <w:outlineLvl w:val="0"/>
        <w:rPr>
          <w:lang w:val="es-ES"/>
        </w:rPr>
      </w:pPr>
      <w:r w:rsidRPr="00271511">
        <w:rPr>
          <w:lang w:val="es-ES"/>
        </w:rPr>
        <w:t>El Comité Ejecutivo podría decidir tomar nota de lo siguiente:</w:t>
      </w:r>
    </w:p>
    <w:p w14:paraId="6DBD6BD6" w14:textId="77777777" w:rsidR="00271511" w:rsidRPr="00271511" w:rsidRDefault="00271511" w:rsidP="00271511">
      <w:pPr>
        <w:widowControl w:val="0"/>
        <w:numPr>
          <w:ilvl w:val="1"/>
          <w:numId w:val="1"/>
        </w:numPr>
        <w:spacing w:after="240"/>
        <w:outlineLvl w:val="1"/>
        <w:rPr>
          <w:lang w:val="es-ES"/>
        </w:rPr>
      </w:pPr>
      <w:r w:rsidRPr="00271511">
        <w:rPr>
          <w:lang w:val="es-ES"/>
        </w:rPr>
        <w:t xml:space="preserve">El informe de auditoría financiera correspondiente a los planes sectoriales de </w:t>
      </w:r>
      <w:proofErr w:type="spellStart"/>
      <w:r w:rsidRPr="00271511">
        <w:rPr>
          <w:lang w:val="es-ES"/>
        </w:rPr>
        <w:t>halones</w:t>
      </w:r>
      <w:proofErr w:type="spellEnd"/>
      <w:r w:rsidRPr="00271511">
        <w:rPr>
          <w:lang w:val="es-ES"/>
        </w:rPr>
        <w:t xml:space="preserve"> y agentes de procesos II que se recoge en el documento UNEP/</w:t>
      </w:r>
      <w:proofErr w:type="spellStart"/>
      <w:r w:rsidRPr="00271511">
        <w:rPr>
          <w:lang w:val="es-ES"/>
        </w:rPr>
        <w:t>OzL.Pro</w:t>
      </w:r>
      <w:proofErr w:type="spellEnd"/>
      <w:r w:rsidRPr="00271511">
        <w:rPr>
          <w:lang w:val="es-ES"/>
        </w:rPr>
        <w:t>/</w:t>
      </w:r>
      <w:proofErr w:type="spellStart"/>
      <w:r w:rsidRPr="00271511">
        <w:rPr>
          <w:lang w:val="es-ES"/>
        </w:rPr>
        <w:t>ExCom</w:t>
      </w:r>
      <w:proofErr w:type="spellEnd"/>
      <w:r w:rsidRPr="00271511">
        <w:rPr>
          <w:lang w:val="es-ES"/>
        </w:rPr>
        <w:t>/87/9/Add.1.</w:t>
      </w:r>
    </w:p>
    <w:p w14:paraId="16DEE901" w14:textId="77777777" w:rsidR="00271511" w:rsidRPr="00271511" w:rsidRDefault="00271511" w:rsidP="00271511">
      <w:pPr>
        <w:widowControl w:val="0"/>
        <w:numPr>
          <w:ilvl w:val="1"/>
          <w:numId w:val="1"/>
        </w:numPr>
        <w:spacing w:after="240"/>
        <w:outlineLvl w:val="1"/>
        <w:rPr>
          <w:lang w:val="es-ES"/>
        </w:rPr>
      </w:pPr>
      <w:r w:rsidRPr="00271511">
        <w:rPr>
          <w:lang w:val="es-ES"/>
        </w:rPr>
        <w:t>Que el Banco Mundial devolverá a la 87.</w:t>
      </w:r>
      <w:r w:rsidRPr="00271511">
        <w:rPr>
          <w:vertAlign w:val="superscript"/>
          <w:lang w:val="es-ES"/>
        </w:rPr>
        <w:t>a</w:t>
      </w:r>
      <w:r w:rsidRPr="00271511">
        <w:rPr>
          <w:lang w:val="es-ES"/>
        </w:rPr>
        <w:t xml:space="preserve"> reunión el saldo remanente del plan sectorial de </w:t>
      </w:r>
      <w:proofErr w:type="spellStart"/>
      <w:r w:rsidRPr="00271511">
        <w:rPr>
          <w:lang w:val="es-ES"/>
        </w:rPr>
        <w:t>halones</w:t>
      </w:r>
      <w:proofErr w:type="spellEnd"/>
      <w:r w:rsidRPr="00271511">
        <w:rPr>
          <w:lang w:val="es-ES"/>
        </w:rPr>
        <w:t xml:space="preserve">, que asciende a 8 723 002 $EUA, así como los intereses acumulados de 22,163 $EUA relacionados con los planes sectoriales de </w:t>
      </w:r>
      <w:proofErr w:type="spellStart"/>
      <w:r w:rsidRPr="00271511">
        <w:rPr>
          <w:lang w:val="es-ES"/>
        </w:rPr>
        <w:t>halones</w:t>
      </w:r>
      <w:proofErr w:type="spellEnd"/>
      <w:r w:rsidRPr="00271511">
        <w:rPr>
          <w:lang w:val="es-ES"/>
        </w:rPr>
        <w:t xml:space="preserve"> y agentes de procesos II.</w:t>
      </w:r>
    </w:p>
    <w:p w14:paraId="009D9360" w14:textId="77777777" w:rsidR="00271511" w:rsidRPr="00271511" w:rsidRDefault="00271511" w:rsidP="00271511">
      <w:pPr>
        <w:jc w:val="left"/>
        <w:rPr>
          <w:b/>
          <w:lang w:val="es-ES"/>
        </w:rPr>
      </w:pPr>
      <w:r w:rsidRPr="00271511">
        <w:rPr>
          <w:lang w:val="es-ES"/>
        </w:rPr>
        <w:br w:type="page"/>
      </w:r>
    </w:p>
    <w:p w14:paraId="382B6C58" w14:textId="77777777" w:rsidR="00271511" w:rsidRPr="00271511" w:rsidRDefault="00271511" w:rsidP="00271511">
      <w:pPr>
        <w:spacing w:after="240"/>
        <w:ind w:left="1440" w:hanging="1440"/>
        <w:rPr>
          <w:lang w:val="es-ES"/>
        </w:rPr>
      </w:pPr>
      <w:r w:rsidRPr="00271511">
        <w:rPr>
          <w:b/>
          <w:lang w:val="es-ES"/>
        </w:rPr>
        <w:lastRenderedPageBreak/>
        <w:t>PARTE II INFORME SOBRE LA MARCHA DE EJECUCIÓN DE LAS ACTIVIDADES LISTADAS EN LA DECISIÓN 83/41(e)</w:t>
      </w:r>
    </w:p>
    <w:p w14:paraId="74E834B9" w14:textId="77777777" w:rsidR="00271511" w:rsidRPr="00E8249B" w:rsidRDefault="00271511" w:rsidP="00271511">
      <w:pPr>
        <w:rPr>
          <w:b/>
          <w:lang w:val="es-ES"/>
        </w:rPr>
      </w:pPr>
      <w:r w:rsidRPr="00E8249B">
        <w:rPr>
          <w:b/>
          <w:lang w:val="es-ES"/>
        </w:rPr>
        <w:t xml:space="preserve">Antecedentes </w:t>
      </w:r>
    </w:p>
    <w:p w14:paraId="0B3B90D3" w14:textId="77777777" w:rsidR="00271511" w:rsidRPr="00271953" w:rsidRDefault="00271511" w:rsidP="00271511"/>
    <w:p w14:paraId="072FAC9F" w14:textId="77777777" w:rsidR="00271511" w:rsidRPr="00271511" w:rsidRDefault="00271511" w:rsidP="00271511">
      <w:pPr>
        <w:numPr>
          <w:ilvl w:val="0"/>
          <w:numId w:val="1"/>
        </w:numPr>
        <w:spacing w:after="240"/>
        <w:outlineLvl w:val="0"/>
        <w:rPr>
          <w:lang w:val="es-ES"/>
        </w:rPr>
      </w:pPr>
      <w:r w:rsidRPr="00271511">
        <w:rPr>
          <w:lang w:val="es-ES"/>
        </w:rPr>
        <w:t>En su 83.</w:t>
      </w:r>
      <w:r w:rsidRPr="00271511">
        <w:rPr>
          <w:vertAlign w:val="superscript"/>
          <w:lang w:val="es-ES"/>
        </w:rPr>
        <w:t>a</w:t>
      </w:r>
      <w:r w:rsidRPr="00271511">
        <w:rPr>
          <w:lang w:val="es-ES"/>
        </w:rPr>
        <w:t> reunión, el Comité Ejecutivo examinó los siguientes dos documentos:</w:t>
      </w:r>
    </w:p>
    <w:p w14:paraId="4AFE0B8E" w14:textId="59112EF8" w:rsidR="00271511" w:rsidRPr="00271511" w:rsidRDefault="00271511" w:rsidP="00271511">
      <w:pPr>
        <w:widowControl w:val="0"/>
        <w:numPr>
          <w:ilvl w:val="1"/>
          <w:numId w:val="1"/>
        </w:numPr>
        <w:spacing w:after="240"/>
        <w:outlineLvl w:val="1"/>
        <w:rPr>
          <w:lang w:val="es-ES"/>
        </w:rPr>
      </w:pPr>
      <w:r w:rsidRPr="00271511">
        <w:rPr>
          <w:lang w:val="es-ES"/>
        </w:rPr>
        <w:t>Revisión de los sistemas actuales de supervisión, presentación de informes, verificación y vigilancia conforme a los Acuerdos establecidos entre el Gobierno de China y el Comité Ejecutivo sobre los consumos de HCFC y el plan de gestión de eliminación de los HCFC, presentado por el PNUD en nombre del Gobierno de China</w:t>
      </w:r>
      <w:r w:rsidR="00E8249B">
        <w:rPr>
          <w:lang w:val="es-ES"/>
        </w:rPr>
        <w:t>,</w:t>
      </w:r>
      <w:r w:rsidRPr="00271511">
        <w:rPr>
          <w:lang w:val="es-ES"/>
        </w:rPr>
        <w:t xml:space="preserve"> en línea con las decisiones 82/65 y 82/71(a).</w:t>
      </w:r>
    </w:p>
    <w:p w14:paraId="0F0E1E7B" w14:textId="5B3D7518" w:rsidR="00271511" w:rsidRPr="00271511" w:rsidRDefault="00271511" w:rsidP="00271511">
      <w:pPr>
        <w:widowControl w:val="0"/>
        <w:numPr>
          <w:ilvl w:val="1"/>
          <w:numId w:val="1"/>
        </w:numPr>
        <w:spacing w:after="240"/>
        <w:outlineLvl w:val="1"/>
        <w:rPr>
          <w:lang w:val="es-ES"/>
        </w:rPr>
      </w:pPr>
      <w:r w:rsidRPr="00271511">
        <w:rPr>
          <w:lang w:val="es-ES"/>
        </w:rPr>
        <w:t>Estudio teórico sobre el sistema actual de supervisión del consumo de agentes espumantes por parte de las empresas que recibieron asistencia en la etapa I del plan de gestión de eliminación de HCFC y metodología de verificación, presentado por el Banco Mundial en nombre del Gobierno de China en línea con la decisión 82/67 c.</w:t>
      </w:r>
    </w:p>
    <w:p w14:paraId="2BB40AA2" w14:textId="5FC20371" w:rsidR="00271511" w:rsidRPr="00271511" w:rsidRDefault="00271511" w:rsidP="00271511">
      <w:pPr>
        <w:numPr>
          <w:ilvl w:val="0"/>
          <w:numId w:val="1"/>
        </w:numPr>
        <w:spacing w:after="240"/>
        <w:outlineLvl w:val="0"/>
        <w:rPr>
          <w:lang w:val="es-ES"/>
        </w:rPr>
      </w:pPr>
      <w:r w:rsidRPr="00271511">
        <w:rPr>
          <w:lang w:val="es-ES"/>
        </w:rPr>
        <w:t>Durante sus deliberaciones, el Comité acogió con beneplácito, entre otras cosas, varias medidas reglamentarias y de vigilancia que el Gobierno tiene previsto tomar; observó y valoró que el Gobierno tomará medidas adicionales destinadas a apoyar sus acciones de vigilancia; y también observó y valoró que el Gobierno estudiará varias sugerencias para suplementar e incrementar sus medidas reglamentarias y de vigilancia. El Comité Ejecutivo también tomó nota de que el Gobierno de China entregará un informe en la 84.</w:t>
      </w:r>
      <w:r w:rsidRPr="00271511">
        <w:rPr>
          <w:vertAlign w:val="superscript"/>
          <w:lang w:val="es-ES"/>
        </w:rPr>
        <w:t>a</w:t>
      </w:r>
      <w:r w:rsidRPr="00271511">
        <w:rPr>
          <w:lang w:val="es-ES"/>
        </w:rPr>
        <w:t> reunión, y de nuevo en la 86.</w:t>
      </w:r>
      <w:r w:rsidRPr="00271511">
        <w:rPr>
          <w:vertAlign w:val="superscript"/>
          <w:lang w:val="es-ES"/>
        </w:rPr>
        <w:t>a</w:t>
      </w:r>
      <w:r w:rsidRPr="00271511">
        <w:rPr>
          <w:lang w:val="es-ES"/>
        </w:rPr>
        <w:t> </w:t>
      </w:r>
      <w:proofErr w:type="gramStart"/>
      <w:r w:rsidRPr="00271511">
        <w:rPr>
          <w:lang w:val="es-ES"/>
        </w:rPr>
        <w:t xml:space="preserve">reunión </w:t>
      </w:r>
      <w:r w:rsidR="00E8249B">
        <w:rPr>
          <w:lang w:val="es-ES"/>
        </w:rPr>
        <w:t>,</w:t>
      </w:r>
      <w:r w:rsidRPr="00271511">
        <w:rPr>
          <w:lang w:val="es-ES"/>
        </w:rPr>
        <w:t>sobre</w:t>
      </w:r>
      <w:proofErr w:type="gramEnd"/>
      <w:r w:rsidRPr="00271511">
        <w:rPr>
          <w:lang w:val="es-ES"/>
        </w:rPr>
        <w:t xml:space="preserve"> la marcha de ejecución de las actividades descritas en los subpárrafos (a) a (d) de la decisión 83/41.</w:t>
      </w:r>
    </w:p>
    <w:p w14:paraId="3508BA4D" w14:textId="77777777" w:rsidR="00271511" w:rsidRPr="00271511" w:rsidRDefault="00271511" w:rsidP="00271511">
      <w:pPr>
        <w:numPr>
          <w:ilvl w:val="0"/>
          <w:numId w:val="1"/>
        </w:numPr>
        <w:spacing w:after="240"/>
        <w:outlineLvl w:val="0"/>
        <w:rPr>
          <w:lang w:val="es-ES"/>
        </w:rPr>
      </w:pPr>
      <w:r w:rsidRPr="00271511">
        <w:rPr>
          <w:lang w:val="es-ES"/>
        </w:rPr>
        <w:t>En su 84.</w:t>
      </w:r>
      <w:r w:rsidRPr="00271511">
        <w:rPr>
          <w:vertAlign w:val="superscript"/>
          <w:lang w:val="es-ES"/>
        </w:rPr>
        <w:t>a</w:t>
      </w:r>
      <w:r w:rsidRPr="00271511">
        <w:rPr>
          <w:lang w:val="es-ES"/>
        </w:rPr>
        <w:t> reunión, el Comité Ejecutivo examinó el informe sobre la marcha de las actividades presentado por el Gobierno de China en línea con la decisión 83/41(e)</w:t>
      </w:r>
      <w:r w:rsidRPr="00271953">
        <w:rPr>
          <w:vertAlign w:val="superscript"/>
        </w:rPr>
        <w:footnoteReference w:id="8"/>
      </w:r>
      <w:r w:rsidRPr="00271511">
        <w:rPr>
          <w:lang w:val="es-ES"/>
        </w:rPr>
        <w:t>. Tras una deliberación, el Comité Ejecutivo tomó nota de la información proporcionada por el representante del Gobierno de China en cuanto a la ejecución de las actividades indicadas en la decisión 83/41.</w:t>
      </w:r>
    </w:p>
    <w:p w14:paraId="2ADFE075" w14:textId="310B0235" w:rsidR="00271511" w:rsidRPr="00271511" w:rsidRDefault="00271511" w:rsidP="00271511">
      <w:pPr>
        <w:numPr>
          <w:ilvl w:val="0"/>
          <w:numId w:val="1"/>
        </w:numPr>
        <w:spacing w:after="240"/>
        <w:outlineLvl w:val="0"/>
        <w:rPr>
          <w:lang w:val="es-ES"/>
        </w:rPr>
      </w:pPr>
      <w:r w:rsidRPr="00271511">
        <w:rPr>
          <w:lang w:val="es-ES"/>
        </w:rPr>
        <w:t xml:space="preserve">En prosecución de la decisión 83/41, </w:t>
      </w:r>
      <w:r w:rsidR="00E8249B">
        <w:rPr>
          <w:lang w:val="es-ES"/>
        </w:rPr>
        <w:t>(</w:t>
      </w:r>
      <w:r w:rsidRPr="00271511">
        <w:rPr>
          <w:lang w:val="es-ES"/>
        </w:rPr>
        <w:t>"</w:t>
      </w:r>
      <w:r w:rsidRPr="00271511">
        <w:rPr>
          <w:i/>
          <w:lang w:val="es-ES"/>
        </w:rPr>
        <w:t>informe sobre la marcha de las actividades</w:t>
      </w:r>
      <w:r w:rsidRPr="00271511">
        <w:rPr>
          <w:lang w:val="es-ES"/>
        </w:rPr>
        <w:t>"), el Gobierno de China presentó a la 86.</w:t>
      </w:r>
      <w:r w:rsidRPr="00271511">
        <w:rPr>
          <w:vertAlign w:val="superscript"/>
          <w:lang w:val="es-ES"/>
        </w:rPr>
        <w:t>a</w:t>
      </w:r>
      <w:r w:rsidRPr="00271511">
        <w:rPr>
          <w:lang w:val="es-ES"/>
        </w:rPr>
        <w:t> reunión un informe sobre la marcha de las actividades. El Comité Ejecutivo pospuso el examen de dicho informe hasta la 87.</w:t>
      </w:r>
      <w:r w:rsidRPr="00271511">
        <w:rPr>
          <w:vertAlign w:val="superscript"/>
          <w:lang w:val="es-ES"/>
        </w:rPr>
        <w:t>a</w:t>
      </w:r>
      <w:r w:rsidRPr="00271511">
        <w:rPr>
          <w:lang w:val="es-ES"/>
        </w:rPr>
        <w:t> reunión, conforme los procedimientos acordados para llevar a cabo la 86.</w:t>
      </w:r>
      <w:r w:rsidRPr="00271511">
        <w:rPr>
          <w:vertAlign w:val="superscript"/>
          <w:lang w:val="es-ES"/>
        </w:rPr>
        <w:t>a</w:t>
      </w:r>
      <w:r w:rsidRPr="00271511">
        <w:rPr>
          <w:lang w:val="es-ES"/>
        </w:rPr>
        <w:t> reunión</w:t>
      </w:r>
      <w:r w:rsidRPr="00774AE8">
        <w:rPr>
          <w:vertAlign w:val="superscript"/>
        </w:rPr>
        <w:footnoteReference w:id="9"/>
      </w:r>
      <w:r w:rsidRPr="00271511">
        <w:rPr>
          <w:lang w:val="es-ES"/>
        </w:rPr>
        <w:t>. Este informe sobre la marcha de las actividades se adjunta al presente documento en su totalidad, sin que haya sufrido ningún tipo de edición ni revisión adicional.</w:t>
      </w:r>
    </w:p>
    <w:p w14:paraId="69B2C317" w14:textId="77777777" w:rsidR="00271511" w:rsidRPr="00271511" w:rsidRDefault="00271511" w:rsidP="00271511">
      <w:pPr>
        <w:jc w:val="left"/>
        <w:rPr>
          <w:b/>
          <w:lang w:val="es-ES"/>
        </w:rPr>
      </w:pPr>
      <w:r w:rsidRPr="00271511">
        <w:rPr>
          <w:lang w:val="es-ES"/>
        </w:rPr>
        <w:br w:type="page"/>
      </w:r>
    </w:p>
    <w:p w14:paraId="09F33A5A" w14:textId="0E608446" w:rsidR="00271511" w:rsidRDefault="00271511" w:rsidP="00271511">
      <w:pPr>
        <w:rPr>
          <w:b/>
          <w:lang w:val="es-ES"/>
        </w:rPr>
      </w:pPr>
      <w:r w:rsidRPr="00271511">
        <w:rPr>
          <w:b/>
          <w:lang w:val="es-ES"/>
        </w:rPr>
        <w:lastRenderedPageBreak/>
        <w:t xml:space="preserve">PARTE III: </w:t>
      </w:r>
      <w:r w:rsidRPr="00271511">
        <w:rPr>
          <w:b/>
          <w:lang w:val="es-ES"/>
        </w:rPr>
        <w:tab/>
        <w:t>ESTUDIO PARA ESTABLECER QUÉ CIRCUNSTANCIAS REGLAMENTARIAS, DE VIGILANCIA, DE CRITERIOS O DEL MERCADO PODRÍAN HABER POSIBILITADO LA PRODUCCIÓN O EL USO ILEGAL DE CFC-11 y CFC-12 (DECISIÓN 83/41(d))</w:t>
      </w:r>
    </w:p>
    <w:p w14:paraId="27BF1CD1" w14:textId="77777777" w:rsidR="00E8249B" w:rsidRPr="00271511" w:rsidRDefault="00E8249B" w:rsidP="00271511">
      <w:pPr>
        <w:rPr>
          <w:b/>
          <w:lang w:val="es-ES"/>
        </w:rPr>
      </w:pPr>
    </w:p>
    <w:p w14:paraId="53123EE0" w14:textId="77777777" w:rsidR="00271511" w:rsidRPr="00281A6D" w:rsidRDefault="00271511" w:rsidP="00271511">
      <w:pPr>
        <w:rPr>
          <w:b/>
          <w:lang w:val="es-ES"/>
        </w:rPr>
      </w:pPr>
      <w:r w:rsidRPr="00281A6D">
        <w:rPr>
          <w:b/>
          <w:lang w:val="es-ES"/>
        </w:rPr>
        <w:t xml:space="preserve">Antecedentes </w:t>
      </w:r>
    </w:p>
    <w:p w14:paraId="7E02E958" w14:textId="77777777" w:rsidR="00271511" w:rsidRPr="00271953" w:rsidRDefault="00271511" w:rsidP="00271511"/>
    <w:p w14:paraId="50BECA3B" w14:textId="69C137EB" w:rsidR="00271511" w:rsidRPr="00271511" w:rsidRDefault="00271511" w:rsidP="00271511">
      <w:pPr>
        <w:numPr>
          <w:ilvl w:val="0"/>
          <w:numId w:val="1"/>
        </w:numPr>
        <w:spacing w:after="240"/>
        <w:outlineLvl w:val="0"/>
        <w:rPr>
          <w:lang w:val="es-ES"/>
        </w:rPr>
      </w:pPr>
      <w:r w:rsidRPr="00271511">
        <w:rPr>
          <w:lang w:val="es-ES"/>
        </w:rPr>
        <w:t>En el contexto de sus deliberaciones durante la 83.</w:t>
      </w:r>
      <w:r w:rsidRPr="00271511">
        <w:rPr>
          <w:vertAlign w:val="superscript"/>
          <w:lang w:val="es-ES"/>
        </w:rPr>
        <w:t>a</w:t>
      </w:r>
      <w:r w:rsidRPr="00271511">
        <w:rPr>
          <w:lang w:val="es-ES"/>
        </w:rPr>
        <w:t> reunión en relación a los sistemas de supervisión, presentación de informes, verificación y vigilancia de China, el Comité Ejecutivo decidió tomar nota, entre otras cosas, de que el Gobierno de China estudiará la contratación de un consultor no gubernamental para realizar un estudio (que incluirá datos cuantitativos, cuando estén disponibles, así como información cualitativa del mercado) que permita establecer las circunstancias reglamentarias, de vigilancia, de criterios o del mercado que podrían haber posibilitado la producción o uso ilegal de CFC-11 y CFC-12 (decisión 83/41(d)).</w:t>
      </w:r>
    </w:p>
    <w:p w14:paraId="42611D9D" w14:textId="77777777" w:rsidR="00271511" w:rsidRPr="00271511" w:rsidRDefault="00271511" w:rsidP="00271511">
      <w:pPr>
        <w:numPr>
          <w:ilvl w:val="0"/>
          <w:numId w:val="1"/>
        </w:numPr>
        <w:spacing w:after="240"/>
        <w:outlineLvl w:val="0"/>
        <w:rPr>
          <w:lang w:val="es-ES"/>
        </w:rPr>
      </w:pPr>
      <w:r w:rsidRPr="00271511">
        <w:rPr>
          <w:lang w:val="es-ES"/>
        </w:rPr>
        <w:t>En prosecución de la decisión 83/41(d), el Gobierno de China había presentado a la 86.</w:t>
      </w:r>
      <w:r w:rsidRPr="00271511">
        <w:rPr>
          <w:vertAlign w:val="superscript"/>
          <w:lang w:val="es-ES"/>
        </w:rPr>
        <w:t>a</w:t>
      </w:r>
      <w:r w:rsidRPr="00271511">
        <w:rPr>
          <w:lang w:val="es-ES"/>
        </w:rPr>
        <w:t> reunión el Estudio sobre la supervisión, vigilancia de las leyes, criterios y situación del mercado de las sustancias que agotan la capa de ozono en China, redactado por un consultor no gubernamental. El Comité Ejecutivo pospuso el examen de dicho estudio hasta la 87.</w:t>
      </w:r>
      <w:r w:rsidRPr="00271511">
        <w:rPr>
          <w:vertAlign w:val="superscript"/>
          <w:lang w:val="es-ES"/>
        </w:rPr>
        <w:t>a</w:t>
      </w:r>
      <w:r w:rsidRPr="00271511">
        <w:rPr>
          <w:lang w:val="es-ES"/>
        </w:rPr>
        <w:t> reunión, conforme los procedimientos acordados para llevar a cabo la 86.</w:t>
      </w:r>
      <w:r w:rsidRPr="00271511">
        <w:rPr>
          <w:vertAlign w:val="superscript"/>
          <w:lang w:val="es-ES"/>
        </w:rPr>
        <w:t>a</w:t>
      </w:r>
      <w:r w:rsidRPr="00271511">
        <w:rPr>
          <w:lang w:val="es-ES"/>
        </w:rPr>
        <w:t> reunión</w:t>
      </w:r>
      <w:r w:rsidRPr="00372C9D">
        <w:rPr>
          <w:vertAlign w:val="superscript"/>
        </w:rPr>
        <w:footnoteReference w:id="10"/>
      </w:r>
      <w:r w:rsidRPr="00271511">
        <w:rPr>
          <w:lang w:val="es-ES"/>
        </w:rPr>
        <w:t>. Este estudio se adjunta al presente documento en su totalidad, sin que haya sufrido ningún tipo de edición ni revisión adicional.</w:t>
      </w:r>
    </w:p>
    <w:p w14:paraId="22B9E442" w14:textId="77777777" w:rsidR="00271511" w:rsidRPr="00271511" w:rsidRDefault="00271511" w:rsidP="00271511">
      <w:pPr>
        <w:rPr>
          <w:lang w:val="es-ES"/>
        </w:rPr>
      </w:pPr>
    </w:p>
    <w:p w14:paraId="507671BF" w14:textId="77777777" w:rsidR="00271511" w:rsidRPr="00271511" w:rsidRDefault="00271511" w:rsidP="00271511">
      <w:pPr>
        <w:rPr>
          <w:lang w:val="es-ES"/>
        </w:rPr>
      </w:pPr>
    </w:p>
    <w:p w14:paraId="0ECA4DC5" w14:textId="77777777" w:rsidR="00271511" w:rsidRPr="00271511" w:rsidRDefault="00271511" w:rsidP="00271511">
      <w:pPr>
        <w:rPr>
          <w:lang w:val="es-ES"/>
        </w:rPr>
      </w:pPr>
    </w:p>
    <w:p w14:paraId="021645FA" w14:textId="77777777" w:rsidR="00271511" w:rsidRPr="00271511" w:rsidRDefault="00271511" w:rsidP="0027151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71511" w:rsidRPr="00170FE6" w14:paraId="72B81C8B" w14:textId="77777777" w:rsidTr="00192E47">
        <w:tc>
          <w:tcPr>
            <w:tcW w:w="1915" w:type="dxa"/>
          </w:tcPr>
          <w:p w14:paraId="2B873F45" w14:textId="77777777" w:rsidR="00271511" w:rsidRPr="00271511" w:rsidRDefault="00271511" w:rsidP="00192E47">
            <w:pPr>
              <w:rPr>
                <w:lang w:val="es-ES"/>
              </w:rPr>
            </w:pPr>
          </w:p>
        </w:tc>
        <w:tc>
          <w:tcPr>
            <w:tcW w:w="1915" w:type="dxa"/>
          </w:tcPr>
          <w:p w14:paraId="7E92FD6D" w14:textId="77777777" w:rsidR="00271511" w:rsidRPr="00271511" w:rsidRDefault="00271511" w:rsidP="00192E47">
            <w:pPr>
              <w:rPr>
                <w:lang w:val="es-ES"/>
              </w:rPr>
            </w:pPr>
          </w:p>
        </w:tc>
        <w:tc>
          <w:tcPr>
            <w:tcW w:w="1915" w:type="dxa"/>
            <w:tcBorders>
              <w:bottom w:val="single" w:sz="4" w:space="0" w:color="auto"/>
            </w:tcBorders>
          </w:tcPr>
          <w:p w14:paraId="68113AC0" w14:textId="77777777" w:rsidR="00271511" w:rsidRPr="00271511" w:rsidRDefault="00271511" w:rsidP="00192E47">
            <w:pPr>
              <w:rPr>
                <w:lang w:val="es-ES"/>
              </w:rPr>
            </w:pPr>
          </w:p>
        </w:tc>
        <w:tc>
          <w:tcPr>
            <w:tcW w:w="1915" w:type="dxa"/>
          </w:tcPr>
          <w:p w14:paraId="7807D733" w14:textId="77777777" w:rsidR="00271511" w:rsidRPr="00271511" w:rsidRDefault="00271511" w:rsidP="00192E47">
            <w:pPr>
              <w:rPr>
                <w:lang w:val="es-ES"/>
              </w:rPr>
            </w:pPr>
          </w:p>
        </w:tc>
        <w:tc>
          <w:tcPr>
            <w:tcW w:w="1916" w:type="dxa"/>
          </w:tcPr>
          <w:p w14:paraId="5FD7BE9B" w14:textId="77777777" w:rsidR="00271511" w:rsidRPr="00271511" w:rsidRDefault="00271511" w:rsidP="00192E47">
            <w:pPr>
              <w:rPr>
                <w:lang w:val="es-ES"/>
              </w:rPr>
            </w:pPr>
          </w:p>
        </w:tc>
      </w:tr>
    </w:tbl>
    <w:p w14:paraId="485D9DBD" w14:textId="19115A57" w:rsidR="0087455A" w:rsidRPr="007926CF" w:rsidRDefault="0087455A" w:rsidP="00105C82">
      <w:pPr>
        <w:pStyle w:val="StyleHeader4Para4Left0Firstline0"/>
        <w:numPr>
          <w:ilvl w:val="0"/>
          <w:numId w:val="0"/>
        </w:numPr>
        <w:rPr>
          <w:lang w:val="es-ES"/>
        </w:rPr>
        <w:sectPr w:rsidR="0087455A" w:rsidRPr="007926C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3CED0D3" w14:textId="77777777" w:rsidR="0087455A" w:rsidRPr="007926CF" w:rsidRDefault="0087455A" w:rsidP="00105C82">
      <w:pPr>
        <w:rPr>
          <w:b/>
          <w:bCs/>
          <w:lang w:val="es-ES"/>
        </w:rPr>
      </w:pPr>
    </w:p>
    <w:sectPr w:rsidR="0087455A" w:rsidRPr="007926CF">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358EF" w14:textId="77777777" w:rsidR="003E4680" w:rsidRDefault="003E4680">
      <w:r>
        <w:separator/>
      </w:r>
    </w:p>
  </w:endnote>
  <w:endnote w:type="continuationSeparator" w:id="0">
    <w:p w14:paraId="7DC1A2D7" w14:textId="77777777" w:rsidR="003E4680" w:rsidRDefault="003E4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E9CD" w14:textId="40360EFD" w:rsidR="0087455A" w:rsidRDefault="0024162E">
    <w:pPr>
      <w:jc w:val="center"/>
    </w:pPr>
    <w:r>
      <w:fldChar w:fldCharType="begin"/>
    </w:r>
    <w:r>
      <w:instrText xml:space="preserve"> PAGE </w:instrText>
    </w:r>
    <w:r>
      <w:fldChar w:fldCharType="separate"/>
    </w:r>
    <w:r w:rsidR="00170FE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A8D5" w14:textId="6CFB9B82" w:rsidR="0087455A" w:rsidRDefault="0024162E">
    <w:pPr>
      <w:jc w:val="center"/>
    </w:pPr>
    <w:r>
      <w:fldChar w:fldCharType="begin"/>
    </w:r>
    <w:r>
      <w:instrText xml:space="preserve"> PAGE </w:instrText>
    </w:r>
    <w:r>
      <w:fldChar w:fldCharType="separate"/>
    </w:r>
    <w:r w:rsidR="00170FE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00EBE"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7891E" w14:textId="42F0A6C5" w:rsidR="0087455A" w:rsidRDefault="0087455A">
    <w:pPr>
      <w:pStyle w:val="Footer"/>
      <w:jc w:val="center"/>
    </w:pPr>
  </w:p>
  <w:p w14:paraId="1CA43A8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E484F" w14:textId="77777777" w:rsidR="003E4680" w:rsidRDefault="003E4680">
      <w:r>
        <w:separator/>
      </w:r>
    </w:p>
  </w:footnote>
  <w:footnote w:type="continuationSeparator" w:id="0">
    <w:p w14:paraId="034D5621" w14:textId="77777777" w:rsidR="003E4680" w:rsidRDefault="003E4680">
      <w:r>
        <w:continuationSeparator/>
      </w:r>
    </w:p>
  </w:footnote>
  <w:footnote w:id="1">
    <w:p w14:paraId="3612ABF4" w14:textId="3242DA94" w:rsidR="00271511" w:rsidRDefault="00271511" w:rsidP="00271511">
      <w:pPr>
        <w:pStyle w:val="FootnoteText"/>
      </w:pPr>
      <w:r>
        <w:rPr>
          <w:rStyle w:val="FootnoteReference"/>
        </w:rPr>
        <w:footnoteRef/>
      </w:r>
      <w:r w:rsidRPr="0041080A">
        <w:t xml:space="preserve"> UNEP/</w:t>
      </w:r>
      <w:proofErr w:type="spellStart"/>
      <w:r w:rsidRPr="0041080A">
        <w:t>OzL.Pro</w:t>
      </w:r>
      <w:proofErr w:type="spellEnd"/>
      <w:r w:rsidRPr="0041080A">
        <w:t>/</w:t>
      </w:r>
      <w:proofErr w:type="spellStart"/>
      <w:r w:rsidRPr="0041080A">
        <w:t>ExCom</w:t>
      </w:r>
      <w:proofErr w:type="spellEnd"/>
      <w:r w:rsidRPr="0041080A">
        <w:t>/86/</w:t>
      </w:r>
      <w:proofErr w:type="spellStart"/>
      <w:r w:rsidRPr="0041080A">
        <w:t>IAPext</w:t>
      </w:r>
      <w:proofErr w:type="spellEnd"/>
      <w:r w:rsidRPr="0041080A">
        <w:t>/1/Rev.1</w:t>
      </w:r>
    </w:p>
    <w:p w14:paraId="49C8266C" w14:textId="77777777" w:rsidR="00170FE6" w:rsidRPr="0041080A" w:rsidRDefault="00170FE6" w:rsidP="00271511">
      <w:pPr>
        <w:pStyle w:val="FootnoteText"/>
      </w:pPr>
    </w:p>
  </w:footnote>
  <w:footnote w:id="2">
    <w:p w14:paraId="5CD65F5C" w14:textId="77777777" w:rsidR="00271511" w:rsidRPr="00271511" w:rsidRDefault="00271511" w:rsidP="00271511">
      <w:pPr>
        <w:pStyle w:val="FootnoteText"/>
        <w:rPr>
          <w:lang w:val="es-ES"/>
        </w:rPr>
      </w:pPr>
      <w:r>
        <w:rPr>
          <w:rStyle w:val="FootnoteReference"/>
        </w:rPr>
        <w:footnoteRef/>
      </w:r>
      <w:r w:rsidRPr="00271511">
        <w:rPr>
          <w:lang w:val="es-ES"/>
        </w:rPr>
        <w:t xml:space="preserve"> Párrafos 6-105 del documento UNEP/</w:t>
      </w:r>
      <w:proofErr w:type="spellStart"/>
      <w:r w:rsidRPr="00271511">
        <w:rPr>
          <w:lang w:val="es-ES"/>
        </w:rPr>
        <w:t>OzL.Pro</w:t>
      </w:r>
      <w:proofErr w:type="spellEnd"/>
      <w:r w:rsidRPr="00271511">
        <w:rPr>
          <w:lang w:val="es-ES"/>
        </w:rPr>
        <w:t>/</w:t>
      </w:r>
      <w:proofErr w:type="spellStart"/>
      <w:r w:rsidRPr="00271511">
        <w:rPr>
          <w:lang w:val="es-ES"/>
        </w:rPr>
        <w:t>ExCom</w:t>
      </w:r>
      <w:proofErr w:type="spellEnd"/>
      <w:r w:rsidRPr="00271511">
        <w:rPr>
          <w:lang w:val="es-ES"/>
        </w:rPr>
        <w:t xml:space="preserve">/84/22/Add.1 </w:t>
      </w:r>
    </w:p>
  </w:footnote>
  <w:footnote w:id="3">
    <w:p w14:paraId="27153493" w14:textId="77777777" w:rsidR="00271511" w:rsidRPr="00271511" w:rsidRDefault="00271511" w:rsidP="00271511">
      <w:pPr>
        <w:pStyle w:val="FootnoteText"/>
        <w:rPr>
          <w:lang w:val="es-ES"/>
        </w:rPr>
      </w:pPr>
      <w:r>
        <w:rPr>
          <w:rStyle w:val="FootnoteReference"/>
        </w:rPr>
        <w:footnoteRef/>
      </w:r>
      <w:r w:rsidRPr="00271511">
        <w:rPr>
          <w:lang w:val="es-ES"/>
        </w:rPr>
        <w:t xml:space="preserve"> UNEP/</w:t>
      </w:r>
      <w:proofErr w:type="spellStart"/>
      <w:r w:rsidRPr="00271511">
        <w:rPr>
          <w:lang w:val="es-ES"/>
        </w:rPr>
        <w:t>OzL.Pro</w:t>
      </w:r>
      <w:proofErr w:type="spellEnd"/>
      <w:r w:rsidRPr="00271511">
        <w:rPr>
          <w:lang w:val="es-ES"/>
        </w:rPr>
        <w:t>/</w:t>
      </w:r>
      <w:proofErr w:type="spellStart"/>
      <w:r w:rsidRPr="00271511">
        <w:rPr>
          <w:lang w:val="es-ES"/>
        </w:rPr>
        <w:t>ExCom</w:t>
      </w:r>
      <w:proofErr w:type="spellEnd"/>
      <w:r w:rsidRPr="00271511">
        <w:rPr>
          <w:lang w:val="es-ES"/>
        </w:rPr>
        <w:t>/85/9</w:t>
      </w:r>
    </w:p>
  </w:footnote>
  <w:footnote w:id="4">
    <w:p w14:paraId="738EB14F" w14:textId="77777777" w:rsidR="00271511" w:rsidRPr="00271511" w:rsidRDefault="00271511" w:rsidP="00271511">
      <w:pPr>
        <w:pStyle w:val="FootnoteText"/>
        <w:rPr>
          <w:lang w:val="es-ES"/>
        </w:rPr>
      </w:pPr>
      <w:r>
        <w:rPr>
          <w:rStyle w:val="FootnoteReference"/>
        </w:rPr>
        <w:footnoteRef/>
      </w:r>
      <w:r w:rsidRPr="00271511">
        <w:rPr>
          <w:lang w:val="es-ES"/>
        </w:rPr>
        <w:t xml:space="preserve"> UNEP/</w:t>
      </w:r>
      <w:proofErr w:type="spellStart"/>
      <w:r w:rsidRPr="00271511">
        <w:rPr>
          <w:lang w:val="es-ES"/>
        </w:rPr>
        <w:t>OzL.Pro</w:t>
      </w:r>
      <w:proofErr w:type="spellEnd"/>
      <w:r w:rsidRPr="00271511">
        <w:rPr>
          <w:lang w:val="es-ES"/>
        </w:rPr>
        <w:t>/</w:t>
      </w:r>
      <w:proofErr w:type="spellStart"/>
      <w:r w:rsidRPr="00271511">
        <w:rPr>
          <w:lang w:val="es-ES"/>
        </w:rPr>
        <w:t>ExCom</w:t>
      </w:r>
      <w:proofErr w:type="spellEnd"/>
      <w:r w:rsidRPr="00271511">
        <w:rPr>
          <w:lang w:val="es-ES"/>
        </w:rPr>
        <w:t>/86/21/Add.1</w:t>
      </w:r>
    </w:p>
  </w:footnote>
  <w:footnote w:id="5">
    <w:p w14:paraId="44350F99" w14:textId="77777777" w:rsidR="00271511" w:rsidRPr="00271511" w:rsidRDefault="00271511" w:rsidP="00271511">
      <w:pPr>
        <w:pStyle w:val="FootnoteText"/>
        <w:rPr>
          <w:lang w:val="es-ES"/>
        </w:rPr>
      </w:pPr>
      <w:r>
        <w:rPr>
          <w:rStyle w:val="FootnoteReference"/>
        </w:rPr>
        <w:footnoteRef/>
      </w:r>
      <w:r w:rsidRPr="00271511">
        <w:rPr>
          <w:lang w:val="es-ES"/>
        </w:rPr>
        <w:t xml:space="preserve"> Decisión 86/41.</w:t>
      </w:r>
    </w:p>
  </w:footnote>
  <w:footnote w:id="6">
    <w:p w14:paraId="42A429A3" w14:textId="77777777" w:rsidR="00271511" w:rsidRPr="00271511" w:rsidRDefault="00271511" w:rsidP="00271511">
      <w:pPr>
        <w:pStyle w:val="FootnoteText"/>
        <w:rPr>
          <w:lang w:val="es-ES"/>
        </w:rPr>
      </w:pPr>
      <w:r>
        <w:rPr>
          <w:rStyle w:val="FootnoteReference"/>
        </w:rPr>
        <w:footnoteRef/>
      </w:r>
      <w:r w:rsidRPr="00271511">
        <w:rPr>
          <w:lang w:val="es-ES"/>
        </w:rPr>
        <w:t xml:space="preserve"> El Comité Ejecutivo solicitó al Gobierno de China, a través del organismo de ejecución pertinente, que en los informes de auditoría financiera futuros se informara sobre los resultados del trabajo de supervisión de las Oficinas de Ecología y Medio Ambiente locales, incluidos aquellos casos en que se detectara CFC-11.</w:t>
      </w:r>
    </w:p>
  </w:footnote>
  <w:footnote w:id="7">
    <w:p w14:paraId="2EDE2FE0" w14:textId="77777777" w:rsidR="00271511" w:rsidRPr="00271511" w:rsidRDefault="00271511" w:rsidP="00271511">
      <w:pPr>
        <w:pStyle w:val="FootnoteText"/>
        <w:rPr>
          <w:lang w:val="es-ES"/>
        </w:rPr>
      </w:pPr>
      <w:r>
        <w:rPr>
          <w:rStyle w:val="FootnoteReference"/>
        </w:rPr>
        <w:footnoteRef/>
      </w:r>
      <w:r w:rsidRPr="00271511">
        <w:rPr>
          <w:lang w:val="es-ES"/>
        </w:rPr>
        <w:t xml:space="preserve"> En la parte IV del documento UNEP/</w:t>
      </w:r>
      <w:proofErr w:type="spellStart"/>
      <w:r w:rsidRPr="00271511">
        <w:rPr>
          <w:lang w:val="es-ES"/>
        </w:rPr>
        <w:t>OzL.Pro</w:t>
      </w:r>
      <w:proofErr w:type="spellEnd"/>
      <w:r w:rsidRPr="00271511">
        <w:rPr>
          <w:lang w:val="es-ES"/>
        </w:rPr>
        <w:t>/</w:t>
      </w:r>
      <w:proofErr w:type="spellStart"/>
      <w:r w:rsidRPr="00271511">
        <w:rPr>
          <w:lang w:val="es-ES"/>
        </w:rPr>
        <w:t>ExCom</w:t>
      </w:r>
      <w:proofErr w:type="spellEnd"/>
      <w:r w:rsidRPr="00271511">
        <w:rPr>
          <w:lang w:val="es-ES"/>
        </w:rPr>
        <w:t>/86/21/Add.1 se proporciona una actualización hasta la 86.</w:t>
      </w:r>
      <w:r w:rsidRPr="00271511">
        <w:rPr>
          <w:vertAlign w:val="superscript"/>
          <w:lang w:val="es-ES"/>
        </w:rPr>
        <w:t>a</w:t>
      </w:r>
      <w:r w:rsidRPr="00271511">
        <w:rPr>
          <w:lang w:val="es-ES"/>
        </w:rPr>
        <w:t xml:space="preserve"> reunión. </w:t>
      </w:r>
    </w:p>
  </w:footnote>
  <w:footnote w:id="8">
    <w:p w14:paraId="1CDF802A" w14:textId="77777777" w:rsidR="00271511" w:rsidRPr="0041080A" w:rsidRDefault="00271511" w:rsidP="00271511">
      <w:pPr>
        <w:pStyle w:val="FootnoteText"/>
      </w:pPr>
      <w:r>
        <w:rPr>
          <w:rStyle w:val="FootnoteReference"/>
        </w:rPr>
        <w:footnoteRef/>
      </w:r>
      <w:r w:rsidRPr="0041080A">
        <w:t xml:space="preserve"> UNEP/</w:t>
      </w:r>
      <w:proofErr w:type="spellStart"/>
      <w:r w:rsidRPr="0041080A">
        <w:t>OzL.Pro</w:t>
      </w:r>
      <w:proofErr w:type="spellEnd"/>
      <w:r w:rsidRPr="0041080A">
        <w:t>/</w:t>
      </w:r>
      <w:proofErr w:type="spellStart"/>
      <w:r w:rsidRPr="0041080A">
        <w:t>ExCom</w:t>
      </w:r>
      <w:proofErr w:type="spellEnd"/>
      <w:r w:rsidRPr="0041080A">
        <w:t>/84/22/Add.1</w:t>
      </w:r>
    </w:p>
  </w:footnote>
  <w:footnote w:id="9">
    <w:p w14:paraId="4544924A" w14:textId="77777777" w:rsidR="00271511" w:rsidRPr="0041080A" w:rsidRDefault="00271511" w:rsidP="00271511">
      <w:pPr>
        <w:pStyle w:val="FootnoteText"/>
      </w:pPr>
      <w:r>
        <w:rPr>
          <w:rStyle w:val="FootnoteReference"/>
        </w:rPr>
        <w:footnoteRef/>
      </w:r>
      <w:r w:rsidRPr="0041080A">
        <w:t xml:space="preserve"> UNEP/</w:t>
      </w:r>
      <w:proofErr w:type="spellStart"/>
      <w:r w:rsidRPr="0041080A">
        <w:t>OzL.Pro</w:t>
      </w:r>
      <w:proofErr w:type="spellEnd"/>
      <w:r w:rsidRPr="0041080A">
        <w:t>/</w:t>
      </w:r>
      <w:proofErr w:type="spellStart"/>
      <w:r w:rsidRPr="0041080A">
        <w:t>ExCom</w:t>
      </w:r>
      <w:proofErr w:type="spellEnd"/>
      <w:r w:rsidRPr="0041080A">
        <w:t>/86/</w:t>
      </w:r>
      <w:proofErr w:type="spellStart"/>
      <w:r w:rsidRPr="0041080A">
        <w:t>IAPext</w:t>
      </w:r>
      <w:proofErr w:type="spellEnd"/>
      <w:r w:rsidRPr="0041080A">
        <w:t>/1/Rev.1</w:t>
      </w:r>
    </w:p>
  </w:footnote>
  <w:footnote w:id="10">
    <w:p w14:paraId="72AD0236" w14:textId="77777777" w:rsidR="00271511" w:rsidRPr="0041080A" w:rsidRDefault="00271511" w:rsidP="00271511">
      <w:pPr>
        <w:pStyle w:val="FootnoteText"/>
      </w:pPr>
      <w:r>
        <w:rPr>
          <w:rStyle w:val="FootnoteReference"/>
        </w:rPr>
        <w:footnoteRef/>
      </w:r>
      <w:r w:rsidRPr="0041080A">
        <w:t xml:space="preserve"> UNEP/</w:t>
      </w:r>
      <w:proofErr w:type="spellStart"/>
      <w:r w:rsidRPr="0041080A">
        <w:t>OzL.Pro</w:t>
      </w:r>
      <w:proofErr w:type="spellEnd"/>
      <w:r w:rsidRPr="0041080A">
        <w:t>/</w:t>
      </w:r>
      <w:proofErr w:type="spellStart"/>
      <w:r w:rsidRPr="0041080A">
        <w:t>ExCom</w:t>
      </w:r>
      <w:proofErr w:type="spellEnd"/>
      <w:r w:rsidRPr="0041080A">
        <w:t>/86/</w:t>
      </w:r>
      <w:proofErr w:type="spellStart"/>
      <w:r w:rsidRPr="0041080A">
        <w:t>IAPext</w:t>
      </w:r>
      <w:proofErr w:type="spellEnd"/>
      <w:r w:rsidRPr="0041080A">
        <w:t>/1/Rev.1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2A94B" w14:textId="7A3E813D" w:rsidR="0087455A" w:rsidRDefault="001D3E0D">
    <w:r>
      <w:fldChar w:fldCharType="begin"/>
    </w:r>
    <w:r>
      <w:instrText xml:space="preserve"> DOCPROPERTY "Document number"  \* MERGEFORMAT </w:instrText>
    </w:r>
    <w:r>
      <w:fldChar w:fldCharType="separate"/>
    </w:r>
    <w:r w:rsidR="002D7CB5">
      <w:t>UNEP/</w:t>
    </w:r>
    <w:proofErr w:type="spellStart"/>
    <w:r w:rsidR="002D7CB5">
      <w:t>OzL.Pro</w:t>
    </w:r>
    <w:proofErr w:type="spellEnd"/>
    <w:r w:rsidR="002D7CB5">
      <w:t>/</w:t>
    </w:r>
    <w:proofErr w:type="spellStart"/>
    <w:r w:rsidR="002D7CB5">
      <w:t>ExCom</w:t>
    </w:r>
    <w:proofErr w:type="spellEnd"/>
    <w:r w:rsidR="002D7CB5">
      <w:t>/87/9/Add.1</w:t>
    </w:r>
    <w:r>
      <w:fldChar w:fldCharType="end"/>
    </w:r>
  </w:p>
  <w:p w14:paraId="648594E2" w14:textId="77777777" w:rsidR="0087455A" w:rsidRDefault="0087455A"/>
  <w:p w14:paraId="73AD9F01"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45F15" w14:textId="3236FF33" w:rsidR="0087455A" w:rsidRDefault="001D3E0D">
    <w:pPr>
      <w:jc w:val="right"/>
    </w:pPr>
    <w:r>
      <w:fldChar w:fldCharType="begin"/>
    </w:r>
    <w:r>
      <w:instrText xml:space="preserve"> DOCPROPERTY "Document number"  \* MERGEFORMAT </w:instrText>
    </w:r>
    <w:r>
      <w:fldChar w:fldCharType="separate"/>
    </w:r>
    <w:r w:rsidR="002D7CB5">
      <w:t>UNEP/</w:t>
    </w:r>
    <w:proofErr w:type="spellStart"/>
    <w:r w:rsidR="002D7CB5">
      <w:t>OzL.Pro</w:t>
    </w:r>
    <w:proofErr w:type="spellEnd"/>
    <w:r w:rsidR="002D7CB5">
      <w:t>/</w:t>
    </w:r>
    <w:proofErr w:type="spellStart"/>
    <w:r w:rsidR="002D7CB5">
      <w:t>ExCom</w:t>
    </w:r>
    <w:proofErr w:type="spellEnd"/>
    <w:r w:rsidR="002D7CB5">
      <w:t>/87/9/Add.1</w:t>
    </w:r>
    <w:r>
      <w:fldChar w:fldCharType="end"/>
    </w:r>
  </w:p>
  <w:p w14:paraId="1C904DF2" w14:textId="77777777" w:rsidR="0087455A" w:rsidRDefault="0087455A"/>
  <w:p w14:paraId="670B01EC"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58F18" w14:textId="77777777" w:rsidR="007048A6" w:rsidRDefault="007048A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BCD"/>
    <w:rsid w:val="000462BD"/>
    <w:rsid w:val="00064429"/>
    <w:rsid w:val="000B2490"/>
    <w:rsid w:val="0010049D"/>
    <w:rsid w:val="00105C82"/>
    <w:rsid w:val="00106F6E"/>
    <w:rsid w:val="00114CAA"/>
    <w:rsid w:val="00170FE6"/>
    <w:rsid w:val="001C2D22"/>
    <w:rsid w:val="001C7DFD"/>
    <w:rsid w:val="001D1BCD"/>
    <w:rsid w:val="001D3E0D"/>
    <w:rsid w:val="001F4047"/>
    <w:rsid w:val="00226A2D"/>
    <w:rsid w:val="00235D4C"/>
    <w:rsid w:val="0024162E"/>
    <w:rsid w:val="002425B4"/>
    <w:rsid w:val="00244477"/>
    <w:rsid w:val="002464F8"/>
    <w:rsid w:val="00271511"/>
    <w:rsid w:val="00281A6D"/>
    <w:rsid w:val="002959B4"/>
    <w:rsid w:val="00296C74"/>
    <w:rsid w:val="002D7CB5"/>
    <w:rsid w:val="00385BE5"/>
    <w:rsid w:val="003863A4"/>
    <w:rsid w:val="003B7115"/>
    <w:rsid w:val="003E4680"/>
    <w:rsid w:val="0041353C"/>
    <w:rsid w:val="00455352"/>
    <w:rsid w:val="00476E28"/>
    <w:rsid w:val="00476F47"/>
    <w:rsid w:val="004F3B08"/>
    <w:rsid w:val="005144C5"/>
    <w:rsid w:val="005708AF"/>
    <w:rsid w:val="007048A6"/>
    <w:rsid w:val="0075124F"/>
    <w:rsid w:val="007926CF"/>
    <w:rsid w:val="00831BC5"/>
    <w:rsid w:val="0087455A"/>
    <w:rsid w:val="00AB56E5"/>
    <w:rsid w:val="00AC7A52"/>
    <w:rsid w:val="00B60EEC"/>
    <w:rsid w:val="00C14E67"/>
    <w:rsid w:val="00CF4DF5"/>
    <w:rsid w:val="00D372A1"/>
    <w:rsid w:val="00D84B6F"/>
    <w:rsid w:val="00DB795B"/>
    <w:rsid w:val="00E02BA2"/>
    <w:rsid w:val="00E17F97"/>
    <w:rsid w:val="00E371B6"/>
    <w:rsid w:val="00E45ED3"/>
    <w:rsid w:val="00E8249B"/>
    <w:rsid w:val="00E94FFA"/>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DBD47"/>
  <w15:docId w15:val="{570487E0-36BA-4819-88E2-D384BA41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
    <w:basedOn w:val="DefaultParagraphFont"/>
    <w:uiPriority w:val="99"/>
    <w:unhideWhenUsed/>
    <w:rsid w:val="002959B4"/>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0B2490"/>
    <w:pPr>
      <w:ind w:left="720"/>
      <w:contextualSpacing/>
    </w:pPr>
    <w:rPr>
      <w:lang w:val="es-ES"/>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0B2490"/>
    <w:rPr>
      <w:sz w:val="22"/>
      <w:szCs w:val="22"/>
      <w:lang w:val="es-ES"/>
    </w:rPr>
  </w:style>
  <w:style w:type="character" w:customStyle="1" w:styleId="jlqj4b">
    <w:name w:val="jlqj4b"/>
    <w:basedOn w:val="DefaultParagraphFont"/>
    <w:rsid w:val="000B2490"/>
  </w:style>
  <w:style w:type="character" w:customStyle="1" w:styleId="mediumtext1">
    <w:name w:val="medium_text1"/>
    <w:rsid w:val="000B2490"/>
    <w:rPr>
      <w:sz w:val="16"/>
      <w:szCs w:val="16"/>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2BA2"/>
    <w:rPr>
      <w:sz w:val="22"/>
      <w:szCs w:val="22"/>
      <w:lang w:val="en-GB"/>
    </w:rPr>
  </w:style>
  <w:style w:type="table" w:customStyle="1" w:styleId="TableGrid10">
    <w:name w:val="Table Grid1"/>
    <w:basedOn w:val="TableNormal"/>
    <w:next w:val="TableGrid"/>
    <w:qFormat/>
    <w:rsid w:val="0027151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06_presession%2087\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UNEP/OzL.Pro/ExCom/87/9/Add.1</Document_x0020_Number>
  </documentManagement>
</p:properties>
</file>

<file path=customXml/itemProps1.xml><?xml version="1.0" encoding="utf-8"?>
<ds:datastoreItem xmlns:ds="http://schemas.openxmlformats.org/officeDocument/2006/customXml" ds:itemID="{79099F32-7AB9-4F23-8404-71C1D0B03321}"/>
</file>

<file path=customXml/itemProps2.xml><?xml version="1.0" encoding="utf-8"?>
<ds:datastoreItem xmlns:ds="http://schemas.openxmlformats.org/officeDocument/2006/customXml" ds:itemID="{850C4D35-0090-4141-889B-7E9EBCD5330D}"/>
</file>

<file path=customXml/itemProps3.xml><?xml version="1.0" encoding="utf-8"?>
<ds:datastoreItem xmlns:ds="http://schemas.openxmlformats.org/officeDocument/2006/customXml" ds:itemID="{38AE0F72-4A50-41E2-942E-80D4D9DF109A}"/>
</file>

<file path=customXml/itemProps4.xml><?xml version="1.0" encoding="utf-8"?>
<ds:datastoreItem xmlns:ds="http://schemas.openxmlformats.org/officeDocument/2006/customXml" ds:itemID="{B4A20B97-D017-4CF4-A63C-AEFDAC796DB4}"/>
</file>

<file path=docProps/app.xml><?xml version="1.0" encoding="utf-8"?>
<Properties xmlns="http://schemas.openxmlformats.org/officeDocument/2006/extended-properties" xmlns:vt="http://schemas.openxmlformats.org/officeDocument/2006/docPropsVTypes">
  <Template>S87-template</Template>
  <TotalTime>27</TotalTime>
  <Pages>7</Pages>
  <Words>2133</Words>
  <Characters>11415</Characters>
  <Application>Microsoft Office Word</Application>
  <DocSecurity>0</DocSecurity>
  <Lines>95</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Informes sobre los proyectos con requisitos específicos de presentación de informes - Addendum</vt:lpstr>
      <vt:lpstr/>
    </vt:vector>
  </TitlesOfParts>
  <Company>UNMFS</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con requisitos específicos de presentación de informes - Addendum</dc:title>
  <dc:creator>Diana Llorente</dc:creator>
  <cp:lastModifiedBy>HB</cp:lastModifiedBy>
  <cp:revision>11</cp:revision>
  <cp:lastPrinted>2001-05-26T16:40:00Z</cp:lastPrinted>
  <dcterms:created xsi:type="dcterms:W3CDTF">2021-06-21T10:47:00Z</dcterms:created>
  <dcterms:modified xsi:type="dcterms:W3CDTF">2021-06-21T16:37:00Z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UNEP/OzL.Pro/ExCom/87/9/Add.1</vt:lpwstr>
  </property>
  <property fmtid="{D5CDD505-2E9C-101B-9397-08002B2CF9AE}" pid="3" name="Revision date">
    <vt:lpwstr>6/14/2021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