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844F16" w14:paraId="0E90A004" w14:textId="77777777" w:rsidTr="00844F16">
        <w:trPr>
          <w:trHeight w:val="720"/>
        </w:trPr>
        <w:tc>
          <w:tcPr>
            <w:tcW w:w="5922" w:type="dxa"/>
            <w:gridSpan w:val="2"/>
            <w:tcBorders>
              <w:top w:val="nil"/>
              <w:left w:val="nil"/>
              <w:bottom w:val="single" w:sz="18" w:space="0" w:color="auto"/>
              <w:right w:val="nil"/>
            </w:tcBorders>
            <w:hideMark/>
          </w:tcPr>
          <w:p w14:paraId="4EAD6326" w14:textId="77777777" w:rsidR="00844F16" w:rsidRDefault="00844F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CC175E7" w14:textId="77777777" w:rsidR="00844F16" w:rsidRDefault="00844F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54D51B99" w14:textId="77777777" w:rsidR="00844F16" w:rsidRDefault="00844F16">
            <w:pPr>
              <w:tabs>
                <w:tab w:val="left" w:pos="3010"/>
              </w:tabs>
              <w:jc w:val="center"/>
              <w:rPr>
                <w:sz w:val="52"/>
                <w:szCs w:val="52"/>
              </w:rPr>
            </w:pPr>
            <w:r>
              <w:rPr>
                <w:rFonts w:ascii="Univers Bold" w:hAnsi="Univers Bold"/>
                <w:b/>
                <w:sz w:val="72"/>
              </w:rPr>
              <w:t xml:space="preserve">          EP</w:t>
            </w:r>
          </w:p>
        </w:tc>
      </w:tr>
      <w:tr w:rsidR="00844F16" w14:paraId="10FBCC60" w14:textId="77777777" w:rsidTr="00844F16">
        <w:trPr>
          <w:trHeight w:val="2502"/>
        </w:trPr>
        <w:tc>
          <w:tcPr>
            <w:tcW w:w="2052" w:type="dxa"/>
            <w:tcBorders>
              <w:top w:val="nil"/>
              <w:left w:val="nil"/>
              <w:bottom w:val="single" w:sz="36" w:space="0" w:color="auto"/>
              <w:right w:val="nil"/>
            </w:tcBorders>
            <w:hideMark/>
          </w:tcPr>
          <w:p w14:paraId="5D576E5A" w14:textId="182C88E9" w:rsidR="00844F16" w:rsidRDefault="00844F16">
            <w:pPr>
              <w:spacing w:before="120"/>
            </w:pPr>
            <w:r>
              <w:rPr>
                <w:noProof/>
              </w:rPr>
              <w:drawing>
                <wp:anchor distT="0" distB="0" distL="114300" distR="114300" simplePos="0" relativeHeight="251659264" behindDoc="0" locked="0" layoutInCell="1" allowOverlap="1" wp14:anchorId="434C8528" wp14:editId="27692E22">
                  <wp:simplePos x="0" y="0"/>
                  <wp:positionH relativeFrom="column">
                    <wp:posOffset>133985</wp:posOffset>
                  </wp:positionH>
                  <wp:positionV relativeFrom="paragraph">
                    <wp:posOffset>828675</wp:posOffset>
                  </wp:positionV>
                  <wp:extent cx="672465" cy="660400"/>
                  <wp:effectExtent l="0" t="0" r="0" b="6350"/>
                  <wp:wrapNone/>
                  <wp:docPr id="115810153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699D32A9" wp14:editId="5294896E">
                  <wp:simplePos x="0" y="0"/>
                  <wp:positionH relativeFrom="column">
                    <wp:posOffset>100965</wp:posOffset>
                  </wp:positionH>
                  <wp:positionV relativeFrom="paragraph">
                    <wp:posOffset>111125</wp:posOffset>
                  </wp:positionV>
                  <wp:extent cx="703580" cy="676275"/>
                  <wp:effectExtent l="0" t="0" r="1270" b="9525"/>
                  <wp:wrapNone/>
                  <wp:docPr id="913043205"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E3155AC" w14:textId="77777777" w:rsidR="00844F16" w:rsidRDefault="00844F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5B0A5AA" w14:textId="77777777" w:rsidR="00844F16" w:rsidRDefault="00844F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24D0401A" w14:textId="77777777" w:rsidR="00844F16" w:rsidRDefault="00844F16">
            <w:pPr>
              <w:rPr>
                <w:rFonts w:ascii="Univers" w:hAnsi="Univers"/>
                <w:b/>
                <w:sz w:val="32"/>
              </w:rPr>
            </w:pPr>
            <w:r>
              <w:rPr>
                <w:rFonts w:ascii="Univers" w:hAnsi="Univers"/>
                <w:b/>
                <w:sz w:val="32"/>
              </w:rPr>
              <w:t>Nations Unies pour</w:t>
            </w:r>
          </w:p>
          <w:p w14:paraId="6437FB03" w14:textId="77777777" w:rsidR="00844F16" w:rsidRDefault="00844F16">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52A58C90" w14:textId="77777777" w:rsidR="00844F16" w:rsidRDefault="00844F16">
            <w:pPr>
              <w:rPr>
                <w:lang w:val="fr-FR"/>
              </w:rPr>
            </w:pPr>
          </w:p>
          <w:p w14:paraId="340E4E6C" w14:textId="77777777" w:rsidR="00844F16" w:rsidRDefault="00844F16">
            <w:pPr>
              <w:rPr>
                <w:lang w:val="fr-FR"/>
              </w:rPr>
            </w:pPr>
            <w:proofErr w:type="spellStart"/>
            <w:r>
              <w:rPr>
                <w:lang w:val="fr-FR"/>
              </w:rPr>
              <w:t>Distr</w:t>
            </w:r>
            <w:proofErr w:type="spellEnd"/>
            <w:r>
              <w:rPr>
                <w:lang w:val="fr-FR"/>
              </w:rPr>
              <w:t>.</w:t>
            </w:r>
          </w:p>
          <w:p w14:paraId="23E36478" w14:textId="77777777" w:rsidR="00844F16" w:rsidRDefault="00844F16">
            <w:pPr>
              <w:rPr>
                <w:lang w:val="fr-FR"/>
              </w:rPr>
            </w:pPr>
            <w:r>
              <w:rPr>
                <w:lang w:val="fr-FR"/>
              </w:rPr>
              <w:t>GÉNÉRALE</w:t>
            </w:r>
          </w:p>
          <w:p w14:paraId="65922443" w14:textId="77777777" w:rsidR="00844F16" w:rsidRDefault="00844F16">
            <w:pPr>
              <w:rPr>
                <w:lang w:val="fr-FR"/>
              </w:rPr>
            </w:pPr>
          </w:p>
          <w:p w14:paraId="328601EC" w14:textId="1F886EBC" w:rsidR="00844F16" w:rsidRPr="0060661E" w:rsidRDefault="00844F16">
            <w:pPr>
              <w:rPr>
                <w:lang w:val="en-CA"/>
              </w:rPr>
            </w:pPr>
            <w:r>
              <w:fldChar w:fldCharType="begin"/>
            </w:r>
            <w:r w:rsidRPr="0060661E">
              <w:rPr>
                <w:lang w:val="en-CA"/>
              </w:rPr>
              <w:instrText xml:space="preserve"> DOCPROPERTY "Document number"  \* MERGEFORMAT </w:instrText>
            </w:r>
            <w:r>
              <w:fldChar w:fldCharType="separate"/>
            </w:r>
            <w:r w:rsidRPr="0060661E">
              <w:rPr>
                <w:lang w:val="en-CA"/>
              </w:rPr>
              <w:t>UNEP/</w:t>
            </w:r>
            <w:proofErr w:type="spellStart"/>
            <w:r w:rsidRPr="0060661E">
              <w:rPr>
                <w:lang w:val="en-CA"/>
              </w:rPr>
              <w:t>OzL.Pro</w:t>
            </w:r>
            <w:proofErr w:type="spellEnd"/>
            <w:r w:rsidRPr="0060661E">
              <w:rPr>
                <w:lang w:val="en-CA"/>
              </w:rPr>
              <w:t>/ExCom/95/</w:t>
            </w:r>
            <w:r w:rsidR="0060661E" w:rsidRPr="0060661E">
              <w:rPr>
                <w:lang w:val="en-CA"/>
              </w:rPr>
              <w:t>47/Add.</w:t>
            </w:r>
            <w:r w:rsidRPr="0060661E">
              <w:rPr>
                <w:lang w:val="en-CA"/>
              </w:rPr>
              <w:t>1</w:t>
            </w:r>
            <w:r>
              <w:fldChar w:fldCharType="end"/>
            </w:r>
          </w:p>
          <w:p w14:paraId="5A047D92" w14:textId="7ECE1FEE" w:rsidR="00844F16" w:rsidRDefault="00844F16">
            <w:r>
              <w:t>21 novembre 2024</w:t>
            </w:r>
          </w:p>
          <w:p w14:paraId="795224C6" w14:textId="77777777" w:rsidR="00844F16" w:rsidRDefault="00844F16">
            <w:pPr>
              <w:rPr>
                <w:caps/>
                <w:lang w:val="fr-FR"/>
              </w:rPr>
            </w:pPr>
            <w:r>
              <w:rPr>
                <w:caps/>
              </w:rPr>
              <w:br/>
            </w:r>
            <w:r>
              <w:rPr>
                <w:caps/>
                <w:lang w:val="fr-FR"/>
              </w:rPr>
              <w:t>FRANÇAIS</w:t>
            </w:r>
          </w:p>
          <w:p w14:paraId="5F59BEDB" w14:textId="5B915C1D" w:rsidR="00844F16" w:rsidRDefault="00844F16">
            <w:r>
              <w:t>ORIGINAL</w:t>
            </w:r>
            <w:r w:rsidR="00D04939">
              <w:t> </w:t>
            </w:r>
            <w:r>
              <w:t>: ANGLAIS</w:t>
            </w:r>
          </w:p>
        </w:tc>
      </w:tr>
    </w:tbl>
    <w:p w14:paraId="26DC392C" w14:textId="77777777" w:rsidR="00844F16" w:rsidRDefault="00844F16" w:rsidP="00844F16">
      <w:pPr>
        <w:jc w:val="left"/>
      </w:pPr>
      <w:r>
        <w:t xml:space="preserve">COMITÉ EXÉCUTIF </w:t>
      </w:r>
      <w:r>
        <w:br/>
        <w:t xml:space="preserve">  DU FONDS MULTILATÉRAL AUX FINS </w:t>
      </w:r>
      <w:r>
        <w:br/>
        <w:t xml:space="preserve">  D’APPLICATION DU PROTOCOLE DE MONTRÉAL</w:t>
      </w:r>
      <w:r>
        <w:br/>
        <w:t>Quatre-vingt-quinzième réunion</w:t>
      </w:r>
    </w:p>
    <w:p w14:paraId="21C823D6" w14:textId="77777777" w:rsidR="00CA59FB" w:rsidRDefault="00CA59FB" w:rsidP="00CA59FB">
      <w:pPr>
        <w:jc w:val="left"/>
      </w:pPr>
      <w:r>
        <w:t>Montréal, 4-8 décembre 2024</w:t>
      </w:r>
    </w:p>
    <w:p w14:paraId="16139E17" w14:textId="0E1890E2" w:rsidR="0079781A" w:rsidRDefault="0079781A" w:rsidP="0079781A">
      <w:pPr>
        <w:jc w:val="left"/>
      </w:pPr>
      <w:r>
        <w:t>Point 9(d) de l’ordre du jour provisoire</w:t>
      </w:r>
      <w:r w:rsidRPr="00512BEF">
        <w:rPr>
          <w:rStyle w:val="Rimandonotaapidipagina"/>
        </w:rPr>
        <w:footnoteReference w:id="1"/>
      </w:r>
    </w:p>
    <w:p w14:paraId="09A48790" w14:textId="77777777" w:rsidR="00C15867" w:rsidRPr="009B0D30" w:rsidRDefault="00C15867" w:rsidP="00CA59FB">
      <w:pPr>
        <w:jc w:val="left"/>
      </w:pPr>
    </w:p>
    <w:p w14:paraId="07F1636D" w14:textId="77777777" w:rsidR="009145E4" w:rsidRDefault="009145E4" w:rsidP="00555DA6">
      <w:pPr>
        <w:pStyle w:val="Titolo1"/>
        <w:numPr>
          <w:ilvl w:val="0"/>
          <w:numId w:val="0"/>
        </w:numPr>
        <w:spacing w:after="0"/>
      </w:pPr>
    </w:p>
    <w:p w14:paraId="6CCE7A46" w14:textId="77777777" w:rsidR="00555DA6" w:rsidRPr="00555DA6" w:rsidRDefault="00555DA6" w:rsidP="00555DA6"/>
    <w:p w14:paraId="52800458" w14:textId="77777777" w:rsidR="00066CE8" w:rsidRPr="009B0D30" w:rsidRDefault="00066CE8" w:rsidP="00857077">
      <w:pPr>
        <w:jc w:val="left"/>
      </w:pPr>
    </w:p>
    <w:p w14:paraId="06BDA089" w14:textId="77777777" w:rsidR="00555DA6" w:rsidRPr="00F325B1" w:rsidRDefault="00555DA6" w:rsidP="00555DA6">
      <w:pPr>
        <w:pStyle w:val="Title1"/>
        <w:rPr>
          <w:bCs/>
          <w:caps w:val="0"/>
        </w:rPr>
      </w:pPr>
      <w:r>
        <w:rPr>
          <w:bCs/>
          <w:caps w:val="0"/>
        </w:rPr>
        <w:t>Addenda</w:t>
      </w:r>
    </w:p>
    <w:p w14:paraId="33C4558D" w14:textId="77777777" w:rsidR="00555DA6" w:rsidRPr="0042511F" w:rsidRDefault="00555DA6" w:rsidP="00555DA6">
      <w:pPr>
        <w:pStyle w:val="Title1"/>
      </w:pPr>
    </w:p>
    <w:p w14:paraId="0E12DB64" w14:textId="1AA519BF" w:rsidR="00555DA6" w:rsidRPr="00F325B1" w:rsidRDefault="00555DA6" w:rsidP="00555DA6">
      <w:pPr>
        <w:pStyle w:val="Title1"/>
        <w:rPr>
          <w:bCs/>
        </w:rPr>
      </w:pPr>
      <w:r>
        <w:t>PROPOSITIONS DE PROJET</w:t>
      </w:r>
      <w:r w:rsidR="0060661E">
        <w:t> </w:t>
      </w:r>
      <w:r>
        <w:t>: Chine</w:t>
      </w:r>
    </w:p>
    <w:p w14:paraId="047744A7" w14:textId="77777777" w:rsidR="00555DA6" w:rsidRPr="0042511F" w:rsidRDefault="00555DA6" w:rsidP="00555DA6">
      <w:pPr>
        <w:pStyle w:val="Title1"/>
        <w:rPr>
          <w:bCs/>
        </w:rPr>
      </w:pPr>
    </w:p>
    <w:p w14:paraId="6E916C6B" w14:textId="77777777" w:rsidR="00555DA6" w:rsidRPr="00F325B1" w:rsidRDefault="00555DA6" w:rsidP="00555DA6">
      <w:pPr>
        <w:pStyle w:val="StyleHeader4Para4Left0Firstline0"/>
        <w:numPr>
          <w:ilvl w:val="0"/>
          <w:numId w:val="0"/>
        </w:numPr>
        <w:tabs>
          <w:tab w:val="left" w:pos="720"/>
        </w:tabs>
        <w:ind w:firstLine="720"/>
        <w:rPr>
          <w:caps/>
        </w:rPr>
      </w:pPr>
      <w:r>
        <w:rPr>
          <w:sz w:val="22"/>
        </w:rPr>
        <w:t xml:space="preserve">Le présent document est publié pour ajouter une proposition de projet supplémentaire aux fins de l’examen ci-dessous. </w:t>
      </w:r>
    </w:p>
    <w:p w14:paraId="5BF93616" w14:textId="77777777" w:rsidR="00555DA6" w:rsidRPr="00F325B1" w:rsidRDefault="00555DA6" w:rsidP="00555DA6">
      <w:pPr>
        <w:spacing w:before="240" w:after="240"/>
        <w:rPr>
          <w:u w:val="single"/>
        </w:rPr>
      </w:pPr>
      <w:r>
        <w:rPr>
          <w:u w:val="single"/>
        </w:rPr>
        <w:t>Efficacité énergétique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555DA6" w:rsidRPr="00F325B1" w14:paraId="4B247D9E" w14:textId="77777777" w:rsidTr="00B007EC">
        <w:tc>
          <w:tcPr>
            <w:tcW w:w="5812" w:type="dxa"/>
            <w:hideMark/>
          </w:tcPr>
          <w:p w14:paraId="029CD585" w14:textId="77777777" w:rsidR="00555DA6" w:rsidRPr="00F325B1" w:rsidRDefault="00555DA6" w:rsidP="00555DA6">
            <w:pPr>
              <w:pStyle w:val="Paragrafoelenco"/>
              <w:numPr>
                <w:ilvl w:val="0"/>
                <w:numId w:val="21"/>
              </w:numPr>
              <w:ind w:hanging="830"/>
            </w:pPr>
            <w:bookmarkStart w:id="0" w:name="_Hlk148535675"/>
            <w:r>
              <w:t xml:space="preserve">Le projet pilote pour améliorer l’efficacité énergétique des </w:t>
            </w:r>
            <w:bookmarkEnd w:id="0"/>
            <w:r>
              <w:t>technologies de refroidissement dans les centres de données grâce à la démonstration d’un système de refroidissement par immersion monophasé dans un centre de données.</w:t>
            </w:r>
          </w:p>
        </w:tc>
        <w:tc>
          <w:tcPr>
            <w:tcW w:w="1985" w:type="dxa"/>
            <w:hideMark/>
          </w:tcPr>
          <w:p w14:paraId="55B7F587" w14:textId="77777777" w:rsidR="00555DA6" w:rsidRPr="00F325B1" w:rsidRDefault="00555DA6" w:rsidP="00B007EC">
            <w:pPr>
              <w:jc w:val="center"/>
            </w:pPr>
            <w:r>
              <w:t>PNUD</w:t>
            </w:r>
          </w:p>
        </w:tc>
        <w:tc>
          <w:tcPr>
            <w:tcW w:w="1563" w:type="dxa"/>
            <w:hideMark/>
          </w:tcPr>
          <w:p w14:paraId="0D532E50" w14:textId="77777777" w:rsidR="00555DA6" w:rsidRPr="00F325B1" w:rsidRDefault="00555DA6" w:rsidP="00B007EC">
            <w:pPr>
              <w:jc w:val="center"/>
            </w:pPr>
            <w:r>
              <w:t>Examen individuel</w:t>
            </w:r>
          </w:p>
        </w:tc>
      </w:tr>
    </w:tbl>
    <w:p w14:paraId="51F3E5F9" w14:textId="77777777" w:rsidR="00555DA6" w:rsidRPr="00F325B1" w:rsidRDefault="00555DA6" w:rsidP="00555DA6">
      <w:pPr>
        <w:pStyle w:val="Title1"/>
        <w:jc w:val="right"/>
        <w:rPr>
          <w:b w:val="0"/>
          <w:lang w:val="en-CA"/>
        </w:rPr>
      </w:pPr>
    </w:p>
    <w:p w14:paraId="14CA578D" w14:textId="77777777" w:rsidR="00555DA6" w:rsidRPr="00F325B1" w:rsidRDefault="00555DA6" w:rsidP="00555DA6">
      <w:pPr>
        <w:pStyle w:val="Title1"/>
        <w:rPr>
          <w:lang w:val="en-CA"/>
        </w:rPr>
      </w:pPr>
    </w:p>
    <w:p w14:paraId="318D8AC0" w14:textId="77777777" w:rsidR="00555DA6" w:rsidRPr="00F325B1" w:rsidRDefault="00555DA6" w:rsidP="00555DA6">
      <w:pPr>
        <w:pStyle w:val="StyleHeader4Para4Left0Firstline0"/>
        <w:numPr>
          <w:ilvl w:val="0"/>
          <w:numId w:val="0"/>
        </w:numPr>
        <w:jc w:val="right"/>
        <w:rPr>
          <w:b/>
          <w:sz w:val="22"/>
        </w:rPr>
      </w:pPr>
    </w:p>
    <w:p w14:paraId="1E10A904" w14:textId="77777777" w:rsidR="00555DA6" w:rsidRPr="00F325B1" w:rsidRDefault="00555DA6" w:rsidP="00555DA6"/>
    <w:p w14:paraId="0030B9F3" w14:textId="77777777" w:rsidR="00555DA6" w:rsidRPr="00F325B1" w:rsidRDefault="00555DA6" w:rsidP="00555DA6">
      <w:pPr>
        <w:pStyle w:val="StyleHeader4Para4Left0Firstline0"/>
        <w:numPr>
          <w:ilvl w:val="0"/>
          <w:numId w:val="0"/>
        </w:numPr>
        <w:tabs>
          <w:tab w:val="clear" w:pos="2880"/>
          <w:tab w:val="clear" w:pos="5760"/>
        </w:tabs>
        <w:jc w:val="center"/>
        <w:rPr>
          <w:b/>
          <w:sz w:val="22"/>
        </w:rPr>
      </w:pPr>
      <w:r>
        <w:br w:type="page"/>
      </w:r>
    </w:p>
    <w:p w14:paraId="685A5B4B" w14:textId="77777777" w:rsidR="00555DA6" w:rsidRPr="00F325B1" w:rsidRDefault="00555DA6" w:rsidP="00555DA6">
      <w:pPr>
        <w:jc w:val="center"/>
        <w:rPr>
          <w:b/>
        </w:rPr>
      </w:pPr>
      <w:r>
        <w:rPr>
          <w:b/>
        </w:rPr>
        <w:lastRenderedPageBreak/>
        <w:t xml:space="preserve">FICHE D’ÉVALUATION DU PROJET – PROJET NON PLURIANNUEL </w:t>
      </w:r>
    </w:p>
    <w:p w14:paraId="6D6D390A" w14:textId="77777777" w:rsidR="00555DA6" w:rsidRPr="00F325B1" w:rsidRDefault="00555DA6" w:rsidP="00555DA6">
      <w:pPr>
        <w:jc w:val="center"/>
        <w:rPr>
          <w:b/>
        </w:rPr>
      </w:pPr>
    </w:p>
    <w:p w14:paraId="12323955" w14:textId="77777777" w:rsidR="00555DA6" w:rsidRPr="00F325B1" w:rsidRDefault="00555DA6" w:rsidP="00555DA6">
      <w:pPr>
        <w:jc w:val="center"/>
        <w:rPr>
          <w:b/>
        </w:rPr>
      </w:pPr>
      <w:r>
        <w:rPr>
          <w:b/>
        </w:rPr>
        <w:t>Chine</w:t>
      </w:r>
    </w:p>
    <w:p w14:paraId="2BCE3FBB" w14:textId="77777777" w:rsidR="00555DA6" w:rsidRPr="00F325B1" w:rsidRDefault="00555DA6" w:rsidP="00555DA6">
      <w:pPr>
        <w:ind w:left="142"/>
        <w:jc w:val="center"/>
        <w:rPr>
          <w:b/>
        </w:rPr>
      </w:pPr>
    </w:p>
    <w:p w14:paraId="226FB836" w14:textId="17935401" w:rsidR="00555DA6" w:rsidRPr="00F325B1" w:rsidRDefault="00555DA6" w:rsidP="007F0CFB">
      <w:pPr>
        <w:tabs>
          <w:tab w:val="left" w:pos="5580"/>
        </w:tabs>
        <w:ind w:right="-846" w:hanging="567"/>
        <w:rPr>
          <w:b/>
          <w:sz w:val="20"/>
        </w:rPr>
      </w:pPr>
      <w:bookmarkStart w:id="1" w:name="_Hlk149308122"/>
      <w:r>
        <w:rPr>
          <w:b/>
          <w:caps/>
          <w:sz w:val="20"/>
        </w:rPr>
        <w:t>Titre du projet</w:t>
      </w:r>
      <w:bookmarkEnd w:id="1"/>
      <w:r>
        <w:rPr>
          <w:b/>
          <w:sz w:val="20"/>
        </w:rPr>
        <w:tab/>
      </w:r>
      <w:r w:rsidR="007F0CFB">
        <w:rPr>
          <w:b/>
          <w:sz w:val="20"/>
        </w:rPr>
        <w:t xml:space="preserve">           </w:t>
      </w:r>
      <w:r>
        <w:rPr>
          <w:b/>
          <w:caps/>
          <w:sz w:val="20"/>
        </w:rPr>
        <w:t>Agence d’exécution/bilatérale</w:t>
      </w:r>
    </w:p>
    <w:tbl>
      <w:tblPr>
        <w:tblStyle w:val="Grigliatabella"/>
        <w:tblpPr w:leftFromText="180" w:rightFromText="180" w:vertAnchor="text" w:horzAnchor="margin" w:tblpXSpec="center" w:tblpY="62"/>
        <w:tblW w:w="10768" w:type="dxa"/>
        <w:tblBorders>
          <w:insideH w:val="none" w:sz="0" w:space="0" w:color="auto"/>
          <w:insideV w:val="none" w:sz="0" w:space="0" w:color="auto"/>
        </w:tblBorders>
        <w:tblLook w:val="01E0" w:firstRow="1" w:lastRow="1" w:firstColumn="1" w:lastColumn="1" w:noHBand="0" w:noVBand="0"/>
      </w:tblPr>
      <w:tblGrid>
        <w:gridCol w:w="6799"/>
        <w:gridCol w:w="3969"/>
      </w:tblGrid>
      <w:tr w:rsidR="00555DA6" w:rsidRPr="00F325B1" w14:paraId="52B08CE0" w14:textId="77777777" w:rsidTr="009A41A9">
        <w:trPr>
          <w:trHeight w:val="274"/>
        </w:trPr>
        <w:tc>
          <w:tcPr>
            <w:tcW w:w="6799" w:type="dxa"/>
            <w:tcBorders>
              <w:right w:val="single" w:sz="4" w:space="0" w:color="auto"/>
            </w:tcBorders>
          </w:tcPr>
          <w:p w14:paraId="32FAA9D6" w14:textId="77777777" w:rsidR="00555DA6" w:rsidRPr="00F325B1" w:rsidRDefault="00555DA6" w:rsidP="00B007EC">
            <w:pPr>
              <w:tabs>
                <w:tab w:val="left" w:pos="383"/>
              </w:tabs>
              <w:rPr>
                <w:sz w:val="20"/>
                <w:szCs w:val="20"/>
              </w:rPr>
            </w:pPr>
            <w:r>
              <w:rPr>
                <w:sz w:val="20"/>
                <w:szCs w:val="20"/>
              </w:rPr>
              <w:t>•Projet pilote pour améliorer l’efficacité énergétique des technologies de refroidissement dans les centres de données grâce à la démonstration d’un système de refroidissement par immersion monophasé dans un centre de données</w:t>
            </w:r>
          </w:p>
        </w:tc>
        <w:tc>
          <w:tcPr>
            <w:tcW w:w="3969" w:type="dxa"/>
            <w:tcBorders>
              <w:top w:val="single" w:sz="4" w:space="0" w:color="auto"/>
              <w:left w:val="single" w:sz="4" w:space="0" w:color="auto"/>
              <w:bottom w:val="single" w:sz="4" w:space="0" w:color="auto"/>
            </w:tcBorders>
          </w:tcPr>
          <w:p w14:paraId="555255C0" w14:textId="77777777" w:rsidR="00555DA6" w:rsidRPr="00F325B1" w:rsidRDefault="00555DA6" w:rsidP="00B007EC">
            <w:pPr>
              <w:jc w:val="center"/>
              <w:rPr>
                <w:sz w:val="20"/>
                <w:szCs w:val="20"/>
              </w:rPr>
            </w:pPr>
            <w:r>
              <w:rPr>
                <w:sz w:val="20"/>
                <w:szCs w:val="20"/>
              </w:rPr>
              <w:t>PNUD</w:t>
            </w:r>
          </w:p>
        </w:tc>
      </w:tr>
    </w:tbl>
    <w:p w14:paraId="5A195D51" w14:textId="77777777" w:rsidR="00555DA6" w:rsidRPr="00F325B1" w:rsidRDefault="00555DA6" w:rsidP="00555DA6">
      <w:pPr>
        <w:tabs>
          <w:tab w:val="left" w:pos="3492"/>
        </w:tabs>
        <w:rPr>
          <w:sz w:val="20"/>
        </w:rPr>
      </w:pPr>
      <w:r>
        <w:rPr>
          <w:sz w:val="20"/>
        </w:rPr>
        <w:tab/>
      </w:r>
    </w:p>
    <w:p w14:paraId="1A1DD481" w14:textId="77777777" w:rsidR="00555DA6" w:rsidRPr="00F325B1" w:rsidRDefault="00555DA6" w:rsidP="008675D0">
      <w:pPr>
        <w:ind w:left="-142" w:hanging="425"/>
        <w:rPr>
          <w:sz w:val="20"/>
        </w:rPr>
      </w:pPr>
      <w:r>
        <w:rPr>
          <w:b/>
          <w:caps/>
          <w:sz w:val="20"/>
        </w:rPr>
        <w:t>OBJECTIF DU PROJET</w:t>
      </w:r>
    </w:p>
    <w:tbl>
      <w:tblPr>
        <w:tblStyle w:val="Grigliatabella"/>
        <w:tblW w:w="10768" w:type="dxa"/>
        <w:jc w:val="center"/>
        <w:tblLook w:val="01E0" w:firstRow="1" w:lastRow="1" w:firstColumn="1" w:lastColumn="1" w:noHBand="0" w:noVBand="0"/>
      </w:tblPr>
      <w:tblGrid>
        <w:gridCol w:w="10768"/>
      </w:tblGrid>
      <w:tr w:rsidR="00555DA6" w:rsidRPr="00F325B1" w14:paraId="23486079" w14:textId="77777777" w:rsidTr="000746A2">
        <w:trPr>
          <w:trHeight w:val="350"/>
          <w:jc w:val="center"/>
        </w:trPr>
        <w:tc>
          <w:tcPr>
            <w:tcW w:w="10768" w:type="dxa"/>
            <w:shd w:val="clear" w:color="auto" w:fill="auto"/>
          </w:tcPr>
          <w:p w14:paraId="056E17CF" w14:textId="0242DB4E" w:rsidR="00555DA6" w:rsidRPr="00F325B1" w:rsidRDefault="00555DA6" w:rsidP="00555DA6">
            <w:pPr>
              <w:pStyle w:val="Paragrafoelenco"/>
              <w:framePr w:hSpace="180" w:wrap="around" w:vAnchor="text" w:hAnchor="margin" w:xAlign="center" w:y="62"/>
              <w:numPr>
                <w:ilvl w:val="0"/>
                <w:numId w:val="24"/>
              </w:numPr>
              <w:tabs>
                <w:tab w:val="num" w:pos="692"/>
              </w:tabs>
              <w:outlineLvl w:val="0"/>
              <w:rPr>
                <w:sz w:val="20"/>
                <w:szCs w:val="20"/>
              </w:rPr>
            </w:pPr>
            <w:r>
              <w:rPr>
                <w:sz w:val="20"/>
                <w:szCs w:val="20"/>
              </w:rPr>
              <w:t>Démontrer l’usage des systèmes de refroidissement par immersion monophasé dans les centre</w:t>
            </w:r>
            <w:r w:rsidR="004710D6">
              <w:rPr>
                <w:sz w:val="20"/>
                <w:szCs w:val="20"/>
              </w:rPr>
              <w:t>s</w:t>
            </w:r>
            <w:r>
              <w:rPr>
                <w:sz w:val="20"/>
                <w:szCs w:val="20"/>
              </w:rPr>
              <w:t xml:space="preserve"> des données au moyen d’un nouvel agent de refroidissement exclusif et respectueux de l’environnement, le « Bing Yi 797 » qui ne contient pas de SAO et est sans PRP, éliminant la nécessité de nouveaux équipements de refroidissement contenant des HFC dans les centres de données</w:t>
            </w:r>
          </w:p>
          <w:p w14:paraId="6B94037D" w14:textId="77777777" w:rsidR="00555DA6" w:rsidRPr="00F325B1" w:rsidRDefault="00555DA6" w:rsidP="00555DA6">
            <w:pPr>
              <w:pStyle w:val="Paragrafoelenco"/>
              <w:framePr w:hSpace="180" w:wrap="around" w:vAnchor="text" w:hAnchor="margin" w:xAlign="center" w:y="62"/>
              <w:numPr>
                <w:ilvl w:val="0"/>
                <w:numId w:val="24"/>
              </w:numPr>
              <w:tabs>
                <w:tab w:val="num" w:pos="692"/>
              </w:tabs>
              <w:outlineLvl w:val="0"/>
              <w:rPr>
                <w:sz w:val="20"/>
                <w:szCs w:val="20"/>
              </w:rPr>
            </w:pPr>
            <w:r>
              <w:rPr>
                <w:sz w:val="20"/>
                <w:szCs w:val="20"/>
              </w:rPr>
              <w:t>Intégrer un système de récupération des rejets thermiques et de source d’énergie mixte pour un centre de données stable et écoénergétique</w:t>
            </w:r>
          </w:p>
          <w:p w14:paraId="2856C175" w14:textId="77777777" w:rsidR="00555DA6" w:rsidRPr="00F325B1" w:rsidRDefault="00555DA6" w:rsidP="00555DA6">
            <w:pPr>
              <w:pStyle w:val="Paragrafoelenco"/>
              <w:framePr w:hSpace="180" w:wrap="around" w:vAnchor="text" w:hAnchor="margin" w:xAlign="center" w:y="62"/>
              <w:numPr>
                <w:ilvl w:val="0"/>
                <w:numId w:val="24"/>
              </w:numPr>
              <w:tabs>
                <w:tab w:val="num" w:pos="692"/>
              </w:tabs>
              <w:outlineLvl w:val="0"/>
              <w:rPr>
                <w:sz w:val="20"/>
                <w:szCs w:val="20"/>
              </w:rPr>
            </w:pPr>
            <w:r>
              <w:rPr>
                <w:sz w:val="20"/>
                <w:szCs w:val="20"/>
              </w:rPr>
              <w:t>Diffuser les résultats et promouvoir les systèmes de refroidissement par immersion monophasé dans des centres de données nouveaux ou existants qui comptent sur les HFC à fort PRP</w:t>
            </w:r>
          </w:p>
        </w:tc>
      </w:tr>
    </w:tbl>
    <w:p w14:paraId="2AA9D9ED" w14:textId="77777777" w:rsidR="00555DA6" w:rsidRPr="00F325B1" w:rsidRDefault="00555DA6" w:rsidP="00555DA6">
      <w:pPr>
        <w:rPr>
          <w:sz w:val="20"/>
        </w:rPr>
      </w:pPr>
    </w:p>
    <w:tbl>
      <w:tblPr>
        <w:tblStyle w:val="Grigliatabella"/>
        <w:tblW w:w="10768" w:type="dxa"/>
        <w:jc w:val="center"/>
        <w:tblLook w:val="01E0" w:firstRow="1" w:lastRow="1" w:firstColumn="1" w:lastColumn="1" w:noHBand="0" w:noVBand="0"/>
      </w:tblPr>
      <w:tblGrid>
        <w:gridCol w:w="4531"/>
        <w:gridCol w:w="6237"/>
      </w:tblGrid>
      <w:tr w:rsidR="00555DA6" w:rsidRPr="00F325B1" w14:paraId="263ACC19" w14:textId="77777777" w:rsidTr="009A41A9">
        <w:trPr>
          <w:jc w:val="center"/>
        </w:trPr>
        <w:tc>
          <w:tcPr>
            <w:tcW w:w="4531" w:type="dxa"/>
          </w:tcPr>
          <w:p w14:paraId="511A1603" w14:textId="77777777" w:rsidR="00555DA6" w:rsidRPr="00F325B1" w:rsidRDefault="00555DA6" w:rsidP="00B007EC">
            <w:pPr>
              <w:rPr>
                <w:sz w:val="20"/>
                <w:szCs w:val="20"/>
              </w:rPr>
            </w:pPr>
            <w:r>
              <w:rPr>
                <w:b/>
                <w:caps/>
                <w:sz w:val="20"/>
                <w:szCs w:val="20"/>
              </w:rPr>
              <w:t>Agence nationale de coordination</w:t>
            </w:r>
          </w:p>
        </w:tc>
        <w:tc>
          <w:tcPr>
            <w:tcW w:w="6237" w:type="dxa"/>
          </w:tcPr>
          <w:p w14:paraId="70CB64C7" w14:textId="77777777" w:rsidR="00555DA6" w:rsidRPr="00F325B1" w:rsidRDefault="00555DA6" w:rsidP="00B007EC">
            <w:pPr>
              <w:jc w:val="right"/>
              <w:rPr>
                <w:sz w:val="20"/>
                <w:szCs w:val="20"/>
              </w:rPr>
            </w:pPr>
            <w:r>
              <w:rPr>
                <w:sz w:val="20"/>
                <w:szCs w:val="20"/>
              </w:rPr>
              <w:t>Bureau de la coopération économique des affaires étrangères (FECO)/</w:t>
            </w:r>
          </w:p>
          <w:p w14:paraId="45E61184" w14:textId="77777777" w:rsidR="00555DA6" w:rsidRPr="00F325B1" w:rsidRDefault="00555DA6" w:rsidP="00B007EC">
            <w:pPr>
              <w:jc w:val="right"/>
              <w:rPr>
                <w:sz w:val="20"/>
                <w:szCs w:val="20"/>
              </w:rPr>
            </w:pPr>
            <w:r>
              <w:rPr>
                <w:sz w:val="20"/>
                <w:szCs w:val="20"/>
              </w:rPr>
              <w:t>Ministère de l’Écologie et de l’Environnement (MEE)</w:t>
            </w:r>
          </w:p>
        </w:tc>
      </w:tr>
    </w:tbl>
    <w:p w14:paraId="38B49813" w14:textId="77777777" w:rsidR="00555DA6" w:rsidRPr="00F325B1" w:rsidRDefault="00555DA6" w:rsidP="00555DA6">
      <w:pPr>
        <w:rPr>
          <w:caps/>
          <w:sz w:val="20"/>
        </w:rPr>
      </w:pPr>
    </w:p>
    <w:tbl>
      <w:tblPr>
        <w:tblStyle w:val="Grigliatabella"/>
        <w:tblW w:w="5758" w:type="pct"/>
        <w:jc w:val="center"/>
        <w:tblCellMar>
          <w:top w:w="28" w:type="dxa"/>
          <w:bottom w:w="28" w:type="dxa"/>
        </w:tblCellMar>
        <w:tblLook w:val="04A0" w:firstRow="1" w:lastRow="0" w:firstColumn="1" w:lastColumn="0" w:noHBand="0" w:noVBand="1"/>
      </w:tblPr>
      <w:tblGrid>
        <w:gridCol w:w="4819"/>
        <w:gridCol w:w="1393"/>
        <w:gridCol w:w="1616"/>
        <w:gridCol w:w="2939"/>
      </w:tblGrid>
      <w:tr w:rsidR="00555DA6" w:rsidRPr="00F325B1" w14:paraId="179440CC" w14:textId="77777777" w:rsidTr="009A41A9">
        <w:trPr>
          <w:trHeight w:val="77"/>
          <w:jc w:val="center"/>
        </w:trPr>
        <w:tc>
          <w:tcPr>
            <w:tcW w:w="4820" w:type="dxa"/>
            <w:shd w:val="clear" w:color="auto" w:fill="auto"/>
          </w:tcPr>
          <w:p w14:paraId="033AE533" w14:textId="77777777" w:rsidR="00555DA6" w:rsidRPr="00F325B1" w:rsidRDefault="00555DA6" w:rsidP="00B007EC">
            <w:pPr>
              <w:jc w:val="left"/>
              <w:rPr>
                <w:b/>
                <w:sz w:val="20"/>
              </w:rPr>
            </w:pPr>
            <w:r>
              <w:rPr>
                <w:b/>
                <w:sz w:val="20"/>
              </w:rPr>
              <w:t>DERNIÈRES DONNÉES COMMUNIQUÉES EN VERTU DE L’ARTICLE 7 (Annexe F)</w:t>
            </w:r>
          </w:p>
        </w:tc>
        <w:tc>
          <w:tcPr>
            <w:tcW w:w="1393" w:type="dxa"/>
            <w:shd w:val="clear" w:color="auto" w:fill="auto"/>
          </w:tcPr>
          <w:p w14:paraId="05779645" w14:textId="77777777" w:rsidR="00555DA6" w:rsidRPr="00F325B1" w:rsidRDefault="00555DA6" w:rsidP="00B007EC">
            <w:pPr>
              <w:jc w:val="left"/>
              <w:rPr>
                <w:sz w:val="20"/>
              </w:rPr>
            </w:pPr>
            <w:r>
              <w:rPr>
                <w:b/>
                <w:bCs/>
                <w:sz w:val="20"/>
              </w:rPr>
              <w:t>Année :</w:t>
            </w:r>
            <w:r>
              <w:rPr>
                <w:sz w:val="20"/>
              </w:rPr>
              <w:t xml:space="preserve"> </w:t>
            </w:r>
            <w:r>
              <w:rPr>
                <w:color w:val="000000" w:themeColor="text1"/>
                <w:sz w:val="20"/>
              </w:rPr>
              <w:t>2022</w:t>
            </w:r>
          </w:p>
        </w:tc>
        <w:tc>
          <w:tcPr>
            <w:tcW w:w="1616" w:type="dxa"/>
            <w:shd w:val="clear" w:color="auto" w:fill="auto"/>
          </w:tcPr>
          <w:p w14:paraId="57CC8625" w14:textId="77777777" w:rsidR="00555DA6" w:rsidRPr="00F325B1" w:rsidRDefault="00555DA6" w:rsidP="00B007EC">
            <w:pPr>
              <w:ind w:left="-109"/>
              <w:jc w:val="right"/>
              <w:rPr>
                <w:sz w:val="20"/>
              </w:rPr>
            </w:pPr>
            <w:r>
              <w:rPr>
                <w:sz w:val="20"/>
              </w:rPr>
              <w:t>370 903,36 </w:t>
            </w:r>
            <w:proofErr w:type="spellStart"/>
            <w:r>
              <w:rPr>
                <w:sz w:val="20"/>
              </w:rPr>
              <w:t>tm</w:t>
            </w:r>
            <w:proofErr w:type="spellEnd"/>
          </w:p>
        </w:tc>
        <w:tc>
          <w:tcPr>
            <w:tcW w:w="2939" w:type="dxa"/>
            <w:shd w:val="clear" w:color="auto" w:fill="auto"/>
          </w:tcPr>
          <w:p w14:paraId="5C43294C" w14:textId="77777777" w:rsidR="00555DA6" w:rsidRPr="00F325B1" w:rsidRDefault="00555DA6" w:rsidP="00B007EC">
            <w:pPr>
              <w:ind w:left="-110"/>
              <w:jc w:val="right"/>
              <w:rPr>
                <w:sz w:val="20"/>
              </w:rPr>
            </w:pPr>
            <w:r>
              <w:rPr>
                <w:sz w:val="20"/>
              </w:rPr>
              <w:t xml:space="preserve">669 563 731 tonnes </w:t>
            </w:r>
            <w:proofErr w:type="spellStart"/>
            <w:r>
              <w:rPr>
                <w:sz w:val="20"/>
              </w:rPr>
              <w:t>éq</w:t>
            </w:r>
            <w:proofErr w:type="spellEnd"/>
            <w:r>
              <w:rPr>
                <w:sz w:val="20"/>
              </w:rPr>
              <w:t>. CO</w:t>
            </w:r>
            <w:r>
              <w:rPr>
                <w:sz w:val="20"/>
                <w:vertAlign w:val="subscript"/>
              </w:rPr>
              <w:t>2</w:t>
            </w:r>
          </w:p>
        </w:tc>
      </w:tr>
    </w:tbl>
    <w:p w14:paraId="2D869313" w14:textId="2BFDA866" w:rsidR="00555DA6" w:rsidRPr="00F325B1" w:rsidRDefault="00555DA6" w:rsidP="00BA12EC">
      <w:pPr>
        <w:spacing w:after="240"/>
        <w:ind w:left="-567"/>
        <w:rPr>
          <w:sz w:val="18"/>
          <w:szCs w:val="18"/>
        </w:rPr>
      </w:pPr>
      <w:r>
        <w:rPr>
          <w:sz w:val="18"/>
          <w:szCs w:val="18"/>
        </w:rPr>
        <w:t>* Les données de consommation pour 2022 on</w:t>
      </w:r>
      <w:r w:rsidR="0042511F">
        <w:rPr>
          <w:sz w:val="18"/>
          <w:szCs w:val="18"/>
        </w:rPr>
        <w:t>t</w:t>
      </w:r>
      <w:r>
        <w:rPr>
          <w:sz w:val="18"/>
          <w:szCs w:val="18"/>
        </w:rPr>
        <w:t xml:space="preserve"> été mises à jour à 666 491 379 </w:t>
      </w:r>
      <w:r>
        <w:rPr>
          <w:sz w:val="20"/>
        </w:rPr>
        <w:t xml:space="preserve">tonnes </w:t>
      </w:r>
      <w:proofErr w:type="spellStart"/>
      <w:r>
        <w:rPr>
          <w:sz w:val="20"/>
        </w:rPr>
        <w:t>éq</w:t>
      </w:r>
      <w:proofErr w:type="spellEnd"/>
      <w:r>
        <w:rPr>
          <w:sz w:val="20"/>
        </w:rPr>
        <w:t>. CO</w:t>
      </w:r>
      <w:r>
        <w:rPr>
          <w:sz w:val="20"/>
          <w:vertAlign w:val="subscript"/>
        </w:rPr>
        <w:t>2</w:t>
      </w:r>
      <w:r>
        <w:rPr>
          <w:sz w:val="18"/>
          <w:szCs w:val="18"/>
        </w:rPr>
        <w:t xml:space="preserve"> et les données de consommation pour 2023 étaient de 769 361 542 </w:t>
      </w:r>
      <w:r>
        <w:rPr>
          <w:sz w:val="20"/>
        </w:rPr>
        <w:t xml:space="preserve">tonnes </w:t>
      </w:r>
      <w:proofErr w:type="spellStart"/>
      <w:r>
        <w:rPr>
          <w:sz w:val="20"/>
        </w:rPr>
        <w:t>éq</w:t>
      </w:r>
      <w:proofErr w:type="spellEnd"/>
      <w:r>
        <w:rPr>
          <w:sz w:val="20"/>
        </w:rPr>
        <w:t>. CO</w:t>
      </w:r>
      <w:r>
        <w:rPr>
          <w:sz w:val="20"/>
          <w:vertAlign w:val="subscript"/>
        </w:rPr>
        <w:t>2</w:t>
      </w:r>
      <w:r>
        <w:rPr>
          <w:sz w:val="18"/>
          <w:szCs w:val="18"/>
        </w:rPr>
        <w:t xml:space="preserve"> et elles ont été affichées sur le site Web du Secrétariat de l’ozone en novembre 2024. Le Secrétariat du Fonds multilatéral ne possédait pas la répartition de la consommation en </w:t>
      </w:r>
      <w:proofErr w:type="spellStart"/>
      <w:r>
        <w:rPr>
          <w:sz w:val="18"/>
          <w:szCs w:val="18"/>
        </w:rPr>
        <w:t>tm</w:t>
      </w:r>
      <w:proofErr w:type="spellEnd"/>
      <w:r>
        <w:rPr>
          <w:sz w:val="18"/>
          <w:szCs w:val="18"/>
        </w:rPr>
        <w:t xml:space="preserve"> au moment de publier le présent document.</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2944"/>
        <w:gridCol w:w="3091"/>
        <w:gridCol w:w="3146"/>
      </w:tblGrid>
      <w:tr w:rsidR="00555DA6" w:rsidRPr="00F325B1" w14:paraId="21BE2695" w14:textId="77777777" w:rsidTr="009A41A9">
        <w:trPr>
          <w:trHeight w:val="158"/>
          <w:jc w:val="center"/>
        </w:trPr>
        <w:tc>
          <w:tcPr>
            <w:tcW w:w="4531" w:type="dxa"/>
            <w:gridSpan w:val="2"/>
            <w:tcBorders>
              <w:left w:val="single" w:sz="4" w:space="0" w:color="auto"/>
              <w:bottom w:val="single" w:sz="4" w:space="0" w:color="auto"/>
              <w:right w:val="single" w:sz="4" w:space="0" w:color="auto"/>
            </w:tcBorders>
          </w:tcPr>
          <w:p w14:paraId="1EC505E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Pr>
                <w:b/>
                <w:sz w:val="20"/>
                <w:szCs w:val="20"/>
              </w:rPr>
              <w:t>Détails</w:t>
            </w:r>
          </w:p>
        </w:tc>
        <w:tc>
          <w:tcPr>
            <w:tcW w:w="3091" w:type="dxa"/>
            <w:tcBorders>
              <w:top w:val="single" w:sz="4" w:space="0" w:color="auto"/>
              <w:left w:val="single" w:sz="4" w:space="0" w:color="auto"/>
              <w:bottom w:val="single" w:sz="4" w:space="0" w:color="auto"/>
              <w:right w:val="single" w:sz="4" w:space="0" w:color="auto"/>
            </w:tcBorders>
          </w:tcPr>
          <w:p w14:paraId="077FA1F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highlight w:val="cyan"/>
              </w:rPr>
            </w:pPr>
            <w:r>
              <w:rPr>
                <w:b/>
                <w:bCs/>
                <w:sz w:val="20"/>
                <w:szCs w:val="20"/>
              </w:rPr>
              <w:t>Unités</w:t>
            </w:r>
          </w:p>
        </w:tc>
        <w:tc>
          <w:tcPr>
            <w:tcW w:w="3146" w:type="dxa"/>
            <w:tcBorders>
              <w:top w:val="single" w:sz="4" w:space="0" w:color="auto"/>
              <w:left w:val="single" w:sz="4" w:space="0" w:color="auto"/>
              <w:bottom w:val="single" w:sz="4" w:space="0" w:color="auto"/>
              <w:right w:val="single" w:sz="4" w:space="0" w:color="auto"/>
            </w:tcBorders>
          </w:tcPr>
          <w:p w14:paraId="46756C07"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Pr>
                <w:b/>
                <w:bCs/>
                <w:sz w:val="20"/>
                <w:szCs w:val="20"/>
              </w:rPr>
              <w:t>HFC-410A</w:t>
            </w:r>
          </w:p>
        </w:tc>
      </w:tr>
      <w:tr w:rsidR="00555DA6" w:rsidRPr="00F325B1" w14:paraId="4CD2EB5E" w14:textId="77777777" w:rsidTr="009A41A9">
        <w:trPr>
          <w:trHeight w:val="117"/>
          <w:jc w:val="center"/>
        </w:trPr>
        <w:tc>
          <w:tcPr>
            <w:tcW w:w="4531" w:type="dxa"/>
            <w:gridSpan w:val="2"/>
            <w:vMerge w:val="restart"/>
            <w:tcBorders>
              <w:top w:val="single" w:sz="4" w:space="0" w:color="auto"/>
              <w:left w:val="single" w:sz="4" w:space="0" w:color="auto"/>
              <w:right w:val="single" w:sz="4" w:space="0" w:color="auto"/>
            </w:tcBorders>
          </w:tcPr>
          <w:p w14:paraId="16DAD409" w14:textId="61FDAEBB"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Pr>
                <w:bCs/>
                <w:sz w:val="20"/>
                <w:szCs w:val="20"/>
              </w:rPr>
              <w:t>HFC évités dans le cadre de ce projet</w:t>
            </w:r>
            <w:r w:rsidR="004710D6">
              <w:rPr>
                <w:bCs/>
                <w:sz w:val="20"/>
                <w:szCs w:val="20"/>
              </w:rPr>
              <w:t> </w:t>
            </w:r>
            <w:r>
              <w:rPr>
                <w:bCs/>
                <w:sz w:val="20"/>
                <w:szCs w:val="20"/>
              </w:rPr>
              <w:t>:</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64050FB2"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proofErr w:type="gramStart"/>
            <w:r>
              <w:rPr>
                <w:sz w:val="20"/>
                <w:szCs w:val="20"/>
              </w:rPr>
              <w:t>tm</w:t>
            </w:r>
            <w:proofErr w:type="spellEnd"/>
            <w:proofErr w:type="gramEnd"/>
          </w:p>
        </w:tc>
        <w:tc>
          <w:tcPr>
            <w:tcW w:w="3146" w:type="dxa"/>
            <w:tcBorders>
              <w:top w:val="single" w:sz="4" w:space="0" w:color="auto"/>
              <w:left w:val="single" w:sz="4" w:space="0" w:color="auto"/>
              <w:bottom w:val="single" w:sz="4" w:space="0" w:color="auto"/>
              <w:right w:val="single" w:sz="4" w:space="0" w:color="auto"/>
            </w:tcBorders>
            <w:shd w:val="clear" w:color="auto" w:fill="auto"/>
          </w:tcPr>
          <w:p w14:paraId="313802D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4 320</w:t>
            </w:r>
          </w:p>
        </w:tc>
      </w:tr>
      <w:tr w:rsidR="00555DA6" w:rsidRPr="00F325B1" w14:paraId="3A0558BC" w14:textId="77777777" w:rsidTr="009A41A9">
        <w:trPr>
          <w:trHeight w:val="46"/>
          <w:jc w:val="center"/>
        </w:trPr>
        <w:tc>
          <w:tcPr>
            <w:tcW w:w="4531" w:type="dxa"/>
            <w:gridSpan w:val="2"/>
            <w:vMerge/>
            <w:tcBorders>
              <w:left w:val="single" w:sz="4" w:space="0" w:color="auto"/>
              <w:bottom w:val="single" w:sz="4" w:space="0" w:color="auto"/>
              <w:right w:val="single" w:sz="4" w:space="0" w:color="auto"/>
            </w:tcBorders>
          </w:tcPr>
          <w:p w14:paraId="529C647E"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54C80C77"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 xml:space="preserve">Tonnes </w:t>
            </w:r>
            <w:proofErr w:type="spellStart"/>
            <w:r>
              <w:rPr>
                <w:sz w:val="20"/>
                <w:szCs w:val="20"/>
              </w:rPr>
              <w:t>éq</w:t>
            </w:r>
            <w:proofErr w:type="spellEnd"/>
            <w:r>
              <w:rPr>
                <w:sz w:val="20"/>
                <w:szCs w:val="20"/>
              </w:rPr>
              <w:t>. CO</w:t>
            </w:r>
            <w:r>
              <w:rPr>
                <w:sz w:val="20"/>
                <w:szCs w:val="20"/>
                <w:vertAlign w:val="subscript"/>
              </w:rPr>
              <w:t>2</w:t>
            </w:r>
          </w:p>
        </w:tc>
        <w:tc>
          <w:tcPr>
            <w:tcW w:w="3146" w:type="dxa"/>
            <w:tcBorders>
              <w:top w:val="single" w:sz="4" w:space="0" w:color="auto"/>
              <w:left w:val="single" w:sz="4" w:space="0" w:color="auto"/>
              <w:bottom w:val="single" w:sz="4" w:space="0" w:color="auto"/>
              <w:right w:val="single" w:sz="4" w:space="0" w:color="auto"/>
            </w:tcBorders>
            <w:shd w:val="clear" w:color="auto" w:fill="auto"/>
          </w:tcPr>
          <w:p w14:paraId="1993112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9 020 160</w:t>
            </w:r>
          </w:p>
        </w:tc>
      </w:tr>
      <w:tr w:rsidR="00555DA6" w:rsidRPr="00F325B1" w14:paraId="5EF8BB5B" w14:textId="77777777" w:rsidTr="009A41A9">
        <w:trPr>
          <w:trHeight w:val="619"/>
          <w:jc w:val="center"/>
        </w:trPr>
        <w:tc>
          <w:tcPr>
            <w:tcW w:w="4531" w:type="dxa"/>
            <w:gridSpan w:val="2"/>
            <w:tcBorders>
              <w:top w:val="single" w:sz="4" w:space="0" w:color="auto"/>
              <w:left w:val="single" w:sz="4" w:space="0" w:color="auto"/>
              <w:right w:val="single" w:sz="4" w:space="0" w:color="auto"/>
            </w:tcBorders>
          </w:tcPr>
          <w:p w14:paraId="7A2A092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bCs/>
                <w:sz w:val="20"/>
                <w:szCs w:val="20"/>
              </w:rPr>
            </w:pPr>
            <w:r>
              <w:rPr>
                <w:bCs/>
                <w:sz w:val="20"/>
                <w:szCs w:val="20"/>
              </w:rPr>
              <w:t>Substituts à introduire :</w:t>
            </w:r>
          </w:p>
        </w:tc>
        <w:tc>
          <w:tcPr>
            <w:tcW w:w="6237" w:type="dxa"/>
            <w:gridSpan w:val="2"/>
            <w:tcBorders>
              <w:top w:val="single" w:sz="4" w:space="0" w:color="auto"/>
              <w:left w:val="single" w:sz="4" w:space="0" w:color="auto"/>
              <w:right w:val="single" w:sz="4" w:space="0" w:color="auto"/>
            </w:tcBorders>
          </w:tcPr>
          <w:p w14:paraId="39ADE360"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bCs/>
                <w:sz w:val="20"/>
                <w:szCs w:val="20"/>
              </w:rPr>
            </w:pPr>
            <w:r>
              <w:rPr>
                <w:bCs/>
                <w:sz w:val="20"/>
                <w:szCs w:val="20"/>
              </w:rPr>
              <w:t xml:space="preserve">Un liquide de refroidissement exclusif, le Bing Yi 797, appartenant à l’entreprise Tianjin Tier, une filiale d’Anhui Tier </w:t>
            </w:r>
            <w:proofErr w:type="spellStart"/>
            <w:r>
              <w:rPr>
                <w:bCs/>
                <w:sz w:val="20"/>
                <w:szCs w:val="20"/>
              </w:rPr>
              <w:t>Liquid</w:t>
            </w:r>
            <w:proofErr w:type="spellEnd"/>
            <w:r>
              <w:rPr>
                <w:bCs/>
                <w:sz w:val="20"/>
                <w:szCs w:val="20"/>
              </w:rPr>
              <w:t xml:space="preserve"> </w:t>
            </w:r>
            <w:proofErr w:type="spellStart"/>
            <w:r>
              <w:rPr>
                <w:bCs/>
                <w:sz w:val="20"/>
                <w:szCs w:val="20"/>
              </w:rPr>
              <w:t>Cooling</w:t>
            </w:r>
            <w:proofErr w:type="spellEnd"/>
            <w:r>
              <w:rPr>
                <w:bCs/>
                <w:sz w:val="20"/>
                <w:szCs w:val="20"/>
              </w:rPr>
              <w:t xml:space="preserve"> </w:t>
            </w:r>
            <w:proofErr w:type="spellStart"/>
            <w:r>
              <w:rPr>
                <w:bCs/>
                <w:sz w:val="20"/>
                <w:szCs w:val="20"/>
              </w:rPr>
              <w:t>Technology</w:t>
            </w:r>
            <w:proofErr w:type="spellEnd"/>
            <w:r>
              <w:rPr>
                <w:bCs/>
                <w:sz w:val="20"/>
                <w:szCs w:val="20"/>
              </w:rPr>
              <w:t xml:space="preserve"> Co., Ltd. </w:t>
            </w:r>
            <w:proofErr w:type="gramStart"/>
            <w:r>
              <w:rPr>
                <w:bCs/>
                <w:sz w:val="20"/>
                <w:szCs w:val="20"/>
              </w:rPr>
              <w:t>qui</w:t>
            </w:r>
            <w:proofErr w:type="gramEnd"/>
            <w:r>
              <w:rPr>
                <w:bCs/>
                <w:sz w:val="20"/>
                <w:szCs w:val="20"/>
              </w:rPr>
              <w:t xml:space="preserve"> a élaboré la technologie de refroidissement par immersion et qui dirigera la mise en œuvre du projet. Il s’agit d’un agent de refroidissement à base d’huile synthétique principalement composé </w:t>
            </w:r>
            <w:proofErr w:type="spellStart"/>
            <w:r>
              <w:rPr>
                <w:bCs/>
                <w:sz w:val="20"/>
                <w:szCs w:val="20"/>
              </w:rPr>
              <w:t>polidocanol</w:t>
            </w:r>
            <w:proofErr w:type="spellEnd"/>
            <w:r>
              <w:rPr>
                <w:bCs/>
                <w:sz w:val="20"/>
                <w:szCs w:val="20"/>
              </w:rPr>
              <w:t xml:space="preserve"> hydrogéné (90 à 99,8 pour cent) et d’un composé antioxydant (0,2 à 0,9 pour cent), sans HC aromatiques.</w:t>
            </w:r>
          </w:p>
        </w:tc>
      </w:tr>
      <w:tr w:rsidR="00555DA6" w:rsidRPr="00F325B1" w14:paraId="01ACAADC"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073877F7" w14:textId="199BFF18"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Durée du projet (en mois)</w:t>
            </w:r>
            <w:r w:rsidR="004710D6">
              <w:rPr>
                <w:sz w:val="20"/>
                <w:szCs w:val="20"/>
              </w:rPr>
              <w:t> </w:t>
            </w:r>
            <w:r>
              <w:rPr>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1C5EF368" w14:textId="77777777" w:rsidR="00555DA6" w:rsidRPr="00F325B1" w:rsidRDefault="00555DA6" w:rsidP="00B007EC">
            <w:pPr>
              <w:jc w:val="right"/>
              <w:rPr>
                <w:sz w:val="20"/>
                <w:szCs w:val="20"/>
                <w:highlight w:val="cyan"/>
              </w:rPr>
            </w:pPr>
            <w:r>
              <w:rPr>
                <w:sz w:val="20"/>
                <w:szCs w:val="20"/>
              </w:rPr>
              <w:t>24</w:t>
            </w:r>
          </w:p>
        </w:tc>
      </w:tr>
      <w:tr w:rsidR="00555DA6" w:rsidRPr="00F325B1" w14:paraId="4078EBE0"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582377B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Montant initial demandé ($ US) :</w:t>
            </w:r>
          </w:p>
        </w:tc>
        <w:tc>
          <w:tcPr>
            <w:tcW w:w="6237" w:type="dxa"/>
            <w:gridSpan w:val="2"/>
            <w:tcBorders>
              <w:top w:val="single" w:sz="4" w:space="0" w:color="auto"/>
              <w:left w:val="single" w:sz="4" w:space="0" w:color="auto"/>
              <w:bottom w:val="single" w:sz="4" w:space="0" w:color="auto"/>
              <w:right w:val="single" w:sz="4" w:space="0" w:color="auto"/>
            </w:tcBorders>
          </w:tcPr>
          <w:p w14:paraId="63B561E1"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r>
              <w:rPr>
                <w:sz w:val="20"/>
                <w:szCs w:val="20"/>
              </w:rPr>
              <w:t>2 456 900</w:t>
            </w:r>
          </w:p>
        </w:tc>
      </w:tr>
      <w:tr w:rsidR="00555DA6" w:rsidRPr="00F325B1" w14:paraId="377763C6"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79FDC2DE"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Coûts finaux du projet ($ US) :</w:t>
            </w:r>
          </w:p>
        </w:tc>
        <w:tc>
          <w:tcPr>
            <w:tcW w:w="6237" w:type="dxa"/>
            <w:gridSpan w:val="2"/>
            <w:tcBorders>
              <w:top w:val="single" w:sz="4" w:space="0" w:color="auto"/>
              <w:left w:val="single" w:sz="4" w:space="0" w:color="auto"/>
              <w:bottom w:val="single" w:sz="4" w:space="0" w:color="auto"/>
              <w:right w:val="single" w:sz="4" w:space="0" w:color="auto"/>
            </w:tcBorders>
          </w:tcPr>
          <w:p w14:paraId="1729BE5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p>
        </w:tc>
      </w:tr>
      <w:tr w:rsidR="00555DA6" w:rsidRPr="00F325B1" w14:paraId="0E8CC85B" w14:textId="77777777" w:rsidTr="009A41A9">
        <w:trPr>
          <w:trHeight w:val="230"/>
          <w:jc w:val="center"/>
        </w:trPr>
        <w:tc>
          <w:tcPr>
            <w:tcW w:w="1587" w:type="dxa"/>
            <w:tcBorders>
              <w:top w:val="single" w:sz="4" w:space="0" w:color="auto"/>
              <w:left w:val="single" w:sz="4" w:space="0" w:color="auto"/>
              <w:bottom w:val="single" w:sz="4" w:space="0" w:color="auto"/>
              <w:right w:val="nil"/>
            </w:tcBorders>
          </w:tcPr>
          <w:p w14:paraId="7A3B72C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944" w:type="dxa"/>
            <w:tcBorders>
              <w:top w:val="single" w:sz="4" w:space="0" w:color="auto"/>
              <w:left w:val="nil"/>
              <w:bottom w:val="single" w:sz="4" w:space="0" w:color="auto"/>
              <w:right w:val="single" w:sz="4" w:space="0" w:color="auto"/>
            </w:tcBorders>
          </w:tcPr>
          <w:p w14:paraId="55B01470"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108"/>
              <w:rPr>
                <w:sz w:val="20"/>
                <w:szCs w:val="20"/>
              </w:rPr>
            </w:pPr>
            <w:r>
              <w:rPr>
                <w:sz w:val="20"/>
                <w:szCs w:val="20"/>
              </w:rPr>
              <w:t>Coût en capital :</w:t>
            </w:r>
          </w:p>
        </w:tc>
        <w:tc>
          <w:tcPr>
            <w:tcW w:w="6237" w:type="dxa"/>
            <w:gridSpan w:val="2"/>
            <w:tcBorders>
              <w:top w:val="single" w:sz="4" w:space="0" w:color="auto"/>
              <w:left w:val="single" w:sz="4" w:space="0" w:color="auto"/>
              <w:bottom w:val="single" w:sz="4" w:space="0" w:color="auto"/>
              <w:right w:val="single" w:sz="4" w:space="0" w:color="auto"/>
            </w:tcBorders>
          </w:tcPr>
          <w:p w14:paraId="5F0CF12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1 790 800</w:t>
            </w:r>
          </w:p>
        </w:tc>
      </w:tr>
      <w:tr w:rsidR="00555DA6" w:rsidRPr="00F325B1" w14:paraId="7513A0C6" w14:textId="77777777" w:rsidTr="009A41A9">
        <w:trPr>
          <w:trHeight w:val="230"/>
          <w:jc w:val="center"/>
        </w:trPr>
        <w:tc>
          <w:tcPr>
            <w:tcW w:w="1587" w:type="dxa"/>
            <w:tcBorders>
              <w:top w:val="single" w:sz="4" w:space="0" w:color="auto"/>
              <w:left w:val="single" w:sz="4" w:space="0" w:color="auto"/>
              <w:bottom w:val="single" w:sz="4" w:space="0" w:color="auto"/>
              <w:right w:val="nil"/>
            </w:tcBorders>
          </w:tcPr>
          <w:p w14:paraId="49EEF45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944" w:type="dxa"/>
            <w:tcBorders>
              <w:top w:val="single" w:sz="4" w:space="0" w:color="auto"/>
              <w:left w:val="nil"/>
              <w:bottom w:val="single" w:sz="4" w:space="0" w:color="auto"/>
              <w:right w:val="single" w:sz="4" w:space="0" w:color="auto"/>
            </w:tcBorders>
          </w:tcPr>
          <w:p w14:paraId="6F20B107"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216"/>
              <w:rPr>
                <w:sz w:val="20"/>
                <w:szCs w:val="20"/>
              </w:rPr>
            </w:pPr>
            <w:r>
              <w:rPr>
                <w:sz w:val="20"/>
                <w:szCs w:val="20"/>
              </w:rPr>
              <w:t>Éventualités (</w:t>
            </w:r>
            <w:proofErr w:type="gramStart"/>
            <w:r>
              <w:rPr>
                <w:sz w:val="20"/>
                <w:szCs w:val="20"/>
              </w:rPr>
              <w:t>10  %</w:t>
            </w:r>
            <w:proofErr w:type="gramEnd"/>
            <w:r>
              <w:rPr>
                <w:sz w:val="20"/>
                <w:szCs w:val="20"/>
              </w:rPr>
              <w:t xml:space="preserve">) : </w:t>
            </w:r>
          </w:p>
        </w:tc>
        <w:tc>
          <w:tcPr>
            <w:tcW w:w="6237" w:type="dxa"/>
            <w:gridSpan w:val="2"/>
            <w:tcBorders>
              <w:top w:val="single" w:sz="4" w:space="0" w:color="auto"/>
              <w:left w:val="single" w:sz="4" w:space="0" w:color="auto"/>
              <w:bottom w:val="single" w:sz="4" w:space="0" w:color="auto"/>
              <w:right w:val="single" w:sz="4" w:space="0" w:color="auto"/>
            </w:tcBorders>
          </w:tcPr>
          <w:p w14:paraId="54344A4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Non demandées</w:t>
            </w:r>
          </w:p>
        </w:tc>
      </w:tr>
      <w:tr w:rsidR="00555DA6" w:rsidRPr="00F325B1" w14:paraId="06E44F7A" w14:textId="77777777" w:rsidTr="009A41A9">
        <w:trPr>
          <w:trHeight w:val="230"/>
          <w:jc w:val="center"/>
        </w:trPr>
        <w:tc>
          <w:tcPr>
            <w:tcW w:w="1587" w:type="dxa"/>
            <w:tcBorders>
              <w:top w:val="single" w:sz="4" w:space="0" w:color="auto"/>
              <w:left w:val="single" w:sz="4" w:space="0" w:color="auto"/>
              <w:bottom w:val="single" w:sz="4" w:space="0" w:color="auto"/>
              <w:right w:val="nil"/>
            </w:tcBorders>
          </w:tcPr>
          <w:p w14:paraId="0D0BB13C"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944" w:type="dxa"/>
            <w:tcBorders>
              <w:top w:val="single" w:sz="4" w:space="0" w:color="auto"/>
              <w:left w:val="nil"/>
              <w:bottom w:val="single" w:sz="4" w:space="0" w:color="auto"/>
              <w:right w:val="single" w:sz="4" w:space="0" w:color="auto"/>
            </w:tcBorders>
          </w:tcPr>
          <w:p w14:paraId="149B1474"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126"/>
              <w:rPr>
                <w:sz w:val="20"/>
                <w:szCs w:val="20"/>
              </w:rPr>
            </w:pPr>
            <w:r>
              <w:rPr>
                <w:sz w:val="20"/>
                <w:szCs w:val="20"/>
              </w:rPr>
              <w:t xml:space="preserve">Coût d’exploitation : </w:t>
            </w:r>
          </w:p>
        </w:tc>
        <w:tc>
          <w:tcPr>
            <w:tcW w:w="6237" w:type="dxa"/>
            <w:gridSpan w:val="2"/>
            <w:tcBorders>
              <w:top w:val="single" w:sz="4" w:space="0" w:color="auto"/>
              <w:left w:val="single" w:sz="4" w:space="0" w:color="auto"/>
              <w:bottom w:val="single" w:sz="4" w:space="0" w:color="auto"/>
              <w:right w:val="single" w:sz="4" w:space="0" w:color="auto"/>
            </w:tcBorders>
          </w:tcPr>
          <w:p w14:paraId="1C6C6ED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Non demandé</w:t>
            </w:r>
          </w:p>
        </w:tc>
      </w:tr>
      <w:tr w:rsidR="00555DA6" w:rsidRPr="00F325B1" w14:paraId="4FEDCABF" w14:textId="77777777" w:rsidTr="009A41A9">
        <w:trPr>
          <w:trHeight w:val="230"/>
          <w:jc w:val="center"/>
        </w:trPr>
        <w:tc>
          <w:tcPr>
            <w:tcW w:w="1587" w:type="dxa"/>
            <w:tcBorders>
              <w:top w:val="single" w:sz="4" w:space="0" w:color="auto"/>
              <w:left w:val="single" w:sz="4" w:space="0" w:color="auto"/>
              <w:bottom w:val="single" w:sz="4" w:space="0" w:color="auto"/>
              <w:right w:val="nil"/>
            </w:tcBorders>
          </w:tcPr>
          <w:p w14:paraId="7FC99EFC"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944" w:type="dxa"/>
            <w:tcBorders>
              <w:top w:val="single" w:sz="4" w:space="0" w:color="auto"/>
              <w:left w:val="nil"/>
              <w:bottom w:val="single" w:sz="4" w:space="0" w:color="auto"/>
              <w:right w:val="single" w:sz="4" w:space="0" w:color="auto"/>
            </w:tcBorders>
          </w:tcPr>
          <w:p w14:paraId="74E51511" w14:textId="763C1BB9" w:rsidR="00555DA6" w:rsidRPr="00F325B1" w:rsidRDefault="00555DA6" w:rsidP="00B007EC">
            <w:pPr>
              <w:tabs>
                <w:tab w:val="left" w:pos="-717"/>
                <w:tab w:val="left" w:pos="5042"/>
                <w:tab w:val="left" w:pos="5762"/>
                <w:tab w:val="left" w:pos="6482"/>
                <w:tab w:val="left" w:pos="7202"/>
                <w:tab w:val="left" w:pos="7922"/>
              </w:tabs>
              <w:spacing w:line="225" w:lineRule="auto"/>
              <w:ind w:right="517"/>
              <w:rPr>
                <w:sz w:val="20"/>
                <w:szCs w:val="20"/>
              </w:rPr>
            </w:pPr>
            <w:r>
              <w:rPr>
                <w:sz w:val="20"/>
                <w:szCs w:val="20"/>
              </w:rPr>
              <w:t>Coût total du projet</w:t>
            </w:r>
            <w:r w:rsidR="00304C0E">
              <w:rPr>
                <w:sz w:val="20"/>
                <w:szCs w:val="20"/>
              </w:rPr>
              <w:t> </w:t>
            </w:r>
            <w:r>
              <w:rPr>
                <w:sz w:val="20"/>
                <w:szCs w:val="20"/>
              </w:rPr>
              <w:t xml:space="preserve">: </w:t>
            </w:r>
          </w:p>
        </w:tc>
        <w:tc>
          <w:tcPr>
            <w:tcW w:w="6237" w:type="dxa"/>
            <w:gridSpan w:val="2"/>
            <w:tcBorders>
              <w:top w:val="single" w:sz="4" w:space="0" w:color="auto"/>
              <w:left w:val="single" w:sz="4" w:space="0" w:color="auto"/>
              <w:bottom w:val="single" w:sz="4" w:space="0" w:color="auto"/>
              <w:right w:val="single" w:sz="4" w:space="0" w:color="auto"/>
            </w:tcBorders>
          </w:tcPr>
          <w:p w14:paraId="13662032"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1 790 800</w:t>
            </w:r>
          </w:p>
        </w:tc>
      </w:tr>
      <w:tr w:rsidR="00555DA6" w:rsidRPr="00F325B1" w14:paraId="7C59A138"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7087DE25" w14:textId="5B7B988D"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Prise en charge locale (%)</w:t>
            </w:r>
            <w:r w:rsidR="00304C0E">
              <w:rPr>
                <w:sz w:val="20"/>
                <w:szCs w:val="20"/>
              </w:rPr>
              <w:t> </w:t>
            </w:r>
            <w:r>
              <w:rPr>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tcPr>
          <w:p w14:paraId="27622CB3" w14:textId="77777777" w:rsidR="00555DA6" w:rsidRPr="00F325B1" w:rsidRDefault="00555DA6" w:rsidP="00B007EC">
            <w:pPr>
              <w:pStyle w:val="Footer1"/>
              <w:jc w:val="right"/>
            </w:pPr>
            <w:r>
              <w:t xml:space="preserve">100 </w:t>
            </w:r>
          </w:p>
        </w:tc>
      </w:tr>
      <w:tr w:rsidR="00555DA6" w:rsidRPr="00F325B1" w14:paraId="166D0342"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158AEB84" w14:textId="7CB24111"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Volet d’exportation (%)</w:t>
            </w:r>
            <w:r w:rsidR="00304C0E">
              <w:rPr>
                <w:sz w:val="20"/>
                <w:szCs w:val="20"/>
              </w:rPr>
              <w:t> </w:t>
            </w:r>
            <w:r>
              <w:rPr>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tcPr>
          <w:p w14:paraId="0D79D85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 xml:space="preserve">0 </w:t>
            </w:r>
          </w:p>
        </w:tc>
      </w:tr>
      <w:tr w:rsidR="00555DA6" w:rsidRPr="00F325B1" w14:paraId="42DA562C"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6F22AE4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Subvention demandée ($ US) :</w:t>
            </w:r>
          </w:p>
        </w:tc>
        <w:tc>
          <w:tcPr>
            <w:tcW w:w="6237" w:type="dxa"/>
            <w:gridSpan w:val="2"/>
            <w:tcBorders>
              <w:top w:val="single" w:sz="4" w:space="0" w:color="auto"/>
              <w:left w:val="single" w:sz="4" w:space="0" w:color="auto"/>
              <w:bottom w:val="single" w:sz="4" w:space="0" w:color="auto"/>
              <w:right w:val="single" w:sz="4" w:space="0" w:color="auto"/>
            </w:tcBorders>
          </w:tcPr>
          <w:p w14:paraId="2085AA1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1 790 800</w:t>
            </w:r>
          </w:p>
        </w:tc>
      </w:tr>
      <w:tr w:rsidR="00555DA6" w:rsidRPr="00F325B1" w14:paraId="2EA02095"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4D28A37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Coût d’appui de l’agence d’exécution ($ US) :</w:t>
            </w:r>
          </w:p>
        </w:tc>
        <w:tc>
          <w:tcPr>
            <w:tcW w:w="6237" w:type="dxa"/>
            <w:gridSpan w:val="2"/>
            <w:tcBorders>
              <w:top w:val="single" w:sz="4" w:space="0" w:color="auto"/>
              <w:left w:val="single" w:sz="4" w:space="0" w:color="auto"/>
              <w:bottom w:val="single" w:sz="4" w:space="0" w:color="auto"/>
              <w:right w:val="single" w:sz="4" w:space="0" w:color="auto"/>
            </w:tcBorders>
          </w:tcPr>
          <w:p w14:paraId="2B13B8A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125 356</w:t>
            </w:r>
          </w:p>
        </w:tc>
      </w:tr>
      <w:tr w:rsidR="00555DA6" w:rsidRPr="00F325B1" w14:paraId="17A68FC9"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500ED14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Coût total du projet pour le Fonds multilatéral ($ US) :</w:t>
            </w:r>
          </w:p>
        </w:tc>
        <w:tc>
          <w:tcPr>
            <w:tcW w:w="6237" w:type="dxa"/>
            <w:gridSpan w:val="2"/>
            <w:tcBorders>
              <w:top w:val="single" w:sz="4" w:space="0" w:color="auto"/>
              <w:left w:val="single" w:sz="4" w:space="0" w:color="auto"/>
              <w:bottom w:val="single" w:sz="4" w:space="0" w:color="auto"/>
              <w:right w:val="single" w:sz="4" w:space="0" w:color="auto"/>
            </w:tcBorders>
          </w:tcPr>
          <w:p w14:paraId="637EEF1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1 916 156</w:t>
            </w:r>
          </w:p>
        </w:tc>
      </w:tr>
      <w:tr w:rsidR="00555DA6" w:rsidRPr="00F325B1" w14:paraId="4276438F"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6BE6CA5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Économies en efficacité énergétique ($ US/MWh) :</w:t>
            </w:r>
          </w:p>
        </w:tc>
        <w:tc>
          <w:tcPr>
            <w:tcW w:w="6237" w:type="dxa"/>
            <w:gridSpan w:val="2"/>
            <w:tcBorders>
              <w:top w:val="single" w:sz="4" w:space="0" w:color="auto"/>
              <w:left w:val="single" w:sz="4" w:space="0" w:color="auto"/>
              <w:bottom w:val="single" w:sz="4" w:space="0" w:color="auto"/>
              <w:right w:val="single" w:sz="4" w:space="0" w:color="auto"/>
            </w:tcBorders>
          </w:tcPr>
          <w:p w14:paraId="0FEE426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3,55</w:t>
            </w:r>
          </w:p>
        </w:tc>
      </w:tr>
      <w:tr w:rsidR="00555DA6" w:rsidRPr="00F325B1" w14:paraId="1B9F5CB4"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4E0A8C21" w14:textId="404476EF"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État du financement de contrepartie (O/N)</w:t>
            </w:r>
            <w:r w:rsidR="00304C0E">
              <w:rPr>
                <w:sz w:val="20"/>
                <w:szCs w:val="20"/>
              </w:rPr>
              <w:t> </w:t>
            </w:r>
            <w:r>
              <w:rPr>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tcPr>
          <w:p w14:paraId="05AEBD4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O</w:t>
            </w:r>
          </w:p>
        </w:tc>
      </w:tr>
      <w:tr w:rsidR="00555DA6" w:rsidRPr="00F325B1" w14:paraId="35A23A4F" w14:textId="77777777" w:rsidTr="009A41A9">
        <w:trPr>
          <w:trHeight w:val="230"/>
          <w:jc w:val="center"/>
        </w:trPr>
        <w:tc>
          <w:tcPr>
            <w:tcW w:w="4531" w:type="dxa"/>
            <w:gridSpan w:val="2"/>
            <w:tcBorders>
              <w:top w:val="single" w:sz="4" w:space="0" w:color="auto"/>
              <w:left w:val="single" w:sz="4" w:space="0" w:color="auto"/>
              <w:bottom w:val="single" w:sz="4" w:space="0" w:color="auto"/>
              <w:right w:val="single" w:sz="4" w:space="0" w:color="auto"/>
            </w:tcBorders>
          </w:tcPr>
          <w:p w14:paraId="4BB4230E" w14:textId="3DEC2A94"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Étapes du suivi du projet comprises (O/N)</w:t>
            </w:r>
            <w:r w:rsidR="00304C0E">
              <w:rPr>
                <w:sz w:val="20"/>
                <w:szCs w:val="20"/>
              </w:rPr>
              <w:t> </w:t>
            </w:r>
            <w:r>
              <w:rPr>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tcPr>
          <w:p w14:paraId="58B1BCBB"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O</w:t>
            </w:r>
          </w:p>
        </w:tc>
      </w:tr>
      <w:tr w:rsidR="00555DA6" w:rsidRPr="00F325B1" w14:paraId="70918DCD" w14:textId="77777777" w:rsidTr="009A41A9">
        <w:trPr>
          <w:trHeight w:val="232"/>
          <w:jc w:val="center"/>
        </w:trPr>
        <w:tc>
          <w:tcPr>
            <w:tcW w:w="4531" w:type="dxa"/>
            <w:gridSpan w:val="2"/>
            <w:tcBorders>
              <w:top w:val="single" w:sz="4" w:space="0" w:color="auto"/>
              <w:left w:val="single" w:sz="4" w:space="0" w:color="auto"/>
              <w:bottom w:val="single" w:sz="4" w:space="0" w:color="auto"/>
              <w:right w:val="single" w:sz="4" w:space="0" w:color="auto"/>
            </w:tcBorders>
          </w:tcPr>
          <w:p w14:paraId="2BA3C38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Normes minimales de performance énergétique disponibles pour le secteur pertinent (O/N) :</w:t>
            </w:r>
          </w:p>
        </w:tc>
        <w:tc>
          <w:tcPr>
            <w:tcW w:w="6237" w:type="dxa"/>
            <w:gridSpan w:val="2"/>
            <w:tcBorders>
              <w:top w:val="single" w:sz="4" w:space="0" w:color="auto"/>
              <w:left w:val="single" w:sz="4" w:space="0" w:color="auto"/>
              <w:bottom w:val="single" w:sz="4" w:space="0" w:color="auto"/>
              <w:right w:val="single" w:sz="4" w:space="0" w:color="auto"/>
            </w:tcBorders>
          </w:tcPr>
          <w:p w14:paraId="44905820"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Sans objet</w:t>
            </w:r>
          </w:p>
        </w:tc>
      </w:tr>
    </w:tbl>
    <w:p w14:paraId="1AF9EAEF" w14:textId="77777777" w:rsidR="00555DA6" w:rsidRPr="00F325B1" w:rsidRDefault="00555DA6" w:rsidP="00555DA6">
      <w:pPr>
        <w:tabs>
          <w:tab w:val="left" w:pos="4428"/>
        </w:tabs>
        <w:spacing w:line="225" w:lineRule="auto"/>
        <w:ind w:left="113"/>
        <w:jc w:val="left"/>
        <w:rPr>
          <w:sz w:val="20"/>
          <w:szCs w:val="20"/>
        </w:rPr>
      </w:pPr>
      <w:r>
        <w:rPr>
          <w:sz w:val="20"/>
          <w:szCs w:val="20"/>
        </w:rPr>
        <w:tab/>
      </w:r>
    </w:p>
    <w:p w14:paraId="00B6973D" w14:textId="77777777" w:rsidR="00555DA6" w:rsidRPr="00F325B1" w:rsidRDefault="00555DA6" w:rsidP="00555DA6">
      <w:pPr>
        <w:tabs>
          <w:tab w:val="left" w:pos="4428"/>
        </w:tabs>
        <w:spacing w:line="225" w:lineRule="auto"/>
        <w:ind w:left="113"/>
        <w:jc w:val="left"/>
        <w:rPr>
          <w:sz w:val="20"/>
          <w:szCs w:val="20"/>
        </w:rPr>
      </w:pPr>
      <w:r>
        <w:rPr>
          <w:sz w:val="20"/>
          <w:szCs w:val="20"/>
        </w:rPr>
        <w:tab/>
      </w: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9"/>
        <w:gridCol w:w="6170"/>
      </w:tblGrid>
      <w:tr w:rsidR="00555DA6" w:rsidRPr="00F325B1" w14:paraId="297FDC8B" w14:textId="77777777" w:rsidTr="009A41A9">
        <w:trPr>
          <w:trHeight w:val="134"/>
          <w:jc w:val="center"/>
        </w:trPr>
        <w:tc>
          <w:tcPr>
            <w:tcW w:w="4609" w:type="dxa"/>
            <w:tcBorders>
              <w:top w:val="single" w:sz="4" w:space="0" w:color="auto"/>
              <w:left w:val="single" w:sz="4" w:space="0" w:color="auto"/>
              <w:bottom w:val="single" w:sz="4" w:space="0" w:color="auto"/>
              <w:right w:val="single" w:sz="4" w:space="0" w:color="auto"/>
            </w:tcBorders>
          </w:tcPr>
          <w:p w14:paraId="77D4AC6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Pr>
                <w:b/>
                <w:sz w:val="20"/>
                <w:szCs w:val="20"/>
              </w:rPr>
              <w:t>RECOMMANDATION DU SECRÉTARIAT</w:t>
            </w:r>
          </w:p>
        </w:tc>
        <w:tc>
          <w:tcPr>
            <w:tcW w:w="6170" w:type="dxa"/>
            <w:tcBorders>
              <w:top w:val="single" w:sz="4" w:space="0" w:color="auto"/>
              <w:left w:val="single" w:sz="4" w:space="0" w:color="auto"/>
              <w:bottom w:val="single" w:sz="4" w:space="0" w:color="auto"/>
              <w:right w:val="single" w:sz="4" w:space="0" w:color="auto"/>
            </w:tcBorders>
          </w:tcPr>
          <w:p w14:paraId="34E7539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Pr>
                <w:sz w:val="20"/>
                <w:szCs w:val="20"/>
              </w:rPr>
              <w:t>Examen individuel</w:t>
            </w:r>
          </w:p>
        </w:tc>
      </w:tr>
    </w:tbl>
    <w:p w14:paraId="15360433" w14:textId="77777777" w:rsidR="00555DA6" w:rsidRPr="00F325B1" w:rsidRDefault="00555DA6" w:rsidP="000746A2">
      <w:pPr>
        <w:widowControl w:val="0"/>
        <w:tabs>
          <w:tab w:val="left" w:pos="2880"/>
          <w:tab w:val="left" w:pos="5760"/>
        </w:tabs>
        <w:spacing w:before="240" w:after="240"/>
        <w:jc w:val="center"/>
        <w:rPr>
          <w:b/>
        </w:rPr>
      </w:pPr>
      <w:r>
        <w:rPr>
          <w:b/>
        </w:rPr>
        <w:lastRenderedPageBreak/>
        <w:t>DESCRIPTION DU PROJET</w:t>
      </w:r>
    </w:p>
    <w:p w14:paraId="544BE81A" w14:textId="77777777" w:rsidR="00555DA6" w:rsidRPr="00F325B1" w:rsidRDefault="00555DA6" w:rsidP="00555DA6">
      <w:pPr>
        <w:spacing w:after="240"/>
        <w:rPr>
          <w:b/>
        </w:rPr>
      </w:pPr>
      <w:r>
        <w:rPr>
          <w:b/>
        </w:rPr>
        <w:t>Contexte</w:t>
      </w:r>
    </w:p>
    <w:p w14:paraId="7F140389" w14:textId="77777777" w:rsidR="00555DA6" w:rsidRPr="00F325B1" w:rsidRDefault="00555DA6" w:rsidP="00555DA6">
      <w:pPr>
        <w:pStyle w:val="Titolo1"/>
      </w:pPr>
      <w:r>
        <w:t>Au nom du gouvernement de la Chine, le PNUD a présenté, en accord avec la décision 91/65, une demande pour un projet de démonstration pour un système de refroidissement par immersion monophasé dans un centre de données, pour un montant de 2 456 900 $ US, plus des coûts d’appui d’agence de 171 983 $ US, conformément à la soumission initiale</w:t>
      </w:r>
      <w:r w:rsidRPr="00F325B1">
        <w:rPr>
          <w:vertAlign w:val="superscript"/>
        </w:rPr>
        <w:footnoteReference w:id="2"/>
      </w:r>
      <w:r>
        <w:t>. La préparation de projet pour ce projet a été approuvée à la 94</w:t>
      </w:r>
      <w:r>
        <w:rPr>
          <w:vertAlign w:val="superscript"/>
        </w:rPr>
        <w:t>e</w:t>
      </w:r>
      <w:r>
        <w:t> réunion.</w:t>
      </w:r>
    </w:p>
    <w:p w14:paraId="3DD893A8" w14:textId="77777777" w:rsidR="00555DA6" w:rsidRPr="00F325B1" w:rsidRDefault="00555DA6" w:rsidP="00555DA6">
      <w:pPr>
        <w:keepNext/>
        <w:keepLines/>
        <w:spacing w:after="240"/>
        <w:rPr>
          <w:u w:val="single"/>
        </w:rPr>
      </w:pPr>
      <w:r>
        <w:rPr>
          <w:u w:val="single"/>
        </w:rPr>
        <w:t xml:space="preserve">État d’avancement de la mise en œuvre des activités relatives à l’efficacité énergétique financées par le Fonds multilatéral </w:t>
      </w:r>
    </w:p>
    <w:p w14:paraId="38A57BA8" w14:textId="13D72941" w:rsidR="00555DA6" w:rsidRPr="00F325B1" w:rsidRDefault="00555DA6" w:rsidP="00555DA6">
      <w:pPr>
        <w:pStyle w:val="Titolo1"/>
      </w:pPr>
      <w:r>
        <w:t>Dans le cadre des phases approuvées du plan de gestion de l’élimination des HCFC (PGEH) pour la Chine, certains volets du projet ont inclus la promotion d’équipement écoénergétique. La quatrième tranche de la phase I du PGEH pour le plan sectoriel de la fabrication des climatiseurs individuels comprenait un volet pour réaliser une étude sur les normes en matière d’efficacité énergétique de divers frigorigènes et une recherche sur l’impact environnemental des appareils. Dans le cadre de la phase II du PGEH, le projet de conversion du plan sectoriel de la fabrication des climatiseurs individuels comprenait la diffusion des résultats du projet, les avantages de la technologie de R-290, ainsi que la performance en matière d’efficacité énergétique de la technologie. Dans le cadre de la phase II du PGEH, dans le plan sectoriel de l’entretien, le volet sur l’élaboration de normes et de codes pour l’entretien dans les secteurs de la réfrigération et de la climatisation commerciales et industrielles comprenait des codes de spécifications techniques afin de promouvoir les bonnes pratiques, y compris les compétences et les connaissances relatives à la sécurité pour la nouvelle génération de frigorigènes ainsi que pour améliorer et maintenir l’efficacité énergétique de l’équipement. Le projet de conversion approuvé à la 82</w:t>
      </w:r>
      <w:r>
        <w:rPr>
          <w:vertAlign w:val="superscript"/>
        </w:rPr>
        <w:t>e</w:t>
      </w:r>
      <w:r>
        <w:t> réunion afin d’effectuer une conversion du HFC-245fa vers les HFO dans la fabrication de la mousse isolante chez un fabricant de réfrigérateurs ménagers (</w:t>
      </w:r>
      <w:proofErr w:type="spellStart"/>
      <w:r>
        <w:t>Hisense</w:t>
      </w:r>
      <w:proofErr w:type="spellEnd"/>
      <w:r>
        <w:t xml:space="preserve"> </w:t>
      </w:r>
      <w:proofErr w:type="spellStart"/>
      <w:r>
        <w:t>Kelon</w:t>
      </w:r>
      <w:proofErr w:type="spellEnd"/>
      <w:r>
        <w:t>) a été financé à la condition que les changements en matière d’efficacité énergétique du produit soi</w:t>
      </w:r>
      <w:r w:rsidR="004D60D8">
        <w:t>en</w:t>
      </w:r>
      <w:r>
        <w:t xml:space="preserve">t évalués et communiqués dans un rapport, ainsi que tout changement relatif dans les politiques gouvernementales. </w:t>
      </w:r>
    </w:p>
    <w:p w14:paraId="3F85BDE3" w14:textId="77777777" w:rsidR="00555DA6" w:rsidRPr="00F325B1" w:rsidRDefault="00555DA6" w:rsidP="00555DA6">
      <w:pPr>
        <w:widowControl w:val="0"/>
        <w:spacing w:after="240"/>
        <w:outlineLvl w:val="2"/>
        <w:rPr>
          <w:rFonts w:eastAsia="Calibri"/>
          <w:u w:val="single"/>
        </w:rPr>
      </w:pPr>
      <w:r>
        <w:rPr>
          <w:u w:val="single"/>
        </w:rPr>
        <w:t>Cadre politique, réglementaire et institutionnel</w:t>
      </w:r>
    </w:p>
    <w:p w14:paraId="08D28FD9" w14:textId="77777777" w:rsidR="00555DA6" w:rsidRPr="00F325B1" w:rsidRDefault="00555DA6" w:rsidP="00555DA6">
      <w:pPr>
        <w:pStyle w:val="Titolo1"/>
      </w:pPr>
      <w:r>
        <w:t>Le gouvernement de la Chine a ratifié l’Amendement de Kigali le 17 juin 2021. En réponse à la ratification de l’Amendement de Kigali, la Chine a révisé le Règlement sur la gestion des substances appauvrissant la couche d’ozone, qui a été approuvé en décembre 2023. Le règlement révisé, en vigueur à compter du 1</w:t>
      </w:r>
      <w:r>
        <w:rPr>
          <w:vertAlign w:val="superscript"/>
        </w:rPr>
        <w:t>er</w:t>
      </w:r>
      <w:r>
        <w:t> mars 2024, comprenait les HFC dans la liste des substances réglementées et appliquait des quotas sur la production et les importations de HFC pour 2024. La Chine a présenté une demande de financement préparatoire pour la phase I du plan de mise en œuvre de l’Amendement de Kigali sur les HFC (KIP) à la 94</w:t>
      </w:r>
      <w:r>
        <w:rPr>
          <w:vertAlign w:val="superscript"/>
        </w:rPr>
        <w:t>e</w:t>
      </w:r>
      <w:r>
        <w:t> réunion. Après des discussions bilatérales, le Comité exécutif a convenu de reporter l’examen de la demande à la présente</w:t>
      </w:r>
      <w:r>
        <w:rPr>
          <w:vertAlign w:val="superscript"/>
        </w:rPr>
        <w:t xml:space="preserve"> </w:t>
      </w:r>
      <w:r>
        <w:t>réunion.</w:t>
      </w:r>
    </w:p>
    <w:p w14:paraId="10E53E45" w14:textId="5E9E1A56" w:rsidR="00555DA6" w:rsidRPr="00F325B1" w:rsidRDefault="00555DA6" w:rsidP="00555DA6">
      <w:pPr>
        <w:pStyle w:val="Titolo1"/>
      </w:pPr>
      <w:r>
        <w:t xml:space="preserve">La norme nationale GB40879-2021 </w:t>
      </w:r>
      <w:r>
        <w:rPr>
          <w:i/>
          <w:iCs/>
        </w:rPr>
        <w:t>Valeurs maximales autorisées de l’efficacité énergétique et de classes d’efficacité énergétique pour les centres de données</w:t>
      </w:r>
      <w:r>
        <w:t xml:space="preserve"> a été mise en œuvre le 1</w:t>
      </w:r>
      <w:r>
        <w:rPr>
          <w:vertAlign w:val="superscript"/>
        </w:rPr>
        <w:t>er</w:t>
      </w:r>
      <w:r>
        <w:t> novembre 2022. Ce règlement précise les normes techniques pour un classement de l’efficacité énergétique, la mesure de la consommation énergétique, ainsi que le calcul et l’évaluation de l’efficacité énergétique des centres de données. Le classement de l’efficacité énergétique créé pour les centres de données est basé sur une mesure de l’indicateur d’efficacité énergétique (PUE)</w:t>
      </w:r>
      <w:r w:rsidRPr="00F325B1">
        <w:rPr>
          <w:rStyle w:val="Rimandonotaapidipagina"/>
          <w:rFonts w:asciiTheme="majorBidi" w:hAnsiTheme="majorBidi" w:cstheme="majorBidi"/>
          <w:color w:val="000000"/>
        </w:rPr>
        <w:footnoteReference w:id="3"/>
      </w:r>
      <w:r>
        <w:t xml:space="preserve"> et comporte trois niveaux : le niveau I est moins de </w:t>
      </w:r>
      <w:r>
        <w:lastRenderedPageBreak/>
        <w:t xml:space="preserve">1,20 PUE, le niveau II </w:t>
      </w:r>
      <w:r w:rsidR="001A15B5">
        <w:t>se situe</w:t>
      </w:r>
      <w:r>
        <w:t xml:space="preserve"> entre 1,20 et 1,30 PUE, et le niveau III est supérieur à 1,30 PUE</w:t>
      </w:r>
      <w:r w:rsidRPr="00F325B1">
        <w:rPr>
          <w:rStyle w:val="Rimandonotaapidipagina"/>
          <w:rFonts w:asciiTheme="majorBidi" w:hAnsiTheme="majorBidi" w:cstheme="majorBidi"/>
          <w:color w:val="000000"/>
        </w:rPr>
        <w:footnoteReference w:id="4"/>
      </w:r>
      <w:r>
        <w:t>. En juillet 2024, la Commission nationale du développement et de la réforme et le ministère de l’Industrie et de la Technologie de l’information ont publié un plan d’action sur le développement écologique des centres de données, qui définit des exigences pour l’équipement des centres de données, comme le PUE maximal inférieur à 1,5 PUE à partir de 2025. L’énergie renouvelable doit également représenter un pourcentage graduellement plus important de la consommation énergétique totale des centres de données, ciblant une augmentation de 10 pour cent par an en utilisation de l’énergie renouvelable</w:t>
      </w:r>
      <w:r w:rsidRPr="00F325B1">
        <w:rPr>
          <w:rStyle w:val="Rimandonotaapidipagina"/>
          <w:rFonts w:asciiTheme="majorBidi" w:hAnsiTheme="majorBidi" w:cstheme="majorBidi"/>
          <w:color w:val="000000"/>
        </w:rPr>
        <w:footnoteReference w:id="5"/>
      </w:r>
      <w:r>
        <w:t>.</w:t>
      </w:r>
    </w:p>
    <w:p w14:paraId="459286A7" w14:textId="77777777" w:rsidR="00555DA6" w:rsidRPr="00F325B1" w:rsidRDefault="00555DA6" w:rsidP="00555DA6">
      <w:pPr>
        <w:spacing w:before="240" w:after="240"/>
        <w:rPr>
          <w:u w:val="single"/>
        </w:rPr>
      </w:pPr>
      <w:r>
        <w:rPr>
          <w:u w:val="single"/>
        </w:rPr>
        <w:t xml:space="preserve">HFC et consommation énergétique dans les centres de données en Chine </w:t>
      </w:r>
    </w:p>
    <w:p w14:paraId="2144873E" w14:textId="77777777" w:rsidR="00555DA6" w:rsidRPr="00F325B1" w:rsidRDefault="00555DA6" w:rsidP="00555DA6">
      <w:pPr>
        <w:pStyle w:val="Titolo1"/>
      </w:pPr>
      <w:r>
        <w:t>Les centres de données constituent un secteur à croissance rapide en Chine et ils ont engendré, en raison de leur demande élevée en matière de refroidissement, une rapide augmentation de la consommation de HFC</w:t>
      </w:r>
      <w:r w:rsidRPr="00F325B1">
        <w:rPr>
          <w:rStyle w:val="Rimandonotaapidipagina"/>
        </w:rPr>
        <w:footnoteReference w:id="6"/>
      </w:r>
      <w:r>
        <w:t>. En 2024, les centres de données en Chine devraient compter pour environ 10 pour cent du total mondial. Les centres de données sont d’importants moteurs de croissance pour ce qui est de la demande en électricité, avec une consommation mondiale estimée à 460 térawattheures (TWh) en 2022, et une consommation électrique projetée atteignant potentiellement plus de 1 000 TWh en 2026, mondialement</w:t>
      </w:r>
      <w:r w:rsidRPr="00F325B1">
        <w:rPr>
          <w:rStyle w:val="Rimandonotaapidipagina"/>
        </w:rPr>
        <w:footnoteReference w:id="7"/>
      </w:r>
      <w:r>
        <w:t>. En Chine en 2023, la consommation des centres de données a été estimée à environ 267 TWh d’électricité</w:t>
      </w:r>
      <w:r w:rsidRPr="00F325B1">
        <w:rPr>
          <w:rStyle w:val="Rimandonotaapidipagina"/>
        </w:rPr>
        <w:footnoteReference w:id="8"/>
      </w:r>
      <w:r>
        <w:t>.</w:t>
      </w:r>
    </w:p>
    <w:p w14:paraId="5D050F71" w14:textId="77777777" w:rsidR="00555DA6" w:rsidRPr="00F325B1" w:rsidRDefault="00555DA6" w:rsidP="00555DA6">
      <w:pPr>
        <w:pStyle w:val="Titolo1"/>
      </w:pPr>
      <w:r>
        <w:t>Les HFC sont largement utilisés dans les systèmes de réfrigération, de climatisation et de pompes à chaleur en Chine. Historiquement, la méthode de refroidissement utilisée dans les centres de données en Chine était les salles informatiques climatisées, ce qui implique des systèmes de réfrigération mécaniques utilisant des frigorigènes pour refroidir l’air avec un flux d’air, puis en transférant la chaleur loin de l’équipement de TI. Les frigorigènes les plus fréquemment utilisés dans ces systèmes sont le HFC-134a et le R-410A. Par exemple, dans un centre de données avec une charge thermique en TI de 7 200 kW, le système de réfrigération mécanique typique nécessiterait environ 4,32 </w:t>
      </w:r>
      <w:proofErr w:type="spellStart"/>
      <w:r>
        <w:t>tm</w:t>
      </w:r>
      <w:proofErr w:type="spellEnd"/>
      <w:r>
        <w:t xml:space="preserve"> (9 020 tonnes </w:t>
      </w:r>
      <w:proofErr w:type="spellStart"/>
      <w:r>
        <w:t>éq</w:t>
      </w:r>
      <w:proofErr w:type="spellEnd"/>
      <w:r>
        <w:t>. CO</w:t>
      </w:r>
      <w:r>
        <w:rPr>
          <w:vertAlign w:val="subscript"/>
        </w:rPr>
        <w:t>2</w:t>
      </w:r>
      <w:r>
        <w:t>) de R-410A. De plus, en raison des limites en ce qui a trait aux propriétés thermiques de l’air, l’efficacité de l’échange thermique de ces systèmes est relativement faible. Par conséquent, la consommation énergétique du système de refroidissement compte habituellement pour 30 à 50 pour cent de l’énergie totale utilisée dans un centre de données traditionnel. En général, la technologie de refroidissement de l’air peut supporter une consommation d’énergie de seulement 30 kW</w:t>
      </w:r>
      <w:r w:rsidRPr="00F325B1">
        <w:rPr>
          <w:rStyle w:val="Rimandonotaapidipagina"/>
        </w:rPr>
        <w:footnoteReference w:id="9"/>
      </w:r>
      <w:r>
        <w:t xml:space="preserve"> par armoire.</w:t>
      </w:r>
    </w:p>
    <w:p w14:paraId="262E4B8D" w14:textId="77777777" w:rsidR="00555DA6" w:rsidRPr="00F325B1" w:rsidRDefault="00555DA6" w:rsidP="00555DA6">
      <w:pPr>
        <w:pStyle w:val="Titolo1"/>
        <w:rPr>
          <w:b/>
          <w:bCs/>
        </w:rPr>
      </w:pPr>
      <w:r>
        <w:t>La Chine importe et exporte du R-410A et du HFC-134a. Selon les données déclarées en vertu de l’article 7, la consommation combinée du R-410A et du HFC-134a en 2022 était négative, puisqu’il y avait plus d’exportation de R-410A que d’importations cette année-là. Dans les données relatives au programme du pays (PP) pour 2022, l’utilisation du R-410A est déclarée à 116 711 </w:t>
      </w:r>
      <w:proofErr w:type="spellStart"/>
      <w:r>
        <w:t>tm</w:t>
      </w:r>
      <w:proofErr w:type="spellEnd"/>
      <w:r>
        <w:t xml:space="preserve"> (243 692 067 tonnes </w:t>
      </w:r>
      <w:proofErr w:type="spellStart"/>
      <w:r>
        <w:t>éq</w:t>
      </w:r>
      <w:proofErr w:type="spellEnd"/>
      <w:r>
        <w:t>. CO</w:t>
      </w:r>
      <w:r>
        <w:rPr>
          <w:vertAlign w:val="subscript"/>
        </w:rPr>
        <w:t>2</w:t>
      </w:r>
      <w:r>
        <w:t>) et compte pour 32 pour cent de l’utilisation déclarée de HFC pour cette année-là. Pour ce qui est du HFC-134a, l’utilisation a été déclarée à 72 500 </w:t>
      </w:r>
      <w:proofErr w:type="spellStart"/>
      <w:r>
        <w:t>tm</w:t>
      </w:r>
      <w:proofErr w:type="spellEnd"/>
      <w:r>
        <w:t xml:space="preserve"> (103 674 500 tonnes </w:t>
      </w:r>
      <w:proofErr w:type="spellStart"/>
      <w:r>
        <w:t>éq</w:t>
      </w:r>
      <w:proofErr w:type="spellEnd"/>
      <w:r>
        <w:t>. CO</w:t>
      </w:r>
      <w:r>
        <w:rPr>
          <w:vertAlign w:val="subscript"/>
        </w:rPr>
        <w:t>2</w:t>
      </w:r>
      <w:r>
        <w:t xml:space="preserve">), ce qui représente à peu près </w:t>
      </w:r>
      <w:r>
        <w:lastRenderedPageBreak/>
        <w:t xml:space="preserve">20 pour cent de l’utilisation de HFC déclarée pour cette année-là. Pour les deux substances, environ 30 pour cent de l’utilisation déclarée en 2022 concernait le secteur de l’entretien des équipements de réfrigération et de climatisation. </w:t>
      </w:r>
    </w:p>
    <w:p w14:paraId="59153078" w14:textId="4F8F0AAB" w:rsidR="00555DA6" w:rsidRPr="00F325B1" w:rsidRDefault="00555DA6" w:rsidP="00555DA6">
      <w:pPr>
        <w:spacing w:before="240"/>
        <w:rPr>
          <w:b/>
          <w:bCs/>
        </w:rPr>
      </w:pPr>
      <w:r>
        <w:rPr>
          <w:b/>
          <w:bCs/>
        </w:rPr>
        <w:t>Tableau</w:t>
      </w:r>
      <w:r w:rsidR="00253FE4">
        <w:rPr>
          <w:b/>
          <w:bCs/>
        </w:rPr>
        <w:t> </w:t>
      </w:r>
      <w:r>
        <w:rPr>
          <w:b/>
          <w:bCs/>
        </w:rPr>
        <w:t>1. Données de l’article 7 et du PP pour le HFC-134a et le R-410A en Chine (2020-2022)</w:t>
      </w:r>
    </w:p>
    <w:tbl>
      <w:tblPr>
        <w:tblW w:w="9356" w:type="dxa"/>
        <w:tblInd w:w="-5" w:type="dxa"/>
        <w:tblLayout w:type="fixed"/>
        <w:tblCellMar>
          <w:left w:w="57" w:type="dxa"/>
          <w:right w:w="57" w:type="dxa"/>
        </w:tblCellMar>
        <w:tblLook w:val="04A0" w:firstRow="1" w:lastRow="0" w:firstColumn="1" w:lastColumn="0" w:noHBand="0" w:noVBand="1"/>
      </w:tblPr>
      <w:tblGrid>
        <w:gridCol w:w="2160"/>
        <w:gridCol w:w="675"/>
        <w:gridCol w:w="1134"/>
        <w:gridCol w:w="1134"/>
        <w:gridCol w:w="1134"/>
        <w:gridCol w:w="873"/>
        <w:gridCol w:w="1112"/>
        <w:gridCol w:w="1134"/>
      </w:tblGrid>
      <w:tr w:rsidR="00555DA6" w:rsidRPr="00F325B1" w14:paraId="6F91BF20" w14:textId="77777777" w:rsidTr="00B007EC">
        <w:trPr>
          <w:trHeight w:val="460"/>
          <w:tblHeader/>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15A0A" w14:textId="77777777" w:rsidR="00555DA6" w:rsidRPr="00F325B1" w:rsidRDefault="00555DA6" w:rsidP="00B007EC">
            <w:pPr>
              <w:jc w:val="center"/>
              <w:rPr>
                <w:b/>
                <w:bCs/>
                <w:color w:val="000000"/>
                <w:sz w:val="18"/>
                <w:szCs w:val="18"/>
              </w:rPr>
            </w:pPr>
            <w:r>
              <w:rPr>
                <w:b/>
                <w:bCs/>
                <w:color w:val="000000"/>
                <w:sz w:val="18"/>
                <w:szCs w:val="18"/>
              </w:rPr>
              <w:t>Substance</w:t>
            </w:r>
          </w:p>
        </w:tc>
        <w:tc>
          <w:tcPr>
            <w:tcW w:w="675" w:type="dxa"/>
            <w:tcBorders>
              <w:top w:val="single" w:sz="4" w:space="0" w:color="auto"/>
              <w:left w:val="nil"/>
              <w:bottom w:val="single" w:sz="4" w:space="0" w:color="auto"/>
              <w:right w:val="single" w:sz="4" w:space="0" w:color="auto"/>
            </w:tcBorders>
            <w:shd w:val="clear" w:color="auto" w:fill="auto"/>
            <w:vAlign w:val="center"/>
            <w:hideMark/>
          </w:tcPr>
          <w:p w14:paraId="7218016E" w14:textId="77777777" w:rsidR="00555DA6" w:rsidRPr="00F325B1" w:rsidRDefault="00555DA6" w:rsidP="00B007EC">
            <w:pPr>
              <w:jc w:val="center"/>
              <w:rPr>
                <w:b/>
                <w:bCs/>
                <w:color w:val="000000"/>
                <w:sz w:val="18"/>
                <w:szCs w:val="18"/>
              </w:rPr>
            </w:pPr>
            <w:r>
              <w:rPr>
                <w:b/>
                <w:bCs/>
                <w:color w:val="000000"/>
                <w:sz w:val="18"/>
                <w:szCs w:val="18"/>
              </w:rPr>
              <w:t>PRP*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DFBC3F6" w14:textId="34850D0B" w:rsidR="00555DA6" w:rsidRPr="00F325B1" w:rsidRDefault="00555DA6" w:rsidP="00B007EC">
            <w:pPr>
              <w:jc w:val="center"/>
              <w:rPr>
                <w:b/>
                <w:bCs/>
                <w:color w:val="000000"/>
                <w:sz w:val="18"/>
                <w:szCs w:val="18"/>
              </w:rPr>
            </w:pPr>
            <w:r>
              <w:rPr>
                <w:b/>
                <w:bCs/>
                <w:color w:val="000000"/>
                <w:sz w:val="18"/>
                <w:szCs w:val="18"/>
              </w:rPr>
              <w:t>Article</w:t>
            </w:r>
            <w:r w:rsidR="00253FE4">
              <w:rPr>
                <w:b/>
                <w:bCs/>
                <w:color w:val="000000"/>
                <w:sz w:val="18"/>
                <w:szCs w:val="18"/>
              </w:rPr>
              <w:t> </w:t>
            </w:r>
            <w:r>
              <w:rPr>
                <w:b/>
                <w:bCs/>
                <w:color w:val="000000"/>
                <w:sz w:val="18"/>
                <w:szCs w:val="18"/>
              </w:rPr>
              <w:t>7 (2020)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997687" w14:textId="3D309FE2" w:rsidR="00555DA6" w:rsidRPr="00F325B1" w:rsidRDefault="00555DA6" w:rsidP="00B007EC">
            <w:pPr>
              <w:jc w:val="center"/>
              <w:rPr>
                <w:b/>
                <w:bCs/>
                <w:color w:val="000000"/>
                <w:sz w:val="18"/>
                <w:szCs w:val="18"/>
              </w:rPr>
            </w:pPr>
            <w:r>
              <w:rPr>
                <w:b/>
                <w:bCs/>
                <w:color w:val="000000"/>
                <w:sz w:val="18"/>
                <w:szCs w:val="18"/>
              </w:rPr>
              <w:t>Article</w:t>
            </w:r>
            <w:r w:rsidR="00253FE4">
              <w:rPr>
                <w:b/>
                <w:bCs/>
                <w:color w:val="000000"/>
                <w:sz w:val="18"/>
                <w:szCs w:val="18"/>
              </w:rPr>
              <w:t> </w:t>
            </w:r>
            <w:r>
              <w:rPr>
                <w:b/>
                <w:bCs/>
                <w:color w:val="000000"/>
                <w:sz w:val="18"/>
                <w:szCs w:val="18"/>
              </w:rPr>
              <w:t>7 (2021)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06501CB" w14:textId="7D812E99" w:rsidR="00555DA6" w:rsidRPr="00F325B1" w:rsidRDefault="00555DA6" w:rsidP="00B007EC">
            <w:pPr>
              <w:jc w:val="center"/>
              <w:rPr>
                <w:b/>
                <w:bCs/>
                <w:color w:val="000000"/>
                <w:sz w:val="18"/>
                <w:szCs w:val="18"/>
              </w:rPr>
            </w:pPr>
            <w:r>
              <w:rPr>
                <w:b/>
                <w:bCs/>
                <w:color w:val="000000"/>
                <w:sz w:val="18"/>
                <w:szCs w:val="18"/>
              </w:rPr>
              <w:t>Article</w:t>
            </w:r>
            <w:r w:rsidR="00253FE4">
              <w:rPr>
                <w:b/>
                <w:bCs/>
                <w:color w:val="000000"/>
                <w:sz w:val="18"/>
                <w:szCs w:val="18"/>
              </w:rPr>
              <w:t> </w:t>
            </w:r>
            <w:r>
              <w:rPr>
                <w:b/>
                <w:bCs/>
                <w:color w:val="000000"/>
                <w:sz w:val="18"/>
                <w:szCs w:val="18"/>
              </w:rPr>
              <w:t>7 (2022)</w:t>
            </w:r>
          </w:p>
        </w:tc>
        <w:tc>
          <w:tcPr>
            <w:tcW w:w="873" w:type="dxa"/>
            <w:tcBorders>
              <w:top w:val="single" w:sz="4" w:space="0" w:color="auto"/>
              <w:left w:val="nil"/>
              <w:bottom w:val="single" w:sz="4" w:space="0" w:color="auto"/>
              <w:right w:val="single" w:sz="4" w:space="0" w:color="auto"/>
            </w:tcBorders>
            <w:shd w:val="clear" w:color="auto" w:fill="auto"/>
            <w:vAlign w:val="center"/>
            <w:hideMark/>
          </w:tcPr>
          <w:p w14:paraId="7E02A009" w14:textId="77777777" w:rsidR="00555DA6" w:rsidRPr="00F325B1" w:rsidRDefault="00555DA6" w:rsidP="00B007EC">
            <w:pPr>
              <w:jc w:val="center"/>
              <w:rPr>
                <w:b/>
                <w:bCs/>
                <w:color w:val="000000"/>
                <w:sz w:val="18"/>
                <w:szCs w:val="18"/>
              </w:rPr>
            </w:pPr>
            <w:r>
              <w:rPr>
                <w:b/>
                <w:bCs/>
                <w:color w:val="000000"/>
                <w:sz w:val="18"/>
                <w:szCs w:val="18"/>
              </w:rPr>
              <w:t>PP (2020)</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14:paraId="45C26A90" w14:textId="77777777" w:rsidR="00555DA6" w:rsidRPr="00F325B1" w:rsidRDefault="00555DA6" w:rsidP="00B007EC">
            <w:pPr>
              <w:jc w:val="center"/>
              <w:rPr>
                <w:b/>
                <w:bCs/>
                <w:color w:val="000000"/>
                <w:sz w:val="18"/>
                <w:szCs w:val="18"/>
              </w:rPr>
            </w:pPr>
            <w:r>
              <w:rPr>
                <w:b/>
                <w:bCs/>
                <w:color w:val="000000"/>
                <w:sz w:val="18"/>
                <w:szCs w:val="18"/>
              </w:rPr>
              <w:t xml:space="preserve">Programme de pays </w:t>
            </w:r>
          </w:p>
          <w:p w14:paraId="4E7EE25D" w14:textId="77777777" w:rsidR="00555DA6" w:rsidRPr="00F325B1" w:rsidRDefault="00555DA6" w:rsidP="00B007EC">
            <w:pPr>
              <w:jc w:val="center"/>
              <w:rPr>
                <w:b/>
                <w:bCs/>
                <w:color w:val="000000"/>
                <w:sz w:val="18"/>
                <w:szCs w:val="18"/>
              </w:rPr>
            </w:pPr>
            <w:r>
              <w:rPr>
                <w:b/>
                <w:bCs/>
                <w:color w:val="000000"/>
                <w:sz w:val="18"/>
                <w:szCs w:val="18"/>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BEF1A2" w14:textId="77777777" w:rsidR="00555DA6" w:rsidRPr="00F325B1" w:rsidRDefault="00555DA6" w:rsidP="00B007EC">
            <w:pPr>
              <w:jc w:val="center"/>
              <w:rPr>
                <w:b/>
                <w:bCs/>
                <w:color w:val="000000"/>
                <w:sz w:val="18"/>
                <w:szCs w:val="18"/>
              </w:rPr>
            </w:pPr>
            <w:r>
              <w:rPr>
                <w:b/>
                <w:bCs/>
                <w:color w:val="000000"/>
                <w:sz w:val="18"/>
                <w:szCs w:val="18"/>
              </w:rPr>
              <w:t>Programme de pays</w:t>
            </w:r>
          </w:p>
          <w:p w14:paraId="5C48CA9D" w14:textId="77777777" w:rsidR="00555DA6" w:rsidRPr="00F325B1" w:rsidRDefault="00555DA6" w:rsidP="00B007EC">
            <w:pPr>
              <w:jc w:val="center"/>
              <w:rPr>
                <w:b/>
                <w:bCs/>
                <w:color w:val="000000"/>
                <w:sz w:val="18"/>
                <w:szCs w:val="18"/>
              </w:rPr>
            </w:pPr>
            <w:r>
              <w:rPr>
                <w:b/>
                <w:bCs/>
                <w:color w:val="000000"/>
                <w:sz w:val="18"/>
                <w:szCs w:val="18"/>
              </w:rPr>
              <w:t xml:space="preserve"> (2022)</w:t>
            </w:r>
          </w:p>
        </w:tc>
      </w:tr>
      <w:tr w:rsidR="00555DA6" w:rsidRPr="00F325B1" w14:paraId="47854037" w14:textId="77777777" w:rsidTr="00B007EC">
        <w:trPr>
          <w:trHeight w:val="290"/>
        </w:trPr>
        <w:tc>
          <w:tcPr>
            <w:tcW w:w="9356" w:type="dxa"/>
            <w:gridSpan w:val="8"/>
            <w:tcBorders>
              <w:top w:val="nil"/>
              <w:left w:val="single" w:sz="4" w:space="0" w:color="auto"/>
              <w:bottom w:val="single" w:sz="4" w:space="0" w:color="auto"/>
              <w:right w:val="single" w:sz="4" w:space="0" w:color="auto"/>
            </w:tcBorders>
            <w:shd w:val="clear" w:color="auto" w:fill="auto"/>
            <w:hideMark/>
          </w:tcPr>
          <w:p w14:paraId="455E2383" w14:textId="77777777" w:rsidR="00555DA6" w:rsidRPr="00F325B1" w:rsidRDefault="00555DA6" w:rsidP="00B007EC">
            <w:pPr>
              <w:jc w:val="center"/>
              <w:rPr>
                <w:b/>
                <w:bCs/>
                <w:strike/>
                <w:color w:val="000000"/>
                <w:sz w:val="18"/>
                <w:szCs w:val="18"/>
              </w:rPr>
            </w:pPr>
            <w:r>
              <w:rPr>
                <w:b/>
                <w:bCs/>
                <w:color w:val="000000"/>
                <w:sz w:val="18"/>
                <w:szCs w:val="18"/>
              </w:rPr>
              <w:t>Tonnes métriques</w:t>
            </w:r>
          </w:p>
        </w:tc>
      </w:tr>
      <w:tr w:rsidR="00555DA6" w:rsidRPr="00F325B1" w14:paraId="714E3BDC"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DFD5FD6" w14:textId="77777777" w:rsidR="00555DA6" w:rsidRPr="00F325B1" w:rsidRDefault="00555DA6" w:rsidP="00B007EC">
            <w:pPr>
              <w:jc w:val="left"/>
              <w:rPr>
                <w:color w:val="000000"/>
                <w:sz w:val="18"/>
                <w:szCs w:val="18"/>
              </w:rPr>
            </w:pPr>
            <w:r>
              <w:rPr>
                <w:color w:val="000000"/>
                <w:sz w:val="18"/>
                <w:szCs w:val="18"/>
              </w:rPr>
              <w:t>HFC-134a</w:t>
            </w:r>
          </w:p>
        </w:tc>
        <w:tc>
          <w:tcPr>
            <w:tcW w:w="675" w:type="dxa"/>
            <w:tcBorders>
              <w:top w:val="nil"/>
              <w:left w:val="nil"/>
              <w:bottom w:val="single" w:sz="4" w:space="0" w:color="auto"/>
              <w:right w:val="single" w:sz="4" w:space="0" w:color="auto"/>
            </w:tcBorders>
            <w:shd w:val="clear" w:color="auto" w:fill="auto"/>
            <w:hideMark/>
          </w:tcPr>
          <w:p w14:paraId="5C52771F" w14:textId="77777777" w:rsidR="00555DA6" w:rsidRPr="00F325B1" w:rsidRDefault="00555DA6" w:rsidP="00B007EC">
            <w:pPr>
              <w:jc w:val="right"/>
              <w:rPr>
                <w:color w:val="000000"/>
                <w:sz w:val="18"/>
                <w:szCs w:val="18"/>
              </w:rPr>
            </w:pPr>
            <w:r>
              <w:rPr>
                <w:color w:val="000000"/>
                <w:sz w:val="18"/>
                <w:szCs w:val="18"/>
              </w:rPr>
              <w:t>1 430</w:t>
            </w:r>
          </w:p>
        </w:tc>
        <w:tc>
          <w:tcPr>
            <w:tcW w:w="1134" w:type="dxa"/>
            <w:tcBorders>
              <w:top w:val="nil"/>
              <w:left w:val="nil"/>
              <w:bottom w:val="single" w:sz="4" w:space="0" w:color="auto"/>
              <w:right w:val="single" w:sz="4" w:space="0" w:color="auto"/>
            </w:tcBorders>
            <w:shd w:val="clear" w:color="auto" w:fill="auto"/>
            <w:hideMark/>
          </w:tcPr>
          <w:p w14:paraId="62B0CD0E" w14:textId="77777777" w:rsidR="00555DA6" w:rsidRPr="00F325B1" w:rsidRDefault="00555DA6" w:rsidP="00B007EC">
            <w:pPr>
              <w:jc w:val="right"/>
              <w:rPr>
                <w:color w:val="000000"/>
                <w:sz w:val="18"/>
                <w:szCs w:val="18"/>
              </w:rPr>
            </w:pPr>
            <w:r>
              <w:rPr>
                <w:color w:val="000000"/>
                <w:sz w:val="18"/>
                <w:szCs w:val="18"/>
              </w:rPr>
              <w:t>89 165</w:t>
            </w:r>
          </w:p>
        </w:tc>
        <w:tc>
          <w:tcPr>
            <w:tcW w:w="1134" w:type="dxa"/>
            <w:tcBorders>
              <w:top w:val="nil"/>
              <w:left w:val="nil"/>
              <w:bottom w:val="single" w:sz="4" w:space="0" w:color="auto"/>
              <w:right w:val="single" w:sz="4" w:space="0" w:color="auto"/>
            </w:tcBorders>
            <w:shd w:val="clear" w:color="auto" w:fill="auto"/>
            <w:hideMark/>
          </w:tcPr>
          <w:p w14:paraId="33B78866" w14:textId="77777777" w:rsidR="00555DA6" w:rsidRPr="00F325B1" w:rsidRDefault="00555DA6" w:rsidP="00B007EC">
            <w:pPr>
              <w:jc w:val="right"/>
              <w:rPr>
                <w:color w:val="000000"/>
                <w:sz w:val="18"/>
                <w:szCs w:val="18"/>
              </w:rPr>
            </w:pPr>
            <w:r>
              <w:rPr>
                <w:color w:val="000000"/>
                <w:sz w:val="18"/>
                <w:szCs w:val="18"/>
              </w:rPr>
              <w:t>100 729</w:t>
            </w:r>
          </w:p>
        </w:tc>
        <w:tc>
          <w:tcPr>
            <w:tcW w:w="1134" w:type="dxa"/>
            <w:tcBorders>
              <w:top w:val="nil"/>
              <w:left w:val="nil"/>
              <w:bottom w:val="single" w:sz="4" w:space="0" w:color="auto"/>
              <w:right w:val="single" w:sz="4" w:space="0" w:color="auto"/>
            </w:tcBorders>
            <w:shd w:val="clear" w:color="auto" w:fill="auto"/>
            <w:hideMark/>
          </w:tcPr>
          <w:p w14:paraId="22F883A1" w14:textId="77777777" w:rsidR="00555DA6" w:rsidRPr="00F325B1" w:rsidRDefault="00555DA6" w:rsidP="00B007EC">
            <w:pPr>
              <w:jc w:val="right"/>
              <w:rPr>
                <w:color w:val="000000"/>
                <w:sz w:val="18"/>
                <w:szCs w:val="18"/>
              </w:rPr>
            </w:pPr>
            <w:r>
              <w:rPr>
                <w:color w:val="000000"/>
                <w:sz w:val="18"/>
                <w:szCs w:val="18"/>
              </w:rPr>
              <w:t>82 030</w:t>
            </w:r>
          </w:p>
        </w:tc>
        <w:tc>
          <w:tcPr>
            <w:tcW w:w="873" w:type="dxa"/>
            <w:tcBorders>
              <w:top w:val="nil"/>
              <w:left w:val="nil"/>
              <w:bottom w:val="single" w:sz="4" w:space="0" w:color="auto"/>
              <w:right w:val="single" w:sz="4" w:space="0" w:color="auto"/>
            </w:tcBorders>
            <w:shd w:val="clear" w:color="auto" w:fill="auto"/>
            <w:hideMark/>
          </w:tcPr>
          <w:p w14:paraId="32DE7169"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1AB18C48" w14:textId="77777777" w:rsidR="00555DA6" w:rsidRPr="00F325B1" w:rsidRDefault="00555DA6" w:rsidP="00B007EC">
            <w:pPr>
              <w:jc w:val="right"/>
              <w:rPr>
                <w:color w:val="000000"/>
                <w:sz w:val="18"/>
                <w:szCs w:val="18"/>
              </w:rPr>
            </w:pPr>
            <w:r>
              <w:rPr>
                <w:color w:val="000000"/>
                <w:sz w:val="18"/>
                <w:szCs w:val="18"/>
              </w:rPr>
              <w:t>85 625</w:t>
            </w:r>
          </w:p>
        </w:tc>
        <w:tc>
          <w:tcPr>
            <w:tcW w:w="1134" w:type="dxa"/>
            <w:tcBorders>
              <w:top w:val="nil"/>
              <w:left w:val="nil"/>
              <w:bottom w:val="single" w:sz="4" w:space="0" w:color="auto"/>
              <w:right w:val="single" w:sz="4" w:space="0" w:color="auto"/>
            </w:tcBorders>
            <w:shd w:val="clear" w:color="auto" w:fill="auto"/>
            <w:hideMark/>
          </w:tcPr>
          <w:p w14:paraId="285F7668" w14:textId="77777777" w:rsidR="00555DA6" w:rsidRPr="00F325B1" w:rsidRDefault="00555DA6" w:rsidP="00B007EC">
            <w:pPr>
              <w:jc w:val="right"/>
              <w:rPr>
                <w:color w:val="000000"/>
                <w:sz w:val="18"/>
                <w:szCs w:val="18"/>
              </w:rPr>
            </w:pPr>
            <w:r>
              <w:rPr>
                <w:color w:val="000000"/>
                <w:sz w:val="18"/>
                <w:szCs w:val="18"/>
              </w:rPr>
              <w:t>72 500</w:t>
            </w:r>
          </w:p>
        </w:tc>
      </w:tr>
      <w:tr w:rsidR="00555DA6" w:rsidRPr="00F325B1" w14:paraId="0C190391"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615B5D15" w14:textId="77777777" w:rsidR="00555DA6" w:rsidRPr="00F325B1" w:rsidRDefault="00555DA6" w:rsidP="00B007EC">
            <w:pPr>
              <w:jc w:val="left"/>
              <w:rPr>
                <w:color w:val="000000"/>
                <w:sz w:val="18"/>
                <w:szCs w:val="18"/>
              </w:rPr>
            </w:pPr>
            <w:r>
              <w:rPr>
                <w:color w:val="000000"/>
                <w:sz w:val="18"/>
                <w:szCs w:val="18"/>
              </w:rPr>
              <w:t>R-410A</w:t>
            </w:r>
          </w:p>
        </w:tc>
        <w:tc>
          <w:tcPr>
            <w:tcW w:w="675" w:type="dxa"/>
            <w:tcBorders>
              <w:top w:val="nil"/>
              <w:left w:val="nil"/>
              <w:bottom w:val="single" w:sz="4" w:space="0" w:color="auto"/>
              <w:right w:val="single" w:sz="4" w:space="0" w:color="auto"/>
            </w:tcBorders>
            <w:shd w:val="clear" w:color="auto" w:fill="auto"/>
            <w:hideMark/>
          </w:tcPr>
          <w:p w14:paraId="090ED9B5" w14:textId="77777777" w:rsidR="00555DA6" w:rsidRPr="00F325B1" w:rsidRDefault="00555DA6" w:rsidP="00B007EC">
            <w:pPr>
              <w:jc w:val="right"/>
              <w:rPr>
                <w:color w:val="000000"/>
                <w:sz w:val="18"/>
                <w:szCs w:val="18"/>
              </w:rPr>
            </w:pPr>
            <w:r>
              <w:rPr>
                <w:color w:val="000000"/>
                <w:sz w:val="18"/>
                <w:szCs w:val="18"/>
              </w:rPr>
              <w:t>2 088</w:t>
            </w:r>
          </w:p>
        </w:tc>
        <w:tc>
          <w:tcPr>
            <w:tcW w:w="1134" w:type="dxa"/>
            <w:tcBorders>
              <w:top w:val="nil"/>
              <w:left w:val="nil"/>
              <w:bottom w:val="single" w:sz="4" w:space="0" w:color="auto"/>
              <w:right w:val="single" w:sz="4" w:space="0" w:color="auto"/>
            </w:tcBorders>
            <w:shd w:val="clear" w:color="auto" w:fill="auto"/>
            <w:hideMark/>
          </w:tcPr>
          <w:p w14:paraId="19C29786" w14:textId="77777777" w:rsidR="00555DA6" w:rsidRPr="00F325B1" w:rsidRDefault="00555DA6" w:rsidP="00B007EC">
            <w:pPr>
              <w:jc w:val="right"/>
              <w:rPr>
                <w:color w:val="000000"/>
                <w:sz w:val="18"/>
                <w:szCs w:val="18"/>
              </w:rPr>
            </w:pPr>
            <w:r>
              <w:rPr>
                <w:color w:val="000000"/>
                <w:sz w:val="18"/>
                <w:szCs w:val="18"/>
              </w:rPr>
              <w:t xml:space="preserve"> -68 464</w:t>
            </w:r>
          </w:p>
        </w:tc>
        <w:tc>
          <w:tcPr>
            <w:tcW w:w="1134" w:type="dxa"/>
            <w:tcBorders>
              <w:top w:val="nil"/>
              <w:left w:val="nil"/>
              <w:bottom w:val="single" w:sz="4" w:space="0" w:color="auto"/>
              <w:right w:val="single" w:sz="4" w:space="0" w:color="auto"/>
            </w:tcBorders>
            <w:shd w:val="clear" w:color="auto" w:fill="auto"/>
            <w:hideMark/>
          </w:tcPr>
          <w:p w14:paraId="593BADF2" w14:textId="77777777" w:rsidR="00555DA6" w:rsidRPr="00F325B1" w:rsidRDefault="00555DA6" w:rsidP="00B007EC">
            <w:pPr>
              <w:jc w:val="right"/>
              <w:rPr>
                <w:color w:val="000000"/>
                <w:sz w:val="18"/>
                <w:szCs w:val="18"/>
              </w:rPr>
            </w:pPr>
            <w:r>
              <w:rPr>
                <w:color w:val="000000"/>
                <w:sz w:val="18"/>
                <w:szCs w:val="18"/>
              </w:rPr>
              <w:t xml:space="preserve">    -74 522</w:t>
            </w:r>
          </w:p>
        </w:tc>
        <w:tc>
          <w:tcPr>
            <w:tcW w:w="1134" w:type="dxa"/>
            <w:tcBorders>
              <w:top w:val="nil"/>
              <w:left w:val="nil"/>
              <w:bottom w:val="single" w:sz="4" w:space="0" w:color="auto"/>
              <w:right w:val="single" w:sz="4" w:space="0" w:color="auto"/>
            </w:tcBorders>
            <w:shd w:val="clear" w:color="auto" w:fill="auto"/>
            <w:hideMark/>
          </w:tcPr>
          <w:p w14:paraId="618CF494" w14:textId="77777777" w:rsidR="00555DA6" w:rsidRPr="00F325B1" w:rsidRDefault="00555DA6" w:rsidP="00B007EC">
            <w:pPr>
              <w:jc w:val="right"/>
              <w:rPr>
                <w:color w:val="000000"/>
                <w:sz w:val="18"/>
                <w:szCs w:val="18"/>
              </w:rPr>
            </w:pPr>
            <w:r>
              <w:rPr>
                <w:color w:val="000000"/>
                <w:sz w:val="18"/>
                <w:szCs w:val="18"/>
              </w:rPr>
              <w:t xml:space="preserve">   -106 255</w:t>
            </w:r>
          </w:p>
        </w:tc>
        <w:tc>
          <w:tcPr>
            <w:tcW w:w="873" w:type="dxa"/>
            <w:tcBorders>
              <w:top w:val="nil"/>
              <w:left w:val="nil"/>
              <w:bottom w:val="single" w:sz="4" w:space="0" w:color="auto"/>
              <w:right w:val="single" w:sz="4" w:space="0" w:color="auto"/>
            </w:tcBorders>
            <w:shd w:val="clear" w:color="auto" w:fill="auto"/>
            <w:hideMark/>
          </w:tcPr>
          <w:p w14:paraId="778FBF88"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60B3C894" w14:textId="77777777" w:rsidR="00555DA6" w:rsidRPr="00F325B1" w:rsidRDefault="00555DA6" w:rsidP="00B007EC">
            <w:pPr>
              <w:jc w:val="right"/>
              <w:rPr>
                <w:color w:val="000000"/>
                <w:sz w:val="18"/>
                <w:szCs w:val="18"/>
              </w:rPr>
            </w:pPr>
            <w:r>
              <w:rPr>
                <w:color w:val="000000"/>
                <w:sz w:val="18"/>
                <w:szCs w:val="18"/>
              </w:rPr>
              <w:t>102 538</w:t>
            </w:r>
          </w:p>
        </w:tc>
        <w:tc>
          <w:tcPr>
            <w:tcW w:w="1134" w:type="dxa"/>
            <w:tcBorders>
              <w:top w:val="nil"/>
              <w:left w:val="nil"/>
              <w:bottom w:val="single" w:sz="4" w:space="0" w:color="auto"/>
              <w:right w:val="single" w:sz="4" w:space="0" w:color="auto"/>
            </w:tcBorders>
            <w:shd w:val="clear" w:color="auto" w:fill="auto"/>
            <w:hideMark/>
          </w:tcPr>
          <w:p w14:paraId="6C22BF7D" w14:textId="77777777" w:rsidR="00555DA6" w:rsidRPr="00F325B1" w:rsidRDefault="00555DA6" w:rsidP="00B007EC">
            <w:pPr>
              <w:jc w:val="right"/>
              <w:rPr>
                <w:color w:val="000000"/>
                <w:sz w:val="18"/>
                <w:szCs w:val="18"/>
              </w:rPr>
            </w:pPr>
            <w:r>
              <w:rPr>
                <w:color w:val="000000"/>
                <w:sz w:val="18"/>
                <w:szCs w:val="18"/>
              </w:rPr>
              <w:t>116 711</w:t>
            </w:r>
          </w:p>
        </w:tc>
      </w:tr>
      <w:tr w:rsidR="00555DA6" w:rsidRPr="00F325B1" w14:paraId="5BD4F34F"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36AA8D8B" w14:textId="77777777" w:rsidR="00555DA6" w:rsidRPr="00F325B1" w:rsidRDefault="00555DA6" w:rsidP="00B007EC">
            <w:pPr>
              <w:jc w:val="left"/>
              <w:rPr>
                <w:b/>
                <w:bCs/>
                <w:color w:val="000000"/>
                <w:sz w:val="18"/>
                <w:szCs w:val="18"/>
              </w:rPr>
            </w:pPr>
            <w:r>
              <w:rPr>
                <w:b/>
                <w:bCs/>
                <w:color w:val="000000"/>
                <w:sz w:val="18"/>
                <w:szCs w:val="18"/>
              </w:rPr>
              <w:t xml:space="preserve">Total </w:t>
            </w:r>
          </w:p>
        </w:tc>
        <w:tc>
          <w:tcPr>
            <w:tcW w:w="675" w:type="dxa"/>
            <w:tcBorders>
              <w:top w:val="nil"/>
              <w:left w:val="nil"/>
              <w:bottom w:val="single" w:sz="4" w:space="0" w:color="auto"/>
              <w:right w:val="single" w:sz="4" w:space="0" w:color="auto"/>
            </w:tcBorders>
            <w:shd w:val="clear" w:color="auto" w:fill="auto"/>
            <w:hideMark/>
          </w:tcPr>
          <w:p w14:paraId="4804EC5B" w14:textId="77777777" w:rsidR="00555DA6" w:rsidRPr="00F325B1" w:rsidRDefault="00555DA6" w:rsidP="00B007EC">
            <w:pPr>
              <w:jc w:val="right"/>
              <w:rPr>
                <w:b/>
                <w:bCs/>
                <w:color w:val="000000"/>
                <w:sz w:val="18"/>
                <w:szCs w:val="18"/>
              </w:rPr>
            </w:pPr>
            <w:r>
              <w:rPr>
                <w:b/>
                <w:bCs/>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7FEC373F" w14:textId="77777777" w:rsidR="00555DA6" w:rsidRPr="00F325B1" w:rsidRDefault="00555DA6" w:rsidP="00B007EC">
            <w:pPr>
              <w:jc w:val="right"/>
              <w:rPr>
                <w:b/>
                <w:bCs/>
                <w:color w:val="000000"/>
                <w:sz w:val="18"/>
                <w:szCs w:val="18"/>
              </w:rPr>
            </w:pPr>
            <w:r>
              <w:rPr>
                <w:b/>
                <w:bCs/>
                <w:color w:val="000000"/>
                <w:sz w:val="18"/>
                <w:szCs w:val="18"/>
              </w:rPr>
              <w:t>20 700</w:t>
            </w:r>
          </w:p>
        </w:tc>
        <w:tc>
          <w:tcPr>
            <w:tcW w:w="1134" w:type="dxa"/>
            <w:tcBorders>
              <w:top w:val="nil"/>
              <w:left w:val="nil"/>
              <w:bottom w:val="single" w:sz="4" w:space="0" w:color="auto"/>
              <w:right w:val="single" w:sz="4" w:space="0" w:color="auto"/>
            </w:tcBorders>
            <w:shd w:val="clear" w:color="auto" w:fill="auto"/>
            <w:hideMark/>
          </w:tcPr>
          <w:p w14:paraId="24106413" w14:textId="77777777" w:rsidR="00555DA6" w:rsidRPr="00F325B1" w:rsidRDefault="00555DA6" w:rsidP="00B007EC">
            <w:pPr>
              <w:jc w:val="right"/>
              <w:rPr>
                <w:b/>
                <w:bCs/>
                <w:color w:val="000000"/>
                <w:sz w:val="18"/>
                <w:szCs w:val="18"/>
              </w:rPr>
            </w:pPr>
            <w:r>
              <w:rPr>
                <w:b/>
                <w:bCs/>
                <w:color w:val="000000"/>
                <w:sz w:val="18"/>
                <w:szCs w:val="18"/>
              </w:rPr>
              <w:t>26 206</w:t>
            </w:r>
          </w:p>
        </w:tc>
        <w:tc>
          <w:tcPr>
            <w:tcW w:w="1134" w:type="dxa"/>
            <w:tcBorders>
              <w:top w:val="nil"/>
              <w:left w:val="nil"/>
              <w:bottom w:val="single" w:sz="4" w:space="0" w:color="auto"/>
              <w:right w:val="single" w:sz="4" w:space="0" w:color="auto"/>
            </w:tcBorders>
            <w:shd w:val="clear" w:color="auto" w:fill="auto"/>
            <w:hideMark/>
          </w:tcPr>
          <w:p w14:paraId="23DBEDDE" w14:textId="77777777" w:rsidR="00555DA6" w:rsidRPr="00F325B1" w:rsidRDefault="00555DA6" w:rsidP="00B007EC">
            <w:pPr>
              <w:jc w:val="right"/>
              <w:rPr>
                <w:b/>
                <w:bCs/>
                <w:color w:val="000000"/>
                <w:sz w:val="18"/>
                <w:szCs w:val="18"/>
              </w:rPr>
            </w:pPr>
            <w:r>
              <w:rPr>
                <w:b/>
                <w:bCs/>
                <w:color w:val="000000"/>
                <w:sz w:val="18"/>
                <w:szCs w:val="18"/>
              </w:rPr>
              <w:t xml:space="preserve">    -24 225</w:t>
            </w:r>
          </w:p>
        </w:tc>
        <w:tc>
          <w:tcPr>
            <w:tcW w:w="873" w:type="dxa"/>
            <w:tcBorders>
              <w:top w:val="nil"/>
              <w:left w:val="nil"/>
              <w:bottom w:val="single" w:sz="4" w:space="0" w:color="auto"/>
              <w:right w:val="single" w:sz="4" w:space="0" w:color="auto"/>
            </w:tcBorders>
            <w:shd w:val="clear" w:color="auto" w:fill="auto"/>
            <w:hideMark/>
          </w:tcPr>
          <w:p w14:paraId="474123A2" w14:textId="77777777" w:rsidR="00555DA6" w:rsidRPr="00F325B1" w:rsidRDefault="00555DA6" w:rsidP="00B007EC">
            <w:pPr>
              <w:jc w:val="right"/>
              <w:rPr>
                <w:b/>
                <w:bCs/>
                <w:color w:val="000000"/>
                <w:sz w:val="18"/>
                <w:szCs w:val="18"/>
              </w:rPr>
            </w:pPr>
            <w:r>
              <w:rPr>
                <w:b/>
                <w:bCs/>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2900CA5B" w14:textId="77777777" w:rsidR="00555DA6" w:rsidRPr="00F325B1" w:rsidRDefault="00555DA6" w:rsidP="00B007EC">
            <w:pPr>
              <w:jc w:val="right"/>
              <w:rPr>
                <w:b/>
                <w:bCs/>
                <w:color w:val="000000"/>
                <w:sz w:val="18"/>
                <w:szCs w:val="18"/>
              </w:rPr>
            </w:pPr>
            <w:r>
              <w:rPr>
                <w:b/>
                <w:bCs/>
                <w:color w:val="000000"/>
                <w:sz w:val="18"/>
                <w:szCs w:val="18"/>
              </w:rPr>
              <w:t>188 163</w:t>
            </w:r>
          </w:p>
        </w:tc>
        <w:tc>
          <w:tcPr>
            <w:tcW w:w="1134" w:type="dxa"/>
            <w:tcBorders>
              <w:top w:val="nil"/>
              <w:left w:val="nil"/>
              <w:bottom w:val="single" w:sz="4" w:space="0" w:color="auto"/>
              <w:right w:val="single" w:sz="4" w:space="0" w:color="auto"/>
            </w:tcBorders>
            <w:shd w:val="clear" w:color="auto" w:fill="auto"/>
            <w:hideMark/>
          </w:tcPr>
          <w:p w14:paraId="1E5FC9FF" w14:textId="77777777" w:rsidR="00555DA6" w:rsidRPr="00F325B1" w:rsidRDefault="00555DA6" w:rsidP="00B007EC">
            <w:pPr>
              <w:jc w:val="right"/>
              <w:rPr>
                <w:b/>
                <w:bCs/>
                <w:color w:val="000000"/>
                <w:sz w:val="18"/>
                <w:szCs w:val="18"/>
              </w:rPr>
            </w:pPr>
            <w:r>
              <w:rPr>
                <w:b/>
                <w:bCs/>
                <w:color w:val="000000"/>
                <w:sz w:val="18"/>
                <w:szCs w:val="18"/>
              </w:rPr>
              <w:t>189 210</w:t>
            </w:r>
          </w:p>
        </w:tc>
      </w:tr>
      <w:tr w:rsidR="00555DA6" w:rsidRPr="00F325B1" w14:paraId="4A6A7259"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1386F5F8" w14:textId="77777777" w:rsidR="00555DA6" w:rsidRPr="00F325B1" w:rsidRDefault="00555DA6" w:rsidP="00B007EC">
            <w:pPr>
              <w:jc w:val="left"/>
              <w:rPr>
                <w:color w:val="000000"/>
                <w:sz w:val="18"/>
                <w:szCs w:val="18"/>
              </w:rPr>
            </w:pPr>
            <w:r>
              <w:rPr>
                <w:color w:val="000000"/>
                <w:sz w:val="18"/>
                <w:szCs w:val="18"/>
              </w:rPr>
              <w:t xml:space="preserve">Total du secteur de l’entretien pour le HFC-134a </w:t>
            </w:r>
          </w:p>
        </w:tc>
        <w:tc>
          <w:tcPr>
            <w:tcW w:w="675" w:type="dxa"/>
            <w:tcBorders>
              <w:top w:val="nil"/>
              <w:left w:val="nil"/>
              <w:bottom w:val="single" w:sz="4" w:space="0" w:color="auto"/>
              <w:right w:val="single" w:sz="4" w:space="0" w:color="auto"/>
            </w:tcBorders>
            <w:shd w:val="clear" w:color="auto" w:fill="auto"/>
            <w:hideMark/>
          </w:tcPr>
          <w:p w14:paraId="3B96DD85" w14:textId="77777777" w:rsidR="00555DA6" w:rsidRPr="00F325B1" w:rsidRDefault="00555DA6" w:rsidP="00B007EC">
            <w:pPr>
              <w:jc w:val="right"/>
              <w:rPr>
                <w:color w:val="000000"/>
                <w:sz w:val="18"/>
                <w:szCs w:val="18"/>
              </w:rPr>
            </w:pPr>
            <w:r>
              <w:rPr>
                <w:color w:val="000000"/>
                <w:sz w:val="18"/>
                <w:szCs w:val="18"/>
              </w:rPr>
              <w:t>1 430</w:t>
            </w:r>
          </w:p>
        </w:tc>
        <w:tc>
          <w:tcPr>
            <w:tcW w:w="1134" w:type="dxa"/>
            <w:tcBorders>
              <w:top w:val="nil"/>
              <w:left w:val="nil"/>
              <w:bottom w:val="single" w:sz="4" w:space="0" w:color="auto"/>
              <w:right w:val="single" w:sz="4" w:space="0" w:color="auto"/>
            </w:tcBorders>
            <w:shd w:val="clear" w:color="auto" w:fill="auto"/>
            <w:hideMark/>
          </w:tcPr>
          <w:p w14:paraId="25BD1A86"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62AF4D09"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7A2B419C" w14:textId="77777777" w:rsidR="00555DA6" w:rsidRPr="00F325B1" w:rsidRDefault="00555DA6" w:rsidP="00B007EC">
            <w:pPr>
              <w:jc w:val="right"/>
              <w:rPr>
                <w:color w:val="000000"/>
                <w:sz w:val="18"/>
                <w:szCs w:val="18"/>
              </w:rPr>
            </w:pPr>
            <w:r>
              <w:rPr>
                <w:color w:val="000000"/>
                <w:sz w:val="18"/>
                <w:szCs w:val="18"/>
              </w:rPr>
              <w:t>s. o.</w:t>
            </w:r>
          </w:p>
        </w:tc>
        <w:tc>
          <w:tcPr>
            <w:tcW w:w="873" w:type="dxa"/>
            <w:tcBorders>
              <w:top w:val="nil"/>
              <w:left w:val="nil"/>
              <w:bottom w:val="single" w:sz="4" w:space="0" w:color="auto"/>
              <w:right w:val="single" w:sz="4" w:space="0" w:color="auto"/>
            </w:tcBorders>
            <w:shd w:val="clear" w:color="auto" w:fill="auto"/>
            <w:hideMark/>
          </w:tcPr>
          <w:p w14:paraId="6880FABA"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371F918E" w14:textId="77777777" w:rsidR="00555DA6" w:rsidRPr="00F325B1" w:rsidRDefault="00555DA6" w:rsidP="00B007EC">
            <w:pPr>
              <w:jc w:val="right"/>
              <w:rPr>
                <w:color w:val="000000"/>
                <w:sz w:val="18"/>
                <w:szCs w:val="18"/>
              </w:rPr>
            </w:pPr>
            <w:r>
              <w:rPr>
                <w:color w:val="000000"/>
                <w:sz w:val="18"/>
                <w:szCs w:val="18"/>
              </w:rPr>
              <w:t>34 943</w:t>
            </w:r>
          </w:p>
        </w:tc>
        <w:tc>
          <w:tcPr>
            <w:tcW w:w="1134" w:type="dxa"/>
            <w:tcBorders>
              <w:top w:val="nil"/>
              <w:left w:val="nil"/>
              <w:bottom w:val="single" w:sz="4" w:space="0" w:color="auto"/>
              <w:right w:val="single" w:sz="4" w:space="0" w:color="auto"/>
            </w:tcBorders>
            <w:shd w:val="clear" w:color="auto" w:fill="auto"/>
            <w:hideMark/>
          </w:tcPr>
          <w:p w14:paraId="511FC236" w14:textId="77777777" w:rsidR="00555DA6" w:rsidRPr="00F325B1" w:rsidRDefault="00555DA6" w:rsidP="00B007EC">
            <w:pPr>
              <w:jc w:val="right"/>
              <w:rPr>
                <w:color w:val="000000"/>
                <w:sz w:val="18"/>
                <w:szCs w:val="18"/>
              </w:rPr>
            </w:pPr>
            <w:r>
              <w:rPr>
                <w:color w:val="000000"/>
                <w:sz w:val="18"/>
                <w:szCs w:val="18"/>
              </w:rPr>
              <w:t>23 920</w:t>
            </w:r>
          </w:p>
        </w:tc>
      </w:tr>
      <w:tr w:rsidR="00555DA6" w:rsidRPr="00F325B1" w14:paraId="1D21C39B"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70B1AD46" w14:textId="77777777" w:rsidR="00555DA6" w:rsidRPr="00F325B1" w:rsidRDefault="00555DA6" w:rsidP="00B007EC">
            <w:pPr>
              <w:jc w:val="left"/>
              <w:rPr>
                <w:color w:val="000000"/>
                <w:sz w:val="18"/>
                <w:szCs w:val="18"/>
              </w:rPr>
            </w:pPr>
            <w:r>
              <w:rPr>
                <w:color w:val="000000"/>
                <w:sz w:val="18"/>
                <w:szCs w:val="18"/>
              </w:rPr>
              <w:t>Total du secteur de l’entretien pour le R-410A</w:t>
            </w:r>
          </w:p>
        </w:tc>
        <w:tc>
          <w:tcPr>
            <w:tcW w:w="675" w:type="dxa"/>
            <w:tcBorders>
              <w:top w:val="nil"/>
              <w:left w:val="nil"/>
              <w:bottom w:val="single" w:sz="4" w:space="0" w:color="auto"/>
              <w:right w:val="single" w:sz="4" w:space="0" w:color="auto"/>
            </w:tcBorders>
            <w:shd w:val="clear" w:color="auto" w:fill="auto"/>
            <w:hideMark/>
          </w:tcPr>
          <w:p w14:paraId="6B515AAD" w14:textId="77777777" w:rsidR="00555DA6" w:rsidRPr="00F325B1" w:rsidRDefault="00555DA6" w:rsidP="00B007EC">
            <w:pPr>
              <w:jc w:val="right"/>
              <w:rPr>
                <w:color w:val="000000"/>
                <w:sz w:val="18"/>
                <w:szCs w:val="18"/>
              </w:rPr>
            </w:pPr>
            <w:r>
              <w:rPr>
                <w:color w:val="000000"/>
                <w:sz w:val="18"/>
                <w:szCs w:val="18"/>
              </w:rPr>
              <w:t>2 088</w:t>
            </w:r>
          </w:p>
        </w:tc>
        <w:tc>
          <w:tcPr>
            <w:tcW w:w="1134" w:type="dxa"/>
            <w:tcBorders>
              <w:top w:val="nil"/>
              <w:left w:val="nil"/>
              <w:bottom w:val="single" w:sz="4" w:space="0" w:color="auto"/>
              <w:right w:val="single" w:sz="4" w:space="0" w:color="auto"/>
            </w:tcBorders>
            <w:shd w:val="clear" w:color="auto" w:fill="auto"/>
            <w:hideMark/>
          </w:tcPr>
          <w:p w14:paraId="2B108F9E"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3562621D"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1A5AB17A" w14:textId="77777777" w:rsidR="00555DA6" w:rsidRPr="00F325B1" w:rsidRDefault="00555DA6" w:rsidP="00B007EC">
            <w:pPr>
              <w:jc w:val="right"/>
              <w:rPr>
                <w:color w:val="000000"/>
                <w:sz w:val="18"/>
                <w:szCs w:val="18"/>
              </w:rPr>
            </w:pPr>
            <w:r>
              <w:rPr>
                <w:color w:val="000000"/>
                <w:sz w:val="18"/>
                <w:szCs w:val="18"/>
              </w:rPr>
              <w:t>s. o.</w:t>
            </w:r>
          </w:p>
        </w:tc>
        <w:tc>
          <w:tcPr>
            <w:tcW w:w="873" w:type="dxa"/>
            <w:tcBorders>
              <w:top w:val="nil"/>
              <w:left w:val="nil"/>
              <w:bottom w:val="single" w:sz="4" w:space="0" w:color="auto"/>
              <w:right w:val="single" w:sz="4" w:space="0" w:color="auto"/>
            </w:tcBorders>
            <w:shd w:val="clear" w:color="auto" w:fill="auto"/>
            <w:hideMark/>
          </w:tcPr>
          <w:p w14:paraId="24575EFA"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46E36580" w14:textId="77777777" w:rsidR="00555DA6" w:rsidRPr="00F325B1" w:rsidRDefault="00555DA6" w:rsidP="00B007EC">
            <w:pPr>
              <w:jc w:val="right"/>
              <w:rPr>
                <w:color w:val="000000"/>
                <w:sz w:val="18"/>
                <w:szCs w:val="18"/>
              </w:rPr>
            </w:pPr>
            <w:r>
              <w:rPr>
                <w:color w:val="000000"/>
                <w:sz w:val="18"/>
                <w:szCs w:val="18"/>
              </w:rPr>
              <w:t>24 828</w:t>
            </w:r>
          </w:p>
        </w:tc>
        <w:tc>
          <w:tcPr>
            <w:tcW w:w="1134" w:type="dxa"/>
            <w:tcBorders>
              <w:top w:val="nil"/>
              <w:left w:val="nil"/>
              <w:bottom w:val="single" w:sz="4" w:space="0" w:color="auto"/>
              <w:right w:val="single" w:sz="4" w:space="0" w:color="auto"/>
            </w:tcBorders>
            <w:shd w:val="clear" w:color="auto" w:fill="auto"/>
            <w:hideMark/>
          </w:tcPr>
          <w:p w14:paraId="1CB9C0AF" w14:textId="77777777" w:rsidR="00555DA6" w:rsidRPr="00F325B1" w:rsidRDefault="00555DA6" w:rsidP="00B007EC">
            <w:pPr>
              <w:jc w:val="right"/>
              <w:rPr>
                <w:color w:val="000000"/>
                <w:sz w:val="18"/>
                <w:szCs w:val="18"/>
              </w:rPr>
            </w:pPr>
            <w:r>
              <w:rPr>
                <w:color w:val="000000"/>
                <w:sz w:val="18"/>
                <w:szCs w:val="18"/>
              </w:rPr>
              <w:t>35 780</w:t>
            </w:r>
          </w:p>
        </w:tc>
      </w:tr>
      <w:tr w:rsidR="00555DA6" w:rsidRPr="00F325B1" w14:paraId="1885862C" w14:textId="77777777" w:rsidTr="00B007EC">
        <w:trPr>
          <w:trHeight w:val="290"/>
        </w:trPr>
        <w:tc>
          <w:tcPr>
            <w:tcW w:w="9356" w:type="dxa"/>
            <w:gridSpan w:val="8"/>
            <w:tcBorders>
              <w:top w:val="nil"/>
              <w:left w:val="single" w:sz="4" w:space="0" w:color="auto"/>
              <w:bottom w:val="single" w:sz="4" w:space="0" w:color="auto"/>
              <w:right w:val="single" w:sz="4" w:space="0" w:color="auto"/>
            </w:tcBorders>
            <w:shd w:val="clear" w:color="auto" w:fill="auto"/>
            <w:hideMark/>
          </w:tcPr>
          <w:p w14:paraId="3359D678" w14:textId="77777777" w:rsidR="00555DA6" w:rsidRPr="00F325B1" w:rsidRDefault="00555DA6" w:rsidP="00B007EC">
            <w:pPr>
              <w:keepNext/>
              <w:jc w:val="center"/>
              <w:rPr>
                <w:b/>
                <w:bCs/>
                <w:color w:val="000000"/>
                <w:sz w:val="18"/>
                <w:szCs w:val="18"/>
              </w:rPr>
            </w:pPr>
            <w:r>
              <w:rPr>
                <w:b/>
                <w:bCs/>
                <w:color w:val="000000"/>
                <w:sz w:val="18"/>
                <w:szCs w:val="18"/>
              </w:rPr>
              <w:t xml:space="preserve">Tonnes </w:t>
            </w:r>
            <w:proofErr w:type="spellStart"/>
            <w:r>
              <w:rPr>
                <w:b/>
                <w:bCs/>
                <w:color w:val="000000"/>
                <w:sz w:val="18"/>
                <w:szCs w:val="18"/>
              </w:rPr>
              <w:t>éq</w:t>
            </w:r>
            <w:proofErr w:type="spellEnd"/>
            <w:r>
              <w:rPr>
                <w:b/>
                <w:bCs/>
                <w:color w:val="000000"/>
                <w:sz w:val="18"/>
                <w:szCs w:val="18"/>
              </w:rPr>
              <w:t>. CO</w:t>
            </w:r>
            <w:r>
              <w:rPr>
                <w:b/>
                <w:bCs/>
                <w:color w:val="000000"/>
                <w:sz w:val="18"/>
                <w:szCs w:val="18"/>
                <w:vertAlign w:val="subscript"/>
              </w:rPr>
              <w:t>2</w:t>
            </w:r>
          </w:p>
        </w:tc>
      </w:tr>
      <w:tr w:rsidR="00555DA6" w:rsidRPr="00F325B1" w14:paraId="4BEDD9BA"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57911E3" w14:textId="77777777" w:rsidR="00555DA6" w:rsidRPr="00F325B1" w:rsidRDefault="00555DA6" w:rsidP="00B007EC">
            <w:pPr>
              <w:keepNext/>
              <w:jc w:val="left"/>
              <w:rPr>
                <w:color w:val="000000"/>
                <w:sz w:val="18"/>
                <w:szCs w:val="18"/>
              </w:rPr>
            </w:pPr>
            <w:r>
              <w:rPr>
                <w:color w:val="000000"/>
                <w:sz w:val="18"/>
                <w:szCs w:val="18"/>
              </w:rPr>
              <w:t>HFC-134a</w:t>
            </w:r>
          </w:p>
        </w:tc>
        <w:tc>
          <w:tcPr>
            <w:tcW w:w="675" w:type="dxa"/>
            <w:tcBorders>
              <w:top w:val="nil"/>
              <w:left w:val="nil"/>
              <w:bottom w:val="single" w:sz="4" w:space="0" w:color="auto"/>
              <w:right w:val="single" w:sz="4" w:space="0" w:color="auto"/>
            </w:tcBorders>
            <w:shd w:val="clear" w:color="auto" w:fill="auto"/>
            <w:hideMark/>
          </w:tcPr>
          <w:p w14:paraId="20B00B62" w14:textId="77777777" w:rsidR="00555DA6" w:rsidRPr="00F325B1" w:rsidRDefault="00555DA6" w:rsidP="00B007EC">
            <w:pPr>
              <w:keepNext/>
              <w:jc w:val="right"/>
              <w:rPr>
                <w:color w:val="000000"/>
                <w:sz w:val="18"/>
                <w:szCs w:val="18"/>
              </w:rPr>
            </w:pPr>
            <w:r>
              <w:rPr>
                <w:color w:val="000000"/>
                <w:sz w:val="18"/>
                <w:szCs w:val="18"/>
              </w:rPr>
              <w:t>1 430</w:t>
            </w:r>
          </w:p>
        </w:tc>
        <w:tc>
          <w:tcPr>
            <w:tcW w:w="1134" w:type="dxa"/>
            <w:tcBorders>
              <w:top w:val="nil"/>
              <w:left w:val="nil"/>
              <w:bottom w:val="single" w:sz="4" w:space="0" w:color="auto"/>
              <w:right w:val="single" w:sz="4" w:space="0" w:color="auto"/>
            </w:tcBorders>
            <w:shd w:val="clear" w:color="auto" w:fill="auto"/>
            <w:hideMark/>
          </w:tcPr>
          <w:p w14:paraId="1CB160E2" w14:textId="77777777" w:rsidR="00555DA6" w:rsidRPr="00F325B1" w:rsidRDefault="00555DA6" w:rsidP="00B007EC">
            <w:pPr>
              <w:keepNext/>
              <w:jc w:val="right"/>
              <w:rPr>
                <w:color w:val="000000"/>
                <w:sz w:val="18"/>
                <w:szCs w:val="18"/>
              </w:rPr>
            </w:pPr>
            <w:r>
              <w:rPr>
                <w:color w:val="000000"/>
                <w:sz w:val="18"/>
                <w:szCs w:val="18"/>
              </w:rPr>
              <w:t>127 505 365</w:t>
            </w:r>
          </w:p>
        </w:tc>
        <w:tc>
          <w:tcPr>
            <w:tcW w:w="1134" w:type="dxa"/>
            <w:tcBorders>
              <w:top w:val="nil"/>
              <w:left w:val="nil"/>
              <w:bottom w:val="single" w:sz="4" w:space="0" w:color="auto"/>
              <w:right w:val="single" w:sz="4" w:space="0" w:color="auto"/>
            </w:tcBorders>
            <w:shd w:val="clear" w:color="auto" w:fill="auto"/>
            <w:hideMark/>
          </w:tcPr>
          <w:p w14:paraId="5BDE6D01" w14:textId="77777777" w:rsidR="00555DA6" w:rsidRPr="00F325B1" w:rsidRDefault="00555DA6" w:rsidP="00B007EC">
            <w:pPr>
              <w:keepNext/>
              <w:jc w:val="right"/>
              <w:rPr>
                <w:color w:val="000000"/>
                <w:sz w:val="18"/>
                <w:szCs w:val="18"/>
              </w:rPr>
            </w:pPr>
            <w:r>
              <w:rPr>
                <w:color w:val="000000"/>
                <w:sz w:val="18"/>
                <w:szCs w:val="18"/>
              </w:rPr>
              <w:t>144 041 928</w:t>
            </w:r>
          </w:p>
        </w:tc>
        <w:tc>
          <w:tcPr>
            <w:tcW w:w="1134" w:type="dxa"/>
            <w:tcBorders>
              <w:top w:val="nil"/>
              <w:left w:val="nil"/>
              <w:bottom w:val="single" w:sz="4" w:space="0" w:color="auto"/>
              <w:right w:val="single" w:sz="4" w:space="0" w:color="auto"/>
            </w:tcBorders>
            <w:shd w:val="clear" w:color="auto" w:fill="auto"/>
            <w:hideMark/>
          </w:tcPr>
          <w:p w14:paraId="7F08B453" w14:textId="77777777" w:rsidR="00555DA6" w:rsidRPr="00F325B1" w:rsidRDefault="00555DA6" w:rsidP="00B007EC">
            <w:pPr>
              <w:keepNext/>
              <w:jc w:val="right"/>
              <w:rPr>
                <w:color w:val="000000"/>
                <w:sz w:val="18"/>
                <w:szCs w:val="18"/>
              </w:rPr>
            </w:pPr>
            <w:r>
              <w:rPr>
                <w:color w:val="000000"/>
                <w:sz w:val="18"/>
                <w:szCs w:val="18"/>
              </w:rPr>
              <w:t>117 302 710</w:t>
            </w:r>
          </w:p>
        </w:tc>
        <w:tc>
          <w:tcPr>
            <w:tcW w:w="873" w:type="dxa"/>
            <w:tcBorders>
              <w:top w:val="nil"/>
              <w:left w:val="nil"/>
              <w:bottom w:val="single" w:sz="4" w:space="0" w:color="auto"/>
              <w:right w:val="single" w:sz="4" w:space="0" w:color="auto"/>
            </w:tcBorders>
            <w:shd w:val="clear" w:color="auto" w:fill="auto"/>
            <w:hideMark/>
          </w:tcPr>
          <w:p w14:paraId="0BFAC2C0" w14:textId="77777777" w:rsidR="00555DA6" w:rsidRPr="00F325B1" w:rsidRDefault="00555DA6" w:rsidP="00B007EC">
            <w:pPr>
              <w:keepNext/>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2E0DF720" w14:textId="77777777" w:rsidR="00555DA6" w:rsidRPr="00F325B1" w:rsidRDefault="00555DA6" w:rsidP="00B007EC">
            <w:pPr>
              <w:keepNext/>
              <w:jc w:val="right"/>
              <w:rPr>
                <w:color w:val="000000"/>
                <w:sz w:val="18"/>
                <w:szCs w:val="18"/>
              </w:rPr>
            </w:pPr>
            <w:r>
              <w:rPr>
                <w:color w:val="000000"/>
                <w:sz w:val="18"/>
                <w:szCs w:val="18"/>
              </w:rPr>
              <w:t>122 443 664</w:t>
            </w:r>
          </w:p>
        </w:tc>
        <w:tc>
          <w:tcPr>
            <w:tcW w:w="1134" w:type="dxa"/>
            <w:tcBorders>
              <w:top w:val="nil"/>
              <w:left w:val="nil"/>
              <w:bottom w:val="single" w:sz="4" w:space="0" w:color="auto"/>
              <w:right w:val="single" w:sz="4" w:space="0" w:color="auto"/>
            </w:tcBorders>
            <w:shd w:val="clear" w:color="auto" w:fill="auto"/>
            <w:hideMark/>
          </w:tcPr>
          <w:p w14:paraId="68CE4304" w14:textId="77777777" w:rsidR="00555DA6" w:rsidRPr="00F325B1" w:rsidRDefault="00555DA6" w:rsidP="00B007EC">
            <w:pPr>
              <w:keepNext/>
              <w:jc w:val="right"/>
              <w:rPr>
                <w:color w:val="000000"/>
                <w:sz w:val="18"/>
                <w:szCs w:val="18"/>
              </w:rPr>
            </w:pPr>
            <w:r>
              <w:rPr>
                <w:color w:val="000000"/>
                <w:sz w:val="18"/>
                <w:szCs w:val="18"/>
              </w:rPr>
              <w:t>103 674 500</w:t>
            </w:r>
          </w:p>
        </w:tc>
      </w:tr>
      <w:tr w:rsidR="00555DA6" w:rsidRPr="00F325B1" w14:paraId="71049C1F"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7EC69646" w14:textId="77777777" w:rsidR="00555DA6" w:rsidRPr="00F325B1" w:rsidRDefault="00555DA6" w:rsidP="00B007EC">
            <w:pPr>
              <w:jc w:val="left"/>
              <w:rPr>
                <w:color w:val="000000"/>
                <w:sz w:val="18"/>
                <w:szCs w:val="18"/>
              </w:rPr>
            </w:pPr>
            <w:r>
              <w:rPr>
                <w:color w:val="000000"/>
                <w:sz w:val="18"/>
                <w:szCs w:val="18"/>
              </w:rPr>
              <w:t>R-410A</w:t>
            </w:r>
            <w:r>
              <w:t xml:space="preserve"> </w:t>
            </w:r>
          </w:p>
        </w:tc>
        <w:tc>
          <w:tcPr>
            <w:tcW w:w="675" w:type="dxa"/>
            <w:tcBorders>
              <w:top w:val="nil"/>
              <w:left w:val="nil"/>
              <w:bottom w:val="single" w:sz="4" w:space="0" w:color="auto"/>
              <w:right w:val="single" w:sz="4" w:space="0" w:color="auto"/>
            </w:tcBorders>
            <w:shd w:val="clear" w:color="auto" w:fill="auto"/>
            <w:hideMark/>
          </w:tcPr>
          <w:p w14:paraId="237FF63D" w14:textId="77777777" w:rsidR="00555DA6" w:rsidRPr="00F325B1" w:rsidRDefault="00555DA6" w:rsidP="00B007EC">
            <w:pPr>
              <w:jc w:val="right"/>
              <w:rPr>
                <w:color w:val="000000"/>
                <w:sz w:val="18"/>
                <w:szCs w:val="18"/>
              </w:rPr>
            </w:pPr>
            <w:r>
              <w:rPr>
                <w:color w:val="000000"/>
                <w:sz w:val="18"/>
                <w:szCs w:val="18"/>
              </w:rPr>
              <w:t>2 088</w:t>
            </w:r>
          </w:p>
        </w:tc>
        <w:tc>
          <w:tcPr>
            <w:tcW w:w="1134" w:type="dxa"/>
            <w:tcBorders>
              <w:top w:val="nil"/>
              <w:left w:val="nil"/>
              <w:bottom w:val="single" w:sz="4" w:space="0" w:color="auto"/>
              <w:right w:val="single" w:sz="4" w:space="0" w:color="auto"/>
            </w:tcBorders>
            <w:shd w:val="clear" w:color="auto" w:fill="auto"/>
            <w:hideMark/>
          </w:tcPr>
          <w:p w14:paraId="7F1650E8" w14:textId="77777777" w:rsidR="00555DA6" w:rsidRPr="00F325B1" w:rsidRDefault="00555DA6" w:rsidP="00B007EC">
            <w:pPr>
              <w:jc w:val="right"/>
              <w:rPr>
                <w:color w:val="000000"/>
                <w:sz w:val="18"/>
                <w:szCs w:val="18"/>
              </w:rPr>
            </w:pPr>
            <w:r>
              <w:rPr>
                <w:color w:val="000000"/>
                <w:sz w:val="18"/>
                <w:szCs w:val="18"/>
              </w:rPr>
              <w:t>-142 918 864</w:t>
            </w:r>
          </w:p>
        </w:tc>
        <w:tc>
          <w:tcPr>
            <w:tcW w:w="1134" w:type="dxa"/>
            <w:tcBorders>
              <w:top w:val="nil"/>
              <w:left w:val="nil"/>
              <w:bottom w:val="single" w:sz="4" w:space="0" w:color="auto"/>
              <w:right w:val="single" w:sz="4" w:space="0" w:color="auto"/>
            </w:tcBorders>
            <w:shd w:val="clear" w:color="auto" w:fill="auto"/>
            <w:hideMark/>
          </w:tcPr>
          <w:p w14:paraId="162AD0D1" w14:textId="77777777" w:rsidR="00555DA6" w:rsidRPr="00F325B1" w:rsidRDefault="00555DA6" w:rsidP="00B007EC">
            <w:pPr>
              <w:jc w:val="right"/>
              <w:rPr>
                <w:color w:val="000000"/>
                <w:sz w:val="18"/>
                <w:szCs w:val="18"/>
              </w:rPr>
            </w:pPr>
            <w:r>
              <w:rPr>
                <w:color w:val="000000"/>
                <w:sz w:val="18"/>
                <w:szCs w:val="18"/>
              </w:rPr>
              <w:t>-155 565 505</w:t>
            </w:r>
          </w:p>
        </w:tc>
        <w:tc>
          <w:tcPr>
            <w:tcW w:w="1134" w:type="dxa"/>
            <w:tcBorders>
              <w:top w:val="nil"/>
              <w:left w:val="nil"/>
              <w:bottom w:val="single" w:sz="4" w:space="0" w:color="auto"/>
              <w:right w:val="single" w:sz="4" w:space="0" w:color="auto"/>
            </w:tcBorders>
            <w:shd w:val="clear" w:color="auto" w:fill="auto"/>
            <w:hideMark/>
          </w:tcPr>
          <w:p w14:paraId="03999136" w14:textId="77777777" w:rsidR="00555DA6" w:rsidRPr="00F325B1" w:rsidRDefault="00555DA6" w:rsidP="00B007EC">
            <w:pPr>
              <w:jc w:val="right"/>
              <w:rPr>
                <w:color w:val="000000"/>
                <w:sz w:val="18"/>
                <w:szCs w:val="18"/>
              </w:rPr>
            </w:pPr>
            <w:r>
              <w:rPr>
                <w:color w:val="000000"/>
                <w:sz w:val="18"/>
                <w:szCs w:val="18"/>
              </w:rPr>
              <w:t>-221 807 965</w:t>
            </w:r>
          </w:p>
        </w:tc>
        <w:tc>
          <w:tcPr>
            <w:tcW w:w="873" w:type="dxa"/>
            <w:tcBorders>
              <w:top w:val="nil"/>
              <w:left w:val="nil"/>
              <w:bottom w:val="single" w:sz="4" w:space="0" w:color="auto"/>
              <w:right w:val="single" w:sz="4" w:space="0" w:color="auto"/>
            </w:tcBorders>
            <w:shd w:val="clear" w:color="auto" w:fill="auto"/>
            <w:hideMark/>
          </w:tcPr>
          <w:p w14:paraId="35646955"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hideMark/>
          </w:tcPr>
          <w:p w14:paraId="6829BBDE" w14:textId="77777777" w:rsidR="00555DA6" w:rsidRPr="00F325B1" w:rsidRDefault="00555DA6" w:rsidP="00B007EC">
            <w:pPr>
              <w:jc w:val="right"/>
              <w:rPr>
                <w:color w:val="000000"/>
                <w:sz w:val="18"/>
                <w:szCs w:val="18"/>
              </w:rPr>
            </w:pPr>
            <w:r>
              <w:rPr>
                <w:color w:val="000000"/>
                <w:sz w:val="18"/>
                <w:szCs w:val="18"/>
              </w:rPr>
              <w:t>214 099 553</w:t>
            </w:r>
          </w:p>
        </w:tc>
        <w:tc>
          <w:tcPr>
            <w:tcW w:w="1134" w:type="dxa"/>
            <w:tcBorders>
              <w:top w:val="nil"/>
              <w:left w:val="nil"/>
              <w:bottom w:val="single" w:sz="4" w:space="0" w:color="auto"/>
              <w:right w:val="single" w:sz="4" w:space="0" w:color="auto"/>
            </w:tcBorders>
            <w:shd w:val="clear" w:color="auto" w:fill="auto"/>
            <w:hideMark/>
          </w:tcPr>
          <w:p w14:paraId="24191342" w14:textId="77777777" w:rsidR="00555DA6" w:rsidRPr="00F325B1" w:rsidRDefault="00555DA6" w:rsidP="00B007EC">
            <w:pPr>
              <w:jc w:val="right"/>
              <w:rPr>
                <w:color w:val="000000"/>
                <w:sz w:val="18"/>
                <w:szCs w:val="18"/>
              </w:rPr>
            </w:pPr>
            <w:r>
              <w:rPr>
                <w:color w:val="000000"/>
                <w:sz w:val="18"/>
                <w:szCs w:val="18"/>
              </w:rPr>
              <w:t>243 692 067</w:t>
            </w:r>
          </w:p>
        </w:tc>
      </w:tr>
      <w:tr w:rsidR="00555DA6" w:rsidRPr="00F325B1" w14:paraId="3086593E"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8E64699" w14:textId="77777777" w:rsidR="00555DA6" w:rsidRPr="00F325B1" w:rsidRDefault="00555DA6" w:rsidP="00B007EC">
            <w:pPr>
              <w:jc w:val="left"/>
              <w:rPr>
                <w:b/>
                <w:bCs/>
                <w:color w:val="000000"/>
                <w:sz w:val="18"/>
                <w:szCs w:val="18"/>
              </w:rPr>
            </w:pPr>
            <w:r>
              <w:rPr>
                <w:b/>
                <w:bCs/>
                <w:color w:val="000000"/>
                <w:sz w:val="18"/>
                <w:szCs w:val="18"/>
              </w:rPr>
              <w:t xml:space="preserve">Total </w:t>
            </w:r>
          </w:p>
        </w:tc>
        <w:tc>
          <w:tcPr>
            <w:tcW w:w="675" w:type="dxa"/>
            <w:tcBorders>
              <w:top w:val="nil"/>
              <w:left w:val="nil"/>
              <w:bottom w:val="single" w:sz="4" w:space="0" w:color="auto"/>
              <w:right w:val="single" w:sz="4" w:space="0" w:color="auto"/>
            </w:tcBorders>
            <w:shd w:val="clear" w:color="auto" w:fill="auto"/>
            <w:noWrap/>
            <w:hideMark/>
          </w:tcPr>
          <w:p w14:paraId="152F46CF" w14:textId="77777777" w:rsidR="00555DA6" w:rsidRPr="00F325B1" w:rsidRDefault="00555DA6" w:rsidP="00B007EC">
            <w:pPr>
              <w:jc w:val="right"/>
              <w:rPr>
                <w:rFonts w:ascii="Aptos Narrow" w:hAnsi="Aptos Narrow"/>
                <w:b/>
                <w:bCs/>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noWrap/>
            <w:hideMark/>
          </w:tcPr>
          <w:p w14:paraId="51BC23E7" w14:textId="77777777" w:rsidR="00555DA6" w:rsidRPr="00F325B1" w:rsidRDefault="00555DA6" w:rsidP="00B007EC">
            <w:pPr>
              <w:jc w:val="right"/>
              <w:rPr>
                <w:b/>
                <w:bCs/>
                <w:color w:val="000000"/>
                <w:sz w:val="18"/>
                <w:szCs w:val="18"/>
              </w:rPr>
            </w:pPr>
            <w:r>
              <w:rPr>
                <w:b/>
                <w:bCs/>
                <w:color w:val="000000"/>
                <w:sz w:val="18"/>
                <w:szCs w:val="18"/>
              </w:rPr>
              <w:t>-15 413 499</w:t>
            </w:r>
          </w:p>
        </w:tc>
        <w:tc>
          <w:tcPr>
            <w:tcW w:w="1134" w:type="dxa"/>
            <w:tcBorders>
              <w:top w:val="nil"/>
              <w:left w:val="nil"/>
              <w:bottom w:val="single" w:sz="4" w:space="0" w:color="auto"/>
              <w:right w:val="single" w:sz="4" w:space="0" w:color="auto"/>
            </w:tcBorders>
            <w:shd w:val="clear" w:color="auto" w:fill="auto"/>
            <w:noWrap/>
            <w:hideMark/>
          </w:tcPr>
          <w:p w14:paraId="39BA314E" w14:textId="77777777" w:rsidR="00555DA6" w:rsidRPr="00F325B1" w:rsidRDefault="00555DA6" w:rsidP="00B007EC">
            <w:pPr>
              <w:jc w:val="right"/>
              <w:rPr>
                <w:b/>
                <w:bCs/>
                <w:color w:val="000000"/>
                <w:sz w:val="18"/>
                <w:szCs w:val="18"/>
              </w:rPr>
            </w:pPr>
            <w:r>
              <w:rPr>
                <w:b/>
                <w:bCs/>
                <w:color w:val="000000"/>
                <w:sz w:val="18"/>
                <w:szCs w:val="18"/>
              </w:rPr>
              <w:t>-11 523 577</w:t>
            </w:r>
          </w:p>
        </w:tc>
        <w:tc>
          <w:tcPr>
            <w:tcW w:w="1134" w:type="dxa"/>
            <w:tcBorders>
              <w:top w:val="nil"/>
              <w:left w:val="nil"/>
              <w:bottom w:val="single" w:sz="4" w:space="0" w:color="auto"/>
              <w:right w:val="single" w:sz="4" w:space="0" w:color="auto"/>
            </w:tcBorders>
            <w:shd w:val="clear" w:color="auto" w:fill="auto"/>
            <w:noWrap/>
            <w:hideMark/>
          </w:tcPr>
          <w:p w14:paraId="370255C1" w14:textId="77777777" w:rsidR="00555DA6" w:rsidRPr="00F325B1" w:rsidRDefault="00555DA6" w:rsidP="00B007EC">
            <w:pPr>
              <w:jc w:val="right"/>
              <w:rPr>
                <w:b/>
                <w:bCs/>
                <w:color w:val="000000"/>
                <w:sz w:val="18"/>
                <w:szCs w:val="18"/>
              </w:rPr>
            </w:pPr>
            <w:r>
              <w:rPr>
                <w:b/>
                <w:bCs/>
                <w:color w:val="000000"/>
                <w:sz w:val="18"/>
                <w:szCs w:val="18"/>
              </w:rPr>
              <w:t>-104 505 255</w:t>
            </w:r>
          </w:p>
        </w:tc>
        <w:tc>
          <w:tcPr>
            <w:tcW w:w="873" w:type="dxa"/>
            <w:tcBorders>
              <w:top w:val="nil"/>
              <w:left w:val="nil"/>
              <w:bottom w:val="single" w:sz="4" w:space="0" w:color="auto"/>
              <w:right w:val="single" w:sz="4" w:space="0" w:color="auto"/>
            </w:tcBorders>
            <w:shd w:val="clear" w:color="auto" w:fill="auto"/>
            <w:hideMark/>
          </w:tcPr>
          <w:p w14:paraId="6FA08D79" w14:textId="77777777" w:rsidR="00555DA6" w:rsidRPr="00F325B1" w:rsidRDefault="00555DA6" w:rsidP="00B007EC">
            <w:pPr>
              <w:jc w:val="right"/>
              <w:rPr>
                <w:b/>
                <w:bCs/>
                <w:color w:val="000000"/>
                <w:sz w:val="18"/>
                <w:szCs w:val="18"/>
              </w:rPr>
            </w:pPr>
            <w:r>
              <w:rPr>
                <w:b/>
                <w:bCs/>
                <w:color w:val="000000"/>
                <w:sz w:val="18"/>
                <w:szCs w:val="18"/>
              </w:rPr>
              <w:t>s. o.</w:t>
            </w:r>
          </w:p>
        </w:tc>
        <w:tc>
          <w:tcPr>
            <w:tcW w:w="1112" w:type="dxa"/>
            <w:tcBorders>
              <w:top w:val="nil"/>
              <w:left w:val="nil"/>
              <w:bottom w:val="single" w:sz="4" w:space="0" w:color="auto"/>
              <w:right w:val="single" w:sz="4" w:space="0" w:color="auto"/>
            </w:tcBorders>
            <w:shd w:val="clear" w:color="auto" w:fill="auto"/>
            <w:noWrap/>
            <w:hideMark/>
          </w:tcPr>
          <w:p w14:paraId="7D605C48" w14:textId="77777777" w:rsidR="00555DA6" w:rsidRPr="00F325B1" w:rsidRDefault="00555DA6" w:rsidP="00B007EC">
            <w:pPr>
              <w:jc w:val="right"/>
              <w:rPr>
                <w:b/>
                <w:bCs/>
                <w:color w:val="000000"/>
                <w:sz w:val="18"/>
                <w:szCs w:val="18"/>
              </w:rPr>
            </w:pPr>
            <w:r>
              <w:rPr>
                <w:b/>
                <w:bCs/>
                <w:color w:val="000000"/>
                <w:sz w:val="18"/>
                <w:szCs w:val="18"/>
              </w:rPr>
              <w:t>336 543 217</w:t>
            </w:r>
          </w:p>
        </w:tc>
        <w:tc>
          <w:tcPr>
            <w:tcW w:w="1134" w:type="dxa"/>
            <w:tcBorders>
              <w:top w:val="nil"/>
              <w:left w:val="nil"/>
              <w:bottom w:val="single" w:sz="4" w:space="0" w:color="auto"/>
              <w:right w:val="single" w:sz="4" w:space="0" w:color="auto"/>
            </w:tcBorders>
            <w:shd w:val="clear" w:color="auto" w:fill="auto"/>
            <w:noWrap/>
            <w:hideMark/>
          </w:tcPr>
          <w:p w14:paraId="74C123C6" w14:textId="77777777" w:rsidR="00555DA6" w:rsidRPr="00F325B1" w:rsidRDefault="00555DA6" w:rsidP="00B007EC">
            <w:pPr>
              <w:jc w:val="right"/>
              <w:rPr>
                <w:b/>
                <w:bCs/>
                <w:color w:val="000000"/>
                <w:sz w:val="18"/>
                <w:szCs w:val="18"/>
              </w:rPr>
            </w:pPr>
            <w:r>
              <w:rPr>
                <w:b/>
                <w:bCs/>
                <w:color w:val="000000"/>
                <w:sz w:val="18"/>
                <w:szCs w:val="18"/>
              </w:rPr>
              <w:t>347 366 566</w:t>
            </w:r>
          </w:p>
        </w:tc>
      </w:tr>
      <w:tr w:rsidR="00555DA6" w:rsidRPr="00F325B1" w14:paraId="73966351"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2D1A722C" w14:textId="77777777" w:rsidR="00555DA6" w:rsidRPr="00F325B1" w:rsidRDefault="00555DA6" w:rsidP="00B007EC">
            <w:pPr>
              <w:jc w:val="left"/>
              <w:rPr>
                <w:color w:val="000000"/>
                <w:sz w:val="18"/>
                <w:szCs w:val="18"/>
              </w:rPr>
            </w:pPr>
            <w:r>
              <w:rPr>
                <w:color w:val="000000"/>
                <w:sz w:val="18"/>
                <w:szCs w:val="18"/>
              </w:rPr>
              <w:t>Total du secteur de l’entretien pour le HFC-134a</w:t>
            </w:r>
          </w:p>
        </w:tc>
        <w:tc>
          <w:tcPr>
            <w:tcW w:w="675" w:type="dxa"/>
            <w:tcBorders>
              <w:top w:val="nil"/>
              <w:left w:val="nil"/>
              <w:bottom w:val="single" w:sz="4" w:space="0" w:color="auto"/>
              <w:right w:val="single" w:sz="4" w:space="0" w:color="auto"/>
            </w:tcBorders>
            <w:shd w:val="clear" w:color="auto" w:fill="auto"/>
            <w:hideMark/>
          </w:tcPr>
          <w:p w14:paraId="6A9AC2DF" w14:textId="77777777" w:rsidR="00555DA6" w:rsidRPr="00F325B1" w:rsidRDefault="00555DA6" w:rsidP="00B007EC">
            <w:pPr>
              <w:jc w:val="right"/>
              <w:rPr>
                <w:color w:val="000000"/>
                <w:sz w:val="18"/>
                <w:szCs w:val="18"/>
              </w:rPr>
            </w:pPr>
            <w:r>
              <w:rPr>
                <w:color w:val="000000"/>
                <w:sz w:val="18"/>
                <w:szCs w:val="18"/>
              </w:rPr>
              <w:t>1 430</w:t>
            </w:r>
          </w:p>
        </w:tc>
        <w:tc>
          <w:tcPr>
            <w:tcW w:w="1134" w:type="dxa"/>
            <w:tcBorders>
              <w:top w:val="nil"/>
              <w:left w:val="nil"/>
              <w:bottom w:val="single" w:sz="4" w:space="0" w:color="auto"/>
              <w:right w:val="single" w:sz="4" w:space="0" w:color="auto"/>
            </w:tcBorders>
            <w:shd w:val="clear" w:color="auto" w:fill="auto"/>
            <w:hideMark/>
          </w:tcPr>
          <w:p w14:paraId="4E32CA64"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0D8B2EF4"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2F950B34" w14:textId="77777777" w:rsidR="00555DA6" w:rsidRPr="00F325B1" w:rsidRDefault="00555DA6" w:rsidP="00B007EC">
            <w:pPr>
              <w:jc w:val="right"/>
              <w:rPr>
                <w:color w:val="000000"/>
                <w:sz w:val="18"/>
                <w:szCs w:val="18"/>
              </w:rPr>
            </w:pPr>
            <w:r>
              <w:rPr>
                <w:color w:val="000000"/>
                <w:sz w:val="18"/>
                <w:szCs w:val="18"/>
              </w:rPr>
              <w:t>s. o.</w:t>
            </w:r>
          </w:p>
        </w:tc>
        <w:tc>
          <w:tcPr>
            <w:tcW w:w="873" w:type="dxa"/>
            <w:tcBorders>
              <w:top w:val="nil"/>
              <w:left w:val="nil"/>
              <w:bottom w:val="single" w:sz="4" w:space="0" w:color="auto"/>
              <w:right w:val="single" w:sz="4" w:space="0" w:color="auto"/>
            </w:tcBorders>
            <w:shd w:val="clear" w:color="auto" w:fill="auto"/>
            <w:hideMark/>
          </w:tcPr>
          <w:p w14:paraId="03DB8517"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noWrap/>
            <w:hideMark/>
          </w:tcPr>
          <w:p w14:paraId="178D6381" w14:textId="77777777" w:rsidR="00555DA6" w:rsidRPr="00F325B1" w:rsidRDefault="00555DA6" w:rsidP="00B007EC">
            <w:pPr>
              <w:jc w:val="right"/>
              <w:rPr>
                <w:color w:val="000000"/>
                <w:sz w:val="18"/>
                <w:szCs w:val="18"/>
              </w:rPr>
            </w:pPr>
            <w:r>
              <w:rPr>
                <w:color w:val="000000"/>
                <w:sz w:val="18"/>
                <w:szCs w:val="18"/>
              </w:rPr>
              <w:t>49 967 832</w:t>
            </w:r>
          </w:p>
        </w:tc>
        <w:tc>
          <w:tcPr>
            <w:tcW w:w="1134" w:type="dxa"/>
            <w:tcBorders>
              <w:top w:val="nil"/>
              <w:left w:val="nil"/>
              <w:bottom w:val="single" w:sz="4" w:space="0" w:color="auto"/>
              <w:right w:val="single" w:sz="4" w:space="0" w:color="auto"/>
            </w:tcBorders>
            <w:shd w:val="clear" w:color="auto" w:fill="auto"/>
            <w:noWrap/>
            <w:hideMark/>
          </w:tcPr>
          <w:p w14:paraId="262EFC6B" w14:textId="77777777" w:rsidR="00555DA6" w:rsidRPr="00F325B1" w:rsidRDefault="00555DA6" w:rsidP="00B007EC">
            <w:pPr>
              <w:jc w:val="right"/>
              <w:rPr>
                <w:color w:val="000000"/>
                <w:sz w:val="18"/>
                <w:szCs w:val="18"/>
              </w:rPr>
            </w:pPr>
            <w:r>
              <w:rPr>
                <w:color w:val="000000"/>
                <w:sz w:val="18"/>
                <w:szCs w:val="18"/>
              </w:rPr>
              <w:t>34 205 786</w:t>
            </w:r>
          </w:p>
        </w:tc>
      </w:tr>
      <w:tr w:rsidR="00555DA6" w:rsidRPr="00F325B1" w14:paraId="1494D406"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6B6D2172" w14:textId="77777777" w:rsidR="00555DA6" w:rsidRPr="00F325B1" w:rsidRDefault="00555DA6" w:rsidP="00B007EC">
            <w:pPr>
              <w:jc w:val="left"/>
              <w:rPr>
                <w:color w:val="000000"/>
                <w:sz w:val="18"/>
                <w:szCs w:val="18"/>
              </w:rPr>
            </w:pPr>
            <w:r>
              <w:rPr>
                <w:color w:val="000000"/>
                <w:sz w:val="18"/>
                <w:szCs w:val="18"/>
              </w:rPr>
              <w:t>Total du secteur de l’entretien pour le R-410A</w:t>
            </w:r>
          </w:p>
        </w:tc>
        <w:tc>
          <w:tcPr>
            <w:tcW w:w="675" w:type="dxa"/>
            <w:tcBorders>
              <w:top w:val="nil"/>
              <w:left w:val="nil"/>
              <w:bottom w:val="single" w:sz="4" w:space="0" w:color="auto"/>
              <w:right w:val="single" w:sz="4" w:space="0" w:color="auto"/>
            </w:tcBorders>
            <w:shd w:val="clear" w:color="auto" w:fill="auto"/>
            <w:hideMark/>
          </w:tcPr>
          <w:p w14:paraId="54A8F88A" w14:textId="77777777" w:rsidR="00555DA6" w:rsidRPr="00F325B1" w:rsidRDefault="00555DA6" w:rsidP="00B007EC">
            <w:pPr>
              <w:jc w:val="right"/>
              <w:rPr>
                <w:color w:val="000000"/>
                <w:sz w:val="18"/>
                <w:szCs w:val="18"/>
              </w:rPr>
            </w:pPr>
            <w:r>
              <w:rPr>
                <w:color w:val="000000"/>
                <w:sz w:val="18"/>
                <w:szCs w:val="18"/>
              </w:rPr>
              <w:t>2 088</w:t>
            </w:r>
          </w:p>
        </w:tc>
        <w:tc>
          <w:tcPr>
            <w:tcW w:w="1134" w:type="dxa"/>
            <w:tcBorders>
              <w:top w:val="nil"/>
              <w:left w:val="nil"/>
              <w:bottom w:val="single" w:sz="4" w:space="0" w:color="auto"/>
              <w:right w:val="single" w:sz="4" w:space="0" w:color="auto"/>
            </w:tcBorders>
            <w:shd w:val="clear" w:color="auto" w:fill="auto"/>
            <w:hideMark/>
          </w:tcPr>
          <w:p w14:paraId="7153B626"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337FBED9" w14:textId="77777777" w:rsidR="00555DA6" w:rsidRPr="00F325B1" w:rsidRDefault="00555DA6" w:rsidP="00B007EC">
            <w:pPr>
              <w:jc w:val="right"/>
              <w:rPr>
                <w:color w:val="000000"/>
                <w:sz w:val="18"/>
                <w:szCs w:val="18"/>
              </w:rPr>
            </w:pPr>
            <w:r>
              <w:rPr>
                <w:color w:val="000000"/>
                <w:sz w:val="18"/>
                <w:szCs w:val="18"/>
              </w:rPr>
              <w:t>s. o.</w:t>
            </w:r>
          </w:p>
        </w:tc>
        <w:tc>
          <w:tcPr>
            <w:tcW w:w="1134" w:type="dxa"/>
            <w:tcBorders>
              <w:top w:val="nil"/>
              <w:left w:val="nil"/>
              <w:bottom w:val="single" w:sz="4" w:space="0" w:color="auto"/>
              <w:right w:val="single" w:sz="4" w:space="0" w:color="auto"/>
            </w:tcBorders>
            <w:shd w:val="clear" w:color="auto" w:fill="auto"/>
            <w:hideMark/>
          </w:tcPr>
          <w:p w14:paraId="46C96C2A" w14:textId="77777777" w:rsidR="00555DA6" w:rsidRPr="00F325B1" w:rsidRDefault="00555DA6" w:rsidP="00B007EC">
            <w:pPr>
              <w:jc w:val="right"/>
              <w:rPr>
                <w:color w:val="000000"/>
                <w:sz w:val="18"/>
                <w:szCs w:val="18"/>
              </w:rPr>
            </w:pPr>
            <w:r>
              <w:rPr>
                <w:color w:val="000000"/>
                <w:sz w:val="18"/>
                <w:szCs w:val="18"/>
              </w:rPr>
              <w:t>s. o.</w:t>
            </w:r>
          </w:p>
        </w:tc>
        <w:tc>
          <w:tcPr>
            <w:tcW w:w="873" w:type="dxa"/>
            <w:tcBorders>
              <w:top w:val="nil"/>
              <w:left w:val="nil"/>
              <w:bottom w:val="single" w:sz="4" w:space="0" w:color="auto"/>
              <w:right w:val="single" w:sz="4" w:space="0" w:color="auto"/>
            </w:tcBorders>
            <w:shd w:val="clear" w:color="auto" w:fill="auto"/>
            <w:hideMark/>
          </w:tcPr>
          <w:p w14:paraId="38475F39" w14:textId="77777777" w:rsidR="00555DA6" w:rsidRPr="00F325B1" w:rsidRDefault="00555DA6" w:rsidP="00B007EC">
            <w:pPr>
              <w:jc w:val="right"/>
              <w:rPr>
                <w:color w:val="000000"/>
                <w:sz w:val="18"/>
                <w:szCs w:val="18"/>
              </w:rPr>
            </w:pPr>
            <w:r>
              <w:rPr>
                <w:color w:val="000000"/>
                <w:sz w:val="18"/>
                <w:szCs w:val="18"/>
              </w:rPr>
              <w:t>s. o.</w:t>
            </w:r>
          </w:p>
        </w:tc>
        <w:tc>
          <w:tcPr>
            <w:tcW w:w="1112" w:type="dxa"/>
            <w:tcBorders>
              <w:top w:val="nil"/>
              <w:left w:val="nil"/>
              <w:bottom w:val="single" w:sz="4" w:space="0" w:color="auto"/>
              <w:right w:val="single" w:sz="4" w:space="0" w:color="auto"/>
            </w:tcBorders>
            <w:shd w:val="clear" w:color="auto" w:fill="auto"/>
            <w:noWrap/>
            <w:hideMark/>
          </w:tcPr>
          <w:p w14:paraId="251CF0FD" w14:textId="77777777" w:rsidR="00555DA6" w:rsidRPr="00F325B1" w:rsidRDefault="00555DA6" w:rsidP="00B007EC">
            <w:pPr>
              <w:jc w:val="right"/>
              <w:rPr>
                <w:color w:val="000000"/>
                <w:sz w:val="18"/>
                <w:szCs w:val="18"/>
              </w:rPr>
            </w:pPr>
            <w:r>
              <w:rPr>
                <w:color w:val="000000"/>
                <w:sz w:val="18"/>
                <w:szCs w:val="18"/>
              </w:rPr>
              <w:t>51 839 820</w:t>
            </w:r>
          </w:p>
        </w:tc>
        <w:tc>
          <w:tcPr>
            <w:tcW w:w="1134" w:type="dxa"/>
            <w:tcBorders>
              <w:top w:val="nil"/>
              <w:left w:val="nil"/>
              <w:bottom w:val="single" w:sz="4" w:space="0" w:color="auto"/>
              <w:right w:val="single" w:sz="4" w:space="0" w:color="auto"/>
            </w:tcBorders>
            <w:shd w:val="clear" w:color="auto" w:fill="auto"/>
            <w:noWrap/>
            <w:hideMark/>
          </w:tcPr>
          <w:p w14:paraId="6255E73C" w14:textId="77777777" w:rsidR="00555DA6" w:rsidRPr="00F325B1" w:rsidRDefault="00555DA6" w:rsidP="00B007EC">
            <w:pPr>
              <w:jc w:val="right"/>
              <w:rPr>
                <w:color w:val="000000"/>
                <w:sz w:val="18"/>
                <w:szCs w:val="18"/>
              </w:rPr>
            </w:pPr>
            <w:r>
              <w:rPr>
                <w:color w:val="000000"/>
                <w:sz w:val="18"/>
                <w:szCs w:val="18"/>
              </w:rPr>
              <w:t>74 709 183</w:t>
            </w:r>
          </w:p>
        </w:tc>
      </w:tr>
    </w:tbl>
    <w:p w14:paraId="3CF9BAA0" w14:textId="77777777" w:rsidR="00555DA6" w:rsidRDefault="00555DA6" w:rsidP="00555DA6">
      <w:pPr>
        <w:pStyle w:val="Titolo1"/>
        <w:numPr>
          <w:ilvl w:val="0"/>
          <w:numId w:val="0"/>
        </w:numPr>
        <w:spacing w:after="0"/>
      </w:pPr>
    </w:p>
    <w:p w14:paraId="2C969AE2" w14:textId="6C420D00" w:rsidR="00555DA6" w:rsidRPr="00F325B1" w:rsidRDefault="00555DA6" w:rsidP="00555DA6">
      <w:pPr>
        <w:pStyle w:val="Titolo1"/>
      </w:pPr>
      <w:r>
        <w:t>Les besoins en électricité des unités centrales de traitement (UC) ont augmenté de 100 W à environ 400 W, et la puissance nécessaire pour une unité de traitement graphique (UTG) utilisée pour l’intelligence artificielle (IA) peut être aussi élevée que 2,6 kW</w:t>
      </w:r>
      <w:r w:rsidRPr="00F325B1">
        <w:rPr>
          <w:rStyle w:val="Rimandonotaapidipagina"/>
        </w:rPr>
        <w:footnoteReference w:id="10"/>
      </w:r>
      <w:r>
        <w:t>. Les systèmes de climatisation traditionnels utilisant une technologie de refroidissement de l’air se sont avérés incapables de satisfaire les exigences en matière de refroidissement des centres de données à forte densité</w:t>
      </w:r>
      <w:r w:rsidRPr="00F325B1">
        <w:rPr>
          <w:rStyle w:val="Rimandonotaapidipagina"/>
        </w:rPr>
        <w:footnoteReference w:id="11"/>
      </w:r>
      <w:r>
        <w:t>. En réaction aux besoins croissants, le refroidissement liquide a été introduit en Chine dans les centres de données en 2015, incluant la dissipation thermique par circulation de fluide, le refroidissement liquide par immersion et le refroidissement liquide par pulvérisation. Il existe deux principales catégories de technologies de refroidissement liquide basées sur la manière dont l’agent de refroidissement interagit avec la source de chaleur : refroidissement liquide sans contact et refroidissement liquide par contact.</w:t>
      </w:r>
    </w:p>
    <w:p w14:paraId="28C0AC7D" w14:textId="77777777" w:rsidR="00555DA6" w:rsidRDefault="00555DA6" w:rsidP="00555DA6">
      <w:pPr>
        <w:rPr>
          <w:rFonts w:eastAsiaTheme="minorEastAsia"/>
          <w:i/>
          <w:iCs/>
        </w:rPr>
      </w:pPr>
      <w:r>
        <w:rPr>
          <w:i/>
          <w:iCs/>
        </w:rPr>
        <w:t>Refroidissement liquide sans contact</w:t>
      </w:r>
    </w:p>
    <w:p w14:paraId="74ADF65D" w14:textId="77777777" w:rsidR="00555DA6" w:rsidRPr="00555DA6" w:rsidRDefault="00555DA6" w:rsidP="00555DA6">
      <w:pPr>
        <w:rPr>
          <w:rFonts w:eastAsiaTheme="minorEastAsia"/>
        </w:rPr>
      </w:pPr>
    </w:p>
    <w:p w14:paraId="02A60FD4" w14:textId="05060796" w:rsidR="00555DA6" w:rsidRPr="00F325B1" w:rsidRDefault="00555DA6" w:rsidP="00555DA6">
      <w:pPr>
        <w:pStyle w:val="Titolo1"/>
      </w:pPr>
      <w:r>
        <w:t>Le refroidissement liquide sans contact dans les centres de données comprend la dissipation thermique par circulation de fluide et le refroidissement par caloducs</w:t>
      </w:r>
      <w:r w:rsidR="00253FE4">
        <w:t> </w:t>
      </w:r>
      <w:r>
        <w:t>:</w:t>
      </w:r>
    </w:p>
    <w:p w14:paraId="37B9F861" w14:textId="77777777" w:rsidR="00555DA6" w:rsidRPr="00F325B1" w:rsidRDefault="00555DA6" w:rsidP="00555DA6">
      <w:pPr>
        <w:pStyle w:val="Titolo2"/>
      </w:pPr>
      <w:r>
        <w:t>La dissipation thermique par circulation de fluide comporte une plaque de refroidissement avec un liquide de refroidissement (habituellement de l’eau) pour conduire et des composantes pour refroidir les températures élevées. Ces systèmes sont habituellement faits de métal et comportent de nombreux petits canaux par lesquels le liquide de refroidissement peut circuler et absorber la chaleur, qui est ensuite transportée dans un système de circulation.</w:t>
      </w:r>
    </w:p>
    <w:p w14:paraId="747A7C33" w14:textId="77777777" w:rsidR="00555DA6" w:rsidRPr="00F325B1" w:rsidRDefault="00555DA6" w:rsidP="00555DA6">
      <w:pPr>
        <w:pStyle w:val="Titolo2"/>
      </w:pPr>
      <w:r>
        <w:t xml:space="preserve">Les caloducs sont des tubes de cuivre, des ailettes en aluminium et un fluide caloporteur qui change de phase passivement pour transporter la chaleur. Tandis que l’air circule du côté chaud (passage de l’air chaud depuis l’air de retour du centre de données) du caloduc, </w:t>
      </w:r>
      <w:r>
        <w:lastRenderedPageBreak/>
        <w:t xml:space="preserve">le frigorigène s’évapore, absorbant de l’énergie, puis se déplace vers le côté froid (air extérieur) où il se condense, libérant de l’énergie, puis retourne du côté chaud. Ces systèmes sont des appareils de transfert thermique efficaces; toutefois, ils s’appuient toujours sur des frigorigènes à base de </w:t>
      </w:r>
      <w:proofErr w:type="spellStart"/>
      <w:r>
        <w:t>fluorocarbones</w:t>
      </w:r>
      <w:proofErr w:type="spellEnd"/>
      <w:r>
        <w:t>.</w:t>
      </w:r>
    </w:p>
    <w:p w14:paraId="19FBB501" w14:textId="2DB419EE" w:rsidR="00555DA6" w:rsidRPr="00F325B1" w:rsidRDefault="00555DA6" w:rsidP="00555DA6">
      <w:pPr>
        <w:pStyle w:val="Titolo1"/>
        <w:rPr>
          <w:rFonts w:eastAsia="SimSun"/>
        </w:rPr>
      </w:pPr>
      <w:r>
        <w:t>Le refroidissement liquide sans contact convient bien aux composantes à flux de chaleur élevé comme les UC et le</w:t>
      </w:r>
      <w:r w:rsidR="009E21E6">
        <w:t>s</w:t>
      </w:r>
      <w:r>
        <w:t xml:space="preserve"> UTG, où la dissipation efficace de la chaleur est cruciale. Il est cependant utilisé conjointement avec d’autres systèmes de refroidissement comme les salles informatiques climatisées, pour gérer les aires de chaleur plus faible dans tout le centre de données.</w:t>
      </w:r>
    </w:p>
    <w:p w14:paraId="685BA03B" w14:textId="77777777" w:rsidR="00555DA6" w:rsidRDefault="00555DA6" w:rsidP="00555DA6">
      <w:pPr>
        <w:rPr>
          <w:rFonts w:eastAsiaTheme="minorEastAsia"/>
          <w:i/>
          <w:iCs/>
        </w:rPr>
      </w:pPr>
      <w:r>
        <w:rPr>
          <w:i/>
          <w:iCs/>
        </w:rPr>
        <w:t>Refroidissement liquide par contact</w:t>
      </w:r>
    </w:p>
    <w:p w14:paraId="06C10AA5" w14:textId="77777777" w:rsidR="00555DA6" w:rsidRPr="00555DA6" w:rsidRDefault="00555DA6" w:rsidP="00555DA6">
      <w:pPr>
        <w:rPr>
          <w:rFonts w:eastAsiaTheme="minorEastAsia"/>
        </w:rPr>
      </w:pPr>
    </w:p>
    <w:p w14:paraId="1E1EF278" w14:textId="77777777" w:rsidR="00555DA6" w:rsidRPr="00F325B1" w:rsidRDefault="00555DA6" w:rsidP="00555DA6">
      <w:pPr>
        <w:pStyle w:val="Titolo1"/>
        <w:rPr>
          <w:rFonts w:eastAsia="SimSun"/>
        </w:rPr>
      </w:pPr>
      <w:r>
        <w:t>Le refroidissement liquide par contact dans les centres de données comprend le refroidissement par immersion biphasé et le refroidissement par immersion monophasé :</w:t>
      </w:r>
    </w:p>
    <w:p w14:paraId="2448A2D0" w14:textId="77777777" w:rsidR="00555DA6" w:rsidRPr="00F325B1" w:rsidRDefault="00555DA6" w:rsidP="00555DA6">
      <w:pPr>
        <w:pStyle w:val="Titolo2"/>
        <w:rPr>
          <w:rFonts w:eastAsia="SimSun"/>
        </w:rPr>
      </w:pPr>
      <w:r>
        <w:t xml:space="preserve">Les systèmes de refroidissement par immersion biphasé utilisent un </w:t>
      </w:r>
      <w:proofErr w:type="spellStart"/>
      <w:r>
        <w:t>fluorocarbone</w:t>
      </w:r>
      <w:proofErr w:type="spellEnd"/>
      <w:r>
        <w:t xml:space="preserve"> qui bout à environ 50 °C. La chaleur engendrée par les serveurs fait bouillir ce liquide diélectrique, le transformant en vapeur qui assume passivement le transfert. Puis la vapeur se condense de nouveau en liquide grâce à un serpentin de condensation, le liquide refroidi est ensuite réintégré dans le cycle. Ce cycle simple élimine la nécessité du matériel de refroidissement comme des ventilateurs.</w:t>
      </w:r>
    </w:p>
    <w:p w14:paraId="119AC867" w14:textId="77777777" w:rsidR="00555DA6" w:rsidRPr="00F325B1" w:rsidRDefault="00555DA6" w:rsidP="00555DA6">
      <w:pPr>
        <w:pStyle w:val="Titolo2"/>
        <w:rPr>
          <w:rFonts w:eastAsiaTheme="minorEastAsia"/>
        </w:rPr>
      </w:pPr>
      <w:r>
        <w:t xml:space="preserve">Le refroidissement par immersion monophasé est une méthode où l’agent de refroidissement ne change pas de phase pendant l’échange thermique. Dans cette technologie, les serveurs sont immergés dans un liquide de refroidissement non conducteur et la chaleur générée par les serveurs est retirée grâce à la circulation forcée du liquide. La chaleur est ensuite transférée à l’environnement externe au moyen d’un échangeur thermique à plaques. </w:t>
      </w:r>
    </w:p>
    <w:p w14:paraId="7A06CBCA" w14:textId="77777777" w:rsidR="00555DA6" w:rsidRPr="00F325B1" w:rsidRDefault="00555DA6" w:rsidP="00555DA6">
      <w:pPr>
        <w:pStyle w:val="Titolo1"/>
        <w:rPr>
          <w:rFonts w:eastAsia="SimSun"/>
          <w:strike/>
        </w:rPr>
      </w:pPr>
      <w:r>
        <w:t>Le refroidissement par immersion biphasé démontre un rendement plus élevé en matière d’échange thermique; toutefois, pendant son fonctionnement, le centre de données fonctionne essentiellement comme un réservoir sous pression. Par conséquent, l’entretien d’un serveur précis nécessite d’éteindre tout le système, ce qui est la principale raison pour laquelle cette technologie n’a pas connu une adoption généralisée. Dans le refroidissement par immersion monophasé, un frigorigène est requis, mais l’utilisation d’un échangeur à plaques réduit la quantité de frigorigène nécessaire et permet de fonctionner avec divers frigorigènes, y compris l’ammoniac, le dioxyde de carbone et les hydrocarbures</w:t>
      </w:r>
      <w:r w:rsidRPr="00F325B1">
        <w:rPr>
          <w:rStyle w:val="Rimandonotaapidipagina"/>
          <w:rFonts w:eastAsiaTheme="minorEastAsia"/>
        </w:rPr>
        <w:footnoteReference w:id="12"/>
      </w:r>
      <w:r>
        <w:t>. En raison des propriétés physiques de l’agent de refroidissement, comparativement à l’air, cette technologie permet une distribution plus élevée de la température sans avoir besoin d’appareils de réfrigération mécanique supplémentaires dans l’ensemble du système de refroidissement du centre de données.</w:t>
      </w:r>
      <w:r>
        <w:rPr>
          <w:strike/>
        </w:rPr>
        <w:t xml:space="preserve"> </w:t>
      </w:r>
    </w:p>
    <w:p w14:paraId="71C5034F" w14:textId="77777777" w:rsidR="00555DA6" w:rsidRPr="00F325B1" w:rsidRDefault="00555DA6" w:rsidP="00555DA6">
      <w:pPr>
        <w:pStyle w:val="Titolo1"/>
        <w:rPr>
          <w:rFonts w:eastAsia="SimSun"/>
        </w:rPr>
      </w:pPr>
      <w:r>
        <w:t>Il existe actuellement deux principaux types de liquides de refroidissement utilisés dans les systèmes de refroidissement par immersion monophasé : les liquides fluorés et les huiles synthétiques. Le tableau 2 présente les propriétés des liquides de refroidissement actuellement utilisés, mettant en évidence les différences en ce qui a trait à leur effet sur l’environnement, leur conductivité thermique et d’autres caractéristiques importantes.</w:t>
      </w:r>
    </w:p>
    <w:p w14:paraId="2E1CE284" w14:textId="13B6AF8A" w:rsidR="00555DA6" w:rsidRPr="00F325B1" w:rsidRDefault="00555DA6" w:rsidP="00555DA6">
      <w:pPr>
        <w:pStyle w:val="Titolo2"/>
        <w:rPr>
          <w:rFonts w:eastAsiaTheme="minorEastAsia"/>
        </w:rPr>
      </w:pPr>
      <w:r>
        <w:t xml:space="preserve">Les liquides fluorés sont constitués de composés </w:t>
      </w:r>
      <w:proofErr w:type="spellStart"/>
      <w:r>
        <w:t>fluorcarbonés</w:t>
      </w:r>
      <w:proofErr w:type="spellEnd"/>
      <w:r>
        <w:t xml:space="preserve">, comme le </w:t>
      </w:r>
      <w:proofErr w:type="spellStart"/>
      <w:r>
        <w:t>perfluorocarbure</w:t>
      </w:r>
      <w:proofErr w:type="spellEnd"/>
      <w:r>
        <w:t xml:space="preserve"> (PFC) et le polyéther perfluoré (PFPE). Ces liquides de refroidissement sont efficaces, mais engendrent des préoccupations environnementales en raison de leur</w:t>
      </w:r>
      <w:r w:rsidR="00380FBA">
        <w:t>s</w:t>
      </w:r>
      <w:r>
        <w:t xml:space="preserve"> valeurs de PRP </w:t>
      </w:r>
      <w:r>
        <w:lastRenderedPageBreak/>
        <w:t xml:space="preserve">élevées. </w:t>
      </w:r>
    </w:p>
    <w:p w14:paraId="252A9C53" w14:textId="77777777" w:rsidR="00555DA6" w:rsidRPr="00F325B1" w:rsidRDefault="00555DA6" w:rsidP="00555DA6">
      <w:pPr>
        <w:pStyle w:val="Titolo2"/>
        <w:rPr>
          <w:rFonts w:eastAsiaTheme="minorEastAsia"/>
        </w:rPr>
      </w:pPr>
      <w:r>
        <w:t xml:space="preserve">Les huiles synthétiques sont principalement composées d’hydrocarbures, y compris les esters à base de polyol (EBP) et la </w:t>
      </w:r>
      <w:proofErr w:type="spellStart"/>
      <w:r>
        <w:t>polyalphaoléfine</w:t>
      </w:r>
      <w:proofErr w:type="spellEnd"/>
      <w:r>
        <w:t xml:space="preserve"> (PAO). Contrairement aux liquides fluorés, les huiles synthétiques ne contribuent pas aux émissions de gaz à effet de serre, ce qui en fait un choix plus respectueux de l’environnement. Le tableau 2 présente les propriétés des liquides de refroidissement actuellement utilisés, mettant en évidence les différences en ce qui a trait à leur effet sur l’environnement, leur conductivité thermique et d’autres caractéristiques importantes.</w:t>
      </w:r>
    </w:p>
    <w:p w14:paraId="6EBBE2BB" w14:textId="249B4B8E" w:rsidR="00555DA6" w:rsidRPr="00F325B1" w:rsidRDefault="00555DA6" w:rsidP="00555DA6">
      <w:pPr>
        <w:pStyle w:val="Titolo2"/>
        <w:rPr>
          <w:rFonts w:eastAsia="SimSun"/>
        </w:rPr>
      </w:pPr>
      <w:r>
        <w:t xml:space="preserve">Le Bing Yi 797, une huile synthétique de refroidissement inventée et enregistrée par Tianjin Tier, est principalement composé de 90 à 99,8 % de </w:t>
      </w:r>
      <w:proofErr w:type="spellStart"/>
      <w:r>
        <w:t>polidocanol</w:t>
      </w:r>
      <w:proofErr w:type="spellEnd"/>
      <w:r>
        <w:t xml:space="preserve"> hydrogéné et de 0,2 à 0,9 % de composés antioxydants, sans hydrocarbures aromatiques. Cette composition est conçue pour maximiser la performance de refroidissement et le respect de l’environnement. Le projet de démonstration validerait l’efficacité du système de refroidissement par immersion monophasé dans le centre de données en utilisant le Bing Yi</w:t>
      </w:r>
      <w:r w:rsidR="00822564">
        <w:t> </w:t>
      </w:r>
      <w:r>
        <w:t xml:space="preserve">797. </w:t>
      </w:r>
    </w:p>
    <w:p w14:paraId="38F6242F" w14:textId="5E90FFF8" w:rsidR="00555DA6" w:rsidRPr="00F325B1" w:rsidRDefault="00555DA6" w:rsidP="00555DA6">
      <w:pPr>
        <w:keepNext/>
        <w:rPr>
          <w:rFonts w:eastAsiaTheme="minorEastAsia"/>
          <w:b/>
          <w:bCs/>
        </w:rPr>
      </w:pPr>
      <w:r>
        <w:rPr>
          <w:b/>
          <w:bCs/>
        </w:rPr>
        <w:t>Tableau</w:t>
      </w:r>
      <w:r w:rsidR="00822564">
        <w:rPr>
          <w:b/>
          <w:bCs/>
        </w:rPr>
        <w:t> </w:t>
      </w:r>
      <w:r>
        <w:rPr>
          <w:b/>
          <w:bCs/>
        </w:rPr>
        <w:t>2. Liquides de refroidissement utilisés dans le refroidissement par immersion monophasé</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29"/>
        <w:gridCol w:w="1134"/>
        <w:gridCol w:w="1276"/>
        <w:gridCol w:w="1134"/>
        <w:gridCol w:w="992"/>
        <w:gridCol w:w="1134"/>
        <w:gridCol w:w="851"/>
        <w:gridCol w:w="850"/>
        <w:gridCol w:w="993"/>
        <w:gridCol w:w="1139"/>
      </w:tblGrid>
      <w:tr w:rsidR="00555DA6" w:rsidRPr="00177CDE" w14:paraId="5FCE5DDF" w14:textId="77777777" w:rsidTr="003069D2">
        <w:trPr>
          <w:trHeight w:val="392"/>
          <w:jc w:val="center"/>
        </w:trPr>
        <w:tc>
          <w:tcPr>
            <w:tcW w:w="2263" w:type="dxa"/>
            <w:gridSpan w:val="2"/>
            <w:vMerge w:val="restart"/>
            <w:vAlign w:val="center"/>
          </w:tcPr>
          <w:p w14:paraId="55D6E97A" w14:textId="77777777" w:rsidR="00555DA6" w:rsidRPr="00177CDE" w:rsidRDefault="00555DA6" w:rsidP="00B007EC">
            <w:pPr>
              <w:keepNext/>
              <w:tabs>
                <w:tab w:val="left" w:pos="480"/>
              </w:tabs>
              <w:jc w:val="center"/>
              <w:rPr>
                <w:rFonts w:asciiTheme="majorBidi" w:eastAsia="DengXian" w:hAnsiTheme="majorBidi" w:cstheme="majorBidi"/>
                <w:b/>
                <w:bCs/>
                <w:sz w:val="20"/>
                <w:szCs w:val="20"/>
              </w:rPr>
            </w:pPr>
            <w:r>
              <w:rPr>
                <w:rFonts w:asciiTheme="majorBidi" w:hAnsiTheme="majorBidi"/>
                <w:b/>
                <w:bCs/>
                <w:sz w:val="20"/>
                <w:szCs w:val="20"/>
              </w:rPr>
              <w:t>Liquide de refroidissement</w:t>
            </w:r>
          </w:p>
        </w:tc>
        <w:tc>
          <w:tcPr>
            <w:tcW w:w="4536" w:type="dxa"/>
            <w:gridSpan w:val="4"/>
            <w:vAlign w:val="center"/>
          </w:tcPr>
          <w:p w14:paraId="30C7D552" w14:textId="77777777" w:rsidR="00555DA6" w:rsidRPr="00177CDE" w:rsidRDefault="00555DA6" w:rsidP="00B007EC">
            <w:pPr>
              <w:keepNext/>
              <w:tabs>
                <w:tab w:val="left" w:pos="480"/>
              </w:tabs>
              <w:jc w:val="center"/>
              <w:rPr>
                <w:rFonts w:asciiTheme="majorBidi" w:eastAsia="DengXian" w:hAnsiTheme="majorBidi" w:cstheme="majorBidi"/>
                <w:b/>
                <w:sz w:val="20"/>
                <w:szCs w:val="20"/>
              </w:rPr>
            </w:pPr>
            <w:r>
              <w:rPr>
                <w:rFonts w:asciiTheme="majorBidi" w:hAnsiTheme="majorBidi"/>
                <w:b/>
                <w:sz w:val="20"/>
                <w:szCs w:val="20"/>
              </w:rPr>
              <w:t>Performance thermique</w:t>
            </w:r>
          </w:p>
        </w:tc>
        <w:tc>
          <w:tcPr>
            <w:tcW w:w="1701" w:type="dxa"/>
            <w:gridSpan w:val="2"/>
            <w:vAlign w:val="center"/>
          </w:tcPr>
          <w:p w14:paraId="7D4F891F" w14:textId="77777777" w:rsidR="00555DA6" w:rsidRPr="00177CDE" w:rsidRDefault="00555DA6" w:rsidP="00B007EC">
            <w:pPr>
              <w:keepNext/>
              <w:tabs>
                <w:tab w:val="left" w:pos="480"/>
              </w:tabs>
              <w:jc w:val="center"/>
              <w:rPr>
                <w:rFonts w:asciiTheme="majorBidi" w:eastAsia="SimSun" w:hAnsiTheme="majorBidi" w:cstheme="majorBidi"/>
                <w:b/>
                <w:sz w:val="20"/>
                <w:szCs w:val="20"/>
              </w:rPr>
            </w:pPr>
            <w:r>
              <w:rPr>
                <w:rFonts w:asciiTheme="majorBidi" w:hAnsiTheme="majorBidi"/>
                <w:b/>
                <w:sz w:val="20"/>
                <w:szCs w:val="20"/>
              </w:rPr>
              <w:t>Effet sur l’environnement</w:t>
            </w:r>
          </w:p>
        </w:tc>
        <w:tc>
          <w:tcPr>
            <w:tcW w:w="2132" w:type="dxa"/>
            <w:gridSpan w:val="2"/>
            <w:vAlign w:val="center"/>
          </w:tcPr>
          <w:p w14:paraId="6F4C5E66" w14:textId="77777777" w:rsidR="00555DA6" w:rsidRPr="00177CDE" w:rsidRDefault="00555DA6" w:rsidP="00B007EC">
            <w:pPr>
              <w:keepNext/>
              <w:tabs>
                <w:tab w:val="left" w:pos="480"/>
              </w:tabs>
              <w:jc w:val="center"/>
              <w:rPr>
                <w:rFonts w:asciiTheme="majorBidi" w:eastAsia="SimSun" w:hAnsiTheme="majorBidi" w:cstheme="majorBidi"/>
                <w:b/>
                <w:sz w:val="20"/>
                <w:szCs w:val="20"/>
              </w:rPr>
            </w:pPr>
            <w:r>
              <w:rPr>
                <w:rFonts w:asciiTheme="majorBidi" w:hAnsiTheme="majorBidi"/>
                <w:b/>
                <w:sz w:val="20"/>
                <w:szCs w:val="20"/>
              </w:rPr>
              <w:t>Performance de sécurité</w:t>
            </w:r>
          </w:p>
        </w:tc>
      </w:tr>
      <w:tr w:rsidR="00555DA6" w:rsidRPr="00177CDE" w14:paraId="3A7F8A15" w14:textId="77777777" w:rsidTr="003069D2">
        <w:trPr>
          <w:trHeight w:val="640"/>
          <w:jc w:val="center"/>
        </w:trPr>
        <w:tc>
          <w:tcPr>
            <w:tcW w:w="2263" w:type="dxa"/>
            <w:gridSpan w:val="2"/>
            <w:vMerge/>
            <w:vAlign w:val="center"/>
          </w:tcPr>
          <w:p w14:paraId="0AF426BB"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p>
        </w:tc>
        <w:tc>
          <w:tcPr>
            <w:tcW w:w="1276" w:type="dxa"/>
          </w:tcPr>
          <w:p w14:paraId="537E8AEE" w14:textId="77777777" w:rsidR="00555DA6" w:rsidRPr="00177CDE" w:rsidRDefault="00555DA6" w:rsidP="00B007EC">
            <w:pPr>
              <w:tabs>
                <w:tab w:val="left" w:pos="480"/>
              </w:tabs>
              <w:jc w:val="center"/>
              <w:rPr>
                <w:rFonts w:asciiTheme="majorBidi" w:eastAsia="SimSun" w:hAnsiTheme="majorBidi" w:cstheme="majorBidi"/>
                <w:sz w:val="20"/>
                <w:szCs w:val="20"/>
              </w:rPr>
            </w:pPr>
            <w:r>
              <w:rPr>
                <w:rFonts w:asciiTheme="majorBidi" w:hAnsiTheme="majorBidi"/>
                <w:sz w:val="20"/>
                <w:szCs w:val="20"/>
              </w:rPr>
              <w:t>Conductivité thermique</w:t>
            </w:r>
          </w:p>
          <w:p w14:paraId="38A4B2BD"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W/(m·°C)</w:t>
            </w:r>
          </w:p>
        </w:tc>
        <w:tc>
          <w:tcPr>
            <w:tcW w:w="1134" w:type="dxa"/>
          </w:tcPr>
          <w:p w14:paraId="2169D42E" w14:textId="77777777" w:rsidR="00555DA6" w:rsidRPr="00177CDE" w:rsidRDefault="00555DA6" w:rsidP="00B007EC">
            <w:pPr>
              <w:tabs>
                <w:tab w:val="left" w:pos="480"/>
              </w:tabs>
              <w:jc w:val="center"/>
              <w:rPr>
                <w:rFonts w:asciiTheme="majorBidi" w:eastAsia="SimSun" w:hAnsiTheme="majorBidi" w:cstheme="majorBidi"/>
                <w:sz w:val="20"/>
                <w:szCs w:val="20"/>
              </w:rPr>
            </w:pPr>
            <w:bookmarkStart w:id="3" w:name="OLE_LINK1"/>
            <w:r>
              <w:rPr>
                <w:rFonts w:asciiTheme="majorBidi" w:hAnsiTheme="majorBidi"/>
                <w:sz w:val="20"/>
                <w:szCs w:val="20"/>
              </w:rPr>
              <w:t>Capacité thermique</w:t>
            </w:r>
          </w:p>
          <w:bookmarkEnd w:id="3"/>
          <w:p w14:paraId="73FDA22E" w14:textId="77777777" w:rsidR="00555DA6" w:rsidRPr="00177CDE" w:rsidRDefault="00555DA6" w:rsidP="00B007EC">
            <w:pPr>
              <w:tabs>
                <w:tab w:val="left" w:pos="480"/>
              </w:tabs>
              <w:jc w:val="center"/>
              <w:rPr>
                <w:rFonts w:asciiTheme="majorBidi" w:eastAsia="DengXian" w:hAnsiTheme="majorBidi" w:cstheme="majorBidi"/>
                <w:sz w:val="20"/>
                <w:szCs w:val="20"/>
              </w:rPr>
            </w:pPr>
            <w:proofErr w:type="gramStart"/>
            <w:r>
              <w:rPr>
                <w:rFonts w:asciiTheme="majorBidi" w:hAnsiTheme="majorBidi"/>
                <w:sz w:val="20"/>
                <w:szCs w:val="20"/>
              </w:rPr>
              <w:t>kJ</w:t>
            </w:r>
            <w:proofErr w:type="gramEnd"/>
            <w:r>
              <w:rPr>
                <w:rFonts w:asciiTheme="majorBidi" w:hAnsiTheme="majorBidi"/>
                <w:sz w:val="20"/>
                <w:szCs w:val="20"/>
              </w:rPr>
              <w:t>/(kg·°C)</w:t>
            </w:r>
          </w:p>
        </w:tc>
        <w:tc>
          <w:tcPr>
            <w:tcW w:w="992" w:type="dxa"/>
          </w:tcPr>
          <w:p w14:paraId="6443A4C3" w14:textId="77777777" w:rsidR="00555DA6" w:rsidRPr="00177CDE" w:rsidRDefault="00555DA6" w:rsidP="00B007EC">
            <w:pPr>
              <w:tabs>
                <w:tab w:val="left" w:pos="480"/>
              </w:tabs>
              <w:jc w:val="center"/>
              <w:rPr>
                <w:rFonts w:asciiTheme="majorBidi" w:eastAsia="SimSun" w:hAnsiTheme="majorBidi" w:cstheme="majorBidi"/>
                <w:sz w:val="20"/>
                <w:szCs w:val="20"/>
              </w:rPr>
            </w:pPr>
            <w:r>
              <w:rPr>
                <w:rFonts w:asciiTheme="majorBidi" w:hAnsiTheme="majorBidi"/>
                <w:sz w:val="20"/>
                <w:szCs w:val="20"/>
              </w:rPr>
              <w:t>Masse volumique</w:t>
            </w:r>
          </w:p>
          <w:p w14:paraId="1214B5F8" w14:textId="77777777" w:rsidR="00555DA6" w:rsidRPr="00177CDE" w:rsidRDefault="00555DA6" w:rsidP="00B007EC">
            <w:pPr>
              <w:tabs>
                <w:tab w:val="left" w:pos="480"/>
              </w:tabs>
              <w:jc w:val="center"/>
              <w:rPr>
                <w:rFonts w:asciiTheme="majorBidi" w:hAnsiTheme="majorBidi" w:cstheme="majorBidi"/>
                <w:sz w:val="20"/>
                <w:szCs w:val="20"/>
              </w:rPr>
            </w:pPr>
            <w:proofErr w:type="gramStart"/>
            <w:r>
              <w:rPr>
                <w:rFonts w:asciiTheme="majorBidi" w:hAnsiTheme="majorBidi"/>
                <w:sz w:val="20"/>
                <w:szCs w:val="20"/>
              </w:rPr>
              <w:t>kg</w:t>
            </w:r>
            <w:proofErr w:type="gramEnd"/>
            <w:r>
              <w:rPr>
                <w:rFonts w:asciiTheme="majorBidi" w:hAnsiTheme="majorBidi"/>
                <w:sz w:val="20"/>
                <w:szCs w:val="20"/>
              </w:rPr>
              <w:t>/m</w:t>
            </w:r>
            <w:r>
              <w:rPr>
                <w:rFonts w:asciiTheme="majorBidi" w:hAnsiTheme="majorBidi"/>
                <w:sz w:val="20"/>
                <w:szCs w:val="20"/>
                <w:vertAlign w:val="superscript"/>
              </w:rPr>
              <w:t>3</w:t>
            </w:r>
          </w:p>
        </w:tc>
        <w:tc>
          <w:tcPr>
            <w:tcW w:w="1134" w:type="dxa"/>
          </w:tcPr>
          <w:p w14:paraId="3F959880" w14:textId="77777777" w:rsidR="00555DA6" w:rsidRPr="00177CDE" w:rsidRDefault="00555DA6" w:rsidP="00B007EC">
            <w:pPr>
              <w:tabs>
                <w:tab w:val="left" w:pos="480"/>
              </w:tabs>
              <w:jc w:val="center"/>
              <w:rPr>
                <w:rFonts w:asciiTheme="majorBidi" w:eastAsia="SimSun" w:hAnsiTheme="majorBidi" w:cstheme="majorBidi"/>
                <w:sz w:val="20"/>
                <w:szCs w:val="20"/>
              </w:rPr>
            </w:pPr>
            <w:r>
              <w:rPr>
                <w:rFonts w:asciiTheme="majorBidi" w:hAnsiTheme="majorBidi"/>
                <w:sz w:val="20"/>
                <w:szCs w:val="20"/>
              </w:rPr>
              <w:t>Viscosité dynamique</w:t>
            </w:r>
          </w:p>
          <w:p w14:paraId="6908432F" w14:textId="77777777" w:rsidR="00555DA6" w:rsidRPr="00177CDE" w:rsidRDefault="00555DA6" w:rsidP="00B007EC">
            <w:pPr>
              <w:tabs>
                <w:tab w:val="left" w:pos="480"/>
              </w:tabs>
              <w:jc w:val="center"/>
              <w:rPr>
                <w:rFonts w:asciiTheme="majorBidi" w:eastAsia="SimSun" w:hAnsiTheme="majorBidi" w:cstheme="majorBidi"/>
                <w:sz w:val="20"/>
                <w:szCs w:val="20"/>
              </w:rPr>
            </w:pPr>
            <w:proofErr w:type="gramStart"/>
            <w:r>
              <w:rPr>
                <w:rFonts w:asciiTheme="majorBidi" w:hAnsiTheme="majorBidi"/>
                <w:sz w:val="20"/>
                <w:szCs w:val="20"/>
              </w:rPr>
              <w:t>mm</w:t>
            </w:r>
            <w:proofErr w:type="gramEnd"/>
            <w:r>
              <w:rPr>
                <w:rFonts w:asciiTheme="majorBidi" w:hAnsiTheme="majorBidi"/>
                <w:sz w:val="20"/>
                <w:szCs w:val="20"/>
                <w:vertAlign w:val="superscript"/>
              </w:rPr>
              <w:t>2</w:t>
            </w:r>
            <w:r>
              <w:rPr>
                <w:rFonts w:asciiTheme="majorBidi" w:hAnsiTheme="majorBidi"/>
                <w:sz w:val="20"/>
                <w:szCs w:val="20"/>
              </w:rPr>
              <w:t>/s</w:t>
            </w:r>
          </w:p>
        </w:tc>
        <w:tc>
          <w:tcPr>
            <w:tcW w:w="851" w:type="dxa"/>
          </w:tcPr>
          <w:p w14:paraId="7D06565C" w14:textId="77777777" w:rsidR="00555DA6" w:rsidRPr="00177CDE" w:rsidRDefault="00555DA6" w:rsidP="00B007EC">
            <w:pPr>
              <w:tabs>
                <w:tab w:val="left" w:pos="480"/>
              </w:tabs>
              <w:jc w:val="center"/>
              <w:rPr>
                <w:rFonts w:asciiTheme="majorBidi" w:eastAsia="DengXian" w:hAnsiTheme="majorBidi" w:cstheme="majorBidi"/>
                <w:sz w:val="20"/>
                <w:szCs w:val="20"/>
              </w:rPr>
            </w:pPr>
            <w:r>
              <w:rPr>
                <w:rFonts w:asciiTheme="majorBidi" w:hAnsiTheme="majorBidi"/>
                <w:sz w:val="20"/>
                <w:szCs w:val="20"/>
              </w:rPr>
              <w:t>PAO</w:t>
            </w:r>
          </w:p>
        </w:tc>
        <w:tc>
          <w:tcPr>
            <w:tcW w:w="850" w:type="dxa"/>
          </w:tcPr>
          <w:p w14:paraId="772C0406" w14:textId="77777777" w:rsidR="00555DA6" w:rsidRPr="00177CDE" w:rsidRDefault="00555DA6" w:rsidP="00B007EC">
            <w:pPr>
              <w:tabs>
                <w:tab w:val="left" w:pos="480"/>
              </w:tabs>
              <w:jc w:val="center"/>
              <w:rPr>
                <w:rFonts w:asciiTheme="majorBidi" w:eastAsia="DengXian" w:hAnsiTheme="majorBidi" w:cstheme="majorBidi"/>
                <w:sz w:val="20"/>
                <w:szCs w:val="20"/>
              </w:rPr>
            </w:pPr>
            <w:r>
              <w:rPr>
                <w:rFonts w:asciiTheme="majorBidi" w:hAnsiTheme="majorBidi"/>
                <w:sz w:val="20"/>
                <w:szCs w:val="20"/>
              </w:rPr>
              <w:t>PRP</w:t>
            </w:r>
          </w:p>
        </w:tc>
        <w:tc>
          <w:tcPr>
            <w:tcW w:w="993" w:type="dxa"/>
          </w:tcPr>
          <w:p w14:paraId="6EA35D14" w14:textId="77777777" w:rsidR="00555DA6" w:rsidRPr="00177CDE" w:rsidRDefault="00555DA6" w:rsidP="00B007EC">
            <w:pPr>
              <w:tabs>
                <w:tab w:val="left" w:pos="480"/>
              </w:tabs>
              <w:jc w:val="center"/>
              <w:rPr>
                <w:rFonts w:asciiTheme="majorBidi" w:eastAsia="SimSun" w:hAnsiTheme="majorBidi" w:cstheme="majorBidi"/>
                <w:sz w:val="20"/>
                <w:szCs w:val="20"/>
              </w:rPr>
            </w:pPr>
            <w:r>
              <w:rPr>
                <w:rFonts w:asciiTheme="majorBidi" w:hAnsiTheme="majorBidi"/>
                <w:sz w:val="20"/>
                <w:szCs w:val="20"/>
              </w:rPr>
              <w:t>Point d’éclair</w:t>
            </w:r>
          </w:p>
          <w:p w14:paraId="0C36AEB2"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°C</w:t>
            </w:r>
          </w:p>
        </w:tc>
        <w:tc>
          <w:tcPr>
            <w:tcW w:w="1139" w:type="dxa"/>
          </w:tcPr>
          <w:p w14:paraId="28D8A1D5" w14:textId="77777777" w:rsidR="00555DA6" w:rsidRPr="00177CDE" w:rsidRDefault="00555DA6" w:rsidP="00B007EC">
            <w:pPr>
              <w:tabs>
                <w:tab w:val="left" w:pos="480"/>
              </w:tabs>
              <w:jc w:val="center"/>
              <w:rPr>
                <w:rFonts w:asciiTheme="majorBidi" w:eastAsia="SimSun" w:hAnsiTheme="majorBidi" w:cstheme="majorBidi"/>
                <w:sz w:val="20"/>
                <w:szCs w:val="20"/>
              </w:rPr>
            </w:pPr>
            <w:r>
              <w:rPr>
                <w:rFonts w:asciiTheme="majorBidi" w:hAnsiTheme="majorBidi"/>
                <w:sz w:val="20"/>
                <w:szCs w:val="20"/>
              </w:rPr>
              <w:t>Point d’allumage</w:t>
            </w:r>
          </w:p>
          <w:p w14:paraId="19C52094"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°C</w:t>
            </w:r>
          </w:p>
        </w:tc>
      </w:tr>
      <w:tr w:rsidR="00555DA6" w:rsidRPr="00177CDE" w14:paraId="51A936C0" w14:textId="77777777" w:rsidTr="003069D2">
        <w:trPr>
          <w:trHeight w:val="235"/>
          <w:jc w:val="center"/>
        </w:trPr>
        <w:tc>
          <w:tcPr>
            <w:tcW w:w="1129" w:type="dxa"/>
            <w:vMerge w:val="restart"/>
            <w:vAlign w:val="center"/>
          </w:tcPr>
          <w:p w14:paraId="49E129EF"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Liquide fluoré</w:t>
            </w:r>
          </w:p>
        </w:tc>
        <w:tc>
          <w:tcPr>
            <w:tcW w:w="1134" w:type="dxa"/>
            <w:vAlign w:val="center"/>
          </w:tcPr>
          <w:p w14:paraId="5E129BA6" w14:textId="2CA1699E"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FC-40</w:t>
            </w:r>
          </w:p>
        </w:tc>
        <w:tc>
          <w:tcPr>
            <w:tcW w:w="1276" w:type="dxa"/>
          </w:tcPr>
          <w:p w14:paraId="0AEA29BE"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0,065</w:t>
            </w:r>
          </w:p>
        </w:tc>
        <w:tc>
          <w:tcPr>
            <w:tcW w:w="1134" w:type="dxa"/>
          </w:tcPr>
          <w:p w14:paraId="545009DB" w14:textId="77777777" w:rsidR="00555DA6" w:rsidRPr="00177CDE" w:rsidRDefault="00555DA6" w:rsidP="00B007EC">
            <w:pPr>
              <w:tabs>
                <w:tab w:val="left" w:pos="480"/>
              </w:tabs>
              <w:jc w:val="right"/>
              <w:rPr>
                <w:rFonts w:asciiTheme="majorBidi" w:eastAsia="SimSun" w:hAnsiTheme="majorBidi" w:cstheme="majorBidi"/>
                <w:sz w:val="20"/>
                <w:szCs w:val="20"/>
              </w:rPr>
            </w:pPr>
            <w:r>
              <w:rPr>
                <w:rFonts w:asciiTheme="majorBidi" w:hAnsiTheme="majorBidi"/>
                <w:sz w:val="20"/>
                <w:szCs w:val="20"/>
              </w:rPr>
              <w:t>1,1</w:t>
            </w:r>
          </w:p>
        </w:tc>
        <w:tc>
          <w:tcPr>
            <w:tcW w:w="992" w:type="dxa"/>
          </w:tcPr>
          <w:p w14:paraId="1D96FA5E" w14:textId="643B06A2"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1 855</w:t>
            </w:r>
          </w:p>
        </w:tc>
        <w:tc>
          <w:tcPr>
            <w:tcW w:w="1134" w:type="dxa"/>
          </w:tcPr>
          <w:p w14:paraId="440F9987"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2,2</w:t>
            </w:r>
          </w:p>
        </w:tc>
        <w:tc>
          <w:tcPr>
            <w:tcW w:w="851" w:type="dxa"/>
          </w:tcPr>
          <w:p w14:paraId="25819E6B"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78A7488F" w14:textId="63B65F4D"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&gt;5 000</w:t>
            </w:r>
          </w:p>
        </w:tc>
        <w:tc>
          <w:tcPr>
            <w:tcW w:w="993" w:type="dxa"/>
          </w:tcPr>
          <w:p w14:paraId="4497800C"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c>
          <w:tcPr>
            <w:tcW w:w="1139" w:type="dxa"/>
          </w:tcPr>
          <w:p w14:paraId="03182DFF"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r>
      <w:tr w:rsidR="00555DA6" w:rsidRPr="00177CDE" w14:paraId="2B122DE2" w14:textId="77777777" w:rsidTr="003069D2">
        <w:trPr>
          <w:trHeight w:val="141"/>
          <w:jc w:val="center"/>
        </w:trPr>
        <w:tc>
          <w:tcPr>
            <w:tcW w:w="1129" w:type="dxa"/>
            <w:vMerge/>
            <w:vAlign w:val="center"/>
          </w:tcPr>
          <w:p w14:paraId="63A6368C" w14:textId="77777777" w:rsidR="00555DA6" w:rsidRPr="00177CDE" w:rsidRDefault="00555DA6" w:rsidP="00B007EC">
            <w:pPr>
              <w:tabs>
                <w:tab w:val="left" w:pos="480"/>
              </w:tabs>
              <w:jc w:val="center"/>
              <w:rPr>
                <w:rFonts w:asciiTheme="majorBidi" w:hAnsiTheme="majorBidi" w:cstheme="majorBidi"/>
                <w:sz w:val="20"/>
                <w:szCs w:val="20"/>
              </w:rPr>
            </w:pPr>
          </w:p>
        </w:tc>
        <w:tc>
          <w:tcPr>
            <w:tcW w:w="1134" w:type="dxa"/>
            <w:vAlign w:val="center"/>
          </w:tcPr>
          <w:p w14:paraId="7A877EAF"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Novec7500</w:t>
            </w:r>
          </w:p>
        </w:tc>
        <w:tc>
          <w:tcPr>
            <w:tcW w:w="1276" w:type="dxa"/>
          </w:tcPr>
          <w:p w14:paraId="3B13FA02"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0,065</w:t>
            </w:r>
          </w:p>
        </w:tc>
        <w:tc>
          <w:tcPr>
            <w:tcW w:w="1134" w:type="dxa"/>
          </w:tcPr>
          <w:p w14:paraId="086AF114"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1,128</w:t>
            </w:r>
          </w:p>
        </w:tc>
        <w:tc>
          <w:tcPr>
            <w:tcW w:w="992" w:type="dxa"/>
          </w:tcPr>
          <w:p w14:paraId="09AF3149" w14:textId="477A653E"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1 614</w:t>
            </w:r>
          </w:p>
        </w:tc>
        <w:tc>
          <w:tcPr>
            <w:tcW w:w="1134" w:type="dxa"/>
          </w:tcPr>
          <w:p w14:paraId="210266A8"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0,77</w:t>
            </w:r>
          </w:p>
        </w:tc>
        <w:tc>
          <w:tcPr>
            <w:tcW w:w="851" w:type="dxa"/>
          </w:tcPr>
          <w:p w14:paraId="74290A27"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6577732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100</w:t>
            </w:r>
          </w:p>
        </w:tc>
        <w:tc>
          <w:tcPr>
            <w:tcW w:w="993" w:type="dxa"/>
          </w:tcPr>
          <w:p w14:paraId="328A6CA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c>
          <w:tcPr>
            <w:tcW w:w="1139" w:type="dxa"/>
          </w:tcPr>
          <w:p w14:paraId="0377EED6"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r>
      <w:tr w:rsidR="00555DA6" w:rsidRPr="00177CDE" w14:paraId="4F99B98D" w14:textId="77777777" w:rsidTr="003069D2">
        <w:trPr>
          <w:trHeight w:val="141"/>
          <w:jc w:val="center"/>
        </w:trPr>
        <w:tc>
          <w:tcPr>
            <w:tcW w:w="1129" w:type="dxa"/>
            <w:vMerge/>
            <w:vAlign w:val="center"/>
          </w:tcPr>
          <w:p w14:paraId="7376FC08" w14:textId="77777777" w:rsidR="00555DA6" w:rsidRPr="00177CDE" w:rsidRDefault="00555DA6" w:rsidP="00B007EC">
            <w:pPr>
              <w:tabs>
                <w:tab w:val="left" w:pos="480"/>
              </w:tabs>
              <w:jc w:val="center"/>
              <w:rPr>
                <w:rFonts w:asciiTheme="majorBidi" w:hAnsiTheme="majorBidi" w:cstheme="majorBidi"/>
                <w:sz w:val="20"/>
                <w:szCs w:val="20"/>
              </w:rPr>
            </w:pPr>
          </w:p>
        </w:tc>
        <w:tc>
          <w:tcPr>
            <w:tcW w:w="1134" w:type="dxa"/>
            <w:vAlign w:val="center"/>
          </w:tcPr>
          <w:p w14:paraId="36AFC34E" w14:textId="475DACE9"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SF-10</w:t>
            </w:r>
          </w:p>
        </w:tc>
        <w:tc>
          <w:tcPr>
            <w:tcW w:w="1276" w:type="dxa"/>
          </w:tcPr>
          <w:p w14:paraId="0FE45FAE"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0,077</w:t>
            </w:r>
          </w:p>
        </w:tc>
        <w:tc>
          <w:tcPr>
            <w:tcW w:w="1134" w:type="dxa"/>
          </w:tcPr>
          <w:p w14:paraId="47374F9B"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1</w:t>
            </w:r>
          </w:p>
        </w:tc>
        <w:tc>
          <w:tcPr>
            <w:tcW w:w="992" w:type="dxa"/>
          </w:tcPr>
          <w:p w14:paraId="2FF5CC65" w14:textId="3D8AE70C"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1 580</w:t>
            </w:r>
          </w:p>
        </w:tc>
        <w:tc>
          <w:tcPr>
            <w:tcW w:w="1134" w:type="dxa"/>
          </w:tcPr>
          <w:p w14:paraId="03AF056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0,71</w:t>
            </w:r>
          </w:p>
        </w:tc>
        <w:tc>
          <w:tcPr>
            <w:tcW w:w="851" w:type="dxa"/>
          </w:tcPr>
          <w:p w14:paraId="6C6FEC0E"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1CBFBD8A"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2,5</w:t>
            </w:r>
          </w:p>
        </w:tc>
        <w:tc>
          <w:tcPr>
            <w:tcW w:w="993" w:type="dxa"/>
          </w:tcPr>
          <w:p w14:paraId="02D712B4"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c>
          <w:tcPr>
            <w:tcW w:w="1139" w:type="dxa"/>
          </w:tcPr>
          <w:p w14:paraId="0FF54661"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r>
      <w:tr w:rsidR="00555DA6" w:rsidRPr="00177CDE" w14:paraId="40E0C681" w14:textId="77777777" w:rsidTr="003069D2">
        <w:trPr>
          <w:trHeight w:val="141"/>
          <w:jc w:val="center"/>
        </w:trPr>
        <w:tc>
          <w:tcPr>
            <w:tcW w:w="1129" w:type="dxa"/>
            <w:vMerge/>
            <w:vAlign w:val="center"/>
          </w:tcPr>
          <w:p w14:paraId="57703D8C" w14:textId="77777777" w:rsidR="00555DA6" w:rsidRPr="00177CDE" w:rsidRDefault="00555DA6" w:rsidP="00B007EC">
            <w:pPr>
              <w:tabs>
                <w:tab w:val="left" w:pos="480"/>
              </w:tabs>
              <w:jc w:val="center"/>
              <w:rPr>
                <w:rFonts w:asciiTheme="majorBidi" w:hAnsiTheme="majorBidi" w:cstheme="majorBidi"/>
                <w:sz w:val="20"/>
                <w:szCs w:val="20"/>
              </w:rPr>
            </w:pPr>
          </w:p>
        </w:tc>
        <w:tc>
          <w:tcPr>
            <w:tcW w:w="1134" w:type="dxa"/>
            <w:vAlign w:val="center"/>
          </w:tcPr>
          <w:p w14:paraId="07F61036" w14:textId="19868AC9"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HT-135</w:t>
            </w:r>
          </w:p>
        </w:tc>
        <w:tc>
          <w:tcPr>
            <w:tcW w:w="1276" w:type="dxa"/>
          </w:tcPr>
          <w:p w14:paraId="05D88DC2"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0,065</w:t>
            </w:r>
          </w:p>
        </w:tc>
        <w:tc>
          <w:tcPr>
            <w:tcW w:w="1134" w:type="dxa"/>
          </w:tcPr>
          <w:p w14:paraId="5FC31069"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0,963</w:t>
            </w:r>
          </w:p>
        </w:tc>
        <w:tc>
          <w:tcPr>
            <w:tcW w:w="992" w:type="dxa"/>
          </w:tcPr>
          <w:p w14:paraId="59596A2E" w14:textId="14CE83F0"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1 720</w:t>
            </w:r>
          </w:p>
        </w:tc>
        <w:tc>
          <w:tcPr>
            <w:tcW w:w="1134" w:type="dxa"/>
          </w:tcPr>
          <w:p w14:paraId="564B3EFA"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w:t>
            </w:r>
          </w:p>
        </w:tc>
        <w:tc>
          <w:tcPr>
            <w:tcW w:w="851" w:type="dxa"/>
          </w:tcPr>
          <w:p w14:paraId="1FBBD59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03FEA4E2" w14:textId="6672FC04"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&gt;5 000</w:t>
            </w:r>
          </w:p>
        </w:tc>
        <w:tc>
          <w:tcPr>
            <w:tcW w:w="993" w:type="dxa"/>
          </w:tcPr>
          <w:p w14:paraId="5B081218"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c>
          <w:tcPr>
            <w:tcW w:w="1139" w:type="dxa"/>
          </w:tcPr>
          <w:p w14:paraId="5FAB1210"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w:t>
            </w:r>
          </w:p>
        </w:tc>
      </w:tr>
      <w:tr w:rsidR="00555DA6" w:rsidRPr="00177CDE" w14:paraId="0619162A" w14:textId="77777777" w:rsidTr="003069D2">
        <w:trPr>
          <w:trHeight w:val="235"/>
          <w:jc w:val="center"/>
        </w:trPr>
        <w:tc>
          <w:tcPr>
            <w:tcW w:w="1129" w:type="dxa"/>
            <w:vMerge w:val="restart"/>
            <w:vAlign w:val="center"/>
          </w:tcPr>
          <w:p w14:paraId="0A2C22C6"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Huile synthétique</w:t>
            </w:r>
          </w:p>
        </w:tc>
        <w:tc>
          <w:tcPr>
            <w:tcW w:w="1134" w:type="dxa"/>
            <w:vAlign w:val="center"/>
          </w:tcPr>
          <w:p w14:paraId="5A3ECC96" w14:textId="77777777" w:rsidR="00555DA6" w:rsidRPr="00177CDE" w:rsidRDefault="00555DA6" w:rsidP="00B007EC">
            <w:pPr>
              <w:tabs>
                <w:tab w:val="left" w:pos="480"/>
              </w:tabs>
              <w:jc w:val="center"/>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Bing Yi 797</w:t>
            </w:r>
          </w:p>
        </w:tc>
        <w:tc>
          <w:tcPr>
            <w:tcW w:w="1276" w:type="dxa"/>
          </w:tcPr>
          <w:p w14:paraId="363B7B59" w14:textId="77777777" w:rsidR="00555DA6" w:rsidRPr="00177CDE" w:rsidRDefault="00555DA6" w:rsidP="00B007EC">
            <w:pPr>
              <w:tabs>
                <w:tab w:val="left" w:pos="480"/>
              </w:tabs>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0,342</w:t>
            </w:r>
          </w:p>
        </w:tc>
        <w:tc>
          <w:tcPr>
            <w:tcW w:w="1134" w:type="dxa"/>
          </w:tcPr>
          <w:p w14:paraId="22F7CB8B" w14:textId="77777777" w:rsidR="00555DA6" w:rsidRPr="00177CDE" w:rsidRDefault="00555DA6" w:rsidP="00B007EC">
            <w:pPr>
              <w:tabs>
                <w:tab w:val="left" w:pos="480"/>
              </w:tabs>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1,987</w:t>
            </w:r>
          </w:p>
        </w:tc>
        <w:tc>
          <w:tcPr>
            <w:tcW w:w="992" w:type="dxa"/>
          </w:tcPr>
          <w:p w14:paraId="17484E8B"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797</w:t>
            </w:r>
          </w:p>
        </w:tc>
        <w:tc>
          <w:tcPr>
            <w:tcW w:w="1134" w:type="dxa"/>
          </w:tcPr>
          <w:p w14:paraId="4BF9E311"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13</w:t>
            </w:r>
          </w:p>
        </w:tc>
        <w:tc>
          <w:tcPr>
            <w:tcW w:w="851" w:type="dxa"/>
          </w:tcPr>
          <w:p w14:paraId="4C88E256"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0</w:t>
            </w:r>
          </w:p>
        </w:tc>
        <w:tc>
          <w:tcPr>
            <w:tcW w:w="850" w:type="dxa"/>
          </w:tcPr>
          <w:p w14:paraId="3A5FCAF2"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0</w:t>
            </w:r>
          </w:p>
        </w:tc>
        <w:tc>
          <w:tcPr>
            <w:tcW w:w="993" w:type="dxa"/>
          </w:tcPr>
          <w:p w14:paraId="07F96741"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175</w:t>
            </w:r>
          </w:p>
        </w:tc>
        <w:tc>
          <w:tcPr>
            <w:tcW w:w="1139" w:type="dxa"/>
          </w:tcPr>
          <w:p w14:paraId="05FAEB14"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164</w:t>
            </w:r>
          </w:p>
        </w:tc>
      </w:tr>
      <w:tr w:rsidR="00555DA6" w:rsidRPr="00177CDE" w14:paraId="688BC887" w14:textId="77777777" w:rsidTr="003069D2">
        <w:trPr>
          <w:trHeight w:val="141"/>
          <w:jc w:val="center"/>
        </w:trPr>
        <w:tc>
          <w:tcPr>
            <w:tcW w:w="1129" w:type="dxa"/>
            <w:vMerge/>
            <w:vAlign w:val="center"/>
          </w:tcPr>
          <w:p w14:paraId="0B741012" w14:textId="77777777" w:rsidR="00555DA6" w:rsidRPr="00177CDE" w:rsidRDefault="00555DA6" w:rsidP="00B007EC">
            <w:pPr>
              <w:tabs>
                <w:tab w:val="left" w:pos="480"/>
              </w:tabs>
              <w:jc w:val="center"/>
              <w:rPr>
                <w:rFonts w:asciiTheme="majorBidi" w:hAnsiTheme="majorBidi" w:cstheme="majorBidi"/>
                <w:sz w:val="20"/>
                <w:szCs w:val="20"/>
              </w:rPr>
            </w:pPr>
          </w:p>
        </w:tc>
        <w:tc>
          <w:tcPr>
            <w:tcW w:w="1134" w:type="dxa"/>
            <w:vAlign w:val="center"/>
          </w:tcPr>
          <w:p w14:paraId="7E992899"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VP-3</w:t>
            </w:r>
          </w:p>
        </w:tc>
        <w:tc>
          <w:tcPr>
            <w:tcW w:w="1276" w:type="dxa"/>
          </w:tcPr>
          <w:p w14:paraId="54B78046"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0,117</w:t>
            </w:r>
          </w:p>
        </w:tc>
        <w:tc>
          <w:tcPr>
            <w:tcW w:w="1134" w:type="dxa"/>
          </w:tcPr>
          <w:p w14:paraId="1EC0DFAA"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1,630</w:t>
            </w:r>
          </w:p>
        </w:tc>
        <w:tc>
          <w:tcPr>
            <w:tcW w:w="992" w:type="dxa"/>
          </w:tcPr>
          <w:p w14:paraId="68513540"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930</w:t>
            </w:r>
          </w:p>
        </w:tc>
        <w:tc>
          <w:tcPr>
            <w:tcW w:w="1134" w:type="dxa"/>
          </w:tcPr>
          <w:p w14:paraId="0E74D6CF"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2,79</w:t>
            </w:r>
          </w:p>
        </w:tc>
        <w:tc>
          <w:tcPr>
            <w:tcW w:w="851" w:type="dxa"/>
          </w:tcPr>
          <w:p w14:paraId="33616EA9"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3BDF0A5C"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993" w:type="dxa"/>
          </w:tcPr>
          <w:p w14:paraId="769D3167"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113</w:t>
            </w:r>
          </w:p>
        </w:tc>
        <w:tc>
          <w:tcPr>
            <w:tcW w:w="1139" w:type="dxa"/>
          </w:tcPr>
          <w:p w14:paraId="077D2F49"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104</w:t>
            </w:r>
          </w:p>
        </w:tc>
      </w:tr>
      <w:tr w:rsidR="00555DA6" w:rsidRPr="00177CDE" w14:paraId="66EC8156" w14:textId="77777777" w:rsidTr="003069D2">
        <w:trPr>
          <w:trHeight w:val="141"/>
          <w:jc w:val="center"/>
        </w:trPr>
        <w:tc>
          <w:tcPr>
            <w:tcW w:w="1129" w:type="dxa"/>
            <w:vMerge/>
            <w:vAlign w:val="center"/>
          </w:tcPr>
          <w:p w14:paraId="5598C80C" w14:textId="77777777" w:rsidR="00555DA6" w:rsidRPr="00177CDE" w:rsidRDefault="00555DA6" w:rsidP="00B007EC">
            <w:pPr>
              <w:tabs>
                <w:tab w:val="left" w:pos="480"/>
              </w:tabs>
              <w:jc w:val="center"/>
              <w:rPr>
                <w:rFonts w:asciiTheme="majorBidi" w:hAnsiTheme="majorBidi" w:cstheme="majorBidi"/>
                <w:sz w:val="20"/>
                <w:szCs w:val="20"/>
              </w:rPr>
            </w:pPr>
          </w:p>
        </w:tc>
        <w:tc>
          <w:tcPr>
            <w:tcW w:w="1134" w:type="dxa"/>
            <w:vAlign w:val="center"/>
          </w:tcPr>
          <w:p w14:paraId="613F4881" w14:textId="77777777" w:rsidR="00555DA6" w:rsidRPr="00177CDE" w:rsidRDefault="00555DA6" w:rsidP="00B007EC">
            <w:pPr>
              <w:tabs>
                <w:tab w:val="left" w:pos="480"/>
              </w:tabs>
              <w:jc w:val="center"/>
              <w:rPr>
                <w:rFonts w:asciiTheme="majorBidi" w:hAnsiTheme="majorBidi" w:cstheme="majorBidi"/>
                <w:sz w:val="20"/>
                <w:szCs w:val="20"/>
              </w:rPr>
            </w:pPr>
            <w:r>
              <w:rPr>
                <w:rFonts w:asciiTheme="majorBidi" w:hAnsiTheme="majorBidi"/>
                <w:sz w:val="20"/>
                <w:szCs w:val="20"/>
              </w:rPr>
              <w:t>EC-110</w:t>
            </w:r>
          </w:p>
        </w:tc>
        <w:tc>
          <w:tcPr>
            <w:tcW w:w="1276" w:type="dxa"/>
          </w:tcPr>
          <w:p w14:paraId="53CD5607"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0,1376</w:t>
            </w:r>
          </w:p>
        </w:tc>
        <w:tc>
          <w:tcPr>
            <w:tcW w:w="1134" w:type="dxa"/>
          </w:tcPr>
          <w:p w14:paraId="076A2A3B" w14:textId="77777777" w:rsidR="00555DA6" w:rsidRPr="00177CDE" w:rsidRDefault="00555DA6" w:rsidP="00B007EC">
            <w:pPr>
              <w:tabs>
                <w:tab w:val="left" w:pos="480"/>
              </w:tabs>
              <w:jc w:val="right"/>
              <w:rPr>
                <w:rFonts w:asciiTheme="majorBidi" w:eastAsia="DengXian" w:hAnsiTheme="majorBidi" w:cstheme="majorBidi"/>
                <w:sz w:val="20"/>
                <w:szCs w:val="20"/>
              </w:rPr>
            </w:pPr>
            <w:r>
              <w:rPr>
                <w:rFonts w:asciiTheme="majorBidi" w:hAnsiTheme="majorBidi"/>
                <w:sz w:val="20"/>
                <w:szCs w:val="20"/>
              </w:rPr>
              <w:t>2,155</w:t>
            </w:r>
          </w:p>
        </w:tc>
        <w:tc>
          <w:tcPr>
            <w:tcW w:w="992" w:type="dxa"/>
          </w:tcPr>
          <w:p w14:paraId="0EE2CB30"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820</w:t>
            </w:r>
          </w:p>
        </w:tc>
        <w:tc>
          <w:tcPr>
            <w:tcW w:w="1134" w:type="dxa"/>
          </w:tcPr>
          <w:p w14:paraId="2D99BB4B"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16,94</w:t>
            </w:r>
          </w:p>
        </w:tc>
        <w:tc>
          <w:tcPr>
            <w:tcW w:w="851" w:type="dxa"/>
          </w:tcPr>
          <w:p w14:paraId="7DB2F154"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850" w:type="dxa"/>
          </w:tcPr>
          <w:p w14:paraId="54E10F7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0</w:t>
            </w:r>
          </w:p>
        </w:tc>
        <w:tc>
          <w:tcPr>
            <w:tcW w:w="993" w:type="dxa"/>
          </w:tcPr>
          <w:p w14:paraId="591BFE82"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&gt;350</w:t>
            </w:r>
          </w:p>
        </w:tc>
        <w:tc>
          <w:tcPr>
            <w:tcW w:w="1139" w:type="dxa"/>
          </w:tcPr>
          <w:p w14:paraId="21FFA1BD" w14:textId="77777777" w:rsidR="00555DA6" w:rsidRPr="00177CDE" w:rsidRDefault="00555DA6" w:rsidP="00B007EC">
            <w:pPr>
              <w:tabs>
                <w:tab w:val="left" w:pos="480"/>
              </w:tabs>
              <w:jc w:val="right"/>
              <w:rPr>
                <w:rFonts w:asciiTheme="majorBidi" w:hAnsiTheme="majorBidi" w:cstheme="majorBidi"/>
                <w:sz w:val="20"/>
                <w:szCs w:val="20"/>
              </w:rPr>
            </w:pPr>
            <w:r>
              <w:rPr>
                <w:rFonts w:asciiTheme="majorBidi" w:hAnsiTheme="majorBidi"/>
                <w:sz w:val="20"/>
                <w:szCs w:val="20"/>
              </w:rPr>
              <w:t>203</w:t>
            </w:r>
          </w:p>
        </w:tc>
      </w:tr>
    </w:tbl>
    <w:p w14:paraId="1A2AAA7E" w14:textId="77777777" w:rsidR="00555DA6" w:rsidRPr="00F325B1" w:rsidRDefault="00555DA6" w:rsidP="00555DA6">
      <w:pPr>
        <w:widowControl w:val="0"/>
        <w:spacing w:before="240" w:after="240"/>
        <w:outlineLvl w:val="2"/>
        <w:rPr>
          <w:rFonts w:eastAsia="Calibri"/>
          <w:u w:val="single"/>
        </w:rPr>
      </w:pPr>
      <w:r>
        <w:rPr>
          <w:u w:val="single"/>
        </w:rPr>
        <w:t>Renseignements sur l’entreprise</w:t>
      </w:r>
    </w:p>
    <w:p w14:paraId="71DB6CFA" w14:textId="77777777" w:rsidR="00555DA6" w:rsidRPr="00F325B1" w:rsidRDefault="00555DA6" w:rsidP="00555DA6">
      <w:pPr>
        <w:pStyle w:val="Titolo1"/>
        <w:rPr>
          <w:rFonts w:eastAsiaTheme="minorEastAsia"/>
        </w:rPr>
      </w:pPr>
      <w:r>
        <w:t xml:space="preserve">L’entreprise Anhui Tier </w:t>
      </w:r>
      <w:proofErr w:type="spellStart"/>
      <w:r>
        <w:t>Liquid</w:t>
      </w:r>
      <w:proofErr w:type="spellEnd"/>
      <w:r>
        <w:t xml:space="preserve"> </w:t>
      </w:r>
      <w:proofErr w:type="spellStart"/>
      <w:r>
        <w:t>Cooling</w:t>
      </w:r>
      <w:proofErr w:type="spellEnd"/>
      <w:r>
        <w:t xml:space="preserve"> </w:t>
      </w:r>
      <w:proofErr w:type="spellStart"/>
      <w:r>
        <w:t>Technology</w:t>
      </w:r>
      <w:proofErr w:type="spellEnd"/>
      <w:r>
        <w:t xml:space="preserve"> Co., Ltd., (Anhui Tier) est une entreprise technique spécialisée dans les solutions avancées de refroidissement pour les centres de données. La technologie de liquide de refroidissement qui sera utilisée a été élaborée par sa filiale, Tianjin Tier </w:t>
      </w:r>
      <w:proofErr w:type="spellStart"/>
      <w:r>
        <w:t>Technology</w:t>
      </w:r>
      <w:proofErr w:type="spellEnd"/>
      <w:r>
        <w:t xml:space="preserve"> Co., Ltd, qui a été fondée en 2019. Anhui Tier dirigera le projet pilote pour la conception, la fabrication, l’installation, l’ingénierie et la maintenance.</w:t>
      </w:r>
    </w:p>
    <w:p w14:paraId="09F09E6C" w14:textId="77777777" w:rsidR="00555DA6" w:rsidRPr="00F325B1" w:rsidRDefault="00555DA6" w:rsidP="00555DA6">
      <w:pPr>
        <w:pStyle w:val="Titolo1"/>
        <w:rPr>
          <w:rFonts w:eastAsiaTheme="minorEastAsia"/>
        </w:rPr>
      </w:pPr>
      <w:r>
        <w:t>Le projet sera mis en œuvre dans un nouveau centre de données; il n’existe donc pas d’utilisation actuelle de HFC et de consommation énergétique, mais le projet éviterait l’utilisation des HFC et réduirait les besoins énergétiques habituels d’un centre de données. Le site pour ce projet de démonstration est confirmé, dans la ville de Wuhu, et comporte plus de 20 000 m</w:t>
      </w:r>
      <w:r>
        <w:rPr>
          <w:vertAlign w:val="superscript"/>
        </w:rPr>
        <w:t>2</w:t>
      </w:r>
      <w:r>
        <w:t>, ainsi qu’une double alimentation électrique de 5 000 kVA, un approvisionnement en eau et un réseau à bande passante pour les besoins opérationnels.</w:t>
      </w:r>
    </w:p>
    <w:p w14:paraId="6EFA426A" w14:textId="77777777" w:rsidR="00555DA6" w:rsidRPr="00F325B1" w:rsidRDefault="00555DA6" w:rsidP="00555DA6">
      <w:pPr>
        <w:spacing w:before="240" w:after="240"/>
        <w:rPr>
          <w:b/>
          <w:bCs/>
        </w:rPr>
      </w:pPr>
      <w:r>
        <w:rPr>
          <w:b/>
          <w:bCs/>
        </w:rPr>
        <w:t>Aperçu du projet et demande de financement</w:t>
      </w:r>
    </w:p>
    <w:p w14:paraId="11D2CAA8" w14:textId="77777777" w:rsidR="00555DA6" w:rsidRPr="00F325B1" w:rsidRDefault="00555DA6" w:rsidP="00555DA6">
      <w:pPr>
        <w:pStyle w:val="Titolo1"/>
      </w:pPr>
      <w:r>
        <w:t>Ce projet pilote été soumis conformément à la décision 91/65 c).</w:t>
      </w:r>
    </w:p>
    <w:p w14:paraId="5EB5431B" w14:textId="77777777" w:rsidR="00555DA6" w:rsidRPr="00F325B1" w:rsidRDefault="00555DA6" w:rsidP="00555DA6">
      <w:pPr>
        <w:spacing w:after="240"/>
        <w:outlineLvl w:val="0"/>
      </w:pPr>
      <w:r>
        <w:rPr>
          <w:u w:val="single"/>
        </w:rPr>
        <w:t>Objectif du projet</w:t>
      </w:r>
    </w:p>
    <w:p w14:paraId="6ADC45DD" w14:textId="77777777" w:rsidR="00555DA6" w:rsidRPr="00F325B1" w:rsidRDefault="00555DA6" w:rsidP="00555DA6">
      <w:pPr>
        <w:pStyle w:val="Titolo1"/>
      </w:pPr>
      <w:r>
        <w:t xml:space="preserve">Le projet propose de commencer par la conception, la construction et l’exploitation du centre de données, y compris la mise à niveau des serveurs et la conception de six armoires de refroidissement par </w:t>
      </w:r>
      <w:r>
        <w:lastRenderedPageBreak/>
        <w:t>liquide avec une capacité totale de 7 200 kW, intégrant 10 cartes de traitement GRP en un serveur unique, suivi par la conception, la construction et l’exploitation d’un système de récupération des rejets thermiques utilisant une pompe à chaleur au R-290 et un système d’alimentation hybride, et il vise 50 pour cent d’énergie renouvelable. Ce projet comprendrait une évaluation complète et une analyse comparative par rapport à d’autres centres de données avec refroidissement à air et la mesure de l’efficacité énergétique, ainsi qu’un examen des normes en matière d’efficacité énergétique pour les centres de données à l’aide des données d’exploitation du projet de démonstration et ferait la promotion des résultats du projet grâce à diverses activités de sensibilisation et de diffusion.</w:t>
      </w:r>
    </w:p>
    <w:p w14:paraId="1F710E12" w14:textId="77777777" w:rsidR="00555DA6" w:rsidRPr="00F325B1" w:rsidRDefault="00555DA6" w:rsidP="00555DA6">
      <w:pPr>
        <w:spacing w:before="240" w:after="240"/>
      </w:pPr>
      <w:r>
        <w:t xml:space="preserve"> </w:t>
      </w:r>
      <w:r>
        <w:rPr>
          <w:u w:val="single"/>
        </w:rPr>
        <w:t>Activités proposées</w:t>
      </w:r>
    </w:p>
    <w:p w14:paraId="4F3599D6" w14:textId="77777777" w:rsidR="00555DA6" w:rsidRPr="00F325B1" w:rsidRDefault="00555DA6" w:rsidP="00555DA6">
      <w:pPr>
        <w:pStyle w:val="Titolo1"/>
      </w:pPr>
      <w:r>
        <w:t>Il y a six éléments principaux dans ce projet, et chaque élément est décrit ci-dessous.</w:t>
      </w:r>
    </w:p>
    <w:p w14:paraId="565B83A7" w14:textId="77777777" w:rsidR="00555DA6" w:rsidRPr="00F325B1" w:rsidRDefault="00555DA6" w:rsidP="00555DA6">
      <w:pPr>
        <w:pStyle w:val="Titolo2"/>
      </w:pPr>
      <w:r>
        <w:rPr>
          <w:i/>
          <w:iCs/>
        </w:rPr>
        <w:t>Centre de données</w:t>
      </w:r>
      <w:r>
        <w:t> : Les activités comprendraient l’optimisation des serveurs pour améliorer le champ d’écoulement interne et augmenter l’échange thermique entre les microcircuits intégrés et le liquide de refroidissement; la conception, l’assemblage et l’exploitation du système, l’analyse des effets des paramètres structurels, des propriétés physiques et des paramètres d’exploitation des serveurs refroidis par liquide; la conception des armoires de refroidissement par liquide et l’analyse des paramètres d’exploitation, comme le débit et la température du liquide de refroidissement; la conception de la logique opérationnelle pour l’équipement de refroidissement externe;</w:t>
      </w:r>
    </w:p>
    <w:p w14:paraId="0FD68080" w14:textId="77777777" w:rsidR="00555DA6" w:rsidRPr="00F325B1" w:rsidRDefault="00555DA6" w:rsidP="00555DA6">
      <w:pPr>
        <w:pStyle w:val="Titolo2"/>
      </w:pPr>
      <w:r>
        <w:rPr>
          <w:i/>
          <w:iCs/>
        </w:rPr>
        <w:t>Récupération des eaux usées :</w:t>
      </w:r>
      <w:r>
        <w:t xml:space="preserve"> Le centre de données utilisera des eaux usées pour fournir de la chaleur au parc de centre de données, tirant parti de sa température élevée (plus de 50 °C) pour la récupération écoénergétique; cela comprendra la conception d’un système de récupération des eaux usées, incluant des appareils de pompe à chaleur et des conceptions de tuyaux; le développement d’une logique d’exploitation à l’aide de méthodes d’IA afin d’optimiser la performance du système, garantissant que le centre de données est refroidi de manière efficace tout en fournissant de la chaleur au parc; et le traitement, l’assemblage et les tests de fonctionnement.</w:t>
      </w:r>
    </w:p>
    <w:p w14:paraId="330C7861" w14:textId="77777777" w:rsidR="00555DA6" w:rsidRPr="00F325B1" w:rsidRDefault="00555DA6" w:rsidP="00555DA6">
      <w:pPr>
        <w:pStyle w:val="Titolo2"/>
        <w:widowControl/>
      </w:pPr>
      <w:r>
        <w:rPr>
          <w:i/>
          <w:iCs/>
        </w:rPr>
        <w:t>Système d’alimentation électrique hybride</w:t>
      </w:r>
      <w:r>
        <w:t> : Introduire deux sources d’alimentation électrique municipales, chacune capable de supporter 50 pour cent de la charge dans des conditions normales et 100 pour cent si l’une des sources fait défaut; évaluer les exigences thermiques supplémentaires; utiliser les données recueillies pendant les tests de fonctionnement sur la dissipation thermique du système et les exigences d’approvisionnement en chauffage; déterminer les besoins en matière de chauffage pour le parc de centre de données afin de déterminer si le système de récupération des rejets thermiques peut répondre efficacement à ces besoins; élaborer des stratégies d’exploitation fondées sur les données recueillies; traiter et assembler en vue de l’alimentation électrique mixte; et effectuer les tests de fonctionnement pour l’alimentation électrique mixte;</w:t>
      </w:r>
    </w:p>
    <w:p w14:paraId="0072FED4" w14:textId="77777777" w:rsidR="00555DA6" w:rsidRPr="00F325B1" w:rsidRDefault="00555DA6" w:rsidP="00555DA6">
      <w:pPr>
        <w:pStyle w:val="Titolo2"/>
      </w:pPr>
      <w:r>
        <w:rPr>
          <w:i/>
          <w:iCs/>
        </w:rPr>
        <w:t xml:space="preserve">Étude comparative : </w:t>
      </w:r>
      <w:r>
        <w:t>Effectuer une analyse en profondeur des centres de données avec refroidissement par immersion monophasé en se concentrant sur la comparaison de la performance, de l’efficacité énergétique, de l’effet sur l’environnement et des avantages économiques du refroidissement par immersion monophasé par rapport aux centres de données traditionnellement refroidis par air; l’effet sur l’environnement du cycle de vie du liquide de refroidissement et les émissions de carbone du système au cours de son cycle de vie; l’efficacité énergétique et les aspects et paramètres économiques, comme le PUE, l’efficacité de l’utilisation de l’eau, les coûts d’investissement et les coûts d’exploitation pour le système analysé; rapport de recherche complet;</w:t>
      </w:r>
    </w:p>
    <w:p w14:paraId="56A6B978" w14:textId="77777777" w:rsidR="00555DA6" w:rsidRPr="00F325B1" w:rsidRDefault="00555DA6" w:rsidP="00555DA6">
      <w:pPr>
        <w:pStyle w:val="Titolo2"/>
      </w:pPr>
      <w:r>
        <w:rPr>
          <w:i/>
          <w:iCs/>
        </w:rPr>
        <w:t>Amélioration des normes :</w:t>
      </w:r>
      <w:r>
        <w:t xml:space="preserve"> Évaluation du marché de la demande pour les systèmes de </w:t>
      </w:r>
      <w:r>
        <w:lastRenderedPageBreak/>
        <w:t>refroidissement par immersion monophasé dans les installations nouvelles et existantes qui comptent actuellement sur des systèmes de refroidissement à base de HFC, y compris une analyse des tendances de l’industrie, les taux potentiels d’adoption et le paysage réglementaire; la norme nationale pour les valeurs de consommation maximale autorisée et les classements d’efficacité énergétique pour les centres de données examinés, y compris les réunions de consultation avec les experts de l’industrie et le comité national de normalisation; un rapport avec des recommandations sur l’amélioration de la norme préparée;</w:t>
      </w:r>
    </w:p>
    <w:p w14:paraId="5526221C" w14:textId="77777777" w:rsidR="00555DA6" w:rsidRPr="00F325B1" w:rsidRDefault="00555DA6" w:rsidP="00555DA6">
      <w:pPr>
        <w:pStyle w:val="Titolo2"/>
        <w:rPr>
          <w:i/>
          <w:iCs/>
        </w:rPr>
      </w:pPr>
      <w:r>
        <w:rPr>
          <w:i/>
          <w:iCs/>
        </w:rPr>
        <w:t xml:space="preserve">Sensibilisation à la technologie et diffusion : </w:t>
      </w:r>
      <w:r>
        <w:t>Comprend un séminaire technique et une participation à un salon de l’industrie; et une formation pour les concepteurs, les techniciens, les gestionnaires de production, les techniciens d’installation et le personnel de maintenance de l’équipement.</w:t>
      </w:r>
    </w:p>
    <w:p w14:paraId="32F77898" w14:textId="77777777" w:rsidR="00555DA6" w:rsidRPr="00F325B1" w:rsidRDefault="00555DA6" w:rsidP="00555DA6">
      <w:pPr>
        <w:pStyle w:val="Titolo1"/>
      </w:pPr>
      <w:r>
        <w:t>Le projet sera mis en œuvre entre décembre 2024 et décembre 2026.</w:t>
      </w:r>
    </w:p>
    <w:p w14:paraId="5ADA32B0" w14:textId="77777777" w:rsidR="00555DA6" w:rsidRPr="00F325B1" w:rsidRDefault="00555DA6" w:rsidP="00555DA6">
      <w:pPr>
        <w:keepNext/>
        <w:keepLines/>
        <w:spacing w:before="240" w:after="240"/>
        <w:rPr>
          <w:u w:val="single"/>
        </w:rPr>
      </w:pPr>
      <w:r>
        <w:rPr>
          <w:u w:val="single"/>
        </w:rPr>
        <w:t>Total des coûts du projet pilote</w:t>
      </w:r>
    </w:p>
    <w:p w14:paraId="7FD7711C" w14:textId="77777777" w:rsidR="00555DA6" w:rsidRPr="00F325B1" w:rsidRDefault="00555DA6" w:rsidP="00555DA6">
      <w:pPr>
        <w:pStyle w:val="Titolo1"/>
      </w:pPr>
      <w:r>
        <w:t>Le coût total du projet pilote, tel que soumis, est résumé au tableau 3.</w:t>
      </w:r>
    </w:p>
    <w:p w14:paraId="071B43F3" w14:textId="6F211A31" w:rsidR="00555DA6" w:rsidRPr="00F325B1" w:rsidRDefault="00555DA6" w:rsidP="00555DA6">
      <w:pPr>
        <w:pStyle w:val="Didascalia"/>
        <w:ind w:left="0"/>
      </w:pPr>
      <w:bookmarkStart w:id="4" w:name="_Hlk150446883"/>
      <w:r>
        <w:t>Tableau</w:t>
      </w:r>
      <w:r w:rsidR="00992049">
        <w:t> </w:t>
      </w:r>
      <w:r>
        <w:t>3. Coûts estimés pour le projet pilote sur l’efficacité énergétique dans un centre de données, tel que soumis ($ US)</w:t>
      </w:r>
    </w:p>
    <w:tbl>
      <w:tblPr>
        <w:tblW w:w="9863" w:type="dxa"/>
        <w:tblCellMar>
          <w:left w:w="57" w:type="dxa"/>
          <w:right w:w="57" w:type="dxa"/>
        </w:tblCellMar>
        <w:tblLook w:val="04A0" w:firstRow="1" w:lastRow="0" w:firstColumn="1" w:lastColumn="0" w:noHBand="0" w:noVBand="1"/>
      </w:tblPr>
      <w:tblGrid>
        <w:gridCol w:w="1578"/>
        <w:gridCol w:w="4225"/>
        <w:gridCol w:w="1363"/>
        <w:gridCol w:w="1362"/>
        <w:gridCol w:w="1535"/>
      </w:tblGrid>
      <w:tr w:rsidR="00555DA6" w:rsidRPr="003D2176" w14:paraId="4DC384CB" w14:textId="77777777" w:rsidTr="00B007EC">
        <w:trPr>
          <w:trHeight w:val="345"/>
          <w:tblHeader/>
        </w:trPr>
        <w:tc>
          <w:tcPr>
            <w:tcW w:w="5603" w:type="dxa"/>
            <w:gridSpan w:val="2"/>
            <w:tcBorders>
              <w:top w:val="single" w:sz="4" w:space="0" w:color="auto"/>
              <w:left w:val="single" w:sz="4" w:space="0" w:color="auto"/>
              <w:bottom w:val="single" w:sz="4" w:space="0" w:color="auto"/>
              <w:right w:val="single" w:sz="4" w:space="0" w:color="auto"/>
            </w:tcBorders>
            <w:shd w:val="clear" w:color="auto" w:fill="auto"/>
            <w:hideMark/>
          </w:tcPr>
          <w:bookmarkEnd w:id="4"/>
          <w:p w14:paraId="3C0A6FA9" w14:textId="77777777" w:rsidR="00555DA6" w:rsidRPr="003D2176" w:rsidRDefault="00555DA6" w:rsidP="00B007EC">
            <w:pPr>
              <w:jc w:val="center"/>
              <w:rPr>
                <w:rFonts w:asciiTheme="majorBidi" w:eastAsia="DengXian" w:hAnsiTheme="majorBidi" w:cstheme="majorBidi"/>
                <w:b/>
                <w:bCs/>
                <w:color w:val="000000"/>
                <w:sz w:val="20"/>
                <w:szCs w:val="20"/>
              </w:rPr>
            </w:pPr>
            <w:r>
              <w:rPr>
                <w:rFonts w:asciiTheme="majorBidi" w:hAnsiTheme="majorBidi"/>
                <w:b/>
                <w:bCs/>
                <w:color w:val="000000"/>
                <w:sz w:val="20"/>
                <w:szCs w:val="20"/>
              </w:rPr>
              <w:t xml:space="preserve">Coûts détaillés </w:t>
            </w:r>
          </w:p>
        </w:tc>
        <w:tc>
          <w:tcPr>
            <w:tcW w:w="1363" w:type="dxa"/>
            <w:tcBorders>
              <w:top w:val="single" w:sz="4" w:space="0" w:color="auto"/>
              <w:left w:val="nil"/>
              <w:bottom w:val="single" w:sz="4" w:space="0" w:color="auto"/>
              <w:right w:val="single" w:sz="4" w:space="0" w:color="auto"/>
            </w:tcBorders>
            <w:shd w:val="clear" w:color="auto" w:fill="auto"/>
            <w:noWrap/>
            <w:hideMark/>
          </w:tcPr>
          <w:p w14:paraId="776A6A94" w14:textId="77777777" w:rsidR="00555DA6" w:rsidRPr="003D2176" w:rsidRDefault="00555DA6" w:rsidP="00B007EC">
            <w:pPr>
              <w:jc w:val="center"/>
              <w:rPr>
                <w:rFonts w:asciiTheme="majorBidi" w:eastAsia="DengXian" w:hAnsiTheme="majorBidi" w:cstheme="majorBidi"/>
                <w:b/>
                <w:bCs/>
                <w:color w:val="000000"/>
                <w:sz w:val="20"/>
                <w:szCs w:val="20"/>
              </w:rPr>
            </w:pPr>
            <w:r>
              <w:rPr>
                <w:rFonts w:asciiTheme="majorBidi" w:hAnsiTheme="majorBidi"/>
                <w:b/>
                <w:bCs/>
                <w:color w:val="000000"/>
                <w:sz w:val="20"/>
                <w:szCs w:val="20"/>
              </w:rPr>
              <w:t>Coût total du projet</w:t>
            </w:r>
          </w:p>
          <w:p w14:paraId="488794D8"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p>
        </w:tc>
        <w:tc>
          <w:tcPr>
            <w:tcW w:w="1362" w:type="dxa"/>
            <w:tcBorders>
              <w:top w:val="single" w:sz="4" w:space="0" w:color="auto"/>
              <w:left w:val="nil"/>
              <w:bottom w:val="single" w:sz="4" w:space="0" w:color="auto"/>
              <w:right w:val="single" w:sz="4" w:space="0" w:color="auto"/>
            </w:tcBorders>
            <w:shd w:val="clear" w:color="auto" w:fill="auto"/>
            <w:noWrap/>
            <w:hideMark/>
          </w:tcPr>
          <w:p w14:paraId="1465FDA9" w14:textId="77777777" w:rsidR="00555DA6" w:rsidRPr="003D2176" w:rsidRDefault="00555DA6" w:rsidP="00B007EC">
            <w:pPr>
              <w:jc w:val="center"/>
              <w:rPr>
                <w:rFonts w:asciiTheme="majorBidi" w:eastAsia="DengXian" w:hAnsiTheme="majorBidi" w:cstheme="majorBidi"/>
                <w:b/>
                <w:bCs/>
                <w:color w:val="000000"/>
                <w:sz w:val="20"/>
                <w:szCs w:val="20"/>
              </w:rPr>
            </w:pPr>
            <w:r>
              <w:rPr>
                <w:rFonts w:asciiTheme="majorBidi" w:hAnsiTheme="majorBidi"/>
                <w:b/>
                <w:bCs/>
                <w:color w:val="000000"/>
                <w:sz w:val="20"/>
                <w:szCs w:val="20"/>
              </w:rPr>
              <w:t>Cofinancé par la Chine</w:t>
            </w:r>
          </w:p>
          <w:p w14:paraId="27C0F20C"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p>
        </w:tc>
        <w:tc>
          <w:tcPr>
            <w:tcW w:w="1535" w:type="dxa"/>
            <w:tcBorders>
              <w:top w:val="single" w:sz="4" w:space="0" w:color="auto"/>
              <w:left w:val="single" w:sz="4" w:space="0" w:color="auto"/>
              <w:bottom w:val="single" w:sz="4" w:space="0" w:color="auto"/>
              <w:right w:val="single" w:sz="4" w:space="0" w:color="auto"/>
            </w:tcBorders>
            <w:shd w:val="clear" w:color="auto" w:fill="auto"/>
            <w:noWrap/>
            <w:hideMark/>
          </w:tcPr>
          <w:p w14:paraId="30126BEF" w14:textId="77777777" w:rsidR="00555DA6" w:rsidRPr="003D2176" w:rsidRDefault="00555DA6" w:rsidP="00B007EC">
            <w:pPr>
              <w:jc w:val="center"/>
              <w:rPr>
                <w:rFonts w:asciiTheme="majorBidi" w:eastAsia="DengXian" w:hAnsiTheme="majorBidi" w:cstheme="majorBidi"/>
                <w:b/>
                <w:bCs/>
                <w:color w:val="000000"/>
                <w:sz w:val="20"/>
                <w:szCs w:val="20"/>
              </w:rPr>
            </w:pPr>
            <w:r>
              <w:rPr>
                <w:rFonts w:asciiTheme="majorBidi" w:hAnsiTheme="majorBidi"/>
                <w:b/>
                <w:bCs/>
                <w:color w:val="000000"/>
                <w:sz w:val="20"/>
                <w:szCs w:val="20"/>
              </w:rPr>
              <w:t>Fonds du FML</w:t>
            </w:r>
          </w:p>
        </w:tc>
      </w:tr>
      <w:tr w:rsidR="00555DA6" w:rsidRPr="003D2176" w14:paraId="60D2CFCE"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vAlign w:val="center"/>
            <w:hideMark/>
          </w:tcPr>
          <w:p w14:paraId="60CA38D6" w14:textId="77777777" w:rsidR="00555DA6" w:rsidRPr="003D2176" w:rsidRDefault="00555DA6" w:rsidP="00B007EC">
            <w:pPr>
              <w:jc w:val="left"/>
              <w:rPr>
                <w:rFonts w:asciiTheme="majorBidi" w:eastAsia="DengXian" w:hAnsiTheme="majorBidi" w:cstheme="majorBidi"/>
                <w:b/>
                <w:bCs/>
                <w:color w:val="000000"/>
                <w:sz w:val="20"/>
                <w:szCs w:val="20"/>
              </w:rPr>
            </w:pPr>
            <w:r>
              <w:rPr>
                <w:rFonts w:asciiTheme="majorBidi" w:hAnsiTheme="majorBidi"/>
                <w:b/>
                <w:bCs/>
                <w:color w:val="000000"/>
                <w:sz w:val="20"/>
                <w:szCs w:val="20"/>
              </w:rPr>
              <w:t>Infrastructure physique</w:t>
            </w:r>
          </w:p>
        </w:tc>
        <w:tc>
          <w:tcPr>
            <w:tcW w:w="4225" w:type="dxa"/>
            <w:tcBorders>
              <w:top w:val="nil"/>
              <w:left w:val="nil"/>
              <w:bottom w:val="single" w:sz="4" w:space="0" w:color="auto"/>
              <w:right w:val="single" w:sz="4" w:space="0" w:color="auto"/>
            </w:tcBorders>
            <w:shd w:val="clear" w:color="auto" w:fill="auto"/>
            <w:vAlign w:val="center"/>
            <w:hideMark/>
          </w:tcPr>
          <w:p w14:paraId="48F34275"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Division du terrain</w:t>
            </w:r>
          </w:p>
        </w:tc>
        <w:tc>
          <w:tcPr>
            <w:tcW w:w="1363" w:type="dxa"/>
            <w:tcBorders>
              <w:top w:val="single" w:sz="4" w:space="0" w:color="auto"/>
              <w:left w:val="nil"/>
              <w:bottom w:val="single" w:sz="4" w:space="0" w:color="auto"/>
              <w:right w:val="single" w:sz="4" w:space="0" w:color="auto"/>
            </w:tcBorders>
            <w:shd w:val="clear" w:color="auto" w:fill="auto"/>
            <w:noWrap/>
            <w:vAlign w:val="center"/>
            <w:hideMark/>
          </w:tcPr>
          <w:p w14:paraId="37495EB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1 540 000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14C4698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1 540 000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4E10427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09063ADD"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27B065A" w14:textId="77777777" w:rsidR="00555DA6" w:rsidRPr="003D2176" w:rsidRDefault="00555DA6" w:rsidP="00B007EC">
            <w:pPr>
              <w:rPr>
                <w:rFonts w:asciiTheme="majorBidi" w:eastAsia="DengXian" w:hAnsiTheme="majorBidi" w:cstheme="majorBidi"/>
                <w:b/>
                <w:bCs/>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14AF6F7C"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Construction civile du site</w:t>
            </w:r>
          </w:p>
        </w:tc>
        <w:tc>
          <w:tcPr>
            <w:tcW w:w="1363" w:type="dxa"/>
            <w:tcBorders>
              <w:top w:val="nil"/>
              <w:left w:val="nil"/>
              <w:bottom w:val="single" w:sz="4" w:space="0" w:color="auto"/>
              <w:right w:val="single" w:sz="4" w:space="0" w:color="auto"/>
            </w:tcBorders>
            <w:shd w:val="clear" w:color="auto" w:fill="auto"/>
            <w:noWrap/>
            <w:vAlign w:val="center"/>
            <w:hideMark/>
          </w:tcPr>
          <w:p w14:paraId="295491C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400 000</w:t>
            </w:r>
          </w:p>
        </w:tc>
        <w:tc>
          <w:tcPr>
            <w:tcW w:w="1362" w:type="dxa"/>
            <w:tcBorders>
              <w:top w:val="nil"/>
              <w:left w:val="nil"/>
              <w:bottom w:val="single" w:sz="4" w:space="0" w:color="auto"/>
              <w:right w:val="single" w:sz="4" w:space="0" w:color="auto"/>
            </w:tcBorders>
            <w:shd w:val="clear" w:color="auto" w:fill="auto"/>
            <w:noWrap/>
            <w:vAlign w:val="center"/>
            <w:hideMark/>
          </w:tcPr>
          <w:p w14:paraId="2C69862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400 000</w:t>
            </w:r>
          </w:p>
        </w:tc>
        <w:tc>
          <w:tcPr>
            <w:tcW w:w="1535" w:type="dxa"/>
            <w:tcBorders>
              <w:top w:val="nil"/>
              <w:left w:val="nil"/>
              <w:bottom w:val="single" w:sz="4" w:space="0" w:color="auto"/>
              <w:right w:val="single" w:sz="4" w:space="0" w:color="auto"/>
            </w:tcBorders>
            <w:shd w:val="clear" w:color="auto" w:fill="auto"/>
            <w:noWrap/>
            <w:vAlign w:val="center"/>
            <w:hideMark/>
          </w:tcPr>
          <w:p w14:paraId="674CD14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3BE2F1FB"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CD320"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3A0C5E39"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1 940 000</w:t>
            </w:r>
          </w:p>
        </w:tc>
        <w:tc>
          <w:tcPr>
            <w:tcW w:w="1362" w:type="dxa"/>
            <w:tcBorders>
              <w:top w:val="nil"/>
              <w:left w:val="nil"/>
              <w:bottom w:val="single" w:sz="4" w:space="0" w:color="auto"/>
              <w:right w:val="single" w:sz="4" w:space="0" w:color="auto"/>
            </w:tcBorders>
            <w:shd w:val="clear" w:color="auto" w:fill="auto"/>
            <w:noWrap/>
            <w:vAlign w:val="center"/>
            <w:hideMark/>
          </w:tcPr>
          <w:p w14:paraId="07878441"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1 940 000</w:t>
            </w:r>
          </w:p>
        </w:tc>
        <w:tc>
          <w:tcPr>
            <w:tcW w:w="1535" w:type="dxa"/>
            <w:tcBorders>
              <w:top w:val="nil"/>
              <w:left w:val="nil"/>
              <w:bottom w:val="single" w:sz="4" w:space="0" w:color="auto"/>
              <w:right w:val="single" w:sz="4" w:space="0" w:color="auto"/>
            </w:tcBorders>
            <w:shd w:val="clear" w:color="auto" w:fill="auto"/>
            <w:noWrap/>
            <w:vAlign w:val="center"/>
            <w:hideMark/>
          </w:tcPr>
          <w:p w14:paraId="74E97964"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0</w:t>
            </w:r>
          </w:p>
        </w:tc>
      </w:tr>
      <w:tr w:rsidR="00555DA6" w:rsidRPr="003D2176" w14:paraId="6FC5E25B"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69FF61" w14:textId="77777777" w:rsidR="00555DA6" w:rsidRPr="003D2176" w:rsidRDefault="00555DA6" w:rsidP="00B007EC">
            <w:pPr>
              <w:rPr>
                <w:rFonts w:asciiTheme="majorBidi" w:eastAsia="DengXian" w:hAnsiTheme="majorBidi" w:cstheme="majorBidi"/>
                <w:b/>
                <w:bCs/>
                <w:color w:val="000000"/>
                <w:sz w:val="20"/>
                <w:szCs w:val="20"/>
              </w:rPr>
            </w:pPr>
            <w:r>
              <w:rPr>
                <w:rFonts w:asciiTheme="majorBidi" w:hAnsiTheme="majorBidi"/>
                <w:b/>
                <w:bCs/>
                <w:color w:val="000000"/>
                <w:sz w:val="20"/>
                <w:szCs w:val="20"/>
              </w:rPr>
              <w:t xml:space="preserve">Conception </w:t>
            </w:r>
          </w:p>
        </w:tc>
        <w:tc>
          <w:tcPr>
            <w:tcW w:w="4225" w:type="dxa"/>
            <w:tcBorders>
              <w:top w:val="nil"/>
              <w:left w:val="nil"/>
              <w:bottom w:val="single" w:sz="4" w:space="0" w:color="auto"/>
              <w:right w:val="single" w:sz="4" w:space="0" w:color="auto"/>
            </w:tcBorders>
            <w:shd w:val="clear" w:color="auto" w:fill="auto"/>
            <w:noWrap/>
            <w:vAlign w:val="center"/>
            <w:hideMark/>
          </w:tcPr>
          <w:p w14:paraId="5976F3DE"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Développement du volet pour le bloc de refroidissement liquide par immersion</w:t>
            </w:r>
          </w:p>
        </w:tc>
        <w:tc>
          <w:tcPr>
            <w:tcW w:w="1363" w:type="dxa"/>
            <w:tcBorders>
              <w:top w:val="nil"/>
              <w:left w:val="nil"/>
              <w:bottom w:val="single" w:sz="4" w:space="0" w:color="auto"/>
              <w:right w:val="single" w:sz="4" w:space="0" w:color="auto"/>
            </w:tcBorders>
            <w:shd w:val="clear" w:color="auto" w:fill="auto"/>
            <w:noWrap/>
            <w:vAlign w:val="center"/>
            <w:hideMark/>
          </w:tcPr>
          <w:p w14:paraId="43767E5D"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65 000</w:t>
            </w:r>
          </w:p>
        </w:tc>
        <w:tc>
          <w:tcPr>
            <w:tcW w:w="1362" w:type="dxa"/>
            <w:tcBorders>
              <w:top w:val="nil"/>
              <w:left w:val="nil"/>
              <w:bottom w:val="single" w:sz="4" w:space="0" w:color="auto"/>
              <w:right w:val="single" w:sz="4" w:space="0" w:color="auto"/>
            </w:tcBorders>
            <w:shd w:val="clear" w:color="auto" w:fill="auto"/>
            <w:noWrap/>
            <w:vAlign w:val="center"/>
            <w:hideMark/>
          </w:tcPr>
          <w:p w14:paraId="33DA932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32 500</w:t>
            </w:r>
          </w:p>
        </w:tc>
        <w:tc>
          <w:tcPr>
            <w:tcW w:w="1535" w:type="dxa"/>
            <w:tcBorders>
              <w:top w:val="nil"/>
              <w:left w:val="nil"/>
              <w:bottom w:val="single" w:sz="4" w:space="0" w:color="auto"/>
              <w:right w:val="single" w:sz="4" w:space="0" w:color="auto"/>
            </w:tcBorders>
            <w:shd w:val="clear" w:color="auto" w:fill="auto"/>
            <w:noWrap/>
            <w:vAlign w:val="center"/>
            <w:hideMark/>
          </w:tcPr>
          <w:p w14:paraId="634BD8B7"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32 500</w:t>
            </w:r>
          </w:p>
        </w:tc>
      </w:tr>
      <w:tr w:rsidR="00555DA6" w:rsidRPr="003D2176" w14:paraId="41FD1FE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89C34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1147ABD"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Développement de la carte mère pour le refroidissement liquide par immersion</w:t>
            </w:r>
          </w:p>
        </w:tc>
        <w:tc>
          <w:tcPr>
            <w:tcW w:w="1363" w:type="dxa"/>
            <w:tcBorders>
              <w:top w:val="nil"/>
              <w:left w:val="nil"/>
              <w:bottom w:val="single" w:sz="4" w:space="0" w:color="auto"/>
              <w:right w:val="single" w:sz="4" w:space="0" w:color="auto"/>
            </w:tcBorders>
            <w:shd w:val="clear" w:color="auto" w:fill="auto"/>
            <w:noWrap/>
            <w:vAlign w:val="center"/>
            <w:hideMark/>
          </w:tcPr>
          <w:p w14:paraId="69B5949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120 000</w:t>
            </w:r>
          </w:p>
        </w:tc>
        <w:tc>
          <w:tcPr>
            <w:tcW w:w="1362" w:type="dxa"/>
            <w:tcBorders>
              <w:top w:val="nil"/>
              <w:left w:val="nil"/>
              <w:bottom w:val="single" w:sz="4" w:space="0" w:color="auto"/>
              <w:right w:val="single" w:sz="4" w:space="0" w:color="auto"/>
            </w:tcBorders>
            <w:shd w:val="clear" w:color="auto" w:fill="auto"/>
            <w:noWrap/>
            <w:vAlign w:val="center"/>
            <w:hideMark/>
          </w:tcPr>
          <w:p w14:paraId="7612C00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60 000</w:t>
            </w:r>
          </w:p>
        </w:tc>
        <w:tc>
          <w:tcPr>
            <w:tcW w:w="1535" w:type="dxa"/>
            <w:tcBorders>
              <w:top w:val="nil"/>
              <w:left w:val="nil"/>
              <w:bottom w:val="single" w:sz="4" w:space="0" w:color="auto"/>
              <w:right w:val="single" w:sz="4" w:space="0" w:color="auto"/>
            </w:tcBorders>
            <w:shd w:val="clear" w:color="auto" w:fill="auto"/>
            <w:noWrap/>
            <w:vAlign w:val="center"/>
            <w:hideMark/>
          </w:tcPr>
          <w:p w14:paraId="485D651F"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60 000</w:t>
            </w:r>
          </w:p>
        </w:tc>
      </w:tr>
      <w:tr w:rsidR="00555DA6" w:rsidRPr="003D2176" w14:paraId="30A1D06D"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6BE430E"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C1F2AE7"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Développement de l’algorithme de contrôle du liquide d’immersion</w:t>
            </w:r>
          </w:p>
        </w:tc>
        <w:tc>
          <w:tcPr>
            <w:tcW w:w="1363" w:type="dxa"/>
            <w:tcBorders>
              <w:top w:val="nil"/>
              <w:left w:val="nil"/>
              <w:bottom w:val="single" w:sz="4" w:space="0" w:color="auto"/>
              <w:right w:val="single" w:sz="4" w:space="0" w:color="auto"/>
            </w:tcBorders>
            <w:shd w:val="clear" w:color="auto" w:fill="auto"/>
            <w:noWrap/>
            <w:vAlign w:val="center"/>
            <w:hideMark/>
          </w:tcPr>
          <w:p w14:paraId="02BDD05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195 000</w:t>
            </w:r>
          </w:p>
        </w:tc>
        <w:tc>
          <w:tcPr>
            <w:tcW w:w="1362" w:type="dxa"/>
            <w:tcBorders>
              <w:top w:val="nil"/>
              <w:left w:val="nil"/>
              <w:bottom w:val="single" w:sz="4" w:space="0" w:color="auto"/>
              <w:right w:val="single" w:sz="4" w:space="0" w:color="auto"/>
            </w:tcBorders>
            <w:shd w:val="clear" w:color="auto" w:fill="auto"/>
            <w:noWrap/>
            <w:vAlign w:val="center"/>
            <w:hideMark/>
          </w:tcPr>
          <w:p w14:paraId="46ED523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97 500</w:t>
            </w:r>
          </w:p>
        </w:tc>
        <w:tc>
          <w:tcPr>
            <w:tcW w:w="1535" w:type="dxa"/>
            <w:tcBorders>
              <w:top w:val="nil"/>
              <w:left w:val="nil"/>
              <w:bottom w:val="single" w:sz="4" w:space="0" w:color="auto"/>
              <w:right w:val="single" w:sz="4" w:space="0" w:color="auto"/>
            </w:tcBorders>
            <w:shd w:val="clear" w:color="auto" w:fill="auto"/>
            <w:noWrap/>
            <w:vAlign w:val="center"/>
            <w:hideMark/>
          </w:tcPr>
          <w:p w14:paraId="1978214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97 500</w:t>
            </w:r>
          </w:p>
        </w:tc>
      </w:tr>
      <w:tr w:rsidR="00555DA6" w:rsidRPr="003D2176" w14:paraId="6D3512E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AC5B67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DF50CE1"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Développement du dissipateur de chaleur et de la structure de serveur</w:t>
            </w:r>
          </w:p>
        </w:tc>
        <w:tc>
          <w:tcPr>
            <w:tcW w:w="1363" w:type="dxa"/>
            <w:tcBorders>
              <w:top w:val="nil"/>
              <w:left w:val="nil"/>
              <w:bottom w:val="single" w:sz="4" w:space="0" w:color="auto"/>
              <w:right w:val="single" w:sz="4" w:space="0" w:color="auto"/>
            </w:tcBorders>
            <w:shd w:val="clear" w:color="auto" w:fill="auto"/>
            <w:noWrap/>
            <w:vAlign w:val="center"/>
            <w:hideMark/>
          </w:tcPr>
          <w:p w14:paraId="5CFBE8E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150 000</w:t>
            </w:r>
          </w:p>
        </w:tc>
        <w:tc>
          <w:tcPr>
            <w:tcW w:w="1362" w:type="dxa"/>
            <w:tcBorders>
              <w:top w:val="nil"/>
              <w:left w:val="nil"/>
              <w:bottom w:val="single" w:sz="4" w:space="0" w:color="auto"/>
              <w:right w:val="single" w:sz="4" w:space="0" w:color="auto"/>
            </w:tcBorders>
            <w:shd w:val="clear" w:color="auto" w:fill="auto"/>
            <w:noWrap/>
            <w:vAlign w:val="center"/>
            <w:hideMark/>
          </w:tcPr>
          <w:p w14:paraId="4723E07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75 000</w:t>
            </w:r>
          </w:p>
        </w:tc>
        <w:tc>
          <w:tcPr>
            <w:tcW w:w="1535" w:type="dxa"/>
            <w:tcBorders>
              <w:top w:val="nil"/>
              <w:left w:val="nil"/>
              <w:bottom w:val="single" w:sz="4" w:space="0" w:color="auto"/>
              <w:right w:val="single" w:sz="4" w:space="0" w:color="auto"/>
            </w:tcBorders>
            <w:shd w:val="clear" w:color="auto" w:fill="auto"/>
            <w:noWrap/>
            <w:vAlign w:val="center"/>
            <w:hideMark/>
          </w:tcPr>
          <w:p w14:paraId="4666B4D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75 000</w:t>
            </w:r>
          </w:p>
        </w:tc>
      </w:tr>
      <w:tr w:rsidR="00555DA6" w:rsidRPr="003D2176" w14:paraId="59F29638"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823A7A6"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7AE362E5"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Conception du réservoir de liquide de refroidissement</w:t>
            </w:r>
          </w:p>
        </w:tc>
        <w:tc>
          <w:tcPr>
            <w:tcW w:w="1363" w:type="dxa"/>
            <w:tcBorders>
              <w:top w:val="nil"/>
              <w:left w:val="nil"/>
              <w:bottom w:val="single" w:sz="4" w:space="0" w:color="auto"/>
              <w:right w:val="single" w:sz="4" w:space="0" w:color="auto"/>
            </w:tcBorders>
            <w:shd w:val="clear" w:color="auto" w:fill="auto"/>
            <w:noWrap/>
            <w:vAlign w:val="center"/>
            <w:hideMark/>
          </w:tcPr>
          <w:p w14:paraId="0055D1FF"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55 000</w:t>
            </w:r>
          </w:p>
        </w:tc>
        <w:tc>
          <w:tcPr>
            <w:tcW w:w="1362" w:type="dxa"/>
            <w:tcBorders>
              <w:top w:val="nil"/>
              <w:left w:val="nil"/>
              <w:bottom w:val="single" w:sz="4" w:space="0" w:color="auto"/>
              <w:right w:val="single" w:sz="4" w:space="0" w:color="auto"/>
            </w:tcBorders>
            <w:shd w:val="clear" w:color="auto" w:fill="auto"/>
            <w:noWrap/>
            <w:vAlign w:val="center"/>
            <w:hideMark/>
          </w:tcPr>
          <w:p w14:paraId="7765DF3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27 500</w:t>
            </w:r>
          </w:p>
        </w:tc>
        <w:tc>
          <w:tcPr>
            <w:tcW w:w="1535" w:type="dxa"/>
            <w:tcBorders>
              <w:top w:val="nil"/>
              <w:left w:val="nil"/>
              <w:bottom w:val="single" w:sz="4" w:space="0" w:color="auto"/>
              <w:right w:val="single" w:sz="4" w:space="0" w:color="auto"/>
            </w:tcBorders>
            <w:shd w:val="clear" w:color="auto" w:fill="auto"/>
            <w:noWrap/>
            <w:vAlign w:val="center"/>
            <w:hideMark/>
          </w:tcPr>
          <w:p w14:paraId="1A30B73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27 500</w:t>
            </w:r>
          </w:p>
        </w:tc>
      </w:tr>
      <w:tr w:rsidR="00555DA6" w:rsidRPr="003D2176" w14:paraId="556D957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A79D43C"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ECFDF3C"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Conception de la circulation du liquide de refroidissement</w:t>
            </w:r>
          </w:p>
        </w:tc>
        <w:tc>
          <w:tcPr>
            <w:tcW w:w="1363" w:type="dxa"/>
            <w:tcBorders>
              <w:top w:val="nil"/>
              <w:left w:val="nil"/>
              <w:bottom w:val="single" w:sz="4" w:space="0" w:color="auto"/>
              <w:right w:val="single" w:sz="4" w:space="0" w:color="auto"/>
            </w:tcBorders>
            <w:shd w:val="clear" w:color="auto" w:fill="auto"/>
            <w:noWrap/>
            <w:vAlign w:val="center"/>
            <w:hideMark/>
          </w:tcPr>
          <w:p w14:paraId="47B3C7A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20 000</w:t>
            </w:r>
          </w:p>
        </w:tc>
        <w:tc>
          <w:tcPr>
            <w:tcW w:w="1362" w:type="dxa"/>
            <w:tcBorders>
              <w:top w:val="nil"/>
              <w:left w:val="nil"/>
              <w:bottom w:val="single" w:sz="4" w:space="0" w:color="auto"/>
              <w:right w:val="single" w:sz="4" w:space="0" w:color="auto"/>
            </w:tcBorders>
            <w:shd w:val="clear" w:color="auto" w:fill="auto"/>
            <w:noWrap/>
            <w:vAlign w:val="center"/>
            <w:hideMark/>
          </w:tcPr>
          <w:p w14:paraId="5700319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10 000</w:t>
            </w:r>
          </w:p>
        </w:tc>
        <w:tc>
          <w:tcPr>
            <w:tcW w:w="1535" w:type="dxa"/>
            <w:tcBorders>
              <w:top w:val="nil"/>
              <w:left w:val="nil"/>
              <w:bottom w:val="single" w:sz="4" w:space="0" w:color="auto"/>
              <w:right w:val="single" w:sz="4" w:space="0" w:color="auto"/>
            </w:tcBorders>
            <w:shd w:val="clear" w:color="auto" w:fill="auto"/>
            <w:noWrap/>
            <w:vAlign w:val="center"/>
            <w:hideMark/>
          </w:tcPr>
          <w:p w14:paraId="3D7BE78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10 000</w:t>
            </w:r>
          </w:p>
        </w:tc>
      </w:tr>
      <w:tr w:rsidR="00555DA6" w:rsidRPr="003D2176" w14:paraId="34C8CA23"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80C8A6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4426F294"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Conception pour la récupération des rejets thermiques</w:t>
            </w:r>
          </w:p>
        </w:tc>
        <w:tc>
          <w:tcPr>
            <w:tcW w:w="1363" w:type="dxa"/>
            <w:tcBorders>
              <w:top w:val="nil"/>
              <w:left w:val="nil"/>
              <w:bottom w:val="single" w:sz="4" w:space="0" w:color="auto"/>
              <w:right w:val="single" w:sz="4" w:space="0" w:color="auto"/>
            </w:tcBorders>
            <w:shd w:val="clear" w:color="auto" w:fill="auto"/>
            <w:noWrap/>
            <w:vAlign w:val="center"/>
            <w:hideMark/>
          </w:tcPr>
          <w:p w14:paraId="2534EB1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70 000</w:t>
            </w:r>
          </w:p>
        </w:tc>
        <w:tc>
          <w:tcPr>
            <w:tcW w:w="1362" w:type="dxa"/>
            <w:tcBorders>
              <w:top w:val="nil"/>
              <w:left w:val="nil"/>
              <w:bottom w:val="single" w:sz="4" w:space="0" w:color="auto"/>
              <w:right w:val="single" w:sz="4" w:space="0" w:color="auto"/>
            </w:tcBorders>
            <w:shd w:val="clear" w:color="auto" w:fill="auto"/>
            <w:noWrap/>
            <w:vAlign w:val="center"/>
            <w:hideMark/>
          </w:tcPr>
          <w:p w14:paraId="7A2B843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35 000</w:t>
            </w:r>
          </w:p>
        </w:tc>
        <w:tc>
          <w:tcPr>
            <w:tcW w:w="1535" w:type="dxa"/>
            <w:tcBorders>
              <w:top w:val="nil"/>
              <w:left w:val="nil"/>
              <w:bottom w:val="single" w:sz="4" w:space="0" w:color="auto"/>
              <w:right w:val="single" w:sz="4" w:space="0" w:color="auto"/>
            </w:tcBorders>
            <w:shd w:val="clear" w:color="auto" w:fill="auto"/>
            <w:noWrap/>
            <w:vAlign w:val="center"/>
            <w:hideMark/>
          </w:tcPr>
          <w:p w14:paraId="727CB21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35 000</w:t>
            </w:r>
          </w:p>
        </w:tc>
      </w:tr>
      <w:tr w:rsidR="00555DA6" w:rsidRPr="003D2176" w14:paraId="70329B49"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FF79F5"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04F66C4C"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 xml:space="preserve">Développement du logiciel pour la plateforme de gestion de l’infrastructure </w:t>
            </w:r>
          </w:p>
        </w:tc>
        <w:tc>
          <w:tcPr>
            <w:tcW w:w="1363" w:type="dxa"/>
            <w:tcBorders>
              <w:top w:val="nil"/>
              <w:left w:val="nil"/>
              <w:bottom w:val="single" w:sz="4" w:space="0" w:color="auto"/>
              <w:right w:val="single" w:sz="4" w:space="0" w:color="auto"/>
            </w:tcBorders>
            <w:shd w:val="clear" w:color="auto" w:fill="auto"/>
            <w:noWrap/>
            <w:vAlign w:val="center"/>
            <w:hideMark/>
          </w:tcPr>
          <w:p w14:paraId="7CA54D3D"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88 500</w:t>
            </w:r>
          </w:p>
        </w:tc>
        <w:tc>
          <w:tcPr>
            <w:tcW w:w="1362" w:type="dxa"/>
            <w:tcBorders>
              <w:top w:val="nil"/>
              <w:left w:val="nil"/>
              <w:bottom w:val="single" w:sz="4" w:space="0" w:color="auto"/>
              <w:right w:val="single" w:sz="4" w:space="0" w:color="auto"/>
            </w:tcBorders>
            <w:shd w:val="clear" w:color="auto" w:fill="auto"/>
            <w:noWrap/>
            <w:vAlign w:val="center"/>
            <w:hideMark/>
          </w:tcPr>
          <w:p w14:paraId="6C910EC0"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44 250</w:t>
            </w:r>
          </w:p>
        </w:tc>
        <w:tc>
          <w:tcPr>
            <w:tcW w:w="1535" w:type="dxa"/>
            <w:tcBorders>
              <w:top w:val="nil"/>
              <w:left w:val="nil"/>
              <w:bottom w:val="single" w:sz="4" w:space="0" w:color="auto"/>
              <w:right w:val="single" w:sz="4" w:space="0" w:color="auto"/>
            </w:tcBorders>
            <w:shd w:val="clear" w:color="auto" w:fill="auto"/>
            <w:noWrap/>
            <w:vAlign w:val="center"/>
            <w:hideMark/>
          </w:tcPr>
          <w:p w14:paraId="13EFC3A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44 250</w:t>
            </w:r>
          </w:p>
        </w:tc>
      </w:tr>
      <w:tr w:rsidR="00555DA6" w:rsidRPr="003D2176" w14:paraId="17FD183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07C3EBF"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9800FB6"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Développement de l’algorithme d’IA</w:t>
            </w:r>
          </w:p>
        </w:tc>
        <w:tc>
          <w:tcPr>
            <w:tcW w:w="1363" w:type="dxa"/>
            <w:tcBorders>
              <w:top w:val="nil"/>
              <w:left w:val="nil"/>
              <w:bottom w:val="single" w:sz="4" w:space="0" w:color="auto"/>
              <w:right w:val="single" w:sz="4" w:space="0" w:color="auto"/>
            </w:tcBorders>
            <w:shd w:val="clear" w:color="auto" w:fill="auto"/>
            <w:noWrap/>
            <w:vAlign w:val="center"/>
            <w:hideMark/>
          </w:tcPr>
          <w:p w14:paraId="60E7894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100 000</w:t>
            </w:r>
          </w:p>
        </w:tc>
        <w:tc>
          <w:tcPr>
            <w:tcW w:w="1362" w:type="dxa"/>
            <w:tcBorders>
              <w:top w:val="nil"/>
              <w:left w:val="nil"/>
              <w:bottom w:val="single" w:sz="4" w:space="0" w:color="auto"/>
              <w:right w:val="single" w:sz="4" w:space="0" w:color="auto"/>
            </w:tcBorders>
            <w:shd w:val="clear" w:color="auto" w:fill="auto"/>
            <w:noWrap/>
            <w:vAlign w:val="center"/>
            <w:hideMark/>
          </w:tcPr>
          <w:p w14:paraId="2D8AC35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50 000</w:t>
            </w:r>
          </w:p>
        </w:tc>
        <w:tc>
          <w:tcPr>
            <w:tcW w:w="1535" w:type="dxa"/>
            <w:tcBorders>
              <w:top w:val="nil"/>
              <w:left w:val="nil"/>
              <w:bottom w:val="single" w:sz="4" w:space="0" w:color="auto"/>
              <w:right w:val="single" w:sz="4" w:space="0" w:color="auto"/>
            </w:tcBorders>
            <w:shd w:val="clear" w:color="auto" w:fill="auto"/>
            <w:noWrap/>
            <w:vAlign w:val="center"/>
            <w:hideMark/>
          </w:tcPr>
          <w:p w14:paraId="3F75745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50 000</w:t>
            </w:r>
          </w:p>
        </w:tc>
      </w:tr>
      <w:tr w:rsidR="00555DA6" w:rsidRPr="003D2176" w14:paraId="01F784F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397551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FA936E4"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Ingénieur logiciel MFN</w:t>
            </w:r>
          </w:p>
        </w:tc>
        <w:tc>
          <w:tcPr>
            <w:tcW w:w="1363" w:type="dxa"/>
            <w:tcBorders>
              <w:top w:val="nil"/>
              <w:left w:val="nil"/>
              <w:bottom w:val="single" w:sz="4" w:space="0" w:color="auto"/>
              <w:right w:val="single" w:sz="4" w:space="0" w:color="auto"/>
            </w:tcBorders>
            <w:shd w:val="clear" w:color="auto" w:fill="auto"/>
            <w:noWrap/>
            <w:vAlign w:val="center"/>
            <w:hideMark/>
          </w:tcPr>
          <w:p w14:paraId="59AB9E3F"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80 000</w:t>
            </w:r>
          </w:p>
        </w:tc>
        <w:tc>
          <w:tcPr>
            <w:tcW w:w="1362" w:type="dxa"/>
            <w:tcBorders>
              <w:top w:val="nil"/>
              <w:left w:val="nil"/>
              <w:bottom w:val="single" w:sz="4" w:space="0" w:color="auto"/>
              <w:right w:val="single" w:sz="4" w:space="0" w:color="auto"/>
            </w:tcBorders>
            <w:shd w:val="clear" w:color="auto" w:fill="auto"/>
            <w:noWrap/>
            <w:vAlign w:val="center"/>
            <w:hideMark/>
          </w:tcPr>
          <w:p w14:paraId="27E2B36D"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40 000</w:t>
            </w:r>
          </w:p>
        </w:tc>
        <w:tc>
          <w:tcPr>
            <w:tcW w:w="1535" w:type="dxa"/>
            <w:tcBorders>
              <w:top w:val="nil"/>
              <w:left w:val="nil"/>
              <w:bottom w:val="single" w:sz="4" w:space="0" w:color="auto"/>
              <w:right w:val="single" w:sz="4" w:space="0" w:color="auto"/>
            </w:tcBorders>
            <w:shd w:val="clear" w:color="auto" w:fill="auto"/>
            <w:noWrap/>
            <w:vAlign w:val="center"/>
            <w:hideMark/>
          </w:tcPr>
          <w:p w14:paraId="3F0A1C9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40 000</w:t>
            </w:r>
          </w:p>
        </w:tc>
      </w:tr>
      <w:tr w:rsidR="00555DA6" w:rsidRPr="003D2176" w14:paraId="20F75860" w14:textId="77777777" w:rsidTr="00B007EC">
        <w:trPr>
          <w:trHeight w:val="252"/>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FB54689"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85FB5D6"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Conception du système général du centre de données</w:t>
            </w:r>
          </w:p>
        </w:tc>
        <w:tc>
          <w:tcPr>
            <w:tcW w:w="1363" w:type="dxa"/>
            <w:tcBorders>
              <w:top w:val="nil"/>
              <w:left w:val="nil"/>
              <w:bottom w:val="single" w:sz="4" w:space="0" w:color="auto"/>
              <w:right w:val="single" w:sz="4" w:space="0" w:color="auto"/>
            </w:tcBorders>
            <w:shd w:val="clear" w:color="auto" w:fill="auto"/>
            <w:noWrap/>
            <w:vAlign w:val="center"/>
            <w:hideMark/>
          </w:tcPr>
          <w:p w14:paraId="4ACFA8D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55 000</w:t>
            </w:r>
          </w:p>
        </w:tc>
        <w:tc>
          <w:tcPr>
            <w:tcW w:w="1362" w:type="dxa"/>
            <w:tcBorders>
              <w:top w:val="nil"/>
              <w:left w:val="nil"/>
              <w:bottom w:val="single" w:sz="4" w:space="0" w:color="auto"/>
              <w:right w:val="single" w:sz="4" w:space="0" w:color="auto"/>
            </w:tcBorders>
            <w:shd w:val="clear" w:color="auto" w:fill="auto"/>
            <w:noWrap/>
            <w:vAlign w:val="center"/>
            <w:hideMark/>
          </w:tcPr>
          <w:p w14:paraId="1B8CE84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38 500</w:t>
            </w:r>
          </w:p>
        </w:tc>
        <w:tc>
          <w:tcPr>
            <w:tcW w:w="1535" w:type="dxa"/>
            <w:tcBorders>
              <w:top w:val="nil"/>
              <w:left w:val="nil"/>
              <w:bottom w:val="single" w:sz="4" w:space="0" w:color="auto"/>
              <w:right w:val="single" w:sz="4" w:space="0" w:color="auto"/>
            </w:tcBorders>
            <w:shd w:val="clear" w:color="auto" w:fill="auto"/>
            <w:noWrap/>
            <w:vAlign w:val="center"/>
            <w:hideMark/>
          </w:tcPr>
          <w:p w14:paraId="07B7605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16 500</w:t>
            </w:r>
          </w:p>
        </w:tc>
      </w:tr>
      <w:tr w:rsidR="00555DA6" w:rsidRPr="003D2176" w14:paraId="7CEC243D"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0616E4"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Sous-total</w:t>
            </w:r>
          </w:p>
        </w:tc>
        <w:tc>
          <w:tcPr>
            <w:tcW w:w="1363" w:type="dxa"/>
            <w:tcBorders>
              <w:top w:val="nil"/>
              <w:left w:val="nil"/>
              <w:bottom w:val="single" w:sz="4" w:space="0" w:color="auto"/>
              <w:right w:val="single" w:sz="4" w:space="0" w:color="auto"/>
            </w:tcBorders>
            <w:shd w:val="clear" w:color="auto" w:fill="auto"/>
            <w:noWrap/>
            <w:vAlign w:val="center"/>
            <w:hideMark/>
          </w:tcPr>
          <w:p w14:paraId="20A915A0"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998 500</w:t>
            </w:r>
          </w:p>
        </w:tc>
        <w:tc>
          <w:tcPr>
            <w:tcW w:w="1362" w:type="dxa"/>
            <w:tcBorders>
              <w:top w:val="nil"/>
              <w:left w:val="nil"/>
              <w:bottom w:val="single" w:sz="4" w:space="0" w:color="auto"/>
              <w:right w:val="single" w:sz="4" w:space="0" w:color="auto"/>
            </w:tcBorders>
            <w:shd w:val="clear" w:color="auto" w:fill="auto"/>
            <w:noWrap/>
            <w:vAlign w:val="center"/>
            <w:hideMark/>
          </w:tcPr>
          <w:p w14:paraId="11AF6B14"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510 250</w:t>
            </w:r>
          </w:p>
        </w:tc>
        <w:tc>
          <w:tcPr>
            <w:tcW w:w="1535" w:type="dxa"/>
            <w:tcBorders>
              <w:top w:val="nil"/>
              <w:left w:val="nil"/>
              <w:bottom w:val="single" w:sz="4" w:space="0" w:color="auto"/>
              <w:right w:val="single" w:sz="4" w:space="0" w:color="auto"/>
            </w:tcBorders>
            <w:shd w:val="clear" w:color="auto" w:fill="auto"/>
            <w:noWrap/>
            <w:vAlign w:val="center"/>
            <w:hideMark/>
          </w:tcPr>
          <w:p w14:paraId="11AB8A7A" w14:textId="77777777" w:rsidR="00555DA6" w:rsidRPr="003D2176" w:rsidRDefault="00555DA6" w:rsidP="00B007EC">
            <w:pPr>
              <w:jc w:val="right"/>
              <w:rPr>
                <w:rFonts w:asciiTheme="majorBidi" w:eastAsia="DengXian" w:hAnsiTheme="majorBidi" w:cstheme="majorBidi"/>
                <w:b/>
                <w:bCs/>
                <w:sz w:val="20"/>
                <w:szCs w:val="20"/>
              </w:rPr>
            </w:pPr>
            <w:r>
              <w:rPr>
                <w:rFonts w:asciiTheme="majorBidi" w:hAnsiTheme="majorBidi"/>
                <w:b/>
                <w:bCs/>
                <w:sz w:val="20"/>
                <w:szCs w:val="20"/>
              </w:rPr>
              <w:t>488 250</w:t>
            </w:r>
          </w:p>
        </w:tc>
      </w:tr>
      <w:tr w:rsidR="00555DA6" w:rsidRPr="003D2176" w14:paraId="1D1A46C9"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3721AA" w14:textId="77777777" w:rsidR="00555DA6" w:rsidRPr="003D2176" w:rsidRDefault="00555DA6" w:rsidP="00B007EC">
            <w:pPr>
              <w:jc w:val="left"/>
              <w:rPr>
                <w:rFonts w:asciiTheme="majorBidi" w:eastAsia="DengXian" w:hAnsiTheme="majorBidi" w:cstheme="majorBidi"/>
                <w:b/>
                <w:bCs/>
                <w:color w:val="000000"/>
                <w:sz w:val="20"/>
                <w:szCs w:val="20"/>
              </w:rPr>
            </w:pPr>
            <w:r>
              <w:rPr>
                <w:rFonts w:asciiTheme="majorBidi" w:hAnsiTheme="majorBidi"/>
                <w:b/>
                <w:bCs/>
                <w:color w:val="000000"/>
                <w:sz w:val="20"/>
                <w:szCs w:val="20"/>
              </w:rPr>
              <w:t>Processus et assemblage</w:t>
            </w:r>
          </w:p>
        </w:tc>
        <w:tc>
          <w:tcPr>
            <w:tcW w:w="4225" w:type="dxa"/>
            <w:tcBorders>
              <w:top w:val="nil"/>
              <w:left w:val="nil"/>
              <w:bottom w:val="single" w:sz="4" w:space="0" w:color="auto"/>
              <w:right w:val="single" w:sz="4" w:space="0" w:color="auto"/>
            </w:tcBorders>
            <w:shd w:val="clear" w:color="auto" w:fill="auto"/>
            <w:noWrap/>
            <w:vAlign w:val="center"/>
            <w:hideMark/>
          </w:tcPr>
          <w:p w14:paraId="001320A6"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Verre pour les centres de données</w:t>
            </w:r>
          </w:p>
        </w:tc>
        <w:tc>
          <w:tcPr>
            <w:tcW w:w="1363" w:type="dxa"/>
            <w:tcBorders>
              <w:top w:val="nil"/>
              <w:left w:val="nil"/>
              <w:bottom w:val="single" w:sz="4" w:space="0" w:color="auto"/>
              <w:right w:val="single" w:sz="4" w:space="0" w:color="auto"/>
            </w:tcBorders>
            <w:shd w:val="clear" w:color="auto" w:fill="auto"/>
            <w:noWrap/>
            <w:vAlign w:val="center"/>
            <w:hideMark/>
          </w:tcPr>
          <w:p w14:paraId="78D8220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59 040</w:t>
            </w:r>
          </w:p>
        </w:tc>
        <w:tc>
          <w:tcPr>
            <w:tcW w:w="1362" w:type="dxa"/>
            <w:tcBorders>
              <w:top w:val="nil"/>
              <w:left w:val="nil"/>
              <w:bottom w:val="single" w:sz="4" w:space="0" w:color="auto"/>
              <w:right w:val="single" w:sz="4" w:space="0" w:color="auto"/>
            </w:tcBorders>
            <w:shd w:val="clear" w:color="auto" w:fill="auto"/>
            <w:noWrap/>
            <w:vAlign w:val="center"/>
            <w:hideMark/>
          </w:tcPr>
          <w:p w14:paraId="169E0FF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59 040</w:t>
            </w:r>
          </w:p>
        </w:tc>
        <w:tc>
          <w:tcPr>
            <w:tcW w:w="1535" w:type="dxa"/>
            <w:tcBorders>
              <w:top w:val="nil"/>
              <w:left w:val="nil"/>
              <w:bottom w:val="single" w:sz="4" w:space="0" w:color="auto"/>
              <w:right w:val="single" w:sz="4" w:space="0" w:color="auto"/>
            </w:tcBorders>
            <w:shd w:val="clear" w:color="auto" w:fill="auto"/>
            <w:noWrap/>
            <w:vAlign w:val="center"/>
            <w:hideMark/>
          </w:tcPr>
          <w:p w14:paraId="48D7E28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1BBEAD97"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41A5C85"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25C2971"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Production et assemblage de conteneur</w:t>
            </w:r>
          </w:p>
        </w:tc>
        <w:tc>
          <w:tcPr>
            <w:tcW w:w="1363" w:type="dxa"/>
            <w:tcBorders>
              <w:top w:val="nil"/>
              <w:left w:val="nil"/>
              <w:bottom w:val="single" w:sz="4" w:space="0" w:color="auto"/>
              <w:right w:val="single" w:sz="4" w:space="0" w:color="auto"/>
            </w:tcBorders>
            <w:shd w:val="clear" w:color="auto" w:fill="auto"/>
            <w:noWrap/>
            <w:vAlign w:val="center"/>
            <w:hideMark/>
          </w:tcPr>
          <w:p w14:paraId="34AEA6B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520 000</w:t>
            </w:r>
          </w:p>
        </w:tc>
        <w:tc>
          <w:tcPr>
            <w:tcW w:w="1362" w:type="dxa"/>
            <w:tcBorders>
              <w:top w:val="nil"/>
              <w:left w:val="nil"/>
              <w:bottom w:val="single" w:sz="4" w:space="0" w:color="auto"/>
              <w:right w:val="single" w:sz="4" w:space="0" w:color="auto"/>
            </w:tcBorders>
            <w:shd w:val="clear" w:color="auto" w:fill="auto"/>
            <w:noWrap/>
            <w:vAlign w:val="center"/>
            <w:hideMark/>
          </w:tcPr>
          <w:p w14:paraId="2B3DE1E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520 000</w:t>
            </w:r>
          </w:p>
        </w:tc>
        <w:tc>
          <w:tcPr>
            <w:tcW w:w="1535" w:type="dxa"/>
            <w:tcBorders>
              <w:top w:val="nil"/>
              <w:left w:val="nil"/>
              <w:bottom w:val="single" w:sz="4" w:space="0" w:color="auto"/>
              <w:right w:val="single" w:sz="4" w:space="0" w:color="auto"/>
            </w:tcBorders>
            <w:shd w:val="clear" w:color="auto" w:fill="auto"/>
            <w:noWrap/>
            <w:vAlign w:val="center"/>
            <w:hideMark/>
          </w:tcPr>
          <w:p w14:paraId="0010B36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0A610C8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D163E6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96557B3"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Armoire de refroidissement liquide</w:t>
            </w:r>
          </w:p>
        </w:tc>
        <w:tc>
          <w:tcPr>
            <w:tcW w:w="1363" w:type="dxa"/>
            <w:tcBorders>
              <w:top w:val="nil"/>
              <w:left w:val="nil"/>
              <w:bottom w:val="single" w:sz="4" w:space="0" w:color="auto"/>
              <w:right w:val="single" w:sz="4" w:space="0" w:color="auto"/>
            </w:tcBorders>
            <w:shd w:val="clear" w:color="auto" w:fill="auto"/>
            <w:noWrap/>
            <w:vAlign w:val="center"/>
            <w:hideMark/>
          </w:tcPr>
          <w:p w14:paraId="1FE25D2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1 285 000</w:t>
            </w:r>
          </w:p>
        </w:tc>
        <w:tc>
          <w:tcPr>
            <w:tcW w:w="1362" w:type="dxa"/>
            <w:tcBorders>
              <w:top w:val="nil"/>
              <w:left w:val="nil"/>
              <w:bottom w:val="single" w:sz="4" w:space="0" w:color="auto"/>
              <w:right w:val="single" w:sz="4" w:space="0" w:color="auto"/>
            </w:tcBorders>
            <w:shd w:val="clear" w:color="auto" w:fill="auto"/>
            <w:noWrap/>
            <w:vAlign w:val="center"/>
            <w:hideMark/>
          </w:tcPr>
          <w:p w14:paraId="4A1C3C97"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642 500</w:t>
            </w:r>
          </w:p>
        </w:tc>
        <w:tc>
          <w:tcPr>
            <w:tcW w:w="1535" w:type="dxa"/>
            <w:tcBorders>
              <w:top w:val="nil"/>
              <w:left w:val="nil"/>
              <w:bottom w:val="single" w:sz="4" w:space="0" w:color="auto"/>
              <w:right w:val="single" w:sz="4" w:space="0" w:color="auto"/>
            </w:tcBorders>
            <w:shd w:val="clear" w:color="auto" w:fill="auto"/>
            <w:noWrap/>
            <w:vAlign w:val="center"/>
            <w:hideMark/>
          </w:tcPr>
          <w:p w14:paraId="384D592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642 500</w:t>
            </w:r>
          </w:p>
        </w:tc>
      </w:tr>
      <w:tr w:rsidR="00555DA6" w:rsidRPr="003D2176" w14:paraId="4D281317"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82A39BC"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6F5BEF6"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Carte mère de refroidissement liquide</w:t>
            </w:r>
          </w:p>
        </w:tc>
        <w:tc>
          <w:tcPr>
            <w:tcW w:w="1363" w:type="dxa"/>
            <w:tcBorders>
              <w:top w:val="nil"/>
              <w:left w:val="nil"/>
              <w:bottom w:val="single" w:sz="4" w:space="0" w:color="auto"/>
              <w:right w:val="single" w:sz="4" w:space="0" w:color="auto"/>
            </w:tcBorders>
            <w:shd w:val="clear" w:color="auto" w:fill="auto"/>
            <w:noWrap/>
            <w:vAlign w:val="center"/>
            <w:hideMark/>
          </w:tcPr>
          <w:p w14:paraId="6CAB98C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1 714 000</w:t>
            </w:r>
          </w:p>
        </w:tc>
        <w:tc>
          <w:tcPr>
            <w:tcW w:w="1362" w:type="dxa"/>
            <w:tcBorders>
              <w:top w:val="nil"/>
              <w:left w:val="nil"/>
              <w:bottom w:val="single" w:sz="4" w:space="0" w:color="auto"/>
              <w:right w:val="single" w:sz="4" w:space="0" w:color="auto"/>
            </w:tcBorders>
            <w:shd w:val="clear" w:color="auto" w:fill="auto"/>
            <w:noWrap/>
            <w:vAlign w:val="center"/>
            <w:hideMark/>
          </w:tcPr>
          <w:p w14:paraId="0E116AC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1 199 800</w:t>
            </w:r>
          </w:p>
        </w:tc>
        <w:tc>
          <w:tcPr>
            <w:tcW w:w="1535" w:type="dxa"/>
            <w:tcBorders>
              <w:top w:val="nil"/>
              <w:left w:val="nil"/>
              <w:bottom w:val="single" w:sz="4" w:space="0" w:color="auto"/>
              <w:right w:val="single" w:sz="4" w:space="0" w:color="auto"/>
            </w:tcBorders>
            <w:shd w:val="clear" w:color="auto" w:fill="auto"/>
            <w:noWrap/>
            <w:vAlign w:val="center"/>
            <w:hideMark/>
          </w:tcPr>
          <w:p w14:paraId="4D3A35A0"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514 200</w:t>
            </w:r>
          </w:p>
        </w:tc>
      </w:tr>
      <w:tr w:rsidR="00555DA6" w:rsidRPr="003D2176" w14:paraId="7912008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713CA3"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430068B"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Coque des serveurs pour le refroidissement liquide</w:t>
            </w:r>
          </w:p>
        </w:tc>
        <w:tc>
          <w:tcPr>
            <w:tcW w:w="1363" w:type="dxa"/>
            <w:tcBorders>
              <w:top w:val="nil"/>
              <w:left w:val="nil"/>
              <w:bottom w:val="single" w:sz="4" w:space="0" w:color="auto"/>
              <w:right w:val="single" w:sz="4" w:space="0" w:color="auto"/>
            </w:tcBorders>
            <w:shd w:val="clear" w:color="auto" w:fill="auto"/>
            <w:noWrap/>
            <w:vAlign w:val="center"/>
            <w:hideMark/>
          </w:tcPr>
          <w:p w14:paraId="3177C75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342 800</w:t>
            </w:r>
          </w:p>
        </w:tc>
        <w:tc>
          <w:tcPr>
            <w:tcW w:w="1362" w:type="dxa"/>
            <w:tcBorders>
              <w:top w:val="nil"/>
              <w:left w:val="nil"/>
              <w:bottom w:val="single" w:sz="4" w:space="0" w:color="auto"/>
              <w:right w:val="single" w:sz="4" w:space="0" w:color="auto"/>
            </w:tcBorders>
            <w:shd w:val="clear" w:color="auto" w:fill="auto"/>
            <w:noWrap/>
            <w:vAlign w:val="center"/>
            <w:hideMark/>
          </w:tcPr>
          <w:p w14:paraId="5B27C520"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171 400</w:t>
            </w:r>
          </w:p>
        </w:tc>
        <w:tc>
          <w:tcPr>
            <w:tcW w:w="1535" w:type="dxa"/>
            <w:tcBorders>
              <w:top w:val="nil"/>
              <w:left w:val="nil"/>
              <w:bottom w:val="single" w:sz="4" w:space="0" w:color="auto"/>
              <w:right w:val="single" w:sz="4" w:space="0" w:color="auto"/>
            </w:tcBorders>
            <w:shd w:val="clear" w:color="auto" w:fill="auto"/>
            <w:noWrap/>
            <w:vAlign w:val="center"/>
            <w:hideMark/>
          </w:tcPr>
          <w:p w14:paraId="1FC2390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171 400</w:t>
            </w:r>
          </w:p>
        </w:tc>
      </w:tr>
      <w:tr w:rsidR="00555DA6" w:rsidRPr="003D2176" w14:paraId="2CE32CE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2AA3B97"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7BCEAE5"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Volets du bloc spécial de refroidissement liquide</w:t>
            </w:r>
          </w:p>
        </w:tc>
        <w:tc>
          <w:tcPr>
            <w:tcW w:w="1363" w:type="dxa"/>
            <w:tcBorders>
              <w:top w:val="nil"/>
              <w:left w:val="nil"/>
              <w:bottom w:val="single" w:sz="4" w:space="0" w:color="auto"/>
              <w:right w:val="single" w:sz="4" w:space="0" w:color="auto"/>
            </w:tcBorders>
            <w:shd w:val="clear" w:color="auto" w:fill="auto"/>
            <w:noWrap/>
            <w:vAlign w:val="center"/>
            <w:hideMark/>
          </w:tcPr>
          <w:p w14:paraId="458C214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342 000</w:t>
            </w:r>
          </w:p>
        </w:tc>
        <w:tc>
          <w:tcPr>
            <w:tcW w:w="1362" w:type="dxa"/>
            <w:tcBorders>
              <w:top w:val="nil"/>
              <w:left w:val="nil"/>
              <w:bottom w:val="single" w:sz="4" w:space="0" w:color="auto"/>
              <w:right w:val="single" w:sz="4" w:space="0" w:color="auto"/>
            </w:tcBorders>
            <w:shd w:val="clear" w:color="auto" w:fill="auto"/>
            <w:noWrap/>
            <w:vAlign w:val="center"/>
            <w:hideMark/>
          </w:tcPr>
          <w:p w14:paraId="2BE511E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171 000</w:t>
            </w:r>
          </w:p>
        </w:tc>
        <w:tc>
          <w:tcPr>
            <w:tcW w:w="1535" w:type="dxa"/>
            <w:tcBorders>
              <w:top w:val="nil"/>
              <w:left w:val="nil"/>
              <w:bottom w:val="single" w:sz="4" w:space="0" w:color="auto"/>
              <w:right w:val="single" w:sz="4" w:space="0" w:color="auto"/>
            </w:tcBorders>
            <w:shd w:val="clear" w:color="auto" w:fill="auto"/>
            <w:noWrap/>
            <w:vAlign w:val="center"/>
            <w:hideMark/>
          </w:tcPr>
          <w:p w14:paraId="0DEBDF5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171 000</w:t>
            </w:r>
          </w:p>
        </w:tc>
      </w:tr>
      <w:tr w:rsidR="00555DA6" w:rsidRPr="003D2176" w14:paraId="5DD8AAF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23F354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DEC7D19"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Module de microcircuit</w:t>
            </w:r>
          </w:p>
        </w:tc>
        <w:tc>
          <w:tcPr>
            <w:tcW w:w="1363" w:type="dxa"/>
            <w:tcBorders>
              <w:top w:val="nil"/>
              <w:left w:val="nil"/>
              <w:bottom w:val="single" w:sz="4" w:space="0" w:color="auto"/>
              <w:right w:val="single" w:sz="4" w:space="0" w:color="auto"/>
            </w:tcBorders>
            <w:shd w:val="clear" w:color="auto" w:fill="auto"/>
            <w:noWrap/>
            <w:vAlign w:val="center"/>
            <w:hideMark/>
          </w:tcPr>
          <w:p w14:paraId="248815C7"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24 000 000</w:t>
            </w:r>
          </w:p>
        </w:tc>
        <w:tc>
          <w:tcPr>
            <w:tcW w:w="1362" w:type="dxa"/>
            <w:tcBorders>
              <w:top w:val="nil"/>
              <w:left w:val="nil"/>
              <w:bottom w:val="single" w:sz="4" w:space="0" w:color="auto"/>
              <w:right w:val="single" w:sz="4" w:space="0" w:color="auto"/>
            </w:tcBorders>
            <w:shd w:val="clear" w:color="auto" w:fill="auto"/>
            <w:noWrap/>
            <w:vAlign w:val="center"/>
            <w:hideMark/>
          </w:tcPr>
          <w:p w14:paraId="13B84A2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24 000 000</w:t>
            </w:r>
          </w:p>
        </w:tc>
        <w:tc>
          <w:tcPr>
            <w:tcW w:w="1535" w:type="dxa"/>
            <w:tcBorders>
              <w:top w:val="nil"/>
              <w:left w:val="nil"/>
              <w:bottom w:val="single" w:sz="4" w:space="0" w:color="auto"/>
              <w:right w:val="single" w:sz="4" w:space="0" w:color="auto"/>
            </w:tcBorders>
            <w:shd w:val="clear" w:color="auto" w:fill="auto"/>
            <w:noWrap/>
            <w:vAlign w:val="center"/>
            <w:hideMark/>
          </w:tcPr>
          <w:p w14:paraId="2000E83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76560EE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C22C527"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CF24EB2"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Mémoire, UC, carte réseau</w:t>
            </w:r>
          </w:p>
        </w:tc>
        <w:tc>
          <w:tcPr>
            <w:tcW w:w="1363" w:type="dxa"/>
            <w:tcBorders>
              <w:top w:val="nil"/>
              <w:left w:val="nil"/>
              <w:bottom w:val="single" w:sz="4" w:space="0" w:color="auto"/>
              <w:right w:val="single" w:sz="4" w:space="0" w:color="auto"/>
            </w:tcBorders>
            <w:shd w:val="clear" w:color="auto" w:fill="auto"/>
            <w:noWrap/>
            <w:vAlign w:val="center"/>
            <w:hideMark/>
          </w:tcPr>
          <w:p w14:paraId="36C1E13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1 650 000</w:t>
            </w:r>
          </w:p>
        </w:tc>
        <w:tc>
          <w:tcPr>
            <w:tcW w:w="1362" w:type="dxa"/>
            <w:tcBorders>
              <w:top w:val="nil"/>
              <w:left w:val="nil"/>
              <w:bottom w:val="single" w:sz="4" w:space="0" w:color="auto"/>
              <w:right w:val="single" w:sz="4" w:space="0" w:color="auto"/>
            </w:tcBorders>
            <w:shd w:val="clear" w:color="auto" w:fill="auto"/>
            <w:noWrap/>
            <w:vAlign w:val="center"/>
            <w:hideMark/>
          </w:tcPr>
          <w:p w14:paraId="46EA2A6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1 650 000</w:t>
            </w:r>
          </w:p>
        </w:tc>
        <w:tc>
          <w:tcPr>
            <w:tcW w:w="1535" w:type="dxa"/>
            <w:tcBorders>
              <w:top w:val="nil"/>
              <w:left w:val="nil"/>
              <w:bottom w:val="single" w:sz="4" w:space="0" w:color="auto"/>
              <w:right w:val="single" w:sz="4" w:space="0" w:color="auto"/>
            </w:tcBorders>
            <w:shd w:val="clear" w:color="auto" w:fill="auto"/>
            <w:noWrap/>
            <w:vAlign w:val="center"/>
            <w:hideMark/>
          </w:tcPr>
          <w:p w14:paraId="2068FA46"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7957985A"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E863B4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E9C4BAF"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Liquide de refroidissement</w:t>
            </w:r>
          </w:p>
        </w:tc>
        <w:tc>
          <w:tcPr>
            <w:tcW w:w="1363" w:type="dxa"/>
            <w:tcBorders>
              <w:top w:val="nil"/>
              <w:left w:val="nil"/>
              <w:bottom w:val="single" w:sz="4" w:space="0" w:color="auto"/>
              <w:right w:val="single" w:sz="4" w:space="0" w:color="auto"/>
            </w:tcBorders>
            <w:shd w:val="clear" w:color="auto" w:fill="auto"/>
            <w:noWrap/>
            <w:vAlign w:val="center"/>
            <w:hideMark/>
          </w:tcPr>
          <w:p w14:paraId="2D106A5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857 000</w:t>
            </w:r>
          </w:p>
        </w:tc>
        <w:tc>
          <w:tcPr>
            <w:tcW w:w="1362" w:type="dxa"/>
            <w:tcBorders>
              <w:top w:val="nil"/>
              <w:left w:val="nil"/>
              <w:bottom w:val="single" w:sz="4" w:space="0" w:color="auto"/>
              <w:right w:val="single" w:sz="4" w:space="0" w:color="auto"/>
            </w:tcBorders>
            <w:shd w:val="clear" w:color="auto" w:fill="auto"/>
            <w:noWrap/>
            <w:vAlign w:val="center"/>
            <w:hideMark/>
          </w:tcPr>
          <w:p w14:paraId="69CB74E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728 500</w:t>
            </w:r>
          </w:p>
        </w:tc>
        <w:tc>
          <w:tcPr>
            <w:tcW w:w="1535" w:type="dxa"/>
            <w:tcBorders>
              <w:top w:val="nil"/>
              <w:left w:val="nil"/>
              <w:bottom w:val="single" w:sz="4" w:space="0" w:color="auto"/>
              <w:right w:val="single" w:sz="4" w:space="0" w:color="auto"/>
            </w:tcBorders>
            <w:shd w:val="clear" w:color="auto" w:fill="auto"/>
            <w:noWrap/>
            <w:vAlign w:val="center"/>
            <w:hideMark/>
          </w:tcPr>
          <w:p w14:paraId="3D51773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128 500</w:t>
            </w:r>
          </w:p>
        </w:tc>
      </w:tr>
      <w:tr w:rsidR="00555DA6" w:rsidRPr="003D2176" w14:paraId="103BDCB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307C9BF3"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7777871"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Déploiement et mise en service de la plateforme de gestion d’infrastructure du centre de calcul intelligent</w:t>
            </w:r>
          </w:p>
        </w:tc>
        <w:tc>
          <w:tcPr>
            <w:tcW w:w="1363" w:type="dxa"/>
            <w:tcBorders>
              <w:top w:val="nil"/>
              <w:left w:val="nil"/>
              <w:bottom w:val="single" w:sz="4" w:space="0" w:color="auto"/>
              <w:right w:val="single" w:sz="4" w:space="0" w:color="auto"/>
            </w:tcBorders>
            <w:shd w:val="clear" w:color="auto" w:fill="auto"/>
            <w:noWrap/>
            <w:vAlign w:val="center"/>
            <w:hideMark/>
          </w:tcPr>
          <w:p w14:paraId="7D54659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142 500</w:t>
            </w:r>
          </w:p>
        </w:tc>
        <w:tc>
          <w:tcPr>
            <w:tcW w:w="1362" w:type="dxa"/>
            <w:tcBorders>
              <w:top w:val="nil"/>
              <w:left w:val="nil"/>
              <w:bottom w:val="single" w:sz="4" w:space="0" w:color="auto"/>
              <w:right w:val="single" w:sz="4" w:space="0" w:color="auto"/>
            </w:tcBorders>
            <w:shd w:val="clear" w:color="auto" w:fill="auto"/>
            <w:noWrap/>
            <w:vAlign w:val="center"/>
            <w:hideMark/>
          </w:tcPr>
          <w:p w14:paraId="29CAF45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99 750</w:t>
            </w:r>
          </w:p>
        </w:tc>
        <w:tc>
          <w:tcPr>
            <w:tcW w:w="1535" w:type="dxa"/>
            <w:tcBorders>
              <w:top w:val="nil"/>
              <w:left w:val="nil"/>
              <w:bottom w:val="single" w:sz="4" w:space="0" w:color="auto"/>
              <w:right w:val="single" w:sz="4" w:space="0" w:color="auto"/>
            </w:tcBorders>
            <w:shd w:val="clear" w:color="auto" w:fill="auto"/>
            <w:noWrap/>
            <w:vAlign w:val="center"/>
            <w:hideMark/>
          </w:tcPr>
          <w:p w14:paraId="6A0D031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42 750</w:t>
            </w:r>
          </w:p>
        </w:tc>
      </w:tr>
      <w:tr w:rsidR="00555DA6" w:rsidRPr="003D2176" w14:paraId="1F126CC5"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38E8EF9"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F0FDF64"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 xml:space="preserve">Plateforme d’IA </w:t>
            </w:r>
            <w:proofErr w:type="spellStart"/>
            <w:r>
              <w:rPr>
                <w:rFonts w:asciiTheme="majorBidi" w:hAnsiTheme="majorBidi"/>
                <w:color w:val="000000"/>
                <w:sz w:val="20"/>
                <w:szCs w:val="20"/>
              </w:rPr>
              <w:t>auto-réglable</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4EF9DF9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66 000</w:t>
            </w:r>
          </w:p>
        </w:tc>
        <w:tc>
          <w:tcPr>
            <w:tcW w:w="1362" w:type="dxa"/>
            <w:tcBorders>
              <w:top w:val="nil"/>
              <w:left w:val="nil"/>
              <w:bottom w:val="single" w:sz="4" w:space="0" w:color="auto"/>
              <w:right w:val="single" w:sz="4" w:space="0" w:color="auto"/>
            </w:tcBorders>
            <w:shd w:val="clear" w:color="auto" w:fill="auto"/>
            <w:noWrap/>
            <w:vAlign w:val="center"/>
            <w:hideMark/>
          </w:tcPr>
          <w:p w14:paraId="63044D3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46 200</w:t>
            </w:r>
          </w:p>
        </w:tc>
        <w:tc>
          <w:tcPr>
            <w:tcW w:w="1535" w:type="dxa"/>
            <w:tcBorders>
              <w:top w:val="nil"/>
              <w:left w:val="nil"/>
              <w:bottom w:val="single" w:sz="4" w:space="0" w:color="auto"/>
              <w:right w:val="single" w:sz="4" w:space="0" w:color="auto"/>
            </w:tcBorders>
            <w:shd w:val="clear" w:color="auto" w:fill="auto"/>
            <w:noWrap/>
            <w:vAlign w:val="center"/>
            <w:hideMark/>
          </w:tcPr>
          <w:p w14:paraId="3714411B"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19 800</w:t>
            </w:r>
          </w:p>
        </w:tc>
      </w:tr>
      <w:tr w:rsidR="00555DA6" w:rsidRPr="003D2176" w14:paraId="035B7D5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0E391BE"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55AE723"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Module hydrodynamique</w:t>
            </w:r>
          </w:p>
        </w:tc>
        <w:tc>
          <w:tcPr>
            <w:tcW w:w="1363" w:type="dxa"/>
            <w:tcBorders>
              <w:top w:val="nil"/>
              <w:left w:val="nil"/>
              <w:bottom w:val="single" w:sz="4" w:space="0" w:color="auto"/>
              <w:right w:val="single" w:sz="4" w:space="0" w:color="auto"/>
            </w:tcBorders>
            <w:shd w:val="clear" w:color="auto" w:fill="auto"/>
            <w:noWrap/>
            <w:vAlign w:val="center"/>
            <w:hideMark/>
          </w:tcPr>
          <w:p w14:paraId="1B61FDA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250 000</w:t>
            </w:r>
          </w:p>
        </w:tc>
        <w:tc>
          <w:tcPr>
            <w:tcW w:w="1362" w:type="dxa"/>
            <w:tcBorders>
              <w:top w:val="nil"/>
              <w:left w:val="nil"/>
              <w:bottom w:val="single" w:sz="4" w:space="0" w:color="auto"/>
              <w:right w:val="single" w:sz="4" w:space="0" w:color="auto"/>
            </w:tcBorders>
            <w:shd w:val="clear" w:color="auto" w:fill="auto"/>
            <w:noWrap/>
            <w:vAlign w:val="center"/>
            <w:hideMark/>
          </w:tcPr>
          <w:p w14:paraId="194C1A7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250 000</w:t>
            </w:r>
          </w:p>
        </w:tc>
        <w:tc>
          <w:tcPr>
            <w:tcW w:w="1535" w:type="dxa"/>
            <w:tcBorders>
              <w:top w:val="nil"/>
              <w:left w:val="nil"/>
              <w:bottom w:val="single" w:sz="4" w:space="0" w:color="auto"/>
              <w:right w:val="single" w:sz="4" w:space="0" w:color="auto"/>
            </w:tcBorders>
            <w:shd w:val="clear" w:color="auto" w:fill="auto"/>
            <w:noWrap/>
            <w:vAlign w:val="center"/>
            <w:hideMark/>
          </w:tcPr>
          <w:p w14:paraId="17A0800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1DDC52F5"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7E4E17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2AAE1DB" w14:textId="77777777" w:rsidR="00555DA6" w:rsidRPr="003D2176" w:rsidRDefault="00555DA6" w:rsidP="00B007EC">
            <w:pPr>
              <w:jc w:val="left"/>
              <w:rPr>
                <w:rFonts w:asciiTheme="majorBidi" w:eastAsia="DengXian" w:hAnsiTheme="majorBidi" w:cstheme="majorBidi"/>
                <w:color w:val="000000"/>
                <w:sz w:val="20"/>
                <w:szCs w:val="20"/>
              </w:rPr>
            </w:pPr>
            <w:proofErr w:type="spellStart"/>
            <w:r>
              <w:rPr>
                <w:rFonts w:asciiTheme="majorBidi" w:hAnsiTheme="majorBidi"/>
                <w:color w:val="000000"/>
                <w:sz w:val="20"/>
                <w:szCs w:val="20"/>
              </w:rPr>
              <w:t>Aérorefroidisseur</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00A774EA"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500 850</w:t>
            </w:r>
          </w:p>
        </w:tc>
        <w:tc>
          <w:tcPr>
            <w:tcW w:w="1362" w:type="dxa"/>
            <w:tcBorders>
              <w:top w:val="nil"/>
              <w:left w:val="nil"/>
              <w:bottom w:val="single" w:sz="4" w:space="0" w:color="auto"/>
              <w:right w:val="single" w:sz="4" w:space="0" w:color="auto"/>
            </w:tcBorders>
            <w:shd w:val="clear" w:color="auto" w:fill="auto"/>
            <w:noWrap/>
            <w:vAlign w:val="center"/>
            <w:hideMark/>
          </w:tcPr>
          <w:p w14:paraId="333CED2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500 850</w:t>
            </w:r>
          </w:p>
        </w:tc>
        <w:tc>
          <w:tcPr>
            <w:tcW w:w="1535" w:type="dxa"/>
            <w:tcBorders>
              <w:top w:val="nil"/>
              <w:left w:val="nil"/>
              <w:bottom w:val="single" w:sz="4" w:space="0" w:color="auto"/>
              <w:right w:val="single" w:sz="4" w:space="0" w:color="auto"/>
            </w:tcBorders>
            <w:shd w:val="clear" w:color="auto" w:fill="auto"/>
            <w:noWrap/>
            <w:vAlign w:val="center"/>
            <w:hideMark/>
          </w:tcPr>
          <w:p w14:paraId="4361E6B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3A41B20A"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8674EC8"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E4616F7"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Système d’alimentation électrique hybride ininterrompu (système d’alimentation électrique mixte)</w:t>
            </w:r>
          </w:p>
        </w:tc>
        <w:tc>
          <w:tcPr>
            <w:tcW w:w="1363" w:type="dxa"/>
            <w:tcBorders>
              <w:top w:val="nil"/>
              <w:left w:val="nil"/>
              <w:bottom w:val="single" w:sz="4" w:space="0" w:color="auto"/>
              <w:right w:val="single" w:sz="4" w:space="0" w:color="auto"/>
            </w:tcBorders>
            <w:shd w:val="clear" w:color="auto" w:fill="auto"/>
            <w:noWrap/>
            <w:vAlign w:val="center"/>
            <w:hideMark/>
          </w:tcPr>
          <w:p w14:paraId="01EBC01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1 141 800</w:t>
            </w:r>
          </w:p>
        </w:tc>
        <w:tc>
          <w:tcPr>
            <w:tcW w:w="1362" w:type="dxa"/>
            <w:tcBorders>
              <w:top w:val="nil"/>
              <w:left w:val="nil"/>
              <w:bottom w:val="single" w:sz="4" w:space="0" w:color="auto"/>
              <w:right w:val="single" w:sz="4" w:space="0" w:color="auto"/>
            </w:tcBorders>
            <w:shd w:val="clear" w:color="auto" w:fill="auto"/>
            <w:noWrap/>
            <w:vAlign w:val="center"/>
            <w:hideMark/>
          </w:tcPr>
          <w:p w14:paraId="4C34512C"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1 141 800</w:t>
            </w:r>
          </w:p>
        </w:tc>
        <w:tc>
          <w:tcPr>
            <w:tcW w:w="1535" w:type="dxa"/>
            <w:tcBorders>
              <w:top w:val="nil"/>
              <w:left w:val="nil"/>
              <w:bottom w:val="single" w:sz="4" w:space="0" w:color="auto"/>
              <w:right w:val="single" w:sz="4" w:space="0" w:color="auto"/>
            </w:tcBorders>
            <w:shd w:val="clear" w:color="auto" w:fill="auto"/>
            <w:noWrap/>
            <w:vAlign w:val="center"/>
            <w:hideMark/>
          </w:tcPr>
          <w:p w14:paraId="0E1AEEA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793587E8"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55806C6"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D0884F1"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Pompe à chaleur (système de récupération des eaux usées)</w:t>
            </w:r>
          </w:p>
        </w:tc>
        <w:tc>
          <w:tcPr>
            <w:tcW w:w="1363" w:type="dxa"/>
            <w:tcBorders>
              <w:top w:val="nil"/>
              <w:left w:val="nil"/>
              <w:bottom w:val="single" w:sz="4" w:space="0" w:color="auto"/>
              <w:right w:val="single" w:sz="4" w:space="0" w:color="auto"/>
            </w:tcBorders>
            <w:shd w:val="clear" w:color="auto" w:fill="auto"/>
            <w:noWrap/>
            <w:vAlign w:val="center"/>
            <w:hideMark/>
          </w:tcPr>
          <w:p w14:paraId="6AE0CF1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120 000</w:t>
            </w:r>
          </w:p>
        </w:tc>
        <w:tc>
          <w:tcPr>
            <w:tcW w:w="1362" w:type="dxa"/>
            <w:tcBorders>
              <w:top w:val="nil"/>
              <w:left w:val="nil"/>
              <w:bottom w:val="single" w:sz="4" w:space="0" w:color="auto"/>
              <w:right w:val="single" w:sz="4" w:space="0" w:color="auto"/>
            </w:tcBorders>
            <w:shd w:val="clear" w:color="auto" w:fill="auto"/>
            <w:noWrap/>
            <w:vAlign w:val="center"/>
            <w:hideMark/>
          </w:tcPr>
          <w:p w14:paraId="4D749DE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120 000</w:t>
            </w:r>
          </w:p>
        </w:tc>
        <w:tc>
          <w:tcPr>
            <w:tcW w:w="1535" w:type="dxa"/>
            <w:tcBorders>
              <w:top w:val="nil"/>
              <w:left w:val="nil"/>
              <w:bottom w:val="single" w:sz="4" w:space="0" w:color="auto"/>
              <w:right w:val="single" w:sz="4" w:space="0" w:color="auto"/>
            </w:tcBorders>
            <w:shd w:val="clear" w:color="auto" w:fill="auto"/>
            <w:noWrap/>
            <w:vAlign w:val="center"/>
            <w:hideMark/>
          </w:tcPr>
          <w:p w14:paraId="0DD9D7B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68002EF0"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ABB5DC"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776C8605"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32 990 990</w:t>
            </w:r>
          </w:p>
        </w:tc>
        <w:tc>
          <w:tcPr>
            <w:tcW w:w="1362" w:type="dxa"/>
            <w:tcBorders>
              <w:top w:val="nil"/>
              <w:left w:val="nil"/>
              <w:bottom w:val="single" w:sz="4" w:space="0" w:color="auto"/>
              <w:right w:val="single" w:sz="4" w:space="0" w:color="auto"/>
            </w:tcBorders>
            <w:shd w:val="clear" w:color="auto" w:fill="auto"/>
            <w:noWrap/>
            <w:vAlign w:val="center"/>
            <w:hideMark/>
          </w:tcPr>
          <w:p w14:paraId="195E6A80"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31 300 840</w:t>
            </w:r>
          </w:p>
        </w:tc>
        <w:tc>
          <w:tcPr>
            <w:tcW w:w="1535" w:type="dxa"/>
            <w:tcBorders>
              <w:top w:val="nil"/>
              <w:left w:val="nil"/>
              <w:bottom w:val="single" w:sz="4" w:space="0" w:color="auto"/>
              <w:right w:val="single" w:sz="4" w:space="0" w:color="auto"/>
            </w:tcBorders>
            <w:shd w:val="clear" w:color="auto" w:fill="auto"/>
            <w:noWrap/>
            <w:vAlign w:val="center"/>
            <w:hideMark/>
          </w:tcPr>
          <w:p w14:paraId="56286D91"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1 690 150</w:t>
            </w:r>
          </w:p>
        </w:tc>
      </w:tr>
      <w:tr w:rsidR="00555DA6" w:rsidRPr="003D2176" w14:paraId="70F6BCE2" w14:textId="77777777" w:rsidTr="00B007EC">
        <w:trPr>
          <w:trHeight w:val="334"/>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15902A"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b/>
                <w:bCs/>
                <w:color w:val="000000"/>
                <w:sz w:val="20"/>
                <w:szCs w:val="20"/>
              </w:rPr>
              <w:t>Tests de fonctionnement</w:t>
            </w:r>
            <w:r w:rsidRPr="003D2176">
              <w:rPr>
                <w:rStyle w:val="Rimandonotaapidipagina"/>
                <w:rFonts w:asciiTheme="majorBidi" w:eastAsia="DengXian" w:hAnsiTheme="majorBidi" w:cstheme="majorBidi"/>
                <w:color w:val="000000"/>
                <w:sz w:val="20"/>
                <w:szCs w:val="20"/>
                <w:lang w:eastAsia="zh-CN"/>
              </w:rPr>
              <w:footnoteReference w:id="13"/>
            </w:r>
          </w:p>
        </w:tc>
        <w:tc>
          <w:tcPr>
            <w:tcW w:w="4225" w:type="dxa"/>
            <w:tcBorders>
              <w:top w:val="nil"/>
              <w:left w:val="nil"/>
              <w:bottom w:val="single" w:sz="4" w:space="0" w:color="auto"/>
              <w:right w:val="single" w:sz="4" w:space="0" w:color="auto"/>
            </w:tcBorders>
            <w:shd w:val="clear" w:color="auto" w:fill="auto"/>
            <w:noWrap/>
            <w:vAlign w:val="center"/>
            <w:hideMark/>
          </w:tcPr>
          <w:p w14:paraId="58489970"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Coûts d’installation et de mise en service</w:t>
            </w:r>
          </w:p>
        </w:tc>
        <w:tc>
          <w:tcPr>
            <w:tcW w:w="1363" w:type="dxa"/>
            <w:tcBorders>
              <w:top w:val="nil"/>
              <w:left w:val="nil"/>
              <w:bottom w:val="single" w:sz="4" w:space="0" w:color="auto"/>
              <w:right w:val="single" w:sz="4" w:space="0" w:color="auto"/>
            </w:tcBorders>
            <w:shd w:val="clear" w:color="auto" w:fill="auto"/>
            <w:noWrap/>
            <w:vAlign w:val="center"/>
            <w:hideMark/>
          </w:tcPr>
          <w:p w14:paraId="74333307"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30 000</w:t>
            </w:r>
          </w:p>
        </w:tc>
        <w:tc>
          <w:tcPr>
            <w:tcW w:w="1362" w:type="dxa"/>
            <w:tcBorders>
              <w:top w:val="nil"/>
              <w:left w:val="nil"/>
              <w:bottom w:val="single" w:sz="4" w:space="0" w:color="auto"/>
              <w:right w:val="single" w:sz="4" w:space="0" w:color="auto"/>
            </w:tcBorders>
            <w:shd w:val="clear" w:color="auto" w:fill="auto"/>
            <w:noWrap/>
            <w:vAlign w:val="center"/>
            <w:hideMark/>
          </w:tcPr>
          <w:p w14:paraId="6B398F79"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15 000</w:t>
            </w:r>
          </w:p>
        </w:tc>
        <w:tc>
          <w:tcPr>
            <w:tcW w:w="1535" w:type="dxa"/>
            <w:tcBorders>
              <w:top w:val="nil"/>
              <w:left w:val="nil"/>
              <w:bottom w:val="single" w:sz="4" w:space="0" w:color="auto"/>
              <w:right w:val="single" w:sz="4" w:space="0" w:color="auto"/>
            </w:tcBorders>
            <w:shd w:val="clear" w:color="auto" w:fill="auto"/>
            <w:noWrap/>
            <w:vAlign w:val="center"/>
            <w:hideMark/>
          </w:tcPr>
          <w:p w14:paraId="1A41FF9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15 000</w:t>
            </w:r>
          </w:p>
        </w:tc>
      </w:tr>
      <w:tr w:rsidR="00555DA6" w:rsidRPr="003D2176" w14:paraId="221775CF" w14:textId="77777777" w:rsidTr="00B007EC">
        <w:trPr>
          <w:trHeight w:val="243"/>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4B92E6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0F36DD0C" w14:textId="77777777" w:rsidR="00555DA6" w:rsidRPr="003D2176" w:rsidRDefault="00555DA6" w:rsidP="00B007EC">
            <w:pPr>
              <w:jc w:val="left"/>
              <w:rPr>
                <w:rFonts w:asciiTheme="majorBidi" w:eastAsia="DengXian" w:hAnsiTheme="majorBidi" w:cstheme="majorBidi"/>
                <w:color w:val="000000"/>
                <w:sz w:val="20"/>
                <w:szCs w:val="20"/>
              </w:rPr>
            </w:pPr>
            <w:r>
              <w:rPr>
                <w:rFonts w:asciiTheme="majorBidi" w:hAnsiTheme="majorBidi"/>
                <w:color w:val="000000"/>
                <w:sz w:val="20"/>
                <w:szCs w:val="20"/>
              </w:rPr>
              <w:t>Coût administratif</w:t>
            </w:r>
          </w:p>
        </w:tc>
        <w:tc>
          <w:tcPr>
            <w:tcW w:w="1363" w:type="dxa"/>
            <w:tcBorders>
              <w:top w:val="nil"/>
              <w:left w:val="nil"/>
              <w:bottom w:val="single" w:sz="4" w:space="0" w:color="auto"/>
              <w:right w:val="single" w:sz="4" w:space="0" w:color="auto"/>
            </w:tcBorders>
            <w:shd w:val="clear" w:color="auto" w:fill="auto"/>
            <w:noWrap/>
            <w:vAlign w:val="center"/>
            <w:hideMark/>
          </w:tcPr>
          <w:p w14:paraId="46CAD9D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12 000</w:t>
            </w:r>
          </w:p>
        </w:tc>
        <w:tc>
          <w:tcPr>
            <w:tcW w:w="1362" w:type="dxa"/>
            <w:tcBorders>
              <w:top w:val="nil"/>
              <w:left w:val="nil"/>
              <w:bottom w:val="single" w:sz="4" w:space="0" w:color="auto"/>
              <w:right w:val="single" w:sz="4" w:space="0" w:color="auto"/>
            </w:tcBorders>
            <w:shd w:val="clear" w:color="auto" w:fill="auto"/>
            <w:noWrap/>
            <w:vAlign w:val="center"/>
            <w:hideMark/>
          </w:tcPr>
          <w:p w14:paraId="6F140E0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6 000</w:t>
            </w:r>
          </w:p>
        </w:tc>
        <w:tc>
          <w:tcPr>
            <w:tcW w:w="1535" w:type="dxa"/>
            <w:tcBorders>
              <w:top w:val="nil"/>
              <w:left w:val="nil"/>
              <w:bottom w:val="single" w:sz="4" w:space="0" w:color="auto"/>
              <w:right w:val="single" w:sz="4" w:space="0" w:color="auto"/>
            </w:tcBorders>
            <w:shd w:val="clear" w:color="auto" w:fill="auto"/>
            <w:noWrap/>
            <w:vAlign w:val="center"/>
            <w:hideMark/>
          </w:tcPr>
          <w:p w14:paraId="6F6C201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6 000</w:t>
            </w:r>
          </w:p>
        </w:tc>
      </w:tr>
      <w:tr w:rsidR="00555DA6" w:rsidRPr="003D2176" w14:paraId="46FB1244"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F583E"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5CB93EC1"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42 000</w:t>
            </w:r>
          </w:p>
        </w:tc>
        <w:tc>
          <w:tcPr>
            <w:tcW w:w="1362" w:type="dxa"/>
            <w:tcBorders>
              <w:top w:val="nil"/>
              <w:left w:val="nil"/>
              <w:bottom w:val="single" w:sz="4" w:space="0" w:color="auto"/>
              <w:right w:val="single" w:sz="4" w:space="0" w:color="auto"/>
            </w:tcBorders>
            <w:shd w:val="clear" w:color="auto" w:fill="auto"/>
            <w:noWrap/>
            <w:vAlign w:val="center"/>
            <w:hideMark/>
          </w:tcPr>
          <w:p w14:paraId="49A9523F"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21 000</w:t>
            </w:r>
          </w:p>
        </w:tc>
        <w:tc>
          <w:tcPr>
            <w:tcW w:w="1535" w:type="dxa"/>
            <w:tcBorders>
              <w:top w:val="nil"/>
              <w:left w:val="nil"/>
              <w:bottom w:val="single" w:sz="4" w:space="0" w:color="auto"/>
              <w:right w:val="single" w:sz="4" w:space="0" w:color="auto"/>
            </w:tcBorders>
            <w:shd w:val="clear" w:color="auto" w:fill="auto"/>
            <w:noWrap/>
            <w:vAlign w:val="center"/>
            <w:hideMark/>
          </w:tcPr>
          <w:p w14:paraId="7FC51672"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21 000</w:t>
            </w:r>
          </w:p>
        </w:tc>
      </w:tr>
      <w:tr w:rsidR="00555DA6" w:rsidRPr="003D2176" w14:paraId="544F12CD" w14:textId="77777777" w:rsidTr="00B007EC">
        <w:trPr>
          <w:trHeight w:val="1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F8A87A"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b/>
                <w:bCs/>
                <w:color w:val="000000" w:themeColor="text1"/>
                <w:sz w:val="20"/>
                <w:szCs w:val="20"/>
              </w:rPr>
              <w:t>Exploitation du système</w:t>
            </w:r>
            <w:r w:rsidRPr="003D2176">
              <w:rPr>
                <w:rStyle w:val="Rimandonotaapidipagina"/>
                <w:rFonts w:asciiTheme="majorBidi" w:eastAsia="DengXian" w:hAnsiTheme="majorBidi" w:cstheme="majorBidi"/>
                <w:color w:val="000000" w:themeColor="text1"/>
                <w:sz w:val="20"/>
                <w:szCs w:val="20"/>
                <w:lang w:eastAsia="zh-CN"/>
              </w:rPr>
              <w:footnoteReference w:id="14"/>
            </w:r>
          </w:p>
        </w:tc>
        <w:tc>
          <w:tcPr>
            <w:tcW w:w="4225" w:type="dxa"/>
            <w:tcBorders>
              <w:top w:val="nil"/>
              <w:left w:val="nil"/>
              <w:bottom w:val="single" w:sz="4" w:space="0" w:color="auto"/>
              <w:right w:val="single" w:sz="4" w:space="0" w:color="auto"/>
            </w:tcBorders>
            <w:shd w:val="clear" w:color="auto" w:fill="auto"/>
            <w:noWrap/>
            <w:vAlign w:val="center"/>
            <w:hideMark/>
          </w:tcPr>
          <w:p w14:paraId="666407C4"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Coût de maintenance</w:t>
            </w:r>
          </w:p>
        </w:tc>
        <w:tc>
          <w:tcPr>
            <w:tcW w:w="1363" w:type="dxa"/>
            <w:tcBorders>
              <w:top w:val="nil"/>
              <w:left w:val="nil"/>
              <w:bottom w:val="single" w:sz="4" w:space="0" w:color="auto"/>
              <w:right w:val="single" w:sz="4" w:space="0" w:color="auto"/>
            </w:tcBorders>
            <w:shd w:val="clear" w:color="auto" w:fill="auto"/>
            <w:noWrap/>
            <w:vAlign w:val="center"/>
            <w:hideMark/>
          </w:tcPr>
          <w:p w14:paraId="268AD3EE"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45 000</w:t>
            </w:r>
          </w:p>
        </w:tc>
        <w:tc>
          <w:tcPr>
            <w:tcW w:w="1362" w:type="dxa"/>
            <w:tcBorders>
              <w:top w:val="nil"/>
              <w:left w:val="nil"/>
              <w:bottom w:val="single" w:sz="4" w:space="0" w:color="auto"/>
              <w:right w:val="single" w:sz="4" w:space="0" w:color="auto"/>
            </w:tcBorders>
            <w:shd w:val="clear" w:color="auto" w:fill="auto"/>
            <w:noWrap/>
            <w:vAlign w:val="center"/>
            <w:hideMark/>
          </w:tcPr>
          <w:p w14:paraId="36F11040"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22 500</w:t>
            </w:r>
          </w:p>
        </w:tc>
        <w:tc>
          <w:tcPr>
            <w:tcW w:w="1535" w:type="dxa"/>
            <w:tcBorders>
              <w:top w:val="nil"/>
              <w:left w:val="nil"/>
              <w:bottom w:val="single" w:sz="4" w:space="0" w:color="auto"/>
              <w:right w:val="single" w:sz="4" w:space="0" w:color="auto"/>
            </w:tcBorders>
            <w:shd w:val="clear" w:color="auto" w:fill="auto"/>
            <w:noWrap/>
            <w:vAlign w:val="center"/>
            <w:hideMark/>
          </w:tcPr>
          <w:p w14:paraId="59094954"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22 500</w:t>
            </w:r>
          </w:p>
        </w:tc>
      </w:tr>
      <w:tr w:rsidR="00555DA6" w:rsidRPr="003D2176" w14:paraId="72E3F52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89122E7"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72F4EF5A"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Coût d’alimentation</w:t>
            </w:r>
          </w:p>
        </w:tc>
        <w:tc>
          <w:tcPr>
            <w:tcW w:w="1363" w:type="dxa"/>
            <w:tcBorders>
              <w:top w:val="nil"/>
              <w:left w:val="nil"/>
              <w:bottom w:val="single" w:sz="4" w:space="0" w:color="auto"/>
              <w:right w:val="single" w:sz="4" w:space="0" w:color="auto"/>
            </w:tcBorders>
            <w:shd w:val="clear" w:color="auto" w:fill="auto"/>
            <w:noWrap/>
            <w:vAlign w:val="center"/>
            <w:hideMark/>
          </w:tcPr>
          <w:p w14:paraId="398F3E37"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852 700</w:t>
            </w:r>
          </w:p>
        </w:tc>
        <w:tc>
          <w:tcPr>
            <w:tcW w:w="1362" w:type="dxa"/>
            <w:tcBorders>
              <w:top w:val="nil"/>
              <w:left w:val="nil"/>
              <w:bottom w:val="single" w:sz="4" w:space="0" w:color="auto"/>
              <w:right w:val="single" w:sz="4" w:space="0" w:color="auto"/>
            </w:tcBorders>
            <w:shd w:val="clear" w:color="auto" w:fill="auto"/>
            <w:noWrap/>
            <w:vAlign w:val="center"/>
            <w:hideMark/>
          </w:tcPr>
          <w:p w14:paraId="47529AD2"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852 700</w:t>
            </w:r>
          </w:p>
        </w:tc>
        <w:tc>
          <w:tcPr>
            <w:tcW w:w="1535" w:type="dxa"/>
            <w:tcBorders>
              <w:top w:val="nil"/>
              <w:left w:val="nil"/>
              <w:bottom w:val="single" w:sz="4" w:space="0" w:color="auto"/>
              <w:right w:val="single" w:sz="4" w:space="0" w:color="auto"/>
            </w:tcBorders>
            <w:shd w:val="clear" w:color="auto" w:fill="auto"/>
            <w:noWrap/>
            <w:vAlign w:val="center"/>
            <w:hideMark/>
          </w:tcPr>
          <w:p w14:paraId="470A582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0</w:t>
            </w:r>
          </w:p>
        </w:tc>
      </w:tr>
      <w:tr w:rsidR="00555DA6" w:rsidRPr="003D2176" w14:paraId="02F7E8B6"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3FD898"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6264FE62"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897 700</w:t>
            </w:r>
          </w:p>
        </w:tc>
        <w:tc>
          <w:tcPr>
            <w:tcW w:w="1362" w:type="dxa"/>
            <w:tcBorders>
              <w:top w:val="nil"/>
              <w:left w:val="nil"/>
              <w:bottom w:val="single" w:sz="4" w:space="0" w:color="auto"/>
              <w:right w:val="single" w:sz="4" w:space="0" w:color="auto"/>
            </w:tcBorders>
            <w:shd w:val="clear" w:color="auto" w:fill="auto"/>
            <w:noWrap/>
            <w:vAlign w:val="center"/>
            <w:hideMark/>
          </w:tcPr>
          <w:p w14:paraId="577FD429"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875 200</w:t>
            </w:r>
          </w:p>
        </w:tc>
        <w:tc>
          <w:tcPr>
            <w:tcW w:w="1535" w:type="dxa"/>
            <w:tcBorders>
              <w:top w:val="nil"/>
              <w:left w:val="nil"/>
              <w:bottom w:val="single" w:sz="4" w:space="0" w:color="auto"/>
              <w:right w:val="single" w:sz="4" w:space="0" w:color="auto"/>
            </w:tcBorders>
            <w:shd w:val="clear" w:color="auto" w:fill="auto"/>
            <w:noWrap/>
            <w:vAlign w:val="center"/>
            <w:hideMark/>
          </w:tcPr>
          <w:p w14:paraId="5DFB0B93"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22 500</w:t>
            </w:r>
          </w:p>
        </w:tc>
      </w:tr>
      <w:tr w:rsidR="00555DA6" w:rsidRPr="003D2176" w14:paraId="10699E36"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A74D94" w14:textId="77777777" w:rsidR="00555DA6" w:rsidRPr="003D2176" w:rsidRDefault="00555DA6" w:rsidP="00B007EC">
            <w:pPr>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Recherche comparative</w:t>
            </w:r>
          </w:p>
        </w:tc>
        <w:tc>
          <w:tcPr>
            <w:tcW w:w="4225" w:type="dxa"/>
            <w:tcBorders>
              <w:top w:val="nil"/>
              <w:left w:val="nil"/>
              <w:bottom w:val="single" w:sz="4" w:space="0" w:color="auto"/>
              <w:right w:val="single" w:sz="4" w:space="0" w:color="auto"/>
            </w:tcBorders>
            <w:shd w:val="clear" w:color="auto" w:fill="auto"/>
            <w:vAlign w:val="center"/>
            <w:hideMark/>
          </w:tcPr>
          <w:p w14:paraId="5C582133"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Traitement des données et analyse</w:t>
            </w:r>
          </w:p>
        </w:tc>
        <w:tc>
          <w:tcPr>
            <w:tcW w:w="1363" w:type="dxa"/>
            <w:tcBorders>
              <w:top w:val="nil"/>
              <w:left w:val="nil"/>
              <w:bottom w:val="single" w:sz="4" w:space="0" w:color="auto"/>
              <w:right w:val="single" w:sz="4" w:space="0" w:color="auto"/>
            </w:tcBorders>
            <w:shd w:val="clear" w:color="auto" w:fill="auto"/>
            <w:noWrap/>
            <w:vAlign w:val="center"/>
            <w:hideMark/>
          </w:tcPr>
          <w:p w14:paraId="3BFE8ACD"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15 000</w:t>
            </w:r>
          </w:p>
        </w:tc>
        <w:tc>
          <w:tcPr>
            <w:tcW w:w="1362" w:type="dxa"/>
            <w:tcBorders>
              <w:top w:val="nil"/>
              <w:left w:val="nil"/>
              <w:bottom w:val="single" w:sz="4" w:space="0" w:color="auto"/>
              <w:right w:val="single" w:sz="4" w:space="0" w:color="auto"/>
            </w:tcBorders>
            <w:shd w:val="clear" w:color="auto" w:fill="auto"/>
            <w:noWrap/>
            <w:vAlign w:val="center"/>
            <w:hideMark/>
          </w:tcPr>
          <w:p w14:paraId="2F1FBC2E"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7 500</w:t>
            </w:r>
          </w:p>
        </w:tc>
        <w:tc>
          <w:tcPr>
            <w:tcW w:w="1535" w:type="dxa"/>
            <w:tcBorders>
              <w:top w:val="nil"/>
              <w:left w:val="nil"/>
              <w:bottom w:val="single" w:sz="4" w:space="0" w:color="auto"/>
              <w:right w:val="single" w:sz="4" w:space="0" w:color="auto"/>
            </w:tcBorders>
            <w:shd w:val="clear" w:color="auto" w:fill="auto"/>
            <w:noWrap/>
            <w:vAlign w:val="center"/>
            <w:hideMark/>
          </w:tcPr>
          <w:p w14:paraId="6F830527"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7 500</w:t>
            </w:r>
          </w:p>
        </w:tc>
      </w:tr>
      <w:tr w:rsidR="00555DA6" w:rsidRPr="003D2176" w14:paraId="3FD5716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3EE7269A"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44C0C97F"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Évaluation complète – effet sur l’environnement</w:t>
            </w:r>
          </w:p>
        </w:tc>
        <w:tc>
          <w:tcPr>
            <w:tcW w:w="1363" w:type="dxa"/>
            <w:tcBorders>
              <w:top w:val="nil"/>
              <w:left w:val="nil"/>
              <w:bottom w:val="single" w:sz="4" w:space="0" w:color="auto"/>
              <w:right w:val="single" w:sz="4" w:space="0" w:color="auto"/>
            </w:tcBorders>
            <w:shd w:val="clear" w:color="auto" w:fill="auto"/>
            <w:noWrap/>
            <w:vAlign w:val="center"/>
            <w:hideMark/>
          </w:tcPr>
          <w:p w14:paraId="32FEE807"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10 000</w:t>
            </w:r>
          </w:p>
        </w:tc>
        <w:tc>
          <w:tcPr>
            <w:tcW w:w="1362" w:type="dxa"/>
            <w:tcBorders>
              <w:top w:val="nil"/>
              <w:left w:val="nil"/>
              <w:bottom w:val="single" w:sz="4" w:space="0" w:color="auto"/>
              <w:right w:val="single" w:sz="4" w:space="0" w:color="auto"/>
            </w:tcBorders>
            <w:shd w:val="clear" w:color="auto" w:fill="auto"/>
            <w:noWrap/>
            <w:vAlign w:val="center"/>
            <w:hideMark/>
          </w:tcPr>
          <w:p w14:paraId="781814AE"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5 000</w:t>
            </w:r>
          </w:p>
        </w:tc>
        <w:tc>
          <w:tcPr>
            <w:tcW w:w="1535" w:type="dxa"/>
            <w:tcBorders>
              <w:top w:val="nil"/>
              <w:left w:val="nil"/>
              <w:bottom w:val="single" w:sz="4" w:space="0" w:color="auto"/>
              <w:right w:val="single" w:sz="4" w:space="0" w:color="auto"/>
            </w:tcBorders>
            <w:shd w:val="clear" w:color="auto" w:fill="auto"/>
            <w:noWrap/>
            <w:vAlign w:val="center"/>
            <w:hideMark/>
          </w:tcPr>
          <w:p w14:paraId="4EDE43A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5 000</w:t>
            </w:r>
          </w:p>
        </w:tc>
      </w:tr>
      <w:tr w:rsidR="00555DA6" w:rsidRPr="003D2176" w14:paraId="345DCBC3"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A6C1DD5"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20C17508"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Évaluation complète – efficacité énergétique et analyse économique</w:t>
            </w:r>
          </w:p>
        </w:tc>
        <w:tc>
          <w:tcPr>
            <w:tcW w:w="1363" w:type="dxa"/>
            <w:tcBorders>
              <w:top w:val="nil"/>
              <w:left w:val="nil"/>
              <w:bottom w:val="single" w:sz="4" w:space="0" w:color="auto"/>
              <w:right w:val="single" w:sz="4" w:space="0" w:color="auto"/>
            </w:tcBorders>
            <w:shd w:val="clear" w:color="auto" w:fill="auto"/>
            <w:noWrap/>
            <w:vAlign w:val="center"/>
            <w:hideMark/>
          </w:tcPr>
          <w:p w14:paraId="38B3891A"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10 000</w:t>
            </w:r>
          </w:p>
        </w:tc>
        <w:tc>
          <w:tcPr>
            <w:tcW w:w="1362" w:type="dxa"/>
            <w:tcBorders>
              <w:top w:val="nil"/>
              <w:left w:val="nil"/>
              <w:bottom w:val="single" w:sz="4" w:space="0" w:color="auto"/>
              <w:right w:val="single" w:sz="4" w:space="0" w:color="auto"/>
            </w:tcBorders>
            <w:shd w:val="clear" w:color="auto" w:fill="auto"/>
            <w:noWrap/>
            <w:vAlign w:val="center"/>
            <w:hideMark/>
          </w:tcPr>
          <w:p w14:paraId="5A9F7213"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5 000</w:t>
            </w:r>
          </w:p>
        </w:tc>
        <w:tc>
          <w:tcPr>
            <w:tcW w:w="1535" w:type="dxa"/>
            <w:tcBorders>
              <w:top w:val="nil"/>
              <w:left w:val="nil"/>
              <w:bottom w:val="single" w:sz="4" w:space="0" w:color="auto"/>
              <w:right w:val="single" w:sz="4" w:space="0" w:color="auto"/>
            </w:tcBorders>
            <w:shd w:val="clear" w:color="auto" w:fill="auto"/>
            <w:noWrap/>
            <w:vAlign w:val="center"/>
            <w:hideMark/>
          </w:tcPr>
          <w:p w14:paraId="31E8359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5 000</w:t>
            </w:r>
          </w:p>
        </w:tc>
      </w:tr>
      <w:tr w:rsidR="00555DA6" w:rsidRPr="003D2176" w14:paraId="382D6D7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D5EB7C2"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05BC3EA2"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Recherche comparative – enquête pour le centre de données avec refroidissement par air</w:t>
            </w:r>
          </w:p>
        </w:tc>
        <w:tc>
          <w:tcPr>
            <w:tcW w:w="1363" w:type="dxa"/>
            <w:tcBorders>
              <w:top w:val="nil"/>
              <w:left w:val="nil"/>
              <w:bottom w:val="single" w:sz="4" w:space="0" w:color="auto"/>
              <w:right w:val="single" w:sz="4" w:space="0" w:color="auto"/>
            </w:tcBorders>
            <w:shd w:val="clear" w:color="auto" w:fill="auto"/>
            <w:noWrap/>
            <w:vAlign w:val="center"/>
            <w:hideMark/>
          </w:tcPr>
          <w:p w14:paraId="21BB8653"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15 000</w:t>
            </w:r>
          </w:p>
        </w:tc>
        <w:tc>
          <w:tcPr>
            <w:tcW w:w="1362" w:type="dxa"/>
            <w:tcBorders>
              <w:top w:val="nil"/>
              <w:left w:val="nil"/>
              <w:bottom w:val="single" w:sz="4" w:space="0" w:color="auto"/>
              <w:right w:val="single" w:sz="4" w:space="0" w:color="auto"/>
            </w:tcBorders>
            <w:shd w:val="clear" w:color="auto" w:fill="auto"/>
            <w:noWrap/>
            <w:vAlign w:val="center"/>
            <w:hideMark/>
          </w:tcPr>
          <w:p w14:paraId="321CDDD8"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7 500</w:t>
            </w:r>
          </w:p>
        </w:tc>
        <w:tc>
          <w:tcPr>
            <w:tcW w:w="1535" w:type="dxa"/>
            <w:tcBorders>
              <w:top w:val="nil"/>
              <w:left w:val="nil"/>
              <w:bottom w:val="single" w:sz="4" w:space="0" w:color="auto"/>
              <w:right w:val="single" w:sz="4" w:space="0" w:color="auto"/>
            </w:tcBorders>
            <w:shd w:val="clear" w:color="auto" w:fill="auto"/>
            <w:noWrap/>
            <w:vAlign w:val="center"/>
            <w:hideMark/>
          </w:tcPr>
          <w:p w14:paraId="18776A15"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7 500</w:t>
            </w:r>
          </w:p>
        </w:tc>
      </w:tr>
      <w:tr w:rsidR="00555DA6" w:rsidRPr="003D2176" w14:paraId="14702D9E"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1CD2CCC"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773C5B48"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Recherche comparative – optimisation de la performance entre le refroidissement par air et le projet</w:t>
            </w:r>
          </w:p>
        </w:tc>
        <w:tc>
          <w:tcPr>
            <w:tcW w:w="1363" w:type="dxa"/>
            <w:tcBorders>
              <w:top w:val="nil"/>
              <w:left w:val="nil"/>
              <w:bottom w:val="single" w:sz="4" w:space="0" w:color="auto"/>
              <w:right w:val="single" w:sz="4" w:space="0" w:color="auto"/>
            </w:tcBorders>
            <w:shd w:val="clear" w:color="auto" w:fill="auto"/>
            <w:noWrap/>
            <w:vAlign w:val="center"/>
            <w:hideMark/>
          </w:tcPr>
          <w:p w14:paraId="6186DCCE" w14:textId="77777777" w:rsidR="00555DA6" w:rsidRPr="003D2176" w:rsidRDefault="00555DA6" w:rsidP="00B007EC">
            <w:pPr>
              <w:jc w:val="right"/>
              <w:rPr>
                <w:rFonts w:asciiTheme="majorBidi" w:eastAsia="DengXian" w:hAnsiTheme="majorBidi" w:cstheme="majorBidi"/>
                <w:sz w:val="20"/>
                <w:szCs w:val="20"/>
              </w:rPr>
            </w:pPr>
            <w:r>
              <w:rPr>
                <w:rFonts w:asciiTheme="majorBidi" w:hAnsiTheme="majorBidi"/>
                <w:sz w:val="20"/>
                <w:szCs w:val="20"/>
              </w:rPr>
              <w:t>10 000</w:t>
            </w:r>
          </w:p>
        </w:tc>
        <w:tc>
          <w:tcPr>
            <w:tcW w:w="1362" w:type="dxa"/>
            <w:tcBorders>
              <w:top w:val="nil"/>
              <w:left w:val="nil"/>
              <w:bottom w:val="single" w:sz="4" w:space="0" w:color="auto"/>
              <w:right w:val="single" w:sz="4" w:space="0" w:color="auto"/>
            </w:tcBorders>
            <w:shd w:val="clear" w:color="auto" w:fill="auto"/>
            <w:noWrap/>
            <w:vAlign w:val="center"/>
            <w:hideMark/>
          </w:tcPr>
          <w:p w14:paraId="0DD1AA39"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5 000</w:t>
            </w:r>
          </w:p>
        </w:tc>
        <w:tc>
          <w:tcPr>
            <w:tcW w:w="1535" w:type="dxa"/>
            <w:tcBorders>
              <w:top w:val="nil"/>
              <w:left w:val="nil"/>
              <w:bottom w:val="single" w:sz="4" w:space="0" w:color="auto"/>
              <w:right w:val="single" w:sz="4" w:space="0" w:color="auto"/>
            </w:tcBorders>
            <w:shd w:val="clear" w:color="auto" w:fill="auto"/>
            <w:noWrap/>
            <w:vAlign w:val="center"/>
            <w:hideMark/>
          </w:tcPr>
          <w:p w14:paraId="3F7C08F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5 000</w:t>
            </w:r>
          </w:p>
        </w:tc>
      </w:tr>
      <w:tr w:rsidR="00555DA6" w:rsidRPr="003D2176" w14:paraId="3FD4BA4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E92C9FC"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505B9C3E"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Rapport de recherche</w:t>
            </w:r>
          </w:p>
        </w:tc>
        <w:tc>
          <w:tcPr>
            <w:tcW w:w="1363" w:type="dxa"/>
            <w:tcBorders>
              <w:top w:val="nil"/>
              <w:left w:val="nil"/>
              <w:bottom w:val="single" w:sz="4" w:space="0" w:color="auto"/>
              <w:right w:val="single" w:sz="4" w:space="0" w:color="auto"/>
            </w:tcBorders>
            <w:shd w:val="clear" w:color="auto" w:fill="auto"/>
            <w:noWrap/>
            <w:vAlign w:val="center"/>
            <w:hideMark/>
          </w:tcPr>
          <w:p w14:paraId="6585CC3D" w14:textId="77777777" w:rsidR="00555DA6" w:rsidRPr="003D2176" w:rsidRDefault="00555DA6" w:rsidP="00B007EC">
            <w:pPr>
              <w:jc w:val="right"/>
              <w:rPr>
                <w:rFonts w:asciiTheme="majorBidi" w:eastAsia="DengXian" w:hAnsiTheme="majorBidi" w:cstheme="majorBidi"/>
                <w:sz w:val="20"/>
                <w:szCs w:val="20"/>
              </w:rPr>
            </w:pPr>
            <w:r>
              <w:rPr>
                <w:rFonts w:asciiTheme="majorBidi" w:hAnsiTheme="majorBidi"/>
                <w:sz w:val="20"/>
                <w:szCs w:val="20"/>
              </w:rPr>
              <w:t>10 000</w:t>
            </w:r>
          </w:p>
        </w:tc>
        <w:tc>
          <w:tcPr>
            <w:tcW w:w="1362" w:type="dxa"/>
            <w:tcBorders>
              <w:top w:val="nil"/>
              <w:left w:val="nil"/>
              <w:bottom w:val="single" w:sz="4" w:space="0" w:color="auto"/>
              <w:right w:val="single" w:sz="4" w:space="0" w:color="auto"/>
            </w:tcBorders>
            <w:shd w:val="clear" w:color="auto" w:fill="auto"/>
            <w:noWrap/>
            <w:vAlign w:val="center"/>
            <w:hideMark/>
          </w:tcPr>
          <w:p w14:paraId="58F93892"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5 000</w:t>
            </w:r>
          </w:p>
        </w:tc>
        <w:tc>
          <w:tcPr>
            <w:tcW w:w="1535" w:type="dxa"/>
            <w:tcBorders>
              <w:top w:val="nil"/>
              <w:left w:val="nil"/>
              <w:bottom w:val="single" w:sz="4" w:space="0" w:color="auto"/>
              <w:right w:val="single" w:sz="4" w:space="0" w:color="auto"/>
            </w:tcBorders>
            <w:shd w:val="clear" w:color="auto" w:fill="auto"/>
            <w:noWrap/>
            <w:vAlign w:val="center"/>
            <w:hideMark/>
          </w:tcPr>
          <w:p w14:paraId="6BFC0EE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5 000</w:t>
            </w:r>
          </w:p>
        </w:tc>
      </w:tr>
      <w:tr w:rsidR="00555DA6" w:rsidRPr="003D2176" w14:paraId="2D01BF67"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tcPr>
          <w:p w14:paraId="5EFA9067"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Sous-total</w:t>
            </w:r>
          </w:p>
        </w:tc>
        <w:tc>
          <w:tcPr>
            <w:tcW w:w="1363" w:type="dxa"/>
            <w:tcBorders>
              <w:top w:val="nil"/>
              <w:left w:val="nil"/>
              <w:bottom w:val="single" w:sz="4" w:space="0" w:color="auto"/>
              <w:right w:val="single" w:sz="4" w:space="0" w:color="auto"/>
            </w:tcBorders>
            <w:shd w:val="clear" w:color="auto" w:fill="auto"/>
            <w:noWrap/>
            <w:vAlign w:val="center"/>
            <w:hideMark/>
          </w:tcPr>
          <w:p w14:paraId="4D82A71E" w14:textId="77777777" w:rsidR="00555DA6" w:rsidRPr="003D2176" w:rsidRDefault="00555DA6" w:rsidP="00B007EC">
            <w:pPr>
              <w:jc w:val="right"/>
              <w:rPr>
                <w:rFonts w:asciiTheme="majorBidi" w:eastAsia="DengXian" w:hAnsiTheme="majorBidi" w:cstheme="majorBidi"/>
                <w:b/>
                <w:bCs/>
                <w:sz w:val="20"/>
                <w:szCs w:val="20"/>
              </w:rPr>
            </w:pPr>
            <w:r>
              <w:rPr>
                <w:rFonts w:asciiTheme="majorBidi" w:hAnsiTheme="majorBidi"/>
                <w:b/>
                <w:bCs/>
                <w:sz w:val="20"/>
                <w:szCs w:val="20"/>
              </w:rPr>
              <w:t>70 000</w:t>
            </w:r>
          </w:p>
        </w:tc>
        <w:tc>
          <w:tcPr>
            <w:tcW w:w="1362" w:type="dxa"/>
            <w:tcBorders>
              <w:top w:val="nil"/>
              <w:left w:val="nil"/>
              <w:bottom w:val="single" w:sz="4" w:space="0" w:color="auto"/>
              <w:right w:val="single" w:sz="4" w:space="0" w:color="auto"/>
            </w:tcBorders>
            <w:shd w:val="clear" w:color="auto" w:fill="auto"/>
            <w:noWrap/>
            <w:vAlign w:val="center"/>
            <w:hideMark/>
          </w:tcPr>
          <w:p w14:paraId="285212BA"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35 000</w:t>
            </w:r>
          </w:p>
        </w:tc>
        <w:tc>
          <w:tcPr>
            <w:tcW w:w="1535" w:type="dxa"/>
            <w:tcBorders>
              <w:top w:val="nil"/>
              <w:left w:val="nil"/>
              <w:bottom w:val="single" w:sz="4" w:space="0" w:color="auto"/>
              <w:right w:val="single" w:sz="4" w:space="0" w:color="auto"/>
            </w:tcBorders>
            <w:shd w:val="clear" w:color="auto" w:fill="auto"/>
            <w:noWrap/>
            <w:vAlign w:val="center"/>
            <w:hideMark/>
          </w:tcPr>
          <w:p w14:paraId="6FA52177"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35 000</w:t>
            </w:r>
          </w:p>
        </w:tc>
      </w:tr>
      <w:tr w:rsidR="00555DA6" w:rsidRPr="003D2176" w14:paraId="7D7B2093"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189EEC" w14:textId="77777777" w:rsidR="00555DA6" w:rsidRPr="003D2176" w:rsidRDefault="00555DA6" w:rsidP="00B007EC">
            <w:pPr>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Amélioration des normes</w:t>
            </w:r>
          </w:p>
        </w:tc>
        <w:tc>
          <w:tcPr>
            <w:tcW w:w="4225" w:type="dxa"/>
            <w:tcBorders>
              <w:top w:val="single" w:sz="4" w:space="0" w:color="auto"/>
              <w:left w:val="nil"/>
              <w:bottom w:val="single" w:sz="4" w:space="0" w:color="auto"/>
              <w:right w:val="nil"/>
            </w:tcBorders>
            <w:shd w:val="clear" w:color="auto" w:fill="auto"/>
            <w:noWrap/>
            <w:vAlign w:val="bottom"/>
            <w:hideMark/>
          </w:tcPr>
          <w:p w14:paraId="469588AB"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Évaluation du marché</w:t>
            </w:r>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71A8E627"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779264CB"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4631BF0D"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4FEDF73F"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79D92D9"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single" w:sz="4" w:space="0" w:color="auto"/>
              <w:left w:val="nil"/>
              <w:bottom w:val="single" w:sz="4" w:space="0" w:color="auto"/>
              <w:right w:val="nil"/>
            </w:tcBorders>
            <w:shd w:val="clear" w:color="auto" w:fill="auto"/>
            <w:noWrap/>
            <w:vAlign w:val="bottom"/>
            <w:hideMark/>
          </w:tcPr>
          <w:p w14:paraId="73177AF3"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Amélioration de la norme</w:t>
            </w:r>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66D4C0AC"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0AF08531"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48326232"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124B5125"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318FB"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7E524100"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100 000</w:t>
            </w:r>
          </w:p>
        </w:tc>
        <w:tc>
          <w:tcPr>
            <w:tcW w:w="1362" w:type="dxa"/>
            <w:tcBorders>
              <w:top w:val="nil"/>
              <w:left w:val="nil"/>
              <w:bottom w:val="single" w:sz="4" w:space="0" w:color="auto"/>
              <w:right w:val="single" w:sz="4" w:space="0" w:color="auto"/>
            </w:tcBorders>
            <w:shd w:val="clear" w:color="auto" w:fill="auto"/>
            <w:noWrap/>
            <w:vAlign w:val="center"/>
            <w:hideMark/>
          </w:tcPr>
          <w:p w14:paraId="3494ABE4"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50 000</w:t>
            </w:r>
          </w:p>
        </w:tc>
        <w:tc>
          <w:tcPr>
            <w:tcW w:w="1535" w:type="dxa"/>
            <w:tcBorders>
              <w:top w:val="nil"/>
              <w:left w:val="nil"/>
              <w:bottom w:val="single" w:sz="4" w:space="0" w:color="auto"/>
              <w:right w:val="single" w:sz="4" w:space="0" w:color="auto"/>
            </w:tcBorders>
            <w:shd w:val="clear" w:color="auto" w:fill="auto"/>
            <w:noWrap/>
            <w:vAlign w:val="center"/>
            <w:hideMark/>
          </w:tcPr>
          <w:p w14:paraId="46930C4A"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50 000</w:t>
            </w:r>
          </w:p>
        </w:tc>
      </w:tr>
      <w:tr w:rsidR="00555DA6" w:rsidRPr="003D2176" w14:paraId="49691F6D"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74BF3F" w14:textId="77777777" w:rsidR="00555DA6" w:rsidRPr="003D2176" w:rsidRDefault="00555DA6" w:rsidP="00B007EC">
            <w:pPr>
              <w:jc w:val="lef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Sensibilisation et diffusion</w:t>
            </w:r>
          </w:p>
        </w:tc>
        <w:tc>
          <w:tcPr>
            <w:tcW w:w="4225" w:type="dxa"/>
            <w:tcBorders>
              <w:top w:val="nil"/>
              <w:left w:val="nil"/>
              <w:bottom w:val="single" w:sz="4" w:space="0" w:color="auto"/>
              <w:right w:val="single" w:sz="4" w:space="0" w:color="auto"/>
            </w:tcBorders>
            <w:shd w:val="clear" w:color="auto" w:fill="auto"/>
            <w:vAlign w:val="center"/>
            <w:hideMark/>
          </w:tcPr>
          <w:p w14:paraId="0FD9C6AE"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Diffusion de la technologie – séminaire technique</w:t>
            </w:r>
          </w:p>
        </w:tc>
        <w:tc>
          <w:tcPr>
            <w:tcW w:w="1363" w:type="dxa"/>
            <w:tcBorders>
              <w:top w:val="nil"/>
              <w:left w:val="nil"/>
              <w:bottom w:val="single" w:sz="4" w:space="0" w:color="auto"/>
              <w:right w:val="single" w:sz="4" w:space="0" w:color="auto"/>
            </w:tcBorders>
            <w:shd w:val="clear" w:color="auto" w:fill="auto"/>
            <w:noWrap/>
            <w:vAlign w:val="center"/>
            <w:hideMark/>
          </w:tcPr>
          <w:p w14:paraId="30A7BF2E"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2E5E0381"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67B943C1"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170DE12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0E76A0B"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28DC12D8"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Diffusion de la technologie – partage de l’étude de cas</w:t>
            </w:r>
          </w:p>
        </w:tc>
        <w:tc>
          <w:tcPr>
            <w:tcW w:w="1363" w:type="dxa"/>
            <w:tcBorders>
              <w:top w:val="nil"/>
              <w:left w:val="nil"/>
              <w:bottom w:val="single" w:sz="4" w:space="0" w:color="auto"/>
              <w:right w:val="single" w:sz="4" w:space="0" w:color="auto"/>
            </w:tcBorders>
            <w:shd w:val="clear" w:color="auto" w:fill="auto"/>
            <w:noWrap/>
            <w:vAlign w:val="center"/>
            <w:hideMark/>
          </w:tcPr>
          <w:p w14:paraId="1DCBC30F"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2D06E114"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7BF592CE"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59029FE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A84240A"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0A6738F3"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Diffusion de la technologie – participation dans les salons de l’industrie</w:t>
            </w:r>
          </w:p>
        </w:tc>
        <w:tc>
          <w:tcPr>
            <w:tcW w:w="1363" w:type="dxa"/>
            <w:tcBorders>
              <w:top w:val="nil"/>
              <w:left w:val="nil"/>
              <w:bottom w:val="single" w:sz="4" w:space="0" w:color="auto"/>
              <w:right w:val="single" w:sz="4" w:space="0" w:color="auto"/>
            </w:tcBorders>
            <w:shd w:val="clear" w:color="auto" w:fill="auto"/>
            <w:noWrap/>
            <w:vAlign w:val="center"/>
            <w:hideMark/>
          </w:tcPr>
          <w:p w14:paraId="3500874A"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7052E085"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367C48D3"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704B1350"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4BCD47B"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B3046AD"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Formation pour les concepteurs et techniciens concernés</w:t>
            </w:r>
          </w:p>
        </w:tc>
        <w:tc>
          <w:tcPr>
            <w:tcW w:w="1363" w:type="dxa"/>
            <w:tcBorders>
              <w:top w:val="nil"/>
              <w:left w:val="nil"/>
              <w:bottom w:val="single" w:sz="4" w:space="0" w:color="auto"/>
              <w:right w:val="single" w:sz="4" w:space="0" w:color="auto"/>
            </w:tcBorders>
            <w:shd w:val="clear" w:color="auto" w:fill="auto"/>
            <w:noWrap/>
            <w:vAlign w:val="center"/>
            <w:hideMark/>
          </w:tcPr>
          <w:p w14:paraId="36144C71"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43C54C9D"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0318FA6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4A10B2C0"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B30D25D"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B02EC5C"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Formation pour les personnes dirigeant la production, les travailleurs de la fabrication</w:t>
            </w:r>
          </w:p>
        </w:tc>
        <w:tc>
          <w:tcPr>
            <w:tcW w:w="1363" w:type="dxa"/>
            <w:tcBorders>
              <w:top w:val="nil"/>
              <w:left w:val="nil"/>
              <w:bottom w:val="single" w:sz="4" w:space="0" w:color="auto"/>
              <w:right w:val="single" w:sz="4" w:space="0" w:color="auto"/>
            </w:tcBorders>
            <w:shd w:val="clear" w:color="auto" w:fill="auto"/>
            <w:noWrap/>
            <w:vAlign w:val="center"/>
            <w:hideMark/>
          </w:tcPr>
          <w:p w14:paraId="6A327690"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2CFB56F1"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41433338"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18BC6DCE"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DA64D8F"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FFA50AC" w14:textId="77777777" w:rsidR="00555DA6" w:rsidRPr="003D2176" w:rsidRDefault="00555DA6" w:rsidP="00B007EC">
            <w:pPr>
              <w:jc w:val="lef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Formation pour le personnel de la maintenance de l’équipement</w:t>
            </w:r>
          </w:p>
        </w:tc>
        <w:tc>
          <w:tcPr>
            <w:tcW w:w="1363" w:type="dxa"/>
            <w:tcBorders>
              <w:top w:val="nil"/>
              <w:left w:val="nil"/>
              <w:bottom w:val="single" w:sz="4" w:space="0" w:color="auto"/>
              <w:right w:val="single" w:sz="4" w:space="0" w:color="auto"/>
            </w:tcBorders>
            <w:shd w:val="clear" w:color="auto" w:fill="auto"/>
            <w:noWrap/>
            <w:vAlign w:val="center"/>
            <w:hideMark/>
          </w:tcPr>
          <w:p w14:paraId="70F5BBB6"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50 000</w:t>
            </w:r>
          </w:p>
        </w:tc>
        <w:tc>
          <w:tcPr>
            <w:tcW w:w="1362" w:type="dxa"/>
            <w:tcBorders>
              <w:top w:val="nil"/>
              <w:left w:val="nil"/>
              <w:bottom w:val="single" w:sz="4" w:space="0" w:color="auto"/>
              <w:right w:val="single" w:sz="4" w:space="0" w:color="auto"/>
            </w:tcBorders>
            <w:shd w:val="clear" w:color="auto" w:fill="auto"/>
            <w:noWrap/>
            <w:vAlign w:val="center"/>
            <w:hideMark/>
          </w:tcPr>
          <w:p w14:paraId="1E2F1E3E" w14:textId="77777777" w:rsidR="00555DA6" w:rsidRPr="003D2176" w:rsidRDefault="00555DA6" w:rsidP="00B007EC">
            <w:pPr>
              <w:jc w:val="right"/>
              <w:rPr>
                <w:rFonts w:asciiTheme="majorBidi" w:eastAsia="DengXian" w:hAnsiTheme="majorBidi" w:cstheme="majorBidi"/>
                <w:color w:val="000000" w:themeColor="text1"/>
                <w:sz w:val="20"/>
                <w:szCs w:val="20"/>
              </w:rPr>
            </w:pPr>
            <w:r>
              <w:rPr>
                <w:rFonts w:asciiTheme="majorBidi" w:hAnsiTheme="majorBidi"/>
                <w:color w:val="000000" w:themeColor="text1"/>
                <w:sz w:val="20"/>
                <w:szCs w:val="20"/>
              </w:rPr>
              <w:t>25 000</w:t>
            </w:r>
          </w:p>
        </w:tc>
        <w:tc>
          <w:tcPr>
            <w:tcW w:w="1535" w:type="dxa"/>
            <w:tcBorders>
              <w:top w:val="nil"/>
              <w:left w:val="nil"/>
              <w:bottom w:val="single" w:sz="4" w:space="0" w:color="auto"/>
              <w:right w:val="single" w:sz="4" w:space="0" w:color="auto"/>
            </w:tcBorders>
            <w:shd w:val="clear" w:color="auto" w:fill="auto"/>
            <w:noWrap/>
            <w:vAlign w:val="center"/>
            <w:hideMark/>
          </w:tcPr>
          <w:p w14:paraId="10A8045F" w14:textId="77777777" w:rsidR="00555DA6" w:rsidRPr="003D2176" w:rsidRDefault="00555DA6" w:rsidP="00B007EC">
            <w:pPr>
              <w:jc w:val="right"/>
              <w:rPr>
                <w:rFonts w:asciiTheme="majorBidi" w:eastAsia="DengXian" w:hAnsiTheme="majorBidi" w:cstheme="majorBidi"/>
                <w:color w:val="000000"/>
                <w:sz w:val="20"/>
                <w:szCs w:val="20"/>
              </w:rPr>
            </w:pPr>
            <w:r>
              <w:rPr>
                <w:rFonts w:asciiTheme="majorBidi" w:hAnsiTheme="majorBidi"/>
                <w:color w:val="000000"/>
                <w:sz w:val="20"/>
                <w:szCs w:val="20"/>
              </w:rPr>
              <w:t>25 000</w:t>
            </w:r>
          </w:p>
        </w:tc>
      </w:tr>
      <w:tr w:rsidR="00555DA6" w:rsidRPr="003D2176" w14:paraId="5C7C8F1F"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FCD41A5"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 xml:space="preserve">Sous-total </w:t>
            </w:r>
          </w:p>
        </w:tc>
        <w:tc>
          <w:tcPr>
            <w:tcW w:w="1363" w:type="dxa"/>
            <w:tcBorders>
              <w:top w:val="nil"/>
              <w:left w:val="nil"/>
              <w:bottom w:val="single" w:sz="4" w:space="0" w:color="auto"/>
              <w:right w:val="single" w:sz="4" w:space="0" w:color="auto"/>
            </w:tcBorders>
            <w:shd w:val="clear" w:color="auto" w:fill="auto"/>
            <w:noWrap/>
            <w:vAlign w:val="center"/>
            <w:hideMark/>
          </w:tcPr>
          <w:p w14:paraId="505C0732"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300 000</w:t>
            </w:r>
          </w:p>
        </w:tc>
        <w:tc>
          <w:tcPr>
            <w:tcW w:w="1362" w:type="dxa"/>
            <w:tcBorders>
              <w:top w:val="nil"/>
              <w:left w:val="nil"/>
              <w:bottom w:val="single" w:sz="4" w:space="0" w:color="auto"/>
              <w:right w:val="single" w:sz="4" w:space="0" w:color="auto"/>
            </w:tcBorders>
            <w:shd w:val="clear" w:color="auto" w:fill="auto"/>
            <w:noWrap/>
            <w:vAlign w:val="center"/>
            <w:hideMark/>
          </w:tcPr>
          <w:p w14:paraId="758CE21A"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150 000</w:t>
            </w:r>
          </w:p>
        </w:tc>
        <w:tc>
          <w:tcPr>
            <w:tcW w:w="1535" w:type="dxa"/>
            <w:tcBorders>
              <w:top w:val="nil"/>
              <w:left w:val="nil"/>
              <w:bottom w:val="single" w:sz="4" w:space="0" w:color="auto"/>
              <w:right w:val="single" w:sz="4" w:space="0" w:color="auto"/>
            </w:tcBorders>
            <w:shd w:val="clear" w:color="auto" w:fill="auto"/>
            <w:noWrap/>
            <w:vAlign w:val="center"/>
            <w:hideMark/>
          </w:tcPr>
          <w:p w14:paraId="38CAF096"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color w:val="000000"/>
                <w:sz w:val="20"/>
                <w:szCs w:val="20"/>
              </w:rPr>
              <w:t>150 000</w:t>
            </w:r>
          </w:p>
        </w:tc>
      </w:tr>
      <w:tr w:rsidR="00555DA6" w:rsidRPr="003D2176" w14:paraId="2E1C863A"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18B6FEE" w14:textId="77777777" w:rsidR="00555DA6" w:rsidRPr="003D2176" w:rsidRDefault="00555DA6" w:rsidP="00B007EC">
            <w:pPr>
              <w:jc w:val="right"/>
              <w:rPr>
                <w:rFonts w:asciiTheme="majorBidi" w:eastAsia="DengXian" w:hAnsiTheme="majorBidi" w:cstheme="majorBidi"/>
                <w:b/>
                <w:bCs/>
                <w:color w:val="000000" w:themeColor="text1"/>
                <w:sz w:val="20"/>
                <w:szCs w:val="20"/>
              </w:rPr>
            </w:pPr>
            <w:r>
              <w:rPr>
                <w:rFonts w:asciiTheme="majorBidi" w:hAnsiTheme="majorBidi"/>
                <w:b/>
                <w:bCs/>
                <w:color w:val="000000" w:themeColor="text1"/>
                <w:sz w:val="20"/>
                <w:szCs w:val="20"/>
              </w:rPr>
              <w:t xml:space="preserve">Total </w:t>
            </w:r>
          </w:p>
        </w:tc>
        <w:tc>
          <w:tcPr>
            <w:tcW w:w="1363" w:type="dxa"/>
            <w:tcBorders>
              <w:top w:val="nil"/>
              <w:left w:val="nil"/>
              <w:bottom w:val="single" w:sz="4" w:space="0" w:color="auto"/>
              <w:right w:val="single" w:sz="4" w:space="0" w:color="auto"/>
            </w:tcBorders>
            <w:shd w:val="clear" w:color="auto" w:fill="auto"/>
            <w:noWrap/>
            <w:vAlign w:val="center"/>
            <w:hideMark/>
          </w:tcPr>
          <w:p w14:paraId="4D51C4DE" w14:textId="77777777" w:rsidR="00555DA6" w:rsidRPr="003D2176" w:rsidRDefault="00555DA6" w:rsidP="00B007EC">
            <w:pPr>
              <w:jc w:val="right"/>
              <w:rPr>
                <w:rFonts w:asciiTheme="majorBidi" w:eastAsia="DengXian" w:hAnsiTheme="majorBidi" w:cstheme="majorBidi"/>
                <w:b/>
                <w:bCs/>
                <w:sz w:val="20"/>
                <w:szCs w:val="20"/>
              </w:rPr>
            </w:pPr>
            <w:r>
              <w:rPr>
                <w:rFonts w:asciiTheme="majorBidi" w:hAnsiTheme="majorBidi"/>
                <w:b/>
                <w:bCs/>
                <w:sz w:val="20"/>
                <w:szCs w:val="20"/>
              </w:rPr>
              <w:t>37 339 190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54FA5675" w14:textId="77777777" w:rsidR="00555DA6" w:rsidRPr="003D2176" w:rsidRDefault="00555DA6" w:rsidP="00B007EC">
            <w:pPr>
              <w:jc w:val="right"/>
              <w:rPr>
                <w:rFonts w:asciiTheme="majorBidi" w:eastAsia="DengXian" w:hAnsiTheme="majorBidi" w:cstheme="majorBidi"/>
                <w:b/>
                <w:bCs/>
                <w:sz w:val="20"/>
                <w:szCs w:val="20"/>
              </w:rPr>
            </w:pPr>
            <w:r>
              <w:rPr>
                <w:rFonts w:asciiTheme="majorBidi" w:hAnsiTheme="majorBidi"/>
                <w:b/>
                <w:bCs/>
                <w:sz w:val="20"/>
                <w:szCs w:val="20"/>
              </w:rPr>
              <w:t>34 882 290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22D3B03B" w14:textId="77777777" w:rsidR="00555DA6" w:rsidRPr="003D2176" w:rsidRDefault="00555DA6" w:rsidP="00B007EC">
            <w:pPr>
              <w:jc w:val="right"/>
              <w:rPr>
                <w:rFonts w:asciiTheme="majorBidi" w:eastAsia="DengXian" w:hAnsiTheme="majorBidi" w:cstheme="majorBidi"/>
                <w:b/>
                <w:bCs/>
                <w:color w:val="000000"/>
                <w:sz w:val="20"/>
                <w:szCs w:val="20"/>
              </w:rPr>
            </w:pPr>
            <w:r>
              <w:rPr>
                <w:rFonts w:asciiTheme="majorBidi" w:hAnsiTheme="majorBidi"/>
                <w:b/>
                <w:bCs/>
                <w:sz w:val="20"/>
                <w:szCs w:val="20"/>
              </w:rPr>
              <w:t>2 456 900</w:t>
            </w:r>
          </w:p>
        </w:tc>
      </w:tr>
    </w:tbl>
    <w:p w14:paraId="17561ACA" w14:textId="77777777" w:rsidR="00555DA6" w:rsidRPr="00F325B1" w:rsidRDefault="00555DA6" w:rsidP="00555DA6">
      <w:pPr>
        <w:keepNext/>
        <w:spacing w:before="240" w:after="240"/>
        <w:jc w:val="center"/>
        <w:rPr>
          <w:b/>
          <w:bCs/>
        </w:rPr>
      </w:pPr>
      <w:r>
        <w:rPr>
          <w:b/>
          <w:bCs/>
        </w:rPr>
        <w:lastRenderedPageBreak/>
        <w:t>OBSERVATIONS ET RECOMMANDATION DU SECRÉTARIAT</w:t>
      </w:r>
    </w:p>
    <w:p w14:paraId="5D4E884E" w14:textId="77777777" w:rsidR="00555DA6" w:rsidRPr="00F325B1" w:rsidRDefault="00555DA6" w:rsidP="00555DA6">
      <w:pPr>
        <w:spacing w:before="240" w:after="240"/>
        <w:rPr>
          <w:b/>
          <w:bCs/>
        </w:rPr>
      </w:pPr>
      <w:r>
        <w:rPr>
          <w:b/>
          <w:bCs/>
        </w:rPr>
        <w:t>OBSERVATIONS</w:t>
      </w:r>
    </w:p>
    <w:p w14:paraId="28CFF8C5" w14:textId="77777777" w:rsidR="00555DA6" w:rsidRPr="00F325B1" w:rsidRDefault="00555DA6" w:rsidP="00555DA6">
      <w:pPr>
        <w:pStyle w:val="Titolo1"/>
      </w:pPr>
      <w:r>
        <w:t>Le Secrétariat a passé en revue la proposition de projet à la lumière de la décision 91/65 et la préparation de projet qui a été fournie pour ce projet à la 94</w:t>
      </w:r>
      <w:r>
        <w:rPr>
          <w:vertAlign w:val="superscript"/>
        </w:rPr>
        <w:t>e</w:t>
      </w:r>
      <w:r>
        <w:t xml:space="preserve"> réunion. </w:t>
      </w:r>
    </w:p>
    <w:p w14:paraId="4D876EA3" w14:textId="77777777" w:rsidR="00555DA6" w:rsidRPr="00F325B1" w:rsidRDefault="00555DA6" w:rsidP="00555DA6">
      <w:pPr>
        <w:spacing w:before="240" w:after="240"/>
        <w:rPr>
          <w:u w:val="single"/>
        </w:rPr>
      </w:pPr>
      <w:r>
        <w:rPr>
          <w:u w:val="single"/>
        </w:rPr>
        <w:t xml:space="preserve">Questions techniques et financières </w:t>
      </w:r>
    </w:p>
    <w:p w14:paraId="5FAC5195" w14:textId="77777777" w:rsidR="00555DA6" w:rsidRDefault="00555DA6" w:rsidP="00555DA6">
      <w:pPr>
        <w:spacing w:after="240"/>
        <w:rPr>
          <w:rFonts w:asciiTheme="majorBidi" w:hAnsiTheme="majorBidi" w:cstheme="majorBidi"/>
          <w:i/>
          <w:iCs/>
        </w:rPr>
      </w:pPr>
      <w:r>
        <w:rPr>
          <w:rFonts w:asciiTheme="majorBidi" w:hAnsiTheme="majorBidi"/>
          <w:i/>
          <w:iCs/>
        </w:rPr>
        <w:t>Validation de la technologie</w:t>
      </w:r>
    </w:p>
    <w:p w14:paraId="70C2B052" w14:textId="77777777" w:rsidR="00555DA6" w:rsidRPr="00F325B1" w:rsidRDefault="00555DA6" w:rsidP="00555DA6">
      <w:pPr>
        <w:pStyle w:val="Titolo1"/>
      </w:pPr>
      <w:r>
        <w:t xml:space="preserve">Le Secrétariat a pris note à partir de la présentation que le Bing Yi 797, une huile synthétique de refroidissement inventée et enregistrée par Tianjin Tier, est principalement composé de 90 à 99,8 pour cent de </w:t>
      </w:r>
      <w:proofErr w:type="spellStart"/>
      <w:r>
        <w:t>polidocanol</w:t>
      </w:r>
      <w:proofErr w:type="spellEnd"/>
      <w:r>
        <w:t xml:space="preserve"> hydrogéné et de 0,2 à 0,9 pour cent de composés antioxydants, sans hydrocarbures aromatiques. En ce qui concerne les tests de performance de ce produit en matière de sécurité et de performance du produit, le PNUD a expliqué qu’ils ont été approuvés par des laboratoires indépendants.</w:t>
      </w:r>
    </w:p>
    <w:p w14:paraId="77F328E8" w14:textId="77777777" w:rsidR="00555DA6" w:rsidRDefault="00555DA6" w:rsidP="00555DA6">
      <w:pPr>
        <w:spacing w:after="240"/>
        <w:rPr>
          <w:rFonts w:asciiTheme="majorBidi" w:hAnsiTheme="majorBidi" w:cstheme="majorBidi"/>
          <w:i/>
          <w:iCs/>
        </w:rPr>
      </w:pPr>
      <w:r>
        <w:rPr>
          <w:rFonts w:asciiTheme="majorBidi" w:hAnsiTheme="majorBidi"/>
          <w:i/>
          <w:iCs/>
        </w:rPr>
        <w:t xml:space="preserve">État de l’adoption du Bing Yi 797 </w:t>
      </w:r>
    </w:p>
    <w:p w14:paraId="46753482" w14:textId="0666E95F" w:rsidR="00555DA6" w:rsidRPr="00F325B1" w:rsidRDefault="00555DA6" w:rsidP="00555DA6">
      <w:pPr>
        <w:pStyle w:val="Titolo1"/>
      </w:pPr>
      <w:r>
        <w:t>Le Secrétariat a demandé des renseignements supplémentaires sur l’état d’adoption de la technologie proposée. L</w:t>
      </w:r>
      <w:r w:rsidR="00902259">
        <w:t>e</w:t>
      </w:r>
      <w:r>
        <w:t xml:space="preserve"> PNUE a expliqué que cette technologie a été validée dans des contextes de laboratoires et adoptée à petite échelle dans les centres de données en Chine. Initialement, elle a été appliquée dans un centre de données universitaire avec une seule armoire, et a plus tard été élargie à un centre de données commercial avec six armoires. Ces utilisations traitent des charges thermiques relativement faibles et sont principalement utilisées pour des services informatiques de base. En outre, la rétroaction des clients est positive; les utilisateurs apprécient la propreté de la technologie, la conception compacte, les niveaux de bruits réduits et les coûts énergétiques contrôlables. Le PNUD a également expliqué que comparativement aux systèmes traditionnels, cette solution a été bien reçue pour son efficacité et ses avantages en matière d’exploitation dans les centres de données à plus petite échelle. Le PNUD a également précisé que le refroidissement par immersion monophasé pouvait être utilisé dans d’autres applications, comme les dispositifs de gestion thermique des batteries pour les véhicules électriques (VE) et les systèmes de stockage d’énergie par batterie (SSEB) ainsi que les piles de recharge pour les VE. Cette technologie résout principalement la dissipation de la chaleur pour les scénarios de flux de chaleur élevé, en évitant l’utilisation de systèmes de climatisation.</w:t>
      </w:r>
    </w:p>
    <w:p w14:paraId="196C2C2E" w14:textId="77777777" w:rsidR="00555DA6" w:rsidRDefault="00555DA6" w:rsidP="00555DA6">
      <w:pPr>
        <w:spacing w:after="240"/>
        <w:rPr>
          <w:rFonts w:asciiTheme="majorBidi" w:hAnsiTheme="majorBidi" w:cstheme="majorBidi"/>
          <w:i/>
          <w:iCs/>
        </w:rPr>
      </w:pPr>
      <w:r>
        <w:rPr>
          <w:rFonts w:asciiTheme="majorBidi" w:hAnsiTheme="majorBidi"/>
          <w:i/>
          <w:iCs/>
        </w:rPr>
        <w:t>Processus de récupération de la chaleur</w:t>
      </w:r>
    </w:p>
    <w:p w14:paraId="65E7A917" w14:textId="719A1841" w:rsidR="00555DA6" w:rsidRPr="00F325B1" w:rsidRDefault="00555DA6" w:rsidP="00555DA6">
      <w:pPr>
        <w:pStyle w:val="Titolo1"/>
      </w:pPr>
      <w:r>
        <w:t>Le Secrétariat a demandé des précisions concernant le processus de récupération de la chaleur, en prenant note que cela ne fait pas directement partie du système utilisé pour le refroidissement du centre. Le PNUD a expliqué que pour assurer la grande efficience de refroidissement et la récupération efficace des rejets thermiques dans les centres de données, il est crucial que les paramètres des deux systèmes – comme la température, le débit et les capacités de transfert thermique – soient harmonisés avec précision; les inadéquations entraînent une perte d’efficience et affecteraient la performance du système dans son ensemble. De plus, il a également mentionné que le déséquilibre dans la correspondance des flux thermiques entraînerait un déséquilibre thermique affectant la performance du liquide de refroidissement, une consommation énergétique excessive dans les différentes opérations de l’unité, une usure plus importante des composantes, une instabilité du système contribuant aux risques de temps d’arrêt, ainsi que de plus faible</w:t>
      </w:r>
      <w:r w:rsidR="0034715E">
        <w:t>s</w:t>
      </w:r>
      <w:r>
        <w:t xml:space="preserve"> niveaux de récupération de chaleur qui entraîneraient indirectement une inefficacité. Selon les consultations, le PNUD a convenu de retirer les coûts relatifs à ce volet de la proposition.</w:t>
      </w:r>
    </w:p>
    <w:p w14:paraId="034EC308" w14:textId="77777777" w:rsidR="00555DA6" w:rsidRDefault="00555DA6" w:rsidP="00555DA6">
      <w:pPr>
        <w:spacing w:after="240"/>
        <w:rPr>
          <w:rFonts w:asciiTheme="majorBidi" w:hAnsiTheme="majorBidi" w:cstheme="majorBidi"/>
          <w:i/>
          <w:iCs/>
        </w:rPr>
      </w:pPr>
      <w:r>
        <w:rPr>
          <w:rFonts w:asciiTheme="majorBidi" w:hAnsiTheme="majorBidi"/>
          <w:i/>
          <w:iCs/>
        </w:rPr>
        <w:t>Besoins supplémentaires en matière de refroidissement</w:t>
      </w:r>
    </w:p>
    <w:p w14:paraId="7F9CBE0E" w14:textId="77777777" w:rsidR="00555DA6" w:rsidRPr="00F325B1" w:rsidRDefault="00555DA6" w:rsidP="00555DA6">
      <w:pPr>
        <w:pStyle w:val="Titolo1"/>
      </w:pPr>
      <w:r>
        <w:lastRenderedPageBreak/>
        <w:t>Au sujet des besoins supplémentaires en matière de refroidissement, le PNUD a expliqué que selon les données des tests en laboratoire, ces systèmes n’ont pas besoin de refroidissement supplémentaire. Le serveur pourrait fonctionner normalement même si la température d’arrivée</w:t>
      </w:r>
      <w:r w:rsidRPr="00F325B1">
        <w:rPr>
          <w:rStyle w:val="Rimandonotaapidipagina"/>
        </w:rPr>
        <w:footnoteReference w:id="15"/>
      </w:r>
      <w:r>
        <w:t xml:space="preserve"> du liquide de refroidissement est aussi élevée que 50 °C. Parallèlement, la température de sortie</w:t>
      </w:r>
      <w:r w:rsidRPr="00F325B1">
        <w:rPr>
          <w:rStyle w:val="Rimandonotaapidipagina"/>
        </w:rPr>
        <w:footnoteReference w:id="16"/>
      </w:r>
      <w:r>
        <w:t xml:space="preserve"> du liquide de refroidissement pourrait se situer autour de 60 °C; cette technologie pourrait donc être appliquée tant dans des climats chauds que froids partout dans le monde.</w:t>
      </w:r>
    </w:p>
    <w:p w14:paraId="3B34091D" w14:textId="77777777" w:rsidR="00555DA6" w:rsidRPr="00F325B1" w:rsidRDefault="00555DA6" w:rsidP="00555DA6">
      <w:pPr>
        <w:spacing w:after="240"/>
        <w:rPr>
          <w:rFonts w:asciiTheme="majorBidi" w:hAnsiTheme="majorBidi" w:cstheme="majorBidi"/>
          <w:i/>
          <w:iCs/>
        </w:rPr>
      </w:pPr>
      <w:r>
        <w:rPr>
          <w:rFonts w:asciiTheme="majorBidi" w:hAnsiTheme="majorBidi"/>
          <w:i/>
          <w:iCs/>
        </w:rPr>
        <w:t>Échange de renseignements sur l’achèvement de projet</w:t>
      </w:r>
    </w:p>
    <w:p w14:paraId="564E68D6" w14:textId="3FA173B8" w:rsidR="00555DA6" w:rsidRPr="00F325B1" w:rsidRDefault="00555DA6" w:rsidP="00555DA6">
      <w:pPr>
        <w:pStyle w:val="Titolo1"/>
      </w:pPr>
      <w:r>
        <w:t>Le Secrétariat a demandé des renseignements sur ce qui allait être partagé avec les clients après la démonstration réussie de la technologie. Le PNUD a expliqué que les renseignements généraux sur le système couvrent les détails touchant à la configuration du système (comme celle des serveurs et des armoires); l’exploitation des paramètres (couvrant les principales données d’exploitation comme les variations de température du serveur et incluant les UTG et les UC); les mesures de température et de débit du système aux points critiques; et l’analyse des données d’exploitation, y compris une étude comparative avec des systèmes fonctionnant aux HFC, les métriques de consommation énergétique et une analyse économique seront mis</w:t>
      </w:r>
      <w:r w:rsidR="0034715E">
        <w:t>es</w:t>
      </w:r>
      <w:r>
        <w:t xml:space="preserve"> à disposition du Fonds multilatéral et des autres parties intéressées. Certains aspects de la technologie demeureront exclusifs, y compris le processus de conception du système qui sera retenu comme les renseignements exclusifs et les renseignements relatifs au liquide de refroidissement, puisqu’il s’agit d’une substance chimique exclusive qui serait fournie directement aux clients par Tier. En outre, Tier garantit la fonctionnalité du liquide de refroidissement jusqu’à 10 ans (ce qui surpasse les données moyennes de durée de vie des centres de données d’environ 8 ans) et traitera le recyclage du liquide de refroidissement à la fin de la vie du centre de données.</w:t>
      </w:r>
    </w:p>
    <w:p w14:paraId="1918C8A4" w14:textId="77777777" w:rsidR="00555DA6" w:rsidRPr="00F325B1" w:rsidRDefault="00555DA6" w:rsidP="00555DA6">
      <w:pPr>
        <w:spacing w:after="240"/>
        <w:rPr>
          <w:rFonts w:asciiTheme="majorBidi" w:hAnsiTheme="majorBidi" w:cstheme="majorBidi"/>
          <w:i/>
          <w:iCs/>
        </w:rPr>
      </w:pPr>
      <w:r>
        <w:rPr>
          <w:rFonts w:asciiTheme="majorBidi" w:hAnsiTheme="majorBidi"/>
          <w:i/>
          <w:iCs/>
        </w:rPr>
        <w:t>Élaboration des normes pour les centres de données selon les résultats</w:t>
      </w:r>
    </w:p>
    <w:p w14:paraId="66D5E875" w14:textId="77777777" w:rsidR="00555DA6" w:rsidRPr="00F325B1" w:rsidRDefault="00555DA6" w:rsidP="00555DA6">
      <w:pPr>
        <w:pStyle w:val="Titolo1"/>
      </w:pPr>
      <w:r>
        <w:t>Au sujet de l’élaboration des normes, le Secrétariat a eu des discussions sur le temps nécessaire pour la mise en œuvre de ces normes, en prenant note que l’élaboration des normes peut être un important débouché pour l’amélioration de l’efficacité énergétique des centres de données. Le PNUD a expliqué que l’examen des normes minimales de performance énergétique (MEPS) est un aspect essentiel des projets dans le cadre de la fenêtre de financement pour l’efficacité énergétique. Cela facilite non seulement la diffusion de la technologie écologique, mais met également sur pied un repère pour des pratiques écoénergétiques et connexes</w:t>
      </w:r>
      <w:r w:rsidRPr="00F325B1">
        <w:rPr>
          <w:vertAlign w:val="superscript"/>
        </w:rPr>
        <w:footnoteReference w:id="17"/>
      </w:r>
      <w:r>
        <w:t xml:space="preserve"> dans les centres de données qui engendreraient des « centres de données écologiques ». En gardant à l’esprit le temps nécessaire pour la mise en œuvre des normes, il a été convenu de retirer ce volet du projet, en prenant note que les résultats relatifs à la performance énergétique du projet contribueront à l’élaboration des normes pour les centres de données uniquement après l’achèvement du projet.</w:t>
      </w:r>
    </w:p>
    <w:p w14:paraId="3743C924" w14:textId="77777777" w:rsidR="00555DA6" w:rsidRPr="00F325B1" w:rsidRDefault="00555DA6" w:rsidP="00555DA6">
      <w:pPr>
        <w:spacing w:after="240"/>
        <w:rPr>
          <w:rFonts w:asciiTheme="majorBidi" w:hAnsiTheme="majorBidi" w:cstheme="majorBidi"/>
          <w:i/>
          <w:iCs/>
        </w:rPr>
      </w:pPr>
      <w:r>
        <w:rPr>
          <w:rFonts w:asciiTheme="majorBidi" w:hAnsiTheme="majorBidi"/>
          <w:i/>
          <w:iCs/>
        </w:rPr>
        <w:t>Programmes de sensibilisation et de rayonnement</w:t>
      </w:r>
    </w:p>
    <w:p w14:paraId="3E882E7D" w14:textId="77777777" w:rsidR="00555DA6" w:rsidRPr="00F325B1" w:rsidRDefault="00555DA6" w:rsidP="00555DA6">
      <w:pPr>
        <w:pStyle w:val="Titolo1"/>
      </w:pPr>
      <w:r>
        <w:t xml:space="preserve">En ce qui concerne les programmes de sensibilisation et de rayonnement des résultats, le PNUD a expliqué que Tier entreprendrait une gamme d’activités de sensibilisation et de rayonnement relatives à la performance du produit et aux résultats du projet et ciblerait des publics constitués des représentants de l’industrie, de concepteurs et de techniciens pour des utilisations similaires, du personnel de maintenance, et d’autres parties prenantes concernées. L’entreprise partagera également les résultats de ce projet ainsi que d’autres développements en matière de technologie écologiques dans les équipements de réfrigération, </w:t>
      </w:r>
      <w:r>
        <w:lastRenderedPageBreak/>
        <w:t>de climatisation et de pompes à chaleur, qui pourraient être présentés lors de réunions internationales, comme celles relatives au Protocole de Montréal.</w:t>
      </w:r>
    </w:p>
    <w:p w14:paraId="096C4509" w14:textId="77777777" w:rsidR="00555DA6" w:rsidRPr="00F325B1" w:rsidRDefault="00555DA6" w:rsidP="00555DA6">
      <w:pPr>
        <w:spacing w:after="240"/>
        <w:rPr>
          <w:rFonts w:asciiTheme="majorBidi" w:hAnsiTheme="majorBidi" w:cstheme="majorBidi"/>
          <w:u w:val="single"/>
        </w:rPr>
      </w:pPr>
      <w:r>
        <w:rPr>
          <w:rFonts w:asciiTheme="majorBidi" w:hAnsiTheme="majorBidi"/>
          <w:u w:val="single"/>
        </w:rPr>
        <w:t xml:space="preserve">Coûts convenus du projet pilote </w:t>
      </w:r>
    </w:p>
    <w:p w14:paraId="19A112A9" w14:textId="52E73737" w:rsidR="00555DA6" w:rsidRPr="00F325B1" w:rsidRDefault="00555DA6" w:rsidP="00555DA6">
      <w:pPr>
        <w:pStyle w:val="Titolo1"/>
        <w:rPr>
          <w:rFonts w:asciiTheme="majorBidi" w:hAnsiTheme="majorBidi" w:cstheme="majorBidi"/>
        </w:rPr>
      </w:pPr>
      <w:r>
        <w:t xml:space="preserve">Le Secrétariat a tenu des échanges sur les coûts pour divers volets de ce projet en prenant note que certains des coûts sont basés sur des estimations faites par l’entreprise avec les apports de ses experts techniques. Le Secrétariat a tenu des consultations détaillées sur les différents volets de coûts du projet, en gardant à l’esprit que certains éléments de coûts n’étaient pas directement reliés au refroidissement et en prenant note que certains des coûts relevaient des conceptions techniques (p. ex., les coûts concernant le processus et l’assemblage) qui sont propres au projet proposé. Selon ces consultations, les coûts relatifs à la conception ont été rectifiés à 74 pour cent de la demande initiale; les coûts pour les composants du processus et de l’assemblage concernant l’armoire de refroidissement liquide, de la carte mère de refroidissement liquide, de la coque de refroidissement liquide des serveurs ainsi que du bloc spécial de refroidissement liquide ont été rectifiés à 77 pour cent de la demande initiale; les coûts pour les tests, l’exploitation des systèmes et la recherche comparative ont été rectifiés à 60 pour cent de la demande initiale; les coûts pour les améliorations des normes </w:t>
      </w:r>
      <w:r w:rsidR="00E90577">
        <w:t>ont</w:t>
      </w:r>
      <w:r>
        <w:t xml:space="preserve"> été retirés de la demande; et les coûts pour la sensibilisation et la diffusion des renseignements ont été rectifiés à 50 pour cent de la demande initiale. Le tableau 4 présente la proposition telle que soumise et les coûts convenus.</w:t>
      </w:r>
    </w:p>
    <w:p w14:paraId="53558D33" w14:textId="4407A357" w:rsidR="00555DA6" w:rsidRPr="00F325B1" w:rsidRDefault="00555DA6" w:rsidP="00555DA6">
      <w:pPr>
        <w:keepNext/>
        <w:keepLines/>
        <w:rPr>
          <w:rFonts w:asciiTheme="majorBidi" w:hAnsiTheme="majorBidi" w:cstheme="majorBidi"/>
          <w:b/>
          <w:bCs/>
        </w:rPr>
      </w:pPr>
      <w:r>
        <w:rPr>
          <w:rFonts w:asciiTheme="majorBidi" w:hAnsiTheme="majorBidi"/>
          <w:b/>
          <w:bCs/>
        </w:rPr>
        <w:t>Tableau</w:t>
      </w:r>
      <w:r w:rsidR="00991D1B">
        <w:rPr>
          <w:rFonts w:asciiTheme="majorBidi" w:hAnsiTheme="majorBidi"/>
          <w:b/>
          <w:bCs/>
        </w:rPr>
        <w:t> </w:t>
      </w:r>
      <w:r>
        <w:rPr>
          <w:rFonts w:asciiTheme="majorBidi" w:hAnsiTheme="majorBidi"/>
          <w:b/>
          <w:bCs/>
        </w:rPr>
        <w:t>4. Coûts convenus pour le projet pilote de démonstration du refroidissement par immersion monophasé dans un centre de données</w:t>
      </w:r>
    </w:p>
    <w:tbl>
      <w:tblPr>
        <w:tblW w:w="9265" w:type="dxa"/>
        <w:tblLook w:val="04A0" w:firstRow="1" w:lastRow="0" w:firstColumn="1" w:lastColumn="0" w:noHBand="0" w:noVBand="1"/>
      </w:tblPr>
      <w:tblGrid>
        <w:gridCol w:w="4106"/>
        <w:gridCol w:w="2549"/>
        <w:gridCol w:w="2610"/>
      </w:tblGrid>
      <w:tr w:rsidR="00555DA6" w:rsidRPr="00F325B1" w14:paraId="451014AD" w14:textId="77777777" w:rsidTr="003F3143">
        <w:trPr>
          <w:trHeight w:val="267"/>
        </w:trPr>
        <w:tc>
          <w:tcPr>
            <w:tcW w:w="4106" w:type="dxa"/>
            <w:tcBorders>
              <w:top w:val="single" w:sz="4" w:space="0" w:color="auto"/>
              <w:left w:val="single" w:sz="4" w:space="0" w:color="auto"/>
              <w:bottom w:val="single" w:sz="4" w:space="0" w:color="auto"/>
              <w:right w:val="single" w:sz="4" w:space="0" w:color="auto"/>
            </w:tcBorders>
            <w:shd w:val="clear" w:color="auto" w:fill="auto"/>
            <w:noWrap/>
            <w:hideMark/>
          </w:tcPr>
          <w:p w14:paraId="1416B306" w14:textId="77777777" w:rsidR="00555DA6" w:rsidRPr="00F325B1" w:rsidRDefault="00555DA6" w:rsidP="00B007EC">
            <w:pPr>
              <w:keepNext/>
              <w:keepLines/>
              <w:jc w:val="left"/>
              <w:rPr>
                <w:b/>
                <w:bCs/>
                <w:color w:val="000000"/>
                <w:sz w:val="20"/>
                <w:szCs w:val="20"/>
              </w:rPr>
            </w:pPr>
            <w:r>
              <w:rPr>
                <w:b/>
                <w:bCs/>
                <w:color w:val="000000"/>
                <w:sz w:val="20"/>
                <w:szCs w:val="20"/>
              </w:rPr>
              <w:t>Paramètres</w:t>
            </w:r>
          </w:p>
        </w:tc>
        <w:tc>
          <w:tcPr>
            <w:tcW w:w="2549" w:type="dxa"/>
            <w:tcBorders>
              <w:top w:val="single" w:sz="4" w:space="0" w:color="auto"/>
              <w:left w:val="nil"/>
              <w:bottom w:val="single" w:sz="4" w:space="0" w:color="auto"/>
              <w:right w:val="single" w:sz="4" w:space="0" w:color="auto"/>
            </w:tcBorders>
            <w:shd w:val="clear" w:color="auto" w:fill="auto"/>
            <w:noWrap/>
            <w:hideMark/>
          </w:tcPr>
          <w:p w14:paraId="45DEAA52" w14:textId="77777777" w:rsidR="00555DA6" w:rsidRPr="00F325B1" w:rsidRDefault="00555DA6" w:rsidP="00B007EC">
            <w:pPr>
              <w:keepNext/>
              <w:keepLines/>
              <w:jc w:val="center"/>
              <w:rPr>
                <w:b/>
                <w:bCs/>
                <w:color w:val="000000"/>
                <w:sz w:val="20"/>
                <w:szCs w:val="20"/>
              </w:rPr>
            </w:pPr>
            <w:r>
              <w:rPr>
                <w:b/>
                <w:bCs/>
                <w:color w:val="000000"/>
                <w:sz w:val="20"/>
                <w:szCs w:val="20"/>
              </w:rPr>
              <w:t>Tel que proposé ($ US)</w:t>
            </w:r>
          </w:p>
        </w:tc>
        <w:tc>
          <w:tcPr>
            <w:tcW w:w="2610" w:type="dxa"/>
            <w:tcBorders>
              <w:top w:val="single" w:sz="4" w:space="0" w:color="auto"/>
              <w:left w:val="nil"/>
              <w:bottom w:val="single" w:sz="4" w:space="0" w:color="auto"/>
              <w:right w:val="single" w:sz="4" w:space="0" w:color="auto"/>
            </w:tcBorders>
            <w:shd w:val="clear" w:color="auto" w:fill="auto"/>
            <w:noWrap/>
            <w:hideMark/>
          </w:tcPr>
          <w:p w14:paraId="0A38EE06" w14:textId="77777777" w:rsidR="00555DA6" w:rsidRPr="00F325B1" w:rsidRDefault="00555DA6" w:rsidP="00B007EC">
            <w:pPr>
              <w:keepNext/>
              <w:keepLines/>
              <w:jc w:val="center"/>
              <w:rPr>
                <w:b/>
                <w:bCs/>
                <w:color w:val="000000"/>
                <w:sz w:val="20"/>
                <w:szCs w:val="20"/>
              </w:rPr>
            </w:pPr>
            <w:r>
              <w:rPr>
                <w:b/>
                <w:bCs/>
                <w:color w:val="000000"/>
                <w:sz w:val="20"/>
                <w:szCs w:val="20"/>
              </w:rPr>
              <w:t>Coûts convenus ($ US)</w:t>
            </w:r>
          </w:p>
        </w:tc>
      </w:tr>
      <w:tr w:rsidR="00555DA6" w:rsidRPr="00F325B1" w14:paraId="3DD60C94"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14F6090B" w14:textId="77777777" w:rsidR="00555DA6" w:rsidRPr="00F325B1" w:rsidRDefault="00555DA6" w:rsidP="00B007EC">
            <w:pPr>
              <w:keepNext/>
              <w:keepLines/>
              <w:jc w:val="left"/>
              <w:rPr>
                <w:color w:val="000000"/>
                <w:sz w:val="20"/>
                <w:szCs w:val="20"/>
              </w:rPr>
            </w:pPr>
            <w:r>
              <w:rPr>
                <w:color w:val="000000"/>
                <w:sz w:val="20"/>
                <w:szCs w:val="20"/>
              </w:rPr>
              <w:t xml:space="preserve">Conception </w:t>
            </w:r>
          </w:p>
        </w:tc>
        <w:tc>
          <w:tcPr>
            <w:tcW w:w="2549" w:type="dxa"/>
            <w:tcBorders>
              <w:top w:val="nil"/>
              <w:left w:val="nil"/>
              <w:bottom w:val="single" w:sz="4" w:space="0" w:color="auto"/>
              <w:right w:val="single" w:sz="4" w:space="0" w:color="auto"/>
            </w:tcBorders>
            <w:shd w:val="clear" w:color="auto" w:fill="auto"/>
            <w:noWrap/>
            <w:hideMark/>
          </w:tcPr>
          <w:p w14:paraId="3DC59674" w14:textId="77777777" w:rsidR="00555DA6" w:rsidRPr="00F325B1" w:rsidRDefault="00555DA6" w:rsidP="00B007EC">
            <w:pPr>
              <w:keepNext/>
              <w:keepLines/>
              <w:jc w:val="right"/>
              <w:rPr>
                <w:color w:val="000000"/>
                <w:sz w:val="20"/>
                <w:szCs w:val="20"/>
              </w:rPr>
            </w:pPr>
            <w:r>
              <w:rPr>
                <w:color w:val="000000"/>
                <w:sz w:val="20"/>
                <w:szCs w:val="20"/>
              </w:rPr>
              <w:t xml:space="preserve">          488 250 </w:t>
            </w:r>
          </w:p>
        </w:tc>
        <w:tc>
          <w:tcPr>
            <w:tcW w:w="2610" w:type="dxa"/>
            <w:tcBorders>
              <w:top w:val="nil"/>
              <w:left w:val="nil"/>
              <w:bottom w:val="single" w:sz="4" w:space="0" w:color="auto"/>
              <w:right w:val="single" w:sz="4" w:space="0" w:color="auto"/>
            </w:tcBorders>
            <w:shd w:val="clear" w:color="auto" w:fill="auto"/>
            <w:noWrap/>
            <w:hideMark/>
          </w:tcPr>
          <w:p w14:paraId="6029C777" w14:textId="77777777" w:rsidR="00555DA6" w:rsidRPr="00F325B1" w:rsidRDefault="00555DA6" w:rsidP="00B007EC">
            <w:pPr>
              <w:keepNext/>
              <w:keepLines/>
              <w:jc w:val="right"/>
              <w:rPr>
                <w:color w:val="000000"/>
                <w:sz w:val="20"/>
                <w:szCs w:val="20"/>
              </w:rPr>
            </w:pPr>
            <w:r>
              <w:rPr>
                <w:color w:val="000000"/>
                <w:sz w:val="20"/>
                <w:szCs w:val="20"/>
              </w:rPr>
              <w:t xml:space="preserve">           362 500 </w:t>
            </w:r>
          </w:p>
        </w:tc>
      </w:tr>
      <w:tr w:rsidR="00555DA6" w:rsidRPr="00F325B1" w14:paraId="1412818A"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57AD5644" w14:textId="77777777" w:rsidR="00555DA6" w:rsidRPr="00F325B1" w:rsidRDefault="00555DA6" w:rsidP="00B007EC">
            <w:pPr>
              <w:keepNext/>
              <w:keepLines/>
              <w:jc w:val="left"/>
              <w:rPr>
                <w:color w:val="000000"/>
                <w:sz w:val="20"/>
                <w:szCs w:val="20"/>
              </w:rPr>
            </w:pPr>
            <w:r>
              <w:rPr>
                <w:color w:val="000000"/>
                <w:sz w:val="20"/>
                <w:szCs w:val="20"/>
              </w:rPr>
              <w:t>Processus et assemblage</w:t>
            </w:r>
          </w:p>
        </w:tc>
        <w:tc>
          <w:tcPr>
            <w:tcW w:w="2549" w:type="dxa"/>
            <w:tcBorders>
              <w:top w:val="nil"/>
              <w:left w:val="nil"/>
              <w:bottom w:val="single" w:sz="4" w:space="0" w:color="auto"/>
              <w:right w:val="single" w:sz="4" w:space="0" w:color="auto"/>
            </w:tcBorders>
            <w:shd w:val="clear" w:color="auto" w:fill="auto"/>
            <w:noWrap/>
            <w:hideMark/>
          </w:tcPr>
          <w:p w14:paraId="2FD35A00" w14:textId="77777777" w:rsidR="00555DA6" w:rsidRPr="00F325B1" w:rsidRDefault="00555DA6" w:rsidP="00B007EC">
            <w:pPr>
              <w:keepNext/>
              <w:keepLines/>
              <w:jc w:val="right"/>
              <w:rPr>
                <w:color w:val="000000"/>
                <w:sz w:val="20"/>
                <w:szCs w:val="20"/>
              </w:rPr>
            </w:pPr>
            <w:r>
              <w:rPr>
                <w:color w:val="000000"/>
                <w:sz w:val="20"/>
                <w:szCs w:val="20"/>
              </w:rPr>
              <w:t xml:space="preserve">        1 690 150 </w:t>
            </w:r>
          </w:p>
        </w:tc>
        <w:tc>
          <w:tcPr>
            <w:tcW w:w="2610" w:type="dxa"/>
            <w:tcBorders>
              <w:top w:val="nil"/>
              <w:left w:val="nil"/>
              <w:bottom w:val="single" w:sz="4" w:space="0" w:color="auto"/>
              <w:right w:val="single" w:sz="4" w:space="0" w:color="auto"/>
            </w:tcBorders>
            <w:shd w:val="clear" w:color="auto" w:fill="auto"/>
            <w:noWrap/>
            <w:hideMark/>
          </w:tcPr>
          <w:p w14:paraId="5A309009" w14:textId="77777777" w:rsidR="00555DA6" w:rsidRPr="00F325B1" w:rsidRDefault="00555DA6" w:rsidP="00B007EC">
            <w:pPr>
              <w:keepNext/>
              <w:keepLines/>
              <w:jc w:val="right"/>
              <w:rPr>
                <w:color w:val="000000"/>
                <w:sz w:val="20"/>
                <w:szCs w:val="20"/>
              </w:rPr>
            </w:pPr>
            <w:r>
              <w:rPr>
                <w:color w:val="000000"/>
                <w:sz w:val="20"/>
                <w:szCs w:val="20"/>
              </w:rPr>
              <w:t xml:space="preserve">         1 306 200 </w:t>
            </w:r>
          </w:p>
        </w:tc>
      </w:tr>
      <w:tr w:rsidR="00555DA6" w:rsidRPr="00F325B1" w14:paraId="7C7FF1CE"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25003D90" w14:textId="77777777" w:rsidR="00555DA6" w:rsidRPr="00F325B1" w:rsidRDefault="00555DA6" w:rsidP="00B007EC">
            <w:pPr>
              <w:keepNext/>
              <w:keepLines/>
              <w:jc w:val="left"/>
              <w:rPr>
                <w:color w:val="000000"/>
                <w:sz w:val="20"/>
                <w:szCs w:val="20"/>
              </w:rPr>
            </w:pPr>
            <w:r>
              <w:rPr>
                <w:color w:val="000000"/>
                <w:sz w:val="20"/>
                <w:szCs w:val="20"/>
              </w:rPr>
              <w:t>Tests de fonctionnement</w:t>
            </w:r>
          </w:p>
        </w:tc>
        <w:tc>
          <w:tcPr>
            <w:tcW w:w="2549" w:type="dxa"/>
            <w:tcBorders>
              <w:top w:val="nil"/>
              <w:left w:val="nil"/>
              <w:bottom w:val="single" w:sz="4" w:space="0" w:color="auto"/>
              <w:right w:val="single" w:sz="4" w:space="0" w:color="auto"/>
            </w:tcBorders>
            <w:shd w:val="clear" w:color="auto" w:fill="auto"/>
            <w:noWrap/>
            <w:hideMark/>
          </w:tcPr>
          <w:p w14:paraId="15467A28" w14:textId="77777777" w:rsidR="00555DA6" w:rsidRPr="00F325B1" w:rsidRDefault="00555DA6" w:rsidP="00B007EC">
            <w:pPr>
              <w:keepNext/>
              <w:keepLines/>
              <w:jc w:val="right"/>
              <w:rPr>
                <w:color w:val="000000"/>
                <w:sz w:val="20"/>
                <w:szCs w:val="20"/>
              </w:rPr>
            </w:pPr>
            <w:r>
              <w:rPr>
                <w:color w:val="000000"/>
                <w:sz w:val="20"/>
                <w:szCs w:val="20"/>
              </w:rPr>
              <w:t xml:space="preserve">           21 000 </w:t>
            </w:r>
          </w:p>
        </w:tc>
        <w:tc>
          <w:tcPr>
            <w:tcW w:w="2610" w:type="dxa"/>
            <w:tcBorders>
              <w:top w:val="nil"/>
              <w:left w:val="nil"/>
              <w:bottom w:val="single" w:sz="4" w:space="0" w:color="auto"/>
              <w:right w:val="single" w:sz="4" w:space="0" w:color="auto"/>
            </w:tcBorders>
            <w:shd w:val="clear" w:color="auto" w:fill="auto"/>
            <w:noWrap/>
            <w:hideMark/>
          </w:tcPr>
          <w:p w14:paraId="4BC916E3" w14:textId="77777777" w:rsidR="00555DA6" w:rsidRPr="00F325B1" w:rsidRDefault="00555DA6" w:rsidP="00B007EC">
            <w:pPr>
              <w:keepNext/>
              <w:keepLines/>
              <w:jc w:val="right"/>
              <w:rPr>
                <w:color w:val="000000"/>
                <w:sz w:val="20"/>
                <w:szCs w:val="20"/>
              </w:rPr>
            </w:pPr>
            <w:r>
              <w:rPr>
                <w:color w:val="000000"/>
                <w:sz w:val="20"/>
                <w:szCs w:val="20"/>
              </w:rPr>
              <w:t xml:space="preserve">            12 600 </w:t>
            </w:r>
          </w:p>
        </w:tc>
      </w:tr>
      <w:tr w:rsidR="00555DA6" w:rsidRPr="00F325B1" w14:paraId="13B2692D"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536C68E4" w14:textId="77777777" w:rsidR="00555DA6" w:rsidRPr="00F325B1" w:rsidRDefault="00555DA6" w:rsidP="00B007EC">
            <w:pPr>
              <w:keepNext/>
              <w:keepLines/>
              <w:jc w:val="left"/>
              <w:rPr>
                <w:color w:val="000000"/>
                <w:sz w:val="20"/>
                <w:szCs w:val="20"/>
              </w:rPr>
            </w:pPr>
            <w:r>
              <w:rPr>
                <w:color w:val="000000"/>
                <w:sz w:val="20"/>
                <w:szCs w:val="20"/>
              </w:rPr>
              <w:t>Exploitation du système</w:t>
            </w:r>
          </w:p>
        </w:tc>
        <w:tc>
          <w:tcPr>
            <w:tcW w:w="2549" w:type="dxa"/>
            <w:tcBorders>
              <w:top w:val="nil"/>
              <w:left w:val="nil"/>
              <w:bottom w:val="single" w:sz="4" w:space="0" w:color="auto"/>
              <w:right w:val="single" w:sz="4" w:space="0" w:color="auto"/>
            </w:tcBorders>
            <w:shd w:val="clear" w:color="auto" w:fill="auto"/>
            <w:noWrap/>
            <w:hideMark/>
          </w:tcPr>
          <w:p w14:paraId="0100D2D1" w14:textId="77777777" w:rsidR="00555DA6" w:rsidRPr="00F325B1" w:rsidRDefault="00555DA6" w:rsidP="00B007EC">
            <w:pPr>
              <w:keepNext/>
              <w:keepLines/>
              <w:jc w:val="right"/>
              <w:rPr>
                <w:color w:val="000000"/>
                <w:sz w:val="20"/>
                <w:szCs w:val="20"/>
              </w:rPr>
            </w:pPr>
            <w:r>
              <w:rPr>
                <w:color w:val="000000"/>
                <w:sz w:val="20"/>
                <w:szCs w:val="20"/>
              </w:rPr>
              <w:t xml:space="preserve">           22 500 </w:t>
            </w:r>
          </w:p>
        </w:tc>
        <w:tc>
          <w:tcPr>
            <w:tcW w:w="2610" w:type="dxa"/>
            <w:tcBorders>
              <w:top w:val="nil"/>
              <w:left w:val="nil"/>
              <w:bottom w:val="single" w:sz="4" w:space="0" w:color="auto"/>
              <w:right w:val="single" w:sz="4" w:space="0" w:color="auto"/>
            </w:tcBorders>
            <w:shd w:val="clear" w:color="auto" w:fill="auto"/>
            <w:noWrap/>
            <w:hideMark/>
          </w:tcPr>
          <w:p w14:paraId="17A44331" w14:textId="77777777" w:rsidR="00555DA6" w:rsidRPr="00F325B1" w:rsidRDefault="00555DA6" w:rsidP="00B007EC">
            <w:pPr>
              <w:keepNext/>
              <w:keepLines/>
              <w:jc w:val="right"/>
              <w:rPr>
                <w:color w:val="000000"/>
                <w:sz w:val="20"/>
                <w:szCs w:val="20"/>
              </w:rPr>
            </w:pPr>
            <w:r>
              <w:rPr>
                <w:color w:val="000000"/>
                <w:sz w:val="20"/>
                <w:szCs w:val="20"/>
              </w:rPr>
              <w:t xml:space="preserve">            13 500 </w:t>
            </w:r>
          </w:p>
        </w:tc>
      </w:tr>
      <w:tr w:rsidR="00555DA6" w:rsidRPr="00F325B1" w14:paraId="2AF208AC"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3E798F12" w14:textId="77777777" w:rsidR="00555DA6" w:rsidRPr="00F325B1" w:rsidRDefault="00555DA6" w:rsidP="00B007EC">
            <w:pPr>
              <w:keepNext/>
              <w:keepLines/>
              <w:jc w:val="left"/>
              <w:rPr>
                <w:color w:val="000000"/>
                <w:sz w:val="20"/>
                <w:szCs w:val="20"/>
              </w:rPr>
            </w:pPr>
            <w:r>
              <w:rPr>
                <w:color w:val="000000"/>
                <w:sz w:val="20"/>
                <w:szCs w:val="20"/>
              </w:rPr>
              <w:t>Recherche comparative</w:t>
            </w:r>
          </w:p>
        </w:tc>
        <w:tc>
          <w:tcPr>
            <w:tcW w:w="2549" w:type="dxa"/>
            <w:tcBorders>
              <w:top w:val="nil"/>
              <w:left w:val="nil"/>
              <w:bottom w:val="single" w:sz="4" w:space="0" w:color="auto"/>
              <w:right w:val="single" w:sz="4" w:space="0" w:color="auto"/>
            </w:tcBorders>
            <w:shd w:val="clear" w:color="auto" w:fill="auto"/>
            <w:noWrap/>
            <w:hideMark/>
          </w:tcPr>
          <w:p w14:paraId="58726BB5" w14:textId="77777777" w:rsidR="00555DA6" w:rsidRPr="00F325B1" w:rsidRDefault="00555DA6" w:rsidP="00B007EC">
            <w:pPr>
              <w:keepNext/>
              <w:keepLines/>
              <w:jc w:val="right"/>
              <w:rPr>
                <w:color w:val="000000"/>
                <w:sz w:val="20"/>
                <w:szCs w:val="20"/>
              </w:rPr>
            </w:pPr>
            <w:r>
              <w:rPr>
                <w:color w:val="000000"/>
                <w:sz w:val="20"/>
                <w:szCs w:val="20"/>
              </w:rPr>
              <w:t xml:space="preserve">           35 000 </w:t>
            </w:r>
          </w:p>
        </w:tc>
        <w:tc>
          <w:tcPr>
            <w:tcW w:w="2610" w:type="dxa"/>
            <w:tcBorders>
              <w:top w:val="nil"/>
              <w:left w:val="nil"/>
              <w:bottom w:val="single" w:sz="4" w:space="0" w:color="auto"/>
              <w:right w:val="single" w:sz="4" w:space="0" w:color="auto"/>
            </w:tcBorders>
            <w:shd w:val="clear" w:color="auto" w:fill="auto"/>
            <w:noWrap/>
            <w:hideMark/>
          </w:tcPr>
          <w:p w14:paraId="389AEFE5" w14:textId="77777777" w:rsidR="00555DA6" w:rsidRPr="00F325B1" w:rsidRDefault="00555DA6" w:rsidP="00B007EC">
            <w:pPr>
              <w:keepNext/>
              <w:keepLines/>
              <w:jc w:val="right"/>
              <w:rPr>
                <w:color w:val="000000"/>
                <w:sz w:val="20"/>
                <w:szCs w:val="20"/>
              </w:rPr>
            </w:pPr>
            <w:r>
              <w:rPr>
                <w:color w:val="000000"/>
                <w:sz w:val="20"/>
                <w:szCs w:val="20"/>
              </w:rPr>
              <w:t xml:space="preserve">            21 000 </w:t>
            </w:r>
          </w:p>
        </w:tc>
      </w:tr>
      <w:tr w:rsidR="00555DA6" w:rsidRPr="00F325B1" w14:paraId="3F5161A0"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22437837" w14:textId="77777777" w:rsidR="00555DA6" w:rsidRPr="00F325B1" w:rsidRDefault="00555DA6" w:rsidP="00B007EC">
            <w:pPr>
              <w:keepNext/>
              <w:keepLines/>
              <w:jc w:val="left"/>
              <w:rPr>
                <w:color w:val="000000"/>
                <w:sz w:val="20"/>
                <w:szCs w:val="20"/>
              </w:rPr>
            </w:pPr>
            <w:r>
              <w:rPr>
                <w:color w:val="000000"/>
                <w:sz w:val="20"/>
                <w:szCs w:val="20"/>
              </w:rPr>
              <w:t>Amélioration des normes</w:t>
            </w:r>
          </w:p>
        </w:tc>
        <w:tc>
          <w:tcPr>
            <w:tcW w:w="2549" w:type="dxa"/>
            <w:tcBorders>
              <w:top w:val="nil"/>
              <w:left w:val="nil"/>
              <w:bottom w:val="single" w:sz="4" w:space="0" w:color="auto"/>
              <w:right w:val="single" w:sz="4" w:space="0" w:color="auto"/>
            </w:tcBorders>
            <w:shd w:val="clear" w:color="auto" w:fill="auto"/>
            <w:noWrap/>
            <w:hideMark/>
          </w:tcPr>
          <w:p w14:paraId="1167A5A2" w14:textId="77777777" w:rsidR="00555DA6" w:rsidRPr="00F325B1" w:rsidRDefault="00555DA6" w:rsidP="00B007EC">
            <w:pPr>
              <w:keepNext/>
              <w:keepLines/>
              <w:jc w:val="right"/>
              <w:rPr>
                <w:color w:val="000000"/>
                <w:sz w:val="20"/>
                <w:szCs w:val="20"/>
              </w:rPr>
            </w:pPr>
            <w:r>
              <w:rPr>
                <w:color w:val="000000"/>
                <w:sz w:val="20"/>
                <w:szCs w:val="20"/>
              </w:rPr>
              <w:t xml:space="preserve">           50 000 </w:t>
            </w:r>
          </w:p>
        </w:tc>
        <w:tc>
          <w:tcPr>
            <w:tcW w:w="2610" w:type="dxa"/>
            <w:tcBorders>
              <w:top w:val="nil"/>
              <w:left w:val="nil"/>
              <w:bottom w:val="single" w:sz="4" w:space="0" w:color="auto"/>
              <w:right w:val="single" w:sz="4" w:space="0" w:color="auto"/>
            </w:tcBorders>
            <w:shd w:val="clear" w:color="auto" w:fill="auto"/>
            <w:noWrap/>
            <w:hideMark/>
          </w:tcPr>
          <w:p w14:paraId="5049EE8C" w14:textId="77777777" w:rsidR="00555DA6" w:rsidRPr="00F325B1" w:rsidRDefault="00555DA6" w:rsidP="00B007EC">
            <w:pPr>
              <w:keepNext/>
              <w:keepLines/>
              <w:jc w:val="right"/>
              <w:rPr>
                <w:color w:val="000000"/>
                <w:sz w:val="20"/>
                <w:szCs w:val="20"/>
              </w:rPr>
            </w:pPr>
            <w:r>
              <w:rPr>
                <w:color w:val="000000"/>
                <w:sz w:val="20"/>
                <w:szCs w:val="20"/>
              </w:rPr>
              <w:t xml:space="preserve">               -  </w:t>
            </w:r>
          </w:p>
        </w:tc>
      </w:tr>
      <w:tr w:rsidR="00555DA6" w:rsidRPr="00F325B1" w14:paraId="6AE1BEBF"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301B1F20" w14:textId="77777777" w:rsidR="00555DA6" w:rsidRPr="00F325B1" w:rsidRDefault="00555DA6" w:rsidP="00B007EC">
            <w:pPr>
              <w:keepNext/>
              <w:keepLines/>
              <w:jc w:val="left"/>
              <w:rPr>
                <w:color w:val="000000"/>
                <w:sz w:val="20"/>
                <w:szCs w:val="20"/>
              </w:rPr>
            </w:pPr>
            <w:r>
              <w:rPr>
                <w:color w:val="000000"/>
                <w:sz w:val="20"/>
                <w:szCs w:val="20"/>
              </w:rPr>
              <w:t>Sensibilisation et diffusion des renseignements</w:t>
            </w:r>
          </w:p>
        </w:tc>
        <w:tc>
          <w:tcPr>
            <w:tcW w:w="2549" w:type="dxa"/>
            <w:tcBorders>
              <w:top w:val="nil"/>
              <w:left w:val="nil"/>
              <w:bottom w:val="single" w:sz="4" w:space="0" w:color="auto"/>
              <w:right w:val="single" w:sz="4" w:space="0" w:color="auto"/>
            </w:tcBorders>
            <w:shd w:val="clear" w:color="auto" w:fill="auto"/>
            <w:noWrap/>
            <w:hideMark/>
          </w:tcPr>
          <w:p w14:paraId="1B85ECF6" w14:textId="77777777" w:rsidR="00555DA6" w:rsidRPr="00F325B1" w:rsidRDefault="00555DA6" w:rsidP="00B007EC">
            <w:pPr>
              <w:keepNext/>
              <w:keepLines/>
              <w:jc w:val="right"/>
              <w:rPr>
                <w:color w:val="000000"/>
                <w:sz w:val="20"/>
                <w:szCs w:val="20"/>
              </w:rPr>
            </w:pPr>
            <w:r>
              <w:rPr>
                <w:color w:val="000000"/>
                <w:sz w:val="20"/>
                <w:szCs w:val="20"/>
              </w:rPr>
              <w:t xml:space="preserve">          150 000 </w:t>
            </w:r>
          </w:p>
        </w:tc>
        <w:tc>
          <w:tcPr>
            <w:tcW w:w="2610" w:type="dxa"/>
            <w:tcBorders>
              <w:top w:val="nil"/>
              <w:left w:val="nil"/>
              <w:bottom w:val="single" w:sz="4" w:space="0" w:color="auto"/>
              <w:right w:val="single" w:sz="4" w:space="0" w:color="auto"/>
            </w:tcBorders>
            <w:shd w:val="clear" w:color="auto" w:fill="auto"/>
            <w:noWrap/>
            <w:hideMark/>
          </w:tcPr>
          <w:p w14:paraId="7BE06724" w14:textId="77777777" w:rsidR="00555DA6" w:rsidRPr="00F325B1" w:rsidRDefault="00555DA6" w:rsidP="00B007EC">
            <w:pPr>
              <w:keepNext/>
              <w:keepLines/>
              <w:jc w:val="right"/>
              <w:rPr>
                <w:color w:val="000000"/>
                <w:sz w:val="20"/>
                <w:szCs w:val="20"/>
              </w:rPr>
            </w:pPr>
            <w:r>
              <w:rPr>
                <w:color w:val="000000"/>
                <w:sz w:val="20"/>
                <w:szCs w:val="20"/>
              </w:rPr>
              <w:t xml:space="preserve">            75 000 </w:t>
            </w:r>
          </w:p>
        </w:tc>
      </w:tr>
      <w:tr w:rsidR="00555DA6" w:rsidRPr="00F325B1" w14:paraId="0D0D0F2D" w14:textId="77777777" w:rsidTr="003F3143">
        <w:trPr>
          <w:trHeight w:val="267"/>
        </w:trPr>
        <w:tc>
          <w:tcPr>
            <w:tcW w:w="4106" w:type="dxa"/>
            <w:tcBorders>
              <w:top w:val="nil"/>
              <w:left w:val="single" w:sz="4" w:space="0" w:color="auto"/>
              <w:bottom w:val="single" w:sz="4" w:space="0" w:color="auto"/>
              <w:right w:val="single" w:sz="4" w:space="0" w:color="auto"/>
            </w:tcBorders>
            <w:shd w:val="clear" w:color="auto" w:fill="auto"/>
            <w:noWrap/>
            <w:hideMark/>
          </w:tcPr>
          <w:p w14:paraId="715F8A2A" w14:textId="77777777" w:rsidR="00555DA6" w:rsidRPr="00F325B1" w:rsidRDefault="00555DA6" w:rsidP="00B007EC">
            <w:pPr>
              <w:keepNext/>
              <w:keepLines/>
              <w:jc w:val="left"/>
              <w:rPr>
                <w:b/>
                <w:bCs/>
                <w:color w:val="000000"/>
                <w:sz w:val="20"/>
                <w:szCs w:val="20"/>
              </w:rPr>
            </w:pPr>
            <w:r>
              <w:rPr>
                <w:b/>
                <w:bCs/>
                <w:color w:val="000000"/>
                <w:sz w:val="20"/>
                <w:szCs w:val="20"/>
              </w:rPr>
              <w:t>Total</w:t>
            </w:r>
          </w:p>
        </w:tc>
        <w:tc>
          <w:tcPr>
            <w:tcW w:w="2549" w:type="dxa"/>
            <w:tcBorders>
              <w:top w:val="nil"/>
              <w:left w:val="nil"/>
              <w:bottom w:val="single" w:sz="4" w:space="0" w:color="auto"/>
              <w:right w:val="single" w:sz="4" w:space="0" w:color="auto"/>
            </w:tcBorders>
            <w:shd w:val="clear" w:color="auto" w:fill="auto"/>
            <w:noWrap/>
            <w:hideMark/>
          </w:tcPr>
          <w:p w14:paraId="794452EF" w14:textId="74121473" w:rsidR="00555DA6" w:rsidRPr="00F325B1" w:rsidRDefault="00555DA6" w:rsidP="00B007EC">
            <w:pPr>
              <w:keepNext/>
              <w:keepLines/>
              <w:jc w:val="right"/>
              <w:rPr>
                <w:b/>
                <w:bCs/>
                <w:color w:val="000000"/>
                <w:sz w:val="20"/>
                <w:szCs w:val="20"/>
              </w:rPr>
            </w:pPr>
            <w:r>
              <w:rPr>
                <w:b/>
                <w:bCs/>
                <w:color w:val="000000"/>
                <w:sz w:val="20"/>
                <w:szCs w:val="20"/>
              </w:rPr>
              <w:t xml:space="preserve">        2 456 000 </w:t>
            </w:r>
          </w:p>
        </w:tc>
        <w:tc>
          <w:tcPr>
            <w:tcW w:w="2610" w:type="dxa"/>
            <w:tcBorders>
              <w:top w:val="nil"/>
              <w:left w:val="nil"/>
              <w:bottom w:val="single" w:sz="4" w:space="0" w:color="auto"/>
              <w:right w:val="single" w:sz="4" w:space="0" w:color="auto"/>
            </w:tcBorders>
            <w:shd w:val="clear" w:color="auto" w:fill="auto"/>
            <w:noWrap/>
            <w:hideMark/>
          </w:tcPr>
          <w:p w14:paraId="4D2E8765" w14:textId="77777777" w:rsidR="00555DA6" w:rsidRPr="00F325B1" w:rsidRDefault="00555DA6" w:rsidP="00B007EC">
            <w:pPr>
              <w:keepNext/>
              <w:keepLines/>
              <w:jc w:val="right"/>
              <w:rPr>
                <w:b/>
                <w:bCs/>
                <w:color w:val="000000"/>
                <w:sz w:val="20"/>
                <w:szCs w:val="20"/>
              </w:rPr>
            </w:pPr>
            <w:r>
              <w:rPr>
                <w:b/>
                <w:bCs/>
                <w:color w:val="000000"/>
                <w:sz w:val="20"/>
                <w:szCs w:val="20"/>
              </w:rPr>
              <w:t xml:space="preserve">         1 790 800 </w:t>
            </w:r>
          </w:p>
        </w:tc>
      </w:tr>
    </w:tbl>
    <w:p w14:paraId="490BF0E3" w14:textId="77777777" w:rsidR="00555DA6" w:rsidRPr="00F325B1" w:rsidRDefault="00555DA6" w:rsidP="00555DA6">
      <w:pPr>
        <w:spacing w:before="240" w:after="240"/>
        <w:rPr>
          <w:u w:val="single"/>
        </w:rPr>
      </w:pPr>
      <w:r>
        <w:rPr>
          <w:u w:val="single"/>
        </w:rPr>
        <w:t>Prévention des émissions</w:t>
      </w:r>
    </w:p>
    <w:p w14:paraId="6A250F80" w14:textId="77777777" w:rsidR="00555DA6" w:rsidRPr="00F325B1" w:rsidRDefault="00555DA6" w:rsidP="00555DA6">
      <w:pPr>
        <w:pStyle w:val="Titolo1"/>
      </w:pPr>
      <w:r>
        <w:rPr>
          <w:rFonts w:asciiTheme="majorBidi" w:hAnsiTheme="majorBidi"/>
        </w:rPr>
        <w:t xml:space="preserve"> </w:t>
      </w:r>
      <w:r>
        <w:t>Comparativement aux systèmes de climatisation fonctionnant au R-410A répondant aux besoins pour une charge thermique de 7 200 kW et en tenant compte d’un niveau de récupération des rejets thermiques de 40 pour cent ainsi que d’un niveau indirect des émissions des gaz à effet de serre de 0,997 kg de CO</w:t>
      </w:r>
      <w:r>
        <w:rPr>
          <w:vertAlign w:val="subscript"/>
        </w:rPr>
        <w:t>2</w:t>
      </w:r>
      <w:r>
        <w:t xml:space="preserve">/kWh en électricité, les économies directes et indirectes d’émissions au cours de cycle de vie du centre de données (soit 20 ans) sont de 9 020 tonnes </w:t>
      </w:r>
      <w:proofErr w:type="spellStart"/>
      <w:r>
        <w:t>éq</w:t>
      </w:r>
      <w:proofErr w:type="spellEnd"/>
      <w:r>
        <w:t>. CO</w:t>
      </w:r>
      <w:r>
        <w:rPr>
          <w:vertAlign w:val="subscript"/>
        </w:rPr>
        <w:t>2</w:t>
      </w:r>
      <w:r>
        <w:t xml:space="preserve"> et de 1,17 million tonnes </w:t>
      </w:r>
      <w:proofErr w:type="spellStart"/>
      <w:r>
        <w:t>éq</w:t>
      </w:r>
      <w:proofErr w:type="spellEnd"/>
      <w:r>
        <w:t>. CO</w:t>
      </w:r>
      <w:r>
        <w:rPr>
          <w:vertAlign w:val="subscript"/>
        </w:rPr>
        <w:t>2</w:t>
      </w:r>
      <w:r>
        <w:t>, respectivement.</w:t>
      </w:r>
    </w:p>
    <w:p w14:paraId="2AD095F1" w14:textId="77777777" w:rsidR="00555DA6" w:rsidRPr="00F325B1" w:rsidRDefault="00555DA6" w:rsidP="00555DA6">
      <w:pPr>
        <w:spacing w:before="240" w:after="240"/>
        <w:rPr>
          <w:u w:val="single"/>
        </w:rPr>
      </w:pPr>
      <w:r>
        <w:rPr>
          <w:u w:val="single"/>
        </w:rPr>
        <w:t>Durabilité, reproductibilité du projet pilote et évaluation des risques</w:t>
      </w:r>
    </w:p>
    <w:p w14:paraId="1F14FC5E" w14:textId="77777777" w:rsidR="00555DA6" w:rsidRPr="00F325B1" w:rsidRDefault="00555DA6" w:rsidP="00555DA6">
      <w:pPr>
        <w:pStyle w:val="Titolo1"/>
      </w:pPr>
      <w:r>
        <w:t xml:space="preserve">Le projet devrait démontrer des résultats sur l’utilisation des systèmes de refroidissement par immersion monophasé dans les centres de données au moyen d’un nouveau liquide de refroidissement exclusif et respectueux de l’environnement, le « Bing Yi 797 ». Cela fournirait de l’information sur la performance de la technologie en matière d’impact sur la possible réduction de la consommation des HFC qui serait évitée et sur les niveaux globaux de consommation énergétique comparativement à un système de refroidissement traditionnel fonctionnant aux HFC pour un centre de données similaire. Le projet devrait également fournir des résultats relativement à la manière dont l’impact sur le climat peut être maximisé par la récupération de chaleur et l’utilisation possible de sources d’énergie renouvelables avec l’alimentation électrique traditionnelle pour créer une alimentation électrique stable, fiable et écoénergétique pour le </w:t>
      </w:r>
      <w:r>
        <w:lastRenderedPageBreak/>
        <w:t>centre de données. Le projet comporterait également un investissement considérable de différents volets provenant du bénéficiaire (Anhui Tier), démontrant son engagement envers la mise en œuvre du projet. Le gouvernement se conformera aux conditions précisées à l’alinéa b(iv) de la décision 91/65. Ce projet fournira aussi des renseignements sur la performance de cette technologie, ce qui peut contribuer à de futurs développements et au renforcement des normes en matière d’efficacité énergétique ainsi qu’aux paramètres de performance pour les centres de données.</w:t>
      </w:r>
    </w:p>
    <w:p w14:paraId="0322765F" w14:textId="77777777" w:rsidR="00555DA6" w:rsidRPr="00F325B1" w:rsidRDefault="00555DA6" w:rsidP="00555DA6">
      <w:pPr>
        <w:keepNext/>
        <w:spacing w:before="240" w:after="240"/>
        <w:rPr>
          <w:b/>
        </w:rPr>
      </w:pPr>
      <w:r>
        <w:rPr>
          <w:b/>
        </w:rPr>
        <w:t>RECOMMANDATION</w:t>
      </w:r>
    </w:p>
    <w:p w14:paraId="5C23D448" w14:textId="01A4BEE8" w:rsidR="00555DA6" w:rsidRPr="00F325B1" w:rsidRDefault="00555DA6" w:rsidP="00555DA6">
      <w:pPr>
        <w:pStyle w:val="Titolo1"/>
      </w:pPr>
      <w:r>
        <w:t xml:space="preserve">Le Comité exécutif peut souhaiter d’envisager l’approbation du projet pilote pour améliorer l’efficacité énergétique des technologies de refroidissement dans les centres de données par la démonstration d’un système de refroidissement par immersion monophasé dans un centre de données, au montant de 1 790 800 $ US, plus des coûts d’appui d’agence de 125 356 $ US pour le PNUD, en prenant note : </w:t>
      </w:r>
    </w:p>
    <w:p w14:paraId="6593A9B8" w14:textId="77777777" w:rsidR="00555DA6" w:rsidRPr="00F325B1" w:rsidRDefault="00555DA6" w:rsidP="00555DA6">
      <w:pPr>
        <w:pStyle w:val="Titolo2"/>
      </w:pPr>
      <w:r>
        <w:t xml:space="preserve">Que la réduction directe des émissions prévue est de 9 020 tonnes </w:t>
      </w:r>
      <w:proofErr w:type="spellStart"/>
      <w:r>
        <w:t>éq</w:t>
      </w:r>
      <w:proofErr w:type="spellEnd"/>
      <w:r>
        <w:t>. CO</w:t>
      </w:r>
      <w:r>
        <w:rPr>
          <w:vertAlign w:val="subscript"/>
        </w:rPr>
        <w:t>2</w:t>
      </w:r>
      <w:r>
        <w:t xml:space="preserve"> au cours du cycle de vie estimé à 20 ans;</w:t>
      </w:r>
    </w:p>
    <w:p w14:paraId="6CE2E756" w14:textId="77777777" w:rsidR="00555DA6" w:rsidRPr="00F325B1" w:rsidRDefault="00555DA6" w:rsidP="00FD7885">
      <w:pPr>
        <w:pStyle w:val="Titolo2"/>
      </w:pPr>
      <w:r>
        <w:t xml:space="preserve">Que le projet </w:t>
      </w:r>
      <w:proofErr w:type="gramStart"/>
      <w:r>
        <w:t>sera</w:t>
      </w:r>
      <w:proofErr w:type="gramEnd"/>
      <w:r>
        <w:t xml:space="preserve"> achevé au plus tard le 31 décembre 2026 et qu’un rapport de projet détaillé sera présenté au Comité exécutif dans les six mois suivant la date d’achèvement du projet.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1A0EAB" w14:textId="77777777" w:rsidTr="00555DA6">
        <w:tc>
          <w:tcPr>
            <w:tcW w:w="1871" w:type="dxa"/>
          </w:tcPr>
          <w:p w14:paraId="365FFCF0" w14:textId="77777777" w:rsidR="00E85409" w:rsidRPr="009B0D30" w:rsidRDefault="00E85409" w:rsidP="00FB077C"/>
        </w:tc>
        <w:tc>
          <w:tcPr>
            <w:tcW w:w="1872" w:type="dxa"/>
          </w:tcPr>
          <w:p w14:paraId="1B77632C" w14:textId="77777777" w:rsidR="00E85409" w:rsidRPr="009B0D30" w:rsidRDefault="00E85409" w:rsidP="00FB077C"/>
        </w:tc>
        <w:tc>
          <w:tcPr>
            <w:tcW w:w="1872" w:type="dxa"/>
            <w:tcBorders>
              <w:bottom w:val="single" w:sz="4" w:space="0" w:color="auto"/>
            </w:tcBorders>
          </w:tcPr>
          <w:p w14:paraId="4E245C9C" w14:textId="77777777" w:rsidR="00E85409" w:rsidRPr="009B0D30" w:rsidRDefault="00E85409" w:rsidP="00FB077C"/>
        </w:tc>
        <w:tc>
          <w:tcPr>
            <w:tcW w:w="1872" w:type="dxa"/>
          </w:tcPr>
          <w:p w14:paraId="6401AD67" w14:textId="77777777" w:rsidR="00E85409" w:rsidRPr="009B0D30" w:rsidRDefault="00E85409" w:rsidP="00FB077C"/>
        </w:tc>
        <w:tc>
          <w:tcPr>
            <w:tcW w:w="1873" w:type="dxa"/>
          </w:tcPr>
          <w:p w14:paraId="2F66355D" w14:textId="77777777" w:rsidR="00E85409" w:rsidRPr="009B0D30" w:rsidRDefault="00E85409" w:rsidP="00FB077C"/>
        </w:tc>
      </w:tr>
    </w:tbl>
    <w:p w14:paraId="25B1A6D1" w14:textId="77777777" w:rsidR="00E85409" w:rsidRPr="000D16FE" w:rsidRDefault="00E85409" w:rsidP="004E7F9C">
      <w:pPr>
        <w:rPr>
          <w:sz w:val="16"/>
          <w:szCs w:val="16"/>
        </w:rPr>
      </w:pPr>
    </w:p>
    <w:sectPr w:rsidR="00E85409" w:rsidRPr="000D16FE"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21685F" w14:textId="77777777" w:rsidR="00B70913" w:rsidRDefault="00B70913" w:rsidP="004A504B">
      <w:r>
        <w:separator/>
      </w:r>
    </w:p>
  </w:endnote>
  <w:endnote w:type="continuationSeparator" w:id="0">
    <w:p w14:paraId="5E0C7F49" w14:textId="77777777" w:rsidR="00B70913" w:rsidRDefault="00B709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9C4C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6704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0C907" w14:textId="77777777" w:rsidR="00A6183A"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101B7040" w14:textId="115BE304"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07ADF3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5971B" w14:textId="77777777" w:rsidR="00B70913" w:rsidRDefault="00B70913" w:rsidP="004A504B">
      <w:r>
        <w:separator/>
      </w:r>
    </w:p>
  </w:footnote>
  <w:footnote w:type="continuationSeparator" w:id="0">
    <w:p w14:paraId="7F3C8BE5" w14:textId="77777777" w:rsidR="00B70913" w:rsidRDefault="00B70913" w:rsidP="004A504B">
      <w:r>
        <w:continuationSeparator/>
      </w:r>
    </w:p>
  </w:footnote>
  <w:footnote w:id="1">
    <w:p w14:paraId="7DF31CF4" w14:textId="77777777" w:rsidR="0079781A" w:rsidRPr="001E1147" w:rsidRDefault="0079781A" w:rsidP="0079781A">
      <w:pPr>
        <w:pStyle w:val="Testonotaapidipagina"/>
      </w:pPr>
      <w:r>
        <w:rPr>
          <w:rStyle w:val="Rimandonotaapidipagina"/>
        </w:rPr>
        <w:footnoteRef/>
      </w:r>
      <w:r>
        <w:t xml:space="preserve"> UNEP/</w:t>
      </w:r>
      <w:proofErr w:type="spellStart"/>
      <w:r>
        <w:t>OzL.Pro</w:t>
      </w:r>
      <w:proofErr w:type="spellEnd"/>
      <w:r>
        <w:t>/</w:t>
      </w:r>
      <w:proofErr w:type="spellStart"/>
      <w:r>
        <w:t>ExCom</w:t>
      </w:r>
      <w:proofErr w:type="spellEnd"/>
      <w:r>
        <w:t>/95/1</w:t>
      </w:r>
    </w:p>
  </w:footnote>
  <w:footnote w:id="2">
    <w:p w14:paraId="57D1B2DF" w14:textId="096A7EE3" w:rsidR="00555DA6" w:rsidRPr="00E455C7" w:rsidRDefault="00555DA6" w:rsidP="00555DA6">
      <w:pPr>
        <w:pStyle w:val="Testonotaapidipagina"/>
      </w:pPr>
      <w:r>
        <w:rPr>
          <w:rStyle w:val="Rimandonotaapidipagina"/>
        </w:rPr>
        <w:footnoteRef/>
      </w:r>
      <w:r w:rsidR="003F3290">
        <w:t> </w:t>
      </w:r>
      <w:r>
        <w:t xml:space="preserve">Conformément à la lettre du 6 septembre 2024 adressée au PNUD par le </w:t>
      </w:r>
      <w:bookmarkStart w:id="2" w:name="_Hlk150594554"/>
      <w:r>
        <w:t>ministère de l’Écologie et de l’Environnement</w:t>
      </w:r>
      <w:bookmarkEnd w:id="2"/>
      <w:r>
        <w:t xml:space="preserve"> de la Chine.</w:t>
      </w:r>
    </w:p>
  </w:footnote>
  <w:footnote w:id="3">
    <w:p w14:paraId="22C7ECC1" w14:textId="77777777" w:rsidR="00555DA6" w:rsidRPr="00E455C7" w:rsidRDefault="00555DA6" w:rsidP="00555DA6">
      <w:pPr>
        <w:pStyle w:val="Testonotaapidipagina"/>
      </w:pPr>
      <w:r>
        <w:rPr>
          <w:rStyle w:val="Rimandonotaapidipagina"/>
        </w:rPr>
        <w:footnoteRef/>
      </w:r>
      <w:r>
        <w:t xml:space="preserve"> Le PUE, pour « Power usage </w:t>
      </w:r>
      <w:proofErr w:type="spellStart"/>
      <w:r>
        <w:t>effectiveness</w:t>
      </w:r>
      <w:proofErr w:type="spellEnd"/>
      <w:r>
        <w:t> », est le rapport de la quantité totale d’énergie utilisée par un établissement de centre de données informatiques par rapport à l’énergie livrée à l’équipement informatique.</w:t>
      </w:r>
    </w:p>
  </w:footnote>
  <w:footnote w:id="4">
    <w:p w14:paraId="6AD2767C" w14:textId="0D87A37C" w:rsidR="00555DA6" w:rsidRPr="00E455C7" w:rsidRDefault="00555DA6" w:rsidP="00555DA6">
      <w:pPr>
        <w:pStyle w:val="Testonotaapidipagina"/>
      </w:pPr>
      <w:r>
        <w:rPr>
          <w:rStyle w:val="Rimandonotaapidipagina"/>
        </w:rPr>
        <w:footnoteRef/>
      </w:r>
      <w:r>
        <w:t xml:space="preserve"> Rapport de l’Agence internationale de l’énergie</w:t>
      </w:r>
      <w:r w:rsidR="000F2B9C">
        <w:t> </w:t>
      </w:r>
      <w:r>
        <w:t xml:space="preserve">: Policy </w:t>
      </w:r>
      <w:proofErr w:type="spellStart"/>
      <w:r>
        <w:t>development</w:t>
      </w:r>
      <w:proofErr w:type="spellEnd"/>
      <w:r>
        <w:t xml:space="preserve"> on </w:t>
      </w:r>
      <w:proofErr w:type="spellStart"/>
      <w:r>
        <w:t>energy</w:t>
      </w:r>
      <w:proofErr w:type="spellEnd"/>
      <w:r>
        <w:t xml:space="preserve"> </w:t>
      </w:r>
      <w:proofErr w:type="spellStart"/>
      <w:r>
        <w:t>efficiency</w:t>
      </w:r>
      <w:proofErr w:type="spellEnd"/>
      <w:r>
        <w:t xml:space="preserve"> of data centres [développement politique sur l’efficacité énergétique des centres de données], page 44 https://www.iea-4e.org/wp-content/uploads/2024/02/Policy-development-on-energy-efficiency-of-data-centres-draft-final-report-v1.05.pdf</w:t>
      </w:r>
    </w:p>
  </w:footnote>
  <w:footnote w:id="5">
    <w:p w14:paraId="2718731A" w14:textId="799A5D14" w:rsidR="00555DA6" w:rsidRPr="00E455C7" w:rsidRDefault="00555DA6" w:rsidP="00555DA6">
      <w:pPr>
        <w:pStyle w:val="Testonotaapidipagina"/>
        <w:tabs>
          <w:tab w:val="center" w:pos="4680"/>
        </w:tabs>
      </w:pPr>
      <w:r>
        <w:rPr>
          <w:rStyle w:val="Rimandonotaapidipagina"/>
        </w:rPr>
        <w:footnoteRef/>
      </w:r>
      <w:r>
        <w:t xml:space="preserve"> English.gov.cn, la plateforme officielle de communication en anglais du Conseil des affaires de l’État de la </w:t>
      </w:r>
      <w:r w:rsidR="00984834">
        <w:t>R</w:t>
      </w:r>
      <w:r>
        <w:t>épublique populaire de Chine https://english.www.gov.cn/news/202407/24/content_WS66a0b167c6d0868f4e8e96ba.html</w:t>
      </w:r>
      <w:r>
        <w:tab/>
      </w:r>
    </w:p>
  </w:footnote>
  <w:footnote w:id="6">
    <w:p w14:paraId="70047041" w14:textId="77777777" w:rsidR="00555DA6" w:rsidRPr="00E455C7" w:rsidRDefault="00555DA6" w:rsidP="00555DA6">
      <w:pPr>
        <w:pStyle w:val="Testonotaapidipagina"/>
        <w:rPr>
          <w:color w:val="0000FF" w:themeColor="hyperlink"/>
          <w:u w:val="single"/>
        </w:rPr>
      </w:pPr>
      <w:r>
        <w:rPr>
          <w:rStyle w:val="Rimandonotaapidipagina"/>
        </w:rPr>
        <w:footnoteRef/>
      </w:r>
      <w:r>
        <w:t xml:space="preserve"> The </w:t>
      </w:r>
      <w:proofErr w:type="spellStart"/>
      <w:r>
        <w:t>climate</w:t>
      </w:r>
      <w:proofErr w:type="spellEnd"/>
      <w:r>
        <w:t xml:space="preserve"> </w:t>
      </w:r>
      <w:proofErr w:type="spellStart"/>
      <w:r>
        <w:t>cost</w:t>
      </w:r>
      <w:proofErr w:type="spellEnd"/>
      <w:r>
        <w:t xml:space="preserve"> of </w:t>
      </w:r>
      <w:proofErr w:type="spellStart"/>
      <w:r>
        <w:t>China’s</w:t>
      </w:r>
      <w:proofErr w:type="spellEnd"/>
      <w:r>
        <w:t xml:space="preserve"> digital infrastructure rush [le coût climatique de la ruée vers l’infrastructure numérique de la Chine], Dialogue </w:t>
      </w:r>
      <w:proofErr w:type="spellStart"/>
      <w:r>
        <w:t>Earth</w:t>
      </w:r>
      <w:proofErr w:type="spellEnd"/>
      <w:r>
        <w:t xml:space="preserve"> https://dialogue.earth/en/energy/11960-the-climate-cost-of-china-s-digital-infrastructure-rush/</w:t>
      </w:r>
    </w:p>
  </w:footnote>
  <w:footnote w:id="7">
    <w:p w14:paraId="75535636" w14:textId="77777777" w:rsidR="00555DA6" w:rsidRPr="00E455C7" w:rsidRDefault="00555DA6" w:rsidP="00555DA6">
      <w:pPr>
        <w:pStyle w:val="Testonotaapidipagina"/>
      </w:pPr>
      <w:r>
        <w:rPr>
          <w:rStyle w:val="Rimandonotaapidipagina"/>
        </w:rPr>
        <w:footnoteRef/>
      </w:r>
      <w:r>
        <w:t xml:space="preserve"> Agence internationale de l’énergie (AIE) [en anglais seulement] https://www.iea.org/reports/electricity-2024/executive-summary</w:t>
      </w:r>
    </w:p>
  </w:footnote>
  <w:footnote w:id="8">
    <w:p w14:paraId="191F4557" w14:textId="77777777" w:rsidR="00555DA6" w:rsidRPr="00E455C7" w:rsidRDefault="00555DA6" w:rsidP="00555DA6">
      <w:pPr>
        <w:pStyle w:val="Testonotaapidipagina"/>
      </w:pPr>
      <w:r>
        <w:rPr>
          <w:rStyle w:val="Rimandonotaapidipagina"/>
        </w:rPr>
        <w:footnoteRef/>
      </w:r>
      <w:r>
        <w:t xml:space="preserve"> Dans un reportage de Greenpeace East Asia et de la North China Electric Power </w:t>
      </w:r>
      <w:proofErr w:type="spellStart"/>
      <w:r>
        <w:t>University</w:t>
      </w:r>
      <w:proofErr w:type="spellEnd"/>
      <w:r>
        <w:t xml:space="preserve"> [en anglais seulement] https://www.techerati.com/news-hub/data-centres-china-renewables-energy/</w:t>
      </w:r>
    </w:p>
  </w:footnote>
  <w:footnote w:id="9">
    <w:p w14:paraId="5FB3C77C" w14:textId="77777777" w:rsidR="00555DA6" w:rsidRPr="00E455C7" w:rsidRDefault="00555DA6" w:rsidP="00555DA6">
      <w:pPr>
        <w:pStyle w:val="Testonotaapidipagina"/>
      </w:pPr>
      <w:r>
        <w:rPr>
          <w:rStyle w:val="Rimandonotaapidipagina"/>
        </w:rPr>
        <w:footnoteRef/>
      </w:r>
      <w:r>
        <w:t xml:space="preserve"> </w:t>
      </w:r>
      <w:proofErr w:type="spellStart"/>
      <w:r>
        <w:t>Copenhagen</w:t>
      </w:r>
      <w:proofErr w:type="spellEnd"/>
      <w:r>
        <w:t xml:space="preserve"> Centre on Energy </w:t>
      </w:r>
      <w:proofErr w:type="spellStart"/>
      <w:r>
        <w:t>Efficiency</w:t>
      </w:r>
      <w:proofErr w:type="spellEnd"/>
      <w:r>
        <w:t xml:space="preserve">, Innovative Data-Centre </w:t>
      </w:r>
      <w:proofErr w:type="spellStart"/>
      <w:r>
        <w:t>Cooling</w:t>
      </w:r>
      <w:proofErr w:type="spellEnd"/>
      <w:r>
        <w:t xml:space="preserve"> Technologies in China – </w:t>
      </w:r>
      <w:proofErr w:type="spellStart"/>
      <w:r>
        <w:t>Liquid</w:t>
      </w:r>
      <w:proofErr w:type="spellEnd"/>
      <w:r>
        <w:t xml:space="preserve"> </w:t>
      </w:r>
      <w:proofErr w:type="spellStart"/>
      <w:r>
        <w:t>Cooling</w:t>
      </w:r>
      <w:proofErr w:type="spellEnd"/>
      <w:r>
        <w:t xml:space="preserve"> Solution [Centre de Copenhague sur les technologies écoénergétiques et novatrices de refroidissement des centres de données en Chine – solution de refroidissement liquide], https://c2e2.unepccc.org/kms_object/innovative-data-centre-cooling-technologies-in-china-liquid-cooling-solution/</w:t>
      </w:r>
    </w:p>
  </w:footnote>
  <w:footnote w:id="10">
    <w:p w14:paraId="0EF8D8AF" w14:textId="77777777" w:rsidR="00555DA6" w:rsidRPr="00E455C7" w:rsidRDefault="00555DA6" w:rsidP="00555DA6">
      <w:pPr>
        <w:pStyle w:val="Testonotaapidipagina"/>
      </w:pPr>
      <w:r>
        <w:rPr>
          <w:rStyle w:val="Rimandonotaapidipagina"/>
        </w:rPr>
        <w:footnoteRef/>
      </w:r>
      <w:r>
        <w:t xml:space="preserve"> Ibid.</w:t>
      </w:r>
    </w:p>
  </w:footnote>
  <w:footnote w:id="11">
    <w:p w14:paraId="7B9D75FB" w14:textId="77777777" w:rsidR="00555DA6" w:rsidRPr="00E455C7" w:rsidRDefault="00555DA6" w:rsidP="00555DA6">
      <w:pPr>
        <w:pStyle w:val="Testonotaapidipagina"/>
      </w:pPr>
      <w:r>
        <w:rPr>
          <w:rStyle w:val="Rimandonotaapidipagina"/>
        </w:rPr>
        <w:footnoteRef/>
      </w:r>
      <w:r>
        <w:t xml:space="preserve"> Ibid.</w:t>
      </w:r>
    </w:p>
  </w:footnote>
  <w:footnote w:id="12">
    <w:p w14:paraId="62C4182A" w14:textId="77777777" w:rsidR="00555DA6" w:rsidRPr="00E455C7" w:rsidRDefault="00555DA6" w:rsidP="00555DA6">
      <w:pPr>
        <w:pStyle w:val="Testonotaapidipagina"/>
      </w:pPr>
      <w:r>
        <w:rPr>
          <w:rStyle w:val="Rimandonotaapidipagina"/>
        </w:rPr>
        <w:footnoteRef/>
      </w:r>
      <w:r>
        <w:t xml:space="preserve"> https://www.hvacinformed.com/news/dfc-explains-advantages-plate-heat-exchangers-in-refrigeration-technology-co-1711435756-ga.1711435878.html; https://www.swep.net/refrigerant-handbook/10.-systems/asdf8/; https://www.alfalaval.us/industries/refrigeration/industrial-refrigeration/ [pages en anglais seulement]</w:t>
      </w:r>
    </w:p>
  </w:footnote>
  <w:footnote w:id="13">
    <w:p w14:paraId="17DFF860" w14:textId="6DA0731F" w:rsidR="00555DA6" w:rsidRPr="00E455C7" w:rsidRDefault="00555DA6" w:rsidP="00555DA6">
      <w:pPr>
        <w:pStyle w:val="Testonotaapidipagina"/>
      </w:pPr>
      <w:r>
        <w:rPr>
          <w:rStyle w:val="Rimandonotaapidipagina"/>
        </w:rPr>
        <w:footnoteRef/>
      </w:r>
      <w:r w:rsidR="003F3290">
        <w:t> </w:t>
      </w:r>
      <w:r>
        <w:t>Cela concerne l’exploitation du centre de données à titre d’essai afin de recueillir des données pour l’optimisation de la performance du système relativement aux aspects de la température et du transfert thermique qui affectent les fluctuations de températures et ont une incidence sur la consommation énergétique.</w:t>
      </w:r>
    </w:p>
  </w:footnote>
  <w:footnote w:id="14">
    <w:p w14:paraId="06482AAF" w14:textId="600FCF34" w:rsidR="00555DA6" w:rsidRPr="00E455C7" w:rsidRDefault="00555DA6" w:rsidP="00555DA6">
      <w:pPr>
        <w:pStyle w:val="Testonotaapidipagina"/>
      </w:pPr>
      <w:r>
        <w:rPr>
          <w:rStyle w:val="Rimandonotaapidipagina"/>
        </w:rPr>
        <w:footnoteRef/>
      </w:r>
      <w:r w:rsidR="003F3290">
        <w:t> </w:t>
      </w:r>
      <w:r>
        <w:t>Cela concerne les coûts pour le personnel technique et de maintenance pour l’exploitation sur place de l’équipement.</w:t>
      </w:r>
    </w:p>
  </w:footnote>
  <w:footnote w:id="15">
    <w:p w14:paraId="199A2AB5" w14:textId="77777777" w:rsidR="00555DA6" w:rsidRPr="00E455C7" w:rsidRDefault="00555DA6" w:rsidP="00555DA6">
      <w:pPr>
        <w:pStyle w:val="Testonotaapidipagina"/>
      </w:pPr>
      <w:r>
        <w:rPr>
          <w:rStyle w:val="Rimandonotaapidipagina"/>
        </w:rPr>
        <w:footnoteRef/>
      </w:r>
      <w:r>
        <w:t xml:space="preserve"> La température du liquide de refroidissement au point où il entre dans un système.</w:t>
      </w:r>
    </w:p>
  </w:footnote>
  <w:footnote w:id="16">
    <w:p w14:paraId="4A651EE5" w14:textId="598CFA92" w:rsidR="00555DA6" w:rsidRPr="00E455C7" w:rsidRDefault="00555DA6" w:rsidP="00555DA6">
      <w:pPr>
        <w:pStyle w:val="Testonotaapidipagina"/>
      </w:pPr>
      <w:r>
        <w:rPr>
          <w:rStyle w:val="Rimandonotaapidipagina"/>
        </w:rPr>
        <w:footnoteRef/>
      </w:r>
      <w:r w:rsidR="003F3290">
        <w:t> </w:t>
      </w:r>
      <w:r>
        <w:t>La température du liquide de refroidissement au point où il sort d’un système.</w:t>
      </w:r>
    </w:p>
  </w:footnote>
  <w:footnote w:id="17">
    <w:p w14:paraId="245F196D" w14:textId="77777777" w:rsidR="00555DA6" w:rsidRPr="00E455C7" w:rsidRDefault="00555DA6" w:rsidP="00555DA6">
      <w:pPr>
        <w:pStyle w:val="Testonotaapidipagina"/>
        <w:rPr>
          <w:rFonts w:asciiTheme="majorBidi" w:hAnsiTheme="majorBidi" w:cstheme="majorBidi"/>
        </w:rPr>
      </w:pPr>
      <w:r>
        <w:rPr>
          <w:rStyle w:val="Rimandonotaapidipagina"/>
        </w:rPr>
        <w:footnoteRef/>
      </w:r>
      <w:r>
        <w:t xml:space="preserve"> </w:t>
      </w:r>
      <w:r>
        <w:rPr>
          <w:rFonts w:asciiTheme="majorBidi" w:hAnsiTheme="majorBidi"/>
        </w:rPr>
        <w:t>D’autres paramètres en matière d’efficacité seraient l’efficacité de l’utilisation de l’eau, le facteur de charge de l’énergie renouvelable, l’indicateur d’efficacité énergétique partiel; ces indicateurs seront également calculés pour évaluer la performance d’un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294B2" w14:textId="5B11E754" w:rsidR="00DC6A10" w:rsidRPr="0042511F" w:rsidRDefault="00544577">
    <w:pPr>
      <w:rPr>
        <w:lang w:val="en-CA"/>
      </w:rPr>
    </w:pPr>
    <w:r>
      <w:fldChar w:fldCharType="begin"/>
    </w:r>
    <w:r w:rsidRPr="0042511F">
      <w:rPr>
        <w:lang w:val="en-CA"/>
      </w:rPr>
      <w:instrText xml:space="preserve"> DOCPROPERTY "Document number"  \* MERGEFORMAT </w:instrText>
    </w:r>
    <w:r>
      <w:fldChar w:fldCharType="separate"/>
    </w:r>
    <w:r w:rsidRPr="0042511F">
      <w:rPr>
        <w:lang w:val="en-CA"/>
      </w:rPr>
      <w:t>UNEP/</w:t>
    </w:r>
    <w:proofErr w:type="spellStart"/>
    <w:r w:rsidRPr="0042511F">
      <w:rPr>
        <w:lang w:val="en-CA"/>
      </w:rPr>
      <w:t>OzL.Pro</w:t>
    </w:r>
    <w:proofErr w:type="spellEnd"/>
    <w:r w:rsidRPr="0042511F">
      <w:rPr>
        <w:lang w:val="en-CA"/>
      </w:rPr>
      <w:t>/ExCom/95/47/Add.1</w:t>
    </w:r>
    <w:r>
      <w:fldChar w:fldCharType="end"/>
    </w:r>
  </w:p>
  <w:p w14:paraId="25DF4902" w14:textId="77777777" w:rsidR="00DC6A10" w:rsidRPr="0042511F" w:rsidRDefault="00DC6A10">
    <w:pPr>
      <w:rPr>
        <w:lang w:val="en-CA"/>
      </w:rPr>
    </w:pPr>
  </w:p>
  <w:p w14:paraId="02008B20" w14:textId="77777777" w:rsidR="00DC6A10" w:rsidRPr="0042511F" w:rsidRDefault="00DC6A10">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B3411" w14:textId="2D04F323" w:rsidR="00DC6A10" w:rsidRPr="0042511F" w:rsidRDefault="00544577">
    <w:pPr>
      <w:jc w:val="right"/>
      <w:rPr>
        <w:lang w:val="en-CA"/>
      </w:rPr>
    </w:pPr>
    <w:r>
      <w:fldChar w:fldCharType="begin"/>
    </w:r>
    <w:r w:rsidRPr="0042511F">
      <w:rPr>
        <w:lang w:val="en-CA"/>
      </w:rPr>
      <w:instrText xml:space="preserve"> DOCPROPERTY "Document number"  \* MERGEFORMAT </w:instrText>
    </w:r>
    <w:r>
      <w:fldChar w:fldCharType="separate"/>
    </w:r>
    <w:r w:rsidRPr="0042511F">
      <w:rPr>
        <w:lang w:val="en-CA"/>
      </w:rPr>
      <w:t>UNEP/</w:t>
    </w:r>
    <w:proofErr w:type="spellStart"/>
    <w:r w:rsidRPr="0042511F">
      <w:rPr>
        <w:lang w:val="en-CA"/>
      </w:rPr>
      <w:t>OzL.Pro</w:t>
    </w:r>
    <w:proofErr w:type="spellEnd"/>
    <w:r w:rsidRPr="0042511F">
      <w:rPr>
        <w:lang w:val="en-CA"/>
      </w:rPr>
      <w:t>/ExCom/95/47/Add.1</w:t>
    </w:r>
    <w:r>
      <w:fldChar w:fldCharType="end"/>
    </w:r>
  </w:p>
  <w:p w14:paraId="06A94CA4" w14:textId="77777777" w:rsidR="00DC6A10" w:rsidRPr="0042511F" w:rsidRDefault="00DC6A10">
    <w:pPr>
      <w:rPr>
        <w:lang w:val="en-CA"/>
      </w:rPr>
    </w:pPr>
  </w:p>
  <w:p w14:paraId="27EDE89A" w14:textId="77777777" w:rsidR="00DC6A10" w:rsidRPr="0042511F" w:rsidRDefault="00DC6A10">
    <w:pPr>
      <w:pStyle w:val="Intestazione"/>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FEA700"/>
    <w:lvl w:ilvl="0">
      <w:start w:val="1"/>
      <w:numFmt w:val="decimal"/>
      <w:pStyle w:val="Titolo1"/>
      <w:lvlText w:val="%1."/>
      <w:lvlJc w:val="left"/>
      <w:pPr>
        <w:tabs>
          <w:tab w:val="num" w:pos="0"/>
        </w:tabs>
        <w:ind w:left="0" w:firstLine="0"/>
      </w:pPr>
      <w:rPr>
        <w:b w:val="0"/>
        <w:bCs w:val="0"/>
        <w:strike w:val="0"/>
      </w:rPr>
    </w:lvl>
    <w:lvl w:ilvl="1">
      <w:start w:val="1"/>
      <w:numFmt w:val="lowerLetter"/>
      <w:pStyle w:val="Titolo2"/>
      <w:lvlText w:val="(%2)"/>
      <w:lvlJc w:val="left"/>
      <w:pPr>
        <w:tabs>
          <w:tab w:val="num" w:pos="0"/>
        </w:tabs>
        <w:ind w:left="1440" w:hanging="720"/>
      </w:pPr>
      <w:rPr>
        <w:i w:val="0"/>
        <w:iCs w:val="0"/>
      </w:r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60376733"/>
    <w:multiLevelType w:val="hybridMultilevel"/>
    <w:tmpl w:val="A11C1AA4"/>
    <w:lvl w:ilvl="0" w:tplc="E5102E18">
      <w:start w:val="1"/>
      <w:numFmt w:val="decimal"/>
      <w:lvlText w:val="%1."/>
      <w:lvlJc w:val="left"/>
      <w:pPr>
        <w:ind w:left="410" w:hanging="360"/>
      </w:pPr>
      <w:rPr>
        <w:rFonts w:hint="default"/>
      </w:rPr>
    </w:lvl>
    <w:lvl w:ilvl="1" w:tplc="10090019" w:tentative="1">
      <w:start w:val="1"/>
      <w:numFmt w:val="lowerLetter"/>
      <w:lvlText w:val="%2."/>
      <w:lvlJc w:val="left"/>
      <w:pPr>
        <w:ind w:left="1130" w:hanging="360"/>
      </w:pPr>
    </w:lvl>
    <w:lvl w:ilvl="2" w:tplc="1009001B" w:tentative="1">
      <w:start w:val="1"/>
      <w:numFmt w:val="lowerRoman"/>
      <w:lvlText w:val="%3."/>
      <w:lvlJc w:val="right"/>
      <w:pPr>
        <w:ind w:left="1850" w:hanging="180"/>
      </w:pPr>
    </w:lvl>
    <w:lvl w:ilvl="3" w:tplc="1009000F" w:tentative="1">
      <w:start w:val="1"/>
      <w:numFmt w:val="decimal"/>
      <w:lvlText w:val="%4."/>
      <w:lvlJc w:val="left"/>
      <w:pPr>
        <w:ind w:left="2570" w:hanging="360"/>
      </w:pPr>
    </w:lvl>
    <w:lvl w:ilvl="4" w:tplc="10090019" w:tentative="1">
      <w:start w:val="1"/>
      <w:numFmt w:val="lowerLetter"/>
      <w:lvlText w:val="%5."/>
      <w:lvlJc w:val="left"/>
      <w:pPr>
        <w:ind w:left="3290" w:hanging="360"/>
      </w:pPr>
    </w:lvl>
    <w:lvl w:ilvl="5" w:tplc="1009001B" w:tentative="1">
      <w:start w:val="1"/>
      <w:numFmt w:val="lowerRoman"/>
      <w:lvlText w:val="%6."/>
      <w:lvlJc w:val="right"/>
      <w:pPr>
        <w:ind w:left="4010" w:hanging="180"/>
      </w:pPr>
    </w:lvl>
    <w:lvl w:ilvl="6" w:tplc="1009000F" w:tentative="1">
      <w:start w:val="1"/>
      <w:numFmt w:val="decimal"/>
      <w:lvlText w:val="%7."/>
      <w:lvlJc w:val="left"/>
      <w:pPr>
        <w:ind w:left="4730" w:hanging="360"/>
      </w:pPr>
    </w:lvl>
    <w:lvl w:ilvl="7" w:tplc="10090019" w:tentative="1">
      <w:start w:val="1"/>
      <w:numFmt w:val="lowerLetter"/>
      <w:lvlText w:val="%8."/>
      <w:lvlJc w:val="left"/>
      <w:pPr>
        <w:ind w:left="5450" w:hanging="360"/>
      </w:pPr>
    </w:lvl>
    <w:lvl w:ilvl="8" w:tplc="1009001B" w:tentative="1">
      <w:start w:val="1"/>
      <w:numFmt w:val="lowerRoman"/>
      <w:lvlText w:val="%9."/>
      <w:lvlJc w:val="right"/>
      <w:pPr>
        <w:ind w:left="6170" w:hanging="180"/>
      </w:pPr>
    </w:lvl>
  </w:abstractNum>
  <w:abstractNum w:abstractNumId="17" w15:restartNumberingAfterBreak="0">
    <w:nsid w:val="71ED6CF1"/>
    <w:multiLevelType w:val="hybridMultilevel"/>
    <w:tmpl w:val="15FA58EE"/>
    <w:lvl w:ilvl="0" w:tplc="1DC444F2">
      <w:start w:val="1"/>
      <w:numFmt w:val="decimal"/>
      <w:lvlText w:val="%1."/>
      <w:lvlJc w:val="left"/>
      <w:pPr>
        <w:ind w:left="720" w:hanging="360"/>
      </w:pPr>
      <w:rPr>
        <w:rFonts w:hint="default"/>
        <w:b w:val="0"/>
        <w:bCs w:val="0"/>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1161851763">
    <w:abstractNumId w:val="15"/>
  </w:num>
  <w:num w:numId="22" w16cid:durableId="1154417625">
    <w:abstractNumId w:val="17"/>
  </w:num>
  <w:num w:numId="23" w16cid:durableId="1322080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8124263">
    <w:abstractNumId w:val="16"/>
  </w:num>
  <w:num w:numId="25" w16cid:durableId="1776752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4028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9910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5DA6"/>
    <w:rsid w:val="00000FED"/>
    <w:rsid w:val="0000434E"/>
    <w:rsid w:val="00014456"/>
    <w:rsid w:val="000211A9"/>
    <w:rsid w:val="00021238"/>
    <w:rsid w:val="00022071"/>
    <w:rsid w:val="00031260"/>
    <w:rsid w:val="0003681A"/>
    <w:rsid w:val="000372B7"/>
    <w:rsid w:val="00050F6E"/>
    <w:rsid w:val="00061EC2"/>
    <w:rsid w:val="00066CE8"/>
    <w:rsid w:val="000746A2"/>
    <w:rsid w:val="00080ED0"/>
    <w:rsid w:val="00085B8F"/>
    <w:rsid w:val="00090481"/>
    <w:rsid w:val="000A3826"/>
    <w:rsid w:val="000A4927"/>
    <w:rsid w:val="000A4B89"/>
    <w:rsid w:val="000A6C26"/>
    <w:rsid w:val="000B36C8"/>
    <w:rsid w:val="000C7439"/>
    <w:rsid w:val="000D16FE"/>
    <w:rsid w:val="000D52A4"/>
    <w:rsid w:val="000E07BC"/>
    <w:rsid w:val="000E2E21"/>
    <w:rsid w:val="000F1CD4"/>
    <w:rsid w:val="000F2B9C"/>
    <w:rsid w:val="000F4103"/>
    <w:rsid w:val="000F70A7"/>
    <w:rsid w:val="00113CCA"/>
    <w:rsid w:val="00122F25"/>
    <w:rsid w:val="0012349E"/>
    <w:rsid w:val="00135980"/>
    <w:rsid w:val="0013786F"/>
    <w:rsid w:val="00164719"/>
    <w:rsid w:val="00166FC4"/>
    <w:rsid w:val="001677AC"/>
    <w:rsid w:val="00177CDE"/>
    <w:rsid w:val="001804EA"/>
    <w:rsid w:val="00190A61"/>
    <w:rsid w:val="00197179"/>
    <w:rsid w:val="001A15B5"/>
    <w:rsid w:val="001A2215"/>
    <w:rsid w:val="001A3342"/>
    <w:rsid w:val="001A3E3D"/>
    <w:rsid w:val="001A7049"/>
    <w:rsid w:val="001B1E40"/>
    <w:rsid w:val="001C764E"/>
    <w:rsid w:val="001E1052"/>
    <w:rsid w:val="001E21B1"/>
    <w:rsid w:val="001E2F93"/>
    <w:rsid w:val="001E4554"/>
    <w:rsid w:val="001E61E5"/>
    <w:rsid w:val="001E6D7C"/>
    <w:rsid w:val="001F12FD"/>
    <w:rsid w:val="001F2159"/>
    <w:rsid w:val="001F53FD"/>
    <w:rsid w:val="002073EC"/>
    <w:rsid w:val="00210B8B"/>
    <w:rsid w:val="00214863"/>
    <w:rsid w:val="002156B4"/>
    <w:rsid w:val="00224FCD"/>
    <w:rsid w:val="00253222"/>
    <w:rsid w:val="00253FE4"/>
    <w:rsid w:val="00256D8D"/>
    <w:rsid w:val="00261C13"/>
    <w:rsid w:val="00262847"/>
    <w:rsid w:val="00281BB2"/>
    <w:rsid w:val="002A03C3"/>
    <w:rsid w:val="002A0D88"/>
    <w:rsid w:val="002A1340"/>
    <w:rsid w:val="002B254E"/>
    <w:rsid w:val="002B4CE8"/>
    <w:rsid w:val="002B72E9"/>
    <w:rsid w:val="002C7998"/>
    <w:rsid w:val="002F1E53"/>
    <w:rsid w:val="002F2CAA"/>
    <w:rsid w:val="0030052C"/>
    <w:rsid w:val="00304C0E"/>
    <w:rsid w:val="003069D2"/>
    <w:rsid w:val="003306E1"/>
    <w:rsid w:val="003320E4"/>
    <w:rsid w:val="0033525D"/>
    <w:rsid w:val="003414F3"/>
    <w:rsid w:val="0034715E"/>
    <w:rsid w:val="0035613E"/>
    <w:rsid w:val="00363EE9"/>
    <w:rsid w:val="00376128"/>
    <w:rsid w:val="0037742E"/>
    <w:rsid w:val="00377D56"/>
    <w:rsid w:val="00380FBA"/>
    <w:rsid w:val="0038245A"/>
    <w:rsid w:val="003840E6"/>
    <w:rsid w:val="00385CFC"/>
    <w:rsid w:val="0039337A"/>
    <w:rsid w:val="0039764E"/>
    <w:rsid w:val="003A3189"/>
    <w:rsid w:val="003A3CA7"/>
    <w:rsid w:val="003B2B88"/>
    <w:rsid w:val="003B33BD"/>
    <w:rsid w:val="003B569D"/>
    <w:rsid w:val="003C3C0E"/>
    <w:rsid w:val="003D2176"/>
    <w:rsid w:val="003D42A6"/>
    <w:rsid w:val="003D4F21"/>
    <w:rsid w:val="003D4FAC"/>
    <w:rsid w:val="003E1885"/>
    <w:rsid w:val="003E7906"/>
    <w:rsid w:val="003F000F"/>
    <w:rsid w:val="003F3143"/>
    <w:rsid w:val="003F3290"/>
    <w:rsid w:val="003F3C50"/>
    <w:rsid w:val="00406202"/>
    <w:rsid w:val="00406A6A"/>
    <w:rsid w:val="00406B22"/>
    <w:rsid w:val="00407147"/>
    <w:rsid w:val="004078FA"/>
    <w:rsid w:val="0042511F"/>
    <w:rsid w:val="00431E08"/>
    <w:rsid w:val="004328A7"/>
    <w:rsid w:val="00434C74"/>
    <w:rsid w:val="00456EB4"/>
    <w:rsid w:val="00457827"/>
    <w:rsid w:val="00465B24"/>
    <w:rsid w:val="004701AF"/>
    <w:rsid w:val="004710D6"/>
    <w:rsid w:val="004718F3"/>
    <w:rsid w:val="00475040"/>
    <w:rsid w:val="00490C06"/>
    <w:rsid w:val="00493D40"/>
    <w:rsid w:val="00493EE3"/>
    <w:rsid w:val="004967B6"/>
    <w:rsid w:val="004A504B"/>
    <w:rsid w:val="004A6911"/>
    <w:rsid w:val="004B3652"/>
    <w:rsid w:val="004B54E0"/>
    <w:rsid w:val="004B7384"/>
    <w:rsid w:val="004C4269"/>
    <w:rsid w:val="004D60D8"/>
    <w:rsid w:val="004D6236"/>
    <w:rsid w:val="004D7F90"/>
    <w:rsid w:val="004E4DBB"/>
    <w:rsid w:val="004E4E41"/>
    <w:rsid w:val="004E73DB"/>
    <w:rsid w:val="004E7F9C"/>
    <w:rsid w:val="004F3493"/>
    <w:rsid w:val="004F5143"/>
    <w:rsid w:val="00512B09"/>
    <w:rsid w:val="005220ED"/>
    <w:rsid w:val="00533796"/>
    <w:rsid w:val="00537343"/>
    <w:rsid w:val="00544577"/>
    <w:rsid w:val="005516F3"/>
    <w:rsid w:val="005550C1"/>
    <w:rsid w:val="00555D75"/>
    <w:rsid w:val="00555DA6"/>
    <w:rsid w:val="00560DF0"/>
    <w:rsid w:val="0056759C"/>
    <w:rsid w:val="0059513E"/>
    <w:rsid w:val="005A6AA4"/>
    <w:rsid w:val="005A6D9F"/>
    <w:rsid w:val="005B48FF"/>
    <w:rsid w:val="005C1E32"/>
    <w:rsid w:val="005C670D"/>
    <w:rsid w:val="005D363F"/>
    <w:rsid w:val="005F0296"/>
    <w:rsid w:val="00604C15"/>
    <w:rsid w:val="0060661E"/>
    <w:rsid w:val="006158D5"/>
    <w:rsid w:val="00625D83"/>
    <w:rsid w:val="00640538"/>
    <w:rsid w:val="00651984"/>
    <w:rsid w:val="006623E7"/>
    <w:rsid w:val="00662B80"/>
    <w:rsid w:val="00664E48"/>
    <w:rsid w:val="0066768F"/>
    <w:rsid w:val="00670F6C"/>
    <w:rsid w:val="00676E58"/>
    <w:rsid w:val="006852C7"/>
    <w:rsid w:val="006852CE"/>
    <w:rsid w:val="00686B84"/>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B6D"/>
    <w:rsid w:val="007303A5"/>
    <w:rsid w:val="00730B3E"/>
    <w:rsid w:val="0073420B"/>
    <w:rsid w:val="00736367"/>
    <w:rsid w:val="007468A8"/>
    <w:rsid w:val="0074760E"/>
    <w:rsid w:val="007548C4"/>
    <w:rsid w:val="00754ABA"/>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7F0CFB"/>
    <w:rsid w:val="007F5780"/>
    <w:rsid w:val="0080345C"/>
    <w:rsid w:val="00817854"/>
    <w:rsid w:val="00822564"/>
    <w:rsid w:val="0082522F"/>
    <w:rsid w:val="00831979"/>
    <w:rsid w:val="00844F16"/>
    <w:rsid w:val="008502DA"/>
    <w:rsid w:val="00851352"/>
    <w:rsid w:val="00857077"/>
    <w:rsid w:val="00863230"/>
    <w:rsid w:val="008645F5"/>
    <w:rsid w:val="00865BD0"/>
    <w:rsid w:val="008675D0"/>
    <w:rsid w:val="008717D8"/>
    <w:rsid w:val="0087215C"/>
    <w:rsid w:val="00875D25"/>
    <w:rsid w:val="00880E35"/>
    <w:rsid w:val="008875FE"/>
    <w:rsid w:val="00887F8E"/>
    <w:rsid w:val="008923F4"/>
    <w:rsid w:val="00896234"/>
    <w:rsid w:val="00897E43"/>
    <w:rsid w:val="008A2148"/>
    <w:rsid w:val="008C222B"/>
    <w:rsid w:val="008C5738"/>
    <w:rsid w:val="008C7EAD"/>
    <w:rsid w:val="008D0CFE"/>
    <w:rsid w:val="008D6152"/>
    <w:rsid w:val="008E7BA9"/>
    <w:rsid w:val="008F0F81"/>
    <w:rsid w:val="008F27BF"/>
    <w:rsid w:val="008F2E64"/>
    <w:rsid w:val="00902259"/>
    <w:rsid w:val="009142EC"/>
    <w:rsid w:val="009145E4"/>
    <w:rsid w:val="009154C3"/>
    <w:rsid w:val="00923540"/>
    <w:rsid w:val="00926767"/>
    <w:rsid w:val="009361D5"/>
    <w:rsid w:val="009428A4"/>
    <w:rsid w:val="009659F4"/>
    <w:rsid w:val="00970D60"/>
    <w:rsid w:val="00977946"/>
    <w:rsid w:val="00984834"/>
    <w:rsid w:val="009874D0"/>
    <w:rsid w:val="00991D1B"/>
    <w:rsid w:val="00992049"/>
    <w:rsid w:val="0099390E"/>
    <w:rsid w:val="009960E5"/>
    <w:rsid w:val="009A41A9"/>
    <w:rsid w:val="009A7ADC"/>
    <w:rsid w:val="009B0D30"/>
    <w:rsid w:val="009B221C"/>
    <w:rsid w:val="009C19B7"/>
    <w:rsid w:val="009C5ABB"/>
    <w:rsid w:val="009D7C51"/>
    <w:rsid w:val="009E196C"/>
    <w:rsid w:val="009E21E6"/>
    <w:rsid w:val="009E6A0A"/>
    <w:rsid w:val="009F36BF"/>
    <w:rsid w:val="00A111B6"/>
    <w:rsid w:val="00A26D27"/>
    <w:rsid w:val="00A376EE"/>
    <w:rsid w:val="00A42A99"/>
    <w:rsid w:val="00A5151A"/>
    <w:rsid w:val="00A57E0A"/>
    <w:rsid w:val="00A6183A"/>
    <w:rsid w:val="00A77919"/>
    <w:rsid w:val="00A823F6"/>
    <w:rsid w:val="00A8719E"/>
    <w:rsid w:val="00AA0A89"/>
    <w:rsid w:val="00AA5368"/>
    <w:rsid w:val="00AA6429"/>
    <w:rsid w:val="00AC01AA"/>
    <w:rsid w:val="00AC2B45"/>
    <w:rsid w:val="00AC3EE9"/>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0913"/>
    <w:rsid w:val="00B71608"/>
    <w:rsid w:val="00B76429"/>
    <w:rsid w:val="00B854B5"/>
    <w:rsid w:val="00B86471"/>
    <w:rsid w:val="00B951DF"/>
    <w:rsid w:val="00B956D4"/>
    <w:rsid w:val="00B97446"/>
    <w:rsid w:val="00BA12EC"/>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3708F"/>
    <w:rsid w:val="00C40843"/>
    <w:rsid w:val="00C40C41"/>
    <w:rsid w:val="00C45885"/>
    <w:rsid w:val="00C50F22"/>
    <w:rsid w:val="00C57971"/>
    <w:rsid w:val="00C65BD7"/>
    <w:rsid w:val="00C67581"/>
    <w:rsid w:val="00C67BD8"/>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44D8"/>
    <w:rsid w:val="00CC6A14"/>
    <w:rsid w:val="00CC70A3"/>
    <w:rsid w:val="00CD4442"/>
    <w:rsid w:val="00CD53C3"/>
    <w:rsid w:val="00CD574E"/>
    <w:rsid w:val="00CE4C22"/>
    <w:rsid w:val="00CE76E5"/>
    <w:rsid w:val="00CF41EC"/>
    <w:rsid w:val="00CF5D04"/>
    <w:rsid w:val="00D04939"/>
    <w:rsid w:val="00D04DE4"/>
    <w:rsid w:val="00D063F1"/>
    <w:rsid w:val="00D11735"/>
    <w:rsid w:val="00D14F22"/>
    <w:rsid w:val="00D16ED9"/>
    <w:rsid w:val="00D471AE"/>
    <w:rsid w:val="00D4741C"/>
    <w:rsid w:val="00D51E18"/>
    <w:rsid w:val="00D54206"/>
    <w:rsid w:val="00D5551E"/>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039E"/>
    <w:rsid w:val="00E024AA"/>
    <w:rsid w:val="00E15C77"/>
    <w:rsid w:val="00E1693E"/>
    <w:rsid w:val="00E250F1"/>
    <w:rsid w:val="00E3550D"/>
    <w:rsid w:val="00E52838"/>
    <w:rsid w:val="00E614E0"/>
    <w:rsid w:val="00E73F7F"/>
    <w:rsid w:val="00E753E8"/>
    <w:rsid w:val="00E85409"/>
    <w:rsid w:val="00E90577"/>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534F"/>
    <w:rsid w:val="00F21088"/>
    <w:rsid w:val="00F326BF"/>
    <w:rsid w:val="00F327E7"/>
    <w:rsid w:val="00F35746"/>
    <w:rsid w:val="00F4157A"/>
    <w:rsid w:val="00F447C7"/>
    <w:rsid w:val="00F44961"/>
    <w:rsid w:val="00F459B4"/>
    <w:rsid w:val="00F460CA"/>
    <w:rsid w:val="00F5211B"/>
    <w:rsid w:val="00F554A9"/>
    <w:rsid w:val="00F716FD"/>
    <w:rsid w:val="00F80355"/>
    <w:rsid w:val="00F83E04"/>
    <w:rsid w:val="00F87C43"/>
    <w:rsid w:val="00FA5722"/>
    <w:rsid w:val="00FB0C81"/>
    <w:rsid w:val="00FB66D1"/>
    <w:rsid w:val="00FC2200"/>
    <w:rsid w:val="00FC2540"/>
    <w:rsid w:val="00FD7885"/>
    <w:rsid w:val="00FE00B4"/>
    <w:rsid w:val="00FE601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174E9"/>
  <w15:docId w15:val="{9F2BABA5-3971-4645-93E7-5676EB7A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rPr>
  </w:style>
  <w:style w:type="paragraph" w:styleId="Pidipagina">
    <w:name w:val="footer"/>
    <w:basedOn w:val="Normale"/>
    <w:semiHidden/>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fr-CA"/>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semiHidden/>
    <w:unhideWhenUsed/>
    <w:qFormat/>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fr-CA"/>
    </w:rPr>
  </w:style>
  <w:style w:type="paragraph" w:styleId="Testocommento">
    <w:name w:val="annotation text"/>
    <w:basedOn w:val="Normale"/>
    <w:link w:val="TestocommentoCarattere"/>
    <w:unhideWhenUsed/>
    <w:qFormat/>
    <w:rsid w:val="00B04161"/>
    <w:rPr>
      <w:sz w:val="20"/>
      <w:szCs w:val="20"/>
    </w:rPr>
  </w:style>
  <w:style w:type="character" w:customStyle="1" w:styleId="TestocommentoCarattere">
    <w:name w:val="Testo commento Carattere"/>
    <w:basedOn w:val="Carpredefinitoparagrafo"/>
    <w:link w:val="Testocommento"/>
    <w:qFormat/>
    <w:rsid w:val="00B04161"/>
    <w:rPr>
      <w:lang w:val="fr-CA"/>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fr-CA"/>
    </w:rPr>
  </w:style>
  <w:style w:type="character" w:styleId="Rimandonotaapidipagina">
    <w:name w:val="footnote reference"/>
    <w:aliases w:val="Footnote text,Footnote Text1,Footnote Text2,ftref,16 Point,Superscript 6 Point,Superscript 6 Point + 11 pt,BVI fnr,BVI fnr Car Car,BVI fnr Car,BVI fnr Car Car Car Car,-E Fußnotenzeichen,number,Footnote reference number"/>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7C2B69"/>
    <w:pPr>
      <w:spacing w:before="0" w:after="240"/>
      <w:ind w:left="2880" w:hanging="720"/>
    </w:pPr>
  </w:style>
  <w:style w:type="character" w:customStyle="1" w:styleId="ParagrafoelencoCarattere">
    <w:name w:val="Paragrafo elenco Carattere"/>
    <w:aliases w:val="列出段落YUAN Carattere,List Paragraph (numbered (a)) Char Carattere,List Paragraph Char Char Char Carattere,List Paragraph (numbered (a)) Carattere,Use Case List Paragraph Carattere,List Paragraph2 Carattere,Bullet paras Carattere"/>
    <w:basedOn w:val="Carpredefinitoparagrafo"/>
    <w:link w:val="Paragrafoelenco"/>
    <w:uiPriority w:val="34"/>
    <w:qFormat/>
    <w:locked/>
    <w:rsid w:val="00555DA6"/>
    <w:rPr>
      <w:sz w:val="22"/>
      <w:szCs w:val="22"/>
      <w:lang w:val="fr-CA"/>
    </w:rPr>
  </w:style>
  <w:style w:type="paragraph" w:styleId="Paragrafoelenco">
    <w:name w:val="List Paragraph"/>
    <w:aliases w:val="列出段落YUAN,List Paragraph (numbered (a)) Char,List Paragraph Char Char Char,List Paragraph (numbered (a)),Use Case List Paragraph,List Paragraph2,Numbered List Paragraph,Main numbered paragraph,Bullet paras,ANNEX,lp1,TIT 2 IND,Dot pt"/>
    <w:basedOn w:val="Normale"/>
    <w:link w:val="ParagrafoelencoCarattere"/>
    <w:uiPriority w:val="34"/>
    <w:qFormat/>
    <w:rsid w:val="00555DA6"/>
    <w:pPr>
      <w:ind w:left="720"/>
      <w:contextualSpacing/>
    </w:pPr>
  </w:style>
  <w:style w:type="paragraph" w:styleId="Revisione">
    <w:name w:val="Revision"/>
    <w:hidden/>
    <w:uiPriority w:val="99"/>
    <w:semiHidden/>
    <w:rsid w:val="00555DA6"/>
    <w:rPr>
      <w:sz w:val="22"/>
      <w:szCs w:val="22"/>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555DA6"/>
    <w:rPr>
      <w:sz w:val="22"/>
      <w:szCs w:val="22"/>
      <w:lang w:val="fr-CA"/>
    </w:rPr>
  </w:style>
  <w:style w:type="paragraph" w:styleId="NormaleWeb">
    <w:name w:val="Normal (Web)"/>
    <w:basedOn w:val="Normale"/>
    <w:uiPriority w:val="99"/>
    <w:unhideWhenUsed/>
    <w:rsid w:val="00555DA6"/>
    <w:pPr>
      <w:spacing w:before="100" w:beforeAutospacing="1" w:after="100" w:afterAutospacing="1"/>
      <w:jc w:val="left"/>
    </w:pPr>
    <w:rPr>
      <w:sz w:val="24"/>
      <w:szCs w:val="24"/>
      <w:lang w:eastAsia="en-CA"/>
    </w:rPr>
  </w:style>
  <w:style w:type="character" w:customStyle="1" w:styleId="markedcontent">
    <w:name w:val="markedcontent"/>
    <w:basedOn w:val="Carpredefinitoparagrafo"/>
    <w:rsid w:val="00555DA6"/>
  </w:style>
  <w:style w:type="character" w:customStyle="1" w:styleId="highlight">
    <w:name w:val="highlight"/>
    <w:basedOn w:val="Carpredefinitoparagrafo"/>
    <w:rsid w:val="00555DA6"/>
  </w:style>
  <w:style w:type="table" w:customStyle="1" w:styleId="Cuadrculadetablaclara1">
    <w:name w:val="Cuadrícula de tabla clara1"/>
    <w:basedOn w:val="Tabellanormale"/>
    <w:uiPriority w:val="40"/>
    <w:rsid w:val="00555DA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ellanormale"/>
    <w:uiPriority w:val="40"/>
    <w:rsid w:val="00555DA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ellanormale"/>
    <w:uiPriority w:val="49"/>
    <w:rsid w:val="00555DA6"/>
    <w:rPr>
      <w:rFonts w:ascii="Calibri" w:eastAsia="Calibri" w:hAnsi="Calibri"/>
      <w:sz w:val="22"/>
      <w:szCs w:val="22"/>
      <w:lang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e"/>
    <w:rsid w:val="00555DA6"/>
    <w:pPr>
      <w:widowControl w:val="0"/>
      <w:tabs>
        <w:tab w:val="center" w:pos="4320"/>
        <w:tab w:val="right" w:pos="8640"/>
        <w:tab w:val="left" w:pos="9000"/>
      </w:tabs>
    </w:pPr>
    <w:rPr>
      <w:snapToGrid w:val="0"/>
      <w:sz w:val="20"/>
      <w:szCs w:val="20"/>
    </w:rPr>
  </w:style>
  <w:style w:type="paragraph" w:styleId="Didascalia">
    <w:name w:val="caption"/>
    <w:basedOn w:val="Normale"/>
    <w:next w:val="Normale"/>
    <w:link w:val="DidascaliaCarattere"/>
    <w:autoRedefine/>
    <w:uiPriority w:val="35"/>
    <w:qFormat/>
    <w:rsid w:val="00555DA6"/>
    <w:pPr>
      <w:keepNext/>
      <w:ind w:left="270"/>
      <w:jc w:val="left"/>
    </w:pPr>
    <w:rPr>
      <w:rFonts w:eastAsia="Calibri" w:cs="Calibri Light"/>
      <w:b/>
      <w:bCs/>
      <w:iCs/>
    </w:rPr>
  </w:style>
  <w:style w:type="character" w:customStyle="1" w:styleId="DidascaliaCarattere">
    <w:name w:val="Didascalia Carattere"/>
    <w:link w:val="Didascalia"/>
    <w:uiPriority w:val="35"/>
    <w:locked/>
    <w:rsid w:val="00555DA6"/>
    <w:rPr>
      <w:rFonts w:eastAsia="Calibri" w:cs="Calibri Light"/>
      <w:b/>
      <w:bCs/>
      <w:iCs/>
      <w:sz w:val="22"/>
      <w:szCs w:val="22"/>
    </w:rPr>
  </w:style>
  <w:style w:type="character" w:styleId="Enfasigrassetto">
    <w:name w:val="Strong"/>
    <w:basedOn w:val="Carpredefinitoparagrafo"/>
    <w:uiPriority w:val="22"/>
    <w:qFormat/>
    <w:rsid w:val="00555DA6"/>
    <w:rPr>
      <w:b/>
      <w:bCs/>
    </w:rPr>
  </w:style>
  <w:style w:type="paragraph" w:styleId="Nessunaspaziatura">
    <w:name w:val="No Spacing"/>
    <w:uiPriority w:val="1"/>
    <w:qFormat/>
    <w:rsid w:val="00555DA6"/>
    <w:rPr>
      <w:rFonts w:ascii="Arial" w:eastAsiaTheme="minorEastAsia" w:hAnsi="Arial" w:cs="Arial"/>
      <w:sz w:val="22"/>
      <w:szCs w:val="28"/>
      <w:lang w:bidi="bn-BD"/>
    </w:rPr>
  </w:style>
  <w:style w:type="character" w:styleId="Numeropagina">
    <w:name w:val="page number"/>
    <w:basedOn w:val="Carpredefinitoparagrafo"/>
    <w:rsid w:val="00555DA6"/>
    <w:rPr>
      <w:sz w:val="22"/>
      <w:szCs w:val="22"/>
    </w:rPr>
  </w:style>
  <w:style w:type="character" w:styleId="Collegamentoipertestuale">
    <w:name w:val="Hyperlink"/>
    <w:basedOn w:val="Carpredefinitoparagrafo"/>
    <w:unhideWhenUsed/>
    <w:qFormat/>
    <w:rsid w:val="00555DA6"/>
    <w:rPr>
      <w:color w:val="0000FF" w:themeColor="hyperlink"/>
      <w:u w:val="single"/>
    </w:rPr>
  </w:style>
  <w:style w:type="character" w:styleId="Menzionenonrisolta">
    <w:name w:val="Unresolved Mention"/>
    <w:basedOn w:val="Carpredefinitoparagrafo"/>
    <w:uiPriority w:val="99"/>
    <w:semiHidden/>
    <w:unhideWhenUsed/>
    <w:rsid w:val="00555DA6"/>
    <w:rPr>
      <w:color w:val="605E5C"/>
      <w:shd w:val="clear" w:color="auto" w:fill="E1DFDD"/>
    </w:rPr>
  </w:style>
  <w:style w:type="character" w:styleId="Collegamentovisitato">
    <w:name w:val="FollowedHyperlink"/>
    <w:basedOn w:val="Carpredefinitoparagrafo"/>
    <w:uiPriority w:val="99"/>
    <w:semiHidden/>
    <w:unhideWhenUsed/>
    <w:rsid w:val="00555DA6"/>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555DA6"/>
    <w:pPr>
      <w:spacing w:after="160" w:line="240" w:lineRule="exact"/>
    </w:pPr>
    <w:rPr>
      <w:sz w:val="20"/>
      <w:szCs w:val="20"/>
      <w:vertAlign w:val="superscript"/>
    </w:rPr>
  </w:style>
  <w:style w:type="character" w:customStyle="1" w:styleId="cf01">
    <w:name w:val="cf01"/>
    <w:basedOn w:val="Carpredefinitoparagrafo"/>
    <w:rsid w:val="00555D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92221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C:\Users\MAGUIAR\United Nations\UNEP-UNMFS-Shared_drives - DRIVE J - Meeting\95th\Templates\Eec95G.dotm</Template>
  <TotalTime>50</TotalTime>
  <Pages>14</Pages>
  <Words>6720</Words>
  <Characters>35886</Characters>
  <Application>Microsoft Office Word</Application>
  <DocSecurity>0</DocSecurity>
  <Lines>1087</Lines>
  <Paragraphs>698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Addenda - Propositions de projet : Chine</vt:lpstr>
      <vt:lpstr>Addendum - Project proposals: China</vt:lpstr>
    </vt:vector>
  </TitlesOfParts>
  <Manager/>
  <Company/>
  <LinksUpToDate>false</LinksUpToDate>
  <CharactersWithSpaces>41908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Addenda - Propositions de projet : Chine</dc:title>
  <dc:subject/>
  <dc:creator/>
  <cp:keywords/>
  <dc:description/>
  <cp:lastModifiedBy>Renato Delcò</cp:lastModifiedBy>
  <cp:revision>150</cp:revision>
  <cp:lastPrinted>2001-05-26T16:40:00Z</cp:lastPrinted>
  <dcterms:created xsi:type="dcterms:W3CDTF">2024-11-21T21:49:00Z</dcterms:created>
  <dcterms:modified xsi:type="dcterms:W3CDTF">2024-11-26T15:46:00Z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UNEP/OzL.Pro/ExCom/95/47/Add.1</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