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06/relationships/ui/userCustomization" Target="userCustomization/customUI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65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1546"/>
        <w:gridCol w:w="3537"/>
        <w:gridCol w:w="4482"/>
      </w:tblGrid>
      <w:tr w:rsidR="00C47B12" w14:paraId="42AB295C" w14:textId="77777777" w:rsidTr="00917132">
        <w:trPr>
          <w:trHeight w:val="743"/>
        </w:trPr>
        <w:tc>
          <w:tcPr>
            <w:tcW w:w="5083" w:type="dxa"/>
            <w:gridSpan w:val="2"/>
            <w:tcBorders>
              <w:bottom w:val="single" w:sz="18" w:space="0" w:color="auto"/>
            </w:tcBorders>
          </w:tcPr>
          <w:p w14:paraId="2B514359" w14:textId="77777777" w:rsidR="00C47B12" w:rsidRDefault="00C47B12" w:rsidP="00835B8E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28"/>
                <w:szCs w:val="28"/>
              </w:rPr>
            </w:pPr>
            <w:r>
              <w:rPr>
                <w:rFonts w:ascii="Univers" w:hAnsi="Univers"/>
                <w:b/>
                <w:sz w:val="28"/>
                <w:szCs w:val="28"/>
              </w:rPr>
              <w:t>NATIONS</w:t>
            </w:r>
          </w:p>
          <w:p w14:paraId="67916860" w14:textId="77777777" w:rsidR="00C47B12" w:rsidRDefault="00C47B12" w:rsidP="00835B8E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</w:rPr>
            </w:pPr>
            <w:r>
              <w:rPr>
                <w:rFonts w:ascii="Univers" w:hAnsi="Univers"/>
                <w:b/>
                <w:sz w:val="28"/>
                <w:szCs w:val="28"/>
              </w:rPr>
              <w:t xml:space="preserve">UNIES </w:t>
            </w:r>
          </w:p>
        </w:tc>
        <w:tc>
          <w:tcPr>
            <w:tcW w:w="4482" w:type="dxa"/>
            <w:tcBorders>
              <w:bottom w:val="single" w:sz="18" w:space="0" w:color="auto"/>
            </w:tcBorders>
          </w:tcPr>
          <w:p w14:paraId="505E09CF" w14:textId="510223BD" w:rsidR="00C47B12" w:rsidRDefault="00C47B12" w:rsidP="007B3827">
            <w:pPr>
              <w:tabs>
                <w:tab w:val="left" w:pos="3010"/>
              </w:tabs>
              <w:jc w:val="right"/>
              <w:rPr>
                <w:sz w:val="52"/>
                <w:szCs w:val="52"/>
              </w:rPr>
            </w:pPr>
            <w:r>
              <w:rPr>
                <w:rFonts w:ascii="Univers Bold" w:hAnsi="Univers Bold"/>
                <w:b/>
                <w:sz w:val="72"/>
                <w:lang w:val="fr-CA"/>
              </w:rPr>
              <w:t>EP</w:t>
            </w:r>
          </w:p>
        </w:tc>
      </w:tr>
      <w:tr w:rsidR="00C47B12" w:rsidRPr="00CB5C08" w14:paraId="051387C7" w14:textId="77777777" w:rsidTr="009171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10"/>
        </w:trPr>
        <w:tc>
          <w:tcPr>
            <w:tcW w:w="1546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B5E7C20" w14:textId="41333BB5" w:rsidR="00C47B12" w:rsidRDefault="00572152" w:rsidP="00835B8E">
            <w:pPr>
              <w:spacing w:before="120"/>
            </w:pPr>
            <w:r>
              <w:rPr>
                <w:noProof/>
                <w:lang w:val="en-CA" w:eastAsia="en-CA"/>
              </w:rPr>
              <w:drawing>
                <wp:anchor distT="0" distB="0" distL="114300" distR="114300" simplePos="0" relativeHeight="251657216" behindDoc="0" locked="0" layoutInCell="1" allowOverlap="1" wp14:anchorId="7C833634" wp14:editId="2D143F9A">
                  <wp:simplePos x="0" y="0"/>
                  <wp:positionH relativeFrom="column">
                    <wp:posOffset>21756</wp:posOffset>
                  </wp:positionH>
                  <wp:positionV relativeFrom="paragraph">
                    <wp:posOffset>968790</wp:posOffset>
                  </wp:positionV>
                  <wp:extent cx="800100" cy="705485"/>
                  <wp:effectExtent l="0" t="0" r="0" b="0"/>
                  <wp:wrapNone/>
                  <wp:docPr id="4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054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482A88">
              <w:rPr>
                <w:noProof/>
                <w:lang w:val="en-CA" w:eastAsia="en-CA"/>
              </w:rPr>
              <w:drawing>
                <wp:anchor distT="0" distB="0" distL="114300" distR="114300" simplePos="0" relativeHeight="251666432" behindDoc="1" locked="0" layoutInCell="0" allowOverlap="1" wp14:anchorId="73F6EBA3" wp14:editId="54E75568">
                  <wp:simplePos x="0" y="0"/>
                  <wp:positionH relativeFrom="column">
                    <wp:posOffset>-3782</wp:posOffset>
                  </wp:positionH>
                  <wp:positionV relativeFrom="paragraph">
                    <wp:posOffset>143538</wp:posOffset>
                  </wp:positionV>
                  <wp:extent cx="760809" cy="676275"/>
                  <wp:effectExtent l="0" t="0" r="1270" b="0"/>
                  <wp:wrapNone/>
                  <wp:docPr id="5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809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537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E14FE30" w14:textId="77777777" w:rsidR="00C47B12" w:rsidRDefault="00C47B12" w:rsidP="00835B8E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Programme des</w:t>
            </w:r>
          </w:p>
          <w:p w14:paraId="36687C10" w14:textId="77777777" w:rsidR="00C47B12" w:rsidRDefault="00C47B12" w:rsidP="00835B8E">
            <w:pPr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Nations Unies pour</w:t>
            </w:r>
          </w:p>
          <w:p w14:paraId="616C389E" w14:textId="77777777" w:rsidR="00C47B12" w:rsidRDefault="00C47B12" w:rsidP="00835B8E">
            <w:pPr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l’environnement</w:t>
            </w:r>
          </w:p>
          <w:p w14:paraId="0FC4F831" w14:textId="77777777" w:rsidR="00C47B12" w:rsidRDefault="00C47B12" w:rsidP="00835B8E">
            <w:pPr>
              <w:spacing w:before="720"/>
              <w:ind w:left="158"/>
              <w:rPr>
                <w:lang w:val="fr-FR"/>
              </w:rPr>
            </w:pPr>
            <w:r>
              <w:rPr>
                <w:lang w:val="fr-FR"/>
              </w:rPr>
              <w:t xml:space="preserve"> </w:t>
            </w:r>
          </w:p>
        </w:tc>
        <w:tc>
          <w:tcPr>
            <w:tcW w:w="448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1529A5C" w14:textId="77777777" w:rsidR="00C47B12" w:rsidRPr="00DD3433" w:rsidRDefault="00C47B12" w:rsidP="00835B8E">
            <w:pPr>
              <w:rPr>
                <w:lang w:val="fr-FR"/>
              </w:rPr>
            </w:pPr>
            <w:r w:rsidRPr="00DD3433">
              <w:rPr>
                <w:lang w:val="fr-FR"/>
              </w:rPr>
              <w:t>Distr.</w:t>
            </w:r>
          </w:p>
          <w:p w14:paraId="18F89351" w14:textId="77777777" w:rsidR="00C47B12" w:rsidRPr="00DD3433" w:rsidRDefault="00C47B12" w:rsidP="00835B8E">
            <w:pPr>
              <w:rPr>
                <w:lang w:val="fr-FR"/>
              </w:rPr>
            </w:pPr>
            <w:r w:rsidRPr="00DD3433">
              <w:rPr>
                <w:lang w:val="fr-FR"/>
              </w:rPr>
              <w:t>GÉNÉRALE</w:t>
            </w:r>
          </w:p>
          <w:p w14:paraId="13384061" w14:textId="77777777" w:rsidR="00C47B12" w:rsidRPr="00DD3433" w:rsidRDefault="00C47B12" w:rsidP="00835B8E">
            <w:pPr>
              <w:rPr>
                <w:lang w:val="fr-FR"/>
              </w:rPr>
            </w:pPr>
          </w:p>
          <w:p w14:paraId="700A7452" w14:textId="3E49BA19" w:rsidR="00C47B12" w:rsidRPr="000615BB" w:rsidRDefault="00C47B12" w:rsidP="00835B8E">
            <w:pPr>
              <w:rPr>
                <w:lang w:val="pt-BR"/>
              </w:rPr>
            </w:pPr>
            <w:r>
              <w:fldChar w:fldCharType="begin"/>
            </w:r>
            <w:r w:rsidRPr="000615BB">
              <w:rPr>
                <w:lang w:val="pt-BR"/>
              </w:rPr>
              <w:instrText xml:space="preserve"> DOCPROPERTY "Document number"  \* MERGEFORMAT </w:instrText>
            </w:r>
            <w:r>
              <w:fldChar w:fldCharType="separate"/>
            </w:r>
            <w:r w:rsidR="00EC75C8">
              <w:rPr>
                <w:lang w:val="pt-BR"/>
              </w:rPr>
              <w:t>UNEP/OzL.Pro/ExCom/84/22/Add.3</w:t>
            </w:r>
            <w:r>
              <w:fldChar w:fldCharType="end"/>
            </w:r>
          </w:p>
          <w:p w14:paraId="5C1D58A3" w14:textId="06120361" w:rsidR="00C47B12" w:rsidRPr="00A16163" w:rsidRDefault="00C47B12" w:rsidP="008F1579">
            <w:pPr>
              <w:rPr>
                <w:lang w:val="pt-BR"/>
              </w:rPr>
            </w:pPr>
            <w:r>
              <w:fldChar w:fldCharType="begin"/>
            </w:r>
            <w:r w:rsidRPr="00A16163">
              <w:rPr>
                <w:lang w:val="pt-BR"/>
              </w:rPr>
              <w:instrText xml:space="preserve"> DOCPROPERTY "Revision date" \@ "d MMMM YYYY"  \* MERGEFORMAT </w:instrText>
            </w:r>
            <w:r>
              <w:fldChar w:fldCharType="separate"/>
            </w:r>
            <w:r w:rsidR="008F1579">
              <w:rPr>
                <w:lang w:val="pt-BR"/>
              </w:rPr>
              <w:t>13 dé</w:t>
            </w:r>
            <w:bookmarkStart w:id="0" w:name="_GoBack"/>
            <w:bookmarkEnd w:id="0"/>
            <w:r w:rsidR="008F1579">
              <w:rPr>
                <w:lang w:val="pt-BR"/>
              </w:rPr>
              <w:t>ce</w:t>
            </w:r>
            <w:r w:rsidR="00EC75C8">
              <w:rPr>
                <w:lang w:val="pt-BR"/>
              </w:rPr>
              <w:t>mbr</w:t>
            </w:r>
            <w:r w:rsidR="008F1579">
              <w:rPr>
                <w:lang w:val="pt-BR"/>
              </w:rPr>
              <w:t>e</w:t>
            </w:r>
            <w:r w:rsidR="00EC75C8">
              <w:rPr>
                <w:lang w:val="pt-BR"/>
              </w:rPr>
              <w:t xml:space="preserve"> 2019</w:t>
            </w:r>
            <w:r>
              <w:fldChar w:fldCharType="end"/>
            </w:r>
          </w:p>
          <w:p w14:paraId="6CDE3FCD" w14:textId="77777777" w:rsidR="00C47B12" w:rsidRDefault="00C47B12" w:rsidP="00835B8E">
            <w:pPr>
              <w:rPr>
                <w:caps/>
                <w:lang w:val="fr-FR"/>
              </w:rPr>
            </w:pPr>
            <w:r w:rsidRPr="00A16163">
              <w:rPr>
                <w:caps/>
                <w:lang w:val="pt-BR"/>
              </w:rPr>
              <w:br/>
            </w:r>
            <w:r>
              <w:rPr>
                <w:caps/>
                <w:lang w:val="fr-FR"/>
              </w:rPr>
              <w:t>FRANÇAIS</w:t>
            </w:r>
          </w:p>
          <w:p w14:paraId="25428C77" w14:textId="77777777" w:rsidR="00C47B12" w:rsidRPr="00CB5C08" w:rsidRDefault="00C47B12" w:rsidP="00835B8E">
            <w:pPr>
              <w:rPr>
                <w:lang w:val="fr-CA"/>
              </w:rPr>
            </w:pPr>
            <w:r w:rsidRPr="00CB5C08">
              <w:rPr>
                <w:lang w:val="fr-CA"/>
              </w:rPr>
              <w:t>ORIGINAL</w:t>
            </w:r>
            <w:r>
              <w:rPr>
                <w:lang w:val="fr-CA"/>
              </w:rPr>
              <w:t>:</w:t>
            </w:r>
            <w:r w:rsidRPr="00CB5C08">
              <w:rPr>
                <w:lang w:val="fr-CA"/>
              </w:rPr>
              <w:t xml:space="preserve"> ANGLAIS</w:t>
            </w:r>
          </w:p>
        </w:tc>
      </w:tr>
    </w:tbl>
    <w:p w14:paraId="682CD4D1" w14:textId="77777777" w:rsidR="00C47B12" w:rsidRDefault="00C47B12" w:rsidP="00C47B12">
      <w:pPr>
        <w:jc w:val="left"/>
        <w:rPr>
          <w:lang w:val="fr-CA"/>
        </w:rPr>
      </w:pPr>
      <w:r>
        <w:rPr>
          <w:lang w:val="fr-CA"/>
        </w:rPr>
        <w:t xml:space="preserve">COMITÉ EXÉCUTIF </w:t>
      </w:r>
      <w:r>
        <w:rPr>
          <w:lang w:val="fr-CA"/>
        </w:rPr>
        <w:br/>
        <w:t xml:space="preserve">  DU FONDS MULTILATÉRAL AUX FINS </w:t>
      </w:r>
      <w:r>
        <w:rPr>
          <w:lang w:val="fr-CA"/>
        </w:rPr>
        <w:br/>
        <w:t xml:space="preserve">  D’APPLICATION DU PROTOCOLE DE MONTRÉAL</w:t>
      </w:r>
      <w:r>
        <w:rPr>
          <w:lang w:val="fr-CA"/>
        </w:rPr>
        <w:br/>
        <w:t>Quatre-vingt-quatrième</w:t>
      </w:r>
      <w:r w:rsidRPr="00FC5578">
        <w:rPr>
          <w:lang w:val="fr-CA"/>
        </w:rPr>
        <w:t xml:space="preserve"> </w:t>
      </w:r>
      <w:r>
        <w:rPr>
          <w:lang w:val="fr-CA"/>
        </w:rPr>
        <w:t>réunion</w:t>
      </w:r>
    </w:p>
    <w:p w14:paraId="1AED3A08" w14:textId="77777777" w:rsidR="00C47B12" w:rsidRPr="00FB3F7F" w:rsidRDefault="00C47B12" w:rsidP="00C47B12">
      <w:pPr>
        <w:jc w:val="left"/>
        <w:rPr>
          <w:lang w:val="fr-CA"/>
        </w:rPr>
      </w:pPr>
      <w:r w:rsidRPr="00FB3F7F">
        <w:rPr>
          <w:lang w:val="fr-CA"/>
        </w:rPr>
        <w:t>Montréal, 16 – 20 décembre 2019</w:t>
      </w:r>
    </w:p>
    <w:p w14:paraId="19D81229" w14:textId="77777777" w:rsidR="00C47B12" w:rsidRPr="00FB3F7F" w:rsidRDefault="00C47B12" w:rsidP="00C47B12">
      <w:pPr>
        <w:jc w:val="left"/>
        <w:rPr>
          <w:lang w:val="fr-CA"/>
        </w:rPr>
      </w:pPr>
    </w:p>
    <w:p w14:paraId="113D6CCA" w14:textId="77777777" w:rsidR="00C47B12" w:rsidRPr="00FB3F7F" w:rsidRDefault="00C47B12" w:rsidP="00C47B12">
      <w:pPr>
        <w:pStyle w:val="Heading3"/>
        <w:numPr>
          <w:ilvl w:val="0"/>
          <w:numId w:val="0"/>
        </w:numPr>
        <w:spacing w:after="0"/>
        <w:rPr>
          <w:lang w:val="fr-CA"/>
        </w:rPr>
      </w:pPr>
    </w:p>
    <w:p w14:paraId="484A7B78" w14:textId="77777777" w:rsidR="00722CF2" w:rsidRPr="007B3827" w:rsidRDefault="00722CF2" w:rsidP="00482A88">
      <w:pPr>
        <w:tabs>
          <w:tab w:val="left" w:pos="8280"/>
        </w:tabs>
        <w:spacing w:after="240"/>
        <w:jc w:val="center"/>
        <w:rPr>
          <w:b/>
          <w:lang w:val="fr-CA"/>
        </w:rPr>
      </w:pPr>
      <w:r w:rsidRPr="007B3827">
        <w:rPr>
          <w:b/>
          <w:lang w:val="fr-CA"/>
        </w:rPr>
        <w:t>Addendum</w:t>
      </w:r>
    </w:p>
    <w:p w14:paraId="5D577482" w14:textId="77777777" w:rsidR="00C47B12" w:rsidRPr="007B3827" w:rsidRDefault="00C47B12" w:rsidP="00482A88">
      <w:pPr>
        <w:jc w:val="center"/>
        <w:rPr>
          <w:b/>
          <w:lang w:val="fr-CA"/>
        </w:rPr>
      </w:pPr>
      <w:r w:rsidRPr="007B3827">
        <w:rPr>
          <w:b/>
          <w:lang w:val="fr-CA"/>
        </w:rPr>
        <w:t>RAPPORT SUR LA PRODUCTION DE TÉTRACHLORURE DE CARBONE EN CHINE ET</w:t>
      </w:r>
    </w:p>
    <w:p w14:paraId="0CD98C44" w14:textId="2C2CCB25" w:rsidR="00741F73" w:rsidRPr="00953236" w:rsidRDefault="00C47B12" w:rsidP="00482A88">
      <w:pPr>
        <w:spacing w:after="240"/>
        <w:jc w:val="center"/>
        <w:rPr>
          <w:b/>
          <w:lang w:val="fr-FR"/>
        </w:rPr>
      </w:pPr>
      <w:r w:rsidRPr="00953236">
        <w:rPr>
          <w:b/>
          <w:lang w:val="fr-FR"/>
        </w:rPr>
        <w:t>SES UTILISATIONS COMME MATIÈRE PREMIÈRE (DÉCISION 75/18 b) iii))</w:t>
      </w:r>
    </w:p>
    <w:p w14:paraId="0DCDC2EB" w14:textId="443A39BA" w:rsidR="00D12804" w:rsidRPr="007B3827" w:rsidRDefault="009C7A46" w:rsidP="00482A88">
      <w:pPr>
        <w:spacing w:after="240"/>
        <w:rPr>
          <w:lang w:val="fr-CA"/>
        </w:rPr>
      </w:pPr>
      <w:r w:rsidRPr="00953236">
        <w:rPr>
          <w:lang w:val="fr-FR"/>
        </w:rPr>
        <w:tab/>
      </w:r>
      <w:r w:rsidR="00FB3829" w:rsidRPr="007B3827">
        <w:rPr>
          <w:lang w:val="fr-CA"/>
        </w:rPr>
        <w:t>Le présent document a pour objet de communiquer l’information reçue après la diffusion du document</w:t>
      </w:r>
      <w:r w:rsidR="00CB7150" w:rsidRPr="007B3827">
        <w:rPr>
          <w:lang w:val="fr-CA"/>
        </w:rPr>
        <w:t> UNEP/OzL.Pro/ExCom/84/22/Add.2</w:t>
      </w:r>
      <w:r w:rsidR="00FB3829" w:rsidRPr="007B3827">
        <w:rPr>
          <w:lang w:val="fr-CA"/>
        </w:rPr>
        <w:t>, comme suit :</w:t>
      </w:r>
    </w:p>
    <w:p w14:paraId="4F8D9A03" w14:textId="6DCEB267" w:rsidR="009C7A46" w:rsidRPr="00953236" w:rsidRDefault="009C7A46" w:rsidP="00482A88">
      <w:pPr>
        <w:pStyle w:val="ListParagraph"/>
        <w:numPr>
          <w:ilvl w:val="0"/>
          <w:numId w:val="45"/>
        </w:numPr>
        <w:spacing w:after="240"/>
        <w:contextualSpacing w:val="0"/>
        <w:rPr>
          <w:lang w:val="fr-FR"/>
        </w:rPr>
      </w:pPr>
      <w:r w:rsidRPr="007B3827">
        <w:rPr>
          <w:b/>
          <w:lang w:val="fr-CA"/>
        </w:rPr>
        <w:t>A</w:t>
      </w:r>
      <w:r w:rsidR="00FB3829" w:rsidRPr="007B3827">
        <w:rPr>
          <w:b/>
          <w:lang w:val="fr-CA"/>
        </w:rPr>
        <w:t>jouter</w:t>
      </w:r>
      <w:r w:rsidR="00E40348" w:rsidRPr="007B3827">
        <w:rPr>
          <w:lang w:val="fr-CA"/>
        </w:rPr>
        <w:t xml:space="preserve"> </w:t>
      </w:r>
      <w:r w:rsidR="00FB3829" w:rsidRPr="007B3827">
        <w:rPr>
          <w:lang w:val="fr-CA"/>
        </w:rPr>
        <w:t xml:space="preserve">le paragraphe suivant après le paragraphe 25. </w:t>
      </w:r>
    </w:p>
    <w:p w14:paraId="027B12F4" w14:textId="3F86AF14" w:rsidR="00561D1D" w:rsidRPr="00953236" w:rsidRDefault="00FB3829" w:rsidP="00482A88">
      <w:pPr>
        <w:spacing w:after="240"/>
        <w:rPr>
          <w:b/>
          <w:lang w:val="fr-FR"/>
        </w:rPr>
      </w:pPr>
      <w:r w:rsidRPr="00953236">
        <w:rPr>
          <w:b/>
          <w:lang w:val="fr-FR"/>
        </w:rPr>
        <w:t>Résumé</w:t>
      </w:r>
    </w:p>
    <w:p w14:paraId="58B06E25" w14:textId="6051CEB0" w:rsidR="00DB2130" w:rsidRPr="007B3827" w:rsidRDefault="005845AA" w:rsidP="00482A88">
      <w:pPr>
        <w:spacing w:after="240"/>
        <w:rPr>
          <w:lang w:val="fr-CA"/>
        </w:rPr>
      </w:pPr>
      <w:r w:rsidRPr="00953236">
        <w:rPr>
          <w:lang w:val="fr-FR"/>
        </w:rPr>
        <w:t>25</w:t>
      </w:r>
      <w:r w:rsidR="002D4FDD" w:rsidRPr="00953236">
        <w:rPr>
          <w:lang w:val="fr-FR"/>
        </w:rPr>
        <w:t>(</w:t>
      </w:r>
      <w:r w:rsidR="00CB7150" w:rsidRPr="00953236">
        <w:rPr>
          <w:lang w:val="fr-FR"/>
        </w:rPr>
        <w:t>bis</w:t>
      </w:r>
      <w:r w:rsidR="002D4FDD" w:rsidRPr="00953236">
        <w:rPr>
          <w:lang w:val="fr-FR"/>
        </w:rPr>
        <w:t xml:space="preserve">).   </w:t>
      </w:r>
      <w:r w:rsidR="00C46EB3" w:rsidRPr="007B3827">
        <w:rPr>
          <w:lang w:val="fr-CA"/>
        </w:rPr>
        <w:t>À peu près les deux tiers du CTC produit sont reconvertis en produits chimiques en vrac sans SAO dans des installations de production de CM : chlorure de méthyle</w:t>
      </w:r>
      <w:r w:rsidR="00DB2130" w:rsidRPr="007B3827">
        <w:rPr>
          <w:lang w:val="fr-CA"/>
        </w:rPr>
        <w:t xml:space="preserve"> </w:t>
      </w:r>
      <w:r w:rsidR="00C46EB3" w:rsidRPr="007B3827">
        <w:rPr>
          <w:lang w:val="fr-CA"/>
        </w:rPr>
        <w:t xml:space="preserve">ou acide chlorhydrique </w:t>
      </w:r>
      <w:r w:rsidR="00DB2130" w:rsidRPr="007B3827">
        <w:rPr>
          <w:lang w:val="fr-CA"/>
        </w:rPr>
        <w:t>(HCl), perchloro</w:t>
      </w:r>
      <w:r w:rsidR="00C46EB3" w:rsidRPr="007B3827">
        <w:rPr>
          <w:lang w:val="fr-CA"/>
        </w:rPr>
        <w:t>é</w:t>
      </w:r>
      <w:r w:rsidR="00DB2130" w:rsidRPr="007B3827">
        <w:rPr>
          <w:lang w:val="fr-CA"/>
        </w:rPr>
        <w:t>thyl</w:t>
      </w:r>
      <w:r w:rsidR="00C46EB3" w:rsidRPr="007B3827">
        <w:rPr>
          <w:lang w:val="fr-CA"/>
        </w:rPr>
        <w:t>è</w:t>
      </w:r>
      <w:r w:rsidR="00DB2130" w:rsidRPr="007B3827">
        <w:rPr>
          <w:lang w:val="fr-CA"/>
        </w:rPr>
        <w:t xml:space="preserve">ne (PCE), </w:t>
      </w:r>
      <w:r w:rsidR="005E7D9E" w:rsidRPr="007B3827">
        <w:rPr>
          <w:lang w:val="fr-CA"/>
        </w:rPr>
        <w:t>et</w:t>
      </w:r>
      <w:r w:rsidR="00DB2130" w:rsidRPr="007B3827">
        <w:rPr>
          <w:lang w:val="fr-CA"/>
        </w:rPr>
        <w:t xml:space="preserve"> chloroform</w:t>
      </w:r>
      <w:r w:rsidR="00C46EB3" w:rsidRPr="007B3827">
        <w:rPr>
          <w:lang w:val="fr-CA"/>
        </w:rPr>
        <w:t>e</w:t>
      </w:r>
      <w:r w:rsidR="00DB2130" w:rsidRPr="007B3827">
        <w:rPr>
          <w:lang w:val="fr-CA"/>
        </w:rPr>
        <w:t xml:space="preserve">; </w:t>
      </w:r>
      <w:r w:rsidR="004F2AD3" w:rsidRPr="007B3827">
        <w:rPr>
          <w:lang w:val="fr-CA"/>
        </w:rPr>
        <w:t>et de petites quantités en</w:t>
      </w:r>
      <w:r w:rsidR="00DB2130" w:rsidRPr="007B3827">
        <w:rPr>
          <w:lang w:val="fr-CA"/>
        </w:rPr>
        <w:t xml:space="preserve"> HFC-245fa </w:t>
      </w:r>
      <w:r w:rsidR="004F2AD3" w:rsidRPr="007B3827">
        <w:rPr>
          <w:lang w:val="fr-CA"/>
        </w:rPr>
        <w:t>et</w:t>
      </w:r>
      <w:r w:rsidR="00DB2130" w:rsidRPr="007B3827">
        <w:rPr>
          <w:lang w:val="fr-CA"/>
        </w:rPr>
        <w:t xml:space="preserve"> HFC-365mfc. </w:t>
      </w:r>
      <w:r w:rsidR="004F2AD3" w:rsidRPr="007B3827">
        <w:rPr>
          <w:lang w:val="fr-CA"/>
        </w:rPr>
        <w:t>La reconversion en PCE correspond à plus de la moitié du CTC reconverti par les producteurs de CM, le chlorure de méthyle ou l’acide chlorhydrique comptant pour 28</w:t>
      </w:r>
      <w:r w:rsidR="00E24558" w:rsidRPr="007B3827">
        <w:rPr>
          <w:lang w:val="fr-CA"/>
        </w:rPr>
        <w:t> </w:t>
      </w:r>
      <w:r w:rsidR="004F2AD3" w:rsidRPr="007B3827">
        <w:rPr>
          <w:lang w:val="fr-CA"/>
        </w:rPr>
        <w:t>% et le chloroforme pour 16</w:t>
      </w:r>
      <w:r w:rsidR="00E24558" w:rsidRPr="007B3827">
        <w:rPr>
          <w:lang w:val="fr-CA"/>
        </w:rPr>
        <w:t> </w:t>
      </w:r>
      <w:r w:rsidR="004F2AD3" w:rsidRPr="007B3827">
        <w:rPr>
          <w:lang w:val="fr-CA"/>
        </w:rPr>
        <w:t>%.</w:t>
      </w:r>
      <w:r w:rsidR="002746BE" w:rsidRPr="007B3827">
        <w:rPr>
          <w:lang w:val="fr-CA"/>
        </w:rPr>
        <w:t xml:space="preserve"> Le reste, </w:t>
      </w:r>
      <w:r w:rsidR="00E24558" w:rsidRPr="007B3827">
        <w:rPr>
          <w:lang w:val="fr-CA"/>
        </w:rPr>
        <w:t xml:space="preserve">soit le tiers du </w:t>
      </w:r>
      <w:r w:rsidR="00DB2130" w:rsidRPr="007B3827">
        <w:rPr>
          <w:lang w:val="fr-CA"/>
        </w:rPr>
        <w:t xml:space="preserve">CTC </w:t>
      </w:r>
      <w:r w:rsidR="00E24558" w:rsidRPr="007B3827">
        <w:rPr>
          <w:lang w:val="fr-CA"/>
        </w:rPr>
        <w:t>produit, est utilisé comme matière première par 21</w:t>
      </w:r>
      <w:r w:rsidR="000615BB" w:rsidRPr="007B3827">
        <w:rPr>
          <w:lang w:val="fr-CA"/>
        </w:rPr>
        <w:t> </w:t>
      </w:r>
      <w:r w:rsidR="00E24558" w:rsidRPr="007B3827">
        <w:rPr>
          <w:lang w:val="fr-CA"/>
        </w:rPr>
        <w:t xml:space="preserve">utilisateurs </w:t>
      </w:r>
      <w:r w:rsidR="000615BB" w:rsidRPr="007B3827">
        <w:rPr>
          <w:lang w:val="fr-CA"/>
        </w:rPr>
        <w:t xml:space="preserve">déclarés en tant que producteur </w:t>
      </w:r>
      <w:r w:rsidR="00E24558" w:rsidRPr="007B3827">
        <w:rPr>
          <w:lang w:val="fr-CA"/>
        </w:rPr>
        <w:t>de 11 substances chimiques sans SAO</w:t>
      </w:r>
      <w:r w:rsidR="00DB2130" w:rsidRPr="007B3827">
        <w:rPr>
          <w:lang w:val="fr-CA"/>
        </w:rPr>
        <w:t xml:space="preserve">, </w:t>
      </w:r>
      <w:r w:rsidR="00E24558" w:rsidRPr="007B3827">
        <w:rPr>
          <w:lang w:val="fr-CA"/>
        </w:rPr>
        <w:t>le</w:t>
      </w:r>
      <w:r w:rsidR="00DB2130" w:rsidRPr="007B3827">
        <w:rPr>
          <w:lang w:val="fr-CA"/>
        </w:rPr>
        <w:t xml:space="preserve"> PCE </w:t>
      </w:r>
      <w:r w:rsidR="00E24558" w:rsidRPr="007B3827">
        <w:rPr>
          <w:lang w:val="fr-CA"/>
        </w:rPr>
        <w:t>et le</w:t>
      </w:r>
      <w:r w:rsidR="00DB2130" w:rsidRPr="007B3827">
        <w:rPr>
          <w:lang w:val="fr-CA"/>
        </w:rPr>
        <w:t xml:space="preserve"> HFC-245fa</w:t>
      </w:r>
      <w:r w:rsidR="007B3827">
        <w:rPr>
          <w:lang w:val="fr-CA"/>
        </w:rPr>
        <w:t xml:space="preserve"> correspondant à environ 70 % </w:t>
      </w:r>
      <w:r w:rsidR="00E24558" w:rsidRPr="007B3827">
        <w:rPr>
          <w:lang w:val="fr-CA"/>
        </w:rPr>
        <w:t>de cette utilisation</w:t>
      </w:r>
      <w:r w:rsidR="00DB2130" w:rsidRPr="007B3827">
        <w:rPr>
          <w:lang w:val="fr-CA"/>
        </w:rPr>
        <w:t>.</w:t>
      </w:r>
      <w:r w:rsidR="00450624" w:rsidRPr="007B3827">
        <w:rPr>
          <w:lang w:val="fr-CA"/>
        </w:rPr>
        <w:t xml:space="preserve"> Le </w:t>
      </w:r>
      <w:r w:rsidR="00DB2130" w:rsidRPr="007B3827">
        <w:rPr>
          <w:lang w:val="fr-CA"/>
        </w:rPr>
        <w:t xml:space="preserve">CTC </w:t>
      </w:r>
      <w:r w:rsidR="00450624" w:rsidRPr="007B3827">
        <w:rPr>
          <w:lang w:val="fr-CA"/>
        </w:rPr>
        <w:t xml:space="preserve">est également employé comme agent de transformation et </w:t>
      </w:r>
      <w:r w:rsidR="000615BB" w:rsidRPr="007B3827">
        <w:rPr>
          <w:lang w:val="fr-CA"/>
        </w:rPr>
        <w:t xml:space="preserve">pour les usages en laboratoire et aux fins d’analyse </w:t>
      </w:r>
      <w:r w:rsidR="00450624" w:rsidRPr="007B3827">
        <w:rPr>
          <w:lang w:val="fr-CA"/>
        </w:rPr>
        <w:t>qui font l’objet de dérogations.</w:t>
      </w:r>
      <w:r w:rsidR="00DB2130" w:rsidRPr="007B3827">
        <w:rPr>
          <w:lang w:val="fr-CA"/>
        </w:rPr>
        <w:t xml:space="preserve"> </w:t>
      </w:r>
      <w:r w:rsidR="00450624" w:rsidRPr="007B3827">
        <w:rPr>
          <w:lang w:val="fr-CA"/>
        </w:rPr>
        <w:t xml:space="preserve">Ces utilisations </w:t>
      </w:r>
      <w:r w:rsidR="000615BB" w:rsidRPr="007B3827">
        <w:rPr>
          <w:lang w:val="fr-CA"/>
        </w:rPr>
        <w:t>équivalent à</w:t>
      </w:r>
      <w:r w:rsidR="00450624" w:rsidRPr="007B3827">
        <w:rPr>
          <w:lang w:val="fr-CA"/>
        </w:rPr>
        <w:t xml:space="preserve"> moins de 0,5 % du CTC utilisé en Chine</w:t>
      </w:r>
      <w:r w:rsidR="00DB2130" w:rsidRPr="007B3827">
        <w:rPr>
          <w:lang w:val="fr-CA"/>
        </w:rPr>
        <w:t xml:space="preserve">. </w:t>
      </w:r>
    </w:p>
    <w:p w14:paraId="359FCE9E" w14:textId="150CA7A9" w:rsidR="00783F60" w:rsidRPr="007B3827" w:rsidRDefault="00783F60" w:rsidP="00482A88">
      <w:pPr>
        <w:pStyle w:val="ListParagraph"/>
        <w:numPr>
          <w:ilvl w:val="0"/>
          <w:numId w:val="45"/>
        </w:numPr>
        <w:spacing w:after="240"/>
        <w:contextualSpacing w:val="0"/>
        <w:rPr>
          <w:lang w:val="fr-CA"/>
        </w:rPr>
      </w:pPr>
      <w:r w:rsidRPr="007B3827">
        <w:rPr>
          <w:b/>
          <w:lang w:val="fr-CA"/>
        </w:rPr>
        <w:t>A</w:t>
      </w:r>
      <w:r w:rsidR="00450624" w:rsidRPr="007B3827">
        <w:rPr>
          <w:b/>
          <w:lang w:val="fr-CA"/>
        </w:rPr>
        <w:t>jouter</w:t>
      </w:r>
      <w:r w:rsidRPr="007B3827">
        <w:rPr>
          <w:lang w:val="fr-CA"/>
        </w:rPr>
        <w:t xml:space="preserve"> </w:t>
      </w:r>
      <w:r w:rsidR="00450624" w:rsidRPr="007B3827">
        <w:rPr>
          <w:lang w:val="fr-CA"/>
        </w:rPr>
        <w:t xml:space="preserve">les paragraphes suivants après le paragraphe 31 </w:t>
      </w:r>
    </w:p>
    <w:p w14:paraId="39BA6F79" w14:textId="02C73325" w:rsidR="0016516E" w:rsidRPr="007B3827" w:rsidRDefault="005147BC" w:rsidP="00482A88">
      <w:pPr>
        <w:spacing w:after="240"/>
        <w:rPr>
          <w:lang w:val="fr-CA"/>
        </w:rPr>
      </w:pPr>
      <w:r w:rsidRPr="00953236">
        <w:rPr>
          <w:lang w:val="fr-FR"/>
        </w:rPr>
        <w:t>31</w:t>
      </w:r>
      <w:r w:rsidR="002D4FDD" w:rsidRPr="00953236">
        <w:rPr>
          <w:lang w:val="fr-FR"/>
        </w:rPr>
        <w:t>(</w:t>
      </w:r>
      <w:r w:rsidRPr="00953236">
        <w:rPr>
          <w:lang w:val="fr-FR"/>
        </w:rPr>
        <w:t>bis</w:t>
      </w:r>
      <w:r w:rsidR="002D4FDD" w:rsidRPr="00953236">
        <w:rPr>
          <w:lang w:val="fr-FR"/>
        </w:rPr>
        <w:t xml:space="preserve">).   </w:t>
      </w:r>
      <w:r w:rsidR="00BF7BDA" w:rsidRPr="007B3827">
        <w:rPr>
          <w:lang w:val="fr-CA"/>
        </w:rPr>
        <w:t>La Banque mondiale</w:t>
      </w:r>
      <w:r w:rsidR="000615BB" w:rsidRPr="007B3827">
        <w:rPr>
          <w:lang w:val="fr-CA"/>
        </w:rPr>
        <w:t xml:space="preserve"> a notamment indiqué ce qui suit </w:t>
      </w:r>
      <w:r w:rsidR="0016516E" w:rsidRPr="007B3827">
        <w:rPr>
          <w:lang w:val="fr-CA"/>
        </w:rPr>
        <w:t>:</w:t>
      </w:r>
    </w:p>
    <w:p w14:paraId="40534668" w14:textId="515AAED9" w:rsidR="0016516E" w:rsidRPr="007B3827" w:rsidRDefault="00BF7BDA" w:rsidP="00482A88">
      <w:pPr>
        <w:pStyle w:val="Heading2"/>
        <w:rPr>
          <w:lang w:val="fr-CA"/>
        </w:rPr>
      </w:pPr>
      <w:r w:rsidRPr="007B3827">
        <w:rPr>
          <w:lang w:val="fr-CA"/>
        </w:rPr>
        <w:t xml:space="preserve">Le gouvernement </w:t>
      </w:r>
      <w:r w:rsidR="000615BB" w:rsidRPr="007B3827">
        <w:rPr>
          <w:lang w:val="fr-CA"/>
        </w:rPr>
        <w:t>exige</w:t>
      </w:r>
      <w:r w:rsidRPr="007B3827">
        <w:rPr>
          <w:lang w:val="fr-CA"/>
        </w:rPr>
        <w:t xml:space="preserve"> des producteurs et utilisateurs de matières premières </w:t>
      </w:r>
      <w:r w:rsidR="000615BB" w:rsidRPr="007B3827">
        <w:rPr>
          <w:lang w:val="fr-CA"/>
        </w:rPr>
        <w:t>qu’ils</w:t>
      </w:r>
      <w:r w:rsidR="007B3827">
        <w:rPr>
          <w:lang w:val="fr-CA"/>
        </w:rPr>
        <w:t> </w:t>
      </w:r>
      <w:r w:rsidRPr="007B3827">
        <w:rPr>
          <w:lang w:val="fr-CA"/>
        </w:rPr>
        <w:t>communique</w:t>
      </w:r>
      <w:r w:rsidR="000615BB" w:rsidRPr="007B3827">
        <w:rPr>
          <w:lang w:val="fr-CA"/>
        </w:rPr>
        <w:t>nt</w:t>
      </w:r>
      <w:r w:rsidRPr="007B3827">
        <w:rPr>
          <w:lang w:val="fr-CA"/>
        </w:rPr>
        <w:t xml:space="preserve"> tous les trois mois leur production et leur consommation au FECO. Les producteurs de CM ne peuvent vendre de CTC à des utilisateurs de matières premières non </w:t>
      </w:r>
      <w:r w:rsidR="000615BB" w:rsidRPr="007B3827">
        <w:rPr>
          <w:lang w:val="fr-CA"/>
        </w:rPr>
        <w:t>déclarés</w:t>
      </w:r>
      <w:r w:rsidRPr="007B3827">
        <w:rPr>
          <w:lang w:val="fr-CA"/>
        </w:rPr>
        <w:t xml:space="preserve">. Les utilisateurs de matières premières ne sont pas autorisés à vendre du CTC et ne peuvent l’utiliser que pour l’application </w:t>
      </w:r>
      <w:r w:rsidR="000615BB" w:rsidRPr="007B3827">
        <w:rPr>
          <w:lang w:val="fr-CA"/>
        </w:rPr>
        <w:t>déclarée</w:t>
      </w:r>
      <w:r w:rsidR="002C2001" w:rsidRPr="007B3827">
        <w:rPr>
          <w:lang w:val="fr-CA"/>
        </w:rPr>
        <w:t xml:space="preserve"> figurant dans l’étude d’impact environnemental </w:t>
      </w:r>
      <w:r w:rsidR="0016516E" w:rsidRPr="007B3827">
        <w:rPr>
          <w:lang w:val="fr-CA"/>
        </w:rPr>
        <w:t>(EI</w:t>
      </w:r>
      <w:r w:rsidR="002C2001" w:rsidRPr="007B3827">
        <w:rPr>
          <w:lang w:val="fr-CA"/>
        </w:rPr>
        <w:t>E</w:t>
      </w:r>
      <w:r w:rsidR="0016516E" w:rsidRPr="007B3827">
        <w:rPr>
          <w:lang w:val="fr-CA"/>
        </w:rPr>
        <w:t>);</w:t>
      </w:r>
    </w:p>
    <w:p w14:paraId="55C0C844" w14:textId="090790FF" w:rsidR="0016516E" w:rsidRPr="007B3827" w:rsidRDefault="00057F57" w:rsidP="00482A88">
      <w:pPr>
        <w:pStyle w:val="Heading2"/>
        <w:rPr>
          <w:lang w:val="fr-CA"/>
        </w:rPr>
      </w:pPr>
      <w:r w:rsidRPr="007B3827">
        <w:rPr>
          <w:lang w:val="fr-CA"/>
        </w:rPr>
        <w:t xml:space="preserve">Tous les producteurs de </w:t>
      </w:r>
      <w:r w:rsidR="0016516E" w:rsidRPr="007B3827">
        <w:rPr>
          <w:lang w:val="fr-CA"/>
        </w:rPr>
        <w:t xml:space="preserve">CM </w:t>
      </w:r>
      <w:r w:rsidRPr="007B3827">
        <w:rPr>
          <w:lang w:val="fr-CA"/>
        </w:rPr>
        <w:t xml:space="preserve">doivent être </w:t>
      </w:r>
      <w:r w:rsidR="000615BB" w:rsidRPr="007B3827">
        <w:rPr>
          <w:lang w:val="fr-CA"/>
        </w:rPr>
        <w:t>déclarés</w:t>
      </w:r>
      <w:r w:rsidRPr="007B3827">
        <w:rPr>
          <w:lang w:val="fr-CA"/>
        </w:rPr>
        <w:t xml:space="preserve"> auprès du F</w:t>
      </w:r>
      <w:r w:rsidR="0016516E" w:rsidRPr="007B3827">
        <w:rPr>
          <w:lang w:val="fr-CA"/>
        </w:rPr>
        <w:t>ECO;</w:t>
      </w:r>
    </w:p>
    <w:p w14:paraId="5FCFB34A" w14:textId="5F27F90F" w:rsidR="0016516E" w:rsidRPr="007B3827" w:rsidRDefault="00057F57" w:rsidP="007B3827">
      <w:pPr>
        <w:pStyle w:val="Heading2"/>
        <w:rPr>
          <w:lang w:val="fr-CA"/>
        </w:rPr>
      </w:pPr>
      <w:r w:rsidRPr="007B3827">
        <w:rPr>
          <w:lang w:val="fr-CA"/>
        </w:rPr>
        <w:lastRenderedPageBreak/>
        <w:t xml:space="preserve">Seuls trois producteurs de </w:t>
      </w:r>
      <w:r w:rsidR="0016516E" w:rsidRPr="007B3827">
        <w:rPr>
          <w:lang w:val="fr-CA"/>
        </w:rPr>
        <w:t>CM</w:t>
      </w:r>
      <w:r w:rsidRPr="007B3827">
        <w:rPr>
          <w:lang w:val="fr-CA"/>
        </w:rPr>
        <w:t xml:space="preserve"> sont autorisés à vendre du </w:t>
      </w:r>
      <w:r w:rsidR="0016516E" w:rsidRPr="007B3827">
        <w:rPr>
          <w:lang w:val="fr-CA"/>
        </w:rPr>
        <w:t xml:space="preserve">CTC </w:t>
      </w:r>
      <w:r w:rsidRPr="007B3827">
        <w:rPr>
          <w:lang w:val="fr-CA"/>
        </w:rPr>
        <w:t>pour u</w:t>
      </w:r>
      <w:r w:rsidR="000615BB" w:rsidRPr="007B3827">
        <w:rPr>
          <w:lang w:val="fr-CA"/>
        </w:rPr>
        <w:t>sages</w:t>
      </w:r>
      <w:r w:rsidRPr="007B3827">
        <w:rPr>
          <w:lang w:val="fr-CA"/>
        </w:rPr>
        <w:t xml:space="preserve"> comme matières premières étant donné qu’ils faisaient partie </w:t>
      </w:r>
      <w:r w:rsidR="000615BB" w:rsidRPr="007B3827">
        <w:rPr>
          <w:lang w:val="fr-CA"/>
        </w:rPr>
        <w:t>du groupe de</w:t>
      </w:r>
      <w:r w:rsidRPr="007B3827">
        <w:rPr>
          <w:lang w:val="fr-CA"/>
        </w:rPr>
        <w:t xml:space="preserve"> producteurs initiaux touchés par le processus d’élimination du CTC </w:t>
      </w:r>
      <w:r w:rsidR="000615BB" w:rsidRPr="007B3827">
        <w:rPr>
          <w:lang w:val="fr-CA"/>
        </w:rPr>
        <w:t xml:space="preserve">et </w:t>
      </w:r>
      <w:r w:rsidRPr="007B3827">
        <w:rPr>
          <w:lang w:val="fr-CA"/>
        </w:rPr>
        <w:t xml:space="preserve">qui vendaient cette substance à cette fin avant </w:t>
      </w:r>
      <w:r w:rsidR="0016516E" w:rsidRPr="007B3827">
        <w:rPr>
          <w:lang w:val="fr-CA"/>
        </w:rPr>
        <w:t>2010;</w:t>
      </w:r>
    </w:p>
    <w:p w14:paraId="3E1E0EE0" w14:textId="40B97A8E" w:rsidR="0016516E" w:rsidRPr="007B3827" w:rsidRDefault="0064705A" w:rsidP="007B3827">
      <w:pPr>
        <w:pStyle w:val="Heading2"/>
        <w:rPr>
          <w:lang w:val="fr-CA"/>
        </w:rPr>
      </w:pPr>
      <w:r w:rsidRPr="007B3827">
        <w:rPr>
          <w:lang w:val="fr-CA"/>
        </w:rPr>
        <w:t xml:space="preserve">Tous les producteurs de </w:t>
      </w:r>
      <w:r w:rsidR="0016516E" w:rsidRPr="007B3827">
        <w:rPr>
          <w:lang w:val="fr-CA"/>
        </w:rPr>
        <w:t xml:space="preserve">CM </w:t>
      </w:r>
      <w:r w:rsidRPr="007B3827">
        <w:rPr>
          <w:lang w:val="fr-CA"/>
        </w:rPr>
        <w:t>doivent détenir des installations permettant de reconvertir le CTC obtenu comme sous-produit</w:t>
      </w:r>
      <w:r w:rsidR="0016516E" w:rsidRPr="007B3827">
        <w:rPr>
          <w:lang w:val="fr-CA"/>
        </w:rPr>
        <w:t xml:space="preserve">, </w:t>
      </w:r>
      <w:r w:rsidRPr="007B3827">
        <w:rPr>
          <w:lang w:val="fr-CA"/>
        </w:rPr>
        <w:t xml:space="preserve">de détruire le </w:t>
      </w:r>
      <w:r w:rsidR="0016516E" w:rsidRPr="007B3827">
        <w:rPr>
          <w:lang w:val="fr-CA"/>
        </w:rPr>
        <w:t>CTC</w:t>
      </w:r>
      <w:r w:rsidRPr="007B3827">
        <w:rPr>
          <w:lang w:val="fr-CA"/>
        </w:rPr>
        <w:t xml:space="preserve"> excédentaire</w:t>
      </w:r>
      <w:r w:rsidR="0016516E" w:rsidRPr="007B3827">
        <w:rPr>
          <w:lang w:val="fr-CA"/>
        </w:rPr>
        <w:t xml:space="preserve">, </w:t>
      </w:r>
      <w:r w:rsidRPr="007B3827">
        <w:rPr>
          <w:lang w:val="fr-CA"/>
        </w:rPr>
        <w:t xml:space="preserve">ou d’expédier le </w:t>
      </w:r>
      <w:r w:rsidR="0016516E" w:rsidRPr="007B3827">
        <w:rPr>
          <w:lang w:val="fr-CA"/>
        </w:rPr>
        <w:t xml:space="preserve">CTC </w:t>
      </w:r>
      <w:r w:rsidRPr="007B3827">
        <w:rPr>
          <w:lang w:val="fr-CA"/>
        </w:rPr>
        <w:t>excédentaire dans un centre accrédité de gestion des déchets aux fins d’élimi</w:t>
      </w:r>
      <w:r w:rsidR="000615BB" w:rsidRPr="007B3827">
        <w:rPr>
          <w:lang w:val="fr-CA"/>
        </w:rPr>
        <w:t>n</w:t>
      </w:r>
      <w:r w:rsidRPr="007B3827">
        <w:rPr>
          <w:lang w:val="fr-CA"/>
        </w:rPr>
        <w:t>ation</w:t>
      </w:r>
      <w:r w:rsidR="0016516E" w:rsidRPr="007B3827">
        <w:rPr>
          <w:lang w:val="fr-CA"/>
        </w:rPr>
        <w:t xml:space="preserve">. </w:t>
      </w:r>
      <w:r w:rsidR="00D02D9F" w:rsidRPr="007B3827">
        <w:rPr>
          <w:lang w:val="fr-CA"/>
        </w:rPr>
        <w:t>Ceux-ci sont tenus de signaler la quantité de résidus produits</w:t>
      </w:r>
      <w:r w:rsidR="0016516E" w:rsidRPr="007B3827">
        <w:rPr>
          <w:lang w:val="fr-CA"/>
        </w:rPr>
        <w:t xml:space="preserve">, </w:t>
      </w:r>
      <w:r w:rsidR="00D02D9F" w:rsidRPr="007B3827">
        <w:rPr>
          <w:lang w:val="fr-CA"/>
        </w:rPr>
        <w:t xml:space="preserve">éliminés et entreposés </w:t>
      </w:r>
      <w:r w:rsidR="000615BB" w:rsidRPr="007B3827">
        <w:rPr>
          <w:lang w:val="fr-CA"/>
        </w:rPr>
        <w:t>à</w:t>
      </w:r>
      <w:r w:rsidR="00D02D9F" w:rsidRPr="007B3827">
        <w:rPr>
          <w:lang w:val="fr-CA"/>
        </w:rPr>
        <w:t xml:space="preserve"> des bureaux de l’écologie et de l’environnement (EEB) locaux</w:t>
      </w:r>
      <w:r w:rsidR="0016516E" w:rsidRPr="007B3827">
        <w:rPr>
          <w:lang w:val="fr-CA"/>
        </w:rPr>
        <w:t>;</w:t>
      </w:r>
    </w:p>
    <w:p w14:paraId="222D7DEB" w14:textId="58147AC3" w:rsidR="0016516E" w:rsidRPr="007B3827" w:rsidRDefault="00D02D9F" w:rsidP="007B3827">
      <w:pPr>
        <w:pStyle w:val="Heading2"/>
        <w:rPr>
          <w:lang w:val="fr-CA"/>
        </w:rPr>
      </w:pPr>
      <w:r w:rsidRPr="007B3827">
        <w:rPr>
          <w:lang w:val="fr-CA"/>
        </w:rPr>
        <w:t xml:space="preserve">Il n’y a pas d’exigences spécifiques pour les émissions de CTC, mais plutôt pour les composés organiques volatiles </w:t>
      </w:r>
      <w:r w:rsidR="0016516E" w:rsidRPr="007B3827">
        <w:rPr>
          <w:lang w:val="fr-CA"/>
        </w:rPr>
        <w:t>(</w:t>
      </w:r>
      <w:r w:rsidRPr="007B3827">
        <w:rPr>
          <w:lang w:val="fr-CA"/>
        </w:rPr>
        <w:t>COV</w:t>
      </w:r>
      <w:r w:rsidR="0016516E" w:rsidRPr="007B3827">
        <w:rPr>
          <w:lang w:val="fr-CA"/>
        </w:rPr>
        <w:t xml:space="preserve">), </w:t>
      </w:r>
      <w:r w:rsidRPr="007B3827">
        <w:rPr>
          <w:lang w:val="fr-CA"/>
        </w:rPr>
        <w:t xml:space="preserve">qui </w:t>
      </w:r>
      <w:r w:rsidR="00ED4E77" w:rsidRPr="007B3827">
        <w:rPr>
          <w:lang w:val="fr-CA"/>
        </w:rPr>
        <w:t xml:space="preserve">comprennent le </w:t>
      </w:r>
      <w:r w:rsidR="0016516E" w:rsidRPr="007B3827">
        <w:rPr>
          <w:lang w:val="fr-CA"/>
        </w:rPr>
        <w:t xml:space="preserve">CTC, </w:t>
      </w:r>
      <w:r w:rsidR="00ED4E77" w:rsidRPr="007B3827">
        <w:rPr>
          <w:lang w:val="fr-CA"/>
        </w:rPr>
        <w:t>une substance cancérigène connue</w:t>
      </w:r>
      <w:r w:rsidR="0016516E" w:rsidRPr="007B3827">
        <w:rPr>
          <w:lang w:val="fr-CA"/>
        </w:rPr>
        <w:t>. A</w:t>
      </w:r>
      <w:r w:rsidR="00ED4E77" w:rsidRPr="007B3827">
        <w:rPr>
          <w:lang w:val="fr-CA"/>
        </w:rPr>
        <w:t xml:space="preserve">insi, les entreprises, </w:t>
      </w:r>
      <w:r w:rsidR="000615BB" w:rsidRPr="007B3827">
        <w:rPr>
          <w:lang w:val="fr-CA"/>
        </w:rPr>
        <w:t xml:space="preserve">y compris les producteurs </w:t>
      </w:r>
      <w:r w:rsidR="00ED4E77" w:rsidRPr="007B3827">
        <w:rPr>
          <w:lang w:val="fr-CA"/>
        </w:rPr>
        <w:t>de CM</w:t>
      </w:r>
      <w:r w:rsidR="000615BB" w:rsidRPr="007B3827">
        <w:rPr>
          <w:lang w:val="fr-CA"/>
        </w:rPr>
        <w:t>,</w:t>
      </w:r>
      <w:r w:rsidR="00ED4E77" w:rsidRPr="007B3827">
        <w:rPr>
          <w:lang w:val="fr-CA"/>
        </w:rPr>
        <w:t xml:space="preserve"> ne surveillent pas directement les émissions de CTC; ce sont les COV qui sont surveillés, notamment par les </w:t>
      </w:r>
      <w:r w:rsidR="0016516E" w:rsidRPr="007B3827">
        <w:rPr>
          <w:lang w:val="fr-CA"/>
        </w:rPr>
        <w:t xml:space="preserve"> EEB</w:t>
      </w:r>
      <w:r w:rsidR="00ED4E77" w:rsidRPr="007B3827">
        <w:rPr>
          <w:lang w:val="fr-CA"/>
        </w:rPr>
        <w:t xml:space="preserve"> locaux</w:t>
      </w:r>
      <w:r w:rsidR="0016516E" w:rsidRPr="007B3827">
        <w:rPr>
          <w:lang w:val="fr-CA"/>
        </w:rPr>
        <w:t xml:space="preserve">. </w:t>
      </w:r>
      <w:r w:rsidR="00ED4E77" w:rsidRPr="007B3827">
        <w:rPr>
          <w:lang w:val="fr-CA"/>
        </w:rPr>
        <w:t xml:space="preserve">Il n’existe pas de normes relatives aux niveaux d’émission de </w:t>
      </w:r>
      <w:r w:rsidR="0016516E" w:rsidRPr="007B3827">
        <w:rPr>
          <w:lang w:val="fr-CA"/>
        </w:rPr>
        <w:t xml:space="preserve">CTC </w:t>
      </w:r>
      <w:r w:rsidR="005E7D9E" w:rsidRPr="007B3827">
        <w:rPr>
          <w:lang w:val="fr-CA"/>
        </w:rPr>
        <w:t>pour l</w:t>
      </w:r>
      <w:r w:rsidR="00ED4E77" w:rsidRPr="007B3827">
        <w:rPr>
          <w:lang w:val="fr-CA"/>
        </w:rPr>
        <w:t xml:space="preserve">’entreposage, </w:t>
      </w:r>
      <w:r w:rsidR="005E7D9E" w:rsidRPr="007B3827">
        <w:rPr>
          <w:lang w:val="fr-CA"/>
        </w:rPr>
        <w:t>le</w:t>
      </w:r>
      <w:r w:rsidR="00ED4E77" w:rsidRPr="007B3827">
        <w:rPr>
          <w:lang w:val="fr-CA"/>
        </w:rPr>
        <w:t xml:space="preserve"> transport et </w:t>
      </w:r>
      <w:r w:rsidR="005E7D9E" w:rsidRPr="007B3827">
        <w:rPr>
          <w:lang w:val="fr-CA"/>
        </w:rPr>
        <w:t>la</w:t>
      </w:r>
      <w:r w:rsidR="00ED4E77" w:rsidRPr="007B3827">
        <w:rPr>
          <w:lang w:val="fr-CA"/>
        </w:rPr>
        <w:t xml:space="preserve"> manipulation</w:t>
      </w:r>
      <w:r w:rsidR="0016516E" w:rsidRPr="007B3827">
        <w:rPr>
          <w:lang w:val="fr-CA"/>
        </w:rPr>
        <w:t xml:space="preserve">; </w:t>
      </w:r>
    </w:p>
    <w:p w14:paraId="17FDBB2B" w14:textId="2E22D919" w:rsidR="005147BC" w:rsidRPr="007B3827" w:rsidRDefault="005C233A" w:rsidP="007B3827">
      <w:pPr>
        <w:pStyle w:val="Heading2"/>
        <w:rPr>
          <w:lang w:val="fr-CA"/>
        </w:rPr>
      </w:pPr>
      <w:r w:rsidRPr="007B3827">
        <w:rPr>
          <w:lang w:val="fr-CA"/>
        </w:rPr>
        <w:t>Les utilisateurs de matières premières présentent une EIE, ainsi que des renseignements sur le CTC utilis</w:t>
      </w:r>
      <w:r w:rsidR="005D3C8D" w:rsidRPr="007B3827">
        <w:rPr>
          <w:lang w:val="fr-CA"/>
        </w:rPr>
        <w:t>é</w:t>
      </w:r>
      <w:r w:rsidRPr="007B3827">
        <w:rPr>
          <w:lang w:val="fr-CA"/>
        </w:rPr>
        <w:t xml:space="preserve"> et les </w:t>
      </w:r>
      <w:r w:rsidR="005D3C8D" w:rsidRPr="007B3827">
        <w:rPr>
          <w:lang w:val="fr-CA"/>
        </w:rPr>
        <w:t xml:space="preserve">produits finaux fabriqués, dans le cadre du processus </w:t>
      </w:r>
      <w:r w:rsidR="00D16B5B" w:rsidRPr="007B3827">
        <w:rPr>
          <w:lang w:val="fr-CA"/>
        </w:rPr>
        <w:t>de déclaration</w:t>
      </w:r>
      <w:r w:rsidR="005D3C8D" w:rsidRPr="007B3827">
        <w:rPr>
          <w:lang w:val="fr-CA"/>
        </w:rPr>
        <w:t xml:space="preserve"> annuel.</w:t>
      </w:r>
      <w:r w:rsidR="0016516E" w:rsidRPr="007B3827">
        <w:rPr>
          <w:lang w:val="fr-CA"/>
        </w:rPr>
        <w:t xml:space="preserve"> </w:t>
      </w:r>
      <w:r w:rsidR="005D3C8D" w:rsidRPr="007B3827">
        <w:rPr>
          <w:lang w:val="fr-CA"/>
        </w:rPr>
        <w:t xml:space="preserve">Les producteurs de </w:t>
      </w:r>
      <w:r w:rsidR="0016516E" w:rsidRPr="007B3827">
        <w:rPr>
          <w:lang w:val="fr-CA"/>
        </w:rPr>
        <w:t xml:space="preserve">CM </w:t>
      </w:r>
      <w:r w:rsidR="005D3C8D" w:rsidRPr="007B3827">
        <w:rPr>
          <w:lang w:val="fr-CA"/>
        </w:rPr>
        <w:t>qui reconvertissent du CTC doivent suivre la même procédure et communiquer tous les trois mois au FECO l’information sur le CTC employé;</w:t>
      </w:r>
    </w:p>
    <w:p w14:paraId="0FA498EE" w14:textId="06F3E079" w:rsidR="006E55BA" w:rsidRPr="007B3827" w:rsidRDefault="005D3C8D" w:rsidP="007B3827">
      <w:pPr>
        <w:pStyle w:val="Heading2"/>
        <w:rPr>
          <w:lang w:val="fr-CA"/>
        </w:rPr>
      </w:pPr>
      <w:r w:rsidRPr="007B3827">
        <w:rPr>
          <w:lang w:val="fr-CA"/>
        </w:rPr>
        <w:t xml:space="preserve">Huit négociants inscrits auprès du </w:t>
      </w:r>
      <w:r w:rsidR="0016516E" w:rsidRPr="007B3827">
        <w:rPr>
          <w:lang w:val="fr-CA"/>
        </w:rPr>
        <w:t xml:space="preserve">FECO </w:t>
      </w:r>
      <w:r w:rsidR="009816C2" w:rsidRPr="007B3827">
        <w:rPr>
          <w:lang w:val="fr-CA"/>
        </w:rPr>
        <w:t xml:space="preserve">sont autorisés à vendre du </w:t>
      </w:r>
      <w:r w:rsidR="0016516E" w:rsidRPr="007B3827">
        <w:rPr>
          <w:lang w:val="fr-CA"/>
        </w:rPr>
        <w:t>CTC</w:t>
      </w:r>
      <w:r w:rsidR="009816C2" w:rsidRPr="007B3827">
        <w:rPr>
          <w:lang w:val="fr-CA"/>
        </w:rPr>
        <w:t xml:space="preserve"> entre eux et</w:t>
      </w:r>
      <w:r w:rsidR="0016516E" w:rsidRPr="007B3827">
        <w:rPr>
          <w:lang w:val="fr-CA"/>
        </w:rPr>
        <w:t xml:space="preserve"> </w:t>
      </w:r>
      <w:r w:rsidR="009816C2" w:rsidRPr="007B3827">
        <w:rPr>
          <w:lang w:val="fr-CA"/>
        </w:rPr>
        <w:t xml:space="preserve">à des utilisateurs de matières premières </w:t>
      </w:r>
      <w:r w:rsidR="00360311" w:rsidRPr="007B3827">
        <w:rPr>
          <w:lang w:val="fr-CA"/>
        </w:rPr>
        <w:t>déclarés</w:t>
      </w:r>
      <w:r w:rsidR="0016516E" w:rsidRPr="007B3827">
        <w:rPr>
          <w:lang w:val="fr-CA"/>
        </w:rPr>
        <w:t xml:space="preserve">. </w:t>
      </w:r>
      <w:r w:rsidR="009816C2" w:rsidRPr="007B3827">
        <w:rPr>
          <w:lang w:val="fr-CA"/>
        </w:rPr>
        <w:t xml:space="preserve">Les ventes sont déclarées au </w:t>
      </w:r>
      <w:r w:rsidR="0016516E" w:rsidRPr="007B3827">
        <w:rPr>
          <w:lang w:val="fr-CA"/>
        </w:rPr>
        <w:t>FECO</w:t>
      </w:r>
      <w:r w:rsidR="009816C2" w:rsidRPr="007B3827">
        <w:rPr>
          <w:lang w:val="fr-CA"/>
        </w:rPr>
        <w:t xml:space="preserve">; </w:t>
      </w:r>
    </w:p>
    <w:p w14:paraId="7FB1FF3E" w14:textId="6BBC1C3E" w:rsidR="001D1808" w:rsidRPr="007B3827" w:rsidRDefault="009816C2" w:rsidP="007B3827">
      <w:pPr>
        <w:pStyle w:val="Heading2"/>
        <w:rPr>
          <w:lang w:val="fr-CA"/>
        </w:rPr>
      </w:pPr>
      <w:r w:rsidRPr="007B3827">
        <w:rPr>
          <w:rFonts w:eastAsiaTheme="minorEastAsia"/>
          <w:lang w:val="fr-CA"/>
        </w:rPr>
        <w:t>Malgré la hausse de la production de</w:t>
      </w:r>
      <w:r w:rsidR="001D1808" w:rsidRPr="007B3827">
        <w:rPr>
          <w:rFonts w:eastAsiaTheme="minorEastAsia"/>
          <w:lang w:val="fr-CA"/>
        </w:rPr>
        <w:t xml:space="preserve"> HFC-245fa, HFC-365mfc </w:t>
      </w:r>
      <w:r w:rsidRPr="007B3827">
        <w:rPr>
          <w:rFonts w:eastAsiaTheme="minorEastAsia"/>
          <w:lang w:val="fr-CA"/>
        </w:rPr>
        <w:t>et</w:t>
      </w:r>
      <w:r w:rsidR="001D1808" w:rsidRPr="007B3827">
        <w:rPr>
          <w:rFonts w:eastAsiaTheme="minorEastAsia"/>
          <w:lang w:val="fr-CA"/>
        </w:rPr>
        <w:t xml:space="preserve"> HFC</w:t>
      </w:r>
      <w:r w:rsidR="001D1808" w:rsidRPr="007B3827">
        <w:rPr>
          <w:rFonts w:eastAsiaTheme="minorEastAsia"/>
          <w:lang w:val="fr-CA"/>
        </w:rPr>
        <w:noBreakHyphen/>
        <w:t xml:space="preserve">236fa </w:t>
      </w:r>
      <w:r w:rsidRPr="007B3827">
        <w:rPr>
          <w:rFonts w:eastAsiaTheme="minorEastAsia"/>
          <w:lang w:val="fr-CA"/>
        </w:rPr>
        <w:t xml:space="preserve">de </w:t>
      </w:r>
      <w:r w:rsidR="001D1808" w:rsidRPr="007B3827">
        <w:rPr>
          <w:rFonts w:eastAsiaTheme="minorEastAsia"/>
          <w:lang w:val="fr-CA"/>
        </w:rPr>
        <w:t xml:space="preserve">2015 </w:t>
      </w:r>
      <w:r w:rsidRPr="007B3827">
        <w:rPr>
          <w:rFonts w:eastAsiaTheme="minorEastAsia"/>
          <w:lang w:val="fr-CA"/>
        </w:rPr>
        <w:t>à</w:t>
      </w:r>
      <w:r w:rsidR="001D1808" w:rsidRPr="007B3827">
        <w:rPr>
          <w:rFonts w:eastAsiaTheme="minorEastAsia"/>
          <w:lang w:val="fr-CA"/>
        </w:rPr>
        <w:t xml:space="preserve"> 2017, </w:t>
      </w:r>
      <w:r w:rsidRPr="007B3827">
        <w:rPr>
          <w:rFonts w:eastAsiaTheme="minorEastAsia"/>
          <w:lang w:val="fr-CA"/>
        </w:rPr>
        <w:t>la capacité de remplacement de ces substances chimiques est importante en Chine.</w:t>
      </w:r>
      <w:r w:rsidR="001D1808" w:rsidRPr="007B3827">
        <w:rPr>
          <w:rFonts w:eastAsiaTheme="minorEastAsia"/>
          <w:lang w:val="fr-CA"/>
        </w:rPr>
        <w:t xml:space="preserve"> </w:t>
      </w:r>
      <w:r w:rsidRPr="007B3827">
        <w:rPr>
          <w:rFonts w:eastAsiaTheme="minorEastAsia"/>
          <w:lang w:val="fr-CA"/>
        </w:rPr>
        <w:t>Les trois processus de production sont du type réactions en phase liquide</w:t>
      </w:r>
      <w:r w:rsidR="001D1808" w:rsidRPr="007B3827">
        <w:rPr>
          <w:rFonts w:eastAsiaTheme="minorEastAsia"/>
          <w:lang w:val="fr-CA"/>
        </w:rPr>
        <w:t>.</w:t>
      </w:r>
    </w:p>
    <w:p w14:paraId="1F1AE1EA" w14:textId="7E369F59" w:rsidR="001D1808" w:rsidRPr="007B3827" w:rsidRDefault="001D1808" w:rsidP="007B3827">
      <w:pPr>
        <w:pStyle w:val="ListParagraph"/>
        <w:numPr>
          <w:ilvl w:val="0"/>
          <w:numId w:val="45"/>
        </w:numPr>
        <w:spacing w:after="240"/>
        <w:contextualSpacing w:val="0"/>
        <w:rPr>
          <w:lang w:val="fr-CA"/>
        </w:rPr>
      </w:pPr>
      <w:r w:rsidRPr="007B3827">
        <w:rPr>
          <w:b/>
          <w:lang w:val="fr-CA"/>
        </w:rPr>
        <w:t>A</w:t>
      </w:r>
      <w:r w:rsidR="009816C2" w:rsidRPr="007B3827">
        <w:rPr>
          <w:b/>
          <w:lang w:val="fr-CA"/>
        </w:rPr>
        <w:t>jouter</w:t>
      </w:r>
      <w:r w:rsidRPr="007B3827">
        <w:rPr>
          <w:lang w:val="fr-CA"/>
        </w:rPr>
        <w:t xml:space="preserve"> </w:t>
      </w:r>
      <w:r w:rsidR="009816C2" w:rsidRPr="007B3827">
        <w:rPr>
          <w:lang w:val="fr-CA"/>
        </w:rPr>
        <w:t xml:space="preserve">la phrase suivante à la fin du </w:t>
      </w:r>
      <w:r w:rsidRPr="007B3827">
        <w:rPr>
          <w:lang w:val="fr-CA"/>
        </w:rPr>
        <w:t>paragraph</w:t>
      </w:r>
      <w:r w:rsidR="009816C2" w:rsidRPr="007B3827">
        <w:rPr>
          <w:lang w:val="fr-CA"/>
        </w:rPr>
        <w:t>e </w:t>
      </w:r>
      <w:r w:rsidRPr="007B3827">
        <w:rPr>
          <w:lang w:val="fr-CA"/>
        </w:rPr>
        <w:t>32</w:t>
      </w:r>
    </w:p>
    <w:p w14:paraId="7C0F0020" w14:textId="6FA5DB25" w:rsidR="001D1808" w:rsidRPr="007B3827" w:rsidRDefault="00D84C25" w:rsidP="007B3827">
      <w:pPr>
        <w:pStyle w:val="Heading1"/>
        <w:numPr>
          <w:ilvl w:val="0"/>
          <w:numId w:val="0"/>
        </w:numPr>
        <w:rPr>
          <w:lang w:val="fr-CA"/>
        </w:rPr>
      </w:pPr>
      <w:r w:rsidRPr="007B3827">
        <w:rPr>
          <w:lang w:val="fr-CA"/>
        </w:rPr>
        <w:t>Le gouvernement juge le système de suivi adéquat, même si celui-ci n’a pas recours à des rapports d’utilisation de matières vu la complexité du secteur en Chine</w:t>
      </w:r>
      <w:r w:rsidR="00F37AD6" w:rsidRPr="007B3827">
        <w:rPr>
          <w:lang w:val="fr-CA"/>
        </w:rPr>
        <w:t>.</w:t>
      </w:r>
    </w:p>
    <w:p w14:paraId="7D9308A0" w14:textId="01582F36" w:rsidR="000E45FB" w:rsidRPr="007B3827" w:rsidRDefault="000E45FB" w:rsidP="007B3827">
      <w:pPr>
        <w:pStyle w:val="ListParagraph"/>
        <w:numPr>
          <w:ilvl w:val="0"/>
          <w:numId w:val="45"/>
        </w:numPr>
        <w:spacing w:after="240"/>
        <w:contextualSpacing w:val="0"/>
        <w:rPr>
          <w:lang w:val="fr-CA"/>
        </w:rPr>
      </w:pPr>
      <w:r w:rsidRPr="007B3827">
        <w:rPr>
          <w:b/>
          <w:lang w:val="fr-CA"/>
        </w:rPr>
        <w:t>A</w:t>
      </w:r>
      <w:r w:rsidR="00D84C25" w:rsidRPr="007B3827">
        <w:rPr>
          <w:b/>
          <w:lang w:val="fr-CA"/>
        </w:rPr>
        <w:t>jouter</w:t>
      </w:r>
      <w:r w:rsidRPr="007B3827">
        <w:rPr>
          <w:lang w:val="fr-CA"/>
        </w:rPr>
        <w:t xml:space="preserve"> </w:t>
      </w:r>
      <w:r w:rsidR="00D84C25" w:rsidRPr="007B3827">
        <w:rPr>
          <w:lang w:val="fr-CA"/>
        </w:rPr>
        <w:t xml:space="preserve">le paragraphe suivant après le </w:t>
      </w:r>
      <w:r w:rsidR="00CB7150" w:rsidRPr="007B3827">
        <w:rPr>
          <w:lang w:val="fr-CA"/>
        </w:rPr>
        <w:t>paragraph</w:t>
      </w:r>
      <w:r w:rsidR="00D84C25" w:rsidRPr="007B3827">
        <w:rPr>
          <w:lang w:val="fr-CA"/>
        </w:rPr>
        <w:t>e </w:t>
      </w:r>
      <w:r w:rsidR="00CB7150" w:rsidRPr="007B3827">
        <w:rPr>
          <w:lang w:val="fr-CA"/>
        </w:rPr>
        <w:t>36</w:t>
      </w:r>
    </w:p>
    <w:p w14:paraId="7158568E" w14:textId="0F5BEA2E" w:rsidR="000E45FB" w:rsidRPr="007B3827" w:rsidRDefault="000E45FB" w:rsidP="007B3827">
      <w:pPr>
        <w:spacing w:after="240"/>
        <w:rPr>
          <w:lang w:val="fr-CA"/>
        </w:rPr>
      </w:pPr>
      <w:r w:rsidRPr="00953236">
        <w:rPr>
          <w:lang w:val="fr-FR"/>
        </w:rPr>
        <w:t>36</w:t>
      </w:r>
      <w:r w:rsidR="002D4FDD" w:rsidRPr="00953236">
        <w:rPr>
          <w:lang w:val="fr-FR"/>
        </w:rPr>
        <w:t>(</w:t>
      </w:r>
      <w:r w:rsidRPr="00953236">
        <w:rPr>
          <w:lang w:val="fr-FR"/>
        </w:rPr>
        <w:t>bis</w:t>
      </w:r>
      <w:r w:rsidR="002D4FDD" w:rsidRPr="00953236">
        <w:rPr>
          <w:lang w:val="fr-FR"/>
        </w:rPr>
        <w:t>)</w:t>
      </w:r>
      <w:r w:rsidR="00415AD6" w:rsidRPr="00953236">
        <w:rPr>
          <w:lang w:val="fr-FR"/>
        </w:rPr>
        <w:t>.</w:t>
      </w:r>
      <w:r w:rsidR="002D4FDD" w:rsidRPr="00953236">
        <w:rPr>
          <w:lang w:val="fr-FR"/>
        </w:rPr>
        <w:t xml:space="preserve">  </w:t>
      </w:r>
      <w:r w:rsidR="00D84C25" w:rsidRPr="007B3827">
        <w:rPr>
          <w:lang w:val="fr-CA"/>
        </w:rPr>
        <w:t xml:space="preserve">Le </w:t>
      </w:r>
      <w:r w:rsidRPr="007B3827">
        <w:rPr>
          <w:lang w:val="fr-CA"/>
        </w:rPr>
        <w:t>Secr</w:t>
      </w:r>
      <w:r w:rsidR="00D84C25" w:rsidRPr="007B3827">
        <w:rPr>
          <w:lang w:val="fr-CA"/>
        </w:rPr>
        <w:t>é</w:t>
      </w:r>
      <w:r w:rsidRPr="007B3827">
        <w:rPr>
          <w:lang w:val="fr-CA"/>
        </w:rPr>
        <w:t xml:space="preserve">tariat </w:t>
      </w:r>
      <w:r w:rsidR="00D84C25" w:rsidRPr="007B3827">
        <w:rPr>
          <w:lang w:val="fr-CA"/>
        </w:rPr>
        <w:t xml:space="preserve">a par ailleurs constaté qu’un rapport scientifique supplémentaire sur les discordances sur le plan du bilan des émissions </w:t>
      </w:r>
      <w:r w:rsidR="00DA45AA" w:rsidRPr="007B3827">
        <w:rPr>
          <w:lang w:val="fr-CA"/>
        </w:rPr>
        <w:t>de</w:t>
      </w:r>
      <w:r w:rsidRPr="007B3827">
        <w:rPr>
          <w:lang w:val="fr-CA"/>
        </w:rPr>
        <w:t xml:space="preserve"> CTC </w:t>
      </w:r>
      <w:r w:rsidR="00DA45AA" w:rsidRPr="007B3827">
        <w:rPr>
          <w:lang w:val="fr-CA"/>
        </w:rPr>
        <w:t>en</w:t>
      </w:r>
      <w:r w:rsidRPr="007B3827">
        <w:rPr>
          <w:lang w:val="fr-CA"/>
        </w:rPr>
        <w:t xml:space="preserve"> China </w:t>
      </w:r>
      <w:r w:rsidR="00DA45AA" w:rsidRPr="007B3827">
        <w:rPr>
          <w:lang w:val="fr-CA"/>
        </w:rPr>
        <w:t>publié dans</w:t>
      </w:r>
      <w:r w:rsidRPr="007B3827">
        <w:rPr>
          <w:lang w:val="fr-CA"/>
        </w:rPr>
        <w:t xml:space="preserve"> </w:t>
      </w:r>
      <w:r w:rsidRPr="007B3827">
        <w:rPr>
          <w:i/>
          <w:lang w:val="fr-CA"/>
        </w:rPr>
        <w:t>Atmospheric Chemistry and Physics</w:t>
      </w:r>
      <w:r w:rsidRPr="007B3827">
        <w:rPr>
          <w:lang w:val="fr-CA"/>
        </w:rPr>
        <w:t xml:space="preserve"> </w:t>
      </w:r>
      <w:r w:rsidR="00DA45AA" w:rsidRPr="007B3827">
        <w:rPr>
          <w:lang w:val="fr-CA"/>
        </w:rPr>
        <w:t>en août </w:t>
      </w:r>
      <w:r w:rsidRPr="007B3827">
        <w:rPr>
          <w:lang w:val="fr-CA"/>
        </w:rPr>
        <w:t>2018</w:t>
      </w:r>
      <w:r w:rsidRPr="007B3827">
        <w:rPr>
          <w:rStyle w:val="FootnoteReference"/>
          <w:lang w:val="en-CA"/>
        </w:rPr>
        <w:footnoteReference w:id="1"/>
      </w:r>
      <w:r w:rsidR="00BE5B5C" w:rsidRPr="007B3827">
        <w:rPr>
          <w:vertAlign w:val="superscript"/>
          <w:lang w:val="fr-CA"/>
        </w:rPr>
        <w:t>(bis)</w:t>
      </w:r>
      <w:r w:rsidRPr="007B3827">
        <w:rPr>
          <w:lang w:val="fr-CA"/>
        </w:rPr>
        <w:t xml:space="preserve"> </w:t>
      </w:r>
      <w:r w:rsidR="00DA45AA" w:rsidRPr="007B3827">
        <w:rPr>
          <w:lang w:val="fr-CA"/>
        </w:rPr>
        <w:t xml:space="preserve">révèle qu’environ </w:t>
      </w:r>
      <w:r w:rsidRPr="007B3827">
        <w:rPr>
          <w:lang w:val="fr-CA"/>
        </w:rPr>
        <w:t>89</w:t>
      </w:r>
      <w:r w:rsidR="00DA45AA" w:rsidRPr="007B3827">
        <w:rPr>
          <w:lang w:val="fr-CA"/>
        </w:rPr>
        <w:t> % des am</w:t>
      </w:r>
      <w:r w:rsidR="00360311" w:rsidRPr="007B3827">
        <w:rPr>
          <w:lang w:val="fr-CA"/>
        </w:rPr>
        <w:t>é</w:t>
      </w:r>
      <w:r w:rsidR="00DA45AA" w:rsidRPr="007B3827">
        <w:rPr>
          <w:lang w:val="fr-CA"/>
        </w:rPr>
        <w:t>liorations observées dans cette étude sont liées aux é</w:t>
      </w:r>
      <w:r w:rsidRPr="007B3827">
        <w:rPr>
          <w:lang w:val="fr-CA"/>
        </w:rPr>
        <w:t xml:space="preserve">missions </w:t>
      </w:r>
      <w:r w:rsidR="00DA45AA" w:rsidRPr="007B3827">
        <w:rPr>
          <w:lang w:val="fr-CA"/>
        </w:rPr>
        <w:t xml:space="preserve">de CTC provenant de la </w:t>
      </w:r>
      <w:r w:rsidRPr="007B3827">
        <w:rPr>
          <w:lang w:val="fr-CA"/>
        </w:rPr>
        <w:t xml:space="preserve">production </w:t>
      </w:r>
      <w:r w:rsidR="00DA45AA" w:rsidRPr="007B3827">
        <w:rPr>
          <w:lang w:val="fr-CA"/>
        </w:rPr>
        <w:t xml:space="preserve">de chlorure de méthyle, de chlorure de </w:t>
      </w:r>
      <w:r w:rsidRPr="007B3827">
        <w:rPr>
          <w:lang w:val="fr-CA"/>
        </w:rPr>
        <w:t>m</w:t>
      </w:r>
      <w:r w:rsidR="00DA45AA" w:rsidRPr="007B3827">
        <w:rPr>
          <w:lang w:val="fr-CA"/>
        </w:rPr>
        <w:t>é</w:t>
      </w:r>
      <w:r w:rsidRPr="007B3827">
        <w:rPr>
          <w:lang w:val="fr-CA"/>
        </w:rPr>
        <w:t>thyl</w:t>
      </w:r>
      <w:r w:rsidR="00DA45AA" w:rsidRPr="007B3827">
        <w:rPr>
          <w:lang w:val="fr-CA"/>
        </w:rPr>
        <w:t>è</w:t>
      </w:r>
      <w:r w:rsidRPr="007B3827">
        <w:rPr>
          <w:lang w:val="fr-CA"/>
        </w:rPr>
        <w:t xml:space="preserve">ne, </w:t>
      </w:r>
      <w:r w:rsidR="00DA45AA" w:rsidRPr="007B3827">
        <w:rPr>
          <w:lang w:val="fr-CA"/>
        </w:rPr>
        <w:t xml:space="preserve">de </w:t>
      </w:r>
      <w:r w:rsidRPr="007B3827">
        <w:rPr>
          <w:lang w:val="fr-CA"/>
        </w:rPr>
        <w:t>chloroform</w:t>
      </w:r>
      <w:r w:rsidR="00DA45AA" w:rsidRPr="007B3827">
        <w:rPr>
          <w:lang w:val="fr-CA"/>
        </w:rPr>
        <w:t xml:space="preserve">e et de </w:t>
      </w:r>
      <w:r w:rsidRPr="007B3827">
        <w:rPr>
          <w:lang w:val="fr-CA"/>
        </w:rPr>
        <w:t xml:space="preserve">PCE </w:t>
      </w:r>
      <w:r w:rsidR="00BB62E2" w:rsidRPr="007B3827">
        <w:rPr>
          <w:lang w:val="fr-CA"/>
        </w:rPr>
        <w:t xml:space="preserve">et de l’utilisation de </w:t>
      </w:r>
      <w:r w:rsidR="00360311" w:rsidRPr="007B3827">
        <w:rPr>
          <w:lang w:val="fr-CA"/>
        </w:rPr>
        <w:t>CTC</w:t>
      </w:r>
      <w:r w:rsidR="00BB62E2" w:rsidRPr="007B3827">
        <w:rPr>
          <w:lang w:val="fr-CA"/>
        </w:rPr>
        <w:t xml:space="preserve"> comme matière première et agent de transformation dans les secteurs de la fabrication de produits chimiques</w:t>
      </w:r>
      <w:r w:rsidRPr="007B3827">
        <w:rPr>
          <w:lang w:val="fr-CA"/>
        </w:rPr>
        <w:t>.</w:t>
      </w:r>
    </w:p>
    <w:p w14:paraId="236129C8" w14:textId="7BE62A56" w:rsidR="00F37AD6" w:rsidRPr="007B3827" w:rsidRDefault="00F37AD6" w:rsidP="007B3827">
      <w:pPr>
        <w:pStyle w:val="ListParagraph"/>
        <w:numPr>
          <w:ilvl w:val="0"/>
          <w:numId w:val="45"/>
        </w:numPr>
        <w:spacing w:after="240"/>
        <w:contextualSpacing w:val="0"/>
        <w:rPr>
          <w:lang w:val="fr-CA"/>
        </w:rPr>
      </w:pPr>
      <w:r w:rsidRPr="007B3827">
        <w:rPr>
          <w:b/>
          <w:lang w:val="fr-CA"/>
        </w:rPr>
        <w:t>A</w:t>
      </w:r>
      <w:r w:rsidR="00AA3F39" w:rsidRPr="007B3827">
        <w:rPr>
          <w:b/>
          <w:lang w:val="fr-CA"/>
        </w:rPr>
        <w:t>jouter</w:t>
      </w:r>
      <w:r w:rsidRPr="007B3827">
        <w:rPr>
          <w:lang w:val="fr-CA"/>
        </w:rPr>
        <w:t xml:space="preserve"> </w:t>
      </w:r>
      <w:r w:rsidR="00AA3F39" w:rsidRPr="007B3827">
        <w:rPr>
          <w:lang w:val="fr-CA"/>
        </w:rPr>
        <w:t xml:space="preserve">les phrases suivantes après le </w:t>
      </w:r>
      <w:r w:rsidRPr="007B3827">
        <w:rPr>
          <w:lang w:val="fr-CA"/>
        </w:rPr>
        <w:t>paragraph</w:t>
      </w:r>
      <w:r w:rsidR="00AA3F39" w:rsidRPr="007B3827">
        <w:rPr>
          <w:lang w:val="fr-CA"/>
        </w:rPr>
        <w:t>e </w:t>
      </w:r>
      <w:r w:rsidR="00A53A83" w:rsidRPr="007B3827">
        <w:rPr>
          <w:lang w:val="fr-CA"/>
        </w:rPr>
        <w:t>37</w:t>
      </w:r>
    </w:p>
    <w:p w14:paraId="45EE53BE" w14:textId="692F9CC7" w:rsidR="00A53A83" w:rsidRPr="007B3827" w:rsidRDefault="00A53A83" w:rsidP="007B3827">
      <w:pPr>
        <w:pStyle w:val="Heading1"/>
        <w:numPr>
          <w:ilvl w:val="0"/>
          <w:numId w:val="0"/>
        </w:numPr>
        <w:rPr>
          <w:lang w:val="fr-CA"/>
        </w:rPr>
      </w:pPr>
      <w:r w:rsidRPr="00953236">
        <w:rPr>
          <w:lang w:val="fr-FR"/>
        </w:rPr>
        <w:t>37</w:t>
      </w:r>
      <w:r w:rsidR="002D4FDD" w:rsidRPr="00953236">
        <w:rPr>
          <w:lang w:val="fr-FR"/>
        </w:rPr>
        <w:t>(</w:t>
      </w:r>
      <w:r w:rsidRPr="00953236">
        <w:rPr>
          <w:lang w:val="fr-FR"/>
        </w:rPr>
        <w:t>bis</w:t>
      </w:r>
      <w:r w:rsidR="002D4FDD" w:rsidRPr="00953236">
        <w:rPr>
          <w:lang w:val="fr-FR"/>
        </w:rPr>
        <w:t xml:space="preserve">).   </w:t>
      </w:r>
      <w:r w:rsidR="00AA3F39" w:rsidRPr="007B3827">
        <w:rPr>
          <w:lang w:val="fr-CA"/>
        </w:rPr>
        <w:t>La Banque mondiale a expliqué qu’alors que la chloration de l'acétylène</w:t>
      </w:r>
      <w:r w:rsidRPr="007B3827">
        <w:rPr>
          <w:lang w:val="fr-CA"/>
        </w:rPr>
        <w:t xml:space="preserve"> </w:t>
      </w:r>
      <w:r w:rsidR="00AA3F39" w:rsidRPr="007B3827">
        <w:rPr>
          <w:lang w:val="fr-CA"/>
        </w:rPr>
        <w:t xml:space="preserve">est la technologie privilégiée en </w:t>
      </w:r>
      <w:r w:rsidRPr="007B3827">
        <w:rPr>
          <w:lang w:val="fr-CA"/>
        </w:rPr>
        <w:t>Chin</w:t>
      </w:r>
      <w:r w:rsidR="00AA3F39" w:rsidRPr="007B3827">
        <w:rPr>
          <w:lang w:val="fr-CA"/>
        </w:rPr>
        <w:t>e pour la production de PCE</w:t>
      </w:r>
      <w:r w:rsidRPr="007B3827">
        <w:rPr>
          <w:lang w:val="fr-CA"/>
        </w:rPr>
        <w:t xml:space="preserve">, </w:t>
      </w:r>
      <w:r w:rsidR="00AA3F39" w:rsidRPr="007B3827">
        <w:rPr>
          <w:lang w:val="fr-CA"/>
        </w:rPr>
        <w:t xml:space="preserve">un producteur de </w:t>
      </w:r>
      <w:r w:rsidRPr="007B3827">
        <w:rPr>
          <w:lang w:val="fr-CA"/>
        </w:rPr>
        <w:t xml:space="preserve">PCE </w:t>
      </w:r>
      <w:r w:rsidR="00AA3F39" w:rsidRPr="007B3827">
        <w:rPr>
          <w:lang w:val="fr-CA"/>
        </w:rPr>
        <w:t>et huit producteurs de</w:t>
      </w:r>
      <w:r w:rsidRPr="007B3827">
        <w:rPr>
          <w:lang w:val="fr-CA"/>
        </w:rPr>
        <w:t xml:space="preserve"> CM, </w:t>
      </w:r>
      <w:r w:rsidR="00AA3F39" w:rsidRPr="007B3827">
        <w:rPr>
          <w:lang w:val="fr-CA"/>
        </w:rPr>
        <w:t xml:space="preserve">dont </w:t>
      </w:r>
      <w:r w:rsidR="00AA3F39" w:rsidRPr="007B3827">
        <w:rPr>
          <w:lang w:val="fr-CA"/>
        </w:rPr>
        <w:lastRenderedPageBreak/>
        <w:t xml:space="preserve">un qui est également </w:t>
      </w:r>
      <w:r w:rsidR="00360311" w:rsidRPr="007B3827">
        <w:rPr>
          <w:lang w:val="fr-CA"/>
        </w:rPr>
        <w:t>déclaré</w:t>
      </w:r>
      <w:r w:rsidR="00AA3F39" w:rsidRPr="007B3827">
        <w:rPr>
          <w:lang w:val="fr-CA"/>
        </w:rPr>
        <w:t xml:space="preserve"> en tant qu’utilisateur de </w:t>
      </w:r>
      <w:r w:rsidRPr="007B3827">
        <w:rPr>
          <w:lang w:val="fr-CA"/>
        </w:rPr>
        <w:t xml:space="preserve">CTC </w:t>
      </w:r>
      <w:r w:rsidR="00AA3F39" w:rsidRPr="007B3827">
        <w:rPr>
          <w:lang w:val="fr-CA"/>
        </w:rPr>
        <w:t>comme matière première</w:t>
      </w:r>
      <w:r w:rsidRPr="007B3827">
        <w:rPr>
          <w:lang w:val="fr-CA"/>
        </w:rPr>
        <w:t>,</w:t>
      </w:r>
      <w:r w:rsidR="00AA3F39" w:rsidRPr="007B3827">
        <w:rPr>
          <w:lang w:val="fr-CA"/>
        </w:rPr>
        <w:t xml:space="preserve"> ont recours à la chloration des alcanes</w:t>
      </w:r>
      <w:r w:rsidRPr="007B3827">
        <w:rPr>
          <w:lang w:val="fr-CA"/>
        </w:rPr>
        <w:t xml:space="preserve">. </w:t>
      </w:r>
      <w:r w:rsidR="00AA3F39" w:rsidRPr="007B3827">
        <w:rPr>
          <w:lang w:val="fr-CA"/>
        </w:rPr>
        <w:t xml:space="preserve">Le producteur de </w:t>
      </w:r>
      <w:r w:rsidRPr="007B3827">
        <w:rPr>
          <w:lang w:val="fr-CA"/>
        </w:rPr>
        <w:t xml:space="preserve">PCE </w:t>
      </w:r>
      <w:r w:rsidR="00AA3F39" w:rsidRPr="007B3827">
        <w:rPr>
          <w:lang w:val="fr-CA"/>
        </w:rPr>
        <w:t xml:space="preserve">qui applique cette dernière technologie </w:t>
      </w:r>
      <w:r w:rsidR="007942A0" w:rsidRPr="007B3827">
        <w:rPr>
          <w:lang w:val="fr-CA"/>
        </w:rPr>
        <w:t xml:space="preserve">n’est ni producteur ni utilisateur de </w:t>
      </w:r>
      <w:r w:rsidRPr="007B3827">
        <w:rPr>
          <w:lang w:val="fr-CA"/>
        </w:rPr>
        <w:t>CTC</w:t>
      </w:r>
      <w:r w:rsidR="007942A0" w:rsidRPr="007B3827">
        <w:rPr>
          <w:lang w:val="fr-CA"/>
        </w:rPr>
        <w:t>, cette substance étant produite et utilisée en circuit fermé.</w:t>
      </w:r>
    </w:p>
    <w:p w14:paraId="630F725E" w14:textId="61894852" w:rsidR="00A53A83" w:rsidRPr="007B3827" w:rsidRDefault="00A53A83" w:rsidP="007B3827">
      <w:pPr>
        <w:pStyle w:val="Heading1"/>
        <w:numPr>
          <w:ilvl w:val="0"/>
          <w:numId w:val="0"/>
        </w:numPr>
        <w:rPr>
          <w:lang w:val="fr-CA"/>
        </w:rPr>
      </w:pPr>
      <w:r w:rsidRPr="007B3827">
        <w:rPr>
          <w:lang w:val="fr-CA"/>
        </w:rPr>
        <w:t>37</w:t>
      </w:r>
      <w:r w:rsidR="002D4FDD" w:rsidRPr="007B3827">
        <w:rPr>
          <w:lang w:val="fr-CA"/>
        </w:rPr>
        <w:t>(</w:t>
      </w:r>
      <w:r w:rsidRPr="007B3827">
        <w:rPr>
          <w:lang w:val="fr-CA"/>
        </w:rPr>
        <w:t>ter</w:t>
      </w:r>
      <w:r w:rsidR="002D4FDD" w:rsidRPr="007B3827">
        <w:rPr>
          <w:lang w:val="fr-CA"/>
        </w:rPr>
        <w:t xml:space="preserve">).   </w:t>
      </w:r>
      <w:r w:rsidR="0000312B" w:rsidRPr="007B3827">
        <w:rPr>
          <w:lang w:val="fr-CA"/>
        </w:rPr>
        <w:t>Le gouvernement envisage de demander aux producteurs de</w:t>
      </w:r>
      <w:r w:rsidRPr="007B3827">
        <w:rPr>
          <w:lang w:val="fr-CA"/>
        </w:rPr>
        <w:t xml:space="preserve"> PCE </w:t>
      </w:r>
      <w:r w:rsidR="0000312B" w:rsidRPr="007B3827">
        <w:rPr>
          <w:lang w:val="fr-CA"/>
        </w:rPr>
        <w:t>qui produisent du</w:t>
      </w:r>
      <w:r w:rsidRPr="007B3827">
        <w:rPr>
          <w:lang w:val="fr-CA"/>
        </w:rPr>
        <w:t xml:space="preserve"> CTC </w:t>
      </w:r>
      <w:r w:rsidR="0000312B" w:rsidRPr="007B3827">
        <w:rPr>
          <w:lang w:val="fr-CA"/>
        </w:rPr>
        <w:t xml:space="preserve">comme produit intermédiaire de </w:t>
      </w:r>
      <w:r w:rsidR="00360311" w:rsidRPr="007B3827">
        <w:rPr>
          <w:lang w:val="fr-CA"/>
        </w:rPr>
        <w:t>se déclarer</w:t>
      </w:r>
      <w:r w:rsidRPr="007B3827">
        <w:rPr>
          <w:lang w:val="fr-CA"/>
        </w:rPr>
        <w:t xml:space="preserve">. </w:t>
      </w:r>
      <w:r w:rsidR="0000312B" w:rsidRPr="007B3827">
        <w:rPr>
          <w:lang w:val="fr-CA"/>
        </w:rPr>
        <w:t xml:space="preserve">Cette nouvelle exigence ne s’appliquerait qu’aux producteurs de </w:t>
      </w:r>
      <w:r w:rsidRPr="007B3827">
        <w:rPr>
          <w:lang w:val="fr-CA"/>
        </w:rPr>
        <w:t xml:space="preserve">PCE </w:t>
      </w:r>
      <w:r w:rsidR="0000312B" w:rsidRPr="007B3827">
        <w:rPr>
          <w:lang w:val="fr-CA"/>
        </w:rPr>
        <w:t>qui ont recours à la chloration de</w:t>
      </w:r>
      <w:r w:rsidR="005E7D9E" w:rsidRPr="007B3827">
        <w:rPr>
          <w:lang w:val="fr-CA"/>
        </w:rPr>
        <w:t>s</w:t>
      </w:r>
      <w:r w:rsidR="0000312B" w:rsidRPr="007B3827">
        <w:rPr>
          <w:lang w:val="fr-CA"/>
        </w:rPr>
        <w:t xml:space="preserve"> alcane</w:t>
      </w:r>
      <w:r w:rsidR="005E7D9E" w:rsidRPr="007B3827">
        <w:rPr>
          <w:lang w:val="fr-CA"/>
        </w:rPr>
        <w:t>s en</w:t>
      </w:r>
      <w:r w:rsidRPr="007B3827">
        <w:rPr>
          <w:lang w:val="fr-CA"/>
        </w:rPr>
        <w:t xml:space="preserve"> </w:t>
      </w:r>
      <w:r w:rsidR="00CB7150" w:rsidRPr="007B3827">
        <w:rPr>
          <w:lang w:val="fr-CA"/>
        </w:rPr>
        <w:t>C1</w:t>
      </w:r>
      <w:r w:rsidR="001C02AE" w:rsidRPr="007B3827">
        <w:rPr>
          <w:lang w:val="fr-CA"/>
        </w:rPr>
        <w:noBreakHyphen/>
      </w:r>
      <w:r w:rsidR="00CB7150" w:rsidRPr="007B3827">
        <w:rPr>
          <w:lang w:val="fr-CA"/>
        </w:rPr>
        <w:t xml:space="preserve">C3, </w:t>
      </w:r>
      <w:r w:rsidR="0000312B" w:rsidRPr="007B3827">
        <w:rPr>
          <w:lang w:val="fr-CA"/>
        </w:rPr>
        <w:t xml:space="preserve">et non à ceux qui emploient la méthode de la chloration de l’acétylène, vu qu’aucun </w:t>
      </w:r>
      <w:r w:rsidRPr="007B3827">
        <w:rPr>
          <w:lang w:val="fr-CA"/>
        </w:rPr>
        <w:t xml:space="preserve">CTC </w:t>
      </w:r>
      <w:r w:rsidR="0000312B" w:rsidRPr="007B3827">
        <w:rPr>
          <w:lang w:val="fr-CA"/>
        </w:rPr>
        <w:t>n’est utilisé ou produit pendant le processus</w:t>
      </w:r>
      <w:r w:rsidRPr="007B3827">
        <w:rPr>
          <w:lang w:val="fr-CA"/>
        </w:rPr>
        <w:t xml:space="preserve">. </w:t>
      </w:r>
      <w:r w:rsidR="0000312B" w:rsidRPr="007B3827">
        <w:rPr>
          <w:lang w:val="fr-CA"/>
        </w:rPr>
        <w:t xml:space="preserve">Les producteurs de </w:t>
      </w:r>
      <w:r w:rsidRPr="007B3827">
        <w:rPr>
          <w:lang w:val="fr-CA"/>
        </w:rPr>
        <w:t xml:space="preserve">CM </w:t>
      </w:r>
      <w:r w:rsidR="0000312B" w:rsidRPr="007B3827">
        <w:rPr>
          <w:lang w:val="fr-CA"/>
        </w:rPr>
        <w:t>qui privilégient la chloration de</w:t>
      </w:r>
      <w:r w:rsidR="005E7D9E" w:rsidRPr="007B3827">
        <w:rPr>
          <w:lang w:val="fr-CA"/>
        </w:rPr>
        <w:t>s</w:t>
      </w:r>
      <w:r w:rsidR="0000312B" w:rsidRPr="007B3827">
        <w:rPr>
          <w:lang w:val="fr-CA"/>
        </w:rPr>
        <w:t xml:space="preserve"> alcane</w:t>
      </w:r>
      <w:r w:rsidR="005E7D9E" w:rsidRPr="007B3827">
        <w:rPr>
          <w:lang w:val="fr-CA"/>
        </w:rPr>
        <w:t>s en</w:t>
      </w:r>
      <w:r w:rsidRPr="007B3827">
        <w:rPr>
          <w:lang w:val="fr-CA"/>
        </w:rPr>
        <w:t xml:space="preserve"> C1-C3 </w:t>
      </w:r>
      <w:r w:rsidR="0000312B" w:rsidRPr="007B3827">
        <w:rPr>
          <w:lang w:val="fr-CA"/>
        </w:rPr>
        <w:t xml:space="preserve">sont déjà tenus de </w:t>
      </w:r>
      <w:r w:rsidR="005E7D9E" w:rsidRPr="007B3827">
        <w:rPr>
          <w:lang w:val="fr-CA"/>
        </w:rPr>
        <w:t>se déclarer</w:t>
      </w:r>
      <w:r w:rsidR="0000312B" w:rsidRPr="007B3827">
        <w:rPr>
          <w:lang w:val="fr-CA"/>
        </w:rPr>
        <w:t xml:space="preserve"> et de communiquer leurs données trimestrielles au</w:t>
      </w:r>
      <w:r w:rsidRPr="007B3827">
        <w:rPr>
          <w:lang w:val="fr-CA"/>
        </w:rPr>
        <w:t xml:space="preserve"> FECO, </w:t>
      </w:r>
      <w:r w:rsidR="0000312B" w:rsidRPr="007B3827">
        <w:rPr>
          <w:lang w:val="fr-CA"/>
        </w:rPr>
        <w:t xml:space="preserve">dont la quantité de </w:t>
      </w:r>
      <w:r w:rsidRPr="007B3827">
        <w:rPr>
          <w:lang w:val="fr-CA"/>
        </w:rPr>
        <w:t xml:space="preserve">CTC </w:t>
      </w:r>
      <w:r w:rsidR="0000312B" w:rsidRPr="007B3827">
        <w:rPr>
          <w:lang w:val="fr-CA"/>
        </w:rPr>
        <w:t>utilisée et de PCE produite</w:t>
      </w:r>
      <w:r w:rsidRPr="007B3827">
        <w:rPr>
          <w:lang w:val="fr-CA"/>
        </w:rPr>
        <w:t>.</w:t>
      </w:r>
    </w:p>
    <w:p w14:paraId="40300F83" w14:textId="2811BE5D" w:rsidR="002D4FDD" w:rsidRPr="007B3827" w:rsidRDefault="002D4FDD" w:rsidP="007B3827">
      <w:pPr>
        <w:spacing w:after="240"/>
        <w:rPr>
          <w:lang w:val="fr-C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2D4FDD" w:rsidRPr="008F1579" w14:paraId="5C57019F" w14:textId="77777777" w:rsidTr="002D4FDD">
        <w:tc>
          <w:tcPr>
            <w:tcW w:w="1870" w:type="dxa"/>
          </w:tcPr>
          <w:p w14:paraId="2B006DE7" w14:textId="77777777" w:rsidR="002D4FDD" w:rsidRPr="007B3827" w:rsidRDefault="002D4FDD" w:rsidP="007B3827">
            <w:pPr>
              <w:spacing w:after="240"/>
              <w:rPr>
                <w:lang w:val="fr-CA"/>
              </w:rPr>
            </w:pPr>
          </w:p>
        </w:tc>
        <w:tc>
          <w:tcPr>
            <w:tcW w:w="1870" w:type="dxa"/>
          </w:tcPr>
          <w:p w14:paraId="4A84F748" w14:textId="77777777" w:rsidR="002D4FDD" w:rsidRPr="007B3827" w:rsidRDefault="002D4FDD" w:rsidP="007B3827">
            <w:pPr>
              <w:spacing w:after="240"/>
              <w:rPr>
                <w:lang w:val="fr-CA"/>
              </w:rPr>
            </w:pPr>
          </w:p>
        </w:tc>
        <w:tc>
          <w:tcPr>
            <w:tcW w:w="1870" w:type="dxa"/>
            <w:tcBorders>
              <w:bottom w:val="single" w:sz="4" w:space="0" w:color="auto"/>
            </w:tcBorders>
          </w:tcPr>
          <w:p w14:paraId="6A0F601E" w14:textId="77777777" w:rsidR="002D4FDD" w:rsidRPr="007B3827" w:rsidRDefault="002D4FDD" w:rsidP="007B3827">
            <w:pPr>
              <w:spacing w:after="240"/>
              <w:rPr>
                <w:lang w:val="fr-CA"/>
              </w:rPr>
            </w:pPr>
          </w:p>
        </w:tc>
        <w:tc>
          <w:tcPr>
            <w:tcW w:w="1870" w:type="dxa"/>
          </w:tcPr>
          <w:p w14:paraId="6AE74C5E" w14:textId="77777777" w:rsidR="002D4FDD" w:rsidRPr="007B3827" w:rsidRDefault="002D4FDD" w:rsidP="007B3827">
            <w:pPr>
              <w:spacing w:after="240"/>
              <w:rPr>
                <w:lang w:val="fr-CA"/>
              </w:rPr>
            </w:pPr>
          </w:p>
        </w:tc>
        <w:tc>
          <w:tcPr>
            <w:tcW w:w="1870" w:type="dxa"/>
          </w:tcPr>
          <w:p w14:paraId="46699A73" w14:textId="77777777" w:rsidR="002D4FDD" w:rsidRPr="007B3827" w:rsidRDefault="002D4FDD" w:rsidP="007B3827">
            <w:pPr>
              <w:spacing w:after="240"/>
              <w:rPr>
                <w:lang w:val="fr-CA"/>
              </w:rPr>
            </w:pPr>
          </w:p>
        </w:tc>
      </w:tr>
    </w:tbl>
    <w:p w14:paraId="4BC0CA87" w14:textId="77777777" w:rsidR="002D4FDD" w:rsidRPr="007B3827" w:rsidRDefault="002D4FDD" w:rsidP="007B3827">
      <w:pPr>
        <w:spacing w:after="240"/>
        <w:rPr>
          <w:lang w:val="fr-CA"/>
        </w:rPr>
      </w:pPr>
    </w:p>
    <w:sectPr w:rsidR="002D4FDD" w:rsidRPr="007B3827" w:rsidSect="00C8688D">
      <w:headerReference w:type="even" r:id="rId13"/>
      <w:headerReference w:type="default" r:id="rId14"/>
      <w:footerReference w:type="even" r:id="rId15"/>
      <w:footerReference w:type="default" r:id="rId16"/>
      <w:footnotePr>
        <w:numStart w:val="10"/>
      </w:footnotePr>
      <w:pgSz w:w="12240" w:h="15840" w:code="1"/>
      <w:pgMar w:top="720" w:right="1440" w:bottom="709" w:left="1440" w:header="720" w:footer="478" w:gutter="0"/>
      <w:cols w:space="720"/>
      <w:titlePg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BF75E18" w16cid:durableId="218E0784"/>
  <w16cid:commentId w16cid:paraId="23D72A71" w16cid:durableId="218E0E08"/>
  <w16cid:commentId w16cid:paraId="0AA959AA" w16cid:durableId="218E1976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1A051E" w14:textId="77777777" w:rsidR="00776863" w:rsidRDefault="00776863" w:rsidP="004A504B">
      <w:r>
        <w:separator/>
      </w:r>
    </w:p>
  </w:endnote>
  <w:endnote w:type="continuationSeparator" w:id="0">
    <w:p w14:paraId="467C9FA2" w14:textId="77777777" w:rsidR="00776863" w:rsidRDefault="00776863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E02C48" w14:textId="605EFE2C" w:rsidR="00EC3EF2" w:rsidRDefault="00EC3EF2">
    <w:pPr>
      <w:jc w:val="center"/>
      <w:rPr>
        <w:noProof/>
      </w:rPr>
    </w:pPr>
    <w:r>
      <w:fldChar w:fldCharType="begin"/>
    </w:r>
    <w:r>
      <w:instrText xml:space="preserve"> PAGE </w:instrText>
    </w:r>
    <w:r>
      <w:fldChar w:fldCharType="separate"/>
    </w:r>
    <w:r w:rsidR="008F1579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81E863" w14:textId="5348073F" w:rsidR="00EC3EF2" w:rsidRPr="0033525D" w:rsidRDefault="00EC3EF2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8F1579">
      <w:rPr>
        <w:noProof/>
      </w:rPr>
      <w:t>3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5474B5" w14:textId="77777777" w:rsidR="00776863" w:rsidRDefault="00776863" w:rsidP="004A504B">
      <w:r>
        <w:separator/>
      </w:r>
    </w:p>
  </w:footnote>
  <w:footnote w:type="continuationSeparator" w:id="0">
    <w:p w14:paraId="046C1589" w14:textId="77777777" w:rsidR="00776863" w:rsidRDefault="00776863" w:rsidP="004A504B">
      <w:r>
        <w:continuationSeparator/>
      </w:r>
    </w:p>
  </w:footnote>
  <w:footnote w:id="1">
    <w:p w14:paraId="521E4902" w14:textId="031996FD" w:rsidR="000E45FB" w:rsidRDefault="000E45FB">
      <w:pPr>
        <w:pStyle w:val="FootnoteText"/>
      </w:pPr>
      <w:r>
        <w:rPr>
          <w:rStyle w:val="FootnoteReference"/>
        </w:rPr>
        <w:footnoteRef/>
      </w:r>
      <w:r w:rsidR="00BE5B5C" w:rsidRPr="00BE5B5C">
        <w:rPr>
          <w:vertAlign w:val="superscript"/>
        </w:rPr>
        <w:t>(bis)</w:t>
      </w:r>
      <w:r w:rsidR="00CB7150" w:rsidRPr="00CB7150">
        <w:t xml:space="preserve"> </w:t>
      </w:r>
      <w:r w:rsidRPr="000E45FB">
        <w:t>Park S., Li S., Mühle J, O'Doherty S, Weiss RF, Fang X., Reimann S., Prinn RG.</w:t>
      </w:r>
      <w:r>
        <w:t xml:space="preserve"> (2018)</w:t>
      </w:r>
      <w:r w:rsidRPr="000E45FB">
        <w:t xml:space="preserve">: </w:t>
      </w:r>
      <w:r>
        <w:t>T</w:t>
      </w:r>
      <w:r w:rsidRPr="000E45FB">
        <w:t>oward resolving the budget discrepancy of ozone-depleting carbon tetrachloride (CCl4): an analysis of top-down emissions from China</w:t>
      </w:r>
      <w:r>
        <w:t xml:space="preserve">.  </w:t>
      </w:r>
      <w:r w:rsidRPr="000E45FB">
        <w:rPr>
          <w:i/>
        </w:rPr>
        <w:t>Atmospheric Chemistry and Physics</w:t>
      </w:r>
      <w:r>
        <w:rPr>
          <w:i/>
        </w:rPr>
        <w:t xml:space="preserve">, 18. </w:t>
      </w:r>
      <w:hyperlink r:id="rId1" w:history="1">
        <w:r w:rsidR="00415AD6" w:rsidRPr="00E757A9">
          <w:rPr>
            <w:rStyle w:val="Hyperlink"/>
          </w:rPr>
          <w:t>https://doi.org/10.5194/acp-18-11729-2018</w:t>
        </w:r>
      </w:hyperlink>
    </w:p>
    <w:p w14:paraId="60767BD4" w14:textId="77777777" w:rsidR="00415AD6" w:rsidRPr="00A632BD" w:rsidRDefault="00415AD6">
      <w:pPr>
        <w:pStyle w:val="FootnoteText"/>
        <w:rPr>
          <w:lang w:val="en-CA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D9E416" w14:textId="7DE0B07E" w:rsidR="00EC3EF2" w:rsidRPr="00C47B12" w:rsidRDefault="00F22898">
    <w:pPr>
      <w:rPr>
        <w:lang w:val="pt-BR"/>
      </w:rPr>
    </w:pPr>
    <w:r>
      <w:fldChar w:fldCharType="begin"/>
    </w:r>
    <w:r w:rsidRPr="00C47B12">
      <w:rPr>
        <w:lang w:val="pt-BR"/>
      </w:rPr>
      <w:instrText xml:space="preserve"> DOCPROPERTY "Document number"  \* MERGEFORMAT </w:instrText>
    </w:r>
    <w:r>
      <w:fldChar w:fldCharType="separate"/>
    </w:r>
    <w:r w:rsidR="007B3827">
      <w:rPr>
        <w:lang w:val="pt-BR"/>
      </w:rPr>
      <w:t>UNEP/OzL.Pro/ExCom/84/22/Add.3</w:t>
    </w:r>
    <w:r>
      <w:fldChar w:fldCharType="end"/>
    </w:r>
  </w:p>
  <w:p w14:paraId="290FED9F" w14:textId="77777777" w:rsidR="00EC3EF2" w:rsidRPr="00C47B12" w:rsidRDefault="00EC3EF2">
    <w:pPr>
      <w:rPr>
        <w:lang w:val="pt-BR"/>
      </w:rPr>
    </w:pPr>
  </w:p>
  <w:p w14:paraId="631BA721" w14:textId="77777777" w:rsidR="00EC3EF2" w:rsidRPr="00C47B12" w:rsidRDefault="00EC3EF2">
    <w:pPr>
      <w:rPr>
        <w:lang w:val="pt-B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A373B5" w14:textId="08524048" w:rsidR="00EC3EF2" w:rsidRPr="00C47B12" w:rsidRDefault="00F22898">
    <w:pPr>
      <w:jc w:val="right"/>
      <w:rPr>
        <w:lang w:val="pt-BR"/>
      </w:rPr>
    </w:pPr>
    <w:r>
      <w:fldChar w:fldCharType="begin"/>
    </w:r>
    <w:r w:rsidRPr="00C47B12">
      <w:rPr>
        <w:lang w:val="pt-BR"/>
      </w:rPr>
      <w:instrText xml:space="preserve"> DOCPROPERTY "Document number"  \* MERGEFORMAT </w:instrText>
    </w:r>
    <w:r>
      <w:fldChar w:fldCharType="separate"/>
    </w:r>
    <w:r w:rsidR="007B3827">
      <w:rPr>
        <w:lang w:val="pt-BR"/>
      </w:rPr>
      <w:t>UNEP/OzL.Pro/ExCom/84/22/Add.3</w:t>
    </w:r>
    <w:r>
      <w:fldChar w:fldCharType="end"/>
    </w:r>
  </w:p>
  <w:p w14:paraId="789AD771" w14:textId="77777777" w:rsidR="00EC3EF2" w:rsidRPr="00C47B12" w:rsidRDefault="00EC3EF2">
    <w:pPr>
      <w:rPr>
        <w:lang w:val="pt-BR"/>
      </w:rPr>
    </w:pPr>
  </w:p>
  <w:p w14:paraId="67481172" w14:textId="77777777" w:rsidR="00EC3EF2" w:rsidRPr="00C47B12" w:rsidRDefault="00EC3EF2">
    <w:pPr>
      <w:pStyle w:val="Header"/>
      <w:rPr>
        <w:lang w:val="pt-B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4C000D28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b w:val="0"/>
      </w:rPr>
    </w:lvl>
    <w:lvl w:ilvl="1">
      <w:start w:val="1"/>
      <w:numFmt w:val="lowerLetter"/>
      <w:pStyle w:val="Heading2"/>
      <w:lvlText w:val="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0E613DA"/>
    <w:multiLevelType w:val="hybridMultilevel"/>
    <w:tmpl w:val="6AB4ED60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086949C2"/>
    <w:multiLevelType w:val="hybridMultilevel"/>
    <w:tmpl w:val="CE74F5DA"/>
    <w:lvl w:ilvl="0" w:tplc="D512D054">
      <w:start w:val="1"/>
      <w:numFmt w:val="bullet"/>
      <w:lvlText w:val="•"/>
      <w:lvlJc w:val="left"/>
      <w:pPr>
        <w:ind w:left="170" w:hanging="170"/>
      </w:pPr>
      <w:rPr>
        <w:rFonts w:ascii="Arial" w:hAnsi="Arial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0C1537D3"/>
    <w:multiLevelType w:val="hybridMultilevel"/>
    <w:tmpl w:val="4EA462E2"/>
    <w:lvl w:ilvl="0" w:tplc="AEFA5112">
      <w:start w:val="1"/>
      <w:numFmt w:val="bullet"/>
      <w:lvlText w:val=""/>
      <w:lvlJc w:val="left"/>
      <w:pPr>
        <w:ind w:left="654" w:hanging="370"/>
      </w:pPr>
      <w:rPr>
        <w:rFonts w:ascii="Symbol" w:hAnsi="Symbol" w:hint="default"/>
        <w:color w:val="auto"/>
        <w:lang w:val="en-US"/>
      </w:rPr>
    </w:lvl>
    <w:lvl w:ilvl="1" w:tplc="04090003" w:tentative="1">
      <w:start w:val="1"/>
      <w:numFmt w:val="bullet"/>
      <w:lvlText w:val=""/>
      <w:lvlJc w:val="left"/>
      <w:pPr>
        <w:ind w:left="1124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4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4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84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4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44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64" w:hanging="420"/>
      </w:pPr>
      <w:rPr>
        <w:rFonts w:ascii="Wingdings" w:hAnsi="Wingdings" w:hint="default"/>
      </w:rPr>
    </w:lvl>
  </w:abstractNum>
  <w:abstractNum w:abstractNumId="14" w15:restartNumberingAfterBreak="0">
    <w:nsid w:val="0DDD19A3"/>
    <w:multiLevelType w:val="hybridMultilevel"/>
    <w:tmpl w:val="593020FC"/>
    <w:lvl w:ilvl="0" w:tplc="04090001">
      <w:start w:val="1"/>
      <w:numFmt w:val="bullet"/>
      <w:lvlText w:val=""/>
      <w:lvlJc w:val="left"/>
      <w:pPr>
        <w:ind w:left="105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7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3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9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15" w15:restartNumberingAfterBreak="0">
    <w:nsid w:val="26512342"/>
    <w:multiLevelType w:val="hybridMultilevel"/>
    <w:tmpl w:val="730C0C5E"/>
    <w:lvl w:ilvl="0" w:tplc="7BE8CFE6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DB34DFFA">
      <w:start w:val="1"/>
      <w:numFmt w:val="upperRoman"/>
      <w:lvlText w:val="%5．"/>
      <w:lvlJc w:val="left"/>
      <w:pPr>
        <w:ind w:left="3600" w:hanging="72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 w15:restartNumberingAfterBreak="0">
    <w:nsid w:val="2C4045E1"/>
    <w:multiLevelType w:val="hybridMultilevel"/>
    <w:tmpl w:val="8D8A6942"/>
    <w:lvl w:ilvl="0" w:tplc="04090003">
      <w:start w:val="1"/>
      <w:numFmt w:val="bullet"/>
      <w:lvlText w:val=""/>
      <w:lvlJc w:val="left"/>
      <w:pPr>
        <w:ind w:left="1860" w:hanging="420"/>
      </w:pPr>
      <w:rPr>
        <w:rFonts w:ascii="Wingdings" w:hAnsi="Wingdings" w:hint="default"/>
      </w:rPr>
    </w:lvl>
    <w:lvl w:ilvl="1" w:tplc="0B6A4FF0">
      <w:start w:val="1"/>
      <w:numFmt w:val="bullet"/>
      <w:lvlText w:val=""/>
      <w:lvlJc w:val="left"/>
      <w:pPr>
        <w:ind w:left="2280" w:hanging="420"/>
      </w:pPr>
      <w:rPr>
        <w:rFonts w:ascii="Symbol" w:hAnsi="Symbol" w:hint="default"/>
      </w:rPr>
    </w:lvl>
    <w:lvl w:ilvl="2" w:tplc="04090005">
      <w:start w:val="1"/>
      <w:numFmt w:val="bullet"/>
      <w:lvlText w:val=""/>
      <w:lvlJc w:val="left"/>
      <w:pPr>
        <w:ind w:left="2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2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54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8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20" w:hanging="420"/>
      </w:pPr>
      <w:rPr>
        <w:rFonts w:ascii="Wingdings" w:hAnsi="Wingdings" w:hint="default"/>
      </w:rPr>
    </w:lvl>
  </w:abstractNum>
  <w:abstractNum w:abstractNumId="18" w15:restartNumberingAfterBreak="0">
    <w:nsid w:val="31B07C29"/>
    <w:multiLevelType w:val="multilevel"/>
    <w:tmpl w:val="FC06226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00" w:hanging="1440"/>
      </w:pPr>
      <w:rPr>
        <w:rFonts w:hint="default"/>
      </w:rPr>
    </w:lvl>
  </w:abstractNum>
  <w:abstractNum w:abstractNumId="19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20" w15:restartNumberingAfterBreak="0">
    <w:nsid w:val="343B0811"/>
    <w:multiLevelType w:val="hybridMultilevel"/>
    <w:tmpl w:val="37CAAED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576B03"/>
    <w:multiLevelType w:val="hybridMultilevel"/>
    <w:tmpl w:val="4C12CDF8"/>
    <w:lvl w:ilvl="0" w:tplc="04090019">
      <w:start w:val="1"/>
      <w:numFmt w:val="lowerLetter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2" w15:restartNumberingAfterBreak="0">
    <w:nsid w:val="3DEC3F84"/>
    <w:multiLevelType w:val="hybridMultilevel"/>
    <w:tmpl w:val="0D8CF604"/>
    <w:lvl w:ilvl="0" w:tplc="F488A810">
      <w:start w:val="1"/>
      <w:numFmt w:val="bullet"/>
      <w:lvlText w:val="•"/>
      <w:lvlJc w:val="left"/>
      <w:pPr>
        <w:ind w:left="170" w:hanging="170"/>
      </w:pPr>
      <w:rPr>
        <w:rFonts w:ascii="Arial" w:hAnsi="Arial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3" w15:restartNumberingAfterBreak="0">
    <w:nsid w:val="3DFC2673"/>
    <w:multiLevelType w:val="hybridMultilevel"/>
    <w:tmpl w:val="F70AEA82"/>
    <w:lvl w:ilvl="0" w:tplc="E89EA75C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4" w15:restartNumberingAfterBreak="0">
    <w:nsid w:val="47E97F47"/>
    <w:multiLevelType w:val="hybridMultilevel"/>
    <w:tmpl w:val="3BA245BE"/>
    <w:lvl w:ilvl="0" w:tplc="04090001">
      <w:start w:val="1"/>
      <w:numFmt w:val="bullet"/>
      <w:lvlText w:val=""/>
      <w:lvlJc w:val="left"/>
      <w:pPr>
        <w:ind w:left="126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8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4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25" w15:restartNumberingAfterBreak="0">
    <w:nsid w:val="4BD6192D"/>
    <w:multiLevelType w:val="hybridMultilevel"/>
    <w:tmpl w:val="27DA1844"/>
    <w:lvl w:ilvl="0" w:tplc="10B89F06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6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8" w15:restartNumberingAfterBreak="0">
    <w:nsid w:val="5ACE66E5"/>
    <w:multiLevelType w:val="multilevel"/>
    <w:tmpl w:val="36466338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0"/>
        </w:tabs>
        <w:ind w:left="1440" w:hanging="720"/>
      </w:pPr>
      <w:rPr>
        <w:b w:val="0"/>
      </w:r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  <w:rPr>
        <w:b w:val="0"/>
        <w:strike w:val="0"/>
      </w:r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29" w15:restartNumberingAfterBreak="0">
    <w:nsid w:val="65CA3FF9"/>
    <w:multiLevelType w:val="hybridMultilevel"/>
    <w:tmpl w:val="8C58A7A8"/>
    <w:lvl w:ilvl="0" w:tplc="AEFA5112">
      <w:start w:val="1"/>
      <w:numFmt w:val="bullet"/>
      <w:lvlText w:val=""/>
      <w:lvlJc w:val="left"/>
      <w:pPr>
        <w:ind w:left="1701" w:hanging="1417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203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517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99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47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95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3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91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397" w:hanging="480"/>
      </w:pPr>
      <w:rPr>
        <w:rFonts w:ascii="Wingdings" w:hAnsi="Wingdings" w:hint="default"/>
      </w:rPr>
    </w:lvl>
  </w:abstractNum>
  <w:abstractNum w:abstractNumId="30" w15:restartNumberingAfterBreak="0">
    <w:nsid w:val="6BA4509A"/>
    <w:multiLevelType w:val="hybridMultilevel"/>
    <w:tmpl w:val="D4241AC0"/>
    <w:lvl w:ilvl="0" w:tplc="F7A2C976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73B37C50"/>
    <w:multiLevelType w:val="hybridMultilevel"/>
    <w:tmpl w:val="1B586E3C"/>
    <w:lvl w:ilvl="0" w:tplc="0B0ACF3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7C395B"/>
    <w:multiLevelType w:val="hybridMultilevel"/>
    <w:tmpl w:val="3A74DEC8"/>
    <w:lvl w:ilvl="0" w:tplc="2904031A">
      <w:start w:val="1"/>
      <w:numFmt w:val="decimal"/>
      <w:lvlText w:val="%1."/>
      <w:lvlJc w:val="left"/>
      <w:pPr>
        <w:ind w:left="360" w:hanging="360"/>
      </w:pPr>
      <w:rPr>
        <w:sz w:val="22"/>
        <w:szCs w:val="22"/>
      </w:rPr>
    </w:lvl>
    <w:lvl w:ilvl="1" w:tplc="6E5EA35C">
      <w:start w:val="1"/>
      <w:numFmt w:val="lowerLetter"/>
      <w:lvlText w:val="(%2)"/>
      <w:lvlJc w:val="left"/>
      <w:pPr>
        <w:ind w:left="1440" w:hanging="720"/>
      </w:pPr>
      <w:rPr>
        <w:rFonts w:hint="default"/>
      </w:rPr>
    </w:lvl>
    <w:lvl w:ilvl="2" w:tplc="C658C8D4">
      <w:start w:val="1"/>
      <w:numFmt w:val="lowerLetter"/>
      <w:lvlText w:val="%3)"/>
      <w:lvlJc w:val="left"/>
      <w:pPr>
        <w:ind w:left="234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78A3718"/>
    <w:multiLevelType w:val="hybridMultilevel"/>
    <w:tmpl w:val="AC28294C"/>
    <w:lvl w:ilvl="0" w:tplc="04090019">
      <w:start w:val="1"/>
      <w:numFmt w:val="lowerLetter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4" w15:restartNumberingAfterBreak="0">
    <w:nsid w:val="78FF13FD"/>
    <w:multiLevelType w:val="hybridMultilevel"/>
    <w:tmpl w:val="EB98CED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5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abstractNum w:abstractNumId="36" w15:restartNumberingAfterBreak="0">
    <w:nsid w:val="7EA71E11"/>
    <w:multiLevelType w:val="hybridMultilevel"/>
    <w:tmpl w:val="A7C0F73C"/>
    <w:lvl w:ilvl="0" w:tplc="F712F56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6"/>
  </w:num>
  <w:num w:numId="17">
    <w:abstractNumId w:val="26"/>
  </w:num>
  <w:num w:numId="18">
    <w:abstractNumId w:val="27"/>
  </w:num>
  <w:num w:numId="19">
    <w:abstractNumId w:val="35"/>
  </w:num>
  <w:num w:numId="20">
    <w:abstractNumId w:val="19"/>
  </w:num>
  <w:num w:numId="21">
    <w:abstractNumId w:val="31"/>
  </w:num>
  <w:num w:numId="22">
    <w:abstractNumId w:val="10"/>
  </w:num>
  <w:num w:numId="23">
    <w:abstractNumId w:val="10"/>
  </w:num>
  <w:num w:numId="24">
    <w:abstractNumId w:val="10"/>
  </w:num>
  <w:num w:numId="25">
    <w:abstractNumId w:val="10"/>
  </w:num>
  <w:num w:numId="26">
    <w:abstractNumId w:val="23"/>
  </w:num>
  <w:num w:numId="27">
    <w:abstractNumId w:val="20"/>
  </w:num>
  <w:num w:numId="28">
    <w:abstractNumId w:val="28"/>
  </w:num>
  <w:num w:numId="29">
    <w:abstractNumId w:val="15"/>
  </w:num>
  <w:num w:numId="30">
    <w:abstractNumId w:val="18"/>
  </w:num>
  <w:num w:numId="31">
    <w:abstractNumId w:val="14"/>
  </w:num>
  <w:num w:numId="32">
    <w:abstractNumId w:val="29"/>
  </w:num>
  <w:num w:numId="33">
    <w:abstractNumId w:val="17"/>
  </w:num>
  <w:num w:numId="34">
    <w:abstractNumId w:val="24"/>
  </w:num>
  <w:num w:numId="35">
    <w:abstractNumId w:val="32"/>
  </w:num>
  <w:num w:numId="36">
    <w:abstractNumId w:val="30"/>
  </w:num>
  <w:num w:numId="37">
    <w:abstractNumId w:val="34"/>
  </w:num>
  <w:num w:numId="38">
    <w:abstractNumId w:val="13"/>
  </w:num>
  <w:num w:numId="39">
    <w:abstractNumId w:val="33"/>
  </w:num>
  <w:num w:numId="40">
    <w:abstractNumId w:val="21"/>
  </w:num>
  <w:num w:numId="41">
    <w:abstractNumId w:val="12"/>
  </w:num>
  <w:num w:numId="42">
    <w:abstractNumId w:val="22"/>
  </w:num>
  <w:num w:numId="43">
    <w:abstractNumId w:val="25"/>
  </w:num>
  <w:num w:numId="44">
    <w:abstractNumId w:val="36"/>
  </w:num>
  <w:num w:numId="45">
    <w:abstractNumId w:val="11"/>
  </w:num>
  <w:num w:numId="4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10"/>
    <w:lvlOverride w:ilvl="0">
      <w:startOverride w:val="37"/>
    </w:lvlOverride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numStart w:val="10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bM0tTQyNTW0MDI1MzdS0lEKTi0uzszPAykwrwUA80GDZiwAAAA="/>
    <w:docVar w:name="dgnword-docGUID" w:val="{E55C2386-5116-42AE-A467-97C390A5CC50}"/>
    <w:docVar w:name="dgnword-eventsink" w:val="451884400"/>
  </w:docVars>
  <w:rsids>
    <w:rsidRoot w:val="008B0F7C"/>
    <w:rsid w:val="00000FED"/>
    <w:rsid w:val="0000312B"/>
    <w:rsid w:val="0000434E"/>
    <w:rsid w:val="00017C3F"/>
    <w:rsid w:val="00020E35"/>
    <w:rsid w:val="000211A9"/>
    <w:rsid w:val="000247DC"/>
    <w:rsid w:val="00031260"/>
    <w:rsid w:val="0003681A"/>
    <w:rsid w:val="00042813"/>
    <w:rsid w:val="00052C5C"/>
    <w:rsid w:val="00057F57"/>
    <w:rsid w:val="000615BB"/>
    <w:rsid w:val="00061EC2"/>
    <w:rsid w:val="00065224"/>
    <w:rsid w:val="000757D7"/>
    <w:rsid w:val="00080ED0"/>
    <w:rsid w:val="00085B8F"/>
    <w:rsid w:val="00090481"/>
    <w:rsid w:val="00092009"/>
    <w:rsid w:val="00094471"/>
    <w:rsid w:val="000A1F11"/>
    <w:rsid w:val="000A6C26"/>
    <w:rsid w:val="000A7870"/>
    <w:rsid w:val="000C26A3"/>
    <w:rsid w:val="000D52A4"/>
    <w:rsid w:val="000E07BC"/>
    <w:rsid w:val="000E3253"/>
    <w:rsid w:val="000E45FB"/>
    <w:rsid w:val="000E59CB"/>
    <w:rsid w:val="000F1CD4"/>
    <w:rsid w:val="000F30BC"/>
    <w:rsid w:val="000F4103"/>
    <w:rsid w:val="000F70A7"/>
    <w:rsid w:val="00113CCA"/>
    <w:rsid w:val="00117747"/>
    <w:rsid w:val="00122F25"/>
    <w:rsid w:val="00130205"/>
    <w:rsid w:val="0013107A"/>
    <w:rsid w:val="00135980"/>
    <w:rsid w:val="00142769"/>
    <w:rsid w:val="00145F66"/>
    <w:rsid w:val="00164719"/>
    <w:rsid w:val="0016516E"/>
    <w:rsid w:val="00166FC4"/>
    <w:rsid w:val="001677AC"/>
    <w:rsid w:val="001804EA"/>
    <w:rsid w:val="00187CFB"/>
    <w:rsid w:val="00190A61"/>
    <w:rsid w:val="001A3342"/>
    <w:rsid w:val="001A3E3D"/>
    <w:rsid w:val="001A7049"/>
    <w:rsid w:val="001B1D88"/>
    <w:rsid w:val="001B1E40"/>
    <w:rsid w:val="001B329D"/>
    <w:rsid w:val="001B383C"/>
    <w:rsid w:val="001B6487"/>
    <w:rsid w:val="001C02AE"/>
    <w:rsid w:val="001C3C80"/>
    <w:rsid w:val="001C764E"/>
    <w:rsid w:val="001C7C95"/>
    <w:rsid w:val="001D1808"/>
    <w:rsid w:val="001D2C9C"/>
    <w:rsid w:val="001D5CF4"/>
    <w:rsid w:val="001E1052"/>
    <w:rsid w:val="001E13F6"/>
    <w:rsid w:val="001E21B1"/>
    <w:rsid w:val="001E2F93"/>
    <w:rsid w:val="001E61E5"/>
    <w:rsid w:val="001F2159"/>
    <w:rsid w:val="00213B82"/>
    <w:rsid w:val="00214863"/>
    <w:rsid w:val="002156B4"/>
    <w:rsid w:val="00225A17"/>
    <w:rsid w:val="00253222"/>
    <w:rsid w:val="00257F14"/>
    <w:rsid w:val="00262847"/>
    <w:rsid w:val="00264492"/>
    <w:rsid w:val="00264ACF"/>
    <w:rsid w:val="002746BE"/>
    <w:rsid w:val="00281BB2"/>
    <w:rsid w:val="00292BC6"/>
    <w:rsid w:val="002B08D9"/>
    <w:rsid w:val="002B72E9"/>
    <w:rsid w:val="002C2001"/>
    <w:rsid w:val="002C7998"/>
    <w:rsid w:val="002D4FDD"/>
    <w:rsid w:val="002F1E53"/>
    <w:rsid w:val="002F263D"/>
    <w:rsid w:val="002F2CAA"/>
    <w:rsid w:val="002F3DCD"/>
    <w:rsid w:val="0030052C"/>
    <w:rsid w:val="003010F8"/>
    <w:rsid w:val="00317C8E"/>
    <w:rsid w:val="00321661"/>
    <w:rsid w:val="00321D6F"/>
    <w:rsid w:val="00324035"/>
    <w:rsid w:val="003306E1"/>
    <w:rsid w:val="003320E4"/>
    <w:rsid w:val="0033525D"/>
    <w:rsid w:val="003414F3"/>
    <w:rsid w:val="00346674"/>
    <w:rsid w:val="003512CB"/>
    <w:rsid w:val="0035613E"/>
    <w:rsid w:val="00360311"/>
    <w:rsid w:val="00363EE9"/>
    <w:rsid w:val="0036427C"/>
    <w:rsid w:val="00366505"/>
    <w:rsid w:val="00376128"/>
    <w:rsid w:val="0037742E"/>
    <w:rsid w:val="00377D56"/>
    <w:rsid w:val="0038245A"/>
    <w:rsid w:val="003840E6"/>
    <w:rsid w:val="00385613"/>
    <w:rsid w:val="00385CFC"/>
    <w:rsid w:val="003919B9"/>
    <w:rsid w:val="0039337A"/>
    <w:rsid w:val="00395F73"/>
    <w:rsid w:val="003A3189"/>
    <w:rsid w:val="003A3CA7"/>
    <w:rsid w:val="003B2723"/>
    <w:rsid w:val="003B33BD"/>
    <w:rsid w:val="003B569D"/>
    <w:rsid w:val="003B5BC6"/>
    <w:rsid w:val="003C0C29"/>
    <w:rsid w:val="003C1E00"/>
    <w:rsid w:val="003C3C0E"/>
    <w:rsid w:val="003C5333"/>
    <w:rsid w:val="003C7161"/>
    <w:rsid w:val="003D2ACB"/>
    <w:rsid w:val="003D4FAC"/>
    <w:rsid w:val="003D673C"/>
    <w:rsid w:val="003E7906"/>
    <w:rsid w:val="003F3C50"/>
    <w:rsid w:val="003F5FBE"/>
    <w:rsid w:val="0040668E"/>
    <w:rsid w:val="00406A6A"/>
    <w:rsid w:val="00406B22"/>
    <w:rsid w:val="0041277E"/>
    <w:rsid w:val="00415AD6"/>
    <w:rsid w:val="004174B4"/>
    <w:rsid w:val="00420117"/>
    <w:rsid w:val="004300F0"/>
    <w:rsid w:val="004328A7"/>
    <w:rsid w:val="00434C74"/>
    <w:rsid w:val="00450624"/>
    <w:rsid w:val="004519BA"/>
    <w:rsid w:val="00456EB4"/>
    <w:rsid w:val="00460AC3"/>
    <w:rsid w:val="004718F3"/>
    <w:rsid w:val="004731B8"/>
    <w:rsid w:val="00473CEE"/>
    <w:rsid w:val="00475040"/>
    <w:rsid w:val="00482A88"/>
    <w:rsid w:val="00483CAF"/>
    <w:rsid w:val="004932C4"/>
    <w:rsid w:val="00493D40"/>
    <w:rsid w:val="004967B6"/>
    <w:rsid w:val="004A504B"/>
    <w:rsid w:val="004A6911"/>
    <w:rsid w:val="004B54E0"/>
    <w:rsid w:val="004B7384"/>
    <w:rsid w:val="004C4269"/>
    <w:rsid w:val="004D2362"/>
    <w:rsid w:val="004D6236"/>
    <w:rsid w:val="004D7F90"/>
    <w:rsid w:val="004E4DBB"/>
    <w:rsid w:val="004E4E41"/>
    <w:rsid w:val="004E5722"/>
    <w:rsid w:val="004E7F9C"/>
    <w:rsid w:val="004F0E59"/>
    <w:rsid w:val="004F18A7"/>
    <w:rsid w:val="004F2AD3"/>
    <w:rsid w:val="004F3493"/>
    <w:rsid w:val="004F5143"/>
    <w:rsid w:val="00500BE0"/>
    <w:rsid w:val="00501A8E"/>
    <w:rsid w:val="00505EF1"/>
    <w:rsid w:val="00512B09"/>
    <w:rsid w:val="00513295"/>
    <w:rsid w:val="005147BC"/>
    <w:rsid w:val="00515B2F"/>
    <w:rsid w:val="005224AE"/>
    <w:rsid w:val="00523717"/>
    <w:rsid w:val="00533796"/>
    <w:rsid w:val="00535EB2"/>
    <w:rsid w:val="00555D75"/>
    <w:rsid w:val="00560DF0"/>
    <w:rsid w:val="00561D1D"/>
    <w:rsid w:val="0056759C"/>
    <w:rsid w:val="00571E91"/>
    <w:rsid w:val="00572152"/>
    <w:rsid w:val="005845AA"/>
    <w:rsid w:val="0059513E"/>
    <w:rsid w:val="005A0224"/>
    <w:rsid w:val="005A2438"/>
    <w:rsid w:val="005A4390"/>
    <w:rsid w:val="005B3110"/>
    <w:rsid w:val="005B48FF"/>
    <w:rsid w:val="005C233A"/>
    <w:rsid w:val="005D17B6"/>
    <w:rsid w:val="005D3C8D"/>
    <w:rsid w:val="005E06FA"/>
    <w:rsid w:val="005E7D9E"/>
    <w:rsid w:val="00604C15"/>
    <w:rsid w:val="00606A9B"/>
    <w:rsid w:val="006141BB"/>
    <w:rsid w:val="00614BE0"/>
    <w:rsid w:val="006158D5"/>
    <w:rsid w:val="00620E5F"/>
    <w:rsid w:val="00621739"/>
    <w:rsid w:val="00625D83"/>
    <w:rsid w:val="00646C45"/>
    <w:rsid w:val="0064705A"/>
    <w:rsid w:val="00661B54"/>
    <w:rsid w:val="006623E7"/>
    <w:rsid w:val="00662B80"/>
    <w:rsid w:val="0066468D"/>
    <w:rsid w:val="00670F6C"/>
    <w:rsid w:val="00675795"/>
    <w:rsid w:val="00675C94"/>
    <w:rsid w:val="006852C7"/>
    <w:rsid w:val="006852CE"/>
    <w:rsid w:val="0068654E"/>
    <w:rsid w:val="006A222E"/>
    <w:rsid w:val="006B2D0F"/>
    <w:rsid w:val="006C1727"/>
    <w:rsid w:val="006C32FD"/>
    <w:rsid w:val="006C39CE"/>
    <w:rsid w:val="006D0FCC"/>
    <w:rsid w:val="006D1D2D"/>
    <w:rsid w:val="006D54FC"/>
    <w:rsid w:val="006E1FC3"/>
    <w:rsid w:val="006E55BA"/>
    <w:rsid w:val="006F278C"/>
    <w:rsid w:val="007029CF"/>
    <w:rsid w:val="0070616B"/>
    <w:rsid w:val="00706FDA"/>
    <w:rsid w:val="00711F9A"/>
    <w:rsid w:val="00713810"/>
    <w:rsid w:val="00717BDF"/>
    <w:rsid w:val="00722CF2"/>
    <w:rsid w:val="007303A5"/>
    <w:rsid w:val="00730B3E"/>
    <w:rsid w:val="0073420B"/>
    <w:rsid w:val="00741F73"/>
    <w:rsid w:val="00742DC7"/>
    <w:rsid w:val="0074760E"/>
    <w:rsid w:val="00753E0B"/>
    <w:rsid w:val="00754ABA"/>
    <w:rsid w:val="00775948"/>
    <w:rsid w:val="00776863"/>
    <w:rsid w:val="00782BED"/>
    <w:rsid w:val="00783F60"/>
    <w:rsid w:val="007942A0"/>
    <w:rsid w:val="00794D65"/>
    <w:rsid w:val="007A1546"/>
    <w:rsid w:val="007A228C"/>
    <w:rsid w:val="007A23DE"/>
    <w:rsid w:val="007A368E"/>
    <w:rsid w:val="007A5868"/>
    <w:rsid w:val="007B04CE"/>
    <w:rsid w:val="007B2DC6"/>
    <w:rsid w:val="007B3827"/>
    <w:rsid w:val="007B6871"/>
    <w:rsid w:val="007B7A2F"/>
    <w:rsid w:val="007C227C"/>
    <w:rsid w:val="007C3D33"/>
    <w:rsid w:val="007D294A"/>
    <w:rsid w:val="007D3E76"/>
    <w:rsid w:val="007D47D2"/>
    <w:rsid w:val="007D6EC0"/>
    <w:rsid w:val="007D7E1D"/>
    <w:rsid w:val="00801683"/>
    <w:rsid w:val="00814433"/>
    <w:rsid w:val="00831179"/>
    <w:rsid w:val="00831979"/>
    <w:rsid w:val="008471AF"/>
    <w:rsid w:val="00851352"/>
    <w:rsid w:val="00863230"/>
    <w:rsid w:val="008717D8"/>
    <w:rsid w:val="0087215C"/>
    <w:rsid w:val="00874A6C"/>
    <w:rsid w:val="00880E35"/>
    <w:rsid w:val="008875FE"/>
    <w:rsid w:val="00887F8E"/>
    <w:rsid w:val="00894F66"/>
    <w:rsid w:val="00896234"/>
    <w:rsid w:val="00897E43"/>
    <w:rsid w:val="008A3A93"/>
    <w:rsid w:val="008B0F7C"/>
    <w:rsid w:val="008C0645"/>
    <w:rsid w:val="008C5362"/>
    <w:rsid w:val="008C5738"/>
    <w:rsid w:val="008C7EAD"/>
    <w:rsid w:val="008D0CFE"/>
    <w:rsid w:val="008D3375"/>
    <w:rsid w:val="008D54C2"/>
    <w:rsid w:val="008D6152"/>
    <w:rsid w:val="008E6057"/>
    <w:rsid w:val="008F0F81"/>
    <w:rsid w:val="008F1579"/>
    <w:rsid w:val="008F27BF"/>
    <w:rsid w:val="009142EC"/>
    <w:rsid w:val="009154C3"/>
    <w:rsid w:val="00917132"/>
    <w:rsid w:val="00923540"/>
    <w:rsid w:val="00926767"/>
    <w:rsid w:val="009361D5"/>
    <w:rsid w:val="00937E98"/>
    <w:rsid w:val="009428A4"/>
    <w:rsid w:val="00950591"/>
    <w:rsid w:val="00953236"/>
    <w:rsid w:val="009659F4"/>
    <w:rsid w:val="009709B0"/>
    <w:rsid w:val="00970D60"/>
    <w:rsid w:val="00981006"/>
    <w:rsid w:val="009816C2"/>
    <w:rsid w:val="00983EEE"/>
    <w:rsid w:val="009917E7"/>
    <w:rsid w:val="009960E5"/>
    <w:rsid w:val="009A7ADC"/>
    <w:rsid w:val="009B6039"/>
    <w:rsid w:val="009B77A9"/>
    <w:rsid w:val="009C19B7"/>
    <w:rsid w:val="009C7A46"/>
    <w:rsid w:val="009D7C51"/>
    <w:rsid w:val="009E027E"/>
    <w:rsid w:val="009E196C"/>
    <w:rsid w:val="009E3C1E"/>
    <w:rsid w:val="009F36BF"/>
    <w:rsid w:val="009F48EF"/>
    <w:rsid w:val="009F5811"/>
    <w:rsid w:val="00A06859"/>
    <w:rsid w:val="00A111B6"/>
    <w:rsid w:val="00A16C62"/>
    <w:rsid w:val="00A20612"/>
    <w:rsid w:val="00A2547B"/>
    <w:rsid w:val="00A26D27"/>
    <w:rsid w:val="00A376EE"/>
    <w:rsid w:val="00A42A99"/>
    <w:rsid w:val="00A5151A"/>
    <w:rsid w:val="00A53A83"/>
    <w:rsid w:val="00A56465"/>
    <w:rsid w:val="00A566DA"/>
    <w:rsid w:val="00A57E0A"/>
    <w:rsid w:val="00A632BD"/>
    <w:rsid w:val="00A64146"/>
    <w:rsid w:val="00A7244F"/>
    <w:rsid w:val="00A809E6"/>
    <w:rsid w:val="00A823F6"/>
    <w:rsid w:val="00A87914"/>
    <w:rsid w:val="00A93BBA"/>
    <w:rsid w:val="00AA0A89"/>
    <w:rsid w:val="00AA3F39"/>
    <w:rsid w:val="00AA5F7B"/>
    <w:rsid w:val="00AA6429"/>
    <w:rsid w:val="00AA7809"/>
    <w:rsid w:val="00AC01AA"/>
    <w:rsid w:val="00AC4F72"/>
    <w:rsid w:val="00AD6B7F"/>
    <w:rsid w:val="00AE77AA"/>
    <w:rsid w:val="00AF741A"/>
    <w:rsid w:val="00B01ADB"/>
    <w:rsid w:val="00B04161"/>
    <w:rsid w:val="00B056F9"/>
    <w:rsid w:val="00B11E3D"/>
    <w:rsid w:val="00B126E6"/>
    <w:rsid w:val="00B17E82"/>
    <w:rsid w:val="00B33E29"/>
    <w:rsid w:val="00B4575A"/>
    <w:rsid w:val="00B575BA"/>
    <w:rsid w:val="00B70380"/>
    <w:rsid w:val="00B76429"/>
    <w:rsid w:val="00B87312"/>
    <w:rsid w:val="00B956D4"/>
    <w:rsid w:val="00B97446"/>
    <w:rsid w:val="00BA7432"/>
    <w:rsid w:val="00BB62E2"/>
    <w:rsid w:val="00BB6C78"/>
    <w:rsid w:val="00BC1AA0"/>
    <w:rsid w:val="00BC2495"/>
    <w:rsid w:val="00BC7EB9"/>
    <w:rsid w:val="00BD2643"/>
    <w:rsid w:val="00BD56B1"/>
    <w:rsid w:val="00BD6558"/>
    <w:rsid w:val="00BE5B5C"/>
    <w:rsid w:val="00BE67B9"/>
    <w:rsid w:val="00BE7A5A"/>
    <w:rsid w:val="00BF05A0"/>
    <w:rsid w:val="00BF3022"/>
    <w:rsid w:val="00BF3214"/>
    <w:rsid w:val="00BF5573"/>
    <w:rsid w:val="00BF7BDA"/>
    <w:rsid w:val="00C05C8A"/>
    <w:rsid w:val="00C104A8"/>
    <w:rsid w:val="00C14CC1"/>
    <w:rsid w:val="00C15867"/>
    <w:rsid w:val="00C2296D"/>
    <w:rsid w:val="00C23155"/>
    <w:rsid w:val="00C26651"/>
    <w:rsid w:val="00C3476B"/>
    <w:rsid w:val="00C356BA"/>
    <w:rsid w:val="00C40C41"/>
    <w:rsid w:val="00C45885"/>
    <w:rsid w:val="00C46EB3"/>
    <w:rsid w:val="00C47B12"/>
    <w:rsid w:val="00C50F22"/>
    <w:rsid w:val="00C55303"/>
    <w:rsid w:val="00C57971"/>
    <w:rsid w:val="00C65BD7"/>
    <w:rsid w:val="00C76BA4"/>
    <w:rsid w:val="00C83A48"/>
    <w:rsid w:val="00C85865"/>
    <w:rsid w:val="00C85E85"/>
    <w:rsid w:val="00C8688D"/>
    <w:rsid w:val="00C92027"/>
    <w:rsid w:val="00C947B7"/>
    <w:rsid w:val="00CA2EAE"/>
    <w:rsid w:val="00CA4AC1"/>
    <w:rsid w:val="00CA4D65"/>
    <w:rsid w:val="00CB0316"/>
    <w:rsid w:val="00CB0B11"/>
    <w:rsid w:val="00CB47CC"/>
    <w:rsid w:val="00CB5354"/>
    <w:rsid w:val="00CB7150"/>
    <w:rsid w:val="00CC299E"/>
    <w:rsid w:val="00CC6236"/>
    <w:rsid w:val="00CC6A14"/>
    <w:rsid w:val="00CC70A3"/>
    <w:rsid w:val="00CD4442"/>
    <w:rsid w:val="00CD53C3"/>
    <w:rsid w:val="00CD574E"/>
    <w:rsid w:val="00CE1E69"/>
    <w:rsid w:val="00CE4C22"/>
    <w:rsid w:val="00CF1D45"/>
    <w:rsid w:val="00CF41EC"/>
    <w:rsid w:val="00CF57BE"/>
    <w:rsid w:val="00CF5D04"/>
    <w:rsid w:val="00D02D9F"/>
    <w:rsid w:val="00D04DE4"/>
    <w:rsid w:val="00D0546C"/>
    <w:rsid w:val="00D063F1"/>
    <w:rsid w:val="00D12804"/>
    <w:rsid w:val="00D13CD0"/>
    <w:rsid w:val="00D14F22"/>
    <w:rsid w:val="00D16B5B"/>
    <w:rsid w:val="00D22563"/>
    <w:rsid w:val="00D33CB4"/>
    <w:rsid w:val="00D42424"/>
    <w:rsid w:val="00D4741C"/>
    <w:rsid w:val="00D51B89"/>
    <w:rsid w:val="00D57918"/>
    <w:rsid w:val="00D57EE9"/>
    <w:rsid w:val="00D62899"/>
    <w:rsid w:val="00D63C5B"/>
    <w:rsid w:val="00D66982"/>
    <w:rsid w:val="00D73DC6"/>
    <w:rsid w:val="00D74C1A"/>
    <w:rsid w:val="00D754C1"/>
    <w:rsid w:val="00D77393"/>
    <w:rsid w:val="00D77A35"/>
    <w:rsid w:val="00D805D8"/>
    <w:rsid w:val="00D81B3E"/>
    <w:rsid w:val="00D84C25"/>
    <w:rsid w:val="00D86CFC"/>
    <w:rsid w:val="00D90C70"/>
    <w:rsid w:val="00D90E49"/>
    <w:rsid w:val="00D96ADE"/>
    <w:rsid w:val="00DA0CE2"/>
    <w:rsid w:val="00DA45AA"/>
    <w:rsid w:val="00DB2130"/>
    <w:rsid w:val="00DC6817"/>
    <w:rsid w:val="00DC6A10"/>
    <w:rsid w:val="00DD7434"/>
    <w:rsid w:val="00DE657E"/>
    <w:rsid w:val="00DF4704"/>
    <w:rsid w:val="00E024AA"/>
    <w:rsid w:val="00E21C0B"/>
    <w:rsid w:val="00E24259"/>
    <w:rsid w:val="00E24558"/>
    <w:rsid w:val="00E250F1"/>
    <w:rsid w:val="00E25AD5"/>
    <w:rsid w:val="00E3550D"/>
    <w:rsid w:val="00E40348"/>
    <w:rsid w:val="00E41335"/>
    <w:rsid w:val="00E4267D"/>
    <w:rsid w:val="00E614E0"/>
    <w:rsid w:val="00E73F7F"/>
    <w:rsid w:val="00E765DA"/>
    <w:rsid w:val="00E84B5F"/>
    <w:rsid w:val="00E85409"/>
    <w:rsid w:val="00EA429F"/>
    <w:rsid w:val="00EA4374"/>
    <w:rsid w:val="00EA4C3A"/>
    <w:rsid w:val="00EA4F9E"/>
    <w:rsid w:val="00EA63CA"/>
    <w:rsid w:val="00EA6D3B"/>
    <w:rsid w:val="00EB00AD"/>
    <w:rsid w:val="00EB136C"/>
    <w:rsid w:val="00EB480E"/>
    <w:rsid w:val="00EB5EC6"/>
    <w:rsid w:val="00EB7FC9"/>
    <w:rsid w:val="00EC1C3A"/>
    <w:rsid w:val="00EC39CD"/>
    <w:rsid w:val="00EC3EF2"/>
    <w:rsid w:val="00EC75C8"/>
    <w:rsid w:val="00ED27E8"/>
    <w:rsid w:val="00ED4E77"/>
    <w:rsid w:val="00ED7137"/>
    <w:rsid w:val="00EE66BA"/>
    <w:rsid w:val="00F07A58"/>
    <w:rsid w:val="00F21088"/>
    <w:rsid w:val="00F22898"/>
    <w:rsid w:val="00F23BD6"/>
    <w:rsid w:val="00F268BE"/>
    <w:rsid w:val="00F26E2B"/>
    <w:rsid w:val="00F327E7"/>
    <w:rsid w:val="00F35746"/>
    <w:rsid w:val="00F36AC5"/>
    <w:rsid w:val="00F37AD6"/>
    <w:rsid w:val="00F447C7"/>
    <w:rsid w:val="00F471B3"/>
    <w:rsid w:val="00F5211B"/>
    <w:rsid w:val="00F554A9"/>
    <w:rsid w:val="00F716FD"/>
    <w:rsid w:val="00F80355"/>
    <w:rsid w:val="00F845AF"/>
    <w:rsid w:val="00F87C43"/>
    <w:rsid w:val="00F91FB7"/>
    <w:rsid w:val="00F97620"/>
    <w:rsid w:val="00FA51C2"/>
    <w:rsid w:val="00FA7B9E"/>
    <w:rsid w:val="00FB0C81"/>
    <w:rsid w:val="00FB3829"/>
    <w:rsid w:val="00FC2200"/>
    <w:rsid w:val="00FC2540"/>
    <w:rsid w:val="00FE19D1"/>
    <w:rsid w:val="00FF0204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7ACB1F05"/>
  <w15:docId w15:val="{664F8C40-6882-4190-8365-2350471E5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iPriority="0" w:unhideWhenUsed="1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59"/>
    <w:lsdException w:name="Table Theme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1D45"/>
    <w:pPr>
      <w:jc w:val="both"/>
    </w:pPr>
    <w:rPr>
      <w:sz w:val="22"/>
      <w:szCs w:val="22"/>
      <w:lang w:val="en-GB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1,Heading 2 Char2"/>
    <w:basedOn w:val="Normal"/>
    <w:next w:val="Normal"/>
    <w:link w:val="Heading2Char"/>
    <w:qFormat/>
    <w:rsid w:val="0033525D"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 Char,Heading 3 Char"/>
    <w:basedOn w:val="Normal"/>
    <w:next w:val="Normal"/>
    <w:link w:val="Heading3Char3"/>
    <w:qFormat/>
    <w:rsid w:val="0033525D"/>
    <w:pPr>
      <w:widowControl w:val="0"/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,para 4,Título 41,Heading 41,heading 4,标题 41"/>
    <w:basedOn w:val="Normal"/>
    <w:next w:val="Heading9"/>
    <w:qFormat/>
    <w:rsid w:val="007B6871"/>
    <w:pPr>
      <w:keepNext/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link w:val="HeaderChar"/>
    <w:uiPriority w:val="99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 Char1, Char1 Char Char"/>
    <w:basedOn w:val="Normal"/>
    <w:link w:val="FootnoteTextChar"/>
    <w:uiPriority w:val="99"/>
    <w:unhideWhenUsed/>
    <w:qFormat/>
    <w:rsid w:val="00981006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 Char1 Char, Char1 Char Char Char"/>
    <w:basedOn w:val="DefaultParagraphFont"/>
    <w:link w:val="FootnoteText"/>
    <w:uiPriority w:val="99"/>
    <w:rsid w:val="00981006"/>
    <w:rPr>
      <w:lang w:val="en-GB"/>
    </w:rPr>
  </w:style>
  <w:style w:type="character" w:styleId="FootnoteReference">
    <w:name w:val="footnote reference"/>
    <w:aliases w:val="Footnote Text1,Footnote text"/>
    <w:basedOn w:val="DefaultParagraphFont"/>
    <w:uiPriority w:val="99"/>
    <w:unhideWhenUsed/>
    <w:rsid w:val="00981006"/>
    <w:rPr>
      <w:rFonts w:cs="Times New Roman"/>
      <w:vertAlign w:val="superscript"/>
    </w:rPr>
  </w:style>
  <w:style w:type="paragraph" w:styleId="ListParagraph">
    <w:name w:val="List Paragraph"/>
    <w:basedOn w:val="Normal"/>
    <w:link w:val="ListParagraphChar"/>
    <w:uiPriority w:val="34"/>
    <w:qFormat/>
    <w:rsid w:val="00981006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981006"/>
    <w:rPr>
      <w:sz w:val="22"/>
      <w:szCs w:val="22"/>
      <w:lang w:val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130205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30205"/>
    <w:rPr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130205"/>
    <w:rPr>
      <w:vertAlign w:val="superscript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1 Char"/>
    <w:basedOn w:val="DefaultParagraphFont"/>
    <w:link w:val="Heading2"/>
    <w:rsid w:val="00130205"/>
    <w:rPr>
      <w:sz w:val="22"/>
      <w:szCs w:val="22"/>
      <w:lang w:val="en-GB"/>
    </w:rPr>
  </w:style>
  <w:style w:type="character" w:styleId="Hyperlink">
    <w:name w:val="Hyperlink"/>
    <w:basedOn w:val="DefaultParagraphFont"/>
    <w:uiPriority w:val="99"/>
    <w:unhideWhenUsed/>
    <w:rsid w:val="00130205"/>
    <w:rPr>
      <w:color w:val="0000FF" w:themeColor="hyperlink"/>
      <w:u w:val="single"/>
    </w:rPr>
  </w:style>
  <w:style w:type="character" w:customStyle="1" w:styleId="HeaderChar">
    <w:name w:val="Header Char"/>
    <w:basedOn w:val="DefaultParagraphFont"/>
    <w:link w:val="Header"/>
    <w:uiPriority w:val="99"/>
    <w:rsid w:val="00130205"/>
    <w:rPr>
      <w:sz w:val="22"/>
      <w:szCs w:val="22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130205"/>
    <w:rPr>
      <w:sz w:val="22"/>
      <w:szCs w:val="22"/>
      <w:lang w:val="en-GB"/>
    </w:rPr>
  </w:style>
  <w:style w:type="table" w:customStyle="1" w:styleId="4-31">
    <w:name w:val="网格表 4 - 着色 31"/>
    <w:basedOn w:val="TableNormal"/>
    <w:uiPriority w:val="49"/>
    <w:rsid w:val="00130205"/>
    <w:rPr>
      <w:rFonts w:asciiTheme="minorHAnsi" w:eastAsiaTheme="minorEastAsia" w:hAnsiTheme="minorHAnsi" w:cstheme="minorBidi"/>
      <w:kern w:val="2"/>
      <w:sz w:val="21"/>
      <w:szCs w:val="22"/>
      <w:lang w:eastAsia="zh-CN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4-11">
    <w:name w:val="网格表 4 - 着色 11"/>
    <w:basedOn w:val="TableNormal"/>
    <w:uiPriority w:val="49"/>
    <w:rsid w:val="00130205"/>
    <w:rPr>
      <w:rFonts w:asciiTheme="minorHAnsi" w:eastAsiaTheme="minorEastAsia" w:hAnsiTheme="minorHAnsi" w:cstheme="minorBidi"/>
      <w:kern w:val="2"/>
      <w:sz w:val="21"/>
      <w:szCs w:val="22"/>
      <w:lang w:eastAsia="zh-CN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TOCHeading">
    <w:name w:val="TOC Heading"/>
    <w:basedOn w:val="Heading1"/>
    <w:next w:val="Normal"/>
    <w:uiPriority w:val="39"/>
    <w:unhideWhenUsed/>
    <w:qFormat/>
    <w:rsid w:val="00130205"/>
    <w:pPr>
      <w:keepNext/>
      <w:keepLines/>
      <w:numPr>
        <w:numId w:val="0"/>
      </w:numPr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 w:eastAsia="zh-CN"/>
    </w:rPr>
  </w:style>
  <w:style w:type="paragraph" w:styleId="TOC2">
    <w:name w:val="toc 2"/>
    <w:basedOn w:val="Normal"/>
    <w:next w:val="Normal"/>
    <w:autoRedefine/>
    <w:uiPriority w:val="39"/>
    <w:unhideWhenUsed/>
    <w:rsid w:val="00130205"/>
    <w:pPr>
      <w:tabs>
        <w:tab w:val="right" w:leader="dot" w:pos="8302"/>
      </w:tabs>
      <w:spacing w:line="200" w:lineRule="atLeast"/>
      <w:ind w:firstLineChars="100" w:firstLine="180"/>
      <w:outlineLvl w:val="2"/>
    </w:pPr>
    <w:rPr>
      <w:rFonts w:asciiTheme="minorHAnsi" w:eastAsiaTheme="minorEastAsia" w:hAnsiTheme="minorHAnsi"/>
      <w:lang w:val="en-US" w:eastAsia="zh-CN"/>
    </w:rPr>
  </w:style>
  <w:style w:type="paragraph" w:styleId="TOC1">
    <w:name w:val="toc 1"/>
    <w:basedOn w:val="Normal"/>
    <w:next w:val="Normal"/>
    <w:autoRedefine/>
    <w:uiPriority w:val="39"/>
    <w:unhideWhenUsed/>
    <w:rsid w:val="00130205"/>
    <w:pPr>
      <w:tabs>
        <w:tab w:val="right" w:leader="dot" w:pos="8302"/>
      </w:tabs>
      <w:snapToGrid w:val="0"/>
      <w:spacing w:line="200" w:lineRule="atLeast"/>
      <w:outlineLvl w:val="2"/>
    </w:pPr>
    <w:rPr>
      <w:rFonts w:asciiTheme="minorHAnsi" w:eastAsiaTheme="minorEastAsia" w:hAnsiTheme="minorHAnsi"/>
      <w:b/>
      <w:noProof/>
      <w:lang w:val="en-US" w:eastAsia="zh-CN"/>
    </w:rPr>
  </w:style>
  <w:style w:type="paragraph" w:styleId="TOC3">
    <w:name w:val="toc 3"/>
    <w:basedOn w:val="Normal"/>
    <w:next w:val="Normal"/>
    <w:autoRedefine/>
    <w:uiPriority w:val="39"/>
    <w:unhideWhenUsed/>
    <w:rsid w:val="00130205"/>
    <w:pPr>
      <w:tabs>
        <w:tab w:val="right" w:leader="dot" w:pos="8302"/>
      </w:tabs>
      <w:spacing w:line="120" w:lineRule="atLeast"/>
      <w:ind w:firstLineChars="200" w:firstLine="360"/>
      <w:outlineLvl w:val="2"/>
    </w:pPr>
    <w:rPr>
      <w:rFonts w:asciiTheme="minorHAnsi" w:eastAsiaTheme="minorEastAsia" w:hAnsiTheme="minorHAnsi"/>
      <w:b/>
      <w:lang w:val="en-US" w:eastAsia="zh-CN"/>
    </w:rPr>
  </w:style>
  <w:style w:type="table" w:customStyle="1" w:styleId="TableNormal1">
    <w:name w:val="Table Normal1"/>
    <w:uiPriority w:val="2"/>
    <w:semiHidden/>
    <w:unhideWhenUsed/>
    <w:qFormat/>
    <w:rsid w:val="00130205"/>
    <w:pPr>
      <w:widowControl w:val="0"/>
    </w:pPr>
    <w:rPr>
      <w:rFonts w:asciiTheme="minorHAnsi" w:eastAsiaTheme="minorEastAsia" w:hAnsiTheme="minorHAnsi" w:cstheme="minorBidi"/>
      <w:sz w:val="22"/>
      <w:szCs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130205"/>
    <w:pPr>
      <w:widowControl w:val="0"/>
      <w:jc w:val="left"/>
    </w:pPr>
    <w:rPr>
      <w:rFonts w:asciiTheme="minorHAnsi" w:eastAsiaTheme="minorEastAsia" w:hAnsiTheme="minorHAnsi" w:cstheme="minorBidi"/>
      <w:lang w:val="en-US"/>
    </w:rPr>
  </w:style>
  <w:style w:type="table" w:customStyle="1" w:styleId="4-32">
    <w:name w:val="网格表 4 - 着色 32"/>
    <w:basedOn w:val="TableNormal"/>
    <w:uiPriority w:val="49"/>
    <w:rsid w:val="00130205"/>
    <w:rPr>
      <w:rFonts w:asciiTheme="minorHAnsi" w:eastAsiaTheme="minorEastAsia" w:hAnsiTheme="minorHAnsi" w:cstheme="minorBidi"/>
      <w:kern w:val="2"/>
      <w:sz w:val="21"/>
      <w:szCs w:val="22"/>
      <w:lang w:eastAsia="zh-CN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paragraph" w:styleId="Revision">
    <w:name w:val="Revision"/>
    <w:hidden/>
    <w:uiPriority w:val="99"/>
    <w:semiHidden/>
    <w:rsid w:val="00130205"/>
    <w:rPr>
      <w:rFonts w:asciiTheme="minorHAnsi" w:eastAsiaTheme="minorEastAsia" w:hAnsiTheme="minorHAnsi" w:cstheme="minorBidi"/>
      <w:kern w:val="2"/>
      <w:sz w:val="21"/>
      <w:szCs w:val="22"/>
      <w:lang w:eastAsia="zh-CN"/>
    </w:rPr>
  </w:style>
  <w:style w:type="character" w:customStyle="1" w:styleId="Heading3Char3">
    <w:name w:val="Heading 3 Char3"/>
    <w:aliases w:val="Char Char3,Char Char Char2,Heading 3 Char1 Char1,Heading 3 Char Char Char1,Char Char Char Char1,Char Char1 Char1,Heading 3 Char1 Char Char,Heading 3 Char Char Char Char,Char Char Char Char Char,Char Char1 Char Char,Heading 3 Char2 Char"/>
    <w:basedOn w:val="DefaultParagraphFont"/>
    <w:link w:val="Heading3"/>
    <w:rsid w:val="00C47B12"/>
    <w:rPr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microsoft.com/office/2016/09/relationships/commentsIds" Target="commentsIds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doi.org/10.5194/acp-18-11729-2018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J:\84th\Templates\Eec84G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>
  <documentManagement>
    <Document_x0020_Number xmlns="8662b4aa-cf42-4f00-a3f0-9d3b4acad230">UNEP/OzL.Pro/ExCom/84/22/Add.3</Document_x0020_Number>
    <DocumentType xmlns="310e179b-1379-4e79-9b74-d5a32b1812d3">Pre-session</DocumentType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9683CADC4F284EA5F0B82357B5BF3A" ma:contentTypeVersion="2" ma:contentTypeDescription="Create a new document." ma:contentTypeScope="" ma:versionID="068ecf6b82cce04dbb15b641d5edd95a">
  <xsd:schema xmlns:xsd="http://www.w3.org/2001/XMLSchema" xmlns:p="http://schemas.microsoft.com/office/2006/metadata/properties" xmlns:ns2="8662b4aa-cf42-4f00-a3f0-9d3b4acad230" xmlns:ns3="310e179b-1379-4e79-9b74-d5a32b1812d3" targetNamespace="http://schemas.microsoft.com/office/2006/metadata/properties" ma:root="true" ma:fieldsID="ec3297cc96d292a79aedb3c4ee5cf4fc" ns2:_="" ns3:_="">
    <xsd:import namespace="8662b4aa-cf42-4f00-a3f0-9d3b4acad230"/>
    <xsd:import namespace="310e179b-1379-4e79-9b74-d5a32b1812d3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662b4aa-cf42-4f00-a3f0-9d3b4acad230" elementFormDefault="qualified">
    <xsd:import namespace="http://schemas.microsoft.com/office/2006/documentManagement/types"/>
    <xsd:element name="Document_x0020_Number" ma:index="8" nillable="true" ma:displayName="Document Number" ma:default="UNEP/OzL.Pro/ExCom/8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310e179b-1379-4e79-9b74-d5a32b1812d3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237E006-71BA-4E6D-A2A8-64925229BA93}"/>
</file>

<file path=customXml/itemProps2.xml><?xml version="1.0" encoding="utf-8"?>
<ds:datastoreItem xmlns:ds="http://schemas.openxmlformats.org/officeDocument/2006/customXml" ds:itemID="{026469FA-024C-4F89-B4F1-ECB6FBB9357E}"/>
</file>

<file path=customXml/itemProps3.xml><?xml version="1.0" encoding="utf-8"?>
<ds:datastoreItem xmlns:ds="http://schemas.openxmlformats.org/officeDocument/2006/customXml" ds:itemID="{EE30500B-2151-4F12-B282-E3C38D7CDEC4}"/>
</file>

<file path=customXml/itemProps4.xml><?xml version="1.0" encoding="utf-8"?>
<ds:datastoreItem xmlns:ds="http://schemas.openxmlformats.org/officeDocument/2006/customXml" ds:itemID="{4D62B6FE-B2BE-4235-8A69-A2B3F05C8CB5}"/>
</file>

<file path=docProps/app.xml><?xml version="1.0" encoding="utf-8"?>
<Properties xmlns="http://schemas.openxmlformats.org/officeDocument/2006/extended-properties" xmlns:vt="http://schemas.openxmlformats.org/officeDocument/2006/docPropsVTypes">
  <Template>Eec84G</Template>
  <TotalTime>62</TotalTime>
  <Pages>3</Pages>
  <Words>939</Words>
  <Characters>5353</Characters>
  <Application>Microsoft Office Word</Application>
  <DocSecurity>0</DocSecurity>
  <Lines>44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Rapport sur la production de tétrachlorure de carbone en Chine et ses utilisations comme matière première - Addendum 3</vt:lpstr>
      <vt:lpstr>Reports on projects with specific reporting requirements - Addendum 3</vt:lpstr>
    </vt:vector>
  </TitlesOfParts>
  <Company>UNMFS</Company>
  <LinksUpToDate>false</LinksUpToDate>
  <CharactersWithSpaces>6280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 sur la production de tétrachlorure de carbone en Chine et ses utilisations comme matière première - Addendum 3</dc:title>
  <dc:subject>84th</dc:subject>
  <dc:creator>Despina Psillou</dc:creator>
  <cp:lastModifiedBy>HBE</cp:lastModifiedBy>
  <cp:revision>14</cp:revision>
  <cp:lastPrinted>2019-12-13T19:18:00Z</cp:lastPrinted>
  <dcterms:created xsi:type="dcterms:W3CDTF">2019-12-14T13:55:00Z</dcterms:created>
  <dcterms:modified xsi:type="dcterms:W3CDTF">2019-12-16T21:37:00Z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UNEP/OzL.Pro/ExCom/84/22/Add.3</vt:lpwstr>
  </property>
  <property fmtid="{D5CDD505-2E9C-101B-9397-08002B2CF9AE}" pid="3" name="Revision date">
    <vt:lpwstr>12/13/2019</vt:lpwstr>
  </property>
  <property fmtid="{D5CDD505-2E9C-101B-9397-08002B2CF9AE}" pid="4" name="ContentTypeId">
    <vt:lpwstr>0x010100109683CADC4F284EA5F0B82357B5BF3A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separator idQ="doc:sep1" visible="true"/>
      </mso:documentControls>
    </mso:qat>
  </mso:ribbon>
</mso:customUI>
</file>