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1506E7" w14:textId="77777777">
        <w:trPr>
          <w:trHeight w:val="720"/>
        </w:trPr>
        <w:tc>
          <w:tcPr>
            <w:tcW w:w="4410" w:type="dxa"/>
            <w:gridSpan w:val="2"/>
            <w:tcBorders>
              <w:bottom w:val="single" w:sz="18" w:space="0" w:color="auto"/>
            </w:tcBorders>
          </w:tcPr>
          <w:p w14:paraId="7BA1BB7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6A26BF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E1F4BC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1B67E6B" w14:textId="77777777" w:rsidR="007E5D09" w:rsidRDefault="00E1360E" w:rsidP="0084173D">
            <w:pPr>
              <w:jc w:val="left"/>
              <w:rPr>
                <w:lang w:val="en-US"/>
              </w:rPr>
            </w:pPr>
            <w:r>
              <w:rPr>
                <w:lang w:val="en-US"/>
              </w:rPr>
              <w:t>Distr.</w:t>
            </w:r>
          </w:p>
          <w:p w14:paraId="311CB90C" w14:textId="77777777" w:rsidR="007E5D09" w:rsidRDefault="00E1360E" w:rsidP="0084173D">
            <w:pPr>
              <w:jc w:val="left"/>
              <w:rPr>
                <w:lang w:val="en-US"/>
              </w:rPr>
            </w:pPr>
            <w:r>
              <w:rPr>
                <w:lang w:val="en-US"/>
              </w:rPr>
              <w:t>GENERAL</w:t>
            </w:r>
          </w:p>
          <w:p w14:paraId="35F3C399" w14:textId="77777777" w:rsidR="007E5D09" w:rsidRDefault="007E5D09" w:rsidP="0084173D">
            <w:pPr>
              <w:jc w:val="left"/>
              <w:rPr>
                <w:lang w:val="en-US"/>
              </w:rPr>
            </w:pPr>
          </w:p>
          <w:p w14:paraId="63A38DEF" w14:textId="1972D3E6"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24424">
              <w:rPr>
                <w:rFonts w:asciiTheme="majorBidi" w:hAnsiTheme="majorBidi" w:cstheme="majorBidi"/>
                <w:szCs w:val="24"/>
              </w:rPr>
              <w:t>UNEP/OzL.Pro/ExCom/97/83</w:t>
            </w:r>
            <w:r w:rsidRPr="004E181B">
              <w:rPr>
                <w:rFonts w:asciiTheme="majorBidi" w:hAnsiTheme="majorBidi" w:cstheme="majorBidi"/>
                <w:szCs w:val="24"/>
              </w:rPr>
              <w:fldChar w:fldCharType="end"/>
            </w:r>
          </w:p>
          <w:p w14:paraId="1489035C" w14:textId="0E707139"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9073B0">
              <w:rPr>
                <w:rFonts w:hint="cs"/>
                <w:szCs w:val="24"/>
                <w:rtl/>
                <w:lang w:val="en-CA" w:bidi="ar-SA"/>
              </w:rPr>
              <w:t>30</w:t>
            </w:r>
            <w:r w:rsidR="00D2031E">
              <w:rPr>
                <w:szCs w:val="24"/>
                <w:lang w:val="en-CA" w:bidi="ar-SA"/>
              </w:rPr>
              <w:t xml:space="preserve"> October 2025</w:t>
            </w:r>
            <w:r w:rsidRPr="008B7BCA">
              <w:rPr>
                <w:szCs w:val="24"/>
                <w:lang w:val="en-CA" w:bidi="ar-SA"/>
              </w:rPr>
              <w:fldChar w:fldCharType="end"/>
            </w:r>
          </w:p>
          <w:p w14:paraId="6752ABB9" w14:textId="77777777" w:rsidR="008B7BCA" w:rsidRDefault="008B7BCA" w:rsidP="0084173D">
            <w:pPr>
              <w:jc w:val="left"/>
              <w:rPr>
                <w:rtl/>
                <w:lang w:val="en-US"/>
              </w:rPr>
            </w:pPr>
          </w:p>
          <w:p w14:paraId="6992C719" w14:textId="77777777" w:rsidR="007E5D09" w:rsidRDefault="00E1360E" w:rsidP="0084173D">
            <w:pPr>
              <w:jc w:val="left"/>
              <w:rPr>
                <w:lang w:val="en-US"/>
              </w:rPr>
            </w:pPr>
            <w:r>
              <w:rPr>
                <w:lang w:val="en-US"/>
              </w:rPr>
              <w:t>ARABIC</w:t>
            </w:r>
          </w:p>
          <w:p w14:paraId="3EED03B1"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5B36F9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FCC1EC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4C6E530"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D530AD3"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1733DD3B" wp14:editId="3BBACCD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316D2"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08522F7A" wp14:editId="53F41218">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1AB1B2A" w14:textId="77777777" w:rsidR="007E5D09" w:rsidRDefault="007E5D09">
      <w:pPr>
        <w:pStyle w:val="Caption"/>
        <w:spacing w:line="200" w:lineRule="exact"/>
        <w:ind w:left="187" w:right="187" w:hanging="187"/>
        <w:jc w:val="both"/>
        <w:rPr>
          <w:rFonts w:cs="Akhbar MT"/>
          <w:b/>
          <w:bCs/>
          <w:sz w:val="28"/>
          <w:szCs w:val="28"/>
          <w:rtl/>
        </w:rPr>
      </w:pPr>
    </w:p>
    <w:p w14:paraId="0C3DD621"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B4C687C"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7D51353C"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2F7436FC"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186E2283" w14:textId="693F9962" w:rsidR="00393115" w:rsidRPr="005A4D44" w:rsidRDefault="00D2031E" w:rsidP="00D2031E">
      <w:pPr>
        <w:bidi/>
        <w:jc w:val="left"/>
        <w:rPr>
          <w:lang w:val="en-US"/>
        </w:rPr>
      </w:pPr>
      <w:r w:rsidRPr="00D2031E">
        <w:rPr>
          <w:b/>
          <w:sz w:val="28"/>
          <w:szCs w:val="28"/>
          <w:rtl/>
        </w:rPr>
        <w:t>البند 9(ه</w:t>
      </w:r>
      <w:r w:rsidRPr="00D2031E">
        <w:rPr>
          <w:rFonts w:hint="cs"/>
          <w:b/>
          <w:sz w:val="28"/>
          <w:szCs w:val="28"/>
          <w:rtl/>
        </w:rPr>
        <w:t>ـ</w:t>
      </w:r>
      <w:r w:rsidRPr="00D2031E">
        <w:rPr>
          <w:b/>
          <w:sz w:val="28"/>
          <w:szCs w:val="28"/>
          <w:rtl/>
        </w:rPr>
        <w:t>) من جدول الأعمال المؤقت</w:t>
      </w:r>
      <w:r w:rsidR="00393115" w:rsidRPr="006106BD">
        <w:rPr>
          <w:rStyle w:val="FootnoteReference"/>
          <w:sz w:val="28"/>
          <w:szCs w:val="28"/>
        </w:rPr>
        <w:t xml:space="preserve"> </w:t>
      </w:r>
      <w:r w:rsidR="00393115" w:rsidRPr="00550019">
        <w:rPr>
          <w:rStyle w:val="FootnoteReference"/>
          <w:lang w:val="fr-FR"/>
        </w:rPr>
        <w:footnoteReference w:id="1"/>
      </w:r>
    </w:p>
    <w:p w14:paraId="0E0712DB" w14:textId="77777777" w:rsidR="00D2031E" w:rsidRDefault="00D2031E" w:rsidP="00D2031E">
      <w:pPr>
        <w:pStyle w:val="StyleHeader4Para4Left0Firstline0"/>
        <w:numPr>
          <w:ilvl w:val="0"/>
          <w:numId w:val="0"/>
        </w:numPr>
        <w:tabs>
          <w:tab w:val="left" w:pos="488"/>
          <w:tab w:val="center" w:pos="4680"/>
        </w:tabs>
        <w:bidi/>
        <w:jc w:val="center"/>
        <w:rPr>
          <w:b/>
          <w:bCs/>
          <w:sz w:val="26"/>
          <w:szCs w:val="26"/>
          <w:rtl/>
          <w:lang w:eastAsia="ar" w:bidi="ar-EG"/>
        </w:rPr>
      </w:pPr>
    </w:p>
    <w:p w14:paraId="085B1D9C" w14:textId="72DC71CF" w:rsidR="00D2031E" w:rsidRPr="001920D1" w:rsidRDefault="00D2031E" w:rsidP="00D2031E">
      <w:pPr>
        <w:pStyle w:val="StyleHeader4Para4Left0Firstline0"/>
        <w:numPr>
          <w:ilvl w:val="0"/>
          <w:numId w:val="0"/>
        </w:numPr>
        <w:tabs>
          <w:tab w:val="left" w:pos="488"/>
          <w:tab w:val="center" w:pos="4680"/>
        </w:tabs>
        <w:bidi/>
        <w:jc w:val="center"/>
        <w:rPr>
          <w:b/>
          <w:sz w:val="26"/>
          <w:szCs w:val="26"/>
        </w:rPr>
      </w:pPr>
      <w:r w:rsidRPr="001920D1">
        <w:rPr>
          <w:b/>
          <w:bCs/>
          <w:sz w:val="26"/>
          <w:szCs w:val="26"/>
          <w:rtl/>
          <w:lang w:eastAsia="ar" w:bidi="ar-EG"/>
        </w:rPr>
        <w:t>ميزانية برنامج المساعدة على الامتثال التابع لليونيب لعام 2026</w:t>
      </w:r>
    </w:p>
    <w:p w14:paraId="2A8BA41E" w14:textId="77777777" w:rsidR="00D2031E" w:rsidRPr="001920D1" w:rsidRDefault="00D2031E" w:rsidP="00D2031E">
      <w:pPr>
        <w:pStyle w:val="StyleHeader4Para4Left0Firstline0"/>
        <w:numPr>
          <w:ilvl w:val="0"/>
          <w:numId w:val="0"/>
        </w:numPr>
        <w:tabs>
          <w:tab w:val="left" w:pos="488"/>
          <w:tab w:val="center" w:pos="4680"/>
        </w:tabs>
        <w:bidi/>
        <w:rPr>
          <w:b/>
          <w:sz w:val="26"/>
          <w:szCs w:val="26"/>
        </w:rPr>
      </w:pPr>
      <w:r w:rsidRPr="001920D1">
        <w:rPr>
          <w:b/>
          <w:bCs/>
          <w:sz w:val="26"/>
          <w:szCs w:val="26"/>
          <w:rtl/>
          <w:lang w:eastAsia="ar" w:bidi="ar-EG"/>
        </w:rPr>
        <w:t>المقدمة</w:t>
      </w:r>
    </w:p>
    <w:p w14:paraId="4A23E073" w14:textId="77777777" w:rsidR="00D2031E" w:rsidRPr="00D2031E" w:rsidRDefault="00D2031E" w:rsidP="00D2031E">
      <w:pPr>
        <w:pStyle w:val="Heading1"/>
        <w:bidi/>
        <w:rPr>
          <w:sz w:val="30"/>
          <w:szCs w:val="26"/>
        </w:rPr>
      </w:pPr>
      <w:r w:rsidRPr="00D2031E">
        <w:rPr>
          <w:sz w:val="30"/>
          <w:szCs w:val="26"/>
          <w:rtl/>
          <w:lang w:eastAsia="ar" w:bidi="ar-EG"/>
        </w:rPr>
        <w:t xml:space="preserve">قدم اليونيب ميزانية برنامج المساعدة على الامتثال لعام 2026 بتكلفة إجمالية تبلغ 11,276,967 دولارا أمريكيا، بالإضافة إلى تكاليف دعم الوكالة البالغة 902,157 دولارا أمريكيا. ويتضمن الطلب التقرير المرحلي لعام 2025 وبرنامج العمل لعام 2026، المرفقين بالوثيقة الحالية. </w:t>
      </w:r>
    </w:p>
    <w:p w14:paraId="5D66758A" w14:textId="77777777" w:rsidR="00D2031E" w:rsidRPr="00D2031E" w:rsidRDefault="00D2031E" w:rsidP="00D2031E">
      <w:pPr>
        <w:pStyle w:val="Heading1"/>
        <w:bidi/>
        <w:rPr>
          <w:sz w:val="30"/>
          <w:szCs w:val="26"/>
        </w:rPr>
      </w:pPr>
      <w:r w:rsidRPr="00D2031E">
        <w:rPr>
          <w:sz w:val="30"/>
          <w:szCs w:val="26"/>
          <w:rtl/>
          <w:lang w:eastAsia="ar" w:bidi="ar-EG"/>
        </w:rPr>
        <w:t xml:space="preserve">تم تقديم خطة عمل برنامج المساعدة على الامتثال المقترحة لعام 2026 للسنة الأخيرة من استراتيجية برنامج المساعدة على الامتثال الممتدة لثلاث سنوات 2024-2026. </w:t>
      </w:r>
    </w:p>
    <w:p w14:paraId="3EB82033" w14:textId="77777777" w:rsidR="00D2031E" w:rsidRPr="00F51262" w:rsidRDefault="00D2031E" w:rsidP="00D2031E">
      <w:pPr>
        <w:pStyle w:val="Heading1"/>
        <w:numPr>
          <w:ilvl w:val="0"/>
          <w:numId w:val="0"/>
        </w:numPr>
        <w:tabs>
          <w:tab w:val="left" w:pos="720"/>
        </w:tabs>
        <w:bidi/>
        <w:rPr>
          <w:b/>
          <w:bCs/>
          <w:sz w:val="26"/>
          <w:szCs w:val="26"/>
        </w:rPr>
      </w:pPr>
      <w:r w:rsidRPr="00F51262">
        <w:rPr>
          <w:b/>
          <w:bCs/>
          <w:sz w:val="26"/>
          <w:szCs w:val="26"/>
          <w:rtl/>
          <w:lang w:eastAsia="ar" w:bidi="ar-EG"/>
        </w:rPr>
        <w:t>التقرير المرحلي لبرنامج المساعدة على الامتثال لعام 2025</w:t>
      </w:r>
    </w:p>
    <w:p w14:paraId="38B8220A" w14:textId="77777777" w:rsidR="00D2031E" w:rsidRPr="00D2031E" w:rsidRDefault="00D2031E" w:rsidP="00D2031E">
      <w:pPr>
        <w:pStyle w:val="Heading1"/>
        <w:bidi/>
        <w:rPr>
          <w:sz w:val="30"/>
          <w:szCs w:val="26"/>
        </w:rPr>
      </w:pPr>
      <w:r w:rsidRPr="00D2031E">
        <w:rPr>
          <w:sz w:val="30"/>
          <w:szCs w:val="26"/>
          <w:rtl/>
          <w:lang w:eastAsia="ar" w:bidi="ar-EG"/>
        </w:rPr>
        <w:t xml:space="preserve">ويرد التقرير المرحلي في الجزء الثاني من الطلب المرفق، مع تقديم مزيد من التفاصيل في الملاحق. يصف هذا التقرير النتائج والتأثيرات ذات الصلة الناجمة عن تنفيذ برنامج المساعدة على الامتثال. نفذ برنامج المساعدة على الامتثال التابع لليونيب الأنشطة التالية في الفترة من سبتمبر/أيلول 2024 إلى أغسطس/آب 2025: </w:t>
      </w:r>
    </w:p>
    <w:p w14:paraId="0AFEA77D" w14:textId="77777777" w:rsidR="00D2031E" w:rsidRPr="00D2031E" w:rsidRDefault="00D2031E" w:rsidP="00D2031E">
      <w:pPr>
        <w:pStyle w:val="Heading2"/>
        <w:bidi/>
        <w:ind w:left="1422" w:hanging="709"/>
        <w:rPr>
          <w:sz w:val="26"/>
          <w:szCs w:val="26"/>
        </w:rPr>
      </w:pPr>
      <w:r w:rsidRPr="00D2031E">
        <w:rPr>
          <w:sz w:val="26"/>
          <w:szCs w:val="26"/>
          <w:rtl/>
          <w:lang w:eastAsia="ar" w:bidi="ar-EG"/>
        </w:rPr>
        <w:t>استمرار تشغيل الشبكات الإقليمية لموظفي الأوزون الوطنيين في جميع المناطق العشر وتنظيم 24 اجتماعاً شبكياً وموضوعياً حول مواضيع ذات صلة بالامتثال لبروتوكول مونتريال؛ وتدريب 84 موظفاً جديداً ومساعداً لموظفي الأوزون الوطنيين في خمس مناطق من خلال برنامج تدريب موظفي الأوزون الوطنيين لتعزيز قدرة وحدات الأوزون الوطنية على معالجة القضايا الناشئة وتسهيل تبادل المعلومات وأفضل الممارسات؛ وتطوير تدريب قصير حول مهارات التفاوض من أجل المشاركة الفعالة في اجتماعات بروتوكول مونتريال والصندوق المتعدد الأطراف؛</w:t>
      </w:r>
    </w:p>
    <w:p w14:paraId="666C0F52" w14:textId="77777777" w:rsidR="00D2031E" w:rsidRPr="001920D1" w:rsidRDefault="00D2031E" w:rsidP="00D2031E">
      <w:pPr>
        <w:pStyle w:val="Heading2"/>
        <w:bidi/>
        <w:ind w:left="1422" w:hanging="709"/>
        <w:rPr>
          <w:sz w:val="26"/>
          <w:szCs w:val="26"/>
        </w:rPr>
      </w:pPr>
      <w:r w:rsidRPr="001920D1">
        <w:rPr>
          <w:sz w:val="26"/>
          <w:szCs w:val="26"/>
          <w:rtl/>
          <w:lang w:eastAsia="ar" w:bidi="ar-EG"/>
        </w:rPr>
        <w:t xml:space="preserve">دعم 34 بلداً تطلب مساعدة محددة من خلال التبادلات بين البلدان، وتبادل الخبرات، والجولات </w:t>
      </w:r>
      <w:r w:rsidRPr="001920D1">
        <w:rPr>
          <w:sz w:val="26"/>
          <w:szCs w:val="26"/>
          <w:rtl/>
          <w:lang w:eastAsia="ar" w:bidi="ar-EG"/>
        </w:rPr>
        <w:lastRenderedPageBreak/>
        <w:t>الدراسية حول مواضيع مثل إدارة الحدود، وتنفيذ ومراقبة المعايير الدنيا لأداء الطاقة، وتدمير المواد المستنفدة للأوزون والهيدروفلوروكربون، والمنصات الإلكترونية لتتبع حصص الهيدروكلوروفلوروكربون والهيدروفلوروكربون؛ وعقد 50 جلسة إعلامية في سبع مناطق لمساعدة وحدات الأوزون الوطنية في تطوير منهجيات لإنشاء مخزونات للمواد الخاضعة للرقابة المستخدمة أو غير المرغوب فيها وتحديد الاستراتيجيات ونماذج الأعمال بما يتماشى مع المقرر 91/66؛</w:t>
      </w:r>
    </w:p>
    <w:p w14:paraId="5A949D5F" w14:textId="77777777" w:rsidR="00D2031E" w:rsidRPr="001920D1" w:rsidRDefault="00D2031E" w:rsidP="00D2031E">
      <w:pPr>
        <w:pStyle w:val="Heading2"/>
        <w:bidi/>
        <w:ind w:left="1422" w:hanging="709"/>
        <w:rPr>
          <w:sz w:val="26"/>
          <w:szCs w:val="26"/>
        </w:rPr>
      </w:pPr>
      <w:r w:rsidRPr="001920D1">
        <w:rPr>
          <w:sz w:val="26"/>
          <w:szCs w:val="26"/>
          <w:rtl/>
          <w:lang w:eastAsia="ar" w:bidi="ar-EG"/>
        </w:rPr>
        <w:t>تقديم المساعدة في الامتثال ودعم جمع البيانات في جميع البلدان الـ 147 العاملة بموجب المادة 5؛ ومراقبة البيانات المتعلقة بالمادة 7 وبرامج البلدان بانتظام؛ ودعم جميع وحدات الأوزون الوطنية في تحليل بيانات التجارة وحل التناقضات وفهم بيانات التصدير المجمعة السنوية من أمانة الأوزون؛ وإبلاغ وحدات الأوزون الوطنية بمختلف الأساليب، مثل التوعية والتثقيف، لتعزيز أنظمتها الوطنية للرصد والإبلاغ والتحقق والإنفاذ بموجب بروتوكول مونتريال؛ وتعزيز آلية الموافقة المسبقة عن علم غير الرسمية (</w:t>
      </w:r>
      <w:r w:rsidRPr="001920D1">
        <w:rPr>
          <w:sz w:val="26"/>
          <w:szCs w:val="26"/>
          <w:lang w:eastAsia="ar" w:bidi="en-GB"/>
        </w:rPr>
        <w:t>iPIC</w:t>
      </w:r>
      <w:r w:rsidRPr="001920D1">
        <w:rPr>
          <w:sz w:val="26"/>
          <w:szCs w:val="26"/>
          <w:rtl/>
          <w:lang w:eastAsia="ar" w:bidi="ar-EG"/>
        </w:rPr>
        <w:t>)؛</w:t>
      </w:r>
    </w:p>
    <w:p w14:paraId="12662486" w14:textId="77777777" w:rsidR="00D2031E" w:rsidRPr="001920D1" w:rsidRDefault="00D2031E" w:rsidP="00D2031E">
      <w:pPr>
        <w:pStyle w:val="Heading2"/>
        <w:bidi/>
        <w:ind w:left="1422" w:hanging="709"/>
        <w:rPr>
          <w:sz w:val="26"/>
          <w:szCs w:val="26"/>
        </w:rPr>
      </w:pPr>
      <w:r w:rsidRPr="001920D1">
        <w:rPr>
          <w:sz w:val="26"/>
          <w:szCs w:val="26"/>
          <w:rtl/>
          <w:lang w:eastAsia="ar" w:bidi="ar-EG"/>
        </w:rPr>
        <w:t>تقديم المساعدة المخصصة للامتثال في 59 بلداً؛ ودعم تنفيذ مشروعات التعزيز المؤسسي في 101 بلد؛ ودعم التدريب على الإبلاغ عن بيانات البرنامج القطري عبر الإنترنت في 58 بلدا؛ وتقديم التوجيه إلى وحدات الأوزون الوطنية المهتمة من دول المجموعة 2 بشأن تحديد خطوط الأساس للهيدروفلوروكربون ونقاط البداية للتخفيضات المستدامة؛ ودعم 12 بلداً في التصديق على تعديل كيغالي بالتعاون مع أمانة الأوزون؛</w:t>
      </w:r>
    </w:p>
    <w:p w14:paraId="7393E871" w14:textId="77777777" w:rsidR="00D2031E" w:rsidRPr="001920D1" w:rsidRDefault="00D2031E" w:rsidP="00D2031E">
      <w:pPr>
        <w:pStyle w:val="Heading2"/>
        <w:bidi/>
        <w:ind w:left="1422" w:hanging="709"/>
        <w:rPr>
          <w:sz w:val="26"/>
          <w:szCs w:val="26"/>
        </w:rPr>
      </w:pPr>
      <w:r w:rsidRPr="001920D1">
        <w:rPr>
          <w:sz w:val="26"/>
          <w:szCs w:val="26"/>
          <w:rtl/>
          <w:lang w:eastAsia="ar" w:bidi="ar-EG"/>
        </w:rPr>
        <w:t>دعم اعتماد التدابير التشريعية المتعلقة بالقضايا التي أبرزها فريق التكنولوجيا والتقييم الاقتصادي، مثل إخماد الحرائق وإدارة دورة حياة غازات التبريد؛ ومساعدة البلدان في إنشاء أو تعزيز أنظمة ترخيص وحصص الهيدروفلوروكربون، وتعزيز الأطر التنظيمية للهيدروكلوروفلوروكربون لمكافحة التجارة غير المشروعة، ودعم جميع وحدات الأوزون الوطنية لزيادة فهمها للقضايا الفنية والتنظيمية المتعلقة بالمواد الهيدروفلوروكربونية والبدائل المستخدمة في تكييف الهواء المتحرك وفي قطاعات سلسلة التبريد الغذائي؛</w:t>
      </w:r>
    </w:p>
    <w:p w14:paraId="0C4926FF" w14:textId="77777777" w:rsidR="00D2031E" w:rsidRPr="001920D1" w:rsidRDefault="00D2031E" w:rsidP="00D2031E">
      <w:pPr>
        <w:pStyle w:val="Heading2"/>
        <w:bidi/>
        <w:ind w:left="1422" w:hanging="709"/>
        <w:rPr>
          <w:sz w:val="26"/>
          <w:szCs w:val="26"/>
        </w:rPr>
      </w:pPr>
      <w:r w:rsidRPr="001920D1">
        <w:rPr>
          <w:sz w:val="26"/>
          <w:szCs w:val="26"/>
          <w:rtl/>
          <w:lang w:eastAsia="ar" w:bidi="ar-EG"/>
        </w:rPr>
        <w:t>تطوير أداة تتبع ورصد حصص الهيدروفلوروكربون لمساعدة وحدات الأوزون الوطنية على تتبع استخدام حصص الهيدروفلوروكربون بالأطنان المكافئة لثاني أكسيد الكربون لضمان الامتثال لتعديل كيغالي؛ وتوفير 40 أداة، بما في ذلك مقاطع الفيديو والتطبيقات والأدلة ومواد التدريب، التي طورها اليونيب وشركاؤه، لاستخدامها في تقديم التدريب الجمركي والفني (على سبيل المثال، اليونيب</w:t>
      </w:r>
      <w:r w:rsidRPr="001920D1">
        <w:rPr>
          <w:sz w:val="26"/>
          <w:szCs w:val="26"/>
          <w:rtl/>
          <w:lang w:eastAsia="ar" w:bidi="ar-EG"/>
        </w:rPr>
        <w:noBreakHyphen/>
        <w:t xml:space="preserve"> دليل تدريب منظمة الجمارك العالمية (</w:t>
      </w:r>
      <w:r w:rsidRPr="001920D1">
        <w:rPr>
          <w:sz w:val="26"/>
          <w:szCs w:val="26"/>
          <w:lang w:eastAsia="ar" w:bidi="en-GB"/>
        </w:rPr>
        <w:t>WCO</w:t>
      </w:r>
      <w:r w:rsidRPr="001920D1">
        <w:rPr>
          <w:sz w:val="26"/>
          <w:szCs w:val="26"/>
          <w:rtl/>
          <w:lang w:eastAsia="ar" w:bidi="ar-EG"/>
        </w:rPr>
        <w:t>) للسلطات الجمركية، والمبادئ التوجيهية للوائح النموذجية لبرنامج "متحدون من أجل الكفاءة" (</w:t>
      </w:r>
      <w:r w:rsidRPr="001920D1">
        <w:rPr>
          <w:sz w:val="26"/>
          <w:szCs w:val="26"/>
          <w:lang w:eastAsia="ar" w:bidi="en-GB"/>
        </w:rPr>
        <w:t>U4E</w:t>
      </w:r>
      <w:r w:rsidRPr="001920D1">
        <w:rPr>
          <w:sz w:val="26"/>
          <w:szCs w:val="26"/>
          <w:rtl/>
          <w:lang w:eastAsia="ar" w:bidi="ar-EG"/>
        </w:rPr>
        <w:t>) للثلاجات، وهيئة معايير الهواء</w:t>
      </w:r>
      <w:r w:rsidRPr="001920D1">
        <w:rPr>
          <w:sz w:val="26"/>
          <w:szCs w:val="26"/>
          <w:rtl/>
          <w:lang w:eastAsia="ar" w:bidi="ar-EG"/>
        </w:rPr>
        <w:noBreakHyphen/>
        <w:t xml:space="preserve"> دليل الغاز المفلور الصادر عن الجمعية الأوروبية للتبريد والتكييف (</w:t>
      </w:r>
      <w:r w:rsidRPr="001920D1">
        <w:rPr>
          <w:sz w:val="26"/>
          <w:szCs w:val="26"/>
          <w:lang w:eastAsia="ar" w:bidi="en-GB"/>
        </w:rPr>
        <w:t>AREA</w:t>
      </w:r>
      <w:r w:rsidRPr="001920D1">
        <w:rPr>
          <w:sz w:val="26"/>
          <w:szCs w:val="26"/>
          <w:rtl/>
          <w:lang w:eastAsia="ar" w:bidi="ar-EG"/>
        </w:rPr>
        <w:t xml:space="preserve">)، ومقالة </w:t>
      </w:r>
      <w:r w:rsidRPr="001920D1">
        <w:rPr>
          <w:sz w:val="26"/>
          <w:szCs w:val="26"/>
          <w:lang w:eastAsia="ar" w:bidi="en-GB"/>
        </w:rPr>
        <w:t>OzonAction/ClimaCheck</w:t>
      </w:r>
      <w:r w:rsidRPr="001920D1">
        <w:rPr>
          <w:sz w:val="26"/>
          <w:szCs w:val="26"/>
          <w:rtl/>
          <w:lang w:eastAsia="ar" w:bidi="ar-EG"/>
        </w:rPr>
        <w:t xml:space="preserve"> حول التبريد المستدام، وتطبيق </w:t>
      </w:r>
      <w:r w:rsidRPr="001920D1">
        <w:rPr>
          <w:sz w:val="26"/>
          <w:szCs w:val="26"/>
          <w:lang w:eastAsia="ar" w:bidi="en-GB"/>
        </w:rPr>
        <w:t>What-Gas</w:t>
      </w:r>
      <w:r w:rsidRPr="001920D1">
        <w:rPr>
          <w:sz w:val="26"/>
          <w:szCs w:val="26"/>
          <w:rtl/>
          <w:lang w:eastAsia="ar" w:bidi="ar-EG"/>
        </w:rPr>
        <w:t>؛</w:t>
      </w:r>
    </w:p>
    <w:p w14:paraId="6D69C67F" w14:textId="0CDB1DEE" w:rsidR="00D2031E" w:rsidRPr="001920D1" w:rsidRDefault="00D2031E" w:rsidP="00D2031E">
      <w:pPr>
        <w:pStyle w:val="Heading2"/>
        <w:bidi/>
        <w:ind w:left="1422" w:hanging="709"/>
        <w:rPr>
          <w:spacing w:val="-2"/>
          <w:sz w:val="26"/>
          <w:szCs w:val="26"/>
        </w:rPr>
      </w:pPr>
      <w:r w:rsidRPr="001920D1">
        <w:rPr>
          <w:sz w:val="26"/>
          <w:szCs w:val="26"/>
          <w:rtl/>
          <w:lang w:eastAsia="ar" w:bidi="ar-EG"/>
        </w:rPr>
        <w:t>استمرار أنشطة بناء القدرة في البلدان لتحسين التعامل مع غازات التبريد، وتقليل التسربات، والحفاظ على الكفاءة في استخدام الطاقة في التبريد وتكييف الهواء/تعزيزها</w:t>
      </w:r>
      <w:r w:rsidRPr="001920D1">
        <w:rPr>
          <w:sz w:val="26"/>
          <w:szCs w:val="26"/>
          <w:rtl/>
          <w:lang w:eastAsia="ar" w:bidi="ar-EG"/>
        </w:rPr>
        <w:noBreakHyphen/>
        <w:t xml:space="preserve"> أجهزة التبريد وتكييف الهواء (</w:t>
      </w:r>
      <w:r w:rsidRPr="001920D1">
        <w:rPr>
          <w:sz w:val="26"/>
          <w:szCs w:val="26"/>
          <w:lang w:eastAsia="ar" w:bidi="en-GB"/>
        </w:rPr>
        <w:t>RAC</w:t>
      </w:r>
      <w:r w:rsidRPr="001920D1">
        <w:rPr>
          <w:sz w:val="26"/>
          <w:szCs w:val="26"/>
          <w:rtl/>
          <w:lang w:eastAsia="ar" w:bidi="ar-EG"/>
        </w:rPr>
        <w:t>)؛ وتشجيع اعتماد أدلة التدريب ودورات التعلم الإلكتروني لليونيب في منطقة الشرق الأوسط وشمال أفريقيا؛ ومساعدة تسع جامعات في دمج باليونيب في برامجها التدريبية.</w:t>
      </w:r>
      <w:r w:rsidRPr="001920D1">
        <w:rPr>
          <w:sz w:val="26"/>
          <w:szCs w:val="26"/>
          <w:rtl/>
          <w:lang w:eastAsia="ar" w:bidi="ar-EG"/>
        </w:rPr>
        <w:noBreakHyphen/>
        <w:t xml:space="preserve"> الجمعية الأمريكية لمهندسي التدفئة والتبريد وتكييف الهواء (</w:t>
      </w:r>
      <w:r w:rsidRPr="001920D1">
        <w:rPr>
          <w:sz w:val="26"/>
          <w:szCs w:val="26"/>
          <w:lang w:eastAsia="ar" w:bidi="en-GB"/>
        </w:rPr>
        <w:t>ASHRAE</w:t>
      </w:r>
      <w:r w:rsidRPr="001920D1">
        <w:rPr>
          <w:sz w:val="26"/>
          <w:szCs w:val="26"/>
          <w:rtl/>
          <w:lang w:eastAsia="ar" w:bidi="ar-EG"/>
        </w:rPr>
        <w:t>)</w:t>
      </w:r>
      <w:r w:rsidRPr="001920D1">
        <w:rPr>
          <w:rStyle w:val="FootnoteReference"/>
          <w:sz w:val="26"/>
          <w:szCs w:val="26"/>
          <w:rtl/>
          <w:lang w:eastAsia="ar" w:bidi="ar-EG"/>
        </w:rPr>
        <w:footnoteReference w:id="2"/>
      </w:r>
      <w:r w:rsidRPr="001920D1">
        <w:rPr>
          <w:sz w:val="26"/>
          <w:szCs w:val="26"/>
          <w:rtl/>
          <w:lang w:eastAsia="ar" w:bidi="ar-EG"/>
        </w:rPr>
        <w:t xml:space="preserve"> إدراج دورة جامعية حول إدارة غازات التبريد في المناهج الهندسية؛ وتقديم المساعدة الفنية والسياسية </w:t>
      </w:r>
      <w:r w:rsidRPr="001920D1">
        <w:rPr>
          <w:spacing w:val="-2"/>
          <w:sz w:val="26"/>
          <w:szCs w:val="26"/>
          <w:rtl/>
          <w:lang w:eastAsia="ar" w:bidi="ar-EG"/>
        </w:rPr>
        <w:t>لتطوير</w:t>
      </w:r>
      <w:r w:rsidRPr="001920D1">
        <w:rPr>
          <w:sz w:val="26"/>
          <w:szCs w:val="26"/>
          <w:rtl/>
          <w:lang w:eastAsia="ar" w:bidi="ar-EG"/>
        </w:rPr>
        <w:t xml:space="preserve"> </w:t>
      </w:r>
      <w:r w:rsidRPr="001920D1">
        <w:rPr>
          <w:spacing w:val="-2"/>
          <w:sz w:val="26"/>
          <w:szCs w:val="26"/>
          <w:rtl/>
          <w:lang w:eastAsia="ar" w:bidi="ar-EG"/>
        </w:rPr>
        <w:t>برامج</w:t>
      </w:r>
      <w:r w:rsidRPr="001920D1">
        <w:rPr>
          <w:sz w:val="26"/>
          <w:szCs w:val="26"/>
          <w:rtl/>
          <w:lang w:eastAsia="ar" w:bidi="ar-EG"/>
        </w:rPr>
        <w:t xml:space="preserve"> شهادة </w:t>
      </w:r>
      <w:r w:rsidR="0085610C" w:rsidRPr="0085610C">
        <w:rPr>
          <w:sz w:val="26"/>
          <w:szCs w:val="26"/>
          <w:rtl/>
          <w:lang w:eastAsia="ar" w:bidi="ar-SA"/>
        </w:rPr>
        <w:t xml:space="preserve">التبريد وتكييف الهواء </w:t>
      </w:r>
      <w:r w:rsidRPr="001920D1">
        <w:rPr>
          <w:sz w:val="26"/>
          <w:szCs w:val="26"/>
          <w:rtl/>
          <w:lang w:eastAsia="ar" w:bidi="ar-EG"/>
        </w:rPr>
        <w:t>الوطنية؛</w:t>
      </w:r>
    </w:p>
    <w:p w14:paraId="0DF0E961" w14:textId="77777777" w:rsidR="00D2031E" w:rsidRPr="001920D1" w:rsidRDefault="00D2031E" w:rsidP="00D2031E">
      <w:pPr>
        <w:pStyle w:val="Heading2"/>
        <w:bidi/>
        <w:ind w:left="1422" w:hanging="709"/>
        <w:rPr>
          <w:spacing w:val="-2"/>
          <w:sz w:val="26"/>
          <w:szCs w:val="26"/>
        </w:rPr>
      </w:pPr>
      <w:r w:rsidRPr="001920D1">
        <w:rPr>
          <w:sz w:val="26"/>
          <w:szCs w:val="26"/>
          <w:rtl/>
          <w:lang w:eastAsia="ar" w:bidi="ar-EG"/>
        </w:rPr>
        <w:t xml:space="preserve">تيسير أوجه التآزر بين وحدات الأوزون الوطنية وصانعي السياسات الوطنية المتعلقة بالكفاءة في </w:t>
      </w:r>
      <w:r w:rsidRPr="001920D1">
        <w:rPr>
          <w:sz w:val="26"/>
          <w:szCs w:val="26"/>
          <w:rtl/>
          <w:lang w:eastAsia="ar" w:bidi="ar-EG"/>
        </w:rPr>
        <w:lastRenderedPageBreak/>
        <w:t xml:space="preserve">استخدام الطاقة ومراكز التنسيق المالية من خلال حلقات عمل توأمة بين ومسؤول وحدة الأوزون الوطنية وصانعي السياسات المتعلقة بالكفاءة في استخدام الطاقة مع 422 مشاركاً؛ ومتابعة التوصيات المنبثقة عن المرحلة الأولى من مشروع التوأمة، بما في ذلك تطوير وتبادل المواد القائمة لبناء القدرة بشأن الكفاءة في استخدام الطاقة وغازات التبريد ذات القدرة المنخفضة على إحداث الاحترار العالمي؛ والبدء في تنفيذ المرحلة الثانية من المشروع، بما في ذلك توفير المعلومات والمساعدة </w:t>
      </w:r>
      <w:r w:rsidRPr="001920D1">
        <w:rPr>
          <w:spacing w:val="-9"/>
          <w:sz w:val="26"/>
          <w:szCs w:val="26"/>
          <w:rtl/>
          <w:lang w:eastAsia="ar" w:bidi="ar-EG"/>
        </w:rPr>
        <w:t xml:space="preserve">لوحدات </w:t>
      </w:r>
      <w:r w:rsidRPr="001920D1">
        <w:rPr>
          <w:sz w:val="26"/>
          <w:szCs w:val="26"/>
          <w:rtl/>
          <w:lang w:eastAsia="ar" w:bidi="ar-EG"/>
        </w:rPr>
        <w:t xml:space="preserve">الأوزون الوطنية المهتمة لتعزيز أو وضع سياسات ولوائح </w:t>
      </w:r>
      <w:r w:rsidRPr="001920D1">
        <w:rPr>
          <w:spacing w:val="-8"/>
          <w:sz w:val="26"/>
          <w:szCs w:val="26"/>
          <w:rtl/>
          <w:lang w:eastAsia="ar" w:bidi="ar-EG"/>
        </w:rPr>
        <w:t xml:space="preserve">لتحسين </w:t>
      </w:r>
      <w:r w:rsidRPr="001920D1">
        <w:rPr>
          <w:sz w:val="26"/>
          <w:szCs w:val="26"/>
          <w:rtl/>
          <w:lang w:eastAsia="ar" w:bidi="ar-EG"/>
        </w:rPr>
        <w:t xml:space="preserve">الكفاءة في استخدام الطاقة في </w:t>
      </w:r>
      <w:r w:rsidRPr="001920D1">
        <w:rPr>
          <w:spacing w:val="-2"/>
          <w:sz w:val="26"/>
          <w:szCs w:val="26"/>
          <w:rtl/>
          <w:lang w:eastAsia="ar" w:bidi="ar-EG"/>
        </w:rPr>
        <w:t>معدات</w:t>
      </w:r>
      <w:r w:rsidRPr="001920D1">
        <w:rPr>
          <w:sz w:val="26"/>
          <w:szCs w:val="26"/>
          <w:rtl/>
          <w:lang w:eastAsia="ar" w:bidi="ar-EG"/>
        </w:rPr>
        <w:t xml:space="preserve"> التبريد وتكييف الهواء القائمة والجديدة؛</w:t>
      </w:r>
    </w:p>
    <w:p w14:paraId="6E35EFCC" w14:textId="77777777" w:rsidR="00D2031E" w:rsidRPr="001920D1" w:rsidRDefault="00D2031E" w:rsidP="00D2031E">
      <w:pPr>
        <w:pStyle w:val="Heading2"/>
        <w:bidi/>
        <w:ind w:left="1422" w:hanging="709"/>
        <w:rPr>
          <w:sz w:val="26"/>
          <w:szCs w:val="26"/>
        </w:rPr>
      </w:pPr>
      <w:r w:rsidRPr="001920D1">
        <w:rPr>
          <w:sz w:val="26"/>
          <w:szCs w:val="26"/>
          <w:rtl/>
          <w:lang w:eastAsia="ar" w:bidi="ar-EG"/>
        </w:rPr>
        <w:t xml:space="preserve">تطوير منتجات بناء القدرة الإقليمية والعالمية، بما في ذلك النشرات الإخبارية والمنشورات والتطبيقات وأدلة التدريب؛ صيانة موقع </w:t>
      </w:r>
      <w:r w:rsidRPr="001920D1">
        <w:rPr>
          <w:sz w:val="26"/>
          <w:szCs w:val="26"/>
          <w:lang w:eastAsia="ar" w:bidi="en-GB"/>
        </w:rPr>
        <w:t>OzonAction</w:t>
      </w:r>
      <w:r w:rsidRPr="001920D1">
        <w:rPr>
          <w:sz w:val="26"/>
          <w:szCs w:val="26"/>
          <w:rtl/>
          <w:lang w:eastAsia="ar" w:bidi="ar-EG"/>
        </w:rPr>
        <w:t xml:space="preserve"> على شبكة الإنترنت؛ توزيع 22 نشرة إخبارية نصف شهرية من </w:t>
      </w:r>
      <w:r w:rsidRPr="001920D1">
        <w:rPr>
          <w:sz w:val="26"/>
          <w:szCs w:val="26"/>
          <w:lang w:eastAsia="ar" w:bidi="en-GB"/>
        </w:rPr>
        <w:t>OzoNews</w:t>
      </w:r>
      <w:r w:rsidRPr="001920D1">
        <w:rPr>
          <w:sz w:val="26"/>
          <w:szCs w:val="26"/>
          <w:rtl/>
          <w:lang w:eastAsia="ar" w:bidi="ar-EG"/>
        </w:rPr>
        <w:t xml:space="preserve"> وثلاثة إصدارات خاصة؛ دعم 30 نشاطًا للتوعية العامة مثل احتفالات يوم الأوزون العالمي وورش العمل والموائد المستديرة وعروض التكنولوجيا في إطار برنامج </w:t>
      </w:r>
      <w:r w:rsidRPr="001920D1">
        <w:rPr>
          <w:sz w:val="26"/>
          <w:szCs w:val="26"/>
          <w:lang w:eastAsia="ar" w:bidi="en-GB"/>
        </w:rPr>
        <w:t>Ozone2Climate</w:t>
      </w:r>
      <w:r w:rsidRPr="001920D1">
        <w:rPr>
          <w:sz w:val="26"/>
          <w:szCs w:val="26"/>
          <w:rtl/>
          <w:lang w:eastAsia="ar" w:bidi="ar-EG"/>
        </w:rPr>
        <w:t xml:space="preserve"> ويوم التبريد العالمي؛</w:t>
      </w:r>
    </w:p>
    <w:p w14:paraId="263D62D7" w14:textId="77777777" w:rsidR="00D2031E" w:rsidRPr="001920D1" w:rsidRDefault="00D2031E" w:rsidP="00D2031E">
      <w:pPr>
        <w:pStyle w:val="Heading2"/>
        <w:bidi/>
        <w:ind w:left="1422" w:hanging="709"/>
        <w:rPr>
          <w:sz w:val="26"/>
          <w:szCs w:val="26"/>
        </w:rPr>
      </w:pPr>
      <w:r w:rsidRPr="001920D1">
        <w:rPr>
          <w:sz w:val="26"/>
          <w:szCs w:val="26"/>
          <w:rtl/>
          <w:lang w:eastAsia="ar" w:bidi="ar-EG"/>
        </w:rPr>
        <w:t>دعم تنفيذ السياسة الجنسانية للصندوق المتعدد الأطراف في خدمات ومشروعات برنامج المساعدة على الامتثال؛ ودعم وحدات الأوزون الوطنية في استكمال التقييمات الجنسانية باستخدام الأدوات والموارد؛ وتقديم فرص التواصل والتوجيه من خلال الشبكة الدولية للنساء العاملات في مجال التبريد؛ ودعم البلدان في دمج الأنشطة الجنسانية في خطة إدارة إزالة المواد الهيدروكلوروفلوروكربونية (</w:t>
      </w:r>
      <w:r w:rsidRPr="001920D1">
        <w:rPr>
          <w:sz w:val="26"/>
          <w:szCs w:val="26"/>
          <w:lang w:eastAsia="ar" w:bidi="en-GB"/>
        </w:rPr>
        <w:t>HPMP</w:t>
      </w:r>
      <w:r w:rsidRPr="001920D1">
        <w:rPr>
          <w:sz w:val="26"/>
          <w:szCs w:val="26"/>
          <w:rtl/>
          <w:lang w:eastAsia="ar" w:bidi="ar-EG"/>
        </w:rPr>
        <w:t>) وخطط التنفيذ المتعلقة بالمواد الهيدروفلوروكربونية بموجب تعديل كيغالي (</w:t>
      </w:r>
      <w:r w:rsidRPr="001920D1">
        <w:rPr>
          <w:sz w:val="26"/>
          <w:szCs w:val="26"/>
          <w:lang w:eastAsia="ar" w:bidi="en-GB"/>
        </w:rPr>
        <w:t>KIP</w:t>
      </w:r>
      <w:r w:rsidRPr="001920D1">
        <w:rPr>
          <w:sz w:val="26"/>
          <w:szCs w:val="26"/>
          <w:rtl/>
          <w:lang w:eastAsia="ar" w:bidi="ar-EG"/>
        </w:rPr>
        <w:t>)؛</w:t>
      </w:r>
    </w:p>
    <w:p w14:paraId="1C05A428" w14:textId="77777777" w:rsidR="00D2031E" w:rsidRPr="001920D1" w:rsidRDefault="00D2031E" w:rsidP="00D2031E">
      <w:pPr>
        <w:pStyle w:val="Heading2"/>
        <w:bidi/>
        <w:ind w:left="1422" w:hanging="709"/>
        <w:rPr>
          <w:sz w:val="26"/>
          <w:szCs w:val="26"/>
        </w:rPr>
      </w:pPr>
      <w:r w:rsidRPr="001920D1">
        <w:rPr>
          <w:sz w:val="26"/>
          <w:szCs w:val="26"/>
          <w:rtl/>
          <w:lang w:eastAsia="ar" w:bidi="ar-EG"/>
        </w:rPr>
        <w:t xml:space="preserve">دعم إعداد وتقديم المشروعات المعتمدة في الاجتماعين </w:t>
      </w:r>
      <w:r w:rsidRPr="00F413D1">
        <w:rPr>
          <w:sz w:val="26"/>
          <w:szCs w:val="26"/>
          <w:rtl/>
          <w:lang w:eastAsia="ar" w:bidi="ar-EG"/>
        </w:rPr>
        <w:t>الخامس</w:t>
      </w:r>
      <w:r w:rsidRPr="001920D1">
        <w:rPr>
          <w:sz w:val="26"/>
          <w:szCs w:val="26"/>
          <w:rtl/>
          <w:lang w:eastAsia="ar" w:bidi="ar-EG"/>
        </w:rPr>
        <w:t xml:space="preserve"> والتسعين والسادس </w:t>
      </w:r>
      <w:r w:rsidRPr="00F413D1">
        <w:rPr>
          <w:sz w:val="26"/>
          <w:szCs w:val="26"/>
          <w:rtl/>
          <w:lang w:eastAsia="ar" w:bidi="ar-EG"/>
        </w:rPr>
        <w:t>والتسعين</w:t>
      </w:r>
      <w:r w:rsidRPr="001920D1">
        <w:rPr>
          <w:sz w:val="26"/>
          <w:szCs w:val="26"/>
          <w:rtl/>
          <w:lang w:eastAsia="ar" w:bidi="ar-EG"/>
        </w:rPr>
        <w:t xml:space="preserve"> ، بما في ذلك 34 شريحة ومراحل جديدة من خطة إدارة إزالة المواد الهيدروكلوروفلوروكربونية، و40 تقريراً للتحقق من خطة إدارة إزالة المواد الهيدروكلوروفلوروكربونية، و28 خطط التنفيذ المتعلقة بالمواد الهيدروفلوروكربونية بموجب تعديل كيغالي، و39 مشروعاً لتعزيز المؤسسات، و20 مشروعاً للتحضير، و20 مكوناً للكفاءة في استهلاك الطاقة بموجب المقرر 89/6، ومشروع تجريبي واحد بموجب المقرر 91/65، و35 مشروعاً بشأن الجرد وخطط العمل للمواد الخاضعة للرقابة المستخدمة أو غير المرغوب فيها، بما يتماشى مع المقرر 91/66؛ </w:t>
      </w:r>
    </w:p>
    <w:p w14:paraId="1F77420A" w14:textId="77777777" w:rsidR="00D2031E" w:rsidRPr="001920D1" w:rsidRDefault="00D2031E" w:rsidP="00D2031E">
      <w:pPr>
        <w:pStyle w:val="Heading2"/>
        <w:bidi/>
        <w:ind w:left="1422" w:hanging="709"/>
        <w:rPr>
          <w:sz w:val="26"/>
          <w:szCs w:val="26"/>
        </w:rPr>
      </w:pPr>
      <w:r w:rsidRPr="001920D1">
        <w:rPr>
          <w:sz w:val="26"/>
          <w:szCs w:val="26"/>
          <w:rtl/>
          <w:lang w:eastAsia="ar" w:bidi="ar-EG"/>
        </w:rPr>
        <w:t xml:space="preserve">دعم تنفيذ خطط إدارة إزالة المواد الهيدروكلوروفلوروكربونية في 102 بلد (75 بلداً كوكالة رائدة و27 بلداً كوكالة متعاونة)، وخطط التنفيذ المتعلقة بالمواد الهيدروفلوروكربونية بموجب تعديل كيغالي في 50 بلداً (32 بلداً كوكالة رائدة و18 بلداً كوكالة متعاونة)، ومشروعات الكفاءة في استخدام الطاقة في 39 بلدا، ومشروعات إعداد قوائم جرد وطنية للمواد المستخدمة وغير المرغوب فيها وخطط العمل اللاحقة في 51 بلداً. </w:t>
      </w:r>
    </w:p>
    <w:p w14:paraId="3D2D3341" w14:textId="77777777" w:rsidR="00D2031E" w:rsidRPr="001920D1" w:rsidRDefault="00D2031E" w:rsidP="00D2031E">
      <w:pPr>
        <w:pStyle w:val="Heading2"/>
        <w:numPr>
          <w:ilvl w:val="0"/>
          <w:numId w:val="0"/>
        </w:numPr>
        <w:bidi/>
        <w:rPr>
          <w:sz w:val="26"/>
          <w:szCs w:val="26"/>
          <w:u w:val="single"/>
        </w:rPr>
      </w:pPr>
      <w:r w:rsidRPr="001920D1">
        <w:rPr>
          <w:sz w:val="26"/>
          <w:szCs w:val="26"/>
          <w:u w:val="single"/>
          <w:rtl/>
          <w:lang w:eastAsia="ar" w:bidi="ar-EG"/>
        </w:rPr>
        <w:t>تقرير عن الدعم الفني والسياسي للبلدان ذات الاستهلاك المنخفض لدعم تنفيذ خطط التنفيذ المتعلقة بالمواد الهيدروفلوروكربونية بموجب تعديل كيغالي</w:t>
      </w:r>
    </w:p>
    <w:p w14:paraId="0A14123E" w14:textId="77777777" w:rsidR="00D2031E" w:rsidRPr="00D2031E" w:rsidRDefault="00D2031E" w:rsidP="00D2031E">
      <w:pPr>
        <w:pStyle w:val="Heading1"/>
        <w:bidi/>
        <w:rPr>
          <w:sz w:val="30"/>
          <w:szCs w:val="26"/>
        </w:rPr>
      </w:pPr>
      <w:r w:rsidRPr="00D2031E">
        <w:rPr>
          <w:sz w:val="30"/>
          <w:szCs w:val="26"/>
          <w:rtl/>
          <w:lang w:eastAsia="ar" w:bidi="ar-EG"/>
        </w:rPr>
        <w:t xml:space="preserve">بموجب المقرر 93/95 (د)، وافقت اللجنة التنفيذية على زيادة ميزانية عملية المساعدة على الامتثال للأعوام 2024 و2025 و2026 لتقديم المساعدة الفنية والسياسية للبلدان ذات الاستهلاك المنخفض لدعم تنفيذ خطط التنفيذ المتعلقة بالمواد الهيدروفلوروكربونية بموجب تعديل كيغالي، على أساس فهم، من بين أمور أخرى، أن اليونيب سوف يقدم تقريراً عن أنشطة المساعدة الفنية والسياسية المقدمة للبلدان ذات حجم الاستهلاك المنخفض وتأثيرها كجزء من التقارير المرحلية السنوية عن التقدم المحرز في برنامج المساعدة على الامتثال. وفي الاجتماع </w:t>
      </w:r>
      <w:r w:rsidRPr="00D2031E">
        <w:rPr>
          <w:sz w:val="30"/>
          <w:szCs w:val="26"/>
          <w:vertAlign w:val="superscript"/>
          <w:rtl/>
          <w:lang w:eastAsia="ar" w:bidi="ar-EG"/>
        </w:rPr>
        <w:t>الخامس</w:t>
      </w:r>
      <w:r w:rsidRPr="00D2031E">
        <w:rPr>
          <w:sz w:val="30"/>
          <w:szCs w:val="26"/>
          <w:rtl/>
          <w:lang w:eastAsia="ar" w:bidi="ar-EG"/>
        </w:rPr>
        <w:t xml:space="preserve"> والتسعين، أفاد اليونيب بأن المساعدة الخاصة للبلدان ذات حجم الاستهلاك المنخفض سوف تقدم في أربعة مجالات ذات أولوية، تم اختيارها على أساس أهميتها وتأثيرها المحتمل وإمكانية تكرارها في سياقات مختلفة للبلدان ذات حجم الاستهلاك المنخفض. منذ التقرير الأخير، تم استبدال مجال بناء قدرات وحدات الأوزون الوطنية للتحرك المبكر في قطاع تكييف الهواء المتنقل وتقييم اتجاهات الاستهلاك بمجال أولوية جديد لبناء القدرة في مجال التبريد الآمن والمستدام من خلال </w:t>
      </w:r>
      <w:r w:rsidRPr="00D2031E">
        <w:rPr>
          <w:sz w:val="30"/>
          <w:szCs w:val="26"/>
          <w:rtl/>
          <w:lang w:eastAsia="ar" w:bidi="ar-EG"/>
        </w:rPr>
        <w:lastRenderedPageBreak/>
        <w:t>تعزيز السلامة المهنية في قطاع التبريد وتكييف الهواء. ويعتزم اليونيب مواصلة دعم البلدان ذات حجم الاستهلاك المنخفض في إطار مجالات الأولوية الأربعة، بما في ذلك الآن المجال الجديد، وتوظيف مستشارين لتكملة الخبرة الفنية والسياسية لفريق برنامج المساعدة على الامتثال لتنفيذ خطط التنفيذ المتعلقة بالمواد الهيدروفلوروكربونية بموجب تعديل كيغالي في البلدان ذات حجم الاستهلاك المنخفض. وفي وقت إعداد هذه الوثيقة، أشار اليونيب إلى أنه تم تعيين اثنين من المستشارين لهذا الغرض. وقد تم تنفيذ الأنشطة التالية في كل من مجالات الأولوية الثلاثة الأصلية:</w:t>
      </w:r>
    </w:p>
    <w:p w14:paraId="3F0C8EE5" w14:textId="77777777" w:rsidR="00D2031E" w:rsidRPr="001920D1" w:rsidRDefault="00D2031E" w:rsidP="00D2031E">
      <w:pPr>
        <w:pStyle w:val="Heading2"/>
        <w:widowControl/>
        <w:bidi/>
        <w:ind w:left="1422" w:hanging="709"/>
        <w:rPr>
          <w:sz w:val="26"/>
          <w:szCs w:val="26"/>
        </w:rPr>
      </w:pPr>
      <w:r w:rsidRPr="001920D1">
        <w:rPr>
          <w:i/>
          <w:iCs/>
          <w:sz w:val="26"/>
          <w:szCs w:val="26"/>
          <w:rtl/>
          <w:lang w:eastAsia="ar" w:bidi="ar-EG"/>
        </w:rPr>
        <w:t>تعزيز قدرة البلدان ذات حجم الاستهلاك المنخفض على تنفيذ أنظمة الترخيص والحصص للمواد الهيدروفلوروكربونية وجمع البيانات عن اتجاهات استهلاك الهيدروفلوروكربون</w:t>
      </w:r>
      <w:r w:rsidRPr="001920D1">
        <w:rPr>
          <w:sz w:val="26"/>
          <w:szCs w:val="26"/>
          <w:rtl/>
          <w:lang w:eastAsia="ar" w:bidi="ar-EG"/>
        </w:rPr>
        <w:t>: واختار اليونيب بلدين من البلدان ذات حجم الاستهلاك المنخفض لمبادرات تجريبية واستعان بخبير استشاري لتقييم نظم التراخيص والحصص للهيدروفلوروكربون، بما في ذلك آليات رصد البيانات والإبلاغ، وتحليل اتجاهات استهلاك الهيدروفلوروكربون مقارنة بمستويات خط الأساس في البلدين المختارين من البلدان ذات حجم الاستهلاك المنخفض، مع التركيز على الدوافع الأساسية للتقلبات في أنماط الاستهلاك، والمتطلبات المحددة للأسواق المحلية، وتوقعات الطلب في المستقبل. وسيُسترشد بالنتائج المستخلصة من كلا التقييمين في وضع صحائف وقائع/مواد إعلامية، بما في ذلك واحدة عن المنهجيات المستخدمة في تحليل اتجاهات الاستهلاك؛ وسيتم نشر هذه النتائج، إلى جانب نتائج ونتائج التقييمات، من خلال الاجتماعات المتعلقة ببروتوكول مونتريال؛</w:t>
      </w:r>
    </w:p>
    <w:p w14:paraId="5FD2ADC6" w14:textId="284B173B" w:rsidR="00D2031E" w:rsidRPr="001920D1" w:rsidRDefault="00D2031E" w:rsidP="00D2031E">
      <w:pPr>
        <w:pStyle w:val="Heading2"/>
        <w:widowControl/>
        <w:bidi/>
        <w:ind w:left="1422" w:hanging="709"/>
        <w:rPr>
          <w:sz w:val="26"/>
          <w:szCs w:val="26"/>
        </w:rPr>
      </w:pPr>
      <w:r w:rsidRPr="001920D1">
        <w:rPr>
          <w:i/>
          <w:iCs/>
          <w:sz w:val="26"/>
          <w:szCs w:val="26"/>
          <w:rtl/>
          <w:lang w:eastAsia="ar" w:bidi="ar-EG"/>
        </w:rPr>
        <w:t>مساعدة وحدات الأوزون الوطنية في تحديد الاستهلاك في القطاع الفرعي المحلي للتركيب والتجميع وتحويل الشركات في هذا القطاع الفرعي إلى بدائل منخفضة القدرة على إحداث الاحترار العالمي من خلال</w:t>
      </w:r>
      <w:r w:rsidRPr="001920D1">
        <w:rPr>
          <w:i/>
          <w:iCs/>
          <w:sz w:val="26"/>
          <w:szCs w:val="26"/>
          <w:rtl/>
          <w:lang w:eastAsia="ar" w:bidi="ar-EG"/>
        </w:rPr>
        <w:noBreakHyphen/>
        <w:t xml:space="preserve">أنشطة غير استثمارية: </w:t>
      </w:r>
      <w:r w:rsidRPr="001920D1">
        <w:rPr>
          <w:sz w:val="26"/>
          <w:szCs w:val="26"/>
          <w:rtl/>
          <w:lang w:eastAsia="ar" w:bidi="ar-EG"/>
        </w:rPr>
        <w:t>ولإيجاد إرشادات وموارد لجميع البلدان ذات حجم الاستهلاك المنخفض، اختار اليونيب زمبابوي لتجربة الأنشطة كنموذج قابل للتكرار. تم توقيع اتفاقية تمويل على نطاق صغير، وعقد اجتماع تنسيقي مع جمعية التبريد وتكييف الهواء</w:t>
      </w:r>
      <w:r w:rsidRPr="001920D1">
        <w:rPr>
          <w:sz w:val="26"/>
          <w:szCs w:val="26"/>
          <w:rtl/>
          <w:lang w:eastAsia="ar" w:bidi="ar-EG"/>
        </w:rPr>
        <w:noBreakHyphen/>
        <w:t>في زمبابوي (</w:t>
      </w:r>
      <w:r w:rsidRPr="001920D1">
        <w:rPr>
          <w:sz w:val="26"/>
          <w:szCs w:val="26"/>
          <w:lang w:eastAsia="ar" w:bidi="en-GB"/>
        </w:rPr>
        <w:t>HEVACRAZ</w:t>
      </w:r>
      <w:r w:rsidRPr="001920D1">
        <w:rPr>
          <w:sz w:val="26"/>
          <w:szCs w:val="26"/>
          <w:rtl/>
          <w:lang w:eastAsia="ar" w:bidi="ar-EG"/>
        </w:rPr>
        <w:t xml:space="preserve">). </w:t>
      </w:r>
      <w:r w:rsidR="0085610C">
        <w:rPr>
          <w:rFonts w:hint="cs"/>
          <w:sz w:val="26"/>
          <w:szCs w:val="26"/>
          <w:rtl/>
          <w:lang w:eastAsia="ar" w:bidi="ar-EG"/>
        </w:rPr>
        <w:t xml:space="preserve">أوفدت </w:t>
      </w:r>
      <w:r w:rsidRPr="001920D1">
        <w:rPr>
          <w:sz w:val="26"/>
          <w:szCs w:val="26"/>
          <w:rtl/>
          <w:lang w:eastAsia="ar" w:bidi="ar-EG"/>
        </w:rPr>
        <w:t>ببعثة ميدانية مشتركة لتفقد مختلف مؤسسات التركيب والتجميع في جميع أنحاء زمبابوي، ويقوم اليونيب حالياً برسم خرائط لأصحاب المصلحة وتحليل الجاهزية بما في ذلك تقييم التشريعات واللوائح والعوائق المؤسسية في قطاع التبريد التجاري. تجري الاستعدادات حالياً لإجراء مسح وطني على مستوى القطاع بشأن استخدام غازات التبريد وشهادات الفنيين والاستعداد لاعتماد تقنيات ذات قدرة منخفضة على إحداث الاحترار العالمي. وستدعم هذه الأنشطة وضع تقرير شامل عن الجاهزية يتضمن تقييماً للمهارات التقنية والفجوات في السياسات، فضلاً عن رسم خرائط للمعدات وتحليل نقاط الضعف المؤسسية؛ وتصميم وتجريب سجل وطني للفنيين وأنشطة تحفيزية لتعزيز رؤية القطاع وتشجيع اعتماد تكنولوجيات منخفضة القدرة على إحداث الاحتباس الحراري؛ وتوفير مجموعة أدوات عملية للتبريد التجاري تشمل برمجيات تحديد الحجم، وقوائم مرجعية تقنية، ومواد إرشادية مصاحبة؛ وتعزيز مشاركة القطاع من خلال مواد توعية وموارد تدريبية مستهدفة، مع محتوى مصمم ليكون قابلاً للتكيف للتكرار في بلدان أخرى من البلدان ذات حجم الاستهلاك المنخفض.</w:t>
      </w:r>
    </w:p>
    <w:p w14:paraId="306162D1" w14:textId="77777777" w:rsidR="00D2031E" w:rsidRPr="001920D1" w:rsidRDefault="00D2031E" w:rsidP="00D2031E">
      <w:pPr>
        <w:pStyle w:val="Heading2"/>
        <w:widowControl/>
        <w:bidi/>
        <w:ind w:left="1422" w:hanging="709"/>
        <w:rPr>
          <w:sz w:val="26"/>
          <w:szCs w:val="26"/>
          <w:lang w:val="en-US"/>
        </w:rPr>
      </w:pPr>
      <w:r w:rsidRPr="001920D1">
        <w:rPr>
          <w:i/>
          <w:iCs/>
          <w:sz w:val="26"/>
          <w:szCs w:val="26"/>
          <w:rtl/>
          <w:lang w:eastAsia="ar" w:bidi="ar-EG"/>
        </w:rPr>
        <w:t>تدريب موظفي برنامج المساعدة على الامتثال على الكفاءة في استخدام الطاقة و المعايير الدنيا لأداء الطاقة</w:t>
      </w:r>
      <w:r w:rsidRPr="001920D1">
        <w:rPr>
          <w:sz w:val="26"/>
          <w:szCs w:val="26"/>
          <w:rtl/>
          <w:lang w:eastAsia="ar" w:bidi="ar-EG"/>
        </w:rPr>
        <w:t>: شارك ممثلون من منطقة أمريكا اللاتينية في برنامج المساعدة على الامتثال في فعالية تدريبية جمعت أصحاب المصلحة الإقليميين لاستكشاف سياسات الكفاءة في استخدام الطاقة في جميع أنحاء أمريكا اللاتينية. وقد اكتسب الحاضرون رؤى متعمقة حول الكيفية التي يمكن أن تحقق بها الكفاءة في استخدام الطاقة فوائد متعددة، بما في ذلك التنمية الاقتصادية وتحسين الصحة العامة وخفض انبعاثات غازات الاحتباس الحراري؛ وخيارات سياسة الكفاءة في استخدام الطاقة؛ واستكشاف الكفاءة في استخدام الطاقة في الأجهزة والمعدات، بما في ذلك إمكانية وضع معايير منسقة وبرامج وضع العلامات ومبادرات تحويل السوق لدفع التحسينات في أداء الطاقة. من المقرر أن يشارك موظفو برنامج المساعدة على الامتثال في آسيا والمحيط الهادئ في تدريب متخصص في مجال الكفاءة في استخدام الطاقة في ديسمبر/كانون الأول 2025.</w:t>
      </w:r>
    </w:p>
    <w:p w14:paraId="2318B642" w14:textId="77777777" w:rsidR="00D2031E" w:rsidRPr="001920D1" w:rsidRDefault="00D2031E" w:rsidP="00D2031E">
      <w:pPr>
        <w:pStyle w:val="Heading2"/>
        <w:keepNext/>
        <w:numPr>
          <w:ilvl w:val="0"/>
          <w:numId w:val="0"/>
        </w:numPr>
        <w:bidi/>
        <w:rPr>
          <w:b/>
          <w:bCs/>
          <w:sz w:val="26"/>
          <w:szCs w:val="26"/>
          <w:lang w:val="en-US"/>
        </w:rPr>
      </w:pPr>
      <w:r w:rsidRPr="001920D1">
        <w:rPr>
          <w:b/>
          <w:bCs/>
          <w:sz w:val="26"/>
          <w:szCs w:val="26"/>
          <w:rtl/>
          <w:lang w:eastAsia="ar" w:bidi="ar-EG"/>
        </w:rPr>
        <w:lastRenderedPageBreak/>
        <w:t>برنامج عمل برنامج المساعدة على الامتثال لعام 2026</w:t>
      </w:r>
    </w:p>
    <w:p w14:paraId="0614BCA6" w14:textId="77777777" w:rsidR="00D2031E" w:rsidRPr="00D2031E" w:rsidRDefault="00D2031E" w:rsidP="00D2031E">
      <w:pPr>
        <w:pStyle w:val="Heading1"/>
        <w:bidi/>
        <w:rPr>
          <w:sz w:val="30"/>
          <w:szCs w:val="26"/>
        </w:rPr>
      </w:pPr>
      <w:r w:rsidRPr="00D2031E">
        <w:rPr>
          <w:sz w:val="30"/>
          <w:szCs w:val="26"/>
          <w:rtl/>
          <w:lang w:eastAsia="ar" w:bidi="ar-EG"/>
        </w:rPr>
        <w:t>تم وضع خطة العمل لعام 2026 في سياق استراتيجية 2024-2026 المشار إليها في المقرر 93/91(أ). وسينفذ اليونيب الأنشطة التالية دعماً للنتائج المحددة في إطار استراتيجية السنوات الثلاث والأنشطة المحددة لعام 2026، على النحو المبين في خطة العمل الكاملة الواردة في الجزء الأول من التقرير المرفق:</w:t>
      </w:r>
    </w:p>
    <w:p w14:paraId="6495E865" w14:textId="77777777" w:rsidR="00D2031E" w:rsidRPr="001920D1" w:rsidRDefault="00D2031E" w:rsidP="00D2031E">
      <w:pPr>
        <w:pStyle w:val="Heading2"/>
        <w:bidi/>
        <w:spacing w:before="240"/>
        <w:ind w:left="1422" w:hanging="709"/>
        <w:rPr>
          <w:sz w:val="26"/>
          <w:szCs w:val="26"/>
        </w:rPr>
      </w:pPr>
      <w:r w:rsidRPr="001920D1">
        <w:rPr>
          <w:sz w:val="26"/>
          <w:szCs w:val="26"/>
          <w:rtl/>
          <w:lang w:eastAsia="ar" w:bidi="ar-EG"/>
        </w:rPr>
        <w:t>مواصلة تقديم المساعدة التقنية في مجال الرصد والإبلاغ وتنفيذ مشروعات التعزيز المؤسسي، وتقديم المساعدة الخاصة بكل بلد على حدة إلى البلدان العاملة بموجب المادة 5، بناء على طلبها، لمعالجة قضايا تقنية أو سياساتية أو تشغيلية محددة؛ وتنظيم اجتماعات للشبكة في جميع الأقاليم العشرة لمعالجة القضايا ذات الأولوية التي تطلبها البلدان الأعضاء في الشبكة، وتبادل المعلومات وتقاسم الخبرات؛ ومواصلة تدريب جميع مسؤولي وحدات الأوزون الوطنية الجدد ومساعديهم على إدارة برامج الامتثال الوطنية بفعالية وتقديم تدريب متقدم للموظفين المهتمين لتعزيز إدارة وحدات الأوزون الوطنية؛</w:t>
      </w:r>
    </w:p>
    <w:p w14:paraId="66015E74" w14:textId="77777777" w:rsidR="00D2031E" w:rsidRPr="001920D1" w:rsidRDefault="00D2031E" w:rsidP="00D2031E">
      <w:pPr>
        <w:pStyle w:val="Heading2"/>
        <w:bidi/>
        <w:spacing w:before="240"/>
        <w:ind w:left="1422" w:hanging="709"/>
        <w:rPr>
          <w:sz w:val="26"/>
          <w:szCs w:val="26"/>
        </w:rPr>
      </w:pPr>
      <w:r w:rsidRPr="001920D1">
        <w:rPr>
          <w:sz w:val="26"/>
          <w:szCs w:val="26"/>
          <w:rtl/>
          <w:lang w:eastAsia="ar" w:bidi="ar-EG"/>
        </w:rPr>
        <w:t>مواصلة مساعدة وحدات الأوزون الوطنية المهتمة في فهم منهجية وضع قوائم جرد لمخزونات المواد المستعملة أو غير المرغوب فيها الخاضعة للرقابة وتحديد الاستراتيجيات المحتملة ونماذج الأعمال لإدارة نهاية عمرها؛ وتشجيع الأنشطة بين البلدان لتلبية الاحتياجات المحددة وتعزيز التعاون بين بلدان الجنوب/بلدان الشمال والجنوب؛ ودعم وحدات الأوزون الوطنية في استكشاف أوجه التآزر المتعلقة بتنفيذ تعديل كيغالي؛</w:t>
      </w:r>
    </w:p>
    <w:p w14:paraId="5D917A54" w14:textId="77777777" w:rsidR="00D2031E" w:rsidRPr="001920D1" w:rsidRDefault="00D2031E" w:rsidP="00D2031E">
      <w:pPr>
        <w:pStyle w:val="Heading2"/>
        <w:bidi/>
        <w:spacing w:before="240"/>
        <w:ind w:left="1422" w:hanging="709"/>
        <w:rPr>
          <w:sz w:val="26"/>
          <w:szCs w:val="26"/>
        </w:rPr>
      </w:pPr>
      <w:r w:rsidRPr="001920D1">
        <w:rPr>
          <w:sz w:val="26"/>
          <w:szCs w:val="26"/>
          <w:rtl/>
          <w:lang w:eastAsia="ar" w:bidi="ar-EG"/>
        </w:rPr>
        <w:t xml:space="preserve">رصد ودعم متطلبات الإبلاغ عن البيانات، ودعم وحدات الأوزون الوطنية في استخدام نظم الإبلاغ عبر الإنترنت؛ ومواصلة دعم البلدان العاملة بموجب المادة 5 في تحديد واعتماد أفضل الممارسات لجمع البيانات والتدقيق المتبادل والمطابقة والإبلاغ، خاصة بالنسبة للمواد الهيدروفلوروكربونية؛ ومساعدة وحدات الأوزون الوطنية في فهم حسابات خط الأساس نقطة البداية للتخفيضات المجمعة المستدامة؛ وتقديم التوجيه بشأن وضع خطوط الأساس  للهيدروفلوروكربون ورصد الامتثال لتدبير الرقابة على التجميد لعام 2024؛ </w:t>
      </w:r>
    </w:p>
    <w:p w14:paraId="310EE1D3" w14:textId="77777777" w:rsidR="00D2031E" w:rsidRPr="001920D1" w:rsidRDefault="00D2031E" w:rsidP="00D2031E">
      <w:pPr>
        <w:pStyle w:val="Heading2"/>
        <w:bidi/>
        <w:spacing w:before="240"/>
        <w:ind w:left="1422" w:hanging="709"/>
        <w:rPr>
          <w:sz w:val="26"/>
          <w:szCs w:val="26"/>
        </w:rPr>
      </w:pPr>
      <w:r w:rsidRPr="001920D1">
        <w:rPr>
          <w:sz w:val="26"/>
          <w:szCs w:val="26"/>
          <w:rtl/>
          <w:lang w:eastAsia="ar" w:bidi="ar-EG"/>
        </w:rPr>
        <w:t>الاستمرار في مساعدة البلدان العاملة بموجب المادة 5 في وضع وتنقيح وتنفيذ السياسات والقوانين واللوائح، بما في ذلك تلك المتعلقة بنظم التراخيص والحصص، وتعزيز الرصد والإبلاغ والتحقق وإنفاذ لوائح الهيدروكلوروفلوروكربون والهيدروفلوروكربون؛ ومواصلة تعزيز الأدوات القائمة (مثل, كتيب لإبلاغ البيانات، ونظام المعلومات المسبقة عن البضائع، وحاسبات الحصص) واعتماد نظم التراخيص الإلكترونية؛ ومساعدة البلدان العاملة بموجب المادة 5 التي لم تصدق بعد على تعديل كيغالي في القيام بذلك، ودعم بلدان المجموعة 2 في إدخال نظم التراخيص والحصص للمواد الهيدروفلوروكربونية وتشجيع تدابير السياسات المتعلقة بإخماد الحرائق وإدارة دورة حياة غازات التبريد؛</w:t>
      </w:r>
    </w:p>
    <w:p w14:paraId="22FA386A" w14:textId="59DCBF12" w:rsidR="00D2031E" w:rsidRPr="001920D1" w:rsidRDefault="00D2031E" w:rsidP="00D2031E">
      <w:pPr>
        <w:pStyle w:val="Heading2"/>
        <w:bidi/>
        <w:spacing w:before="240"/>
        <w:ind w:left="1422" w:hanging="709"/>
        <w:rPr>
          <w:sz w:val="26"/>
          <w:szCs w:val="26"/>
        </w:rPr>
      </w:pPr>
      <w:r w:rsidRPr="001920D1">
        <w:rPr>
          <w:sz w:val="26"/>
          <w:szCs w:val="26"/>
          <w:rtl/>
          <w:lang w:eastAsia="ar" w:bidi="ar-EG"/>
        </w:rPr>
        <w:t>مواصلة العمل مع الجمارك ووكالات الإنفاذ لدمج العمل المتعلق ببروتوكول مونتريال</w:t>
      </w:r>
      <w:r w:rsidRPr="001920D1">
        <w:rPr>
          <w:sz w:val="26"/>
          <w:szCs w:val="26"/>
          <w:rtl/>
          <w:lang w:eastAsia="ar" w:bidi="ar-EG"/>
        </w:rPr>
        <w:noBreakHyphen/>
        <w:t>في عملياتها وتعزيز استخدام الأدوات والمواد الرقمية التي طورها اليونيب وشركاؤه (مثل نظم التتبع الإلكتروني، وقواعد بيانات الإنفاذ المشتركة، ونظام النافذة الواحدة للجمارك، وحصة الهيدروكلوروفلوروكربون وتطبيق حاسوب مكتبي لتتبع التراخيص)؛ ودعم تدريب موظفي الإنفاذ، والتعاون عبر الحدود، والحوار، وتبادل البيانات، والتعاون مع الوسطاء الجمركيين بشأن التصنيف السليم لغازات التبريد؛ وتشجيع جميع وحدات الأوزون الوطنية على إضفاء الطابع المؤسسي على التعاون مع السلطات الجمركية؛ ودعم وحدات الأوزون الوطنية المهتمة للعمل مع السلطات الجمركية لتعزيز اعتماد و/أو تنفيذ رموز النظام المنسق لعام 2022 أو اعتماد رموز إقليمية أو رموز فرعية وطنية أو تدابير أخرى لتسهيل رصد الواردات والصادرات الفردية من الهيدروفلوروكربون؛ مساعدة المنظمات الإقليمية ودون الإقليمية المهتمة</w:t>
      </w:r>
      <w:r w:rsidRPr="001920D1">
        <w:rPr>
          <w:sz w:val="26"/>
          <w:szCs w:val="26"/>
          <w:rtl/>
          <w:lang w:eastAsia="ar" w:bidi="ar-EG"/>
        </w:rPr>
        <w:noBreakHyphen/>
        <w:t xml:space="preserve">وسلطات الجمارك الوطنية على تقييم ومواءمة نظم التعريفة الوطنية مع رمز </w:t>
      </w:r>
      <w:r w:rsidRPr="001920D1">
        <w:rPr>
          <w:sz w:val="26"/>
          <w:szCs w:val="26"/>
          <w:rtl/>
          <w:lang w:eastAsia="ar" w:bidi="ar-EG"/>
        </w:rPr>
        <w:lastRenderedPageBreak/>
        <w:t>النظام المنسق الفردي للمواد الهيدروفلوروكربونية في إطار نظام الرموز المنسق لعام 2027؛ تشجيع وحدات الأوزون الوطنية على المشاركة في برنامج منظمة الجمارك العالمية للاتجار عبر الحدود في النفايات والمواد المستنفدة للأوزون؛ وضع ونشر مجموعة أدوات إنفاذ ودليل لمكافحة الاتجار غير المشروع وتقرير عن الاتجاهات الأخيرة في التجارة غير المشروعة؛</w:t>
      </w:r>
    </w:p>
    <w:p w14:paraId="74530F66" w14:textId="77777777" w:rsidR="00D2031E" w:rsidRPr="001920D1" w:rsidRDefault="00D2031E" w:rsidP="00D2031E">
      <w:pPr>
        <w:pStyle w:val="Heading2"/>
        <w:bidi/>
        <w:spacing w:before="240"/>
        <w:ind w:left="1422" w:hanging="709"/>
        <w:rPr>
          <w:sz w:val="26"/>
          <w:szCs w:val="26"/>
        </w:rPr>
      </w:pPr>
      <w:r w:rsidRPr="001920D1">
        <w:rPr>
          <w:sz w:val="26"/>
          <w:szCs w:val="26"/>
          <w:rtl/>
          <w:lang w:eastAsia="ar" w:bidi="ar-EG"/>
        </w:rPr>
        <w:t xml:space="preserve">مواصلة تنفيذ أنشطة غرفة تبادل المعلومات العالمية من خلال جملة أمور منها إعداد ونشر المعلومات والمواد التثقيفية المستهدفة والخدمات لأصحاب المصلحة في أشكال رقمية ومطبوعة، ونشر الموجزات التقنية عن غازات التبريد والتكنولوجيات البديلة؛ وصيانة موقع عمل الأوزون على شبكة الإنترنت وبوابة الاجتماعات؛ ونشر نشرة </w:t>
      </w:r>
      <w:r w:rsidRPr="001920D1">
        <w:rPr>
          <w:sz w:val="26"/>
          <w:szCs w:val="26"/>
          <w:lang w:eastAsia="ar" w:bidi="en-GB"/>
        </w:rPr>
        <w:t>OzoNews</w:t>
      </w:r>
      <w:r w:rsidRPr="001920D1">
        <w:rPr>
          <w:sz w:val="26"/>
          <w:szCs w:val="26"/>
          <w:rtl/>
          <w:lang w:eastAsia="ar" w:bidi="ar-EG"/>
        </w:rPr>
        <w:t xml:space="preserve"> نصف الشهرية وثلاثة منشورات مواضيعية خاصة عن عمل الأوزون؛ وتعزيز دعم بروتوكول مونتريال من خلال أنشطة التوعية الإقليمية التي تتفق عليها البلدان في اجتماعات الشبكة؛ وتشجيع وحدات الأوزون الوطنية وسلطات الجمارك على المشاركة في اليوم العالمي للأوزون واليوم العالمي للتبريد واليوم العالمي للجمارك لتعزيز أهداف بروتوكول مونتريال وعرض أعمال الرصد والإنفاذ؛</w:t>
      </w:r>
    </w:p>
    <w:p w14:paraId="3182B48A" w14:textId="77777777" w:rsidR="00D2031E" w:rsidRPr="001920D1" w:rsidRDefault="00D2031E" w:rsidP="00D2031E">
      <w:pPr>
        <w:pStyle w:val="Heading2"/>
        <w:bidi/>
        <w:spacing w:before="240"/>
        <w:ind w:left="1422" w:hanging="709"/>
        <w:rPr>
          <w:sz w:val="26"/>
          <w:szCs w:val="26"/>
        </w:rPr>
      </w:pPr>
      <w:r w:rsidRPr="001920D1">
        <w:rPr>
          <w:sz w:val="26"/>
          <w:szCs w:val="26"/>
          <w:rtl/>
          <w:lang w:eastAsia="ar" w:bidi="ar-EG"/>
        </w:rPr>
        <w:t xml:space="preserve">دعم جميع وحدات الأوزون الوطنية بالتدريب في قطاع صيانة التبريد من خلال توفير منتجات التدريب والمعلومات عن غازات التبريد والتكنولوجيات البديلة، والإدارة السليمة لغازات التبريد، والمبادئ التوجيهية والمعايير الخاصة باستخدامها الآمن والمسؤول، وقطاع التركيب والتجميع المحلي؛ تزويد جميع وحدات الأوزون الوطنية بمناهج تدريبية محدثة لفنيي الصيانة لدعم أنشطة التدريب على خطة إدارة إزالة المواد الهيدروكلوروفلوروكربونية وبرنامج التدريب على التنفيذ السليم؛ مساعدة الجامعات المهتمة على دمج دورات إدارة غازات التبريد في مناهجها الهندسية؛ مساعدة وحدات الأوزون الوطنية على التعاون مع سلطات التعليم والتدريب المهني التقني فيما يتعلق بالتدريب في قطاع صيانة الهيدروفلوروكربون وتعزيز جمعياتها الوطنية المعنية بالتبريد والتكييف؛ تقديم التوجيه لوحدات الأوزون الوطنية بشأن التطبيقات المتخصصة التي تستهلك الهيدروفلوروكربون وبشأن إنشاء أو تعزيز برامج اعتماد الفنيين؛ تعزيز اجتماعات المائدة المستديرة والعروض الترويجية لبرنامج </w:t>
      </w:r>
      <w:r w:rsidRPr="001920D1">
        <w:rPr>
          <w:sz w:val="26"/>
          <w:szCs w:val="26"/>
          <w:lang w:eastAsia="ar" w:bidi="en-GB"/>
        </w:rPr>
        <w:t>Ozone2Climate</w:t>
      </w:r>
      <w:r w:rsidRPr="001920D1">
        <w:rPr>
          <w:sz w:val="26"/>
          <w:szCs w:val="26"/>
          <w:rtl/>
          <w:lang w:eastAsia="ar" w:bidi="ar-EG"/>
        </w:rPr>
        <w:t>؛ مواصلة دعم قدرات وحدات الأوزون الوطنية فيما يتعلق بالهيدروفلوروكربون والبدائل المستخدمة في قطاعي تكييف الهواء المتحرك وسلسلة التبريد؛ تطوير مواد للفنيين العاملين في القطاع غير الرسمي؛</w:t>
      </w:r>
    </w:p>
    <w:p w14:paraId="7E54EEF7" w14:textId="77777777" w:rsidR="00D2031E" w:rsidRPr="001920D1" w:rsidRDefault="00D2031E" w:rsidP="00D2031E">
      <w:pPr>
        <w:pStyle w:val="Heading2"/>
        <w:bidi/>
        <w:spacing w:before="240"/>
        <w:ind w:left="1422" w:hanging="709"/>
        <w:rPr>
          <w:sz w:val="26"/>
          <w:szCs w:val="26"/>
        </w:rPr>
      </w:pPr>
      <w:r w:rsidRPr="001920D1">
        <w:rPr>
          <w:sz w:val="26"/>
          <w:szCs w:val="26"/>
          <w:rtl/>
          <w:lang w:eastAsia="ar" w:bidi="ar-EG"/>
        </w:rPr>
        <w:t>الاستمرار في تنفيذ المرحلة الثانية من مشروع التوأمة لمكاتب التشغيل الوطنية وصانعي سياسات الكفاءة في استخدام الطاقة ومتابعة توصيات المرحلة الأولى؛ وتطوير و/أو تبادل مواد بناء القدرة الحالية المتعلقة بالكفاءة في استخدام الطاقة وغازات التبريد ذات القدرة المنخفضة على إحداث الاحترار العالمي؛ ومواصلة توفير مناهج تدريبية محدثة للفنيين على تركيب وصيانة معدات التبريد وتكييف الهواء ذات الكفاءة في استخدام الطاقة، ودعم وحدات الأوزون الوطنية في وضع سياسات أو لوائح لتعزيز الكفاءة في استخدام الطاقة في معدات التبريد وتكييف الهواء، بما في ذلك سياسات المشتريات لأجهزة التبريد وتكييف الهواء ذات الكفاءة في استخدام الطاقة، وقواعد بيانات غازات التبريد وأداء الطاقة لأجهزة التبريد وتكييف الهواء؛</w:t>
      </w:r>
    </w:p>
    <w:p w14:paraId="1B607BF5" w14:textId="77777777" w:rsidR="00D2031E" w:rsidRPr="001920D1" w:rsidRDefault="00D2031E" w:rsidP="00D2031E">
      <w:pPr>
        <w:pStyle w:val="Heading2"/>
        <w:bidi/>
        <w:spacing w:before="240"/>
        <w:ind w:left="1422" w:hanging="709"/>
        <w:rPr>
          <w:sz w:val="26"/>
          <w:szCs w:val="26"/>
        </w:rPr>
      </w:pPr>
      <w:r w:rsidRPr="001920D1">
        <w:rPr>
          <w:sz w:val="26"/>
          <w:szCs w:val="26"/>
          <w:rtl/>
          <w:lang w:eastAsia="ar" w:bidi="ar-EG"/>
        </w:rPr>
        <w:t>ضمان أن تشمل جميع مشروعات الصندوق متعدد الأطراف التي ينفذها اليونيب مكونات جنسانية، ودعم وحدات الأوزون الوطنية في استكمال التقييمات الجنسانية بما يتماشى مع سياسة الصندوق بشأن الجنسين؛ وتشجيع ومساعدة جميع وحدات الأوزون الوطنية في تعزيز مشاركة المرأة في قطاع التبريد وتكييف الهواء من خلال التوعية والإعلام والتدريب؛ ومواصلة إدراج المنظور الجنساني في سياق البرامج والمشروعات والأنشطة الوطنية لبروتوكول مونتريال وكموضوع في اجتماعات الشبكات الإقليمية؛ وتوفير فرص التواصل والإرشاد من خلال الشبكة الدولية للمعلومات المتعلقة بالمرأة والطفل؛</w:t>
      </w:r>
    </w:p>
    <w:p w14:paraId="5F803427" w14:textId="77777777" w:rsidR="00D2031E" w:rsidRPr="001920D1" w:rsidRDefault="00D2031E" w:rsidP="00D2031E">
      <w:pPr>
        <w:pStyle w:val="Heading2"/>
        <w:bidi/>
        <w:spacing w:before="240"/>
        <w:ind w:left="1422" w:hanging="709"/>
        <w:rPr>
          <w:sz w:val="26"/>
          <w:szCs w:val="26"/>
        </w:rPr>
      </w:pPr>
      <w:r w:rsidRPr="001920D1">
        <w:rPr>
          <w:sz w:val="26"/>
          <w:szCs w:val="26"/>
          <w:rtl/>
          <w:lang w:eastAsia="ar" w:bidi="ar-EG"/>
        </w:rPr>
        <w:lastRenderedPageBreak/>
        <w:t>مواصلة دعم إعداد وتقديم وتنفيذ مشروعات إعداد وتقديم وتنفيذ خطط إدارة إزالة المواد الهيدروكلوروفلوروكربونية، وخطط التنفيذ المتعلقة بالمواد الهيدروفلوروكربونية بموجب تعديل كيغالي والأنشطة الإضافية في خطط إدارة إزالة المواد الهيدروكلوروفلوروكربونية للحفاظ على الكفاءة في استخدام الطاقة في قطاع خدمات التبريد، والمشروعات التجريبية للحفاظ على و/أو تعزيز الكفاءة في استخدام الطاقة في تكنولوجيات ومعدات الاستبدال في سياق التخفيض التدريجي للهيدروفلوروكربون، ومشروعات دعم إعداد قوائم الجرد الوطنية لمصارف المواد المستعملة أو غير المرغوب فيها الخاضعة للرقابة، وإعداد تقارير التحقق؛ ومواصلة الأنشطة في المجالات ذات الأولوية لتقديم دعم إضافي للبلدان ذات الاستهلاك المنخفض.</w:t>
      </w:r>
    </w:p>
    <w:p w14:paraId="545DA751" w14:textId="77777777" w:rsidR="00D2031E" w:rsidRPr="001920D1" w:rsidRDefault="00D2031E" w:rsidP="00D2031E">
      <w:pPr>
        <w:pStyle w:val="Heading2"/>
        <w:numPr>
          <w:ilvl w:val="0"/>
          <w:numId w:val="0"/>
        </w:numPr>
        <w:bidi/>
        <w:ind w:left="284" w:hanging="284"/>
        <w:rPr>
          <w:sz w:val="26"/>
          <w:szCs w:val="26"/>
        </w:rPr>
      </w:pPr>
      <w:r w:rsidRPr="001920D1">
        <w:rPr>
          <w:sz w:val="26"/>
          <w:szCs w:val="26"/>
          <w:u w:val="single"/>
          <w:rtl/>
          <w:lang w:eastAsia="ar" w:bidi="ar-EG"/>
        </w:rPr>
        <w:t>الدعم التقني والسياساتي للبلدان ذات الاستهلاك المنخفض لدعم تنفيذ خطط التنفيذ المتعلقة بالمواد الهيدروفلوروكربونية بموجب تعديل كيغالي في عام 2026</w:t>
      </w:r>
    </w:p>
    <w:p w14:paraId="27E89E87" w14:textId="77777777" w:rsidR="00D2031E" w:rsidRPr="00D2031E" w:rsidRDefault="00D2031E" w:rsidP="00D2031E">
      <w:pPr>
        <w:pStyle w:val="Heading1"/>
        <w:bidi/>
        <w:rPr>
          <w:sz w:val="30"/>
          <w:szCs w:val="26"/>
        </w:rPr>
      </w:pPr>
      <w:r w:rsidRPr="00D2031E">
        <w:rPr>
          <w:sz w:val="30"/>
          <w:szCs w:val="26"/>
          <w:rtl/>
          <w:lang w:eastAsia="ar" w:bidi="ar-EG"/>
        </w:rPr>
        <w:t xml:space="preserve">في عام 2026، سيستخدم اليونيب المساعدة الخاصة لدعم البلدان ذات حجم الاستهلاك المنخفض التي وافقت على خطط التنفيذ المتعلقة بالمواد الهيدروفلوروكربونية بموجب تعديل كيغالي في مرحلة التنفيذ، وكذلك تلك التي ستقدم إلى اللجنة التنفيذية للنظر فيها في الاجتماعين السابع </w:t>
      </w:r>
      <w:r w:rsidRPr="00D2031E">
        <w:rPr>
          <w:sz w:val="30"/>
          <w:szCs w:val="26"/>
          <w:vertAlign w:val="superscript"/>
          <w:rtl/>
          <w:lang w:eastAsia="ar" w:bidi="ar-EG"/>
        </w:rPr>
        <w:t>والتسعين</w:t>
      </w:r>
      <w:r w:rsidRPr="00D2031E">
        <w:rPr>
          <w:sz w:val="30"/>
          <w:szCs w:val="26"/>
          <w:rtl/>
          <w:lang w:eastAsia="ar" w:bidi="ar-EG"/>
        </w:rPr>
        <w:t xml:space="preserve"> والتاسع والتسعين </w:t>
      </w:r>
      <w:r w:rsidRPr="00D2031E">
        <w:rPr>
          <w:sz w:val="30"/>
          <w:szCs w:val="26"/>
          <w:vertAlign w:val="superscript"/>
          <w:rtl/>
          <w:lang w:eastAsia="ar" w:bidi="ar-EG"/>
        </w:rPr>
        <w:t xml:space="preserve">والتاسع </w:t>
      </w:r>
      <w:r w:rsidRPr="00D2031E">
        <w:rPr>
          <w:sz w:val="30"/>
          <w:szCs w:val="26"/>
          <w:rtl/>
          <w:lang w:eastAsia="ar" w:bidi="ar-EG"/>
        </w:rPr>
        <w:t>والتسعين. وسيتم ذلك من خلال الأنشطة القائمة في المجالات الثلاثة ذات الأولوية المحددة أصلاً والمجال المضاف حديثاً، ومن خلال تعيين استشاري إضافي لتكملة الدعم الفني والسياساتي الذي يقدمه فريق برنامج المساعدة على الامتثال للبلدان ذات حجم الاستهلاك المنخفض لدعم تنفيذ خطط التنفيذ المتعلقة بالمواد الهيدروفلوروكربونية بموجب تعديل كيغالي. ومن المتوقع أيضا أن يتم تدريب فرق برنامج المساعدة على الامتثال الأخرى (أي أفريقيا، وغرب آسيا، وأوروبا وآسيا الوسطى، وبرنامج المساعدة على الامتثال العالمية) على الكفاءة في استخدام الطاقة في عام 2026، اعتمادًا على توافر برامج التدريب المتخصصة ذات الصلة. كجزء من التقرير المرحلي لعملية برنامج المساعدة على الامتثال لعام 2026، سيقدم اليونيب ملخصاً أولياً لإنجازات أول عامين من هذه المخصصات الإضافية الخاصة.</w:t>
      </w:r>
    </w:p>
    <w:p w14:paraId="22165B31" w14:textId="77777777" w:rsidR="00D2031E" w:rsidRPr="00D2031E" w:rsidRDefault="00D2031E" w:rsidP="00D2031E">
      <w:pPr>
        <w:pStyle w:val="Heading1"/>
        <w:bidi/>
        <w:rPr>
          <w:sz w:val="30"/>
          <w:szCs w:val="26"/>
        </w:rPr>
      </w:pPr>
      <w:r w:rsidRPr="00D2031E">
        <w:rPr>
          <w:sz w:val="30"/>
          <w:szCs w:val="26"/>
          <w:rtl/>
          <w:lang w:eastAsia="ar" w:bidi="ar-EG"/>
        </w:rPr>
        <w:t>ويعتبر اليونيب مجال الأولوية الجديد المتعلق بالتبريد الآمن والمستدام من خلال تعزيز السلامة المهنية في قطاع التبريد وتكييف الهواء، مجالاً بالغ الأهمية بالنسبة للعديد من البلدان ذات حجم الاستهلاك المنخفض، حيث يمثل الانتقال إلى غازات التبريد ذات القدرة المنخفضة على الاحترار العالمي</w:t>
      </w:r>
      <w:r w:rsidRPr="00D2031E">
        <w:rPr>
          <w:sz w:val="30"/>
          <w:szCs w:val="26"/>
          <w:rtl/>
          <w:lang w:eastAsia="ar" w:bidi="ar-EG"/>
        </w:rPr>
        <w:noBreakHyphen/>
        <w:t>تحديات بيئية وتحديات تتعلق بالسلامة بسبب محدودية القدرة التقنية والإنفاذ التنظيمي والوصول إلى التكنولوجيات الآمنة. المبادرة حالياً في مرحلة الصياغة ومن المتوقع أن يتم تنفيذها على أربع مراحل. ويشمل ذلك: اختيار البلدان التجريبية وتقييم السياسات الوطنية مقابل معايير السلامة الدولية لتحديد الثغرات التنظيمية؛ وتطوير مواد تدريبية ملائمة ثقافياً مثل ملصقات التحذير المصورة والمساعدات الوظيفية والكتيبات المصورة، ونشرها عبر تطبيق واتساب والإذاعة المجتمعية؛ وإنشاء تطبيق "</w:t>
      </w:r>
      <w:r w:rsidRPr="00D2031E">
        <w:rPr>
          <w:sz w:val="30"/>
          <w:szCs w:val="26"/>
          <w:lang w:eastAsia="ar" w:bidi="en-GB"/>
        </w:rPr>
        <w:t>Safety-Scan</w:t>
      </w:r>
      <w:r w:rsidRPr="00D2031E">
        <w:rPr>
          <w:sz w:val="30"/>
          <w:szCs w:val="26"/>
          <w:rtl/>
          <w:lang w:eastAsia="ar" w:bidi="ar-EG"/>
        </w:rPr>
        <w:t xml:space="preserve">" على الهاتف المحمول لمساعدة الفنيين على تقييم المخاطر في الوقت الحقيقي ودعم جمع البيانات ورصدها؛ ودمج الدروس المستفادة في السياسات الوطنية، بما في ذلك اعتماد لوائح السلامة والصحة المهنية المتوافقة مع كيغالي ضمن خطط التنفيذ المتعلقة بالمواد الهيدروفلوروكربونية بموجب تعديل كيغالي الوطنية. </w:t>
      </w:r>
    </w:p>
    <w:p w14:paraId="4EB5187A" w14:textId="77777777" w:rsidR="00D2031E" w:rsidRPr="001920D1" w:rsidRDefault="00D2031E" w:rsidP="00D2031E">
      <w:pPr>
        <w:pStyle w:val="Heading1"/>
        <w:keepNext/>
        <w:numPr>
          <w:ilvl w:val="0"/>
          <w:numId w:val="0"/>
        </w:numPr>
        <w:tabs>
          <w:tab w:val="left" w:pos="720"/>
        </w:tabs>
        <w:bidi/>
        <w:rPr>
          <w:sz w:val="26"/>
          <w:szCs w:val="26"/>
          <w:u w:val="single"/>
          <w:lang w:val="en-US"/>
        </w:rPr>
      </w:pPr>
      <w:r w:rsidRPr="001920D1">
        <w:rPr>
          <w:sz w:val="26"/>
          <w:szCs w:val="26"/>
          <w:u w:val="single"/>
          <w:rtl/>
          <w:lang w:eastAsia="ar" w:bidi="ar-EG"/>
        </w:rPr>
        <w:t>التغييرات في ميزانية برنامج المساعدة على الامتثال لعام 2026</w:t>
      </w:r>
    </w:p>
    <w:p w14:paraId="1478EA92" w14:textId="4025024C" w:rsidR="00D2031E" w:rsidRPr="00D2031E" w:rsidRDefault="00D2031E" w:rsidP="00D2031E">
      <w:pPr>
        <w:pStyle w:val="Heading1"/>
        <w:bidi/>
        <w:rPr>
          <w:sz w:val="30"/>
          <w:szCs w:val="26"/>
        </w:rPr>
      </w:pPr>
      <w:r w:rsidRPr="00D2031E">
        <w:rPr>
          <w:sz w:val="30"/>
          <w:szCs w:val="26"/>
          <w:rtl/>
          <w:lang w:eastAsia="ar" w:bidi="ar-EG"/>
        </w:rPr>
        <w:t xml:space="preserve">وترد ميزانية برنامج المساعدة على الامتثال المقترحة لعام 2026 البالغة 11,276,967 دولاراً أمريكياً، بالإضافة إلى تكاليف دعم الوكالة البالغة 902,157 دولاراً أمريكياً (8 في المائة) في الجزء الثالث من الطلب المرفق. تشمل الميزانية الإجمالية لعملية برنامج المساعدة على الامتثال تخصيص مبلغ إضافي قدره 150,000 دولار أمريكي في المقرر 93/95 (بند الميزانية 3216) للدعم التقني والسياساتي للبلدان ذات حجم الاستهلاك المنخفض لدعم تنفيذ خطط التنفيذ المتعلقة بالمواد الهيدروفلوروكربونية بموجب تعديل كيغالي. وتزيد الميزانية الإجمالية بنسبة 0.77 في المائة عن الميزانية المعتمدة في عام 2025 (أي 11,191,331 دولاراً أمريكياً، بما في ذلك المخصص الإضافي البالغ </w:t>
      </w:r>
      <w:r w:rsidRPr="00D2031E">
        <w:rPr>
          <w:sz w:val="30"/>
          <w:szCs w:val="26"/>
          <w:rtl/>
          <w:lang w:eastAsia="ar" w:bidi="ar-EG"/>
        </w:rPr>
        <w:lastRenderedPageBreak/>
        <w:t>150,000 دولار أمريكي في المقرر 93/95، بالإضافة إلى تكاليف دعم الوكالات). وتقل الميزانية المقترحة عن الحد ا</w:t>
      </w:r>
      <w:r w:rsidRPr="00D2031E">
        <w:rPr>
          <w:sz w:val="30"/>
          <w:szCs w:val="26"/>
          <w:lang w:eastAsia="ar" w:bidi="en-GB"/>
        </w:rPr>
        <w:t>ﻷ</w:t>
      </w:r>
      <w:r w:rsidRPr="00D2031E">
        <w:rPr>
          <w:sz w:val="30"/>
          <w:szCs w:val="26"/>
          <w:rtl/>
          <w:lang w:eastAsia="ar" w:bidi="ar-EG"/>
        </w:rPr>
        <w:t xml:space="preserve">قصى للزيادة السنوية في الميزانية البالغ ٣ في المائة المسموح بها بموجب المقرر </w:t>
      </w:r>
      <w:r w:rsidR="00F51262">
        <w:rPr>
          <w:rFonts w:hint="cs"/>
          <w:sz w:val="30"/>
          <w:szCs w:val="26"/>
          <w:rtl/>
          <w:lang w:eastAsia="ar" w:bidi="ar-EG"/>
        </w:rPr>
        <w:t>47</w:t>
      </w:r>
      <w:r w:rsidRPr="00D2031E">
        <w:rPr>
          <w:sz w:val="30"/>
          <w:szCs w:val="26"/>
          <w:rtl/>
          <w:lang w:eastAsia="ar" w:bidi="ar-EG"/>
        </w:rPr>
        <w:t>/</w:t>
      </w:r>
      <w:r w:rsidR="00F51262">
        <w:rPr>
          <w:rFonts w:hint="cs"/>
          <w:sz w:val="30"/>
          <w:szCs w:val="26"/>
          <w:rtl/>
          <w:lang w:eastAsia="ar" w:bidi="ar-EG"/>
        </w:rPr>
        <w:t>24</w:t>
      </w:r>
      <w:r w:rsidRPr="00D2031E">
        <w:rPr>
          <w:sz w:val="30"/>
          <w:szCs w:val="26"/>
          <w:rtl/>
          <w:lang w:eastAsia="ar" w:bidi="ar-EG"/>
        </w:rPr>
        <w:t>(أ)(</w:t>
      </w:r>
      <w:r w:rsidR="00F51262">
        <w:rPr>
          <w:rFonts w:hint="cs"/>
          <w:sz w:val="30"/>
          <w:szCs w:val="26"/>
          <w:rtl/>
          <w:lang w:eastAsia="ar" w:bidi="ar-EG"/>
        </w:rPr>
        <w:t>3</w:t>
      </w:r>
      <w:r w:rsidRPr="00D2031E">
        <w:rPr>
          <w:sz w:val="30"/>
          <w:szCs w:val="26"/>
          <w:rtl/>
          <w:lang w:eastAsia="ar" w:bidi="ar-EG"/>
        </w:rPr>
        <w:t>).</w:t>
      </w:r>
      <w:r w:rsidRPr="00D2031E">
        <w:rPr>
          <w:sz w:val="30"/>
          <w:szCs w:val="26"/>
          <w:vertAlign w:val="superscript"/>
          <w:rtl/>
          <w:lang w:eastAsia="ar" w:bidi="ar-EG"/>
        </w:rPr>
        <w:footnoteReference w:id="3"/>
      </w:r>
      <w:r w:rsidRPr="00D2031E">
        <w:rPr>
          <w:sz w:val="30"/>
          <w:szCs w:val="26"/>
          <w:vertAlign w:val="superscript"/>
          <w:rtl/>
          <w:lang w:eastAsia="ar" w:bidi="ar-EG"/>
        </w:rPr>
        <w:t xml:space="preserve"> </w:t>
      </w:r>
    </w:p>
    <w:p w14:paraId="7DCBAC3E" w14:textId="77777777" w:rsidR="00D2031E" w:rsidRPr="001920D1" w:rsidRDefault="00D2031E" w:rsidP="00D2031E">
      <w:pPr>
        <w:pStyle w:val="Heading1"/>
        <w:widowControl w:val="0"/>
        <w:numPr>
          <w:ilvl w:val="0"/>
          <w:numId w:val="0"/>
        </w:numPr>
        <w:tabs>
          <w:tab w:val="left" w:pos="720"/>
        </w:tabs>
        <w:bidi/>
        <w:rPr>
          <w:sz w:val="26"/>
          <w:szCs w:val="26"/>
          <w:lang w:val="en-US"/>
        </w:rPr>
      </w:pPr>
      <w:r w:rsidRPr="000967AA">
        <w:rPr>
          <w:i/>
          <w:iCs/>
          <w:sz w:val="26"/>
          <w:szCs w:val="26"/>
          <w:u w:val="single"/>
          <w:rtl/>
          <w:lang w:eastAsia="ar" w:bidi="ar-EG"/>
        </w:rPr>
        <w:t>التغييرات في الميزانية البرنامجية</w:t>
      </w:r>
      <w:r w:rsidRPr="001920D1">
        <w:rPr>
          <w:rStyle w:val="FootnoteReference"/>
          <w:sz w:val="26"/>
          <w:szCs w:val="26"/>
          <w:rtl/>
          <w:lang w:eastAsia="ar" w:bidi="ar-EG"/>
        </w:rPr>
        <w:footnoteReference w:id="4"/>
      </w:r>
    </w:p>
    <w:p w14:paraId="099BB220" w14:textId="77777777" w:rsidR="00D2031E" w:rsidRPr="00D2031E" w:rsidRDefault="00D2031E" w:rsidP="00D2031E">
      <w:pPr>
        <w:pStyle w:val="Heading1"/>
        <w:bidi/>
        <w:rPr>
          <w:sz w:val="30"/>
          <w:szCs w:val="26"/>
        </w:rPr>
      </w:pPr>
      <w:r w:rsidRPr="00D2031E">
        <w:rPr>
          <w:sz w:val="30"/>
          <w:szCs w:val="26"/>
          <w:rtl/>
          <w:lang w:eastAsia="ar" w:bidi="ar-EG"/>
        </w:rPr>
        <w:t xml:space="preserve">بالنسبة لبنود الأنشطة، تستند الميزانية المقترحة إلى سيناريو النمو الصفري. وتقترح الميزانية زيادة بنسبة 3.00 في المائة في بند الموظفين لتغطية التكاليف التضخمية للوظائف المشغولة أساساً، وانخفاض بنسبة 0.70 في المائة في تكاليف السفر، وزيادة بنسبة 0.30 في المائة في تكاليف الأنشطة والاجتماعات الإقليمية، وانخفاض بنسبة 17.54 في المائة في تكاليف الخدمات العالمية والتكاليف الاستشارية. </w:t>
      </w:r>
    </w:p>
    <w:p w14:paraId="350D22CF" w14:textId="6F77E5AB" w:rsidR="00D2031E" w:rsidRPr="00C6339C" w:rsidRDefault="00D2031E" w:rsidP="00D2031E">
      <w:pPr>
        <w:pStyle w:val="Heading1"/>
        <w:numPr>
          <w:ilvl w:val="0"/>
          <w:numId w:val="0"/>
        </w:numPr>
        <w:bidi/>
        <w:rPr>
          <w:i/>
          <w:iCs/>
          <w:sz w:val="26"/>
          <w:szCs w:val="26"/>
          <w:u w:val="single"/>
          <w:lang w:val="en-US"/>
        </w:rPr>
      </w:pPr>
      <w:r w:rsidRPr="00C6339C">
        <w:rPr>
          <w:i/>
          <w:iCs/>
          <w:sz w:val="26"/>
          <w:szCs w:val="26"/>
          <w:u w:val="single"/>
          <w:rtl/>
          <w:lang w:eastAsia="ar" w:bidi="ar-EG"/>
        </w:rPr>
        <w:t>التغييرات في موظفي برنامج المساعدة على الامتثال</w:t>
      </w:r>
      <w:r w:rsidR="00C6339C" w:rsidRPr="00C6339C">
        <w:rPr>
          <w:i/>
          <w:lang w:val="en-US"/>
        </w:rPr>
        <w:t xml:space="preserve"> </w:t>
      </w:r>
      <w:r w:rsidR="00C6339C" w:rsidRPr="00C6339C">
        <w:rPr>
          <w:rStyle w:val="FootnoteReference"/>
          <w:i/>
          <w:lang w:val="en-US"/>
        </w:rPr>
        <w:footnoteReference w:id="5"/>
      </w:r>
      <w:r w:rsidRPr="00C6339C">
        <w:rPr>
          <w:i/>
          <w:iCs/>
          <w:sz w:val="26"/>
          <w:szCs w:val="26"/>
          <w:u w:val="single"/>
          <w:rtl/>
          <w:lang w:eastAsia="ar" w:bidi="ar-EG"/>
        </w:rPr>
        <w:t xml:space="preserve"> </w:t>
      </w:r>
    </w:p>
    <w:p w14:paraId="53FD26FB" w14:textId="77777777" w:rsidR="00D2031E" w:rsidRPr="00D2031E" w:rsidRDefault="00D2031E" w:rsidP="00D2031E">
      <w:pPr>
        <w:pStyle w:val="Heading1"/>
        <w:bidi/>
        <w:rPr>
          <w:sz w:val="30"/>
          <w:szCs w:val="26"/>
        </w:rPr>
      </w:pPr>
      <w:r w:rsidRPr="00D2031E">
        <w:rPr>
          <w:sz w:val="30"/>
          <w:szCs w:val="26"/>
          <w:rtl/>
          <w:lang w:eastAsia="ar" w:bidi="ar-EG"/>
        </w:rPr>
        <w:t xml:space="preserve">وقد استند اليونيب في طلب ميزانية الموظفين لعام 2026 إلى تكلفة الوظائف المشغولة في عام 2025، بالإضافة إلى تسوية التضخم بنسبة 3.00 في المائة. بالنسبة للوظائف الشاغرة، استخدم اليونيب التكاليف القياسية الرسمية للأمم المتحدة لعام 2025. لا يقترح اليونيب تغييرات في ملاك الموظفين لعام 2026. تماشياً مع التوجيهات الداخلية بشأن الإدارة الحكيمة للميزانية والمرونة التنظيمية، ابتداءً من 21 فبراير/شباط 2025، يتم الإعلان عن جميع الوظائف الشاغرة في اليونيب للوظائف التي تبلغ مدتها سنة واحدة أو أكثر باعتبارها تعيينات محددة المدة لمدة سنة واحدة، وتخضع جميع وظائف برنامج عمل الأوزون المحددة المدة الآن للتجديد لمدة أقصاها سنة واحدة. </w:t>
      </w:r>
    </w:p>
    <w:p w14:paraId="31CD4579" w14:textId="77777777" w:rsidR="00D2031E" w:rsidRPr="001920D1" w:rsidRDefault="00D2031E" w:rsidP="00D2031E">
      <w:pPr>
        <w:bidi/>
        <w:spacing w:after="240"/>
        <w:rPr>
          <w:i/>
          <w:iCs/>
          <w:sz w:val="26"/>
          <w:szCs w:val="26"/>
          <w:u w:val="single"/>
          <w:lang w:val="en-US"/>
        </w:rPr>
      </w:pPr>
      <w:r w:rsidRPr="001920D1">
        <w:rPr>
          <w:i/>
          <w:iCs/>
          <w:sz w:val="26"/>
          <w:szCs w:val="26"/>
          <w:u w:val="single"/>
          <w:rtl/>
          <w:lang w:eastAsia="ar" w:bidi="ar-EG"/>
        </w:rPr>
        <w:t>الخدمات الاستشارية العالمية</w:t>
      </w:r>
    </w:p>
    <w:p w14:paraId="2AEF0814" w14:textId="5349E2DB" w:rsidR="00D2031E" w:rsidRPr="00D2031E" w:rsidRDefault="00D2031E" w:rsidP="00D2031E">
      <w:pPr>
        <w:pStyle w:val="Heading1"/>
        <w:bidi/>
        <w:rPr>
          <w:sz w:val="30"/>
          <w:szCs w:val="26"/>
        </w:rPr>
      </w:pPr>
      <w:r w:rsidRPr="00D2031E">
        <w:rPr>
          <w:sz w:val="30"/>
          <w:szCs w:val="26"/>
          <w:rtl/>
          <w:lang w:eastAsia="ar" w:bidi="ar-EG"/>
        </w:rPr>
        <w:t xml:space="preserve">يرجع الانخفاض في الخدمات العالمية إلى تخصيص مبلغ استثنائي قدره 150,000 دولار أمريكي في ميزانية عام 2025 (بند الميزانية 3213) لإشراك خبراء الكفاءة في استخدام الطاقة لدعم البلدان العاملة بموجب المادة 5 في تقديم المشروعات المتعلقة بالكفاءة في استخدام الطاقة بموجب مقررات اللجنة التنفيذية ذات الصلة. لم يُطلب تجديد هذا البند من الميزانية لعام 2026. كان الهدف من هذا التخصيص أن يكون قصير الأجل على أن تتم إعادة النظر فيه في ميزانيات برنامج المساعدة على الامتثال اللاحقة. </w:t>
      </w:r>
    </w:p>
    <w:p w14:paraId="2F15A7EE" w14:textId="77777777" w:rsidR="00D2031E" w:rsidRPr="001920D1" w:rsidRDefault="00D2031E" w:rsidP="00D2031E">
      <w:pPr>
        <w:bidi/>
        <w:spacing w:after="240"/>
        <w:rPr>
          <w:i/>
          <w:iCs/>
          <w:sz w:val="26"/>
          <w:szCs w:val="26"/>
          <w:u w:val="single"/>
          <w:lang w:val="en-US"/>
        </w:rPr>
      </w:pPr>
      <w:r w:rsidRPr="001920D1">
        <w:rPr>
          <w:i/>
          <w:iCs/>
          <w:sz w:val="26"/>
          <w:szCs w:val="26"/>
          <w:u w:val="single"/>
          <w:rtl/>
          <w:lang w:eastAsia="ar" w:bidi="ar-EG"/>
        </w:rPr>
        <w:t>السفر، والأنشطة والاجتماعات الإقليمية، ومكونات المساحة والمعدات</w:t>
      </w:r>
    </w:p>
    <w:p w14:paraId="6CD825EE" w14:textId="77777777" w:rsidR="00D2031E" w:rsidRPr="00B543EE" w:rsidRDefault="00D2031E" w:rsidP="00D2031E">
      <w:pPr>
        <w:pStyle w:val="Heading1"/>
        <w:bidi/>
        <w:rPr>
          <w:sz w:val="30"/>
          <w:szCs w:val="26"/>
        </w:rPr>
      </w:pPr>
      <w:r w:rsidRPr="00B543EE">
        <w:rPr>
          <w:sz w:val="30"/>
          <w:szCs w:val="26"/>
          <w:rtl/>
          <w:lang w:eastAsia="ar" w:bidi="ar-EG"/>
        </w:rPr>
        <w:t>تستند ميزانية هذه العناصر إلى سيناريو النمو الصفري، مع تسويات طفيفة، أي انخفاض قدره 4,000 دولار أمريكي في ميزانية السفر (0.70 في المائة) وزيادة قدرها 4,000 دولار أمريكي في تكاليف الأنشطة والاجتماعات الإقليمية (0.30 في المائة)، والتي تعوض عن بعضها البعض.</w:t>
      </w:r>
      <w:r w:rsidRPr="00B543EE">
        <w:rPr>
          <w:sz w:val="30"/>
          <w:szCs w:val="26"/>
          <w:vertAlign w:val="superscript"/>
          <w:rtl/>
          <w:lang w:eastAsia="ar" w:bidi="ar-EG"/>
        </w:rPr>
        <w:footnoteReference w:id="6"/>
      </w:r>
    </w:p>
    <w:p w14:paraId="3B341ED0" w14:textId="7A319B60" w:rsidR="00D2031E" w:rsidRPr="001920D1" w:rsidRDefault="00D2031E" w:rsidP="00D2031E">
      <w:pPr>
        <w:keepNext/>
        <w:bidi/>
        <w:spacing w:after="240"/>
        <w:rPr>
          <w:i/>
          <w:iCs/>
          <w:sz w:val="26"/>
          <w:szCs w:val="26"/>
          <w:u w:val="single"/>
          <w:lang w:val="en-US"/>
        </w:rPr>
      </w:pPr>
      <w:r w:rsidRPr="001920D1">
        <w:rPr>
          <w:i/>
          <w:iCs/>
          <w:sz w:val="26"/>
          <w:szCs w:val="26"/>
          <w:u w:val="single"/>
          <w:rtl/>
          <w:lang w:eastAsia="ar" w:bidi="ar-EG"/>
        </w:rPr>
        <w:lastRenderedPageBreak/>
        <w:t>مقارنة الميزانية للأعوام من</w:t>
      </w:r>
      <w:r w:rsidR="00C849FD">
        <w:rPr>
          <w:rFonts w:hint="cs"/>
          <w:i/>
          <w:iCs/>
          <w:sz w:val="26"/>
          <w:szCs w:val="26"/>
          <w:u w:val="single"/>
          <w:rtl/>
          <w:lang w:eastAsia="ar" w:bidi="ar-EG"/>
        </w:rPr>
        <w:t xml:space="preserve"> عام</w:t>
      </w:r>
      <w:r w:rsidRPr="001920D1">
        <w:rPr>
          <w:i/>
          <w:iCs/>
          <w:sz w:val="26"/>
          <w:szCs w:val="26"/>
          <w:u w:val="single"/>
          <w:rtl/>
          <w:lang w:eastAsia="ar" w:bidi="ar-EG"/>
        </w:rPr>
        <w:t xml:space="preserve"> 2024 إلى</w:t>
      </w:r>
      <w:r w:rsidR="00C849FD">
        <w:rPr>
          <w:rFonts w:hint="cs"/>
          <w:i/>
          <w:iCs/>
          <w:sz w:val="26"/>
          <w:szCs w:val="26"/>
          <w:u w:val="single"/>
          <w:rtl/>
          <w:lang w:eastAsia="ar" w:bidi="ar-EG"/>
        </w:rPr>
        <w:t xml:space="preserve"> عام</w:t>
      </w:r>
      <w:r w:rsidRPr="001920D1">
        <w:rPr>
          <w:i/>
          <w:iCs/>
          <w:sz w:val="26"/>
          <w:szCs w:val="26"/>
          <w:u w:val="single"/>
          <w:rtl/>
          <w:lang w:eastAsia="ar" w:bidi="ar-EG"/>
        </w:rPr>
        <w:t xml:space="preserve"> 2026</w:t>
      </w:r>
    </w:p>
    <w:p w14:paraId="598ED512" w14:textId="77777777" w:rsidR="00D2031E" w:rsidRPr="00B543EE" w:rsidRDefault="00D2031E" w:rsidP="00D2031E">
      <w:pPr>
        <w:pStyle w:val="Heading1"/>
        <w:bidi/>
        <w:rPr>
          <w:sz w:val="30"/>
          <w:szCs w:val="26"/>
        </w:rPr>
      </w:pPr>
      <w:r w:rsidRPr="00B543EE">
        <w:rPr>
          <w:sz w:val="30"/>
          <w:szCs w:val="26"/>
          <w:rtl/>
          <w:lang w:eastAsia="ar" w:bidi="ar-EG"/>
        </w:rPr>
        <w:t>تمشيا مع المقرر ٩٥/٨٣ (ج) (٤)،</w:t>
      </w:r>
      <w:r w:rsidRPr="00B543EE">
        <w:rPr>
          <w:sz w:val="30"/>
          <w:szCs w:val="26"/>
          <w:vertAlign w:val="superscript"/>
          <w:rtl/>
          <w:lang w:eastAsia="ar" w:bidi="ar-EG"/>
        </w:rPr>
        <w:footnoteReference w:id="7"/>
      </w:r>
      <w:r w:rsidRPr="00B543EE">
        <w:rPr>
          <w:sz w:val="30"/>
          <w:szCs w:val="26"/>
          <w:rtl/>
          <w:lang w:eastAsia="ar" w:bidi="ar-EG"/>
        </w:rPr>
        <w:t xml:space="preserve"> وقد قدم اليونيب مقارنة ثلاثية السنوات لميزانية برنامج المساعدة على الامتثال على النحو المبين في الجدول 1. </w:t>
      </w:r>
    </w:p>
    <w:p w14:paraId="579106A1" w14:textId="77777777" w:rsidR="00D2031E" w:rsidRPr="001920D1" w:rsidRDefault="00D2031E" w:rsidP="00D2031E">
      <w:pPr>
        <w:keepNext/>
        <w:widowControl w:val="0"/>
        <w:bidi/>
        <w:rPr>
          <w:b/>
          <w:sz w:val="26"/>
          <w:szCs w:val="26"/>
        </w:rPr>
      </w:pPr>
      <w:r w:rsidRPr="001920D1">
        <w:rPr>
          <w:b/>
          <w:bCs/>
          <w:sz w:val="26"/>
          <w:szCs w:val="26"/>
          <w:rtl/>
          <w:lang w:eastAsia="ar" w:bidi="ar-EG"/>
        </w:rPr>
        <w:t>الجدول 1: ميزانية برنامج المساعدة على الامتثال للفترة 2024-2026 (بالدولار الأمريكي)</w:t>
      </w:r>
    </w:p>
    <w:tbl>
      <w:tblPr>
        <w:bidiVisual/>
        <w:tblW w:w="9418" w:type="dxa"/>
        <w:tblInd w:w="-5" w:type="dxa"/>
        <w:tblLayout w:type="fixed"/>
        <w:tblCellMar>
          <w:top w:w="28" w:type="dxa"/>
          <w:left w:w="28" w:type="dxa"/>
          <w:bottom w:w="28" w:type="dxa"/>
          <w:right w:w="28" w:type="dxa"/>
        </w:tblCellMar>
        <w:tblLook w:val="04A0" w:firstRow="1" w:lastRow="0" w:firstColumn="1" w:lastColumn="0" w:noHBand="0" w:noVBand="1"/>
      </w:tblPr>
      <w:tblGrid>
        <w:gridCol w:w="1418"/>
        <w:gridCol w:w="1333"/>
        <w:gridCol w:w="1282"/>
        <w:gridCol w:w="1354"/>
        <w:gridCol w:w="1364"/>
        <w:gridCol w:w="1329"/>
        <w:gridCol w:w="1338"/>
      </w:tblGrid>
      <w:tr w:rsidR="00D2031E" w:rsidRPr="00064BBA" w14:paraId="00F3DB10" w14:textId="77777777" w:rsidTr="00132E83">
        <w:trPr>
          <w:trHeight w:val="230"/>
          <w:tblHeader/>
        </w:trPr>
        <w:tc>
          <w:tcPr>
            <w:tcW w:w="1418"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71B82853" w14:textId="77777777" w:rsidR="00D2031E" w:rsidRPr="00064BBA" w:rsidRDefault="00D2031E" w:rsidP="00132E83">
            <w:pPr>
              <w:widowControl w:val="0"/>
              <w:bidi/>
              <w:jc w:val="left"/>
              <w:rPr>
                <w:b/>
                <w:color w:val="000000"/>
                <w:sz w:val="20"/>
                <w:lang w:eastAsia="en-GB"/>
              </w:rPr>
            </w:pPr>
            <w:r w:rsidRPr="00064BBA">
              <w:rPr>
                <w:b/>
                <w:bCs/>
                <w:color w:val="000000"/>
                <w:sz w:val="20"/>
                <w:rtl/>
                <w:lang w:eastAsia="ar" w:bidi="ar-EG"/>
              </w:rPr>
              <w:t>بند الميزانية</w:t>
            </w:r>
          </w:p>
        </w:tc>
        <w:tc>
          <w:tcPr>
            <w:tcW w:w="3969" w:type="dxa"/>
            <w:gridSpan w:val="3"/>
            <w:tcBorders>
              <w:top w:val="single" w:sz="4" w:space="0" w:color="auto"/>
              <w:left w:val="single" w:sz="4" w:space="0" w:color="auto"/>
              <w:bottom w:val="single" w:sz="4" w:space="0" w:color="auto"/>
              <w:right w:val="single" w:sz="4" w:space="0" w:color="auto"/>
            </w:tcBorders>
            <w:noWrap/>
            <w:vAlign w:val="center"/>
            <w:hideMark/>
          </w:tcPr>
          <w:p w14:paraId="40EFF030" w14:textId="77777777" w:rsidR="00D2031E" w:rsidRPr="00064BBA" w:rsidRDefault="00D2031E" w:rsidP="00132E83">
            <w:pPr>
              <w:widowControl w:val="0"/>
              <w:bidi/>
              <w:jc w:val="center"/>
              <w:rPr>
                <w:b/>
                <w:bCs/>
                <w:color w:val="000000"/>
                <w:sz w:val="20"/>
                <w:lang w:eastAsia="en-GB"/>
              </w:rPr>
            </w:pPr>
            <w:r w:rsidRPr="00064BBA">
              <w:rPr>
                <w:b/>
                <w:bCs/>
                <w:color w:val="000000"/>
                <w:sz w:val="20"/>
                <w:rtl/>
                <w:lang w:eastAsia="ar" w:bidi="ar-EG"/>
              </w:rPr>
              <w:t>2024</w:t>
            </w:r>
          </w:p>
        </w:tc>
        <w:tc>
          <w:tcPr>
            <w:tcW w:w="2693" w:type="dxa"/>
            <w:gridSpan w:val="2"/>
            <w:tcBorders>
              <w:top w:val="single" w:sz="4" w:space="0" w:color="auto"/>
              <w:left w:val="single" w:sz="4" w:space="0" w:color="auto"/>
              <w:bottom w:val="single" w:sz="4" w:space="0" w:color="auto"/>
              <w:right w:val="single" w:sz="4" w:space="0" w:color="auto"/>
            </w:tcBorders>
            <w:noWrap/>
            <w:vAlign w:val="center"/>
            <w:hideMark/>
          </w:tcPr>
          <w:p w14:paraId="4FDE3AFA" w14:textId="77777777" w:rsidR="00D2031E" w:rsidRPr="00064BBA" w:rsidRDefault="00D2031E" w:rsidP="00132E83">
            <w:pPr>
              <w:widowControl w:val="0"/>
              <w:bidi/>
              <w:jc w:val="center"/>
              <w:rPr>
                <w:b/>
                <w:bCs/>
                <w:color w:val="000000"/>
                <w:sz w:val="20"/>
                <w:lang w:eastAsia="en-GB"/>
              </w:rPr>
            </w:pPr>
            <w:r w:rsidRPr="00064BBA">
              <w:rPr>
                <w:b/>
                <w:bCs/>
                <w:color w:val="000000"/>
                <w:sz w:val="20"/>
                <w:rtl/>
                <w:lang w:eastAsia="ar" w:bidi="ar-EG"/>
              </w:rPr>
              <w:t>2025</w:t>
            </w:r>
          </w:p>
        </w:tc>
        <w:tc>
          <w:tcPr>
            <w:tcW w:w="1338" w:type="dxa"/>
            <w:tcBorders>
              <w:top w:val="single" w:sz="4" w:space="0" w:color="auto"/>
              <w:left w:val="single" w:sz="4" w:space="0" w:color="auto"/>
              <w:bottom w:val="single" w:sz="4" w:space="0" w:color="auto"/>
              <w:right w:val="single" w:sz="4" w:space="0" w:color="auto"/>
            </w:tcBorders>
            <w:noWrap/>
            <w:vAlign w:val="center"/>
            <w:hideMark/>
          </w:tcPr>
          <w:p w14:paraId="1B8964FC" w14:textId="77777777" w:rsidR="00D2031E" w:rsidRPr="00064BBA" w:rsidRDefault="00D2031E" w:rsidP="00132E83">
            <w:pPr>
              <w:widowControl w:val="0"/>
              <w:bidi/>
              <w:jc w:val="center"/>
              <w:rPr>
                <w:b/>
                <w:bCs/>
                <w:color w:val="000000"/>
                <w:sz w:val="20"/>
                <w:lang w:eastAsia="en-GB"/>
              </w:rPr>
            </w:pPr>
            <w:r w:rsidRPr="00064BBA">
              <w:rPr>
                <w:b/>
                <w:bCs/>
                <w:color w:val="000000"/>
                <w:sz w:val="20"/>
                <w:rtl/>
                <w:lang w:eastAsia="ar" w:bidi="ar-EG"/>
              </w:rPr>
              <w:t>2026</w:t>
            </w:r>
          </w:p>
        </w:tc>
      </w:tr>
      <w:tr w:rsidR="00D2031E" w:rsidRPr="00064BBA" w14:paraId="3BB29826" w14:textId="77777777" w:rsidTr="00132E83">
        <w:trPr>
          <w:trHeight w:val="71"/>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6279B2D" w14:textId="77777777" w:rsidR="00D2031E" w:rsidRPr="00064BBA" w:rsidRDefault="00D2031E" w:rsidP="00132E83">
            <w:pPr>
              <w:widowControl w:val="0"/>
              <w:bidi/>
              <w:jc w:val="left"/>
              <w:rPr>
                <w:b/>
                <w:color w:val="000000"/>
                <w:sz w:val="20"/>
                <w:lang w:eastAsia="en-GB"/>
              </w:rPr>
            </w:pP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878E730" w14:textId="77777777" w:rsidR="00D2031E" w:rsidRPr="00064BBA" w:rsidRDefault="00D2031E" w:rsidP="00132E83">
            <w:pPr>
              <w:widowControl w:val="0"/>
              <w:bidi/>
              <w:jc w:val="center"/>
              <w:rPr>
                <w:b/>
                <w:color w:val="000000"/>
                <w:sz w:val="20"/>
              </w:rPr>
            </w:pPr>
            <w:r w:rsidRPr="00064BBA">
              <w:rPr>
                <w:b/>
                <w:bCs/>
                <w:color w:val="000000"/>
                <w:sz w:val="20"/>
                <w:rtl/>
                <w:lang w:eastAsia="ar" w:bidi="ar-EG"/>
              </w:rPr>
              <w:t>الموافق عليه</w:t>
            </w:r>
          </w:p>
        </w:tc>
        <w:tc>
          <w:tcPr>
            <w:tcW w:w="128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149F99D" w14:textId="77777777" w:rsidR="00D2031E" w:rsidRPr="00064BBA" w:rsidRDefault="00D2031E" w:rsidP="00132E83">
            <w:pPr>
              <w:widowControl w:val="0"/>
              <w:bidi/>
              <w:jc w:val="center"/>
              <w:rPr>
                <w:b/>
                <w:color w:val="000000"/>
                <w:sz w:val="20"/>
              </w:rPr>
            </w:pPr>
            <w:r w:rsidRPr="00064BBA">
              <w:rPr>
                <w:b/>
                <w:bCs/>
                <w:color w:val="000000"/>
                <w:sz w:val="20"/>
                <w:rtl/>
                <w:lang w:eastAsia="ar" w:bidi="ar-EG"/>
              </w:rPr>
              <w:t>النفقات</w:t>
            </w:r>
          </w:p>
        </w:tc>
        <w:tc>
          <w:tcPr>
            <w:tcW w:w="135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DF9BDAB" w14:textId="77777777" w:rsidR="00D2031E" w:rsidRPr="00064BBA" w:rsidRDefault="00D2031E" w:rsidP="00132E83">
            <w:pPr>
              <w:widowControl w:val="0"/>
              <w:bidi/>
              <w:jc w:val="center"/>
              <w:rPr>
                <w:b/>
                <w:color w:val="000000"/>
                <w:sz w:val="20"/>
              </w:rPr>
            </w:pPr>
            <w:r w:rsidRPr="00064BBA">
              <w:rPr>
                <w:b/>
                <w:bCs/>
                <w:color w:val="000000"/>
                <w:sz w:val="20"/>
                <w:rtl/>
                <w:lang w:eastAsia="ar" w:bidi="ar-EG"/>
              </w:rPr>
              <w:t>الرصيد</w:t>
            </w:r>
          </w:p>
        </w:tc>
        <w:tc>
          <w:tcPr>
            <w:tcW w:w="13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0EE4DD1" w14:textId="77777777" w:rsidR="00D2031E" w:rsidRPr="00064BBA" w:rsidRDefault="00D2031E" w:rsidP="00132E83">
            <w:pPr>
              <w:widowControl w:val="0"/>
              <w:bidi/>
              <w:jc w:val="center"/>
              <w:rPr>
                <w:b/>
                <w:color w:val="000000"/>
                <w:sz w:val="20"/>
              </w:rPr>
            </w:pPr>
            <w:r w:rsidRPr="00064BBA">
              <w:rPr>
                <w:b/>
                <w:bCs/>
                <w:color w:val="000000"/>
                <w:sz w:val="20"/>
                <w:rtl/>
                <w:lang w:eastAsia="ar" w:bidi="ar-EG"/>
              </w:rPr>
              <w:t>الموافق عليه</w:t>
            </w:r>
          </w:p>
        </w:tc>
        <w:tc>
          <w:tcPr>
            <w:tcW w:w="132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12C3F25" w14:textId="77777777" w:rsidR="00D2031E" w:rsidRPr="00064BBA" w:rsidRDefault="00D2031E" w:rsidP="00132E83">
            <w:pPr>
              <w:widowControl w:val="0"/>
              <w:bidi/>
              <w:jc w:val="center"/>
              <w:rPr>
                <w:b/>
                <w:color w:val="000000"/>
                <w:sz w:val="20"/>
              </w:rPr>
            </w:pPr>
            <w:r w:rsidRPr="00064BBA">
              <w:rPr>
                <w:b/>
                <w:bCs/>
                <w:color w:val="000000"/>
                <w:sz w:val="20"/>
                <w:rtl/>
                <w:lang w:eastAsia="ar" w:bidi="ar-EG"/>
              </w:rPr>
              <w:t>النفقات</w:t>
            </w:r>
            <w:r w:rsidRPr="00064BBA">
              <w:rPr>
                <w:sz w:val="20"/>
                <w:vertAlign w:val="superscript"/>
                <w:rtl/>
                <w:lang w:eastAsia="ar" w:bidi="ar-EG"/>
              </w:rPr>
              <w:t xml:space="preserve"> (أ) </w:t>
            </w:r>
          </w:p>
        </w:tc>
        <w:tc>
          <w:tcPr>
            <w:tcW w:w="13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97F176E" w14:textId="77777777" w:rsidR="00D2031E" w:rsidRPr="00064BBA" w:rsidRDefault="00D2031E" w:rsidP="00132E83">
            <w:pPr>
              <w:widowControl w:val="0"/>
              <w:bidi/>
              <w:jc w:val="center"/>
              <w:rPr>
                <w:b/>
                <w:color w:val="000000"/>
                <w:sz w:val="20"/>
              </w:rPr>
            </w:pPr>
            <w:r w:rsidRPr="00064BBA">
              <w:rPr>
                <w:b/>
                <w:bCs/>
                <w:color w:val="000000"/>
                <w:sz w:val="20"/>
                <w:rtl/>
                <w:lang w:eastAsia="ar" w:bidi="ar-EG"/>
              </w:rPr>
              <w:t>المقترح</w:t>
            </w:r>
          </w:p>
        </w:tc>
      </w:tr>
      <w:tr w:rsidR="00D2031E" w:rsidRPr="00064BBA" w14:paraId="38EB29A4" w14:textId="77777777" w:rsidTr="00132E83">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D83D032"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الموظفون والخبراء الاستشاريون</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4D6DCFD"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7,626,200</w:t>
            </w:r>
          </w:p>
        </w:tc>
        <w:tc>
          <w:tcPr>
            <w:tcW w:w="12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E8B30C"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6,743,871</w:t>
            </w:r>
          </w:p>
        </w:tc>
        <w:tc>
          <w:tcPr>
            <w:tcW w:w="135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29A4BB" w14:textId="77777777" w:rsidR="00D2031E" w:rsidRPr="00064BBA" w:rsidRDefault="00D2031E" w:rsidP="00132E83">
            <w:pPr>
              <w:widowControl w:val="0"/>
              <w:bidi/>
              <w:jc w:val="left"/>
              <w:rPr>
                <w:color w:val="000000"/>
                <w:sz w:val="20"/>
                <w:lang w:eastAsia="en-GB"/>
              </w:rPr>
            </w:pPr>
            <w:r w:rsidRPr="00064BBA">
              <w:rPr>
                <w:sz w:val="20"/>
                <w:rtl/>
                <w:lang w:eastAsia="ar" w:bidi="ar-EG"/>
              </w:rPr>
              <w:t>882,329</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3A17DD0"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7,854,531</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647346"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7,381,500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9A70EB0"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8,090,167</w:t>
            </w:r>
          </w:p>
        </w:tc>
      </w:tr>
      <w:tr w:rsidR="00D2031E" w:rsidRPr="00064BBA" w14:paraId="29D1F17C" w14:textId="77777777" w:rsidTr="00132E83">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0A938CB"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السفر</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6F490C5"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548,000</w:t>
            </w:r>
          </w:p>
        </w:tc>
        <w:tc>
          <w:tcPr>
            <w:tcW w:w="12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62CB47"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548,000</w:t>
            </w:r>
          </w:p>
        </w:tc>
        <w:tc>
          <w:tcPr>
            <w:tcW w:w="135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C1D4A59"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AB9ECDC"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575,400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9C07410"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575,400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7314FDF"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571,400</w:t>
            </w:r>
          </w:p>
        </w:tc>
      </w:tr>
      <w:tr w:rsidR="00D2031E" w:rsidRPr="00064BBA" w14:paraId="5E2947C9" w14:textId="77777777" w:rsidTr="00132E83">
        <w:trPr>
          <w:trHeight w:val="422"/>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629E2DB"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 xml:space="preserve">الأنشطة والاجتماعات الإقليمية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FF0F055"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1,117,000</w:t>
            </w:r>
            <w:r w:rsidRPr="00064BBA">
              <w:rPr>
                <w:sz w:val="20"/>
                <w:vertAlign w:val="superscript"/>
                <w:rtl/>
                <w:lang w:eastAsia="ar" w:bidi="ar-EG"/>
              </w:rPr>
              <w:t>(ب)</w:t>
            </w:r>
          </w:p>
        </w:tc>
        <w:tc>
          <w:tcPr>
            <w:tcW w:w="12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940C1A0" w14:textId="77777777" w:rsidR="00D2031E" w:rsidRPr="00064BBA" w:rsidRDefault="00D2031E" w:rsidP="00132E83">
            <w:pPr>
              <w:widowControl w:val="0"/>
              <w:bidi/>
              <w:jc w:val="left"/>
              <w:rPr>
                <w:color w:val="000000"/>
                <w:sz w:val="20"/>
                <w:lang w:eastAsia="en-GB"/>
              </w:rPr>
            </w:pPr>
            <w:r w:rsidRPr="00064BBA">
              <w:rPr>
                <w:sz w:val="20"/>
                <w:rtl/>
                <w:lang w:eastAsia="ar" w:bidi="ar-EG"/>
              </w:rPr>
              <w:t>1,115,360</w:t>
            </w:r>
          </w:p>
        </w:tc>
        <w:tc>
          <w:tcPr>
            <w:tcW w:w="135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450DB4F" w14:textId="77777777" w:rsidR="00D2031E" w:rsidRPr="00064BBA" w:rsidRDefault="00D2031E" w:rsidP="00132E83">
            <w:pPr>
              <w:widowControl w:val="0"/>
              <w:bidi/>
              <w:jc w:val="left"/>
              <w:rPr>
                <w:color w:val="000000"/>
                <w:sz w:val="20"/>
                <w:lang w:eastAsia="en-GB"/>
              </w:rPr>
            </w:pPr>
            <w:r w:rsidRPr="00064BBA">
              <w:rPr>
                <w:sz w:val="20"/>
                <w:rtl/>
                <w:lang w:eastAsia="ar" w:bidi="ar-EG"/>
              </w:rPr>
              <w:t>1,640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CFA4AC8" w14:textId="77777777" w:rsidR="00D2031E" w:rsidRPr="00064BBA" w:rsidRDefault="00D2031E" w:rsidP="00132E83">
            <w:pPr>
              <w:widowControl w:val="0"/>
              <w:bidi/>
              <w:jc w:val="left"/>
              <w:rPr>
                <w:color w:val="000000"/>
                <w:sz w:val="20"/>
                <w:lang w:eastAsia="en-GB"/>
              </w:rPr>
            </w:pPr>
            <w:r w:rsidRPr="00064BBA">
              <w:rPr>
                <w:sz w:val="20"/>
                <w:rtl/>
                <w:lang w:eastAsia="ar" w:bidi="ar-EG"/>
              </w:rPr>
              <w:t>1,316,400</w:t>
            </w:r>
            <w:r w:rsidRPr="00064BBA">
              <w:rPr>
                <w:rFonts w:hint="cs"/>
                <w:sz w:val="20"/>
                <w:vertAlign w:val="superscript"/>
                <w:rtl/>
                <w:lang w:val="en-CA" w:eastAsia="ar" w:bidi="ar-EG"/>
              </w:rPr>
              <w:t>(ج)</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9138F67" w14:textId="77777777" w:rsidR="00D2031E" w:rsidRPr="00064BBA" w:rsidRDefault="00D2031E" w:rsidP="00132E83">
            <w:pPr>
              <w:widowControl w:val="0"/>
              <w:bidi/>
              <w:jc w:val="left"/>
              <w:rPr>
                <w:color w:val="000000"/>
                <w:sz w:val="20"/>
                <w:lang w:eastAsia="en-GB"/>
              </w:rPr>
            </w:pPr>
            <w:r w:rsidRPr="00064BBA">
              <w:rPr>
                <w:sz w:val="20"/>
                <w:rtl/>
                <w:lang w:eastAsia="ar" w:bidi="ar-EG"/>
              </w:rPr>
              <w:t>1,316,400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E715DD2"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1,320,400</w:t>
            </w:r>
          </w:p>
        </w:tc>
      </w:tr>
      <w:tr w:rsidR="00D2031E" w:rsidRPr="00064BBA" w14:paraId="5664DE6C" w14:textId="77777777" w:rsidTr="00132E83">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0B3C5A7"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 xml:space="preserve">الخدمات العالمية ودعم الاجتماعات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BB29D7E" w14:textId="77777777" w:rsidR="00D2031E" w:rsidRPr="00064BBA" w:rsidRDefault="00D2031E" w:rsidP="00132E83">
            <w:pPr>
              <w:widowControl w:val="0"/>
              <w:bidi/>
              <w:jc w:val="left"/>
              <w:rPr>
                <w:color w:val="000000"/>
                <w:sz w:val="20"/>
                <w:lang w:eastAsia="en-GB"/>
              </w:rPr>
            </w:pPr>
            <w:r w:rsidRPr="00064BBA">
              <w:rPr>
                <w:sz w:val="20"/>
                <w:rtl/>
                <w:lang w:eastAsia="ar" w:bidi="ar-EG"/>
              </w:rPr>
              <w:t>750,000</w:t>
            </w:r>
            <w:r w:rsidRPr="00064BBA">
              <w:rPr>
                <w:sz w:val="20"/>
                <w:vertAlign w:val="superscript"/>
                <w:rtl/>
                <w:lang w:eastAsia="ar" w:bidi="ar-EG"/>
              </w:rPr>
              <w:t xml:space="preserve">(د) </w:t>
            </w:r>
          </w:p>
        </w:tc>
        <w:tc>
          <w:tcPr>
            <w:tcW w:w="12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E50AE22" w14:textId="77777777" w:rsidR="00D2031E" w:rsidRPr="00064BBA" w:rsidRDefault="00D2031E" w:rsidP="00132E83">
            <w:pPr>
              <w:widowControl w:val="0"/>
              <w:bidi/>
              <w:jc w:val="left"/>
              <w:rPr>
                <w:color w:val="000000"/>
                <w:sz w:val="20"/>
                <w:lang w:eastAsia="en-GB"/>
              </w:rPr>
            </w:pPr>
            <w:r w:rsidRPr="00064BBA">
              <w:rPr>
                <w:sz w:val="20"/>
                <w:rtl/>
                <w:lang w:eastAsia="ar" w:bidi="ar-EG"/>
              </w:rPr>
              <w:t>407,088</w:t>
            </w:r>
          </w:p>
        </w:tc>
        <w:tc>
          <w:tcPr>
            <w:tcW w:w="135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8353382" w14:textId="77777777" w:rsidR="00D2031E" w:rsidRPr="00064BBA" w:rsidRDefault="00D2031E" w:rsidP="00132E83">
            <w:pPr>
              <w:widowControl w:val="0"/>
              <w:bidi/>
              <w:jc w:val="left"/>
              <w:rPr>
                <w:color w:val="000000"/>
                <w:sz w:val="20"/>
                <w:lang w:eastAsia="en-GB"/>
              </w:rPr>
            </w:pPr>
            <w:r w:rsidRPr="00064BBA">
              <w:rPr>
                <w:sz w:val="20"/>
                <w:rtl/>
                <w:lang w:eastAsia="ar" w:bidi="ar-EG"/>
              </w:rPr>
              <w:t>342,912</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C05BDF1" w14:textId="77777777" w:rsidR="00D2031E" w:rsidRPr="00064BBA" w:rsidRDefault="00D2031E" w:rsidP="00132E83">
            <w:pPr>
              <w:widowControl w:val="0"/>
              <w:bidi/>
              <w:jc w:val="left"/>
              <w:rPr>
                <w:color w:val="000000"/>
                <w:sz w:val="20"/>
                <w:lang w:eastAsia="en-GB"/>
              </w:rPr>
            </w:pPr>
            <w:r w:rsidRPr="00064BBA">
              <w:rPr>
                <w:sz w:val="20"/>
                <w:rtl/>
                <w:lang w:eastAsia="ar" w:bidi="ar-EG"/>
              </w:rPr>
              <w:t>855,000</w:t>
            </w:r>
            <w:r w:rsidRPr="00064BBA">
              <w:rPr>
                <w:sz w:val="20"/>
                <w:vertAlign w:val="superscript"/>
                <w:rtl/>
                <w:lang w:eastAsia="ar" w:bidi="ar-EG"/>
              </w:rPr>
              <w:t>(هـ)</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354BDD7" w14:textId="77777777" w:rsidR="00D2031E" w:rsidRPr="00064BBA" w:rsidRDefault="00D2031E" w:rsidP="00132E83">
            <w:pPr>
              <w:widowControl w:val="0"/>
              <w:bidi/>
              <w:jc w:val="left"/>
              <w:rPr>
                <w:color w:val="000000"/>
                <w:sz w:val="20"/>
                <w:lang w:eastAsia="en-GB"/>
              </w:rPr>
            </w:pPr>
            <w:r w:rsidRPr="00064BBA">
              <w:rPr>
                <w:sz w:val="20"/>
                <w:rtl/>
                <w:lang w:eastAsia="ar" w:bidi="ar-EG"/>
              </w:rPr>
              <w:t>725,000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5039B2C"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705,000</w:t>
            </w:r>
          </w:p>
        </w:tc>
      </w:tr>
      <w:tr w:rsidR="00D2031E" w:rsidRPr="00064BBA" w14:paraId="3FFE4591" w14:textId="77777777" w:rsidTr="00132E83">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6B5B43E"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 xml:space="preserve">المساحة والمعدات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3D094A7"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590,000</w:t>
            </w:r>
          </w:p>
        </w:tc>
        <w:tc>
          <w:tcPr>
            <w:tcW w:w="12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3E39452"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480,575</w:t>
            </w:r>
          </w:p>
        </w:tc>
        <w:tc>
          <w:tcPr>
            <w:tcW w:w="135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CBDFCD6"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109,425</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F995890"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590,000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8E75658"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570,000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DE83321"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590,000</w:t>
            </w:r>
          </w:p>
        </w:tc>
      </w:tr>
      <w:tr w:rsidR="00D2031E" w:rsidRPr="00064BBA" w14:paraId="6258D99C" w14:textId="77777777" w:rsidTr="00132E83">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8BF9795" w14:textId="77777777" w:rsidR="00D2031E" w:rsidRPr="00064BBA" w:rsidRDefault="00D2031E" w:rsidP="00132E83">
            <w:pPr>
              <w:widowControl w:val="0"/>
              <w:bidi/>
              <w:jc w:val="left"/>
              <w:rPr>
                <w:b/>
                <w:color w:val="000000"/>
                <w:sz w:val="20"/>
              </w:rPr>
            </w:pPr>
            <w:r w:rsidRPr="00064BBA">
              <w:rPr>
                <w:b/>
                <w:bCs/>
                <w:color w:val="000000"/>
                <w:sz w:val="20"/>
                <w:rtl/>
                <w:lang w:eastAsia="ar" w:bidi="ar-EG"/>
              </w:rPr>
              <w:t xml:space="preserve">المجموع الفرعي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926E2AF" w14:textId="77777777" w:rsidR="00D2031E" w:rsidRPr="00064BBA" w:rsidRDefault="00D2031E" w:rsidP="00132E83">
            <w:pPr>
              <w:widowControl w:val="0"/>
              <w:bidi/>
              <w:jc w:val="left"/>
              <w:rPr>
                <w:b/>
                <w:bCs/>
                <w:color w:val="000000"/>
                <w:sz w:val="20"/>
                <w:highlight w:val="yellow"/>
                <w:lang w:eastAsia="en-GB"/>
              </w:rPr>
            </w:pPr>
            <w:r w:rsidRPr="00064BBA">
              <w:rPr>
                <w:b/>
                <w:bCs/>
                <w:sz w:val="20"/>
                <w:rtl/>
                <w:lang w:eastAsia="ar" w:bidi="ar-EG"/>
              </w:rPr>
              <w:t>10,631,200</w:t>
            </w:r>
          </w:p>
        </w:tc>
        <w:tc>
          <w:tcPr>
            <w:tcW w:w="12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3D305DA" w14:textId="77777777" w:rsidR="00D2031E" w:rsidRPr="00064BBA" w:rsidRDefault="00D2031E" w:rsidP="00132E83">
            <w:pPr>
              <w:widowControl w:val="0"/>
              <w:bidi/>
              <w:jc w:val="left"/>
              <w:rPr>
                <w:b/>
                <w:bCs/>
                <w:color w:val="000000"/>
                <w:sz w:val="20"/>
                <w:highlight w:val="yellow"/>
                <w:lang w:eastAsia="en-GB"/>
              </w:rPr>
            </w:pPr>
            <w:r w:rsidRPr="00064BBA">
              <w:rPr>
                <w:b/>
                <w:bCs/>
                <w:sz w:val="20"/>
                <w:rtl/>
                <w:lang w:eastAsia="ar" w:bidi="ar-EG"/>
              </w:rPr>
              <w:t>9,294,894</w:t>
            </w:r>
          </w:p>
        </w:tc>
        <w:tc>
          <w:tcPr>
            <w:tcW w:w="135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945177" w14:textId="77777777" w:rsidR="00D2031E" w:rsidRPr="00064BBA" w:rsidRDefault="00D2031E" w:rsidP="00132E83">
            <w:pPr>
              <w:widowControl w:val="0"/>
              <w:bidi/>
              <w:jc w:val="left"/>
              <w:rPr>
                <w:b/>
                <w:bCs/>
                <w:sz w:val="20"/>
                <w:highlight w:val="yellow"/>
              </w:rPr>
            </w:pPr>
            <w:r w:rsidRPr="00064BBA">
              <w:rPr>
                <w:b/>
                <w:bCs/>
                <w:sz w:val="20"/>
                <w:rtl/>
                <w:lang w:eastAsia="ar" w:bidi="ar-EG"/>
              </w:rPr>
              <w:t>1,336,306</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20610D4" w14:textId="77777777" w:rsidR="00D2031E" w:rsidRPr="00064BBA" w:rsidRDefault="00D2031E" w:rsidP="00132E83">
            <w:pPr>
              <w:widowControl w:val="0"/>
              <w:bidi/>
              <w:jc w:val="left"/>
              <w:rPr>
                <w:b/>
                <w:bCs/>
                <w:color w:val="000000"/>
                <w:sz w:val="20"/>
                <w:highlight w:val="yellow"/>
                <w:lang w:eastAsia="en-GB"/>
              </w:rPr>
            </w:pPr>
            <w:r w:rsidRPr="00064BBA">
              <w:rPr>
                <w:b/>
                <w:bCs/>
                <w:sz w:val="20"/>
                <w:rtl/>
                <w:lang w:eastAsia="ar" w:bidi="ar-EG"/>
              </w:rPr>
              <w:t>11,191,331</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DC0839B" w14:textId="77777777" w:rsidR="00D2031E" w:rsidRPr="00064BBA" w:rsidRDefault="00D2031E" w:rsidP="00132E83">
            <w:pPr>
              <w:widowControl w:val="0"/>
              <w:bidi/>
              <w:jc w:val="left"/>
              <w:rPr>
                <w:b/>
                <w:bCs/>
                <w:color w:val="000000"/>
                <w:sz w:val="20"/>
                <w:highlight w:val="yellow"/>
                <w:lang w:eastAsia="en-GB"/>
              </w:rPr>
            </w:pPr>
            <w:r w:rsidRPr="00064BBA">
              <w:rPr>
                <w:b/>
                <w:bCs/>
                <w:sz w:val="20"/>
                <w:rtl/>
                <w:lang w:eastAsia="ar" w:bidi="ar-EG"/>
              </w:rPr>
              <w:t>10,568,300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D85D569" w14:textId="77777777" w:rsidR="00D2031E" w:rsidRPr="00064BBA" w:rsidRDefault="00D2031E" w:rsidP="00132E83">
            <w:pPr>
              <w:widowControl w:val="0"/>
              <w:bidi/>
              <w:jc w:val="left"/>
              <w:rPr>
                <w:b/>
                <w:bCs/>
                <w:color w:val="000000"/>
                <w:sz w:val="20"/>
                <w:lang w:eastAsia="en-GB"/>
              </w:rPr>
            </w:pPr>
            <w:r w:rsidRPr="00064BBA">
              <w:rPr>
                <w:b/>
                <w:bCs/>
                <w:color w:val="000000"/>
                <w:sz w:val="20"/>
                <w:rtl/>
                <w:lang w:eastAsia="ar" w:bidi="ar-EG"/>
              </w:rPr>
              <w:t>11,276,967</w:t>
            </w:r>
          </w:p>
        </w:tc>
      </w:tr>
      <w:tr w:rsidR="00D2031E" w:rsidRPr="00064BBA" w14:paraId="1377735D" w14:textId="77777777" w:rsidTr="00132E83">
        <w:trPr>
          <w:trHeight w:val="476"/>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5A125EB" w14:textId="77777777" w:rsidR="00D2031E" w:rsidRPr="00064BBA" w:rsidRDefault="00D2031E" w:rsidP="00132E83">
            <w:pPr>
              <w:widowControl w:val="0"/>
              <w:bidi/>
              <w:jc w:val="left"/>
              <w:rPr>
                <w:color w:val="000000"/>
                <w:sz w:val="20"/>
                <w:lang w:eastAsia="en-GB"/>
              </w:rPr>
            </w:pPr>
            <w:r w:rsidRPr="00064BBA">
              <w:rPr>
                <w:color w:val="000000"/>
                <w:sz w:val="20"/>
                <w:rtl/>
                <w:lang w:eastAsia="ar" w:bidi="ar-EG"/>
              </w:rPr>
              <w:t>تكلفة دعم البرامج</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385F99"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850,496</w:t>
            </w:r>
          </w:p>
        </w:tc>
        <w:tc>
          <w:tcPr>
            <w:tcW w:w="12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7B81F0A"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743,592</w:t>
            </w:r>
          </w:p>
        </w:tc>
        <w:tc>
          <w:tcPr>
            <w:tcW w:w="135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D8B8DCA" w14:textId="77777777" w:rsidR="00D2031E" w:rsidRPr="00064BBA" w:rsidRDefault="00D2031E" w:rsidP="00132E83">
            <w:pPr>
              <w:widowControl w:val="0"/>
              <w:bidi/>
              <w:jc w:val="left"/>
              <w:rPr>
                <w:color w:val="000000"/>
                <w:sz w:val="20"/>
                <w:highlight w:val="yellow"/>
                <w:lang w:eastAsia="en-GB"/>
              </w:rPr>
            </w:pPr>
            <w:r w:rsidRPr="00064BBA">
              <w:rPr>
                <w:sz w:val="20"/>
                <w:rtl/>
                <w:lang w:eastAsia="ar" w:bidi="ar-EG"/>
              </w:rPr>
              <w:t>106,904</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DCB38FA" w14:textId="77777777" w:rsidR="00D2031E" w:rsidRPr="00064BBA" w:rsidRDefault="00D2031E" w:rsidP="00132E83">
            <w:pPr>
              <w:widowControl w:val="0"/>
              <w:bidi/>
              <w:jc w:val="left"/>
              <w:rPr>
                <w:color w:val="000000"/>
                <w:sz w:val="20"/>
              </w:rPr>
            </w:pPr>
            <w:r w:rsidRPr="00064BBA">
              <w:rPr>
                <w:color w:val="000000"/>
                <w:sz w:val="20"/>
                <w:rtl/>
                <w:lang w:eastAsia="ar" w:bidi="ar-EG"/>
              </w:rPr>
              <w:t>895,306</w:t>
            </w:r>
          </w:p>
          <w:p w14:paraId="3855AA4F" w14:textId="77777777" w:rsidR="00D2031E" w:rsidRPr="00064BBA" w:rsidRDefault="00D2031E" w:rsidP="00132E83">
            <w:pPr>
              <w:widowControl w:val="0"/>
              <w:bidi/>
              <w:jc w:val="left"/>
              <w:rPr>
                <w:color w:val="000000"/>
                <w:sz w:val="20"/>
                <w:highlight w:val="yellow"/>
                <w:lang w:eastAsia="en-GB"/>
              </w:rPr>
            </w:pP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9736A39" w14:textId="77777777" w:rsidR="00D2031E" w:rsidRPr="00064BBA" w:rsidRDefault="00D2031E" w:rsidP="00132E83">
            <w:pPr>
              <w:widowControl w:val="0"/>
              <w:bidi/>
              <w:jc w:val="left"/>
              <w:rPr>
                <w:color w:val="000000"/>
                <w:sz w:val="20"/>
                <w:highlight w:val="yellow"/>
                <w:lang w:eastAsia="en-GB"/>
              </w:rPr>
            </w:pPr>
            <w:r w:rsidRPr="00064BBA">
              <w:rPr>
                <w:color w:val="000000"/>
                <w:sz w:val="20"/>
                <w:rtl/>
                <w:lang w:eastAsia="ar" w:bidi="ar-EG"/>
              </w:rPr>
              <w:t>845,464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BBED828" w14:textId="77777777" w:rsidR="00D2031E" w:rsidRPr="00064BBA" w:rsidRDefault="00D2031E" w:rsidP="00132E83">
            <w:pPr>
              <w:widowControl w:val="0"/>
              <w:bidi/>
              <w:jc w:val="left"/>
              <w:rPr>
                <w:color w:val="000000"/>
                <w:sz w:val="20"/>
                <w:highlight w:val="yellow"/>
                <w:lang w:eastAsia="en-GB"/>
              </w:rPr>
            </w:pPr>
            <w:r w:rsidRPr="00064BBA">
              <w:rPr>
                <w:color w:val="000000"/>
                <w:sz w:val="20"/>
                <w:rtl/>
                <w:lang w:eastAsia="ar" w:bidi="ar-EG"/>
              </w:rPr>
              <w:t>902,157</w:t>
            </w:r>
          </w:p>
        </w:tc>
      </w:tr>
      <w:tr w:rsidR="00D2031E" w:rsidRPr="00064BBA" w14:paraId="39974EE0" w14:textId="77777777" w:rsidTr="00132E83">
        <w:trPr>
          <w:trHeight w:val="7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689181F0" w14:textId="77777777" w:rsidR="00D2031E" w:rsidRPr="00064BBA" w:rsidRDefault="00D2031E" w:rsidP="00132E83">
            <w:pPr>
              <w:widowControl w:val="0"/>
              <w:bidi/>
              <w:jc w:val="left"/>
              <w:rPr>
                <w:b/>
                <w:color w:val="000000"/>
                <w:sz w:val="20"/>
              </w:rPr>
            </w:pPr>
            <w:r w:rsidRPr="00064BBA">
              <w:rPr>
                <w:b/>
                <w:bCs/>
                <w:color w:val="000000"/>
                <w:sz w:val="20"/>
                <w:rtl/>
                <w:lang w:eastAsia="ar" w:bidi="ar-EG"/>
              </w:rPr>
              <w:t>المجموع</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132B525" w14:textId="77777777" w:rsidR="00D2031E" w:rsidRPr="00064BBA" w:rsidRDefault="00D2031E" w:rsidP="00132E83">
            <w:pPr>
              <w:widowControl w:val="0"/>
              <w:bidi/>
              <w:jc w:val="left"/>
              <w:rPr>
                <w:b/>
                <w:bCs/>
                <w:color w:val="000000"/>
                <w:sz w:val="20"/>
                <w:highlight w:val="yellow"/>
                <w:lang w:eastAsia="en-GB"/>
              </w:rPr>
            </w:pPr>
            <w:r w:rsidRPr="00064BBA">
              <w:rPr>
                <w:b/>
                <w:bCs/>
                <w:sz w:val="20"/>
                <w:rtl/>
                <w:lang w:eastAsia="ar" w:bidi="ar-EG"/>
              </w:rPr>
              <w:t>11,481,696</w:t>
            </w:r>
          </w:p>
        </w:tc>
        <w:tc>
          <w:tcPr>
            <w:tcW w:w="12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15C27EF" w14:textId="77777777" w:rsidR="00D2031E" w:rsidRPr="00064BBA" w:rsidRDefault="00D2031E" w:rsidP="00132E83">
            <w:pPr>
              <w:widowControl w:val="0"/>
              <w:bidi/>
              <w:jc w:val="left"/>
              <w:rPr>
                <w:b/>
                <w:bCs/>
                <w:color w:val="000000"/>
                <w:sz w:val="20"/>
                <w:highlight w:val="yellow"/>
                <w:lang w:eastAsia="en-GB"/>
              </w:rPr>
            </w:pPr>
            <w:r w:rsidRPr="00064BBA">
              <w:rPr>
                <w:b/>
                <w:bCs/>
                <w:sz w:val="20"/>
                <w:rtl/>
                <w:lang w:eastAsia="ar" w:bidi="ar-EG"/>
              </w:rPr>
              <w:t>10,038,486</w:t>
            </w:r>
          </w:p>
        </w:tc>
        <w:tc>
          <w:tcPr>
            <w:tcW w:w="135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774A6FC" w14:textId="77777777" w:rsidR="00D2031E" w:rsidRPr="00064BBA" w:rsidRDefault="00D2031E" w:rsidP="00132E83">
            <w:pPr>
              <w:widowControl w:val="0"/>
              <w:bidi/>
              <w:jc w:val="left"/>
              <w:rPr>
                <w:b/>
                <w:bCs/>
                <w:color w:val="000000"/>
                <w:sz w:val="20"/>
                <w:highlight w:val="yellow"/>
                <w:lang w:eastAsia="en-GB"/>
              </w:rPr>
            </w:pPr>
            <w:r w:rsidRPr="00064BBA">
              <w:rPr>
                <w:b/>
                <w:bCs/>
                <w:sz w:val="20"/>
                <w:rtl/>
                <w:lang w:eastAsia="ar" w:bidi="ar-EG"/>
              </w:rPr>
              <w:t xml:space="preserve"> 1,443,210</w:t>
            </w:r>
            <w:r w:rsidRPr="00064BBA">
              <w:rPr>
                <w:rFonts w:hint="cs"/>
                <w:sz w:val="20"/>
                <w:vertAlign w:val="superscript"/>
                <w:rtl/>
                <w:lang w:val="en-CA" w:eastAsia="ar" w:bidi="ar-EG"/>
              </w:rPr>
              <w:t>(و)</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136DD00" w14:textId="77777777" w:rsidR="00D2031E" w:rsidRPr="00064BBA" w:rsidRDefault="00D2031E" w:rsidP="00132E83">
            <w:pPr>
              <w:widowControl w:val="0"/>
              <w:bidi/>
              <w:jc w:val="left"/>
              <w:rPr>
                <w:b/>
                <w:bCs/>
                <w:color w:val="000000"/>
                <w:sz w:val="20"/>
              </w:rPr>
            </w:pPr>
            <w:r w:rsidRPr="00064BBA">
              <w:rPr>
                <w:b/>
                <w:bCs/>
                <w:color w:val="000000"/>
                <w:sz w:val="20"/>
                <w:rtl/>
                <w:lang w:eastAsia="ar" w:bidi="ar-EG"/>
              </w:rPr>
              <w:t>12,086,637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0C92AEF" w14:textId="77777777" w:rsidR="00D2031E" w:rsidRPr="00064BBA" w:rsidRDefault="00D2031E" w:rsidP="00132E83">
            <w:pPr>
              <w:widowControl w:val="0"/>
              <w:bidi/>
              <w:jc w:val="left"/>
              <w:rPr>
                <w:b/>
                <w:bCs/>
                <w:color w:val="000000"/>
                <w:sz w:val="20"/>
                <w:highlight w:val="yellow"/>
                <w:lang w:eastAsia="en-GB"/>
              </w:rPr>
            </w:pPr>
            <w:r w:rsidRPr="00064BBA">
              <w:rPr>
                <w:b/>
                <w:bCs/>
                <w:color w:val="000000"/>
                <w:sz w:val="20"/>
                <w:rtl/>
                <w:lang w:eastAsia="ar" w:bidi="ar-EG"/>
              </w:rPr>
              <w:t>11,413,764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080D5D0" w14:textId="77777777" w:rsidR="00D2031E" w:rsidRPr="00064BBA" w:rsidRDefault="00D2031E" w:rsidP="00132E83">
            <w:pPr>
              <w:widowControl w:val="0"/>
              <w:bidi/>
              <w:jc w:val="left"/>
              <w:rPr>
                <w:b/>
                <w:bCs/>
                <w:color w:val="000000"/>
                <w:sz w:val="20"/>
                <w:highlight w:val="yellow"/>
                <w:lang w:eastAsia="en-GB"/>
              </w:rPr>
            </w:pPr>
            <w:r w:rsidRPr="00064BBA">
              <w:rPr>
                <w:b/>
                <w:bCs/>
                <w:color w:val="000000"/>
                <w:sz w:val="20"/>
                <w:rtl/>
                <w:lang w:eastAsia="ar" w:bidi="ar-EG"/>
              </w:rPr>
              <w:t>12,179,124</w:t>
            </w:r>
          </w:p>
        </w:tc>
      </w:tr>
    </w:tbl>
    <w:p w14:paraId="7CB9B7B2" w14:textId="77777777" w:rsidR="00D2031E" w:rsidRPr="00064BBA" w:rsidRDefault="00D2031E" w:rsidP="00D2031E">
      <w:pPr>
        <w:widowControl w:val="0"/>
        <w:bidi/>
        <w:rPr>
          <w:sz w:val="22"/>
          <w:szCs w:val="22"/>
          <w:lang w:val="en-US"/>
        </w:rPr>
      </w:pPr>
      <w:r w:rsidRPr="00064BBA">
        <w:rPr>
          <w:sz w:val="22"/>
          <w:szCs w:val="22"/>
          <w:vertAlign w:val="superscript"/>
          <w:rtl/>
          <w:lang w:eastAsia="ar" w:bidi="ar-EG"/>
        </w:rPr>
        <w:t>(أ)</w:t>
      </w:r>
      <w:r w:rsidRPr="00064BBA">
        <w:rPr>
          <w:sz w:val="22"/>
          <w:szCs w:val="22"/>
          <w:rtl/>
          <w:lang w:eastAsia="ar" w:bidi="ar-EG"/>
        </w:rPr>
        <w:t xml:space="preserve"> النفقات المقدرة حتى 31 ديسمبر/كانون الأول 2025.</w:t>
      </w:r>
    </w:p>
    <w:p w14:paraId="7BC91D13" w14:textId="77777777" w:rsidR="00D2031E" w:rsidRPr="00064BBA" w:rsidRDefault="00D2031E" w:rsidP="00D2031E">
      <w:pPr>
        <w:widowControl w:val="0"/>
        <w:bidi/>
        <w:rPr>
          <w:sz w:val="22"/>
          <w:szCs w:val="22"/>
          <w:lang w:val="en-US"/>
        </w:rPr>
      </w:pPr>
      <w:r w:rsidRPr="00064BBA">
        <w:rPr>
          <w:sz w:val="22"/>
          <w:szCs w:val="22"/>
          <w:vertAlign w:val="superscript"/>
          <w:rtl/>
          <w:lang w:eastAsia="ar" w:bidi="ar-EG"/>
        </w:rPr>
        <w:t>(ب)</w:t>
      </w:r>
      <w:r w:rsidRPr="00064BBA">
        <w:rPr>
          <w:sz w:val="22"/>
          <w:szCs w:val="22"/>
          <w:rtl/>
          <w:lang w:eastAsia="ar" w:bidi="ar-EG"/>
        </w:rPr>
        <w:t xml:space="preserve"> تشمل النفقات على الاجتماعات الاستشارية والاستشارية - بند الميزانية 4210.</w:t>
      </w:r>
    </w:p>
    <w:p w14:paraId="6D6D5404" w14:textId="77777777" w:rsidR="00D2031E" w:rsidRPr="00064BBA" w:rsidRDefault="00D2031E" w:rsidP="00D2031E">
      <w:pPr>
        <w:widowControl w:val="0"/>
        <w:bidi/>
        <w:rPr>
          <w:sz w:val="22"/>
          <w:szCs w:val="22"/>
          <w:lang w:val="en-US"/>
        </w:rPr>
      </w:pPr>
      <w:r w:rsidRPr="00064BBA">
        <w:rPr>
          <w:sz w:val="22"/>
          <w:szCs w:val="22"/>
          <w:vertAlign w:val="superscript"/>
          <w:rtl/>
          <w:lang w:eastAsia="ar" w:bidi="ar-EG"/>
        </w:rPr>
        <w:t>(ج)</w:t>
      </w:r>
      <w:r w:rsidRPr="00064BBA">
        <w:rPr>
          <w:sz w:val="22"/>
          <w:szCs w:val="22"/>
          <w:rtl/>
          <w:lang w:eastAsia="ar" w:bidi="ar-EG"/>
        </w:rPr>
        <w:t xml:space="preserve"> تم حذف بند الميزانية 4210 (الاجتماعات/الدعم) من المجموع لمواءمته مع الميزانية التفصيلية في الجزء الثالث من التقرير المقبل. </w:t>
      </w:r>
    </w:p>
    <w:p w14:paraId="163D0FDF" w14:textId="77777777" w:rsidR="00D2031E" w:rsidRPr="00064BBA" w:rsidRDefault="00D2031E" w:rsidP="00D2031E">
      <w:pPr>
        <w:widowControl w:val="0"/>
        <w:bidi/>
        <w:rPr>
          <w:sz w:val="22"/>
          <w:szCs w:val="22"/>
          <w:lang w:val="en-US"/>
        </w:rPr>
      </w:pPr>
      <w:r w:rsidRPr="00064BBA">
        <w:rPr>
          <w:sz w:val="22"/>
          <w:szCs w:val="22"/>
          <w:vertAlign w:val="superscript"/>
          <w:rtl/>
          <w:lang w:eastAsia="ar" w:bidi="ar-EG"/>
        </w:rPr>
        <w:t>(د)</w:t>
      </w:r>
      <w:r w:rsidRPr="00064BBA">
        <w:rPr>
          <w:sz w:val="22"/>
          <w:szCs w:val="22"/>
          <w:rtl/>
          <w:lang w:eastAsia="ar" w:bidi="ar-EG"/>
        </w:rPr>
        <w:t xml:space="preserve"> تشمل بنود ميزانية الخدمات العالمية 3210-3216 فقط.</w:t>
      </w:r>
    </w:p>
    <w:p w14:paraId="3F969F93" w14:textId="77777777" w:rsidR="00D2031E" w:rsidRPr="00064BBA" w:rsidRDefault="00D2031E" w:rsidP="00D2031E">
      <w:pPr>
        <w:widowControl w:val="0"/>
        <w:bidi/>
        <w:rPr>
          <w:sz w:val="22"/>
          <w:szCs w:val="22"/>
          <w:lang w:val="en-US"/>
        </w:rPr>
      </w:pPr>
      <w:r w:rsidRPr="00064BBA">
        <w:rPr>
          <w:sz w:val="22"/>
          <w:szCs w:val="22"/>
          <w:vertAlign w:val="superscript"/>
          <w:rtl/>
          <w:lang w:eastAsia="ar" w:bidi="ar-EG"/>
        </w:rPr>
        <w:t>(هـ)</w:t>
      </w:r>
      <w:r w:rsidRPr="00064BBA">
        <w:rPr>
          <w:sz w:val="22"/>
          <w:szCs w:val="22"/>
          <w:rtl/>
          <w:lang w:eastAsia="ar" w:bidi="ar-EG"/>
        </w:rPr>
        <w:t xml:space="preserve"> تم تضمين بند الميزانية 4210 (الاجتماعات/الدعم) لمواءمته مع الميزانية التفصيلية في الجزء الثالث من الطلب. </w:t>
      </w:r>
    </w:p>
    <w:p w14:paraId="1074A1C6" w14:textId="77777777" w:rsidR="00D2031E" w:rsidRDefault="00D2031E" w:rsidP="00D2031E">
      <w:pPr>
        <w:widowControl w:val="0"/>
        <w:bidi/>
        <w:rPr>
          <w:sz w:val="22"/>
          <w:szCs w:val="22"/>
          <w:rtl/>
          <w:lang w:eastAsia="ar" w:bidi="ar-EG"/>
        </w:rPr>
      </w:pPr>
      <w:r w:rsidRPr="00064BBA">
        <w:rPr>
          <w:sz w:val="22"/>
          <w:szCs w:val="22"/>
          <w:vertAlign w:val="superscript"/>
          <w:rtl/>
          <w:lang w:eastAsia="ar" w:bidi="ar-EG"/>
        </w:rPr>
        <w:t>(و)</w:t>
      </w:r>
      <w:r w:rsidRPr="00064BBA">
        <w:rPr>
          <w:sz w:val="22"/>
          <w:szCs w:val="22"/>
          <w:rtl/>
          <w:lang w:eastAsia="ar" w:bidi="ar-EG"/>
        </w:rPr>
        <w:t xml:space="preserve"> عاد الرصيد إلى الاجتماع السابع والتسعين. </w:t>
      </w:r>
    </w:p>
    <w:p w14:paraId="6A7AEB3B" w14:textId="77777777" w:rsidR="000967AA" w:rsidRPr="00064BBA" w:rsidRDefault="000967AA" w:rsidP="000967AA">
      <w:pPr>
        <w:widowControl w:val="0"/>
        <w:bidi/>
        <w:rPr>
          <w:sz w:val="22"/>
          <w:szCs w:val="22"/>
          <w:vertAlign w:val="superscript"/>
          <w:lang w:val="en-US"/>
        </w:rPr>
      </w:pPr>
    </w:p>
    <w:p w14:paraId="656ED476" w14:textId="77777777" w:rsidR="00D2031E" w:rsidRPr="000967AA" w:rsidRDefault="00D2031E" w:rsidP="00D2031E">
      <w:pPr>
        <w:pStyle w:val="Heading1"/>
        <w:bidi/>
        <w:rPr>
          <w:sz w:val="30"/>
          <w:szCs w:val="26"/>
          <w:rtl/>
          <w:lang w:eastAsia="ar" w:bidi="ar-EG"/>
        </w:rPr>
      </w:pPr>
      <w:bookmarkStart w:id="0" w:name="_Hlk182338250"/>
      <w:r w:rsidRPr="000967AA">
        <w:rPr>
          <w:sz w:val="30"/>
          <w:szCs w:val="26"/>
          <w:rtl/>
          <w:lang w:eastAsia="ar" w:bidi="ar-EG"/>
        </w:rPr>
        <w:t xml:space="preserve">يتم إعادة الأرصدة من برنامج المساعدة على الامتثال لعام 2024 في الاجتماع </w:t>
      </w:r>
      <w:r w:rsidRPr="0047065F">
        <w:rPr>
          <w:sz w:val="30"/>
          <w:szCs w:val="26"/>
          <w:rtl/>
          <w:lang w:eastAsia="ar" w:bidi="ar-EG"/>
        </w:rPr>
        <w:t>السابع</w:t>
      </w:r>
      <w:r w:rsidRPr="000967AA">
        <w:rPr>
          <w:sz w:val="30"/>
          <w:szCs w:val="26"/>
          <w:rtl/>
          <w:lang w:eastAsia="ar" w:bidi="ar-EG"/>
        </w:rPr>
        <w:t xml:space="preserve"> والتسعين بمبلغ </w:t>
      </w:r>
      <w:bookmarkEnd w:id="0"/>
      <w:r w:rsidRPr="000967AA">
        <w:rPr>
          <w:sz w:val="30"/>
          <w:szCs w:val="26"/>
          <w:rtl/>
          <w:lang w:eastAsia="ar" w:bidi="ar-EG"/>
        </w:rPr>
        <w:t xml:space="preserve"> 1,336,306 دولار أمريكي بالإضافة إلى تكاليف دعم الوكالة البالغة 106,904 دولار أمريكي. وتتعلق معظم الأرصدة التي يتم إرجاعها ببنود الموظفين للوظائف التي كانت شاغرة لجزء من السنة أو كلها.</w:t>
      </w:r>
    </w:p>
    <w:p w14:paraId="1985B5C1" w14:textId="77777777" w:rsidR="00B543EE" w:rsidRDefault="00B543EE" w:rsidP="00B543EE">
      <w:pPr>
        <w:bidi/>
        <w:rPr>
          <w:rtl/>
          <w:lang w:eastAsia="ar" w:bidi="ar-EG"/>
        </w:rPr>
      </w:pPr>
    </w:p>
    <w:p w14:paraId="74796B71" w14:textId="77777777" w:rsidR="00B543EE" w:rsidRPr="00B543EE" w:rsidRDefault="00B543EE" w:rsidP="00B543EE">
      <w:pPr>
        <w:bidi/>
        <w:rPr>
          <w:lang w:eastAsia="ar" w:bidi="ar-EG"/>
        </w:rPr>
      </w:pPr>
    </w:p>
    <w:p w14:paraId="67D9A129" w14:textId="77777777" w:rsidR="00D2031E" w:rsidRPr="001920D1" w:rsidRDefault="00D2031E" w:rsidP="00D2031E">
      <w:pPr>
        <w:pStyle w:val="Heading1"/>
        <w:widowControl w:val="0"/>
        <w:numPr>
          <w:ilvl w:val="0"/>
          <w:numId w:val="0"/>
        </w:numPr>
        <w:bidi/>
        <w:jc w:val="center"/>
        <w:rPr>
          <w:b/>
          <w:sz w:val="26"/>
          <w:szCs w:val="26"/>
        </w:rPr>
      </w:pPr>
      <w:r w:rsidRPr="001920D1">
        <w:rPr>
          <w:b/>
          <w:bCs/>
          <w:sz w:val="26"/>
          <w:szCs w:val="26"/>
          <w:rtl/>
          <w:lang w:eastAsia="ar" w:bidi="ar-EG"/>
        </w:rPr>
        <w:t>تعليقات وتوصيات الأمانة</w:t>
      </w:r>
    </w:p>
    <w:p w14:paraId="23088A1F" w14:textId="77777777" w:rsidR="00D2031E" w:rsidRPr="001920D1" w:rsidRDefault="00D2031E" w:rsidP="00D2031E">
      <w:pPr>
        <w:widowControl w:val="0"/>
        <w:bidi/>
        <w:spacing w:after="240"/>
        <w:jc w:val="left"/>
        <w:rPr>
          <w:sz w:val="26"/>
          <w:szCs w:val="26"/>
          <w:lang w:val="en-US"/>
        </w:rPr>
      </w:pPr>
      <w:r w:rsidRPr="001920D1">
        <w:rPr>
          <w:b/>
          <w:bCs/>
          <w:sz w:val="26"/>
          <w:szCs w:val="26"/>
          <w:rtl/>
          <w:lang w:eastAsia="ar" w:bidi="ar-EG"/>
        </w:rPr>
        <w:t>التعليقات</w:t>
      </w:r>
    </w:p>
    <w:p w14:paraId="19A79424" w14:textId="6E64C127" w:rsidR="00D2031E" w:rsidRPr="00D2031E" w:rsidRDefault="00D2031E" w:rsidP="00D2031E">
      <w:pPr>
        <w:pStyle w:val="Heading1"/>
        <w:bidi/>
        <w:rPr>
          <w:sz w:val="30"/>
          <w:szCs w:val="26"/>
        </w:rPr>
      </w:pPr>
      <w:r w:rsidRPr="00D2031E">
        <w:rPr>
          <w:sz w:val="30"/>
          <w:szCs w:val="26"/>
          <w:rtl/>
          <w:lang w:eastAsia="ar" w:bidi="ar-EG"/>
        </w:rPr>
        <w:t xml:space="preserve">استعرضت </w:t>
      </w:r>
      <w:r w:rsidR="00B543EE">
        <w:rPr>
          <w:rFonts w:hint="cs"/>
          <w:sz w:val="30"/>
          <w:szCs w:val="26"/>
          <w:rtl/>
          <w:lang w:eastAsia="ar" w:bidi="ar-EG"/>
        </w:rPr>
        <w:t>الأمانة</w:t>
      </w:r>
      <w:r w:rsidRPr="00D2031E">
        <w:rPr>
          <w:sz w:val="30"/>
          <w:szCs w:val="26"/>
          <w:rtl/>
          <w:lang w:eastAsia="ar" w:bidi="ar-EG"/>
        </w:rPr>
        <w:t xml:space="preserve"> مشروع ميزانية عملية برنامج المساعدة على الامتثال والتغييرات في البرنامج و</w:t>
      </w:r>
      <w:r>
        <w:rPr>
          <w:rFonts w:hint="cs"/>
          <w:sz w:val="30"/>
          <w:szCs w:val="26"/>
          <w:rtl/>
          <w:lang w:eastAsia="ar" w:bidi="ar-EG"/>
        </w:rPr>
        <w:t>ملا</w:t>
      </w:r>
      <w:r w:rsidRPr="00D2031E">
        <w:rPr>
          <w:sz w:val="30"/>
          <w:szCs w:val="26"/>
          <w:rtl/>
          <w:lang w:eastAsia="ar" w:bidi="ar-EG"/>
        </w:rPr>
        <w:t xml:space="preserve">ك الموظفين تمشيا مع المقرر </w:t>
      </w:r>
      <w:r w:rsidR="00B543EE">
        <w:rPr>
          <w:rFonts w:hint="cs"/>
          <w:sz w:val="30"/>
          <w:szCs w:val="26"/>
          <w:rtl/>
          <w:lang w:eastAsia="ar" w:bidi="ar-EG"/>
        </w:rPr>
        <w:t>95/83(</w:t>
      </w:r>
      <w:r w:rsidRPr="00D2031E">
        <w:rPr>
          <w:sz w:val="30"/>
          <w:szCs w:val="26"/>
          <w:rtl/>
          <w:lang w:eastAsia="ar" w:bidi="ar-EG"/>
        </w:rPr>
        <w:t>ج</w:t>
      </w:r>
      <w:r w:rsidR="00B543EE">
        <w:rPr>
          <w:rFonts w:hint="cs"/>
          <w:sz w:val="30"/>
          <w:szCs w:val="26"/>
          <w:rtl/>
          <w:lang w:eastAsia="ar" w:bidi="ar-EG"/>
        </w:rPr>
        <w:t>)</w:t>
      </w:r>
      <w:r w:rsidRPr="00D2031E">
        <w:rPr>
          <w:sz w:val="30"/>
          <w:szCs w:val="26"/>
          <w:vertAlign w:val="superscript"/>
          <w:rtl/>
          <w:lang w:eastAsia="ar" w:bidi="ar-EG"/>
        </w:rPr>
        <w:footnoteReference w:id="8"/>
      </w:r>
      <w:r w:rsidRPr="00D2031E">
        <w:rPr>
          <w:sz w:val="30"/>
          <w:szCs w:val="26"/>
          <w:rtl/>
          <w:lang w:eastAsia="ar" w:bidi="ar-EG"/>
        </w:rPr>
        <w:t xml:space="preserve"> مع مراعاة الهيكل العام لعملية برنامج المساعدة على الامتثال وعملياتها وهيكلها ا</w:t>
      </w:r>
      <w:r w:rsidRPr="00D2031E">
        <w:rPr>
          <w:sz w:val="30"/>
          <w:szCs w:val="26"/>
          <w:lang w:eastAsia="ar" w:bidi="ar-EG"/>
        </w:rPr>
        <w:t>ﻹ</w:t>
      </w:r>
      <w:r w:rsidRPr="00D2031E">
        <w:rPr>
          <w:sz w:val="30"/>
          <w:szCs w:val="26"/>
          <w:rtl/>
          <w:lang w:eastAsia="ar" w:bidi="ar-EG"/>
        </w:rPr>
        <w:t>قليمي والمقررات ا</w:t>
      </w:r>
      <w:r w:rsidRPr="00D2031E">
        <w:rPr>
          <w:sz w:val="30"/>
          <w:szCs w:val="26"/>
          <w:lang w:eastAsia="ar" w:bidi="en-GB"/>
        </w:rPr>
        <w:t>ﻷ</w:t>
      </w:r>
      <w:r w:rsidRPr="00D2031E">
        <w:rPr>
          <w:sz w:val="30"/>
          <w:szCs w:val="26"/>
          <w:rtl/>
          <w:lang w:eastAsia="ar" w:bidi="ar-EG"/>
        </w:rPr>
        <w:t>خرى ذات الصلة.</w:t>
      </w:r>
    </w:p>
    <w:p w14:paraId="4CEAEA7D" w14:textId="12AC005F" w:rsidR="00D2031E" w:rsidRPr="00D2031E" w:rsidRDefault="00D2031E" w:rsidP="00D2031E">
      <w:pPr>
        <w:pStyle w:val="Heading1"/>
        <w:bidi/>
        <w:rPr>
          <w:sz w:val="30"/>
          <w:szCs w:val="26"/>
        </w:rPr>
      </w:pPr>
      <w:r w:rsidRPr="00D2031E">
        <w:rPr>
          <w:sz w:val="30"/>
          <w:szCs w:val="26"/>
          <w:rtl/>
          <w:lang w:eastAsia="ar" w:bidi="ar-EG"/>
        </w:rPr>
        <w:t xml:space="preserve">واستفسرت الأمانة عما إذا كان اليونيب قد نظر في إجراء مشاورات واسعة النطاق في عام 2026، وهي السنة الأخيرة من استراتيجية برنامج المساعدة على الامتثال للفترة 2024-2026، لإجراء استعراض شامل </w:t>
      </w:r>
      <w:r w:rsidRPr="00D2031E">
        <w:rPr>
          <w:sz w:val="30"/>
          <w:szCs w:val="26"/>
          <w:rtl/>
          <w:lang w:eastAsia="ar" w:bidi="ar-EG"/>
        </w:rPr>
        <w:lastRenderedPageBreak/>
        <w:t xml:space="preserve">للاستراتيجية الحالية أثناء وضع استراتيجية الفترة 2027-2029 مع الأنشطة المجددة. </w:t>
      </w:r>
      <w:r w:rsidR="00ED1B9D">
        <w:rPr>
          <w:rFonts w:hint="cs"/>
          <w:sz w:val="30"/>
          <w:szCs w:val="26"/>
          <w:rtl/>
          <w:lang w:eastAsia="ar" w:bidi="ar-EG"/>
        </w:rPr>
        <w:t>و</w:t>
      </w:r>
      <w:r w:rsidRPr="00D2031E">
        <w:rPr>
          <w:sz w:val="30"/>
          <w:szCs w:val="26"/>
          <w:rtl/>
          <w:lang w:eastAsia="ar" w:bidi="ar-EG"/>
        </w:rPr>
        <w:t xml:space="preserve">أشار اليونيب إلى أنه مع اقتراب استراتيجية برنامج المساعدة على الامتثال للفترة 2024-2026 من عامها الأخير، سيعقد برنامج عمل الأوزون التابع لليونيب في عام 2026 مشاورات مع أصحاب المصلحة الرئيسيين للحصول على مدخلاتهم حول كيفية تلبية احتياجات البلدان العاملة بموجب المادة 5 بشكل أفضل، والتفكير في الدروس المستفادة والنهج المبتكرة. </w:t>
      </w:r>
    </w:p>
    <w:p w14:paraId="6B32AD33" w14:textId="77777777" w:rsidR="00D2031E" w:rsidRPr="00D2031E" w:rsidRDefault="00D2031E" w:rsidP="00D2031E">
      <w:pPr>
        <w:pStyle w:val="Heading1"/>
        <w:bidi/>
        <w:rPr>
          <w:sz w:val="30"/>
          <w:szCs w:val="26"/>
        </w:rPr>
      </w:pPr>
      <w:r w:rsidRPr="00D2031E">
        <w:rPr>
          <w:sz w:val="30"/>
          <w:szCs w:val="26"/>
          <w:rtl/>
          <w:lang w:eastAsia="ar" w:bidi="ar-EG"/>
        </w:rPr>
        <w:t>ولدى استعراض المقترح، لاحظت الأمانة أن نشاط تطوير وتجربة دورة تدريبية قصيرة للمنظمات غير الحكومية الوطنية بشأن المشاركة الفعالة والمفاوضات في اجتماعات بروتوكول مونتريال والصندوق المتعدد الأطراف، المدرجة في خطة عمل عام 2025، قد أُدرجت مرة أخرى في خطة عمل عام 2026. وأوضح اليونيب أنه مع وصول مدير بناء القدرة في برنامج عمل الأوزون في فبراير/شباط 2025، تم إعداد المواد التدريبية، ومن المقرر أن يتم التدريب التجريبي في عام 2026. وأضيف أن بعض المناطق والبلدان أعربت عن اهتمامها بالتدريب التجريبي.</w:t>
      </w:r>
    </w:p>
    <w:p w14:paraId="122B7E08" w14:textId="77777777" w:rsidR="00D2031E" w:rsidRPr="00D2031E" w:rsidRDefault="00D2031E" w:rsidP="00D2031E">
      <w:pPr>
        <w:pStyle w:val="Heading1"/>
        <w:bidi/>
        <w:rPr>
          <w:sz w:val="30"/>
          <w:szCs w:val="26"/>
        </w:rPr>
      </w:pPr>
      <w:r w:rsidRPr="00D2031E">
        <w:rPr>
          <w:sz w:val="30"/>
          <w:szCs w:val="26"/>
          <w:rtl/>
          <w:lang w:eastAsia="ar" w:bidi="ar-EG"/>
        </w:rPr>
        <w:t>ورداً على سؤال الأمانة عن الكيفية التي يقدم بها برنامج المساعدة على الامتثال الدعم لتعزيز جمع البيانات وتحليلها، أشار اليونيب إلى أن موثوقية البيانات كانت بنداً متكرراً في جدول أعمال اجتماعات الشبكة الإقليمية. وقد أدى دعم البلدان في إجراء الدراسات الاستقصائية بشأن بدائل المواد المستنفدة للأوزون وتلك اللازمة لإعداد خطط التنفيذ المتعلقة بالمواد الهيدروفلوروكربونية بموجب تعديل كيغالي إلى تعزيز دقة البيانات. وقد تم إعداد مواد إرشادية حول منهجيات جمع البيانات وتحليلها، وكذلك الاستبيانات الموحدة، وتم تعميمها على البلدان من خلال الشبكات. قام برنامج عمل الأوزون بتطوير مجموعة أدوات لإعداد خطط التنفيذ المتعلقة بالمواد الهيدروفلوروكربونية بموجب تعديل كيغالي تتضمن قائمة مرجعية لدعم الخبراء ووحدات الأوزون الوطنية في جمع البيانات. ولتعزيز قدرات جمع البيانات وتحليلها، شارك خبراء وطنيون وإقليميون أيضاً في جلسات مخصصة لبناء القدرة. قام برنامج المساعدة على الامتثال بتجميع تقرير يلخص الأنشطة المتضمنة في خطط التنفيذ المتعلقة بالمواد الهيدروفلوروكربونية بموجب تعديل كيغالي المقدمة وسيستمر تحديثه مع الموافقة على المزيد من خطط تنفيذ المشروعات. وبالإضافة إلى ذلك، يدعم اليونيب وحدات الأوزون الوطنية من خلال تنفيذ مشروعات التعزيز المؤسسي، والتدريب المخصص للمكاتب الوطنية الجديدة، كما يتم تقديم المساعدة التقنية المخصصة لتلبية الاحتياجات الخاصة بكل بلد، بما في ذلك التوفيق بين البيانات من مصادر مختلفة لإنتاج مجموعة واحدة ودقيقة من البيانات للإبلاغ.</w:t>
      </w:r>
    </w:p>
    <w:p w14:paraId="298EC02A" w14:textId="77777777" w:rsidR="00D2031E" w:rsidRPr="00D2031E" w:rsidRDefault="00D2031E" w:rsidP="00D2031E">
      <w:pPr>
        <w:pStyle w:val="Heading1"/>
        <w:bidi/>
        <w:rPr>
          <w:sz w:val="30"/>
          <w:szCs w:val="26"/>
        </w:rPr>
      </w:pPr>
      <w:r w:rsidRPr="00D2031E">
        <w:rPr>
          <w:sz w:val="30"/>
          <w:szCs w:val="26"/>
          <w:rtl/>
          <w:lang w:eastAsia="ar" w:bidi="ar-EG"/>
        </w:rPr>
        <w:t xml:space="preserve">ورداً على استفسار الأمانة عن كيفية دعم برنامج المساعدة على الامتثال لوحدات الأوزون الوطنية المهتمة بتحديث أطرها القانونية الوطنية لبروتوكول مونتريال وتقديم الدعم الاستشاري لصياغة أو تعديل القوانين واللوائح، أشار اليونيب إلى أن برنامج عمل الأوزون يشترك مع برنامج مونتفيديو للقانون البيئي التابع لشعبة القانون البيئي في اليونيب لتقديم الدعم القانوني المتخصص للبلدان العاملة بموجب المادة 5. ويضم فريق برنامج تقييم النظم الإيكولوجية والتكيف الهيدروليكي خبراء في القانون البيئي الذين يقومون، بالاشتراك مع الخبرة الفنية للفرق الإقليمية التابعة لبرنامج المساعدة على الامتثال لبروتوكول مونتريال، بدعم وحدات الأوزون الوطنية في صياغة وتعديل الأطر القانونية والتنظيمية اللازمة للامتثال لبروتوكول مونتريال وتنفيذه. </w:t>
      </w:r>
    </w:p>
    <w:p w14:paraId="646EDB21" w14:textId="77777777" w:rsidR="00D2031E" w:rsidRPr="00D2031E" w:rsidRDefault="00D2031E" w:rsidP="00D2031E">
      <w:pPr>
        <w:pStyle w:val="Heading1"/>
        <w:bidi/>
        <w:rPr>
          <w:sz w:val="30"/>
          <w:szCs w:val="26"/>
        </w:rPr>
      </w:pPr>
      <w:r w:rsidRPr="00D2031E">
        <w:rPr>
          <w:sz w:val="30"/>
          <w:szCs w:val="26"/>
          <w:rtl/>
          <w:lang w:eastAsia="ar" w:bidi="ar-EG"/>
        </w:rPr>
        <w:t>واستفسرت الأمانة أيضاً عن حالة مشروع استراتيجية الاتصال العالمية لدعم الامتثال لبروتوكول مونتريال وتعديل كيغالي. وأشار اليونيب إلى أنه قد تم تطويره خلال عام 2025 ويجري تعديله بعد المشاورات التي أجريت. من المتوقع أن يتم الانتهاء منه بحلول نهاية عام 2025.</w:t>
      </w:r>
    </w:p>
    <w:p w14:paraId="0BD972F5" w14:textId="77777777" w:rsidR="00D2031E" w:rsidRPr="00D2031E" w:rsidRDefault="00D2031E" w:rsidP="00D2031E">
      <w:pPr>
        <w:pStyle w:val="Heading1"/>
        <w:bidi/>
        <w:rPr>
          <w:sz w:val="30"/>
          <w:szCs w:val="26"/>
        </w:rPr>
      </w:pPr>
      <w:r w:rsidRPr="00D2031E">
        <w:rPr>
          <w:sz w:val="30"/>
          <w:szCs w:val="26"/>
          <w:rtl/>
          <w:lang w:eastAsia="ar" w:bidi="ar-EG"/>
        </w:rPr>
        <w:t xml:space="preserve">فيما يتعلق بالميزانية المقترحة لعام 2026، استفسرت الأمانة العامة عن الوظائف غير المربوطة. وأوضح اليونيب أن هناك ست وظائف، منها ثلاث وظائف في مرحلة متقدمة من عملية التوظيف، ومن المتوقع أن تكتمل جميع العمليات الداخلية بحلول الأسابيع الأولى من شهر ديسمبر/كانون الأول، وأن التوظيف للوظائف الثلاث الأخرى قد بدأ ولا يزال جارياً. </w:t>
      </w:r>
    </w:p>
    <w:p w14:paraId="301BDF0C" w14:textId="77777777" w:rsidR="00D2031E" w:rsidRPr="00D2031E" w:rsidRDefault="00D2031E" w:rsidP="00D2031E">
      <w:pPr>
        <w:pStyle w:val="Heading1"/>
        <w:bidi/>
        <w:rPr>
          <w:sz w:val="30"/>
          <w:szCs w:val="26"/>
        </w:rPr>
      </w:pPr>
      <w:r w:rsidRPr="00D2031E">
        <w:rPr>
          <w:sz w:val="30"/>
          <w:szCs w:val="26"/>
          <w:rtl/>
          <w:lang w:eastAsia="ar" w:bidi="ar-EG"/>
        </w:rPr>
        <w:t xml:space="preserve">عند استعراض ميزانية برنامج المساعدة على الامتثال المقترحة لعام 2026 مقارنة بالميزانية المعتمدة لعام 2025، لاحظت الأمانة أن التمويل الإضافي المدرج في عام 2025 لإشراك خبراء الكفاءة في استخدام الطاقة لدعم البلدان العاملة بموجب المادة 5 لم يتم إدراجه في مقترح عام 2026. ولذلك طلبت الأمانة العامة تقريراً عن النتائج التي تحققت بالأموال الإضافية (150,000 دولار أمريكي) التي تمت الموافقة عليها في ميزانية عام 2025 تحت بند الخدمات </w:t>
      </w:r>
      <w:r w:rsidRPr="00D2031E">
        <w:rPr>
          <w:sz w:val="30"/>
          <w:szCs w:val="26"/>
          <w:rtl/>
          <w:lang w:eastAsia="ar" w:bidi="ar-EG"/>
        </w:rPr>
        <w:lastRenderedPageBreak/>
        <w:t xml:space="preserve">العالمية. وأشار اليونيب إلى أن التمويل لم يخصص بعد للدعم المركزي أو الإقليمي لمشروعات الكفاءة في استخدام الطاقة بسبب اعتبارات برنامجية أخرى، وأن المشاورات مع أفرقة برنامج المساعدة على الامتثال الإقليمية جارية بهدف الالتزام بالتمويل قبل الاجتماع السابع </w:t>
      </w:r>
      <w:r w:rsidRPr="00B543EE">
        <w:rPr>
          <w:sz w:val="30"/>
          <w:szCs w:val="26"/>
          <w:rtl/>
          <w:lang w:eastAsia="ar" w:bidi="ar-EG"/>
        </w:rPr>
        <w:t>والتسعين</w:t>
      </w:r>
      <w:r w:rsidRPr="00D2031E">
        <w:rPr>
          <w:sz w:val="30"/>
          <w:szCs w:val="26"/>
          <w:rtl/>
          <w:lang w:eastAsia="ar" w:bidi="ar-EG"/>
        </w:rPr>
        <w:t xml:space="preserve">. سيتم إعادة أي تمويل لم يتم الالتزام به بحلول نهاية عام 2025 إلى الصندوق متعدد الأطراف، وفقًا للممارسة المعتادة. يعرض الجدول 2 مقارنة بين ميزانية برنامج المساعدة على الامتثال المعتمدة لعام 2025 والميزانية المقترحة لعام 2026.  </w:t>
      </w:r>
    </w:p>
    <w:p w14:paraId="3848921F" w14:textId="77777777" w:rsidR="00D2031E" w:rsidRPr="001920D1" w:rsidRDefault="00D2031E" w:rsidP="00D2031E">
      <w:pPr>
        <w:pStyle w:val="Heading1"/>
        <w:keepNext/>
        <w:numPr>
          <w:ilvl w:val="0"/>
          <w:numId w:val="0"/>
        </w:numPr>
        <w:tabs>
          <w:tab w:val="left" w:pos="720"/>
        </w:tabs>
        <w:bidi/>
        <w:spacing w:after="0"/>
        <w:rPr>
          <w:b/>
          <w:sz w:val="26"/>
          <w:szCs w:val="26"/>
        </w:rPr>
      </w:pPr>
      <w:r w:rsidRPr="001920D1">
        <w:rPr>
          <w:b/>
          <w:bCs/>
          <w:sz w:val="26"/>
          <w:szCs w:val="26"/>
          <w:rtl/>
          <w:lang w:eastAsia="ar" w:bidi="ar-EG"/>
        </w:rPr>
        <w:t>الجدول 2: مقارنة ميزانية برنامج المساعدة على الامتثال الموافق عليها لعام 2025 والميزانية المقترحة لعام 2026 (بالدولار الأمريكي)</w:t>
      </w:r>
    </w:p>
    <w:tbl>
      <w:tblPr>
        <w:bidiVisual/>
        <w:tblW w:w="4997" w:type="pct"/>
        <w:tblLook w:val="04A0" w:firstRow="1" w:lastRow="0" w:firstColumn="1" w:lastColumn="0" w:noHBand="0" w:noVBand="1"/>
      </w:tblPr>
      <w:tblGrid>
        <w:gridCol w:w="3401"/>
        <w:gridCol w:w="1562"/>
        <w:gridCol w:w="1460"/>
        <w:gridCol w:w="1460"/>
        <w:gridCol w:w="1461"/>
      </w:tblGrid>
      <w:tr w:rsidR="00D2031E" w:rsidRPr="00D2031E" w14:paraId="2AECCEA8" w14:textId="77777777" w:rsidTr="00832008">
        <w:trPr>
          <w:tblHeader/>
        </w:trPr>
        <w:tc>
          <w:tcPr>
            <w:tcW w:w="1820" w:type="pct"/>
            <w:tcBorders>
              <w:top w:val="single" w:sz="4" w:space="0" w:color="auto"/>
              <w:left w:val="single" w:sz="4" w:space="0" w:color="auto"/>
              <w:bottom w:val="single" w:sz="4" w:space="0" w:color="auto"/>
              <w:right w:val="single" w:sz="4" w:space="0" w:color="auto"/>
            </w:tcBorders>
            <w:noWrap/>
            <w:vAlign w:val="center"/>
            <w:hideMark/>
          </w:tcPr>
          <w:p w14:paraId="531A8308" w14:textId="77777777" w:rsidR="00D2031E" w:rsidRPr="00D2031E" w:rsidRDefault="00D2031E" w:rsidP="00132E83">
            <w:pPr>
              <w:keepNext/>
              <w:bidi/>
              <w:jc w:val="left"/>
              <w:rPr>
                <w:b/>
                <w:color w:val="000000"/>
                <w:sz w:val="20"/>
                <w:lang w:eastAsia="en-CA"/>
              </w:rPr>
            </w:pPr>
            <w:r w:rsidRPr="00D2031E">
              <w:rPr>
                <w:b/>
                <w:bCs/>
                <w:color w:val="000000"/>
                <w:sz w:val="20"/>
                <w:rtl/>
                <w:lang w:eastAsia="ar" w:bidi="ar-EG"/>
              </w:rPr>
              <w:t>بند الميزانية</w:t>
            </w:r>
          </w:p>
        </w:tc>
        <w:tc>
          <w:tcPr>
            <w:tcW w:w="836"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3B21A698" w14:textId="359AFAE9" w:rsidR="00D2031E" w:rsidRPr="00D2031E" w:rsidRDefault="00D2031E" w:rsidP="00D2031E">
            <w:pPr>
              <w:keepNext/>
              <w:bidi/>
              <w:jc w:val="left"/>
              <w:rPr>
                <w:b/>
                <w:color w:val="000000"/>
                <w:sz w:val="20"/>
                <w:lang w:eastAsia="en-CA"/>
              </w:rPr>
            </w:pPr>
            <w:r w:rsidRPr="00D2031E">
              <w:rPr>
                <w:b/>
                <w:bCs/>
                <w:color w:val="000000"/>
                <w:sz w:val="20"/>
                <w:rtl/>
                <w:lang w:eastAsia="ar" w:bidi="ar-EG"/>
              </w:rPr>
              <w:t>الموافق عليه في 2025</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1500E326" w14:textId="23E9F0DC" w:rsidR="00D2031E" w:rsidRPr="00D2031E" w:rsidRDefault="00D2031E" w:rsidP="00D2031E">
            <w:pPr>
              <w:keepNext/>
              <w:bidi/>
              <w:jc w:val="left"/>
              <w:rPr>
                <w:b/>
                <w:color w:val="000000"/>
                <w:sz w:val="20"/>
                <w:lang w:eastAsia="en-CA"/>
              </w:rPr>
            </w:pPr>
            <w:r w:rsidRPr="00D2031E">
              <w:rPr>
                <w:b/>
                <w:bCs/>
                <w:color w:val="000000"/>
                <w:sz w:val="20"/>
                <w:rtl/>
                <w:lang w:eastAsia="ar" w:bidi="ar-EG"/>
              </w:rPr>
              <w:t>المقترح في 2026</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E16D8AF" w14:textId="77777777" w:rsidR="00D2031E" w:rsidRPr="00D2031E" w:rsidRDefault="00D2031E" w:rsidP="00D2031E">
            <w:pPr>
              <w:keepNext/>
              <w:bidi/>
              <w:jc w:val="left"/>
              <w:rPr>
                <w:b/>
                <w:color w:val="000000"/>
                <w:sz w:val="20"/>
                <w:lang w:eastAsia="en-CA"/>
              </w:rPr>
            </w:pPr>
            <w:r w:rsidRPr="00D2031E">
              <w:rPr>
                <w:b/>
                <w:bCs/>
                <w:color w:val="000000"/>
                <w:sz w:val="20"/>
                <w:rtl/>
                <w:lang w:eastAsia="ar" w:bidi="ar-EG"/>
              </w:rPr>
              <w:t xml:space="preserve">الفرق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D838E0A" w14:textId="77777777" w:rsidR="00D2031E" w:rsidRPr="00D2031E" w:rsidRDefault="00D2031E" w:rsidP="00132E83">
            <w:pPr>
              <w:keepNext/>
              <w:bidi/>
              <w:jc w:val="center"/>
              <w:rPr>
                <w:b/>
                <w:color w:val="000000"/>
                <w:sz w:val="20"/>
                <w:lang w:eastAsia="en-CA"/>
              </w:rPr>
            </w:pPr>
            <w:r w:rsidRPr="00D2031E">
              <w:rPr>
                <w:b/>
                <w:bCs/>
                <w:color w:val="000000"/>
                <w:sz w:val="20"/>
                <w:rtl/>
                <w:lang w:eastAsia="ar" w:bidi="ar-EG"/>
              </w:rPr>
              <w:t xml:space="preserve">التغيير(%) </w:t>
            </w:r>
          </w:p>
        </w:tc>
      </w:tr>
      <w:tr w:rsidR="00D2031E" w:rsidRPr="00D2031E" w14:paraId="1FE4F769" w14:textId="77777777" w:rsidTr="00832008">
        <w:trPr>
          <w:trHeight w:val="70"/>
        </w:trPr>
        <w:tc>
          <w:tcPr>
            <w:tcW w:w="1820" w:type="pct"/>
            <w:tcBorders>
              <w:top w:val="nil"/>
              <w:left w:val="single" w:sz="4" w:space="0" w:color="auto"/>
              <w:bottom w:val="single" w:sz="4" w:space="0" w:color="auto"/>
              <w:right w:val="single" w:sz="4" w:space="0" w:color="auto"/>
            </w:tcBorders>
            <w:hideMark/>
          </w:tcPr>
          <w:p w14:paraId="59C0BF46" w14:textId="77777777" w:rsidR="00D2031E" w:rsidRPr="00D2031E" w:rsidRDefault="00D2031E" w:rsidP="00132E83">
            <w:pPr>
              <w:bidi/>
              <w:jc w:val="left"/>
              <w:rPr>
                <w:color w:val="000000"/>
                <w:sz w:val="20"/>
                <w:lang w:eastAsia="en-CA"/>
              </w:rPr>
            </w:pPr>
            <w:r w:rsidRPr="00D2031E">
              <w:rPr>
                <w:color w:val="000000"/>
                <w:sz w:val="20"/>
                <w:rtl/>
                <w:lang w:eastAsia="ar" w:bidi="ar-EG"/>
              </w:rPr>
              <w:t>1100 (الموظفون)</w:t>
            </w:r>
          </w:p>
        </w:tc>
        <w:tc>
          <w:tcPr>
            <w:tcW w:w="83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276BBC4" w14:textId="77777777" w:rsidR="00D2031E" w:rsidRPr="00D2031E" w:rsidRDefault="00D2031E" w:rsidP="00D2031E">
            <w:pPr>
              <w:bidi/>
              <w:jc w:val="left"/>
              <w:rPr>
                <w:color w:val="000000"/>
                <w:sz w:val="20"/>
                <w:lang w:eastAsia="en-CA"/>
              </w:rPr>
            </w:pPr>
            <w:r w:rsidRPr="00D2031E">
              <w:rPr>
                <w:color w:val="000000"/>
                <w:sz w:val="20"/>
                <w:rtl/>
                <w:lang w:eastAsia="ar" w:bidi="ar-EG"/>
              </w:rPr>
              <w:t>7,854,531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00E3827" w14:textId="77777777" w:rsidR="00D2031E" w:rsidRPr="00D2031E" w:rsidRDefault="00D2031E" w:rsidP="00D2031E">
            <w:pPr>
              <w:bidi/>
              <w:jc w:val="left"/>
              <w:rPr>
                <w:color w:val="000000"/>
                <w:sz w:val="20"/>
                <w:lang w:eastAsia="en-CA"/>
              </w:rPr>
            </w:pPr>
            <w:r w:rsidRPr="00D2031E">
              <w:rPr>
                <w:color w:val="000000"/>
                <w:sz w:val="20"/>
                <w:rtl/>
                <w:lang w:eastAsia="ar" w:bidi="ar-EG"/>
              </w:rPr>
              <w:t>8,090,167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C8D03DD" w14:textId="77777777" w:rsidR="00D2031E" w:rsidRPr="00D2031E" w:rsidRDefault="00D2031E" w:rsidP="00D2031E">
            <w:pPr>
              <w:bidi/>
              <w:jc w:val="left"/>
              <w:rPr>
                <w:color w:val="000000"/>
                <w:sz w:val="20"/>
                <w:lang w:eastAsia="en-CA"/>
              </w:rPr>
            </w:pPr>
            <w:r w:rsidRPr="00D2031E">
              <w:rPr>
                <w:color w:val="000000"/>
                <w:sz w:val="20"/>
                <w:rtl/>
                <w:lang w:eastAsia="ar" w:bidi="ar-EG"/>
              </w:rPr>
              <w:t>235,636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8DA0B01" w14:textId="77777777" w:rsidR="00D2031E" w:rsidRPr="00D2031E" w:rsidRDefault="00D2031E" w:rsidP="00D2031E">
            <w:pPr>
              <w:bidi/>
              <w:jc w:val="left"/>
              <w:rPr>
                <w:color w:val="000000"/>
                <w:sz w:val="20"/>
                <w:lang w:eastAsia="en-CA"/>
              </w:rPr>
            </w:pPr>
            <w:r w:rsidRPr="00D2031E">
              <w:rPr>
                <w:color w:val="000000"/>
                <w:sz w:val="20"/>
                <w:rtl/>
                <w:lang w:eastAsia="ar" w:bidi="ar-EG"/>
              </w:rPr>
              <w:t>3.00</w:t>
            </w:r>
          </w:p>
        </w:tc>
      </w:tr>
      <w:tr w:rsidR="00D2031E" w:rsidRPr="00D2031E" w14:paraId="5E202469" w14:textId="77777777" w:rsidTr="00832008">
        <w:tc>
          <w:tcPr>
            <w:tcW w:w="1820" w:type="pct"/>
            <w:tcBorders>
              <w:top w:val="nil"/>
              <w:left w:val="single" w:sz="4" w:space="0" w:color="auto"/>
              <w:bottom w:val="single" w:sz="4" w:space="0" w:color="auto"/>
              <w:right w:val="single" w:sz="4" w:space="0" w:color="auto"/>
            </w:tcBorders>
            <w:hideMark/>
          </w:tcPr>
          <w:p w14:paraId="2DF44D04" w14:textId="77777777" w:rsidR="00D2031E" w:rsidRPr="00D2031E" w:rsidRDefault="00D2031E" w:rsidP="00132E83">
            <w:pPr>
              <w:bidi/>
              <w:jc w:val="left"/>
              <w:rPr>
                <w:color w:val="000000"/>
                <w:sz w:val="20"/>
                <w:lang w:eastAsia="en-CA"/>
              </w:rPr>
            </w:pPr>
            <w:r w:rsidRPr="00D2031E">
              <w:rPr>
                <w:color w:val="000000"/>
                <w:sz w:val="20"/>
                <w:rtl/>
                <w:lang w:eastAsia="ar" w:bidi="ar-EG"/>
              </w:rPr>
              <w:t>1600 (السفر)</w:t>
            </w:r>
          </w:p>
        </w:tc>
        <w:tc>
          <w:tcPr>
            <w:tcW w:w="83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03B4C14" w14:textId="77777777" w:rsidR="00D2031E" w:rsidRPr="00D2031E" w:rsidRDefault="00D2031E" w:rsidP="00D2031E">
            <w:pPr>
              <w:bidi/>
              <w:jc w:val="left"/>
              <w:rPr>
                <w:color w:val="000000"/>
                <w:sz w:val="20"/>
                <w:lang w:eastAsia="en-CA"/>
              </w:rPr>
            </w:pPr>
            <w:r w:rsidRPr="00D2031E">
              <w:rPr>
                <w:color w:val="000000"/>
                <w:sz w:val="20"/>
                <w:rtl/>
                <w:lang w:eastAsia="ar" w:bidi="ar-EG"/>
              </w:rPr>
              <w:t>575,400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DE24287" w14:textId="77777777" w:rsidR="00D2031E" w:rsidRPr="00D2031E" w:rsidRDefault="00D2031E" w:rsidP="00D2031E">
            <w:pPr>
              <w:bidi/>
              <w:jc w:val="left"/>
              <w:rPr>
                <w:bCs/>
                <w:sz w:val="20"/>
              </w:rPr>
            </w:pPr>
            <w:r w:rsidRPr="00D2031E">
              <w:rPr>
                <w:color w:val="000000"/>
                <w:sz w:val="20"/>
                <w:rtl/>
                <w:lang w:eastAsia="ar" w:bidi="ar-EG"/>
              </w:rPr>
              <w:t>571,400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C1F15C6" w14:textId="77777777" w:rsidR="00D2031E" w:rsidRPr="00D2031E" w:rsidRDefault="00D2031E" w:rsidP="00D2031E">
            <w:pPr>
              <w:bidi/>
              <w:jc w:val="left"/>
              <w:rPr>
                <w:color w:val="000000"/>
                <w:sz w:val="20"/>
                <w:lang w:eastAsia="en-CA"/>
              </w:rPr>
            </w:pPr>
            <w:r w:rsidRPr="00D2031E">
              <w:rPr>
                <w:color w:val="000000"/>
                <w:sz w:val="20"/>
                <w:rtl/>
                <w:lang w:eastAsia="ar" w:bidi="ar-EG"/>
              </w:rPr>
              <w:t>(4,000)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F9339E0" w14:textId="77777777" w:rsidR="00D2031E" w:rsidRPr="00D2031E" w:rsidRDefault="00D2031E" w:rsidP="00D2031E">
            <w:pPr>
              <w:bidi/>
              <w:jc w:val="left"/>
              <w:rPr>
                <w:color w:val="000000"/>
                <w:sz w:val="20"/>
                <w:lang w:eastAsia="en-CA"/>
              </w:rPr>
            </w:pPr>
            <w:r w:rsidRPr="00D2031E">
              <w:rPr>
                <w:color w:val="000000"/>
                <w:sz w:val="20"/>
                <w:rtl/>
                <w:lang w:eastAsia="ar" w:bidi="ar-EG"/>
              </w:rPr>
              <w:t>(0.70)</w:t>
            </w:r>
          </w:p>
        </w:tc>
      </w:tr>
      <w:tr w:rsidR="00D2031E" w:rsidRPr="00D2031E" w14:paraId="743FE643" w14:textId="77777777" w:rsidTr="00832008">
        <w:tc>
          <w:tcPr>
            <w:tcW w:w="1820" w:type="pct"/>
            <w:tcBorders>
              <w:top w:val="nil"/>
              <w:left w:val="single" w:sz="4" w:space="0" w:color="auto"/>
              <w:bottom w:val="single" w:sz="4" w:space="0" w:color="auto"/>
              <w:right w:val="single" w:sz="4" w:space="0" w:color="auto"/>
            </w:tcBorders>
            <w:hideMark/>
          </w:tcPr>
          <w:p w14:paraId="1221A86A" w14:textId="77777777" w:rsidR="00D2031E" w:rsidRPr="00D2031E" w:rsidRDefault="00D2031E" w:rsidP="00132E83">
            <w:pPr>
              <w:bidi/>
              <w:jc w:val="left"/>
              <w:rPr>
                <w:color w:val="000000"/>
                <w:sz w:val="20"/>
                <w:lang w:eastAsia="en-CA"/>
              </w:rPr>
            </w:pPr>
            <w:r w:rsidRPr="00D2031E">
              <w:rPr>
                <w:color w:val="000000"/>
                <w:sz w:val="20"/>
                <w:rtl/>
                <w:lang w:eastAsia="ar" w:bidi="ar-EG"/>
              </w:rPr>
              <w:t>2030 (الأنشطة الإقليمية)</w:t>
            </w:r>
          </w:p>
        </w:tc>
        <w:tc>
          <w:tcPr>
            <w:tcW w:w="83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0469CF0" w14:textId="77777777" w:rsidR="00D2031E" w:rsidRPr="00D2031E" w:rsidRDefault="00D2031E" w:rsidP="00D2031E">
            <w:pPr>
              <w:bidi/>
              <w:jc w:val="left"/>
              <w:rPr>
                <w:color w:val="000000"/>
                <w:sz w:val="20"/>
                <w:lang w:eastAsia="en-CA"/>
              </w:rPr>
            </w:pPr>
            <w:r w:rsidRPr="00D2031E">
              <w:rPr>
                <w:color w:val="000000"/>
                <w:sz w:val="20"/>
                <w:rtl/>
                <w:lang w:eastAsia="ar" w:bidi="ar-EG"/>
              </w:rPr>
              <w:t>1,316,400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FFF6008" w14:textId="77777777" w:rsidR="00D2031E" w:rsidRPr="00D2031E" w:rsidRDefault="00D2031E" w:rsidP="00D2031E">
            <w:pPr>
              <w:bidi/>
              <w:jc w:val="left"/>
              <w:rPr>
                <w:color w:val="000000"/>
                <w:sz w:val="20"/>
                <w:lang w:eastAsia="en-CA"/>
              </w:rPr>
            </w:pPr>
            <w:r w:rsidRPr="00D2031E">
              <w:rPr>
                <w:color w:val="000000"/>
                <w:sz w:val="20"/>
                <w:rtl/>
                <w:lang w:eastAsia="ar" w:bidi="ar-EG"/>
              </w:rPr>
              <w:t>1,320,400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313D944" w14:textId="77777777" w:rsidR="00D2031E" w:rsidRPr="00D2031E" w:rsidRDefault="00D2031E" w:rsidP="00D2031E">
            <w:pPr>
              <w:bidi/>
              <w:jc w:val="left"/>
              <w:rPr>
                <w:color w:val="000000"/>
                <w:sz w:val="20"/>
                <w:lang w:eastAsia="en-CA"/>
              </w:rPr>
            </w:pPr>
            <w:r w:rsidRPr="00D2031E">
              <w:rPr>
                <w:color w:val="000000"/>
                <w:sz w:val="20"/>
                <w:rtl/>
                <w:lang w:eastAsia="ar" w:bidi="ar-EG"/>
              </w:rPr>
              <w:t>4,000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B82CEAF" w14:textId="77777777" w:rsidR="00D2031E" w:rsidRPr="00D2031E" w:rsidRDefault="00D2031E" w:rsidP="00D2031E">
            <w:pPr>
              <w:bidi/>
              <w:jc w:val="left"/>
              <w:rPr>
                <w:color w:val="000000"/>
                <w:sz w:val="20"/>
                <w:lang w:eastAsia="en-CA"/>
              </w:rPr>
            </w:pPr>
            <w:r w:rsidRPr="00D2031E">
              <w:rPr>
                <w:color w:val="000000"/>
                <w:sz w:val="20"/>
                <w:rtl/>
                <w:lang w:eastAsia="ar" w:bidi="ar-EG"/>
              </w:rPr>
              <w:t>0.30</w:t>
            </w:r>
          </w:p>
        </w:tc>
      </w:tr>
      <w:tr w:rsidR="00D2031E" w:rsidRPr="00D2031E" w14:paraId="5AEE410A" w14:textId="77777777" w:rsidTr="00832008">
        <w:tc>
          <w:tcPr>
            <w:tcW w:w="1820" w:type="pct"/>
            <w:tcBorders>
              <w:top w:val="nil"/>
              <w:left w:val="single" w:sz="4" w:space="0" w:color="auto"/>
              <w:bottom w:val="single" w:sz="4" w:space="0" w:color="auto"/>
              <w:right w:val="single" w:sz="4" w:space="0" w:color="auto"/>
            </w:tcBorders>
            <w:hideMark/>
          </w:tcPr>
          <w:p w14:paraId="52719E9C" w14:textId="77777777" w:rsidR="00D2031E" w:rsidRPr="00D2031E" w:rsidRDefault="00D2031E" w:rsidP="00132E83">
            <w:pPr>
              <w:bidi/>
              <w:jc w:val="left"/>
              <w:rPr>
                <w:color w:val="000000"/>
                <w:sz w:val="20"/>
                <w:lang w:eastAsia="en-CA"/>
              </w:rPr>
            </w:pPr>
            <w:r w:rsidRPr="00D2031E">
              <w:rPr>
                <w:color w:val="000000"/>
                <w:sz w:val="20"/>
                <w:rtl/>
                <w:lang w:eastAsia="ar" w:bidi="ar-EG"/>
              </w:rPr>
              <w:t>3200 (الأنشطة العالمية)</w:t>
            </w:r>
          </w:p>
        </w:tc>
        <w:tc>
          <w:tcPr>
            <w:tcW w:w="83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BDEB3B1" w14:textId="77777777" w:rsidR="00D2031E" w:rsidRPr="00D2031E" w:rsidRDefault="00D2031E" w:rsidP="00D2031E">
            <w:pPr>
              <w:bidi/>
              <w:jc w:val="left"/>
              <w:rPr>
                <w:color w:val="000000"/>
                <w:sz w:val="20"/>
                <w:lang w:eastAsia="en-CA"/>
              </w:rPr>
            </w:pPr>
            <w:r w:rsidRPr="00D2031E">
              <w:rPr>
                <w:color w:val="000000"/>
                <w:sz w:val="20"/>
                <w:rtl/>
                <w:lang w:eastAsia="ar" w:bidi="ar-EG"/>
              </w:rPr>
              <w:t>850,000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9A07227" w14:textId="77777777" w:rsidR="00D2031E" w:rsidRPr="00D2031E" w:rsidRDefault="00D2031E" w:rsidP="00D2031E">
            <w:pPr>
              <w:bidi/>
              <w:jc w:val="left"/>
              <w:rPr>
                <w:color w:val="000000"/>
                <w:sz w:val="20"/>
                <w:lang w:eastAsia="en-CA"/>
              </w:rPr>
            </w:pPr>
            <w:r w:rsidRPr="00D2031E">
              <w:rPr>
                <w:color w:val="000000"/>
                <w:sz w:val="20"/>
                <w:rtl/>
                <w:lang w:eastAsia="ar" w:bidi="ar-EG"/>
              </w:rPr>
              <w:t>700,000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B482EE3" w14:textId="77777777" w:rsidR="00D2031E" w:rsidRPr="00D2031E" w:rsidRDefault="00D2031E" w:rsidP="00D2031E">
            <w:pPr>
              <w:bidi/>
              <w:jc w:val="left"/>
              <w:rPr>
                <w:color w:val="000000"/>
                <w:sz w:val="20"/>
                <w:lang w:eastAsia="en-CA"/>
              </w:rPr>
            </w:pPr>
            <w:r w:rsidRPr="00D2031E">
              <w:rPr>
                <w:color w:val="000000"/>
                <w:sz w:val="20"/>
                <w:rtl/>
                <w:lang w:eastAsia="ar" w:bidi="ar-EG"/>
              </w:rPr>
              <w:t>(150,000)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B3BA9D0" w14:textId="77777777" w:rsidR="00D2031E" w:rsidRPr="00D2031E" w:rsidRDefault="00D2031E" w:rsidP="00D2031E">
            <w:pPr>
              <w:bidi/>
              <w:jc w:val="left"/>
              <w:rPr>
                <w:color w:val="000000"/>
                <w:sz w:val="20"/>
                <w:lang w:eastAsia="en-CA"/>
              </w:rPr>
            </w:pPr>
            <w:r w:rsidRPr="00D2031E">
              <w:rPr>
                <w:color w:val="000000"/>
                <w:sz w:val="20"/>
                <w:rtl/>
                <w:lang w:eastAsia="ar" w:bidi="ar-EG"/>
              </w:rPr>
              <w:t>(17.65)</w:t>
            </w:r>
          </w:p>
        </w:tc>
      </w:tr>
      <w:tr w:rsidR="00D2031E" w:rsidRPr="00D2031E" w14:paraId="22691051" w14:textId="77777777" w:rsidTr="00832008">
        <w:tc>
          <w:tcPr>
            <w:tcW w:w="1820" w:type="pct"/>
            <w:tcBorders>
              <w:top w:val="nil"/>
              <w:left w:val="single" w:sz="4" w:space="0" w:color="auto"/>
              <w:bottom w:val="single" w:sz="4" w:space="0" w:color="auto"/>
              <w:right w:val="single" w:sz="4" w:space="0" w:color="auto"/>
            </w:tcBorders>
            <w:hideMark/>
          </w:tcPr>
          <w:p w14:paraId="01420A7B" w14:textId="77777777" w:rsidR="00D2031E" w:rsidRPr="00D2031E" w:rsidRDefault="00D2031E" w:rsidP="00132E83">
            <w:pPr>
              <w:bidi/>
              <w:jc w:val="left"/>
              <w:rPr>
                <w:color w:val="000000"/>
                <w:sz w:val="20"/>
                <w:lang w:eastAsia="en-CA"/>
              </w:rPr>
            </w:pPr>
            <w:r w:rsidRPr="00D2031E">
              <w:rPr>
                <w:color w:val="000000"/>
                <w:sz w:val="20"/>
                <w:rtl/>
                <w:lang w:eastAsia="ar" w:bidi="ar-EG"/>
              </w:rPr>
              <w:t>4210 (الاجتماعات التشاورية والاستشارية)</w:t>
            </w:r>
          </w:p>
        </w:tc>
        <w:tc>
          <w:tcPr>
            <w:tcW w:w="83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D98CF19" w14:textId="77777777" w:rsidR="00D2031E" w:rsidRPr="00D2031E" w:rsidRDefault="00D2031E" w:rsidP="00D2031E">
            <w:pPr>
              <w:bidi/>
              <w:jc w:val="left"/>
              <w:rPr>
                <w:color w:val="000000"/>
                <w:sz w:val="20"/>
                <w:lang w:eastAsia="en-CA"/>
              </w:rPr>
            </w:pPr>
            <w:r w:rsidRPr="00D2031E">
              <w:rPr>
                <w:color w:val="000000"/>
                <w:sz w:val="20"/>
                <w:rtl/>
                <w:lang w:eastAsia="ar" w:bidi="ar-EG"/>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A4DD7B0" w14:textId="77777777" w:rsidR="00D2031E" w:rsidRPr="00D2031E" w:rsidRDefault="00D2031E" w:rsidP="00D2031E">
            <w:pPr>
              <w:bidi/>
              <w:jc w:val="left"/>
              <w:rPr>
                <w:color w:val="000000"/>
                <w:sz w:val="20"/>
                <w:lang w:eastAsia="en-CA"/>
              </w:rPr>
            </w:pPr>
            <w:r w:rsidRPr="00D2031E">
              <w:rPr>
                <w:color w:val="000000"/>
                <w:sz w:val="20"/>
                <w:rtl/>
                <w:lang w:eastAsia="ar" w:bidi="ar-EG"/>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7584591" w14:textId="77777777" w:rsidR="00D2031E" w:rsidRPr="00D2031E" w:rsidRDefault="00D2031E" w:rsidP="00D2031E">
            <w:pPr>
              <w:bidi/>
              <w:jc w:val="left"/>
              <w:rPr>
                <w:color w:val="000000"/>
                <w:sz w:val="20"/>
                <w:lang w:eastAsia="en-CA"/>
              </w:rPr>
            </w:pPr>
            <w:r w:rsidRPr="00D2031E">
              <w:rPr>
                <w:color w:val="000000"/>
                <w:sz w:val="20"/>
                <w:rtl/>
                <w:lang w:eastAsia="ar" w:bidi="ar-EG"/>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071A239" w14:textId="77777777" w:rsidR="00D2031E" w:rsidRPr="00D2031E" w:rsidRDefault="00D2031E" w:rsidP="00D2031E">
            <w:pPr>
              <w:bidi/>
              <w:jc w:val="left"/>
              <w:rPr>
                <w:color w:val="000000"/>
                <w:sz w:val="20"/>
                <w:lang w:eastAsia="en-CA"/>
              </w:rPr>
            </w:pPr>
            <w:r w:rsidRPr="00D2031E">
              <w:rPr>
                <w:color w:val="000000"/>
                <w:sz w:val="20"/>
                <w:rtl/>
                <w:lang w:eastAsia="ar" w:bidi="ar-EG"/>
              </w:rPr>
              <w:t>0.00</w:t>
            </w:r>
          </w:p>
        </w:tc>
      </w:tr>
      <w:tr w:rsidR="00D2031E" w:rsidRPr="00D2031E" w14:paraId="6E1477D2" w14:textId="77777777" w:rsidTr="00832008">
        <w:tc>
          <w:tcPr>
            <w:tcW w:w="1820" w:type="pct"/>
            <w:tcBorders>
              <w:top w:val="nil"/>
              <w:left w:val="single" w:sz="4" w:space="0" w:color="auto"/>
              <w:bottom w:val="single" w:sz="4" w:space="0" w:color="auto"/>
              <w:right w:val="single" w:sz="4" w:space="0" w:color="auto"/>
            </w:tcBorders>
            <w:hideMark/>
          </w:tcPr>
          <w:p w14:paraId="33A3C254" w14:textId="77777777" w:rsidR="00D2031E" w:rsidRPr="00D2031E" w:rsidRDefault="00D2031E" w:rsidP="00132E83">
            <w:pPr>
              <w:bidi/>
              <w:jc w:val="left"/>
              <w:rPr>
                <w:color w:val="000000"/>
                <w:sz w:val="20"/>
                <w:lang w:eastAsia="en-CA"/>
              </w:rPr>
            </w:pPr>
            <w:r w:rsidRPr="00D2031E">
              <w:rPr>
                <w:color w:val="000000"/>
                <w:sz w:val="20"/>
                <w:rtl/>
                <w:lang w:eastAsia="ar" w:bidi="ar-EG"/>
              </w:rPr>
              <w:t>5200 (عمليات/اتصالات المكاتب)</w:t>
            </w:r>
          </w:p>
        </w:tc>
        <w:tc>
          <w:tcPr>
            <w:tcW w:w="83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C62D9C2" w14:textId="77777777" w:rsidR="00D2031E" w:rsidRPr="00D2031E" w:rsidRDefault="00D2031E" w:rsidP="00D2031E">
            <w:pPr>
              <w:bidi/>
              <w:jc w:val="left"/>
              <w:rPr>
                <w:color w:val="000000"/>
                <w:sz w:val="20"/>
                <w:lang w:eastAsia="en-CA"/>
              </w:rPr>
            </w:pPr>
            <w:r w:rsidRPr="00D2031E">
              <w:rPr>
                <w:color w:val="000000"/>
                <w:sz w:val="20"/>
                <w:rtl/>
                <w:lang w:eastAsia="ar" w:bidi="ar-EG"/>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748C360" w14:textId="77777777" w:rsidR="00D2031E" w:rsidRPr="00D2031E" w:rsidRDefault="00D2031E" w:rsidP="00D2031E">
            <w:pPr>
              <w:bidi/>
              <w:jc w:val="left"/>
              <w:rPr>
                <w:color w:val="000000"/>
                <w:sz w:val="20"/>
                <w:lang w:eastAsia="en-CA"/>
              </w:rPr>
            </w:pPr>
            <w:r w:rsidRPr="00D2031E">
              <w:rPr>
                <w:color w:val="000000"/>
                <w:sz w:val="20"/>
                <w:rtl/>
                <w:lang w:eastAsia="ar" w:bidi="ar-EG"/>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D7C1E8A" w14:textId="77777777" w:rsidR="00D2031E" w:rsidRPr="00D2031E" w:rsidRDefault="00D2031E" w:rsidP="00D2031E">
            <w:pPr>
              <w:bidi/>
              <w:jc w:val="left"/>
              <w:rPr>
                <w:color w:val="000000"/>
                <w:sz w:val="20"/>
                <w:lang w:eastAsia="en-CA"/>
              </w:rPr>
            </w:pPr>
            <w:r w:rsidRPr="00D2031E">
              <w:rPr>
                <w:color w:val="000000"/>
                <w:sz w:val="20"/>
                <w:rtl/>
                <w:lang w:eastAsia="ar" w:bidi="ar-EG"/>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DAC826D" w14:textId="77777777" w:rsidR="00D2031E" w:rsidRPr="00D2031E" w:rsidRDefault="00D2031E" w:rsidP="00D2031E">
            <w:pPr>
              <w:bidi/>
              <w:jc w:val="left"/>
              <w:rPr>
                <w:color w:val="000000"/>
                <w:sz w:val="20"/>
                <w:lang w:eastAsia="en-CA"/>
              </w:rPr>
            </w:pPr>
            <w:r w:rsidRPr="00D2031E">
              <w:rPr>
                <w:color w:val="000000"/>
                <w:sz w:val="20"/>
                <w:rtl/>
                <w:lang w:eastAsia="ar" w:bidi="ar-EG"/>
              </w:rPr>
              <w:t>0.00</w:t>
            </w:r>
          </w:p>
        </w:tc>
      </w:tr>
      <w:tr w:rsidR="00D2031E" w:rsidRPr="00D2031E" w14:paraId="657E2093" w14:textId="77777777" w:rsidTr="00832008">
        <w:tc>
          <w:tcPr>
            <w:tcW w:w="1820" w:type="pct"/>
            <w:tcBorders>
              <w:top w:val="nil"/>
              <w:left w:val="single" w:sz="4" w:space="0" w:color="auto"/>
              <w:bottom w:val="single" w:sz="4" w:space="0" w:color="auto"/>
              <w:right w:val="single" w:sz="4" w:space="0" w:color="auto"/>
            </w:tcBorders>
            <w:hideMark/>
          </w:tcPr>
          <w:p w14:paraId="2245A688" w14:textId="77777777" w:rsidR="00D2031E" w:rsidRPr="00D2031E" w:rsidRDefault="00D2031E" w:rsidP="00132E83">
            <w:pPr>
              <w:bidi/>
              <w:jc w:val="left"/>
              <w:rPr>
                <w:b/>
                <w:color w:val="000000"/>
                <w:sz w:val="20"/>
                <w:lang w:eastAsia="en-CA"/>
              </w:rPr>
            </w:pPr>
            <w:r w:rsidRPr="00D2031E">
              <w:rPr>
                <w:b/>
                <w:bCs/>
                <w:color w:val="000000"/>
                <w:sz w:val="20"/>
                <w:rtl/>
                <w:lang w:eastAsia="ar" w:bidi="ar-EG"/>
              </w:rPr>
              <w:t>المجموع</w:t>
            </w:r>
          </w:p>
        </w:tc>
        <w:tc>
          <w:tcPr>
            <w:tcW w:w="836" w:type="pct"/>
            <w:tcBorders>
              <w:top w:val="nil"/>
              <w:left w:val="nil"/>
              <w:bottom w:val="single" w:sz="4" w:space="0" w:color="auto"/>
              <w:right w:val="single" w:sz="4" w:space="0" w:color="auto"/>
            </w:tcBorders>
            <w:noWrap/>
            <w:tcMar>
              <w:top w:w="0" w:type="dxa"/>
              <w:left w:w="0" w:type="dxa"/>
              <w:bottom w:w="0" w:type="dxa"/>
              <w:right w:w="173" w:type="dxa"/>
            </w:tcMar>
          </w:tcPr>
          <w:p w14:paraId="651270F7" w14:textId="77777777" w:rsidR="00D2031E" w:rsidRPr="00D2031E" w:rsidRDefault="00D2031E" w:rsidP="00D2031E">
            <w:pPr>
              <w:bidi/>
              <w:jc w:val="left"/>
              <w:rPr>
                <w:b/>
                <w:color w:val="000000"/>
                <w:sz w:val="20"/>
                <w:lang w:eastAsia="en-CA"/>
              </w:rPr>
            </w:pPr>
            <w:r w:rsidRPr="00D2031E">
              <w:rPr>
                <w:b/>
                <w:bCs/>
                <w:color w:val="000000"/>
                <w:sz w:val="20"/>
                <w:rtl/>
                <w:lang w:eastAsia="ar" w:bidi="ar-EG"/>
              </w:rPr>
              <w:t>11,191,331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F84B177" w14:textId="77777777" w:rsidR="00D2031E" w:rsidRPr="00D2031E" w:rsidRDefault="00D2031E" w:rsidP="00D2031E">
            <w:pPr>
              <w:bidi/>
              <w:jc w:val="left"/>
              <w:rPr>
                <w:b/>
                <w:color w:val="000000"/>
                <w:sz w:val="20"/>
                <w:lang w:eastAsia="en-CA"/>
              </w:rPr>
            </w:pPr>
            <w:r w:rsidRPr="00D2031E">
              <w:rPr>
                <w:b/>
                <w:bCs/>
                <w:color w:val="000000"/>
                <w:sz w:val="20"/>
                <w:rtl/>
                <w:lang w:eastAsia="ar" w:bidi="ar-EG"/>
              </w:rPr>
              <w:t>11,276,967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098CDC3" w14:textId="77777777" w:rsidR="00D2031E" w:rsidRPr="00D2031E" w:rsidRDefault="00D2031E" w:rsidP="00D2031E">
            <w:pPr>
              <w:bidi/>
              <w:jc w:val="left"/>
              <w:rPr>
                <w:b/>
                <w:bCs/>
                <w:color w:val="000000"/>
                <w:sz w:val="20"/>
                <w:lang w:eastAsia="en-CA"/>
              </w:rPr>
            </w:pPr>
            <w:r w:rsidRPr="00D2031E">
              <w:rPr>
                <w:b/>
                <w:bCs/>
                <w:sz w:val="20"/>
                <w:rtl/>
                <w:lang w:eastAsia="ar" w:bidi="ar-EG"/>
              </w:rPr>
              <w:t>85,636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11AA023" w14:textId="77777777" w:rsidR="00D2031E" w:rsidRPr="00D2031E" w:rsidRDefault="00D2031E" w:rsidP="00D2031E">
            <w:pPr>
              <w:bidi/>
              <w:jc w:val="left"/>
              <w:rPr>
                <w:b/>
                <w:color w:val="000000"/>
                <w:sz w:val="20"/>
                <w:lang w:eastAsia="en-CA"/>
              </w:rPr>
            </w:pPr>
            <w:r w:rsidRPr="00D2031E">
              <w:rPr>
                <w:b/>
                <w:bCs/>
                <w:color w:val="000000"/>
                <w:sz w:val="20"/>
                <w:rtl/>
                <w:lang w:eastAsia="ar" w:bidi="ar-EG"/>
              </w:rPr>
              <w:t>0.77</w:t>
            </w:r>
          </w:p>
        </w:tc>
      </w:tr>
    </w:tbl>
    <w:p w14:paraId="32B49AA5" w14:textId="77777777" w:rsidR="00D2031E" w:rsidRPr="001920D1" w:rsidRDefault="00D2031E" w:rsidP="00D2031E">
      <w:pPr>
        <w:bidi/>
        <w:rPr>
          <w:sz w:val="26"/>
          <w:szCs w:val="26"/>
          <w:highlight w:val="green"/>
        </w:rPr>
      </w:pPr>
    </w:p>
    <w:p w14:paraId="559D6D5A" w14:textId="77777777" w:rsidR="00D2031E" w:rsidRPr="001920D1" w:rsidRDefault="00D2031E" w:rsidP="00D2031E">
      <w:pPr>
        <w:bidi/>
        <w:spacing w:after="240"/>
        <w:jc w:val="left"/>
        <w:outlineLvl w:val="0"/>
        <w:rPr>
          <w:b/>
          <w:sz w:val="26"/>
          <w:szCs w:val="26"/>
        </w:rPr>
      </w:pPr>
      <w:r w:rsidRPr="001920D1">
        <w:rPr>
          <w:b/>
          <w:bCs/>
          <w:sz w:val="26"/>
          <w:szCs w:val="26"/>
          <w:rtl/>
          <w:lang w:eastAsia="ar" w:bidi="ar-EG"/>
        </w:rPr>
        <w:t>التوصية</w:t>
      </w:r>
    </w:p>
    <w:p w14:paraId="1379057E" w14:textId="77777777" w:rsidR="00D2031E" w:rsidRPr="00D2031E" w:rsidRDefault="00D2031E" w:rsidP="00D2031E">
      <w:pPr>
        <w:pStyle w:val="Heading1"/>
        <w:bidi/>
        <w:rPr>
          <w:sz w:val="30"/>
          <w:szCs w:val="26"/>
        </w:rPr>
      </w:pPr>
      <w:r w:rsidRPr="00D2031E">
        <w:rPr>
          <w:sz w:val="30"/>
          <w:szCs w:val="26"/>
          <w:rtl/>
          <w:lang w:eastAsia="ar" w:bidi="ar-EG"/>
        </w:rPr>
        <w:t>في ضوء المعلومات المقدمة من اليونيب والتعليقات الواردة أعلاه، قد ترغب اللجنة التنفيذية في:</w:t>
      </w:r>
    </w:p>
    <w:p w14:paraId="24D4668D" w14:textId="45AE23CE" w:rsidR="00D2031E" w:rsidRPr="00832008" w:rsidRDefault="00D2031E" w:rsidP="00D2031E">
      <w:pPr>
        <w:pStyle w:val="Heading2"/>
        <w:bidi/>
        <w:ind w:left="1422" w:hanging="709"/>
        <w:rPr>
          <w:sz w:val="26"/>
          <w:szCs w:val="26"/>
        </w:rPr>
      </w:pPr>
      <w:r w:rsidRPr="00832008">
        <w:rPr>
          <w:sz w:val="26"/>
          <w:szCs w:val="26"/>
          <w:rtl/>
          <w:lang w:eastAsia="ar" w:bidi="ar-EG"/>
        </w:rPr>
        <w:t xml:space="preserve">الإحاطة علماً بالتقرير المرحلي لعام 2025 وخطة العمل والميزانية لعام 2026 لبرنامج المساعدة على الامتثال التابع </w:t>
      </w:r>
      <w:r w:rsidR="006A25FE">
        <w:rPr>
          <w:rFonts w:hint="cs"/>
          <w:sz w:val="26"/>
          <w:szCs w:val="26"/>
          <w:rtl/>
          <w:lang w:eastAsia="ar" w:bidi="ar-EG"/>
        </w:rPr>
        <w:t>ل</w:t>
      </w:r>
      <w:r w:rsidRPr="00832008">
        <w:rPr>
          <w:sz w:val="26"/>
          <w:szCs w:val="26"/>
          <w:rtl/>
          <w:lang w:eastAsia="ar" w:bidi="ar-EG"/>
        </w:rPr>
        <w:t xml:space="preserve">ليونيب، على النحو الوارد في الوثيقة </w:t>
      </w:r>
      <w:r w:rsidRPr="00832008">
        <w:rPr>
          <w:sz w:val="26"/>
          <w:szCs w:val="26"/>
          <w:lang w:eastAsia="ar" w:bidi="en-GB"/>
        </w:rPr>
        <w:t>UNEP/OzL.Pro/ExCom</w:t>
      </w:r>
      <w:r w:rsidRPr="00832008">
        <w:rPr>
          <w:sz w:val="26"/>
          <w:szCs w:val="26"/>
          <w:lang w:eastAsia="ar" w:bidi="ar-EG"/>
        </w:rPr>
        <w:t>/97/83</w:t>
      </w:r>
      <w:r w:rsidRPr="00832008">
        <w:rPr>
          <w:sz w:val="26"/>
          <w:szCs w:val="26"/>
          <w:rtl/>
          <w:lang w:eastAsia="ar" w:bidi="ar-EG"/>
        </w:rPr>
        <w:t xml:space="preserve">؛ </w:t>
      </w:r>
    </w:p>
    <w:p w14:paraId="036EF669" w14:textId="364175E1" w:rsidR="00D2031E" w:rsidRPr="001920D1" w:rsidRDefault="00D2031E" w:rsidP="00D2031E">
      <w:pPr>
        <w:pStyle w:val="Heading2"/>
        <w:bidi/>
        <w:ind w:left="1422" w:hanging="709"/>
        <w:rPr>
          <w:sz w:val="26"/>
          <w:szCs w:val="26"/>
        </w:rPr>
      </w:pPr>
      <w:r w:rsidRPr="00D2031E">
        <w:rPr>
          <w:sz w:val="30"/>
          <w:szCs w:val="26"/>
          <w:rtl/>
          <w:lang w:eastAsia="ar" w:bidi="ar-EG"/>
        </w:rPr>
        <w:t>الموافقة</w:t>
      </w:r>
      <w:r w:rsidRPr="001920D1">
        <w:rPr>
          <w:sz w:val="26"/>
          <w:szCs w:val="26"/>
          <w:rtl/>
          <w:lang w:eastAsia="ar" w:bidi="ar-EG"/>
        </w:rPr>
        <w:t xml:space="preserve"> على أنشطة برنامج المساعدة على الامتثال والميزانية لعام 2026 بمبلغ 11,276,967 دولارا</w:t>
      </w:r>
      <w:r>
        <w:rPr>
          <w:rFonts w:hint="cs"/>
          <w:sz w:val="26"/>
          <w:szCs w:val="26"/>
          <w:rtl/>
          <w:lang w:eastAsia="ar" w:bidi="ar-EG"/>
        </w:rPr>
        <w:t>ً</w:t>
      </w:r>
      <w:r w:rsidRPr="001920D1">
        <w:rPr>
          <w:sz w:val="26"/>
          <w:szCs w:val="26"/>
          <w:rtl/>
          <w:lang w:eastAsia="ar" w:bidi="ar-EG"/>
        </w:rPr>
        <w:t xml:space="preserve"> أمريكيا</w:t>
      </w:r>
      <w:r>
        <w:rPr>
          <w:rFonts w:hint="cs"/>
          <w:sz w:val="26"/>
          <w:szCs w:val="26"/>
          <w:rtl/>
          <w:lang w:eastAsia="ar" w:bidi="ar-EG"/>
        </w:rPr>
        <w:t>ً</w:t>
      </w:r>
      <w:r w:rsidRPr="001920D1">
        <w:rPr>
          <w:sz w:val="26"/>
          <w:szCs w:val="26"/>
          <w:rtl/>
          <w:lang w:eastAsia="ar" w:bidi="ar-EG"/>
        </w:rPr>
        <w:t>، بالإضافة إلى تكاليف دعم الوكالة بنسبة 8 في المائة والبالغة 902,157 دولارا</w:t>
      </w:r>
      <w:r>
        <w:rPr>
          <w:rFonts w:hint="cs"/>
          <w:sz w:val="26"/>
          <w:szCs w:val="26"/>
          <w:rtl/>
          <w:lang w:eastAsia="ar" w:bidi="ar-EG"/>
        </w:rPr>
        <w:t>ً</w:t>
      </w:r>
      <w:r w:rsidRPr="001920D1">
        <w:rPr>
          <w:sz w:val="26"/>
          <w:szCs w:val="26"/>
          <w:rtl/>
          <w:lang w:eastAsia="ar" w:bidi="ar-EG"/>
        </w:rPr>
        <w:t xml:space="preserve"> أمريكيا</w:t>
      </w:r>
      <w:r>
        <w:rPr>
          <w:rFonts w:hint="cs"/>
          <w:sz w:val="26"/>
          <w:szCs w:val="26"/>
          <w:rtl/>
          <w:lang w:eastAsia="ar" w:bidi="ar-EG"/>
        </w:rPr>
        <w:t>ً</w:t>
      </w:r>
      <w:r w:rsidRPr="001920D1">
        <w:rPr>
          <w:sz w:val="26"/>
          <w:szCs w:val="26"/>
          <w:rtl/>
          <w:lang w:eastAsia="ar" w:bidi="ar-EG"/>
        </w:rPr>
        <w:t>، مع الإشارة إلى التعديلات المقترحة فيها؛</w:t>
      </w:r>
    </w:p>
    <w:p w14:paraId="52EFBCB0" w14:textId="77777777" w:rsidR="00D2031E" w:rsidRPr="001920D1" w:rsidRDefault="00D2031E" w:rsidP="00D2031E">
      <w:pPr>
        <w:pStyle w:val="Heading2"/>
        <w:bidi/>
        <w:ind w:left="1422" w:hanging="709"/>
        <w:rPr>
          <w:sz w:val="26"/>
          <w:szCs w:val="26"/>
        </w:rPr>
      </w:pPr>
      <w:r w:rsidRPr="001920D1">
        <w:rPr>
          <w:sz w:val="26"/>
          <w:szCs w:val="26"/>
          <w:rtl/>
          <w:lang w:eastAsia="ar" w:bidi="ar-EG"/>
        </w:rPr>
        <w:t>أن تطلب من برنامج البيئة أن يواصل في عمليات التقديم لميزانية برنامج المساعدة على الامتثال في المستقبل ما يلي:</w:t>
      </w:r>
    </w:p>
    <w:p w14:paraId="52267BA9" w14:textId="77777777" w:rsidR="00D2031E" w:rsidRPr="001920D1" w:rsidRDefault="00D2031E" w:rsidP="00D2031E">
      <w:pPr>
        <w:pStyle w:val="Heading3"/>
        <w:widowControl/>
        <w:numPr>
          <w:ilvl w:val="2"/>
          <w:numId w:val="48"/>
        </w:numPr>
        <w:bidi/>
        <w:ind w:left="2130" w:hanging="708"/>
        <w:rPr>
          <w:sz w:val="26"/>
          <w:szCs w:val="26"/>
        </w:rPr>
      </w:pPr>
      <w:r w:rsidRPr="001920D1">
        <w:rPr>
          <w:sz w:val="26"/>
          <w:szCs w:val="26"/>
          <w:rtl/>
          <w:lang w:eastAsia="ar" w:bidi="ar-EG"/>
        </w:rPr>
        <w:t>تقديم معلومات مفصلة عن الأنشطة التي ستستخدم فيها الأموال العالمية؛</w:t>
      </w:r>
    </w:p>
    <w:p w14:paraId="2962E66D" w14:textId="77777777" w:rsidR="00D2031E" w:rsidRPr="001920D1" w:rsidRDefault="00D2031E" w:rsidP="00D2031E">
      <w:pPr>
        <w:pStyle w:val="Heading3"/>
        <w:widowControl/>
        <w:numPr>
          <w:ilvl w:val="2"/>
          <w:numId w:val="48"/>
        </w:numPr>
        <w:bidi/>
        <w:ind w:left="2130" w:hanging="708"/>
        <w:rPr>
          <w:sz w:val="26"/>
          <w:szCs w:val="26"/>
        </w:rPr>
      </w:pPr>
      <w:r w:rsidRPr="001920D1">
        <w:rPr>
          <w:sz w:val="26"/>
          <w:szCs w:val="26"/>
          <w:rtl/>
          <w:lang w:eastAsia="ar" w:bidi="ar-EG"/>
        </w:rPr>
        <w:t>تمديد تحديد أولويات التمويل بين بنود ميزانية برنامج المساعدة على الامتثال لاستيعاب الأولويات المتغيرة ولتقديم التفاصيل عملا بالمقررين 47/24 و50/26 بشأن عمليات إعادة التخصيص التي تم إجراؤها؛</w:t>
      </w:r>
    </w:p>
    <w:p w14:paraId="522EA9E1" w14:textId="77777777" w:rsidR="00D2031E" w:rsidRPr="001920D1" w:rsidRDefault="00D2031E" w:rsidP="00D2031E">
      <w:pPr>
        <w:pStyle w:val="Heading3"/>
        <w:numPr>
          <w:ilvl w:val="2"/>
          <w:numId w:val="48"/>
        </w:numPr>
        <w:bidi/>
        <w:ind w:left="2130" w:hanging="708"/>
        <w:rPr>
          <w:sz w:val="26"/>
          <w:szCs w:val="26"/>
        </w:rPr>
      </w:pPr>
      <w:r w:rsidRPr="001920D1">
        <w:rPr>
          <w:sz w:val="26"/>
          <w:szCs w:val="26"/>
          <w:rtl/>
          <w:lang w:eastAsia="ar" w:bidi="ar-EG"/>
        </w:rPr>
        <w:t>الإبلاغ عن مستويات الوظائف الحالية للموظفين وإحاطة اللجنة التنفيذية علما بأي تغييرات تطرأ عليها، ولاسيما فيما يتعلق بأي زيادة في مخصصات الميزانية؛</w:t>
      </w:r>
    </w:p>
    <w:p w14:paraId="20C4F0E8" w14:textId="6038D909" w:rsidR="007E5D09" w:rsidRDefault="00D2031E" w:rsidP="00D2031E">
      <w:pPr>
        <w:pStyle w:val="Heading3"/>
        <w:numPr>
          <w:ilvl w:val="2"/>
          <w:numId w:val="48"/>
        </w:numPr>
        <w:bidi/>
        <w:ind w:left="2130" w:hanging="708"/>
      </w:pPr>
      <w:r w:rsidRPr="001920D1">
        <w:rPr>
          <w:sz w:val="26"/>
          <w:szCs w:val="26"/>
          <w:rtl/>
          <w:lang w:eastAsia="ar" w:bidi="ar-EG"/>
        </w:rPr>
        <w:t>تقديم ميزانية للسنة المعنية، وتقرير عن التكاليف المتكبدة في السنة السابقة للسنة الأخيرة، مع الإشارة إلى الفقرتين الفرعيتين (ج)(2) و(ج)(3) أعلاه.</w:t>
      </w:r>
    </w:p>
    <w:p w14:paraId="36D62AEB" w14:textId="77777777" w:rsidR="00B543EE" w:rsidRDefault="00B543EE" w:rsidP="00B543EE">
      <w:pPr>
        <w:rPr>
          <w:rtl/>
          <w:lang w:val="en-CA"/>
        </w:rPr>
      </w:pPr>
    </w:p>
    <w:p w14:paraId="51394D5D" w14:textId="77777777" w:rsidR="00B543EE" w:rsidRDefault="00B543EE" w:rsidP="00B543EE">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43EE" w14:paraId="4D505041" w14:textId="77777777" w:rsidTr="00132E83">
        <w:tc>
          <w:tcPr>
            <w:tcW w:w="1915" w:type="dxa"/>
          </w:tcPr>
          <w:p w14:paraId="1E59DA61" w14:textId="77777777" w:rsidR="00B543EE" w:rsidRDefault="00B543EE" w:rsidP="00132E83">
            <w:pPr>
              <w:rPr>
                <w:lang w:val="en-CA"/>
              </w:rPr>
            </w:pPr>
          </w:p>
        </w:tc>
        <w:tc>
          <w:tcPr>
            <w:tcW w:w="1915" w:type="dxa"/>
          </w:tcPr>
          <w:p w14:paraId="781B7CCC" w14:textId="77777777" w:rsidR="00B543EE" w:rsidRDefault="00B543EE" w:rsidP="00132E83">
            <w:pPr>
              <w:rPr>
                <w:lang w:val="en-CA"/>
              </w:rPr>
            </w:pPr>
          </w:p>
        </w:tc>
        <w:tc>
          <w:tcPr>
            <w:tcW w:w="1915" w:type="dxa"/>
            <w:tcBorders>
              <w:bottom w:val="single" w:sz="4" w:space="0" w:color="auto"/>
            </w:tcBorders>
          </w:tcPr>
          <w:p w14:paraId="518F9BD7" w14:textId="77777777" w:rsidR="00B543EE" w:rsidRDefault="00B543EE" w:rsidP="00132E83">
            <w:pPr>
              <w:rPr>
                <w:b/>
                <w:bCs/>
                <w:lang w:val="en-CA"/>
              </w:rPr>
            </w:pPr>
          </w:p>
        </w:tc>
        <w:tc>
          <w:tcPr>
            <w:tcW w:w="1915" w:type="dxa"/>
          </w:tcPr>
          <w:p w14:paraId="0D5A5928" w14:textId="77777777" w:rsidR="00B543EE" w:rsidRDefault="00B543EE" w:rsidP="00132E83">
            <w:pPr>
              <w:rPr>
                <w:lang w:val="en-CA"/>
              </w:rPr>
            </w:pPr>
          </w:p>
        </w:tc>
        <w:tc>
          <w:tcPr>
            <w:tcW w:w="1916" w:type="dxa"/>
          </w:tcPr>
          <w:p w14:paraId="5E1B0309" w14:textId="77777777" w:rsidR="00B543EE" w:rsidRDefault="00B543EE" w:rsidP="00132E83">
            <w:pPr>
              <w:rPr>
                <w:lang w:val="en-CA"/>
              </w:rPr>
            </w:pPr>
          </w:p>
        </w:tc>
      </w:tr>
    </w:tbl>
    <w:p w14:paraId="2531E5A3" w14:textId="77777777" w:rsidR="00B543EE" w:rsidRDefault="00B543EE" w:rsidP="00832008">
      <w:pPr>
        <w:rPr>
          <w:rtl/>
        </w:rPr>
      </w:pPr>
    </w:p>
    <w:sectPr w:rsidR="00B543E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D1581" w14:textId="77777777" w:rsidR="00F9128A" w:rsidRDefault="00F9128A">
      <w:r>
        <w:separator/>
      </w:r>
    </w:p>
  </w:endnote>
  <w:endnote w:type="continuationSeparator" w:id="0">
    <w:p w14:paraId="6C9BEE9E" w14:textId="77777777" w:rsidR="00F9128A" w:rsidRDefault="00F91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C0F2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ACAC"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C173" w14:textId="77777777" w:rsidR="00F25EE8" w:rsidRPr="002A42DB" w:rsidRDefault="00F25EE8" w:rsidP="00F25EE8">
    <w:pPr>
      <w:pBdr>
        <w:top w:val="single" w:sz="4" w:space="1" w:color="auto"/>
        <w:left w:val="single" w:sz="4" w:space="0" w:color="auto"/>
        <w:bottom w:val="single" w:sz="4" w:space="1" w:color="auto"/>
        <w:right w:val="single" w:sz="4" w:space="0" w:color="auto"/>
      </w:pBdr>
      <w:bidi/>
      <w:jc w:val="center"/>
      <w:rPr>
        <w:rFonts w:cs="Arabic Transparent"/>
        <w:sz w:val="20"/>
        <w:rtl/>
      </w:rPr>
    </w:pPr>
    <w:r w:rsidRPr="002A42DB">
      <w:rPr>
        <w:rFonts w:cs="Arabic Transparent" w:hint="cs"/>
        <w:sz w:val="20"/>
        <w:rtl/>
      </w:rPr>
      <w:t>إن وثائق ما قبل دورات اللجنة التنفيذية للصندوق المتعدد الأطراف لتنفيذ بروتوكول مونتريال</w:t>
    </w:r>
    <w:r w:rsidRPr="002A42DB">
      <w:rPr>
        <w:rFonts w:cs="Arabic Transparent"/>
        <w:sz w:val="20"/>
      </w:rPr>
      <w:t xml:space="preserve"> </w:t>
    </w:r>
  </w:p>
  <w:p w14:paraId="1F3A2259" w14:textId="3DBE8794" w:rsidR="007E5D09" w:rsidRPr="00F25EE8" w:rsidRDefault="00F25EE8" w:rsidP="00F25EE8">
    <w:pPr>
      <w:pBdr>
        <w:top w:val="single" w:sz="4" w:space="1" w:color="auto"/>
        <w:left w:val="single" w:sz="4" w:space="0" w:color="auto"/>
        <w:bottom w:val="single" w:sz="4" w:space="1" w:color="auto"/>
        <w:right w:val="single" w:sz="4" w:space="0" w:color="auto"/>
      </w:pBdr>
      <w:bidi/>
      <w:jc w:val="center"/>
      <w:rPr>
        <w:rFonts w:cs="Arabic Transparent"/>
        <w:sz w:val="20"/>
      </w:rPr>
    </w:pPr>
    <w:r w:rsidRPr="002A42DB">
      <w:rPr>
        <w:rFonts w:cs="Arabic Transparent" w:hint="cs"/>
        <w:sz w:val="20"/>
        <w:rtl/>
      </w:rPr>
      <w:t>قد تصدر دون إخلال بأي قرار تتخذه اللجنة التنفيذية بعد صدورها.</w:t>
    </w:r>
    <w:r w:rsidRPr="002A42DB">
      <w:rPr>
        <w:rFonts w:cs="Arabic Transparent"/>
        <w:sz w:val="20"/>
      </w:rPr>
      <w:t xml:space="preserve"> </w:t>
    </w:r>
  </w:p>
  <w:p w14:paraId="144463F6"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9B54B" w14:textId="77777777" w:rsidR="00F9128A" w:rsidRDefault="00F9128A" w:rsidP="001C0D0E">
      <w:pPr>
        <w:jc w:val="right"/>
      </w:pPr>
      <w:r>
        <w:separator/>
      </w:r>
    </w:p>
  </w:footnote>
  <w:footnote w:type="continuationSeparator" w:id="0">
    <w:p w14:paraId="14C7F61D" w14:textId="77777777" w:rsidR="00F9128A" w:rsidRDefault="00F9128A">
      <w:r>
        <w:continuationSeparator/>
      </w:r>
    </w:p>
  </w:footnote>
  <w:footnote w:id="1">
    <w:p w14:paraId="27B2870D" w14:textId="77777777" w:rsidR="00393115" w:rsidRDefault="00393115" w:rsidP="006B6F43">
      <w:pPr>
        <w:pStyle w:val="FootnoteText"/>
        <w:bidi/>
        <w:ind w:right="100"/>
        <w:jc w:val="left"/>
        <w:rPr>
          <w:lang w:val="fr-CH"/>
        </w:rPr>
      </w:pPr>
      <w:r>
        <w:rPr>
          <w:lang w:val="fr-CH"/>
        </w:rPr>
        <w:t xml:space="preserve"> </w:t>
      </w:r>
      <w:r>
        <w:t>UNEP/OzL.Pro/ExCom/9</w:t>
      </w:r>
      <w:r w:rsidR="008B7BCA">
        <w:t>7</w:t>
      </w:r>
      <w:r>
        <w:t xml:space="preserve">/1 </w:t>
      </w:r>
      <w:r w:rsidRPr="001A24C6">
        <w:rPr>
          <w:rStyle w:val="FootnoteReference"/>
        </w:rPr>
        <w:footnoteRef/>
      </w:r>
    </w:p>
    <w:p w14:paraId="06F3C270" w14:textId="77777777" w:rsidR="00393115" w:rsidRPr="00564224" w:rsidRDefault="00393115" w:rsidP="00393115">
      <w:pPr>
        <w:pStyle w:val="FootnoteText"/>
        <w:rPr>
          <w:lang w:val="fr-CH"/>
        </w:rPr>
      </w:pPr>
    </w:p>
  </w:footnote>
  <w:footnote w:id="2">
    <w:p w14:paraId="77290458" w14:textId="77777777" w:rsidR="00D2031E" w:rsidRDefault="00D2031E" w:rsidP="00D2031E">
      <w:pPr>
        <w:pStyle w:val="FootnoteText"/>
        <w:bidi/>
      </w:pPr>
      <w:r>
        <w:rPr>
          <w:rStyle w:val="FootnoteReference"/>
          <w:rtl/>
          <w:lang w:eastAsia="ar" w:bidi="ar-EG"/>
        </w:rPr>
        <w:footnoteRef/>
      </w:r>
      <w:r w:rsidRPr="0070290C">
        <w:rPr>
          <w:rtl/>
          <w:lang w:eastAsia="ar" w:bidi="ar-EG"/>
        </w:rPr>
        <w:t xml:space="preserve"> الجمعية الأمريكية لمهندسي التبريد والتدفئة وتكييف الهواء ودرجات السلامة (</w:t>
      </w:r>
      <w:r w:rsidRPr="0070290C">
        <w:rPr>
          <w:lang w:eastAsia="ar" w:bidi="en-GB"/>
        </w:rPr>
        <w:t>ASHRAE</w:t>
      </w:r>
      <w:r w:rsidRPr="0070290C">
        <w:rPr>
          <w:rtl/>
          <w:lang w:eastAsia="ar" w:bidi="ar-EG"/>
        </w:rPr>
        <w:t>).</w:t>
      </w:r>
    </w:p>
  </w:footnote>
  <w:footnote w:id="3">
    <w:p w14:paraId="7B98A9DD" w14:textId="77777777" w:rsidR="00D2031E" w:rsidRPr="0074135A" w:rsidRDefault="00D2031E" w:rsidP="00D2031E">
      <w:pPr>
        <w:pStyle w:val="FootnoteText"/>
        <w:bidi/>
        <w:rPr>
          <w:lang w:val="en-US"/>
        </w:rPr>
      </w:pPr>
      <w:r w:rsidRPr="0074135A">
        <w:rPr>
          <w:rStyle w:val="FootnoteReference"/>
          <w:rtl/>
          <w:lang w:eastAsia="ar" w:bidi="ar-EG"/>
        </w:rPr>
        <w:footnoteRef/>
      </w:r>
      <w:r w:rsidRPr="0074135A">
        <w:rPr>
          <w:rtl/>
          <w:lang w:eastAsia="ar" w:bidi="ar-EG"/>
        </w:rPr>
        <w:t xml:space="preserve"> ستقتصر طلبات الزيادات في المستقبل في ميزانية برنامج المساعدة على الامتثال على 3 في المائة ما لم تحصل الجنة التنفيذية على دليل أن الضغوط التضخمية تبرر خلاف ذلك.</w:t>
      </w:r>
    </w:p>
  </w:footnote>
  <w:footnote w:id="4">
    <w:p w14:paraId="2AB973E7" w14:textId="77777777" w:rsidR="00D2031E" w:rsidRPr="00223FD4" w:rsidRDefault="00D2031E" w:rsidP="00D2031E">
      <w:pPr>
        <w:pStyle w:val="FootnoteText"/>
        <w:bidi/>
        <w:rPr>
          <w:highlight w:val="yellow"/>
        </w:rPr>
      </w:pPr>
      <w:r>
        <w:rPr>
          <w:rStyle w:val="FootnoteReference"/>
          <w:rtl/>
          <w:lang w:eastAsia="ar" w:bidi="ar-EG"/>
        </w:rPr>
        <w:footnoteRef/>
      </w:r>
      <w:r>
        <w:rPr>
          <w:rtl/>
          <w:lang w:eastAsia="ar" w:bidi="ar-EG"/>
        </w:rPr>
        <w:t xml:space="preserve"> المقرر 95/83 (ج) (2): وطُلب إلى اليونيب أن يواصل، في العروض المقبلة لميزانية عملية برنامج المساعدة على الامتثال، توسيع نطاق تحديد أولويات التمويل بين بنود ميزانية عملية برنامج المساعدة على الامتثال بحيث تستوعب الأولويات المتغيرة وتقديم تفاصيل، عملاً بالمقررين 47/24 و50/26، عن عمليات إعادة التخصيص التي تمت.</w:t>
      </w:r>
    </w:p>
  </w:footnote>
  <w:footnote w:id="5">
    <w:p w14:paraId="65B2C75B" w14:textId="7396E5B2" w:rsidR="00C6339C" w:rsidRPr="00223FD4" w:rsidRDefault="00C6339C" w:rsidP="00C6339C">
      <w:pPr>
        <w:pStyle w:val="FootnoteText"/>
        <w:bidi/>
        <w:rPr>
          <w:lang w:val="en-US"/>
        </w:rPr>
      </w:pPr>
      <w:r w:rsidRPr="00223FD4">
        <w:rPr>
          <w:rStyle w:val="FootnoteReference"/>
        </w:rPr>
        <w:footnoteRef/>
      </w:r>
      <w:r w:rsidRPr="00223FD4">
        <w:t xml:space="preserve"> </w:t>
      </w:r>
      <w:r w:rsidRPr="00C6339C">
        <w:rPr>
          <w:rtl/>
          <w:lang w:val="en-US"/>
        </w:rPr>
        <w:t>طُلب إلى اليونيب أن يقدم اليونيب في العروض المقبلة لميزانية برنامج المساعدة على الامتثال   تقريراً عن مستويات الوظائف الحالية للموظفين وإبلاغ اللجنة التنفيذية بأي تغييرات تطرأ عليها، ولا سيما فيما يتعلق بأي زيادة في مخصصات الميزانية</w:t>
      </w:r>
      <w:r w:rsidRPr="00223FD4">
        <w:t>.</w:t>
      </w:r>
    </w:p>
  </w:footnote>
  <w:footnote w:id="6">
    <w:p w14:paraId="27A03F0F" w14:textId="46273804" w:rsidR="00D2031E" w:rsidRPr="00266BFA" w:rsidRDefault="00D2031E" w:rsidP="00D2031E">
      <w:pPr>
        <w:pStyle w:val="FootnoteText"/>
        <w:bidi/>
      </w:pPr>
      <w:r w:rsidRPr="00223FD4">
        <w:rPr>
          <w:rStyle w:val="FootnoteReference"/>
          <w:rtl/>
          <w:lang w:eastAsia="ar" w:bidi="ar-EG"/>
        </w:rPr>
        <w:footnoteRef/>
      </w:r>
      <w:r w:rsidRPr="00223FD4">
        <w:rPr>
          <w:rtl/>
          <w:lang w:eastAsia="ar" w:bidi="ar-EG"/>
        </w:rPr>
        <w:t xml:space="preserve"> هذه تسوية قدرها 4,000 دو</w:t>
      </w:r>
      <w:r w:rsidRPr="00223FD4">
        <w:rPr>
          <w:lang w:eastAsia="ar" w:bidi="en-GB"/>
        </w:rPr>
        <w:t>ﻻ</w:t>
      </w:r>
      <w:r w:rsidRPr="00223FD4">
        <w:rPr>
          <w:rtl/>
          <w:lang w:eastAsia="ar" w:bidi="ar-EG"/>
        </w:rPr>
        <w:t>ر من دو</w:t>
      </w:r>
      <w:r w:rsidRPr="00223FD4">
        <w:rPr>
          <w:lang w:eastAsia="ar" w:bidi="en-GB"/>
        </w:rPr>
        <w:t>ﻻ</w:t>
      </w:r>
      <w:r w:rsidRPr="00223FD4">
        <w:rPr>
          <w:rtl/>
          <w:lang w:eastAsia="ar" w:bidi="ar-EG"/>
        </w:rPr>
        <w:t>رات الو</w:t>
      </w:r>
      <w:r w:rsidRPr="00223FD4">
        <w:rPr>
          <w:lang w:eastAsia="ar" w:bidi="en-GB"/>
        </w:rPr>
        <w:t>ﻻ</w:t>
      </w:r>
      <w:r w:rsidRPr="00223FD4">
        <w:rPr>
          <w:rtl/>
          <w:lang w:eastAsia="ar" w:bidi="ar-EG"/>
        </w:rPr>
        <w:t xml:space="preserve">يات المتحدة، تم إجراؤه وفقا للمقرر </w:t>
      </w:r>
      <w:r w:rsidR="0047065F">
        <w:rPr>
          <w:rFonts w:hint="cs"/>
          <w:rtl/>
          <w:lang w:eastAsia="ar" w:bidi="ar-EG"/>
        </w:rPr>
        <w:t>95</w:t>
      </w:r>
      <w:r w:rsidRPr="00223FD4">
        <w:rPr>
          <w:rtl/>
          <w:lang w:eastAsia="ar" w:bidi="ar-EG"/>
        </w:rPr>
        <w:t>/</w:t>
      </w:r>
      <w:r w:rsidR="0047065F">
        <w:rPr>
          <w:rFonts w:hint="cs"/>
          <w:rtl/>
          <w:lang w:eastAsia="ar" w:bidi="ar-EG"/>
        </w:rPr>
        <w:t>83</w:t>
      </w:r>
      <w:r w:rsidRPr="00223FD4">
        <w:rPr>
          <w:rtl/>
          <w:lang w:eastAsia="ar" w:bidi="ar-EG"/>
        </w:rPr>
        <w:t xml:space="preserve"> </w:t>
      </w:r>
      <w:r w:rsidR="0047065F">
        <w:rPr>
          <w:rFonts w:hint="cs"/>
          <w:rtl/>
          <w:lang w:eastAsia="ar" w:bidi="ar-EG"/>
        </w:rPr>
        <w:t>(</w:t>
      </w:r>
      <w:r w:rsidRPr="00223FD4">
        <w:rPr>
          <w:rtl/>
          <w:lang w:eastAsia="ar" w:bidi="ar-EG"/>
        </w:rPr>
        <w:t>ج</w:t>
      </w:r>
      <w:r w:rsidR="0047065F">
        <w:rPr>
          <w:rFonts w:hint="cs"/>
          <w:rtl/>
          <w:lang w:eastAsia="ar" w:bidi="ar-EG"/>
        </w:rPr>
        <w:t>)</w:t>
      </w:r>
      <w:r w:rsidRPr="00223FD4">
        <w:rPr>
          <w:rtl/>
          <w:lang w:eastAsia="ar" w:bidi="ar-EG"/>
        </w:rPr>
        <w:t xml:space="preserve"> </w:t>
      </w:r>
      <w:r w:rsidR="0047065F">
        <w:rPr>
          <w:rFonts w:hint="cs"/>
          <w:rtl/>
          <w:lang w:eastAsia="ar" w:bidi="ar-EG"/>
        </w:rPr>
        <w:t>(2)</w:t>
      </w:r>
      <w:r w:rsidRPr="00223FD4">
        <w:rPr>
          <w:rtl/>
          <w:lang w:eastAsia="ar" w:bidi="ar-EG"/>
        </w:rPr>
        <w:t xml:space="preserve"> الذي يسمح لبرنامج ا</w:t>
      </w:r>
      <w:r w:rsidRPr="00223FD4">
        <w:rPr>
          <w:lang w:eastAsia="ar" w:bidi="en-GB"/>
        </w:rPr>
        <w:t>ﻷ</w:t>
      </w:r>
      <w:r w:rsidRPr="00223FD4">
        <w:rPr>
          <w:rtl/>
          <w:lang w:eastAsia="ar" w:bidi="ar-EG"/>
        </w:rPr>
        <w:t xml:space="preserve">مم المتحدة للبيئة بتمديد ترتيب أولويات التمويل بين بنود ميزانية عملية برنامج المساعدة على الامتثال </w:t>
      </w:r>
      <w:r w:rsidRPr="00223FD4">
        <w:rPr>
          <w:lang w:eastAsia="ar" w:bidi="en-GB"/>
        </w:rPr>
        <w:t>ﻻ</w:t>
      </w:r>
      <w:r w:rsidRPr="00223FD4">
        <w:rPr>
          <w:rtl/>
          <w:lang w:eastAsia="ar" w:bidi="ar-EG"/>
        </w:rPr>
        <w:t>ستيعاب ا</w:t>
      </w:r>
      <w:r w:rsidRPr="00223FD4">
        <w:rPr>
          <w:lang w:eastAsia="ar" w:bidi="en-GB"/>
        </w:rPr>
        <w:t>ﻷ</w:t>
      </w:r>
      <w:r w:rsidRPr="00223FD4">
        <w:rPr>
          <w:rtl/>
          <w:lang w:eastAsia="ar" w:bidi="ar-EG"/>
        </w:rPr>
        <w:t>ولويات المتغيرة.</w:t>
      </w:r>
    </w:p>
  </w:footnote>
  <w:footnote w:id="7">
    <w:p w14:paraId="499FE9A1" w14:textId="115A433C" w:rsidR="00D2031E" w:rsidRDefault="00D2031E" w:rsidP="00D2031E">
      <w:pPr>
        <w:pStyle w:val="FootnoteText"/>
        <w:bidi/>
        <w:rPr>
          <w:lang w:val="en-US"/>
        </w:rPr>
      </w:pPr>
      <w:r>
        <w:rPr>
          <w:rStyle w:val="FootnoteReference"/>
          <w:rtl/>
          <w:lang w:eastAsia="ar" w:bidi="ar-EG"/>
        </w:rPr>
        <w:footnoteRef/>
      </w:r>
      <w:r>
        <w:rPr>
          <w:rtl/>
          <w:lang w:eastAsia="ar" w:bidi="ar-EG"/>
        </w:rPr>
        <w:t xml:space="preserve"> المقرر 95/83 (ج)(4): طلب من اليونيب أن يواصل في عمليات التقديم لميزانية برنامج المساعدة على الامتثال في المستقبل، تقديم ميزانية للسنة المعنية وتقريرا</w:t>
      </w:r>
      <w:r w:rsidR="00FD34CB">
        <w:rPr>
          <w:rFonts w:hint="cs"/>
          <w:rtl/>
          <w:lang w:eastAsia="ar" w:bidi="ar-EG"/>
        </w:rPr>
        <w:t>ً</w:t>
      </w:r>
      <w:r>
        <w:rPr>
          <w:rtl/>
          <w:lang w:eastAsia="ar" w:bidi="ar-EG"/>
        </w:rPr>
        <w:t xml:space="preserve"> عن التكاليف المتكبدة قبل السنة الأخيرة مع ملاحظة الفقرتين الفرعيتين (د)(2) و(د)(3). </w:t>
      </w:r>
    </w:p>
  </w:footnote>
  <w:footnote w:id="8">
    <w:p w14:paraId="16D2B4C2" w14:textId="17CE2D74" w:rsidR="00D2031E" w:rsidRDefault="00D2031E" w:rsidP="00D2031E">
      <w:pPr>
        <w:pStyle w:val="FootnoteText"/>
        <w:bidi/>
      </w:pPr>
      <w:r>
        <w:rPr>
          <w:rStyle w:val="FootnoteReference"/>
          <w:rtl/>
          <w:lang w:eastAsia="ar" w:bidi="ar-EG"/>
        </w:rPr>
        <w:footnoteRef/>
      </w:r>
      <w:r>
        <w:rPr>
          <w:rtl/>
          <w:lang w:eastAsia="ar" w:bidi="ar-EG"/>
        </w:rPr>
        <w:t xml:space="preserve"> يطلب المقرر </w:t>
      </w:r>
      <w:r w:rsidR="0047065F">
        <w:rPr>
          <w:rFonts w:hint="cs"/>
          <w:rtl/>
          <w:lang w:eastAsia="ar" w:bidi="ar-EG"/>
        </w:rPr>
        <w:t>95</w:t>
      </w:r>
      <w:r>
        <w:rPr>
          <w:rtl/>
          <w:lang w:eastAsia="ar" w:bidi="ar-EG"/>
        </w:rPr>
        <w:t>/</w:t>
      </w:r>
      <w:r w:rsidR="0047065F">
        <w:rPr>
          <w:rFonts w:hint="cs"/>
          <w:rtl/>
          <w:lang w:eastAsia="ar" w:bidi="ar-EG"/>
        </w:rPr>
        <w:t>83</w:t>
      </w:r>
      <w:r>
        <w:rPr>
          <w:rtl/>
          <w:lang w:eastAsia="ar" w:bidi="ar-EG"/>
        </w:rPr>
        <w:t xml:space="preserve"> </w:t>
      </w:r>
      <w:r w:rsidR="0047065F">
        <w:rPr>
          <w:rFonts w:hint="cs"/>
          <w:rtl/>
          <w:lang w:eastAsia="ar" w:bidi="ar-EG"/>
        </w:rPr>
        <w:t>(</w:t>
      </w:r>
      <w:r>
        <w:rPr>
          <w:rtl/>
          <w:lang w:eastAsia="ar" w:bidi="ar-EG"/>
        </w:rPr>
        <w:t>ج</w:t>
      </w:r>
      <w:r w:rsidR="0047065F">
        <w:rPr>
          <w:rFonts w:hint="cs"/>
          <w:rtl/>
          <w:lang w:eastAsia="ar" w:bidi="ar-EG"/>
        </w:rPr>
        <w:t>)</w:t>
      </w:r>
      <w:r>
        <w:rPr>
          <w:rtl/>
          <w:lang w:eastAsia="ar" w:bidi="ar-EG"/>
        </w:rPr>
        <w:t xml:space="preserve"> إلى اليونيب أن يواصل، في العروض المقبلة لميزانية عملية برنامج المساعدة على الامتثال: </w:t>
      </w:r>
      <w:r w:rsidR="0047065F">
        <w:rPr>
          <w:rFonts w:hint="cs"/>
          <w:rtl/>
          <w:lang w:eastAsia="ar" w:bidi="ar-EG"/>
        </w:rPr>
        <w:t>(1)</w:t>
      </w:r>
      <w:r>
        <w:rPr>
          <w:rtl/>
          <w:lang w:eastAsia="ar" w:bidi="ar-EG"/>
        </w:rPr>
        <w:t xml:space="preserve"> تقديم معلومات مفصلة عن ا</w:t>
      </w:r>
      <w:r>
        <w:rPr>
          <w:lang w:eastAsia="ar" w:bidi="en-GB"/>
        </w:rPr>
        <w:t>ﻷ</w:t>
      </w:r>
      <w:r>
        <w:rPr>
          <w:rtl/>
          <w:lang w:eastAsia="ar" w:bidi="ar-EG"/>
        </w:rPr>
        <w:t>نشطة التي ستستخدم فيها ا</w:t>
      </w:r>
      <w:r>
        <w:rPr>
          <w:lang w:eastAsia="ar" w:bidi="en-GB"/>
        </w:rPr>
        <w:t>ﻷ</w:t>
      </w:r>
      <w:r>
        <w:rPr>
          <w:rtl/>
          <w:lang w:eastAsia="ar" w:bidi="ar-EG"/>
        </w:rPr>
        <w:t xml:space="preserve">موال العالمية؛ </w:t>
      </w:r>
      <w:r w:rsidR="0047065F">
        <w:rPr>
          <w:rFonts w:hint="cs"/>
          <w:rtl/>
          <w:lang w:eastAsia="ar" w:bidi="ar-EG"/>
        </w:rPr>
        <w:t>(2)</w:t>
      </w:r>
      <w:r>
        <w:rPr>
          <w:rtl/>
          <w:lang w:eastAsia="ar" w:bidi="ar-EG"/>
        </w:rPr>
        <w:t xml:space="preserve"> توسيع نطاق ترتيب أولويات التمويل بين بنود ميزانية عملية برنامج المساعدة على الامتثال </w:t>
      </w:r>
      <w:r>
        <w:rPr>
          <w:lang w:eastAsia="ar" w:bidi="en-GB"/>
        </w:rPr>
        <w:t>ﻻ</w:t>
      </w:r>
      <w:r>
        <w:rPr>
          <w:rtl/>
          <w:lang w:eastAsia="ar" w:bidi="ar-EG"/>
        </w:rPr>
        <w:t>ستيعاب ا</w:t>
      </w:r>
      <w:r>
        <w:rPr>
          <w:lang w:eastAsia="ar" w:bidi="en-GB"/>
        </w:rPr>
        <w:t>ﻷ</w:t>
      </w:r>
      <w:r>
        <w:rPr>
          <w:rtl/>
          <w:lang w:eastAsia="ar" w:bidi="ar-EG"/>
        </w:rPr>
        <w:t>ولويات المتغيرة، وتقديم تفاصيل، عم</w:t>
      </w:r>
      <w:r>
        <w:rPr>
          <w:lang w:eastAsia="ar" w:bidi="en-GB"/>
        </w:rPr>
        <w:t>ﻻ</w:t>
      </w:r>
      <w:r>
        <w:rPr>
          <w:rtl/>
          <w:lang w:eastAsia="ar" w:bidi="ar-EG"/>
        </w:rPr>
        <w:t xml:space="preserve"> </w:t>
      </w:r>
      <w:hyperlink r:id="rId1" w:history="1">
        <w:r w:rsidRPr="0052245C">
          <w:rPr>
            <w:rtl/>
            <w:lang w:eastAsia="ar" w:bidi="ar-EG"/>
          </w:rPr>
          <w:t xml:space="preserve">بالمقررين </w:t>
        </w:r>
        <w:r w:rsidR="0047065F">
          <w:rPr>
            <w:rFonts w:hint="cs"/>
            <w:rtl/>
            <w:lang w:eastAsia="ar" w:bidi="ar-EG"/>
          </w:rPr>
          <w:t>47</w:t>
        </w:r>
        <w:r w:rsidRPr="0052245C">
          <w:rPr>
            <w:rtl/>
            <w:lang w:eastAsia="ar" w:bidi="ar-EG"/>
          </w:rPr>
          <w:t>/</w:t>
        </w:r>
        <w:r w:rsidR="0047065F">
          <w:rPr>
            <w:rFonts w:hint="cs"/>
            <w:rtl/>
            <w:lang w:eastAsia="ar" w:bidi="ar-EG"/>
          </w:rPr>
          <w:t>24</w:t>
        </w:r>
      </w:hyperlink>
      <w:r>
        <w:rPr>
          <w:rtl/>
          <w:lang w:eastAsia="ar" w:bidi="ar-EG"/>
        </w:rPr>
        <w:t xml:space="preserve"> </w:t>
      </w:r>
      <w:hyperlink r:id="rId2" w:history="1">
        <w:r w:rsidRPr="0052245C">
          <w:rPr>
            <w:rtl/>
            <w:lang w:eastAsia="ar" w:bidi="ar-EG"/>
          </w:rPr>
          <w:t xml:space="preserve">و </w:t>
        </w:r>
        <w:r w:rsidR="0047065F">
          <w:rPr>
            <w:rFonts w:hint="cs"/>
            <w:rtl/>
            <w:lang w:eastAsia="ar" w:bidi="ar-EG"/>
          </w:rPr>
          <w:t>50</w:t>
        </w:r>
        <w:r w:rsidRPr="0052245C">
          <w:rPr>
            <w:rtl/>
            <w:lang w:eastAsia="ar" w:bidi="ar-EG"/>
          </w:rPr>
          <w:t>/</w:t>
        </w:r>
        <w:r w:rsidR="0047065F">
          <w:rPr>
            <w:rFonts w:hint="cs"/>
            <w:rtl/>
            <w:lang w:eastAsia="ar" w:bidi="ar-EG"/>
          </w:rPr>
          <w:t>26</w:t>
        </w:r>
        <w:r w:rsidRPr="0052245C">
          <w:rPr>
            <w:rtl/>
            <w:lang w:eastAsia="ar" w:bidi="ar-EG"/>
          </w:rPr>
          <w:t>،</w:t>
        </w:r>
      </w:hyperlink>
      <w:r>
        <w:rPr>
          <w:rtl/>
          <w:lang w:eastAsia="ar" w:bidi="ar-EG"/>
        </w:rPr>
        <w:t xml:space="preserve"> عن عمليات إعادة التخصيص التي تمت؛</w:t>
      </w:r>
      <w:r w:rsidR="0047065F">
        <w:rPr>
          <w:rFonts w:hint="cs"/>
          <w:rtl/>
          <w:lang w:eastAsia="ar" w:bidi="ar-EG"/>
        </w:rPr>
        <w:t xml:space="preserve"> (3)</w:t>
      </w:r>
      <w:r>
        <w:rPr>
          <w:rtl/>
          <w:lang w:eastAsia="ar" w:bidi="ar-EG"/>
        </w:rPr>
        <w:t xml:space="preserve"> تقديم تقارير عن مستويات الوظائف الحالية للموظفين و</w:t>
      </w:r>
      <w:r w:rsidR="00B543EE">
        <w:rPr>
          <w:rFonts w:hint="cs"/>
          <w:rtl/>
          <w:lang w:eastAsia="ar" w:bidi="ar-EG"/>
        </w:rPr>
        <w:t xml:space="preserve">إبلاغ </w:t>
      </w:r>
      <w:r>
        <w:rPr>
          <w:rtl/>
          <w:lang w:eastAsia="ar" w:bidi="ar-EG"/>
        </w:rPr>
        <w:t>اللجنة التنفيذية بأي تغييرات تطرأ عليها، و</w:t>
      </w:r>
      <w:r>
        <w:rPr>
          <w:lang w:eastAsia="ar" w:bidi="en-GB"/>
        </w:rPr>
        <w:t>ﻻ</w:t>
      </w:r>
      <w:r>
        <w:rPr>
          <w:rtl/>
          <w:lang w:eastAsia="ar" w:bidi="ar-EG"/>
        </w:rPr>
        <w:t xml:space="preserve"> سيما فيما يتعلق بأي زيادة في مخصصات الميزانية.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4B1D6" w14:textId="592ABF0F" w:rsidR="007E5D09" w:rsidRDefault="00D2031E">
    <w:fldSimple w:instr=" DOCPROPERTY &quot;Document number&quot;  \* MERGEFORMAT ">
      <w:r>
        <w:t>UNEP/OzL.Pro/ExCom</w:t>
      </w:r>
      <w:r w:rsidRPr="00832008">
        <w:rPr>
          <w:szCs w:val="24"/>
        </w:rPr>
        <w:t>/97/</w:t>
      </w:r>
      <w:r w:rsidR="00832008" w:rsidRPr="00832008">
        <w:rPr>
          <w:rFonts w:hint="cs"/>
          <w:szCs w:val="24"/>
          <w:rtl/>
        </w:rPr>
        <w:t>83</w:t>
      </w:r>
    </w:fldSimple>
  </w:p>
  <w:p w14:paraId="6527209A" w14:textId="77777777" w:rsidR="007E5D09" w:rsidRDefault="007E5D09"/>
  <w:p w14:paraId="291AA730"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7D9F" w14:textId="4896AAD7" w:rsidR="007E5D09" w:rsidRDefault="00D2031E">
    <w:pPr>
      <w:jc w:val="right"/>
    </w:pPr>
    <w:fldSimple w:instr=" DOCPROPERTY &quot;Document number&quot;  \* MERGEFORMAT ">
      <w:r>
        <w:t>UNEP/OzL.Pro/ExCom/9</w:t>
      </w:r>
      <w:r w:rsidRPr="00832008">
        <w:rPr>
          <w:szCs w:val="24"/>
        </w:rPr>
        <w:t>7/</w:t>
      </w:r>
      <w:r w:rsidR="00832008" w:rsidRPr="00832008">
        <w:rPr>
          <w:rFonts w:hint="cs"/>
          <w:szCs w:val="24"/>
          <w:rtl/>
        </w:rPr>
        <w:t>83</w:t>
      </w:r>
    </w:fldSimple>
  </w:p>
  <w:p w14:paraId="09303D44" w14:textId="77777777" w:rsidR="007E5D09" w:rsidRDefault="007E5D09"/>
  <w:p w14:paraId="1AAB20F6"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54F46" w14:textId="77777777" w:rsidR="00F25EE8" w:rsidRDefault="00F25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4249284"/>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1334C53"/>
    <w:multiLevelType w:val="multilevel"/>
    <w:tmpl w:val="E5EE6058"/>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sz w:val="26"/>
        <w:szCs w:val="26"/>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18"/>
  </w:num>
  <w:num w:numId="20" w16cid:durableId="1935045211">
    <w:abstractNumId w:val="15"/>
  </w:num>
  <w:num w:numId="21" w16cid:durableId="1318917148">
    <w:abstractNumId w:val="11"/>
  </w:num>
  <w:num w:numId="22" w16cid:durableId="1824200708">
    <w:abstractNumId w:val="14"/>
  </w:num>
  <w:num w:numId="23" w16cid:durableId="462693637">
    <w:abstractNumId w:val="10"/>
  </w:num>
  <w:num w:numId="24" w16cid:durableId="38090832">
    <w:abstractNumId w:val="10"/>
  </w:num>
  <w:num w:numId="25" w16cid:durableId="1237517053">
    <w:abstractNumId w:val="10"/>
  </w:num>
  <w:num w:numId="26" w16cid:durableId="1840804714">
    <w:abstractNumId w:val="10"/>
  </w:num>
  <w:num w:numId="27" w16cid:durableId="755632483">
    <w:abstractNumId w:val="10"/>
  </w:num>
  <w:num w:numId="28" w16cid:durableId="672296567">
    <w:abstractNumId w:val="10"/>
  </w:num>
  <w:num w:numId="29" w16cid:durableId="827064405">
    <w:abstractNumId w:val="10"/>
  </w:num>
  <w:num w:numId="30" w16cid:durableId="1146122915">
    <w:abstractNumId w:val="10"/>
  </w:num>
  <w:num w:numId="31" w16cid:durableId="1836342251">
    <w:abstractNumId w:val="10"/>
  </w:num>
  <w:num w:numId="32" w16cid:durableId="1894199457">
    <w:abstractNumId w:val="10"/>
  </w:num>
  <w:num w:numId="33" w16cid:durableId="1609308713">
    <w:abstractNumId w:val="10"/>
  </w:num>
  <w:num w:numId="34" w16cid:durableId="321929701">
    <w:abstractNumId w:val="10"/>
  </w:num>
  <w:num w:numId="35" w16cid:durableId="2064449856">
    <w:abstractNumId w:val="10"/>
  </w:num>
  <w:num w:numId="36" w16cid:durableId="317805884">
    <w:abstractNumId w:val="10"/>
  </w:num>
  <w:num w:numId="37" w16cid:durableId="525365191">
    <w:abstractNumId w:val="10"/>
  </w:num>
  <w:num w:numId="38" w16cid:durableId="1712194600">
    <w:abstractNumId w:val="10"/>
  </w:num>
  <w:num w:numId="39" w16cid:durableId="2062048133">
    <w:abstractNumId w:val="10"/>
  </w:num>
  <w:num w:numId="40" w16cid:durableId="577642920">
    <w:abstractNumId w:val="10"/>
  </w:num>
  <w:num w:numId="41" w16cid:durableId="52119235">
    <w:abstractNumId w:val="10"/>
  </w:num>
  <w:num w:numId="42" w16cid:durableId="91097243">
    <w:abstractNumId w:val="10"/>
  </w:num>
  <w:num w:numId="43" w16cid:durableId="1872299309">
    <w:abstractNumId w:val="10"/>
  </w:num>
  <w:num w:numId="44" w16cid:durableId="1735354488">
    <w:abstractNumId w:val="10"/>
  </w:num>
  <w:num w:numId="45" w16cid:durableId="500317845">
    <w:abstractNumId w:val="10"/>
  </w:num>
  <w:num w:numId="46" w16cid:durableId="1604921094">
    <w:abstractNumId w:val="10"/>
  </w:num>
  <w:num w:numId="47" w16cid:durableId="433668652">
    <w:abstractNumId w:val="10"/>
  </w:num>
  <w:num w:numId="48" w16cid:durableId="1471626526">
    <w:abstractNumId w:val="12"/>
  </w:num>
  <w:num w:numId="49" w16cid:durableId="127030846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31E"/>
    <w:rsid w:val="000109E3"/>
    <w:rsid w:val="00013372"/>
    <w:rsid w:val="00017133"/>
    <w:rsid w:val="0002642B"/>
    <w:rsid w:val="0003197D"/>
    <w:rsid w:val="0004254A"/>
    <w:rsid w:val="000861FE"/>
    <w:rsid w:val="000967AA"/>
    <w:rsid w:val="00097D58"/>
    <w:rsid w:val="000C2FE8"/>
    <w:rsid w:val="000C666B"/>
    <w:rsid w:val="000E0770"/>
    <w:rsid w:val="000E1354"/>
    <w:rsid w:val="001002E7"/>
    <w:rsid w:val="00144FC0"/>
    <w:rsid w:val="0016706E"/>
    <w:rsid w:val="00170997"/>
    <w:rsid w:val="001B5C91"/>
    <w:rsid w:val="001C0D0E"/>
    <w:rsid w:val="001D2B45"/>
    <w:rsid w:val="001F0283"/>
    <w:rsid w:val="0022104F"/>
    <w:rsid w:val="002B535E"/>
    <w:rsid w:val="002C441F"/>
    <w:rsid w:val="002E6A6F"/>
    <w:rsid w:val="002E7EF7"/>
    <w:rsid w:val="002F505F"/>
    <w:rsid w:val="00324469"/>
    <w:rsid w:val="0032579D"/>
    <w:rsid w:val="00330102"/>
    <w:rsid w:val="0035441C"/>
    <w:rsid w:val="00377E9D"/>
    <w:rsid w:val="00392DDC"/>
    <w:rsid w:val="00393115"/>
    <w:rsid w:val="003A4F11"/>
    <w:rsid w:val="003C2491"/>
    <w:rsid w:val="003C2739"/>
    <w:rsid w:val="003F2852"/>
    <w:rsid w:val="00416AD7"/>
    <w:rsid w:val="0047065F"/>
    <w:rsid w:val="004C5B74"/>
    <w:rsid w:val="005124AA"/>
    <w:rsid w:val="0053096E"/>
    <w:rsid w:val="00546241"/>
    <w:rsid w:val="00583F2A"/>
    <w:rsid w:val="00584ED8"/>
    <w:rsid w:val="005B65DF"/>
    <w:rsid w:val="005C7D4A"/>
    <w:rsid w:val="00624AEF"/>
    <w:rsid w:val="00662A73"/>
    <w:rsid w:val="00665E5C"/>
    <w:rsid w:val="006759DA"/>
    <w:rsid w:val="006A25FE"/>
    <w:rsid w:val="006B6F43"/>
    <w:rsid w:val="006F2A2C"/>
    <w:rsid w:val="00702662"/>
    <w:rsid w:val="00762621"/>
    <w:rsid w:val="00786775"/>
    <w:rsid w:val="00791A1A"/>
    <w:rsid w:val="007B7442"/>
    <w:rsid w:val="007C3C73"/>
    <w:rsid w:val="007C6EF9"/>
    <w:rsid w:val="007D141D"/>
    <w:rsid w:val="007D567C"/>
    <w:rsid w:val="007E20B0"/>
    <w:rsid w:val="007E5D09"/>
    <w:rsid w:val="00832008"/>
    <w:rsid w:val="0084173D"/>
    <w:rsid w:val="0085610C"/>
    <w:rsid w:val="00872D99"/>
    <w:rsid w:val="00885865"/>
    <w:rsid w:val="008B7BCA"/>
    <w:rsid w:val="008E2901"/>
    <w:rsid w:val="008E3DF3"/>
    <w:rsid w:val="0090339C"/>
    <w:rsid w:val="009073B0"/>
    <w:rsid w:val="00920424"/>
    <w:rsid w:val="00934DE9"/>
    <w:rsid w:val="00971762"/>
    <w:rsid w:val="00983FD1"/>
    <w:rsid w:val="00986A7D"/>
    <w:rsid w:val="009A0A29"/>
    <w:rsid w:val="009A5140"/>
    <w:rsid w:val="009C46B2"/>
    <w:rsid w:val="009E3DBB"/>
    <w:rsid w:val="00A44778"/>
    <w:rsid w:val="00A62048"/>
    <w:rsid w:val="00A755B6"/>
    <w:rsid w:val="00A907AD"/>
    <w:rsid w:val="00AB4886"/>
    <w:rsid w:val="00AE7157"/>
    <w:rsid w:val="00B11DB6"/>
    <w:rsid w:val="00B34D29"/>
    <w:rsid w:val="00B40E87"/>
    <w:rsid w:val="00B543EE"/>
    <w:rsid w:val="00B81E83"/>
    <w:rsid w:val="00B9237B"/>
    <w:rsid w:val="00BB1C42"/>
    <w:rsid w:val="00BF04B6"/>
    <w:rsid w:val="00C0337B"/>
    <w:rsid w:val="00C27B58"/>
    <w:rsid w:val="00C4331C"/>
    <w:rsid w:val="00C55EF2"/>
    <w:rsid w:val="00C6339C"/>
    <w:rsid w:val="00C7391D"/>
    <w:rsid w:val="00C83E39"/>
    <w:rsid w:val="00C849FD"/>
    <w:rsid w:val="00D006A9"/>
    <w:rsid w:val="00D2031E"/>
    <w:rsid w:val="00D34512"/>
    <w:rsid w:val="00D35914"/>
    <w:rsid w:val="00D439F3"/>
    <w:rsid w:val="00D45C4D"/>
    <w:rsid w:val="00D46A96"/>
    <w:rsid w:val="00D6339B"/>
    <w:rsid w:val="00DA0A0B"/>
    <w:rsid w:val="00DA5E3D"/>
    <w:rsid w:val="00DD4F9A"/>
    <w:rsid w:val="00E07AD7"/>
    <w:rsid w:val="00E1360E"/>
    <w:rsid w:val="00E24424"/>
    <w:rsid w:val="00E27B62"/>
    <w:rsid w:val="00E54B59"/>
    <w:rsid w:val="00E86EBE"/>
    <w:rsid w:val="00EA617F"/>
    <w:rsid w:val="00EC108E"/>
    <w:rsid w:val="00ED1B9D"/>
    <w:rsid w:val="00EF566C"/>
    <w:rsid w:val="00F25EE8"/>
    <w:rsid w:val="00F51262"/>
    <w:rsid w:val="00F9128A"/>
    <w:rsid w:val="00F9523B"/>
    <w:rsid w:val="00FD34C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8983C"/>
  <w15:docId w15:val="{5BD1A02B-C09D-48A8-BE4D-B1D69BD18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multilateralfund.org/resources/decisions/decision-5026" TargetMode="External"/><Relationship Id="rId1" Type="http://schemas.openxmlformats.org/officeDocument/2006/relationships/hyperlink" Target="https://multilateralfund.org/resources/decisions/decision-47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October%202025\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7131F79A-6A8D-428C-8149-C165DE24D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4</TotalTime>
  <Pages>11</Pages>
  <Words>15167</Words>
  <Characters>17444</Characters>
  <Application>Microsoft Office Word</Application>
  <DocSecurity>0</DocSecurity>
  <Lines>726</Lines>
  <Paragraphs>582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Xue He Yan</cp:lastModifiedBy>
  <cp:revision>4</cp:revision>
  <cp:lastPrinted>2025-02-10T16:42:00Z</cp:lastPrinted>
  <dcterms:created xsi:type="dcterms:W3CDTF">2025-11-02T13:18:00Z</dcterms:created>
  <dcterms:modified xsi:type="dcterms:W3CDTF">2025-11-02T19:50:00Z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UNEP/OzL.Pro/ExCom/97/83</vt:lpwstr>
  </property>
  <property fmtid="{D5CDD505-2E9C-101B-9397-08002B2CF9AE}" pid="3" name="Revision date">
    <vt:lpwstr>30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