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7" w:type="dxa"/>
        <w:tblInd w:w="-432" w:type="dxa"/>
        <w:tblLayout w:type="fixed"/>
        <w:tblLook w:val="0000" w:firstRow="0" w:lastRow="0" w:firstColumn="0" w:lastColumn="0" w:noHBand="0" w:noVBand="0"/>
      </w:tblPr>
      <w:tblGrid>
        <w:gridCol w:w="1928"/>
        <w:gridCol w:w="3574"/>
        <w:gridCol w:w="4275"/>
      </w:tblGrid>
      <w:tr w:rsidR="00375C62" w14:paraId="7499A273" w14:textId="77777777" w:rsidTr="003A438C">
        <w:trPr>
          <w:trHeight w:val="693"/>
        </w:trPr>
        <w:tc>
          <w:tcPr>
            <w:tcW w:w="5502" w:type="dxa"/>
            <w:gridSpan w:val="2"/>
            <w:tcBorders>
              <w:bottom w:val="single" w:sz="18" w:space="0" w:color="auto"/>
            </w:tcBorders>
            <w:vAlign w:val="bottom"/>
          </w:tcPr>
          <w:p w14:paraId="4C5B2486" w14:textId="77777777" w:rsidR="00375C62" w:rsidRDefault="00375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bookmarkStart w:id="0" w:name="_GoBack"/>
            <w:bookmarkEnd w:id="0"/>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275" w:type="dxa"/>
            <w:tcBorders>
              <w:bottom w:val="single" w:sz="18" w:space="0" w:color="auto"/>
            </w:tcBorders>
          </w:tcPr>
          <w:p w14:paraId="5F951027" w14:textId="77777777" w:rsidR="00375C62" w:rsidRDefault="00375C62">
            <w:pPr>
              <w:jc w:val="right"/>
              <w:rPr>
                <w:sz w:val="52"/>
                <w:szCs w:val="24"/>
              </w:rPr>
            </w:pPr>
            <w:r>
              <w:rPr>
                <w:rFonts w:ascii="Univers Bold" w:hAnsi="Univers Bold"/>
                <w:b/>
                <w:noProof/>
                <w:sz w:val="72"/>
                <w:szCs w:val="24"/>
              </w:rPr>
              <w:t>EP</w:t>
            </w:r>
          </w:p>
        </w:tc>
      </w:tr>
      <w:tr w:rsidR="00375C62" w14:paraId="52F187BB" w14:textId="77777777" w:rsidTr="003A43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928" w:type="dxa"/>
            <w:tcBorders>
              <w:top w:val="nil"/>
              <w:left w:val="nil"/>
              <w:bottom w:val="single" w:sz="36" w:space="0" w:color="auto"/>
              <w:right w:val="nil"/>
            </w:tcBorders>
          </w:tcPr>
          <w:p w14:paraId="44FA0066" w14:textId="6AC1AFFE" w:rsidR="00375C62" w:rsidRDefault="003A438C">
            <w:pPr>
              <w:spacing w:before="120"/>
              <w:rPr>
                <w:szCs w:val="24"/>
              </w:rPr>
            </w:pPr>
            <w:r>
              <w:rPr>
                <w:noProof/>
                <w:lang w:eastAsia="en-CA"/>
              </w:rPr>
              <mc:AlternateContent>
                <mc:Choice Requires="wpg">
                  <w:drawing>
                    <wp:anchor distT="0" distB="0" distL="114300" distR="114300" simplePos="0" relativeHeight="251658240" behindDoc="0" locked="0" layoutInCell="1" allowOverlap="1" wp14:anchorId="1E81F64F" wp14:editId="691521E1">
                      <wp:simplePos x="0" y="0"/>
                      <wp:positionH relativeFrom="column">
                        <wp:posOffset>2540</wp:posOffset>
                      </wp:positionH>
                      <wp:positionV relativeFrom="paragraph">
                        <wp:posOffset>36195</wp:posOffset>
                      </wp:positionV>
                      <wp:extent cx="948055" cy="1524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8055" cy="1524000"/>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A32747" id="Group 1" o:spid="_x0000_s1026" style="position:absolute;margin-left:.2pt;margin-top:2.85pt;width:74.65pt;height:120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574" w:type="dxa"/>
            <w:tcBorders>
              <w:top w:val="nil"/>
              <w:left w:val="nil"/>
              <w:bottom w:val="single" w:sz="36" w:space="0" w:color="auto"/>
              <w:right w:val="nil"/>
            </w:tcBorders>
          </w:tcPr>
          <w:p w14:paraId="5DAE373E" w14:textId="77777777" w:rsidR="006102BD" w:rsidRDefault="006102BD" w:rsidP="00FA10F3">
            <w:pPr>
              <w:rPr>
                <w:rFonts w:ascii="SimHei"/>
                <w:noProof/>
                <w:color w:val="000000"/>
                <w:sz w:val="44"/>
                <w:szCs w:val="24"/>
              </w:rPr>
            </w:pPr>
          </w:p>
          <w:p w14:paraId="5E7ADD4E" w14:textId="1C3CA5B8" w:rsidR="00375C62" w:rsidRDefault="00375C62" w:rsidP="00FA10F3">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6292438C" w14:textId="77777777" w:rsidR="00375C62" w:rsidRDefault="00375C62" w:rsidP="003A43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203634B1" w14:textId="77777777" w:rsidR="00375C62" w:rsidRDefault="00375C62" w:rsidP="00FA10F3">
            <w:pPr>
              <w:ind w:left="158"/>
              <w:rPr>
                <w:szCs w:val="24"/>
              </w:rPr>
            </w:pPr>
          </w:p>
        </w:tc>
        <w:tc>
          <w:tcPr>
            <w:tcW w:w="4275" w:type="dxa"/>
            <w:tcBorders>
              <w:top w:val="nil"/>
              <w:left w:val="nil"/>
              <w:bottom w:val="single" w:sz="36" w:space="0" w:color="auto"/>
              <w:right w:val="nil"/>
            </w:tcBorders>
          </w:tcPr>
          <w:p w14:paraId="07771D9C" w14:textId="77777777" w:rsidR="006102BD" w:rsidRDefault="006102BD">
            <w:pPr>
              <w:rPr>
                <w:noProof/>
                <w:szCs w:val="24"/>
              </w:rPr>
            </w:pPr>
          </w:p>
          <w:p w14:paraId="5A90342E" w14:textId="02AED03B" w:rsidR="00375C62" w:rsidRDefault="00375C62">
            <w:pPr>
              <w:rPr>
                <w:szCs w:val="24"/>
              </w:rPr>
            </w:pPr>
            <w:r>
              <w:rPr>
                <w:noProof/>
                <w:szCs w:val="24"/>
              </w:rPr>
              <w:t>Distr.</w:t>
            </w:r>
          </w:p>
          <w:p w14:paraId="692EA64B" w14:textId="77777777" w:rsidR="00375C62" w:rsidRDefault="00375C62">
            <w:pPr>
              <w:rPr>
                <w:szCs w:val="24"/>
              </w:rPr>
            </w:pPr>
            <w:r>
              <w:rPr>
                <w:noProof/>
                <w:szCs w:val="24"/>
              </w:rPr>
              <w:t>GENERAL</w:t>
            </w:r>
          </w:p>
          <w:p w14:paraId="3DAE866E" w14:textId="77777777" w:rsidR="00375C62" w:rsidRDefault="00375C62">
            <w:pPr>
              <w:rPr>
                <w:szCs w:val="24"/>
              </w:rPr>
            </w:pPr>
          </w:p>
          <w:p w14:paraId="0E333A7F" w14:textId="5E5F21A0" w:rsidR="00375C62" w:rsidRDefault="002920B8">
            <w:pPr>
              <w:rPr>
                <w:szCs w:val="24"/>
              </w:rPr>
            </w:pPr>
            <w:r>
              <w:fldChar w:fldCharType="begin"/>
            </w:r>
            <w:r>
              <w:instrText xml:space="preserve"> DOCPROPERTY "Document number"  \* MERGEFORMAT </w:instrText>
            </w:r>
            <w:r>
              <w:fldChar w:fldCharType="separate"/>
            </w:r>
            <w:r w:rsidR="003A438C" w:rsidRPr="003A438C">
              <w:rPr>
                <w:szCs w:val="24"/>
              </w:rPr>
              <w:t>UNEP/</w:t>
            </w:r>
            <w:proofErr w:type="spellStart"/>
            <w:r w:rsidR="003A438C" w:rsidRPr="003A438C">
              <w:rPr>
                <w:szCs w:val="24"/>
              </w:rPr>
              <w:t>OzL.Pro</w:t>
            </w:r>
            <w:proofErr w:type="spellEnd"/>
            <w:r w:rsidR="003A438C" w:rsidRPr="003A438C">
              <w:rPr>
                <w:szCs w:val="24"/>
              </w:rPr>
              <w:t>/</w:t>
            </w:r>
            <w:proofErr w:type="spellStart"/>
            <w:r w:rsidR="003A438C" w:rsidRPr="003A438C">
              <w:rPr>
                <w:szCs w:val="24"/>
              </w:rPr>
              <w:t>ExCom</w:t>
            </w:r>
            <w:proofErr w:type="spellEnd"/>
            <w:r w:rsidR="003A438C" w:rsidRPr="003A438C">
              <w:rPr>
                <w:szCs w:val="24"/>
              </w:rPr>
              <w:t>/88/68</w:t>
            </w:r>
            <w:r>
              <w:rPr>
                <w:szCs w:val="24"/>
              </w:rPr>
              <w:fldChar w:fldCharType="end"/>
            </w:r>
          </w:p>
          <w:p w14:paraId="5E57CF69" w14:textId="77777777" w:rsidR="00375C62" w:rsidRDefault="00375C62">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12 November 2021</w:t>
            </w:r>
            <w:r>
              <w:rPr>
                <w:szCs w:val="24"/>
              </w:rPr>
              <w:fldChar w:fldCharType="end"/>
            </w:r>
          </w:p>
          <w:p w14:paraId="69BCCE9A" w14:textId="77777777" w:rsidR="00375C62" w:rsidRDefault="00375C62">
            <w:pPr>
              <w:rPr>
                <w:caps/>
                <w:szCs w:val="24"/>
              </w:rPr>
            </w:pPr>
          </w:p>
          <w:p w14:paraId="0B4ED386" w14:textId="77777777" w:rsidR="00375C62" w:rsidRDefault="00375C62">
            <w:pPr>
              <w:rPr>
                <w:noProof/>
                <w:szCs w:val="24"/>
              </w:rPr>
            </w:pPr>
            <w:r>
              <w:rPr>
                <w:noProof/>
                <w:szCs w:val="24"/>
              </w:rPr>
              <w:t>CHINESE</w:t>
            </w:r>
          </w:p>
          <w:p w14:paraId="6A156C88" w14:textId="77777777" w:rsidR="00375C62" w:rsidRDefault="00375C62">
            <w:pPr>
              <w:rPr>
                <w:szCs w:val="24"/>
              </w:rPr>
            </w:pPr>
            <w:r>
              <w:rPr>
                <w:noProof/>
                <w:szCs w:val="24"/>
              </w:rPr>
              <w:t>ORIGINAL:</w:t>
            </w:r>
            <w:r>
              <w:rPr>
                <w:szCs w:val="24"/>
              </w:rPr>
              <w:t xml:space="preserve"> </w:t>
            </w:r>
            <w:r>
              <w:rPr>
                <w:noProof/>
                <w:szCs w:val="24"/>
              </w:rPr>
              <w:t>ENGLISH</w:t>
            </w:r>
          </w:p>
        </w:tc>
      </w:tr>
    </w:tbl>
    <w:p w14:paraId="16F0E11C" w14:textId="77777777" w:rsidR="00375C62" w:rsidRPr="00051876" w:rsidRDefault="00375C62">
      <w:pPr>
        <w:jc w:val="left"/>
        <w:rPr>
          <w:sz w:val="24"/>
          <w:szCs w:val="24"/>
        </w:rPr>
      </w:pPr>
      <w:r w:rsidRPr="00051876">
        <w:rPr>
          <w:rFonts w:hint="eastAsia"/>
          <w:sz w:val="24"/>
          <w:szCs w:val="24"/>
          <w:lang w:val="zh-CN"/>
        </w:rPr>
        <w:t>执行蒙特利尔议定书</w:t>
      </w:r>
      <w:r w:rsidRPr="00051876">
        <w:rPr>
          <w:sz w:val="24"/>
          <w:szCs w:val="24"/>
        </w:rPr>
        <w:br/>
        <w:t xml:space="preserve"> </w:t>
      </w:r>
      <w:r w:rsidRPr="00051876">
        <w:rPr>
          <w:rFonts w:hint="eastAsia"/>
          <w:sz w:val="24"/>
          <w:szCs w:val="24"/>
          <w:lang w:val="zh-CN"/>
        </w:rPr>
        <w:t>多边基金执行委员会</w:t>
      </w:r>
      <w:r w:rsidRPr="00051876">
        <w:rPr>
          <w:sz w:val="24"/>
          <w:szCs w:val="24"/>
        </w:rPr>
        <w:br/>
      </w:r>
      <w:r w:rsidRPr="00051876">
        <w:rPr>
          <w:rFonts w:hint="eastAsia"/>
          <w:sz w:val="24"/>
          <w:szCs w:val="24"/>
          <w:lang w:val="zh-CN"/>
        </w:rPr>
        <w:t>第八十八次会议</w:t>
      </w:r>
    </w:p>
    <w:p w14:paraId="31F8B049" w14:textId="77777777" w:rsidR="00375C62" w:rsidRPr="00051876" w:rsidRDefault="00375C62">
      <w:pPr>
        <w:jc w:val="left"/>
        <w:rPr>
          <w:sz w:val="24"/>
          <w:szCs w:val="24"/>
        </w:rPr>
      </w:pPr>
      <w:smartTag w:uri="urn:schemas-microsoft-com:office:smarttags" w:element="chsdate">
        <w:smartTagPr>
          <w:attr w:name="IsROCDate" w:val="False"/>
          <w:attr w:name="IsLunarDate" w:val="False"/>
          <w:attr w:name="Day" w:val="15"/>
          <w:attr w:name="Month" w:val="11"/>
          <w:attr w:name="Year" w:val="2021"/>
        </w:smartTagPr>
        <w:r w:rsidRPr="00051876">
          <w:rPr>
            <w:sz w:val="24"/>
            <w:szCs w:val="24"/>
          </w:rPr>
          <w:t>2021</w:t>
        </w:r>
        <w:r w:rsidRPr="00051876">
          <w:rPr>
            <w:rFonts w:hint="eastAsia"/>
            <w:sz w:val="24"/>
            <w:szCs w:val="24"/>
            <w:lang w:val="zh-CN"/>
          </w:rPr>
          <w:t>年</w:t>
        </w:r>
        <w:r w:rsidRPr="00051876">
          <w:rPr>
            <w:sz w:val="24"/>
            <w:szCs w:val="24"/>
          </w:rPr>
          <w:t>11</w:t>
        </w:r>
        <w:r w:rsidRPr="00051876">
          <w:rPr>
            <w:rFonts w:hint="eastAsia"/>
            <w:sz w:val="24"/>
            <w:szCs w:val="24"/>
            <w:lang w:val="zh-CN"/>
          </w:rPr>
          <w:t>月</w:t>
        </w:r>
        <w:r w:rsidRPr="00051876">
          <w:rPr>
            <w:sz w:val="24"/>
            <w:szCs w:val="24"/>
          </w:rPr>
          <w:t>15</w:t>
        </w:r>
        <w:r w:rsidRPr="00051876">
          <w:rPr>
            <w:rFonts w:hint="eastAsia"/>
            <w:sz w:val="24"/>
            <w:szCs w:val="24"/>
            <w:lang w:val="zh-CN"/>
          </w:rPr>
          <w:t>日</w:t>
        </w:r>
      </w:smartTag>
      <w:r w:rsidRPr="00051876">
        <w:rPr>
          <w:rFonts w:hint="eastAsia"/>
          <w:sz w:val="24"/>
          <w:szCs w:val="24"/>
          <w:lang w:val="zh-CN"/>
        </w:rPr>
        <w:t>至</w:t>
      </w:r>
      <w:r w:rsidRPr="00051876">
        <w:rPr>
          <w:sz w:val="24"/>
          <w:szCs w:val="24"/>
        </w:rPr>
        <w:t>19</w:t>
      </w:r>
      <w:r w:rsidRPr="00051876">
        <w:rPr>
          <w:rFonts w:hint="eastAsia"/>
          <w:sz w:val="24"/>
          <w:szCs w:val="24"/>
          <w:lang w:val="zh-CN"/>
        </w:rPr>
        <w:t>日</w:t>
      </w:r>
      <w:r w:rsidRPr="00051876">
        <w:rPr>
          <w:rFonts w:hint="eastAsia"/>
          <w:sz w:val="24"/>
          <w:szCs w:val="24"/>
        </w:rPr>
        <w:t>，</w:t>
      </w:r>
      <w:r w:rsidRPr="00051876">
        <w:rPr>
          <w:rFonts w:hint="eastAsia"/>
          <w:sz w:val="24"/>
          <w:szCs w:val="24"/>
          <w:lang w:val="zh-CN"/>
        </w:rPr>
        <w:t>蒙特利尔</w:t>
      </w:r>
      <w:r w:rsidRPr="00051876">
        <w:rPr>
          <w:rStyle w:val="FootnoteReference"/>
          <w:sz w:val="24"/>
          <w:szCs w:val="24"/>
          <w:lang w:val="zh-CN"/>
        </w:rPr>
        <w:footnoteReference w:id="1"/>
      </w:r>
    </w:p>
    <w:p w14:paraId="2C8FB471" w14:textId="77777777" w:rsidR="00375C62" w:rsidRPr="00051876" w:rsidRDefault="00375C62">
      <w:pPr>
        <w:jc w:val="left"/>
        <w:rPr>
          <w:sz w:val="24"/>
          <w:szCs w:val="24"/>
        </w:rPr>
      </w:pPr>
    </w:p>
    <w:p w14:paraId="200A1750" w14:textId="77777777" w:rsidR="00375C62" w:rsidRPr="00051876" w:rsidRDefault="00375C62">
      <w:pPr>
        <w:jc w:val="left"/>
        <w:rPr>
          <w:sz w:val="24"/>
          <w:szCs w:val="24"/>
        </w:rPr>
      </w:pPr>
    </w:p>
    <w:p w14:paraId="3E2D1DBF" w14:textId="77777777" w:rsidR="00375C62" w:rsidRPr="00051876" w:rsidRDefault="00375C62">
      <w:pPr>
        <w:jc w:val="left"/>
        <w:rPr>
          <w:sz w:val="24"/>
          <w:szCs w:val="24"/>
        </w:rPr>
      </w:pPr>
    </w:p>
    <w:p w14:paraId="63DAFF60" w14:textId="66A1C1C4" w:rsidR="00375C62" w:rsidRDefault="00375C62">
      <w:pPr>
        <w:pStyle w:val="StyleHeader4Para4Left0Firstline0"/>
        <w:numPr>
          <w:ilvl w:val="0"/>
          <w:numId w:val="0"/>
        </w:numPr>
        <w:tabs>
          <w:tab w:val="clear" w:pos="2880"/>
          <w:tab w:val="clear" w:pos="5760"/>
        </w:tabs>
        <w:spacing w:after="0"/>
        <w:jc w:val="center"/>
        <w:rPr>
          <w:b/>
          <w:sz w:val="28"/>
          <w:szCs w:val="28"/>
        </w:rPr>
      </w:pPr>
      <w:r w:rsidRPr="00051876">
        <w:rPr>
          <w:rFonts w:hint="eastAsia"/>
          <w:b/>
          <w:sz w:val="28"/>
          <w:szCs w:val="28"/>
          <w:lang w:val="zh-CN"/>
        </w:rPr>
        <w:t>行政费用机制和核心单位供资分析</w:t>
      </w:r>
      <w:r w:rsidRPr="00051876">
        <w:rPr>
          <w:rFonts w:hint="eastAsia"/>
          <w:b/>
          <w:sz w:val="28"/>
          <w:szCs w:val="28"/>
        </w:rPr>
        <w:t>（</w:t>
      </w:r>
      <w:r w:rsidRPr="00051876">
        <w:rPr>
          <w:rFonts w:hint="eastAsia"/>
          <w:b/>
          <w:sz w:val="28"/>
          <w:szCs w:val="28"/>
          <w:lang w:val="zh-CN"/>
        </w:rPr>
        <w:t>第</w:t>
      </w:r>
      <w:r w:rsidRPr="00051876">
        <w:rPr>
          <w:b/>
          <w:sz w:val="28"/>
          <w:szCs w:val="28"/>
        </w:rPr>
        <w:t>86/92</w:t>
      </w:r>
      <w:r w:rsidRPr="00051876">
        <w:rPr>
          <w:rFonts w:hint="eastAsia"/>
          <w:b/>
          <w:sz w:val="28"/>
          <w:szCs w:val="28"/>
          <w:lang w:val="zh-CN"/>
        </w:rPr>
        <w:t>号决定</w:t>
      </w:r>
      <w:r w:rsidRPr="00051876">
        <w:rPr>
          <w:rFonts w:hint="eastAsia"/>
          <w:b/>
          <w:sz w:val="28"/>
          <w:szCs w:val="28"/>
        </w:rPr>
        <w:t>（</w:t>
      </w:r>
      <w:r w:rsidRPr="00051876">
        <w:rPr>
          <w:b/>
          <w:sz w:val="28"/>
          <w:szCs w:val="28"/>
        </w:rPr>
        <w:t>c</w:t>
      </w:r>
      <w:r w:rsidRPr="00051876">
        <w:rPr>
          <w:rFonts w:hint="eastAsia"/>
          <w:b/>
          <w:sz w:val="28"/>
          <w:szCs w:val="28"/>
        </w:rPr>
        <w:t>）</w:t>
      </w:r>
      <w:r w:rsidRPr="00051876">
        <w:rPr>
          <w:rFonts w:hint="eastAsia"/>
          <w:b/>
          <w:sz w:val="28"/>
          <w:szCs w:val="28"/>
          <w:lang w:val="zh-CN"/>
        </w:rPr>
        <w:t>段</w:t>
      </w:r>
      <w:r w:rsidRPr="00051876">
        <w:rPr>
          <w:rFonts w:hint="eastAsia"/>
          <w:b/>
          <w:sz w:val="28"/>
          <w:szCs w:val="28"/>
        </w:rPr>
        <w:t>）</w:t>
      </w:r>
    </w:p>
    <w:p w14:paraId="66935A9C" w14:textId="77777777" w:rsidR="006102BD" w:rsidRPr="00051876" w:rsidRDefault="006102BD">
      <w:pPr>
        <w:pStyle w:val="StyleHeader4Para4Left0Firstline0"/>
        <w:numPr>
          <w:ilvl w:val="0"/>
          <w:numId w:val="0"/>
        </w:numPr>
        <w:tabs>
          <w:tab w:val="clear" w:pos="2880"/>
          <w:tab w:val="clear" w:pos="5760"/>
        </w:tabs>
        <w:spacing w:after="0"/>
        <w:jc w:val="center"/>
        <w:rPr>
          <w:rFonts w:hint="eastAsia"/>
          <w:b/>
          <w:color w:val="000000"/>
          <w:sz w:val="28"/>
          <w:szCs w:val="28"/>
        </w:rPr>
      </w:pPr>
    </w:p>
    <w:p w14:paraId="638401A8" w14:textId="77777777" w:rsidR="00375C62" w:rsidRPr="00051876" w:rsidRDefault="00375C62">
      <w:pPr>
        <w:rPr>
          <w:sz w:val="24"/>
          <w:szCs w:val="24"/>
        </w:rPr>
      </w:pPr>
    </w:p>
    <w:p w14:paraId="5A406691" w14:textId="77777777" w:rsidR="00375C62" w:rsidRPr="00051876" w:rsidRDefault="00375C62">
      <w:pPr>
        <w:pStyle w:val="Heading1"/>
        <w:numPr>
          <w:ilvl w:val="0"/>
          <w:numId w:val="0"/>
        </w:numPr>
        <w:rPr>
          <w:b/>
          <w:color w:val="000000"/>
          <w:sz w:val="24"/>
          <w:szCs w:val="24"/>
        </w:rPr>
      </w:pPr>
      <w:r w:rsidRPr="00051876">
        <w:rPr>
          <w:rFonts w:hint="eastAsia"/>
          <w:b/>
          <w:sz w:val="24"/>
          <w:szCs w:val="24"/>
          <w:lang w:val="zh-CN"/>
        </w:rPr>
        <w:t>背景</w:t>
      </w:r>
    </w:p>
    <w:p w14:paraId="73ABAF06" w14:textId="77777777" w:rsidR="00375C62" w:rsidRPr="00051876" w:rsidRDefault="00375C62">
      <w:pPr>
        <w:pStyle w:val="Heading1"/>
        <w:rPr>
          <w:sz w:val="24"/>
          <w:szCs w:val="24"/>
        </w:rPr>
      </w:pPr>
      <w:r w:rsidRPr="00051876">
        <w:rPr>
          <w:rFonts w:hint="eastAsia"/>
          <w:sz w:val="24"/>
          <w:szCs w:val="24"/>
          <w:lang w:val="zh-CN"/>
        </w:rPr>
        <w:t>在第八十四次会议上</w:t>
      </w:r>
      <w:r w:rsidRPr="00051876">
        <w:rPr>
          <w:rFonts w:hint="eastAsia"/>
          <w:sz w:val="24"/>
          <w:szCs w:val="24"/>
        </w:rPr>
        <w:t>，</w:t>
      </w:r>
      <w:r w:rsidRPr="00051876">
        <w:rPr>
          <w:rFonts w:hint="eastAsia"/>
          <w:sz w:val="24"/>
          <w:szCs w:val="24"/>
          <w:lang w:val="zh-CN"/>
        </w:rPr>
        <w:t>执行委员会除其他外请秘书处在第八十六次会议说明行政费用机制和核心单位供资的分析结果</w:t>
      </w:r>
      <w:r w:rsidRPr="00051876">
        <w:rPr>
          <w:rFonts w:hint="eastAsia"/>
          <w:sz w:val="24"/>
          <w:szCs w:val="24"/>
        </w:rPr>
        <w:t>，</w:t>
      </w:r>
      <w:r w:rsidRPr="00051876">
        <w:rPr>
          <w:rFonts w:hint="eastAsia"/>
          <w:sz w:val="24"/>
          <w:szCs w:val="24"/>
          <w:lang w:val="zh-CN"/>
        </w:rPr>
        <w:t>同时考虑到执行委员会的相关决定</w:t>
      </w:r>
      <w:r w:rsidRPr="00051876">
        <w:rPr>
          <w:rFonts w:hint="eastAsia"/>
          <w:sz w:val="24"/>
          <w:szCs w:val="24"/>
        </w:rPr>
        <w:t>，</w:t>
      </w:r>
      <w:r w:rsidRPr="00051876">
        <w:rPr>
          <w:rFonts w:hint="eastAsia"/>
          <w:sz w:val="24"/>
          <w:szCs w:val="24"/>
          <w:lang w:val="zh-CN"/>
        </w:rPr>
        <w:t>包括在第八十四次和第八十五次会议作出的决定</w:t>
      </w:r>
      <w:r w:rsidRPr="00051876">
        <w:rPr>
          <w:rFonts w:hint="eastAsia"/>
          <w:sz w:val="24"/>
          <w:szCs w:val="24"/>
        </w:rPr>
        <w:t>，</w:t>
      </w:r>
      <w:r w:rsidRPr="00051876">
        <w:rPr>
          <w:rFonts w:hint="eastAsia"/>
          <w:sz w:val="24"/>
          <w:szCs w:val="24"/>
          <w:lang w:val="zh-CN"/>
        </w:rPr>
        <w:t>委员会将在此基础上决定是否可以在</w:t>
      </w:r>
      <w:r w:rsidRPr="00051876">
        <w:rPr>
          <w:sz w:val="24"/>
          <w:szCs w:val="24"/>
        </w:rPr>
        <w:t>2021-2023</w:t>
      </w:r>
      <w:r w:rsidRPr="00051876">
        <w:rPr>
          <w:rFonts w:hint="eastAsia"/>
          <w:sz w:val="24"/>
          <w:szCs w:val="24"/>
          <w:lang w:val="zh-CN"/>
        </w:rPr>
        <w:t>三年期维持多边基金</w:t>
      </w:r>
      <w:r w:rsidRPr="00051876">
        <w:rPr>
          <w:sz w:val="24"/>
          <w:szCs w:val="24"/>
        </w:rPr>
        <w:t>2018-2020</w:t>
      </w:r>
      <w:r w:rsidRPr="00051876">
        <w:rPr>
          <w:rFonts w:hint="eastAsia"/>
          <w:sz w:val="24"/>
          <w:szCs w:val="24"/>
          <w:lang w:val="zh-CN"/>
        </w:rPr>
        <w:t>三年期的行政费用机制</w:t>
      </w:r>
      <w:r w:rsidRPr="00051876">
        <w:rPr>
          <w:rFonts w:hint="eastAsia"/>
          <w:sz w:val="24"/>
          <w:szCs w:val="24"/>
        </w:rPr>
        <w:t>（</w:t>
      </w:r>
      <w:r w:rsidRPr="00051876">
        <w:rPr>
          <w:rFonts w:hint="eastAsia"/>
          <w:sz w:val="24"/>
          <w:szCs w:val="24"/>
          <w:lang w:val="zh-CN"/>
        </w:rPr>
        <w:t>第</w:t>
      </w:r>
      <w:r w:rsidRPr="00051876">
        <w:rPr>
          <w:sz w:val="24"/>
          <w:szCs w:val="24"/>
        </w:rPr>
        <w:t>84/61</w:t>
      </w:r>
      <w:r w:rsidRPr="00051876">
        <w:rPr>
          <w:rFonts w:hint="eastAsia"/>
          <w:sz w:val="24"/>
          <w:szCs w:val="24"/>
        </w:rPr>
        <w:t>（</w:t>
      </w:r>
      <w:r w:rsidRPr="00051876">
        <w:rPr>
          <w:sz w:val="24"/>
          <w:szCs w:val="24"/>
        </w:rPr>
        <w:t>c</w:t>
      </w:r>
      <w:r w:rsidRPr="00051876">
        <w:rPr>
          <w:rFonts w:hint="eastAsia"/>
          <w:sz w:val="24"/>
          <w:szCs w:val="24"/>
        </w:rPr>
        <w:t>）</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w:t>
      </w:r>
    </w:p>
    <w:p w14:paraId="1C667E08" w14:textId="77777777" w:rsidR="00375C62" w:rsidRPr="00051876" w:rsidRDefault="00375C62">
      <w:pPr>
        <w:pStyle w:val="Heading1"/>
        <w:rPr>
          <w:sz w:val="24"/>
          <w:szCs w:val="24"/>
        </w:rPr>
      </w:pPr>
      <w:r w:rsidRPr="00051876">
        <w:rPr>
          <w:rFonts w:hint="eastAsia"/>
          <w:sz w:val="24"/>
          <w:szCs w:val="24"/>
          <w:lang w:val="zh-CN"/>
        </w:rPr>
        <w:t>在第八十六次会议上</w:t>
      </w:r>
      <w:r w:rsidRPr="00051876">
        <w:rPr>
          <w:rFonts w:hint="eastAsia"/>
          <w:sz w:val="24"/>
          <w:szCs w:val="24"/>
        </w:rPr>
        <w:t>，</w:t>
      </w:r>
      <w:r w:rsidRPr="00051876">
        <w:rPr>
          <w:rFonts w:hint="eastAsia"/>
          <w:sz w:val="24"/>
          <w:szCs w:val="24"/>
          <w:lang w:val="zh-CN"/>
        </w:rPr>
        <w:t>执行委员会在闭会期间批准程序</w:t>
      </w:r>
      <w:r w:rsidRPr="00051876">
        <w:rPr>
          <w:rFonts w:hint="eastAsia"/>
          <w:sz w:val="24"/>
          <w:szCs w:val="24"/>
        </w:rPr>
        <w:t>（</w:t>
      </w:r>
      <w:r w:rsidRPr="00051876">
        <w:rPr>
          <w:sz w:val="24"/>
          <w:szCs w:val="24"/>
        </w:rPr>
        <w:t>IAP-86</w:t>
      </w:r>
      <w:r w:rsidRPr="00051876">
        <w:rPr>
          <w:rFonts w:hint="eastAsia"/>
          <w:sz w:val="24"/>
          <w:szCs w:val="24"/>
        </w:rPr>
        <w:t>）</w:t>
      </w:r>
      <w:r w:rsidRPr="00051876">
        <w:rPr>
          <w:rFonts w:hint="eastAsia"/>
          <w:sz w:val="24"/>
          <w:szCs w:val="24"/>
          <w:lang w:val="zh-CN"/>
        </w:rPr>
        <w:t>下</w:t>
      </w:r>
      <w:r w:rsidRPr="00051876">
        <w:rPr>
          <w:rStyle w:val="FootnoteReference"/>
          <w:sz w:val="24"/>
          <w:szCs w:val="24"/>
          <w:lang w:val="zh-CN"/>
        </w:rPr>
        <w:footnoteReference w:id="2"/>
      </w:r>
      <w:r w:rsidRPr="00051876">
        <w:rPr>
          <w:rFonts w:hint="eastAsia"/>
          <w:sz w:val="24"/>
          <w:szCs w:val="24"/>
          <w:lang w:val="zh-CN"/>
        </w:rPr>
        <w:t>审议了环境署</w:t>
      </w:r>
      <w:r w:rsidRPr="00051876">
        <w:rPr>
          <w:sz w:val="24"/>
          <w:szCs w:val="24"/>
        </w:rPr>
        <w:t>2021</w:t>
      </w:r>
      <w:r w:rsidRPr="00051876">
        <w:rPr>
          <w:rFonts w:hint="eastAsia"/>
          <w:sz w:val="24"/>
          <w:szCs w:val="24"/>
          <w:lang w:val="zh-CN"/>
        </w:rPr>
        <w:t>年履约援助方案</w:t>
      </w:r>
      <w:r w:rsidRPr="00051876">
        <w:rPr>
          <w:rFonts w:hint="eastAsia"/>
          <w:sz w:val="24"/>
          <w:szCs w:val="24"/>
        </w:rPr>
        <w:t>（</w:t>
      </w:r>
      <w:r w:rsidRPr="00051876">
        <w:rPr>
          <w:sz w:val="24"/>
          <w:szCs w:val="24"/>
        </w:rPr>
        <w:t>CAP</w:t>
      </w:r>
      <w:r w:rsidRPr="00051876">
        <w:rPr>
          <w:rFonts w:hint="eastAsia"/>
          <w:sz w:val="24"/>
          <w:szCs w:val="24"/>
        </w:rPr>
        <w:t>）</w:t>
      </w:r>
      <w:r w:rsidRPr="00051876">
        <w:rPr>
          <w:rFonts w:hint="eastAsia"/>
          <w:sz w:val="24"/>
          <w:szCs w:val="24"/>
          <w:lang w:val="zh-CN"/>
        </w:rPr>
        <w:t>预算</w:t>
      </w:r>
      <w:r w:rsidRPr="00051876">
        <w:rPr>
          <w:rStyle w:val="FootnoteReference"/>
          <w:sz w:val="24"/>
          <w:szCs w:val="24"/>
          <w:lang w:val="zh-CN"/>
        </w:rPr>
        <w:footnoteReference w:id="3"/>
      </w:r>
      <w:r w:rsidRPr="00051876">
        <w:rPr>
          <w:rFonts w:hint="eastAsia"/>
          <w:sz w:val="24"/>
          <w:szCs w:val="24"/>
          <w:lang w:val="zh-CN"/>
        </w:rPr>
        <w:t>和开发署、工发组织和世界银行</w:t>
      </w:r>
      <w:r w:rsidRPr="00051876">
        <w:rPr>
          <w:sz w:val="24"/>
          <w:szCs w:val="24"/>
        </w:rPr>
        <w:t>2021</w:t>
      </w:r>
      <w:r w:rsidRPr="00051876">
        <w:rPr>
          <w:rFonts w:hint="eastAsia"/>
          <w:sz w:val="24"/>
          <w:szCs w:val="24"/>
          <w:lang w:val="zh-CN"/>
        </w:rPr>
        <w:t>年的核心单位预算。</w:t>
      </w:r>
      <w:r w:rsidRPr="00051876">
        <w:rPr>
          <w:rStyle w:val="FootnoteReference"/>
          <w:sz w:val="24"/>
          <w:szCs w:val="24"/>
          <w:lang w:val="zh-CN"/>
        </w:rPr>
        <w:footnoteReference w:id="4"/>
      </w:r>
      <w:r w:rsidRPr="00051876">
        <w:rPr>
          <w:rFonts w:hint="eastAsia"/>
          <w:sz w:val="24"/>
          <w:szCs w:val="24"/>
          <w:lang w:val="zh-CN"/>
        </w:rPr>
        <w:t>随后，执行委员会批准了环境署履约援助方案预算（第</w:t>
      </w:r>
      <w:r w:rsidRPr="00051876">
        <w:rPr>
          <w:sz w:val="24"/>
          <w:szCs w:val="24"/>
          <w:lang w:val="zh-CN"/>
        </w:rPr>
        <w:t>86/61</w:t>
      </w:r>
      <w:r w:rsidRPr="00051876">
        <w:rPr>
          <w:rFonts w:hint="eastAsia"/>
          <w:sz w:val="24"/>
          <w:szCs w:val="24"/>
          <w:lang w:val="zh-CN"/>
        </w:rPr>
        <w:t>号决定）和各执行机构的核心单位预算，并指出</w:t>
      </w:r>
      <w:r w:rsidRPr="00051876">
        <w:rPr>
          <w:sz w:val="24"/>
          <w:szCs w:val="24"/>
          <w:lang w:val="zh-CN"/>
        </w:rPr>
        <w:t>2021</w:t>
      </w:r>
      <w:r w:rsidRPr="00051876">
        <w:rPr>
          <w:rFonts w:hint="eastAsia"/>
          <w:sz w:val="24"/>
          <w:szCs w:val="24"/>
          <w:lang w:val="zh-CN"/>
        </w:rPr>
        <w:t>年核心单位预算数额可根据</w:t>
      </w:r>
      <w:r w:rsidRPr="00051876">
        <w:rPr>
          <w:sz w:val="24"/>
          <w:szCs w:val="24"/>
          <w:lang w:val="zh-CN"/>
        </w:rPr>
        <w:t>2021</w:t>
      </w:r>
      <w:r w:rsidRPr="00051876">
        <w:rPr>
          <w:rFonts w:hint="eastAsia"/>
          <w:sz w:val="24"/>
          <w:szCs w:val="24"/>
          <w:lang w:val="zh-CN"/>
        </w:rPr>
        <w:t>年</w:t>
      </w:r>
      <w:r w:rsidRPr="00051876">
        <w:rPr>
          <w:sz w:val="24"/>
          <w:szCs w:val="24"/>
          <w:lang w:val="zh-CN"/>
        </w:rPr>
        <w:t>3</w:t>
      </w:r>
      <w:r w:rsidRPr="00051876">
        <w:rPr>
          <w:rFonts w:hint="eastAsia"/>
          <w:sz w:val="24"/>
          <w:szCs w:val="24"/>
          <w:lang w:val="zh-CN"/>
        </w:rPr>
        <w:t>月推迟举行的第八十六次会议（即</w:t>
      </w:r>
      <w:r w:rsidRPr="00051876">
        <w:rPr>
          <w:sz w:val="24"/>
          <w:szCs w:val="24"/>
          <w:lang w:val="zh-CN"/>
        </w:rPr>
        <w:t>IAP-86ext</w:t>
      </w:r>
      <w:r w:rsidRPr="00051876">
        <w:rPr>
          <w:rFonts w:hint="eastAsia"/>
          <w:sz w:val="24"/>
          <w:szCs w:val="24"/>
          <w:lang w:val="zh-CN"/>
        </w:rPr>
        <w:t>）</w:t>
      </w:r>
      <w:r w:rsidRPr="00051876">
        <w:rPr>
          <w:rStyle w:val="FootnoteReference"/>
          <w:sz w:val="24"/>
          <w:szCs w:val="24"/>
          <w:lang w:val="zh-CN"/>
        </w:rPr>
        <w:footnoteReference w:id="5"/>
      </w:r>
      <w:r w:rsidRPr="00051876">
        <w:rPr>
          <w:rFonts w:hint="eastAsia"/>
          <w:sz w:val="24"/>
          <w:szCs w:val="24"/>
          <w:lang w:val="zh-CN"/>
        </w:rPr>
        <w:t>对行政成本机制和核心单位供资进行分析的讨论结果作出调整（第</w:t>
      </w:r>
      <w:r w:rsidRPr="00051876">
        <w:rPr>
          <w:sz w:val="24"/>
          <w:szCs w:val="24"/>
          <w:lang w:val="zh-CN"/>
        </w:rPr>
        <w:t>86/62</w:t>
      </w:r>
      <w:r w:rsidRPr="00051876">
        <w:rPr>
          <w:rFonts w:hint="eastAsia"/>
          <w:sz w:val="24"/>
          <w:szCs w:val="24"/>
          <w:lang w:val="zh-CN"/>
        </w:rPr>
        <w:t>号决定）。</w:t>
      </w:r>
      <w:r w:rsidRPr="00051876">
        <w:rPr>
          <w:sz w:val="24"/>
          <w:szCs w:val="24"/>
        </w:rPr>
        <w:t xml:space="preserve"> </w:t>
      </w:r>
    </w:p>
    <w:p w14:paraId="22FDAE55" w14:textId="77777777" w:rsidR="00375C62" w:rsidRPr="00051876" w:rsidRDefault="00375C62">
      <w:pPr>
        <w:pStyle w:val="Heading1"/>
        <w:rPr>
          <w:sz w:val="24"/>
          <w:szCs w:val="24"/>
        </w:rPr>
      </w:pPr>
      <w:r w:rsidRPr="00051876">
        <w:rPr>
          <w:rFonts w:hint="eastAsia"/>
          <w:sz w:val="24"/>
          <w:szCs w:val="24"/>
          <w:lang w:val="zh-CN"/>
        </w:rPr>
        <w:t>在第八十六次会议上</w:t>
      </w:r>
      <w:r w:rsidRPr="00051876">
        <w:rPr>
          <w:rFonts w:hint="eastAsia"/>
          <w:sz w:val="24"/>
          <w:szCs w:val="24"/>
        </w:rPr>
        <w:t>，</w:t>
      </w:r>
      <w:r w:rsidRPr="00051876">
        <w:rPr>
          <w:rFonts w:hint="eastAsia"/>
          <w:sz w:val="24"/>
          <w:szCs w:val="24"/>
          <w:lang w:val="zh-CN"/>
        </w:rPr>
        <w:t>执行委员会还审议了秘书处根据第</w:t>
      </w:r>
      <w:r w:rsidRPr="00051876">
        <w:rPr>
          <w:sz w:val="24"/>
          <w:szCs w:val="24"/>
        </w:rPr>
        <w:t>84/61</w:t>
      </w:r>
      <w:r w:rsidRPr="00051876">
        <w:rPr>
          <w:rFonts w:hint="eastAsia"/>
          <w:sz w:val="24"/>
          <w:szCs w:val="24"/>
          <w:lang w:val="zh-CN"/>
        </w:rPr>
        <w:t>号决定</w:t>
      </w:r>
      <w:r w:rsidRPr="00051876">
        <w:rPr>
          <w:rFonts w:hint="eastAsia"/>
          <w:sz w:val="24"/>
          <w:szCs w:val="24"/>
        </w:rPr>
        <w:t>（</w:t>
      </w:r>
      <w:r w:rsidRPr="00051876">
        <w:rPr>
          <w:sz w:val="24"/>
          <w:szCs w:val="24"/>
        </w:rPr>
        <w:t>c</w:t>
      </w:r>
      <w:r w:rsidRPr="00051876">
        <w:rPr>
          <w:rFonts w:hint="eastAsia"/>
          <w:sz w:val="24"/>
          <w:szCs w:val="24"/>
        </w:rPr>
        <w:t>）</w:t>
      </w:r>
      <w:r w:rsidRPr="00051876">
        <w:rPr>
          <w:rFonts w:hint="eastAsia"/>
          <w:sz w:val="24"/>
          <w:szCs w:val="24"/>
          <w:lang w:val="zh-CN"/>
        </w:rPr>
        <w:t>段提交的对行政费用机制和核心单位供资的分析。</w:t>
      </w:r>
      <w:r w:rsidRPr="00051876">
        <w:rPr>
          <w:rStyle w:val="FootnoteReference"/>
          <w:sz w:val="24"/>
          <w:szCs w:val="24"/>
          <w:lang w:val="zh-CN"/>
        </w:rPr>
        <w:footnoteReference w:id="6"/>
      </w:r>
      <w:r w:rsidRPr="00051876">
        <w:rPr>
          <w:rFonts w:hint="eastAsia"/>
          <w:sz w:val="24"/>
          <w:szCs w:val="24"/>
          <w:lang w:val="zh-CN"/>
        </w:rPr>
        <w:t>该文件指出</w:t>
      </w:r>
      <w:r w:rsidRPr="00051876">
        <w:rPr>
          <w:rFonts w:hint="eastAsia"/>
          <w:sz w:val="24"/>
          <w:szCs w:val="24"/>
          <w:lang w:val="en-US"/>
        </w:rPr>
        <w:t>，</w:t>
      </w:r>
      <w:r w:rsidRPr="00051876">
        <w:rPr>
          <w:rFonts w:hint="eastAsia"/>
          <w:sz w:val="24"/>
          <w:szCs w:val="24"/>
          <w:lang w:val="zh-CN"/>
        </w:rPr>
        <w:t>在</w:t>
      </w:r>
      <w:r w:rsidRPr="00051876">
        <w:rPr>
          <w:sz w:val="24"/>
          <w:szCs w:val="24"/>
          <w:lang w:val="en-US"/>
        </w:rPr>
        <w:t>“</w:t>
      </w:r>
      <w:r w:rsidRPr="00051876">
        <w:rPr>
          <w:rFonts w:hint="eastAsia"/>
          <w:sz w:val="24"/>
          <w:szCs w:val="24"/>
          <w:lang w:val="zh-CN"/>
        </w:rPr>
        <w:t>一切照旧</w:t>
      </w:r>
      <w:r w:rsidRPr="00051876">
        <w:rPr>
          <w:sz w:val="24"/>
          <w:szCs w:val="24"/>
          <w:lang w:val="en-US"/>
        </w:rPr>
        <w:t>”</w:t>
      </w:r>
      <w:r w:rsidRPr="00051876">
        <w:rPr>
          <w:rFonts w:hint="eastAsia"/>
          <w:sz w:val="24"/>
          <w:szCs w:val="24"/>
          <w:lang w:val="zh-CN"/>
        </w:rPr>
        <w:t>设想方案下</w:t>
      </w:r>
      <w:r w:rsidRPr="00051876">
        <w:rPr>
          <w:rFonts w:hint="eastAsia"/>
          <w:sz w:val="24"/>
          <w:szCs w:val="24"/>
          <w:lang w:val="en-US"/>
        </w:rPr>
        <w:t>，</w:t>
      </w:r>
      <w:r w:rsidRPr="00051876">
        <w:rPr>
          <w:rFonts w:hint="eastAsia"/>
          <w:sz w:val="24"/>
          <w:szCs w:val="24"/>
          <w:lang w:val="zh-CN"/>
        </w:rPr>
        <w:t>为了评估</w:t>
      </w:r>
      <w:r w:rsidRPr="00051876">
        <w:rPr>
          <w:sz w:val="24"/>
          <w:szCs w:val="24"/>
          <w:lang w:val="en-US"/>
        </w:rPr>
        <w:t>2021-2023</w:t>
      </w:r>
      <w:r w:rsidRPr="00051876">
        <w:rPr>
          <w:rFonts w:hint="eastAsia"/>
          <w:sz w:val="24"/>
          <w:szCs w:val="24"/>
          <w:lang w:val="zh-CN"/>
        </w:rPr>
        <w:t>年期间的行政费用机制</w:t>
      </w:r>
      <w:r w:rsidRPr="00051876">
        <w:rPr>
          <w:rFonts w:hint="eastAsia"/>
          <w:sz w:val="24"/>
          <w:szCs w:val="24"/>
          <w:lang w:val="en-US"/>
        </w:rPr>
        <w:t>，</w:t>
      </w:r>
      <w:r w:rsidRPr="00051876">
        <w:rPr>
          <w:rFonts w:hint="eastAsia"/>
          <w:sz w:val="24"/>
          <w:szCs w:val="24"/>
          <w:lang w:val="zh-CN"/>
        </w:rPr>
        <w:t>秘书处除其他外</w:t>
      </w:r>
      <w:r w:rsidRPr="00051876">
        <w:rPr>
          <w:rFonts w:hint="eastAsia"/>
          <w:sz w:val="24"/>
          <w:szCs w:val="24"/>
          <w:lang w:val="en-US"/>
        </w:rPr>
        <w:t>，</w:t>
      </w:r>
      <w:r w:rsidRPr="00051876">
        <w:rPr>
          <w:rFonts w:hint="eastAsia"/>
          <w:sz w:val="24"/>
          <w:szCs w:val="24"/>
          <w:lang w:val="zh-CN"/>
        </w:rPr>
        <w:t>分析了本应在第八十五次会议批准的项目和本应提交第八十六次会议的项目的信息</w:t>
      </w:r>
      <w:r w:rsidRPr="00051876">
        <w:rPr>
          <w:rFonts w:hint="eastAsia"/>
          <w:sz w:val="24"/>
          <w:szCs w:val="24"/>
          <w:lang w:val="en-US"/>
        </w:rPr>
        <w:t>；</w:t>
      </w:r>
      <w:r w:rsidRPr="00051876">
        <w:rPr>
          <w:rFonts w:hint="eastAsia"/>
          <w:sz w:val="24"/>
          <w:szCs w:val="24"/>
          <w:lang w:val="zh-CN"/>
        </w:rPr>
        <w:t>执行委员会本应</w:t>
      </w:r>
      <w:r w:rsidRPr="00051876">
        <w:rPr>
          <w:rFonts w:hint="eastAsia"/>
          <w:sz w:val="24"/>
          <w:szCs w:val="24"/>
          <w:lang w:val="en-US"/>
        </w:rPr>
        <w:t>（</w:t>
      </w:r>
      <w:r w:rsidRPr="00051876">
        <w:rPr>
          <w:rFonts w:hint="eastAsia"/>
          <w:sz w:val="24"/>
          <w:szCs w:val="24"/>
          <w:lang w:val="zh-CN"/>
        </w:rPr>
        <w:t>在第八十五</w:t>
      </w:r>
      <w:r w:rsidRPr="00051876">
        <w:rPr>
          <w:rFonts w:hint="eastAsia"/>
          <w:sz w:val="24"/>
          <w:szCs w:val="24"/>
          <w:lang w:val="zh-CN"/>
        </w:rPr>
        <w:lastRenderedPageBreak/>
        <w:t>次会议和第八十六次会议</w:t>
      </w:r>
      <w:r w:rsidRPr="00051876">
        <w:rPr>
          <w:rFonts w:hint="eastAsia"/>
          <w:sz w:val="24"/>
          <w:szCs w:val="24"/>
          <w:lang w:val="en-US"/>
        </w:rPr>
        <w:t>）</w:t>
      </w:r>
      <w:r w:rsidRPr="00051876">
        <w:rPr>
          <w:rFonts w:hint="eastAsia"/>
          <w:sz w:val="24"/>
          <w:szCs w:val="24"/>
          <w:lang w:val="zh-CN"/>
        </w:rPr>
        <w:t>就政策问题通过的决定</w:t>
      </w:r>
      <w:r w:rsidRPr="00051876">
        <w:rPr>
          <w:rFonts w:hint="eastAsia"/>
          <w:sz w:val="24"/>
          <w:szCs w:val="24"/>
          <w:lang w:val="en-US"/>
        </w:rPr>
        <w:t>，</w:t>
      </w:r>
      <w:r w:rsidRPr="00051876">
        <w:rPr>
          <w:rFonts w:hint="eastAsia"/>
          <w:sz w:val="24"/>
          <w:szCs w:val="24"/>
          <w:lang w:val="zh-CN"/>
        </w:rPr>
        <w:t>特别是与逐步减少氢氟碳化物和为体制强化</w:t>
      </w:r>
      <w:r w:rsidRPr="00051876">
        <w:rPr>
          <w:rFonts w:hint="eastAsia"/>
          <w:sz w:val="24"/>
          <w:szCs w:val="24"/>
          <w:lang w:val="en-US"/>
        </w:rPr>
        <w:t>（</w:t>
      </w:r>
      <w:r w:rsidRPr="00051876">
        <w:rPr>
          <w:sz w:val="24"/>
          <w:szCs w:val="24"/>
          <w:lang w:val="en-US"/>
        </w:rPr>
        <w:t>IS</w:t>
      </w:r>
      <w:r w:rsidRPr="00051876">
        <w:rPr>
          <w:rFonts w:hint="eastAsia"/>
          <w:sz w:val="24"/>
          <w:szCs w:val="24"/>
          <w:lang w:val="en-US"/>
        </w:rPr>
        <w:t>）</w:t>
      </w:r>
      <w:r w:rsidRPr="00051876">
        <w:rPr>
          <w:rFonts w:hint="eastAsia"/>
          <w:sz w:val="24"/>
          <w:szCs w:val="24"/>
          <w:lang w:val="zh-CN"/>
        </w:rPr>
        <w:t>项目供资有关的决定</w:t>
      </w:r>
      <w:r w:rsidRPr="00051876">
        <w:rPr>
          <w:rFonts w:hint="eastAsia"/>
          <w:sz w:val="24"/>
          <w:szCs w:val="24"/>
          <w:lang w:val="en-US"/>
        </w:rPr>
        <w:t>；</w:t>
      </w:r>
      <w:r w:rsidRPr="00051876">
        <w:rPr>
          <w:rFonts w:hint="eastAsia"/>
          <w:sz w:val="24"/>
          <w:szCs w:val="24"/>
          <w:lang w:val="zh-CN"/>
        </w:rPr>
        <w:t>本应由技术和经济评估小组</w:t>
      </w:r>
      <w:r w:rsidRPr="00051876">
        <w:rPr>
          <w:rFonts w:hint="eastAsia"/>
          <w:sz w:val="24"/>
          <w:szCs w:val="24"/>
          <w:lang w:val="en-US"/>
        </w:rPr>
        <w:t>（</w:t>
      </w:r>
      <w:r w:rsidRPr="00051876">
        <w:rPr>
          <w:sz w:val="24"/>
          <w:szCs w:val="24"/>
          <w:lang w:val="en-US"/>
        </w:rPr>
        <w:t>TEAP</w:t>
      </w:r>
      <w:r w:rsidRPr="00051876">
        <w:rPr>
          <w:rFonts w:hint="eastAsia"/>
          <w:sz w:val="24"/>
          <w:szCs w:val="24"/>
          <w:lang w:val="en-US"/>
        </w:rPr>
        <w:t>）</w:t>
      </w:r>
      <w:r w:rsidRPr="00051876">
        <w:rPr>
          <w:rFonts w:hint="eastAsia"/>
          <w:sz w:val="24"/>
          <w:szCs w:val="24"/>
          <w:lang w:val="zh-CN"/>
        </w:rPr>
        <w:t>工作队编写并提交给蒙特利尔议定书缔约方第三十二次会议关于多边基金</w:t>
      </w:r>
      <w:r w:rsidRPr="00051876">
        <w:rPr>
          <w:sz w:val="24"/>
          <w:szCs w:val="24"/>
          <w:lang w:val="en-US"/>
        </w:rPr>
        <w:t>2021-2023</w:t>
      </w:r>
      <w:r w:rsidRPr="00051876">
        <w:rPr>
          <w:rFonts w:hint="eastAsia"/>
          <w:sz w:val="24"/>
          <w:szCs w:val="24"/>
          <w:lang w:val="zh-CN"/>
        </w:rPr>
        <w:t>三年期充资水平的文件。由于执行委员会第八十六次会议没有就行政费用机制作出任何决定</w:t>
      </w:r>
      <w:r w:rsidRPr="00051876">
        <w:rPr>
          <w:rFonts w:hint="eastAsia"/>
          <w:sz w:val="24"/>
          <w:szCs w:val="24"/>
          <w:lang w:val="en-US"/>
        </w:rPr>
        <w:t>，</w:t>
      </w:r>
      <w:r w:rsidRPr="00051876">
        <w:rPr>
          <w:rFonts w:hint="eastAsia"/>
          <w:sz w:val="24"/>
          <w:szCs w:val="24"/>
          <w:lang w:val="zh-CN"/>
        </w:rPr>
        <w:t>秘书处鉴于执行委员会在</w:t>
      </w:r>
      <w:r w:rsidRPr="00051876">
        <w:rPr>
          <w:sz w:val="24"/>
          <w:szCs w:val="24"/>
          <w:lang w:val="en-US"/>
        </w:rPr>
        <w:t>2021</w:t>
      </w:r>
      <w:r w:rsidRPr="00051876">
        <w:rPr>
          <w:rFonts w:hint="eastAsia"/>
          <w:sz w:val="24"/>
          <w:szCs w:val="24"/>
          <w:lang w:val="zh-CN"/>
        </w:rPr>
        <w:t>年会议期间对相关政策事项的讨论和</w:t>
      </w:r>
      <w:r w:rsidRPr="00051876">
        <w:rPr>
          <w:sz w:val="24"/>
          <w:szCs w:val="24"/>
          <w:lang w:val="en-US"/>
        </w:rPr>
        <w:t>/</w:t>
      </w:r>
      <w:r w:rsidRPr="00051876">
        <w:rPr>
          <w:rFonts w:hint="eastAsia"/>
          <w:sz w:val="24"/>
          <w:szCs w:val="24"/>
          <w:lang w:val="zh-CN"/>
        </w:rPr>
        <w:t>或决定以及缔约方就多边基金充资问题进行的讨论</w:t>
      </w:r>
      <w:r w:rsidRPr="00051876">
        <w:rPr>
          <w:rFonts w:hint="eastAsia"/>
          <w:sz w:val="24"/>
          <w:szCs w:val="24"/>
          <w:lang w:val="en-US"/>
        </w:rPr>
        <w:t>，</w:t>
      </w:r>
      <w:r w:rsidRPr="00051876">
        <w:rPr>
          <w:rFonts w:hint="eastAsia"/>
          <w:sz w:val="24"/>
          <w:szCs w:val="24"/>
          <w:lang w:val="zh-CN"/>
        </w:rPr>
        <w:t>认为向第八十八次会议提交第</w:t>
      </w:r>
      <w:r w:rsidRPr="00051876">
        <w:rPr>
          <w:sz w:val="24"/>
          <w:szCs w:val="24"/>
          <w:lang w:val="en-US"/>
        </w:rPr>
        <w:t>84/61</w:t>
      </w:r>
      <w:r w:rsidRPr="00051876">
        <w:rPr>
          <w:rFonts w:hint="eastAsia"/>
          <w:sz w:val="24"/>
          <w:szCs w:val="24"/>
          <w:lang w:val="zh-CN"/>
        </w:rPr>
        <w:t>号决定</w:t>
      </w:r>
      <w:r w:rsidRPr="00051876">
        <w:rPr>
          <w:rFonts w:hint="eastAsia"/>
          <w:sz w:val="24"/>
          <w:szCs w:val="24"/>
          <w:lang w:val="en-US"/>
        </w:rPr>
        <w:t>（</w:t>
      </w:r>
      <w:r w:rsidRPr="00051876">
        <w:rPr>
          <w:sz w:val="24"/>
          <w:szCs w:val="24"/>
          <w:lang w:val="en-US"/>
        </w:rPr>
        <w:t>c</w:t>
      </w:r>
      <w:r w:rsidRPr="00051876">
        <w:rPr>
          <w:rFonts w:hint="eastAsia"/>
          <w:sz w:val="24"/>
          <w:szCs w:val="24"/>
          <w:lang w:val="en-US"/>
        </w:rPr>
        <w:t>）</w:t>
      </w:r>
      <w:r w:rsidRPr="00051876">
        <w:rPr>
          <w:rFonts w:hint="eastAsia"/>
          <w:sz w:val="24"/>
          <w:szCs w:val="24"/>
          <w:lang w:val="zh-CN"/>
        </w:rPr>
        <w:t>段要求的行政费用机制分析是有意义的行动。</w:t>
      </w:r>
    </w:p>
    <w:p w14:paraId="7915B9E8" w14:textId="343505C8" w:rsidR="00375C62" w:rsidRPr="00051876" w:rsidRDefault="00375C62">
      <w:pPr>
        <w:pStyle w:val="Heading1"/>
        <w:rPr>
          <w:sz w:val="24"/>
          <w:szCs w:val="24"/>
        </w:rPr>
      </w:pPr>
      <w:r w:rsidRPr="00051876">
        <w:rPr>
          <w:rFonts w:hint="eastAsia"/>
          <w:sz w:val="24"/>
          <w:szCs w:val="24"/>
          <w:lang w:val="zh-CN"/>
        </w:rPr>
        <w:t>在</w:t>
      </w:r>
      <w:r w:rsidRPr="00051876">
        <w:rPr>
          <w:rFonts w:hint="eastAsia"/>
          <w:sz w:val="24"/>
          <w:szCs w:val="24"/>
        </w:rPr>
        <w:t>（</w:t>
      </w:r>
      <w:r w:rsidRPr="00051876">
        <w:rPr>
          <w:sz w:val="24"/>
          <w:szCs w:val="24"/>
        </w:rPr>
        <w:t>IAP-86ext</w:t>
      </w:r>
      <w:r w:rsidRPr="00051876">
        <w:rPr>
          <w:rFonts w:hint="eastAsia"/>
          <w:sz w:val="24"/>
          <w:szCs w:val="24"/>
          <w:lang w:val="zh-CN"/>
        </w:rPr>
        <w:t>期间</w:t>
      </w:r>
      <w:r w:rsidRPr="00051876">
        <w:rPr>
          <w:rFonts w:hint="eastAsia"/>
          <w:sz w:val="24"/>
          <w:szCs w:val="24"/>
        </w:rPr>
        <w:t>）</w:t>
      </w:r>
      <w:r w:rsidRPr="00051876">
        <w:rPr>
          <w:rFonts w:hint="eastAsia"/>
          <w:sz w:val="24"/>
          <w:szCs w:val="24"/>
          <w:lang w:val="zh-CN"/>
        </w:rPr>
        <w:t>通过分析文件时</w:t>
      </w:r>
      <w:r w:rsidRPr="00051876">
        <w:rPr>
          <w:rFonts w:hint="eastAsia"/>
          <w:sz w:val="24"/>
          <w:szCs w:val="24"/>
        </w:rPr>
        <w:t>，</w:t>
      </w:r>
      <w:r w:rsidRPr="00051876">
        <w:rPr>
          <w:rFonts w:hint="eastAsia"/>
          <w:sz w:val="24"/>
          <w:szCs w:val="24"/>
          <w:lang w:val="zh-CN"/>
        </w:rPr>
        <w:t>执行委员会允许双边和执行机构作为例外情况并不作为先例</w:t>
      </w:r>
      <w:r w:rsidRPr="00051876">
        <w:rPr>
          <w:rFonts w:hint="eastAsia"/>
          <w:sz w:val="24"/>
          <w:szCs w:val="24"/>
        </w:rPr>
        <w:t>，</w:t>
      </w:r>
      <w:r w:rsidRPr="00051876">
        <w:rPr>
          <w:rFonts w:hint="eastAsia"/>
          <w:sz w:val="24"/>
          <w:szCs w:val="24"/>
          <w:lang w:val="zh-CN"/>
        </w:rPr>
        <w:t>继续对在</w:t>
      </w:r>
      <w:r w:rsidRPr="00051876">
        <w:rPr>
          <w:sz w:val="24"/>
          <w:szCs w:val="24"/>
        </w:rPr>
        <w:t>2021</w:t>
      </w:r>
      <w:r w:rsidRPr="00051876">
        <w:rPr>
          <w:rFonts w:hint="eastAsia"/>
          <w:sz w:val="24"/>
          <w:szCs w:val="24"/>
          <w:lang w:val="zh-CN"/>
        </w:rPr>
        <w:t>年提交的项目采用现有行政费用机制</w:t>
      </w:r>
      <w:r w:rsidRPr="00051876">
        <w:rPr>
          <w:rFonts w:hint="eastAsia"/>
          <w:sz w:val="24"/>
          <w:szCs w:val="24"/>
        </w:rPr>
        <w:t>；</w:t>
      </w:r>
      <w:r w:rsidRPr="00051876">
        <w:rPr>
          <w:rFonts w:hint="eastAsia"/>
          <w:sz w:val="24"/>
          <w:szCs w:val="24"/>
          <w:lang w:val="zh-CN"/>
        </w:rPr>
        <w:t>要求秘书处根据执行委员会的相关决定</w:t>
      </w:r>
      <w:r w:rsidRPr="00051876">
        <w:rPr>
          <w:rFonts w:hint="eastAsia"/>
          <w:sz w:val="24"/>
          <w:szCs w:val="24"/>
        </w:rPr>
        <w:t>，</w:t>
      </w:r>
      <w:r w:rsidRPr="00051876">
        <w:rPr>
          <w:rFonts w:hint="eastAsia"/>
          <w:sz w:val="24"/>
          <w:szCs w:val="24"/>
          <w:lang w:val="zh-CN"/>
        </w:rPr>
        <w:t>包括第八十四次至第八十七次会议的决定和缔约方关于多边基金</w:t>
      </w:r>
      <w:r w:rsidRPr="00051876">
        <w:rPr>
          <w:sz w:val="24"/>
          <w:szCs w:val="24"/>
        </w:rPr>
        <w:t>2021-2023</w:t>
      </w:r>
      <w:r w:rsidRPr="00051876">
        <w:rPr>
          <w:rFonts w:hint="eastAsia"/>
          <w:sz w:val="24"/>
          <w:szCs w:val="24"/>
          <w:lang w:val="zh-CN"/>
        </w:rPr>
        <w:t>三年期充资讨论的相关结果</w:t>
      </w:r>
      <w:r w:rsidRPr="00051876">
        <w:rPr>
          <w:rFonts w:hint="eastAsia"/>
          <w:sz w:val="24"/>
          <w:szCs w:val="24"/>
        </w:rPr>
        <w:t>，</w:t>
      </w:r>
      <w:r w:rsidRPr="00051876">
        <w:rPr>
          <w:rFonts w:hint="eastAsia"/>
          <w:sz w:val="24"/>
          <w:szCs w:val="24"/>
          <w:lang w:val="zh-CN"/>
        </w:rPr>
        <w:t>向第八十八次会议提交行政费用机制和核心单位供资的分析结果</w:t>
      </w:r>
      <w:r w:rsidRPr="00051876">
        <w:rPr>
          <w:rFonts w:hint="eastAsia"/>
          <w:sz w:val="24"/>
          <w:szCs w:val="24"/>
        </w:rPr>
        <w:t>，</w:t>
      </w:r>
      <w:r w:rsidRPr="00051876">
        <w:rPr>
          <w:rFonts w:hint="eastAsia"/>
          <w:sz w:val="24"/>
          <w:szCs w:val="24"/>
          <w:lang w:val="zh-CN"/>
        </w:rPr>
        <w:t>委员会将在此基础上决定是否在</w:t>
      </w:r>
      <w:r w:rsidRPr="00051876">
        <w:rPr>
          <w:sz w:val="24"/>
          <w:szCs w:val="24"/>
        </w:rPr>
        <w:t>2021-2023</w:t>
      </w:r>
      <w:r w:rsidRPr="00051876">
        <w:rPr>
          <w:rFonts w:hint="eastAsia"/>
          <w:sz w:val="24"/>
          <w:szCs w:val="24"/>
          <w:lang w:val="zh-CN"/>
        </w:rPr>
        <w:t>三年期继续使用</w:t>
      </w:r>
      <w:r w:rsidRPr="00051876">
        <w:rPr>
          <w:sz w:val="24"/>
          <w:szCs w:val="24"/>
        </w:rPr>
        <w:t>2018</w:t>
      </w:r>
      <w:r w:rsidR="003A438C">
        <w:rPr>
          <w:sz w:val="24"/>
          <w:szCs w:val="24"/>
        </w:rPr>
        <w:noBreakHyphen/>
      </w:r>
      <w:r w:rsidRPr="00051876">
        <w:rPr>
          <w:sz w:val="24"/>
          <w:szCs w:val="24"/>
        </w:rPr>
        <w:t>2020</w:t>
      </w:r>
      <w:r w:rsidRPr="00051876">
        <w:rPr>
          <w:rFonts w:hint="eastAsia"/>
          <w:sz w:val="24"/>
          <w:szCs w:val="24"/>
          <w:lang w:val="zh-CN"/>
        </w:rPr>
        <w:t>三年期多边基金的行政费用机制</w:t>
      </w:r>
      <w:r w:rsidRPr="00051876">
        <w:rPr>
          <w:rFonts w:hint="eastAsia"/>
          <w:sz w:val="24"/>
          <w:szCs w:val="24"/>
        </w:rPr>
        <w:t>（</w:t>
      </w:r>
      <w:r w:rsidRPr="00051876">
        <w:rPr>
          <w:rFonts w:hint="eastAsia"/>
          <w:sz w:val="24"/>
          <w:szCs w:val="24"/>
          <w:lang w:val="zh-CN"/>
        </w:rPr>
        <w:t>第</w:t>
      </w:r>
      <w:r w:rsidRPr="00051876">
        <w:rPr>
          <w:sz w:val="24"/>
          <w:szCs w:val="24"/>
        </w:rPr>
        <w:t>86/92</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w:t>
      </w:r>
    </w:p>
    <w:p w14:paraId="518A00FA" w14:textId="77777777" w:rsidR="00375C62" w:rsidRPr="00051876" w:rsidRDefault="00375C62">
      <w:pPr>
        <w:rPr>
          <w:sz w:val="24"/>
          <w:szCs w:val="24"/>
          <w:u w:val="single"/>
        </w:rPr>
      </w:pPr>
      <w:r w:rsidRPr="00051876">
        <w:rPr>
          <w:rFonts w:hint="eastAsia"/>
          <w:sz w:val="24"/>
          <w:szCs w:val="24"/>
          <w:u w:val="single"/>
          <w:lang w:val="zh-CN"/>
        </w:rPr>
        <w:t>文件范围</w:t>
      </w:r>
    </w:p>
    <w:p w14:paraId="36544EDD" w14:textId="77777777" w:rsidR="00375C62" w:rsidRPr="00051876" w:rsidRDefault="00375C62">
      <w:pPr>
        <w:rPr>
          <w:sz w:val="24"/>
          <w:szCs w:val="24"/>
        </w:rPr>
      </w:pPr>
    </w:p>
    <w:p w14:paraId="5B62382B" w14:textId="77777777" w:rsidR="00375C62" w:rsidRPr="00051876" w:rsidRDefault="00375C62">
      <w:pPr>
        <w:pStyle w:val="Heading1"/>
        <w:rPr>
          <w:sz w:val="24"/>
          <w:szCs w:val="24"/>
        </w:rPr>
      </w:pPr>
      <w:r w:rsidRPr="00051876">
        <w:rPr>
          <w:rFonts w:hint="eastAsia"/>
          <w:sz w:val="24"/>
          <w:szCs w:val="24"/>
          <w:lang w:val="zh-CN"/>
        </w:rPr>
        <w:t>秘书处根据第</w:t>
      </w:r>
      <w:r w:rsidRPr="00051876">
        <w:rPr>
          <w:sz w:val="24"/>
          <w:szCs w:val="24"/>
          <w:lang w:val="zh-CN"/>
        </w:rPr>
        <w:t>86/92</w:t>
      </w:r>
      <w:r w:rsidRPr="00051876">
        <w:rPr>
          <w:rFonts w:hint="eastAsia"/>
          <w:sz w:val="24"/>
          <w:szCs w:val="24"/>
          <w:lang w:val="zh-CN"/>
        </w:rPr>
        <w:t>号决定的要求编制了本文件。</w:t>
      </w:r>
      <w:r w:rsidRPr="00051876">
        <w:rPr>
          <w:sz w:val="24"/>
          <w:szCs w:val="24"/>
        </w:rPr>
        <w:t xml:space="preserve"> </w:t>
      </w:r>
    </w:p>
    <w:p w14:paraId="6211B930" w14:textId="77777777" w:rsidR="00375C62" w:rsidRPr="00051876" w:rsidRDefault="00375C62">
      <w:pPr>
        <w:pStyle w:val="Heading1"/>
        <w:rPr>
          <w:sz w:val="24"/>
          <w:szCs w:val="24"/>
        </w:rPr>
      </w:pPr>
      <w:r w:rsidRPr="00051876">
        <w:rPr>
          <w:rFonts w:hint="eastAsia"/>
          <w:sz w:val="24"/>
          <w:szCs w:val="24"/>
          <w:lang w:val="zh-CN"/>
        </w:rPr>
        <w:t>在编写文件时</w:t>
      </w:r>
      <w:r w:rsidRPr="00051876">
        <w:rPr>
          <w:rFonts w:hint="eastAsia"/>
          <w:sz w:val="24"/>
          <w:szCs w:val="24"/>
        </w:rPr>
        <w:t>，</w:t>
      </w:r>
      <w:r w:rsidRPr="00051876">
        <w:rPr>
          <w:rFonts w:hint="eastAsia"/>
          <w:sz w:val="24"/>
          <w:szCs w:val="24"/>
          <w:lang w:val="zh-CN"/>
        </w:rPr>
        <w:t>秘书处指出</w:t>
      </w:r>
      <w:r w:rsidRPr="00051876">
        <w:rPr>
          <w:rFonts w:hint="eastAsia"/>
          <w:sz w:val="24"/>
          <w:szCs w:val="24"/>
        </w:rPr>
        <w:t>，</w:t>
      </w:r>
      <w:r w:rsidRPr="00051876">
        <w:rPr>
          <w:rFonts w:hint="eastAsia"/>
          <w:sz w:val="24"/>
          <w:szCs w:val="24"/>
          <w:lang w:val="zh-CN"/>
        </w:rPr>
        <w:t>第八十六次会议编写行政费用机制和核心单位供资的类似分析文件时存在的限制目前仍然存在。下面对这些限制作出简短说明。</w:t>
      </w:r>
    </w:p>
    <w:p w14:paraId="5CFA5208" w14:textId="77777777" w:rsidR="00375C62" w:rsidRPr="00051876" w:rsidRDefault="00375C62">
      <w:pPr>
        <w:rPr>
          <w:i/>
          <w:sz w:val="24"/>
          <w:szCs w:val="24"/>
        </w:rPr>
      </w:pPr>
      <w:r w:rsidRPr="00051876">
        <w:rPr>
          <w:rFonts w:eastAsia="楷体" w:hint="eastAsia"/>
          <w:sz w:val="24"/>
          <w:szCs w:val="24"/>
          <w:lang w:val="zh-CN"/>
        </w:rPr>
        <w:t>新冠病毒病（</w:t>
      </w:r>
      <w:r w:rsidRPr="00051876">
        <w:rPr>
          <w:sz w:val="24"/>
          <w:szCs w:val="24"/>
          <w:lang w:val="zh-CN"/>
        </w:rPr>
        <w:t>COVID-19</w:t>
      </w:r>
      <w:r w:rsidRPr="00051876">
        <w:rPr>
          <w:rFonts w:eastAsia="楷体" w:hint="eastAsia"/>
          <w:sz w:val="24"/>
          <w:szCs w:val="24"/>
          <w:lang w:val="zh-CN"/>
        </w:rPr>
        <w:t>）大流行对多边基金运行的影响</w:t>
      </w:r>
    </w:p>
    <w:p w14:paraId="0A29F6D1" w14:textId="77777777" w:rsidR="00375C62" w:rsidRPr="00051876" w:rsidRDefault="00375C62">
      <w:pPr>
        <w:rPr>
          <w:sz w:val="24"/>
          <w:szCs w:val="24"/>
        </w:rPr>
      </w:pPr>
    </w:p>
    <w:p w14:paraId="06EE77B6" w14:textId="77777777" w:rsidR="00375C62" w:rsidRPr="00051876" w:rsidRDefault="00375C62">
      <w:pPr>
        <w:pStyle w:val="Heading1"/>
        <w:rPr>
          <w:sz w:val="24"/>
          <w:szCs w:val="24"/>
        </w:rPr>
      </w:pPr>
      <w:r w:rsidRPr="00051876">
        <w:rPr>
          <w:sz w:val="24"/>
          <w:szCs w:val="24"/>
        </w:rPr>
        <w:t>2020</w:t>
      </w:r>
      <w:r w:rsidRPr="00051876">
        <w:rPr>
          <w:rFonts w:hint="eastAsia"/>
          <w:sz w:val="24"/>
          <w:szCs w:val="24"/>
          <w:lang w:val="zh-CN"/>
        </w:rPr>
        <w:t>年和</w:t>
      </w:r>
      <w:r w:rsidRPr="00051876">
        <w:rPr>
          <w:sz w:val="24"/>
          <w:szCs w:val="24"/>
        </w:rPr>
        <w:t>2021</w:t>
      </w:r>
      <w:r w:rsidRPr="00051876">
        <w:rPr>
          <w:rFonts w:hint="eastAsia"/>
          <w:sz w:val="24"/>
          <w:szCs w:val="24"/>
          <w:lang w:val="zh-CN"/>
        </w:rPr>
        <w:t>年</w:t>
      </w:r>
      <w:r w:rsidRPr="00051876">
        <w:rPr>
          <w:rFonts w:hint="eastAsia"/>
          <w:sz w:val="24"/>
          <w:szCs w:val="24"/>
        </w:rPr>
        <w:t>，</w:t>
      </w:r>
      <w:r w:rsidRPr="00051876">
        <w:rPr>
          <w:rFonts w:hint="eastAsia"/>
          <w:sz w:val="24"/>
          <w:szCs w:val="24"/>
          <w:lang w:val="zh-CN"/>
        </w:rPr>
        <w:t>执行委员会未能按照原计划举行面对面会议。为确保第</w:t>
      </w:r>
      <w:r w:rsidRPr="00051876">
        <w:rPr>
          <w:sz w:val="24"/>
          <w:szCs w:val="24"/>
          <w:lang w:val="en-US"/>
        </w:rPr>
        <w:t>5</w:t>
      </w:r>
      <w:r w:rsidRPr="00051876">
        <w:rPr>
          <w:rFonts w:hint="eastAsia"/>
          <w:sz w:val="24"/>
          <w:szCs w:val="24"/>
          <w:lang w:val="zh-CN"/>
        </w:rPr>
        <w:t>条国家履约相关活动的连续性</w:t>
      </w:r>
      <w:r w:rsidRPr="00051876">
        <w:rPr>
          <w:rFonts w:hint="eastAsia"/>
          <w:sz w:val="24"/>
          <w:szCs w:val="24"/>
          <w:lang w:val="en-US"/>
        </w:rPr>
        <w:t>，</w:t>
      </w:r>
      <w:r w:rsidRPr="00051876">
        <w:rPr>
          <w:rFonts w:hint="eastAsia"/>
          <w:sz w:val="24"/>
          <w:szCs w:val="24"/>
          <w:lang w:val="zh-CN"/>
        </w:rPr>
        <w:t>执行委员会在作为例外情况并不作为先例的情况下</w:t>
      </w:r>
      <w:r w:rsidRPr="00051876">
        <w:rPr>
          <w:rFonts w:hint="eastAsia"/>
          <w:sz w:val="24"/>
          <w:szCs w:val="24"/>
          <w:lang w:val="en-US"/>
        </w:rPr>
        <w:t>，</w:t>
      </w:r>
      <w:r w:rsidRPr="00051876">
        <w:rPr>
          <w:rFonts w:hint="eastAsia"/>
          <w:sz w:val="24"/>
          <w:szCs w:val="24"/>
          <w:lang w:val="zh-CN"/>
        </w:rPr>
        <w:t>通过第八十五次、第八十六次、第八十七次和第八十八次会议的闭会期间批准程序审议了某些会议文件</w:t>
      </w:r>
      <w:r w:rsidRPr="00051876">
        <w:rPr>
          <w:rFonts w:hint="eastAsia"/>
          <w:sz w:val="24"/>
          <w:szCs w:val="24"/>
          <w:lang w:val="en-US"/>
        </w:rPr>
        <w:t>，</w:t>
      </w:r>
      <w:r w:rsidRPr="00051876">
        <w:rPr>
          <w:rFonts w:hint="eastAsia"/>
          <w:sz w:val="24"/>
          <w:szCs w:val="24"/>
          <w:lang w:val="zh-CN"/>
        </w:rPr>
        <w:t>并结合在线会议</w:t>
      </w:r>
      <w:r w:rsidRPr="00051876">
        <w:rPr>
          <w:rFonts w:hint="eastAsia"/>
          <w:sz w:val="24"/>
          <w:szCs w:val="24"/>
          <w:lang w:val="en-US"/>
        </w:rPr>
        <w:t>（</w:t>
      </w:r>
      <w:r w:rsidRPr="00051876">
        <w:rPr>
          <w:rFonts w:hint="eastAsia"/>
          <w:sz w:val="24"/>
          <w:szCs w:val="24"/>
          <w:lang w:val="zh-CN"/>
        </w:rPr>
        <w:t>提供口译的</w:t>
      </w:r>
      <w:r w:rsidRPr="00051876">
        <w:rPr>
          <w:sz w:val="24"/>
          <w:szCs w:val="24"/>
          <w:lang w:val="en-US"/>
        </w:rPr>
        <w:t>“</w:t>
      </w:r>
      <w:r w:rsidRPr="00051876">
        <w:rPr>
          <w:rFonts w:hint="eastAsia"/>
          <w:sz w:val="24"/>
          <w:szCs w:val="24"/>
          <w:lang w:val="zh-CN"/>
        </w:rPr>
        <w:t>全体会议</w:t>
      </w:r>
      <w:r w:rsidRPr="00051876">
        <w:rPr>
          <w:sz w:val="24"/>
          <w:szCs w:val="24"/>
          <w:lang w:val="en-US"/>
        </w:rPr>
        <w:t>”</w:t>
      </w:r>
      <w:r w:rsidRPr="00051876">
        <w:rPr>
          <w:rFonts w:hint="eastAsia"/>
          <w:sz w:val="24"/>
          <w:szCs w:val="24"/>
          <w:lang w:val="zh-CN"/>
        </w:rPr>
        <w:t>和不提供口译的</w:t>
      </w:r>
      <w:r w:rsidRPr="00051876">
        <w:rPr>
          <w:sz w:val="24"/>
          <w:szCs w:val="24"/>
          <w:lang w:val="en-US"/>
        </w:rPr>
        <w:t>“</w:t>
      </w:r>
      <w:r w:rsidRPr="00051876">
        <w:rPr>
          <w:rFonts w:hint="eastAsia"/>
          <w:sz w:val="24"/>
          <w:szCs w:val="24"/>
          <w:lang w:val="zh-CN"/>
        </w:rPr>
        <w:t>联络小组</w:t>
      </w:r>
      <w:r w:rsidRPr="00051876">
        <w:rPr>
          <w:sz w:val="24"/>
          <w:szCs w:val="24"/>
          <w:lang w:val="en-US"/>
        </w:rPr>
        <w:t>”</w:t>
      </w:r>
      <w:r w:rsidRPr="00051876">
        <w:rPr>
          <w:rFonts w:hint="eastAsia"/>
          <w:sz w:val="24"/>
          <w:szCs w:val="24"/>
          <w:lang w:val="en-US"/>
        </w:rPr>
        <w:t>）</w:t>
      </w:r>
      <w:r w:rsidRPr="00051876">
        <w:rPr>
          <w:rFonts w:hint="eastAsia"/>
          <w:sz w:val="24"/>
          <w:szCs w:val="24"/>
          <w:lang w:val="zh-CN"/>
        </w:rPr>
        <w:t>审议了未通过闭会期间批准程序处理的其他一些文件。</w:t>
      </w:r>
      <w:r w:rsidRPr="00051876">
        <w:rPr>
          <w:sz w:val="24"/>
          <w:szCs w:val="24"/>
        </w:rPr>
        <w:t xml:space="preserve"> </w:t>
      </w:r>
    </w:p>
    <w:p w14:paraId="0573350C" w14:textId="77777777" w:rsidR="00375C62" w:rsidRPr="00051876" w:rsidRDefault="00375C62">
      <w:pPr>
        <w:pStyle w:val="Heading1"/>
        <w:rPr>
          <w:sz w:val="24"/>
          <w:szCs w:val="24"/>
        </w:rPr>
      </w:pPr>
      <w:r w:rsidRPr="00051876">
        <w:rPr>
          <w:rFonts w:hint="eastAsia"/>
          <w:sz w:val="24"/>
          <w:szCs w:val="24"/>
          <w:lang w:val="zh-CN"/>
        </w:rPr>
        <w:t>然而</w:t>
      </w:r>
      <w:r w:rsidRPr="00051876">
        <w:rPr>
          <w:rFonts w:hint="eastAsia"/>
          <w:sz w:val="24"/>
          <w:szCs w:val="24"/>
        </w:rPr>
        <w:t>，</w:t>
      </w:r>
      <w:r w:rsidRPr="00051876">
        <w:rPr>
          <w:rFonts w:hint="eastAsia"/>
          <w:sz w:val="24"/>
          <w:szCs w:val="24"/>
          <w:lang w:val="zh-CN"/>
        </w:rPr>
        <w:t>委员会决定推迟对若干与政策相关的文件的审议</w:t>
      </w:r>
      <w:r w:rsidRPr="00051876">
        <w:rPr>
          <w:rFonts w:hint="eastAsia"/>
          <w:sz w:val="24"/>
          <w:szCs w:val="24"/>
        </w:rPr>
        <w:t>，</w:t>
      </w:r>
      <w:r w:rsidRPr="00051876">
        <w:rPr>
          <w:rFonts w:hint="eastAsia"/>
          <w:sz w:val="24"/>
          <w:szCs w:val="24"/>
          <w:lang w:val="zh-CN"/>
        </w:rPr>
        <w:t>其中一些文件将推迟到可以举行面对面会议时才进行审议。</w:t>
      </w:r>
      <w:r w:rsidRPr="00051876">
        <w:rPr>
          <w:rStyle w:val="FootnoteReference"/>
          <w:sz w:val="24"/>
          <w:szCs w:val="24"/>
          <w:lang w:val="zh-CN"/>
        </w:rPr>
        <w:footnoteReference w:id="7"/>
      </w:r>
      <w:r w:rsidRPr="00051876">
        <w:rPr>
          <w:rFonts w:hint="eastAsia"/>
          <w:sz w:val="24"/>
          <w:szCs w:val="24"/>
          <w:lang w:val="zh-CN"/>
        </w:rPr>
        <w:t>对分析行政费用机制有影响的文件包括：</w:t>
      </w:r>
    </w:p>
    <w:p w14:paraId="2FC6BC1E" w14:textId="77777777" w:rsidR="00375C62" w:rsidRPr="00051876" w:rsidRDefault="00375C62">
      <w:pPr>
        <w:pStyle w:val="Heading2"/>
        <w:numPr>
          <w:ilvl w:val="1"/>
          <w:numId w:val="1"/>
        </w:numPr>
        <w:rPr>
          <w:sz w:val="24"/>
          <w:szCs w:val="24"/>
        </w:rPr>
      </w:pPr>
      <w:r w:rsidRPr="00051876">
        <w:rPr>
          <w:rFonts w:hint="eastAsia"/>
          <w:sz w:val="24"/>
          <w:szCs w:val="24"/>
          <w:lang w:val="zh-CN"/>
        </w:rPr>
        <w:t>第</w:t>
      </w:r>
      <w:r w:rsidRPr="00051876">
        <w:rPr>
          <w:sz w:val="24"/>
          <w:szCs w:val="24"/>
        </w:rPr>
        <w:t>5</w:t>
      </w:r>
      <w:r w:rsidRPr="00051876">
        <w:rPr>
          <w:rFonts w:hint="eastAsia"/>
          <w:sz w:val="24"/>
          <w:szCs w:val="24"/>
          <w:lang w:val="zh-CN"/>
        </w:rPr>
        <w:t>条国家逐步减少氢氟碳化物的费用准则</w:t>
      </w:r>
      <w:r w:rsidRPr="00051876">
        <w:rPr>
          <w:rFonts w:hint="eastAsia"/>
          <w:sz w:val="24"/>
          <w:szCs w:val="24"/>
        </w:rPr>
        <w:t>：</w:t>
      </w:r>
      <w:r w:rsidRPr="00051876">
        <w:rPr>
          <w:rFonts w:hint="eastAsia"/>
          <w:sz w:val="24"/>
          <w:szCs w:val="24"/>
          <w:lang w:val="zh-CN"/>
        </w:rPr>
        <w:t>供资准则草案</w:t>
      </w:r>
      <w:r w:rsidRPr="00051876">
        <w:rPr>
          <w:rFonts w:hint="eastAsia"/>
          <w:sz w:val="24"/>
          <w:szCs w:val="24"/>
        </w:rPr>
        <w:t>（</w:t>
      </w:r>
      <w:r w:rsidRPr="00051876">
        <w:rPr>
          <w:rFonts w:hint="eastAsia"/>
          <w:sz w:val="24"/>
          <w:szCs w:val="24"/>
          <w:lang w:val="zh-CN"/>
        </w:rPr>
        <w:t>第</w:t>
      </w:r>
      <w:r w:rsidRPr="00051876">
        <w:rPr>
          <w:sz w:val="24"/>
          <w:szCs w:val="24"/>
        </w:rPr>
        <w:t>83/65</w:t>
      </w:r>
      <w:r w:rsidRPr="00051876">
        <w:rPr>
          <w:rFonts w:hint="eastAsia"/>
          <w:sz w:val="24"/>
          <w:szCs w:val="24"/>
          <w:lang w:val="zh-CN"/>
        </w:rPr>
        <w:t>号决定</w:t>
      </w:r>
      <w:r w:rsidRPr="00051876">
        <w:rPr>
          <w:rFonts w:hint="eastAsia"/>
          <w:sz w:val="24"/>
          <w:szCs w:val="24"/>
        </w:rPr>
        <w:t>（</w:t>
      </w:r>
      <w:r w:rsidRPr="00051876">
        <w:rPr>
          <w:sz w:val="24"/>
          <w:szCs w:val="24"/>
        </w:rPr>
        <w:t>d</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p>
    <w:p w14:paraId="762B8B8F" w14:textId="77777777" w:rsidR="00375C62" w:rsidRPr="00051876" w:rsidRDefault="00375C62">
      <w:pPr>
        <w:pStyle w:val="Heading2"/>
        <w:numPr>
          <w:ilvl w:val="1"/>
          <w:numId w:val="1"/>
        </w:numPr>
        <w:rPr>
          <w:sz w:val="24"/>
          <w:szCs w:val="24"/>
        </w:rPr>
      </w:pPr>
      <w:r w:rsidRPr="00051876">
        <w:rPr>
          <w:rFonts w:hint="eastAsia"/>
          <w:sz w:val="24"/>
          <w:szCs w:val="24"/>
          <w:lang w:val="zh-CN"/>
        </w:rPr>
        <w:t>潜在战略、政策措施和承诺以及可以纳入第</w:t>
      </w:r>
      <w:r w:rsidRPr="00051876">
        <w:rPr>
          <w:sz w:val="24"/>
          <w:szCs w:val="24"/>
        </w:rPr>
        <w:t>5</w:t>
      </w:r>
      <w:r w:rsidRPr="00051876">
        <w:rPr>
          <w:rFonts w:hint="eastAsia"/>
          <w:sz w:val="24"/>
          <w:szCs w:val="24"/>
          <w:lang w:val="zh-CN"/>
        </w:rPr>
        <w:t>条国家逐步减少氢氟碳化物第一阶段计划的项目和活动</w:t>
      </w:r>
      <w:r w:rsidRPr="00051876">
        <w:rPr>
          <w:rFonts w:hint="eastAsia"/>
          <w:sz w:val="24"/>
          <w:szCs w:val="24"/>
        </w:rPr>
        <w:t>，</w:t>
      </w:r>
      <w:r w:rsidRPr="00051876">
        <w:rPr>
          <w:rFonts w:hint="eastAsia"/>
          <w:sz w:val="24"/>
          <w:szCs w:val="24"/>
          <w:lang w:val="zh-CN"/>
        </w:rPr>
        <w:t>以确保限制氢氟碳化物消费量的增长及其可持续削减</w:t>
      </w:r>
      <w:r w:rsidRPr="00051876">
        <w:rPr>
          <w:rFonts w:hint="eastAsia"/>
          <w:sz w:val="24"/>
          <w:szCs w:val="24"/>
        </w:rPr>
        <w:t>（</w:t>
      </w:r>
      <w:r w:rsidRPr="00051876">
        <w:rPr>
          <w:rFonts w:hint="eastAsia"/>
          <w:sz w:val="24"/>
          <w:szCs w:val="24"/>
          <w:lang w:val="zh-CN"/>
        </w:rPr>
        <w:t>第</w:t>
      </w:r>
      <w:r w:rsidRPr="00051876">
        <w:rPr>
          <w:sz w:val="24"/>
          <w:szCs w:val="24"/>
        </w:rPr>
        <w:t>87/49</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将在第八十八次会议讨论</w:t>
      </w:r>
      <w:r w:rsidRPr="00051876">
        <w:rPr>
          <w:rFonts w:hint="eastAsia"/>
          <w:sz w:val="24"/>
          <w:szCs w:val="24"/>
        </w:rPr>
        <w:t>）；</w:t>
      </w:r>
    </w:p>
    <w:p w14:paraId="7F95E3C8" w14:textId="77777777" w:rsidR="00375C62" w:rsidRPr="00051876" w:rsidRDefault="00375C62">
      <w:pPr>
        <w:pStyle w:val="Heading2"/>
        <w:numPr>
          <w:ilvl w:val="1"/>
          <w:numId w:val="1"/>
        </w:numPr>
        <w:rPr>
          <w:sz w:val="24"/>
          <w:szCs w:val="24"/>
        </w:rPr>
      </w:pPr>
      <w:r w:rsidRPr="00051876">
        <w:rPr>
          <w:rFonts w:hint="eastAsia"/>
          <w:sz w:val="24"/>
          <w:szCs w:val="24"/>
          <w:lang w:val="zh-CN"/>
        </w:rPr>
        <w:t>关于制冷维修行业逐步减少氢氟碳化物的供资水平和模式的分析</w:t>
      </w:r>
      <w:r w:rsidRPr="00051876">
        <w:rPr>
          <w:sz w:val="24"/>
          <w:szCs w:val="24"/>
        </w:rPr>
        <w:br/>
      </w:r>
      <w:r w:rsidRPr="00051876">
        <w:rPr>
          <w:rFonts w:hint="eastAsia"/>
          <w:sz w:val="24"/>
          <w:szCs w:val="24"/>
        </w:rPr>
        <w:t>（</w:t>
      </w:r>
      <w:r w:rsidRPr="00051876">
        <w:rPr>
          <w:rFonts w:hint="eastAsia"/>
          <w:sz w:val="24"/>
          <w:szCs w:val="24"/>
          <w:lang w:val="zh-CN"/>
        </w:rPr>
        <w:t>第</w:t>
      </w:r>
      <w:r w:rsidRPr="00051876">
        <w:rPr>
          <w:sz w:val="24"/>
          <w:szCs w:val="24"/>
        </w:rPr>
        <w:t>83/65</w:t>
      </w:r>
      <w:r w:rsidRPr="00051876">
        <w:rPr>
          <w:rFonts w:hint="eastAsia"/>
          <w:sz w:val="24"/>
          <w:szCs w:val="24"/>
          <w:lang w:val="zh-CN"/>
        </w:rPr>
        <w:t>号决定</w:t>
      </w:r>
      <w:r w:rsidRPr="00051876">
        <w:rPr>
          <w:rFonts w:hint="eastAsia"/>
          <w:sz w:val="24"/>
          <w:szCs w:val="24"/>
        </w:rPr>
        <w:t>（</w:t>
      </w:r>
      <w:r w:rsidRPr="00051876">
        <w:rPr>
          <w:sz w:val="24"/>
          <w:szCs w:val="24"/>
        </w:rPr>
        <w:t>b</w:t>
      </w:r>
      <w:r w:rsidRPr="00051876">
        <w:rPr>
          <w:rFonts w:hint="eastAsia"/>
          <w:sz w:val="24"/>
          <w:szCs w:val="24"/>
        </w:rPr>
        <w:t>）</w:t>
      </w:r>
      <w:r w:rsidRPr="00051876">
        <w:rPr>
          <w:rFonts w:hint="eastAsia"/>
          <w:sz w:val="24"/>
          <w:szCs w:val="24"/>
          <w:lang w:val="zh-CN"/>
        </w:rPr>
        <w:t>段和第</w:t>
      </w:r>
      <w:r w:rsidRPr="00051876">
        <w:rPr>
          <w:sz w:val="24"/>
          <w:szCs w:val="24"/>
        </w:rPr>
        <w:t>84/86</w:t>
      </w:r>
      <w:r w:rsidRPr="00051876">
        <w:rPr>
          <w:rFonts w:hint="eastAsia"/>
          <w:sz w:val="24"/>
          <w:szCs w:val="24"/>
          <w:lang w:val="zh-CN"/>
        </w:rPr>
        <w:t>号决定</w:t>
      </w:r>
      <w:r w:rsidRPr="00051876">
        <w:rPr>
          <w:rFonts w:hint="eastAsia"/>
          <w:sz w:val="24"/>
          <w:szCs w:val="24"/>
        </w:rPr>
        <w:t>（</w:t>
      </w:r>
      <w:r w:rsidRPr="00051876">
        <w:rPr>
          <w:sz w:val="24"/>
          <w:szCs w:val="24"/>
        </w:rPr>
        <w:t>b</w:t>
      </w:r>
      <w:r w:rsidRPr="00051876">
        <w:rPr>
          <w:rFonts w:hint="eastAsia"/>
          <w:sz w:val="24"/>
          <w:szCs w:val="24"/>
        </w:rPr>
        <w:t>）（</w:t>
      </w:r>
      <w:r w:rsidRPr="00051876">
        <w:rPr>
          <w:rFonts w:hint="eastAsia"/>
          <w:sz w:val="24"/>
          <w:szCs w:val="24"/>
          <w:lang w:val="zh-CN"/>
        </w:rPr>
        <w:t>二</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w:t>
      </w:r>
      <w:r w:rsidRPr="00051876">
        <w:rPr>
          <w:rFonts w:hint="eastAsia"/>
          <w:sz w:val="24"/>
          <w:szCs w:val="24"/>
          <w:lang w:val="zh-CN"/>
        </w:rPr>
        <w:lastRenderedPageBreak/>
        <w:t>八次会议讨论</w:t>
      </w:r>
      <w:r w:rsidRPr="00051876">
        <w:rPr>
          <w:rFonts w:hint="eastAsia"/>
          <w:sz w:val="24"/>
          <w:szCs w:val="24"/>
        </w:rPr>
        <w:t>）；</w:t>
      </w:r>
    </w:p>
    <w:p w14:paraId="34507328" w14:textId="77777777" w:rsidR="00375C62" w:rsidRPr="00051876" w:rsidRDefault="00375C62">
      <w:pPr>
        <w:pStyle w:val="Heading2"/>
        <w:numPr>
          <w:ilvl w:val="1"/>
          <w:numId w:val="1"/>
        </w:numPr>
        <w:rPr>
          <w:sz w:val="24"/>
          <w:szCs w:val="24"/>
        </w:rPr>
      </w:pPr>
      <w:r w:rsidRPr="00051876">
        <w:rPr>
          <w:rFonts w:hint="eastAsia"/>
          <w:sz w:val="24"/>
          <w:szCs w:val="24"/>
          <w:lang w:val="zh-CN"/>
        </w:rPr>
        <w:t>更新平行或合并执行淘汰氟氯烃和逐步减少氢氟碳化物的影响的分析</w:t>
      </w:r>
      <w:r w:rsidRPr="00051876">
        <w:rPr>
          <w:rFonts w:hint="eastAsia"/>
          <w:sz w:val="24"/>
          <w:szCs w:val="24"/>
        </w:rPr>
        <w:t>（</w:t>
      </w:r>
      <w:r w:rsidRPr="00051876">
        <w:rPr>
          <w:rFonts w:hint="eastAsia"/>
          <w:sz w:val="24"/>
          <w:szCs w:val="24"/>
          <w:lang w:val="zh-CN"/>
        </w:rPr>
        <w:t>第</w:t>
      </w:r>
      <w:r w:rsidRPr="00051876">
        <w:rPr>
          <w:sz w:val="24"/>
          <w:szCs w:val="24"/>
        </w:rPr>
        <w:t>84/86</w:t>
      </w:r>
      <w:r w:rsidRPr="00051876">
        <w:rPr>
          <w:rFonts w:hint="eastAsia"/>
          <w:sz w:val="24"/>
          <w:szCs w:val="24"/>
          <w:lang w:val="zh-CN"/>
        </w:rPr>
        <w:t>号决定</w:t>
      </w:r>
      <w:r w:rsidRPr="00051876">
        <w:rPr>
          <w:rFonts w:hint="eastAsia"/>
          <w:sz w:val="24"/>
          <w:szCs w:val="24"/>
        </w:rPr>
        <w:t>（</w:t>
      </w:r>
      <w:r w:rsidRPr="00051876">
        <w:rPr>
          <w:sz w:val="24"/>
          <w:szCs w:val="24"/>
        </w:rPr>
        <w:t>b</w:t>
      </w:r>
      <w:r w:rsidRPr="00051876">
        <w:rPr>
          <w:rFonts w:hint="eastAsia"/>
          <w:sz w:val="24"/>
          <w:szCs w:val="24"/>
        </w:rPr>
        <w:t>）（</w:t>
      </w:r>
      <w:r w:rsidRPr="00051876">
        <w:rPr>
          <w:rFonts w:hint="eastAsia"/>
          <w:sz w:val="24"/>
          <w:szCs w:val="24"/>
          <w:lang w:val="zh-CN"/>
        </w:rPr>
        <w:t>一</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p>
    <w:p w14:paraId="0D5E96FB" w14:textId="77777777" w:rsidR="00375C62" w:rsidRPr="00051876" w:rsidRDefault="00375C62">
      <w:pPr>
        <w:pStyle w:val="Heading2"/>
        <w:numPr>
          <w:ilvl w:val="1"/>
          <w:numId w:val="1"/>
        </w:numPr>
        <w:rPr>
          <w:sz w:val="24"/>
          <w:szCs w:val="24"/>
        </w:rPr>
      </w:pPr>
      <w:r w:rsidRPr="00051876">
        <w:rPr>
          <w:rFonts w:hint="eastAsia"/>
          <w:sz w:val="24"/>
          <w:szCs w:val="24"/>
          <w:lang w:val="zh-CN"/>
        </w:rPr>
        <w:t>审查体制强化项目</w:t>
      </w:r>
      <w:r w:rsidRPr="00051876">
        <w:rPr>
          <w:rFonts w:hint="eastAsia"/>
          <w:sz w:val="24"/>
          <w:szCs w:val="24"/>
        </w:rPr>
        <w:t>，</w:t>
      </w:r>
      <w:r w:rsidRPr="00051876">
        <w:rPr>
          <w:rFonts w:hint="eastAsia"/>
          <w:sz w:val="24"/>
          <w:szCs w:val="24"/>
          <w:lang w:val="zh-CN"/>
        </w:rPr>
        <w:t>包括供资水平</w:t>
      </w:r>
      <w:r w:rsidRPr="00051876">
        <w:rPr>
          <w:rFonts w:hint="eastAsia"/>
          <w:sz w:val="24"/>
          <w:szCs w:val="24"/>
        </w:rPr>
        <w:t>（</w:t>
      </w:r>
      <w:r w:rsidRPr="00051876">
        <w:rPr>
          <w:rFonts w:hint="eastAsia"/>
          <w:sz w:val="24"/>
          <w:szCs w:val="24"/>
          <w:lang w:val="zh-CN"/>
        </w:rPr>
        <w:t>第</w:t>
      </w:r>
      <w:r w:rsidRPr="00051876">
        <w:rPr>
          <w:sz w:val="24"/>
          <w:szCs w:val="24"/>
        </w:rPr>
        <w:t>74/51</w:t>
      </w:r>
      <w:r w:rsidRPr="00051876">
        <w:rPr>
          <w:rFonts w:hint="eastAsia"/>
          <w:sz w:val="24"/>
          <w:szCs w:val="24"/>
          <w:lang w:val="zh-CN"/>
        </w:rPr>
        <w:t>号决定</w:t>
      </w:r>
      <w:r w:rsidRPr="00051876">
        <w:rPr>
          <w:rFonts w:hint="eastAsia"/>
          <w:sz w:val="24"/>
          <w:szCs w:val="24"/>
        </w:rPr>
        <w:t>（</w:t>
      </w:r>
      <w:r w:rsidRPr="00051876">
        <w:rPr>
          <w:sz w:val="24"/>
          <w:szCs w:val="24"/>
        </w:rPr>
        <w:t>d</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p>
    <w:p w14:paraId="00D2DFAC" w14:textId="77777777" w:rsidR="00375C62" w:rsidRPr="00051876" w:rsidRDefault="00375C62">
      <w:pPr>
        <w:pStyle w:val="Heading2"/>
        <w:numPr>
          <w:ilvl w:val="1"/>
          <w:numId w:val="1"/>
        </w:numPr>
        <w:rPr>
          <w:sz w:val="24"/>
          <w:szCs w:val="24"/>
        </w:rPr>
      </w:pPr>
      <w:r w:rsidRPr="00051876">
        <w:rPr>
          <w:rFonts w:hint="eastAsia"/>
          <w:sz w:val="24"/>
          <w:szCs w:val="24"/>
          <w:lang w:val="zh-CN"/>
        </w:rPr>
        <w:t>为执行委员会审议实施第</w:t>
      </w:r>
      <w:r w:rsidRPr="00051876">
        <w:rPr>
          <w:sz w:val="24"/>
          <w:szCs w:val="24"/>
        </w:rPr>
        <w:t>XXVIII/2</w:t>
      </w:r>
      <w:r w:rsidRPr="00051876">
        <w:rPr>
          <w:rFonts w:hint="eastAsia"/>
          <w:sz w:val="24"/>
          <w:szCs w:val="24"/>
          <w:lang w:val="zh-CN"/>
        </w:rPr>
        <w:t>号决定第</w:t>
      </w:r>
      <w:r w:rsidRPr="00051876">
        <w:rPr>
          <w:sz w:val="24"/>
          <w:szCs w:val="24"/>
        </w:rPr>
        <w:t>24</w:t>
      </w:r>
      <w:r w:rsidRPr="00051876">
        <w:rPr>
          <w:rFonts w:hint="eastAsia"/>
          <w:sz w:val="24"/>
          <w:szCs w:val="24"/>
          <w:lang w:val="zh-CN"/>
        </w:rPr>
        <w:t>段的最佳做法和方法的综合报告</w:t>
      </w:r>
      <w:r w:rsidRPr="00051876">
        <w:rPr>
          <w:rFonts w:hint="eastAsia"/>
          <w:sz w:val="24"/>
          <w:szCs w:val="24"/>
        </w:rPr>
        <w:t>（</w:t>
      </w:r>
      <w:r w:rsidRPr="00051876">
        <w:rPr>
          <w:rFonts w:hint="eastAsia"/>
          <w:sz w:val="24"/>
          <w:szCs w:val="24"/>
          <w:lang w:val="zh-CN"/>
        </w:rPr>
        <w:t>第</w:t>
      </w:r>
      <w:r w:rsidRPr="00051876">
        <w:rPr>
          <w:sz w:val="24"/>
          <w:szCs w:val="24"/>
        </w:rPr>
        <w:t>84/87</w:t>
      </w:r>
      <w:r w:rsidRPr="00051876">
        <w:rPr>
          <w:rFonts w:hint="eastAsia"/>
          <w:sz w:val="24"/>
          <w:szCs w:val="24"/>
          <w:lang w:val="zh-CN"/>
        </w:rPr>
        <w:t>号决定</w:t>
      </w:r>
      <w:r w:rsidRPr="00051876">
        <w:rPr>
          <w:rFonts w:hint="eastAsia"/>
          <w:sz w:val="24"/>
          <w:szCs w:val="24"/>
        </w:rPr>
        <w:t>（</w:t>
      </w:r>
      <w:r w:rsidRPr="00051876">
        <w:rPr>
          <w:sz w:val="24"/>
          <w:szCs w:val="24"/>
        </w:rPr>
        <w:t>b</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p>
    <w:p w14:paraId="34DB7DB6" w14:textId="77777777" w:rsidR="00375C62" w:rsidRPr="00051876" w:rsidRDefault="00375C62">
      <w:pPr>
        <w:pStyle w:val="Heading2"/>
        <w:numPr>
          <w:ilvl w:val="1"/>
          <w:numId w:val="1"/>
        </w:numPr>
        <w:rPr>
          <w:sz w:val="24"/>
          <w:szCs w:val="24"/>
        </w:rPr>
      </w:pPr>
      <w:r w:rsidRPr="00051876">
        <w:rPr>
          <w:rFonts w:hint="eastAsia"/>
          <w:sz w:val="24"/>
          <w:szCs w:val="24"/>
          <w:lang w:val="zh-CN"/>
        </w:rPr>
        <w:t>关于所有核准的投资项目的增支费用及其期限和成本效益的信息分析</w:t>
      </w:r>
      <w:r w:rsidRPr="00051876">
        <w:rPr>
          <w:rFonts w:hint="eastAsia"/>
          <w:sz w:val="24"/>
          <w:szCs w:val="24"/>
        </w:rPr>
        <w:t>（</w:t>
      </w:r>
      <w:r w:rsidRPr="00051876">
        <w:rPr>
          <w:rFonts w:hint="eastAsia"/>
          <w:sz w:val="24"/>
          <w:szCs w:val="24"/>
          <w:lang w:val="zh-CN"/>
        </w:rPr>
        <w:t>第</w:t>
      </w:r>
      <w:r w:rsidRPr="00051876">
        <w:rPr>
          <w:sz w:val="24"/>
          <w:szCs w:val="24"/>
        </w:rPr>
        <w:t>84/87</w:t>
      </w:r>
      <w:r w:rsidRPr="00051876">
        <w:rPr>
          <w:rFonts w:hint="eastAsia"/>
          <w:sz w:val="24"/>
          <w:szCs w:val="24"/>
          <w:lang w:val="zh-CN"/>
        </w:rPr>
        <w:t>号决定</w:t>
      </w:r>
      <w:r w:rsidRPr="00051876">
        <w:rPr>
          <w:rFonts w:hint="eastAsia"/>
          <w:sz w:val="24"/>
          <w:szCs w:val="24"/>
        </w:rPr>
        <w:t>（</w:t>
      </w:r>
      <w:r w:rsidRPr="00051876">
        <w:rPr>
          <w:sz w:val="24"/>
          <w:szCs w:val="24"/>
        </w:rPr>
        <w:t>a</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p>
    <w:p w14:paraId="637279BF" w14:textId="77777777" w:rsidR="00375C62" w:rsidRPr="00051876" w:rsidRDefault="00375C62">
      <w:pPr>
        <w:pStyle w:val="Heading2"/>
        <w:numPr>
          <w:ilvl w:val="1"/>
          <w:numId w:val="1"/>
        </w:numPr>
        <w:rPr>
          <w:sz w:val="24"/>
          <w:szCs w:val="24"/>
        </w:rPr>
      </w:pPr>
      <w:r w:rsidRPr="00051876">
        <w:rPr>
          <w:rFonts w:hint="eastAsia"/>
          <w:sz w:val="24"/>
          <w:szCs w:val="24"/>
          <w:lang w:val="zh-CN"/>
        </w:rPr>
        <w:t>关于执行缔约方会议第</w:t>
      </w:r>
      <w:r w:rsidRPr="00051876">
        <w:rPr>
          <w:sz w:val="24"/>
          <w:szCs w:val="24"/>
        </w:rPr>
        <w:t>XXVIII/2</w:t>
      </w:r>
      <w:r w:rsidRPr="00051876">
        <w:rPr>
          <w:rFonts w:hint="eastAsia"/>
          <w:sz w:val="24"/>
          <w:szCs w:val="24"/>
          <w:lang w:val="zh-CN"/>
        </w:rPr>
        <w:t>号决定第</w:t>
      </w:r>
      <w:r w:rsidRPr="00051876">
        <w:rPr>
          <w:sz w:val="24"/>
          <w:szCs w:val="24"/>
        </w:rPr>
        <w:t>16</w:t>
      </w:r>
      <w:r w:rsidRPr="00051876">
        <w:rPr>
          <w:rFonts w:hint="eastAsia"/>
          <w:sz w:val="24"/>
          <w:szCs w:val="24"/>
          <w:lang w:val="zh-CN"/>
        </w:rPr>
        <w:t>段和第</w:t>
      </w:r>
      <w:r w:rsidRPr="00051876">
        <w:rPr>
          <w:sz w:val="24"/>
          <w:szCs w:val="24"/>
        </w:rPr>
        <w:t>XXX/5</w:t>
      </w:r>
      <w:r w:rsidRPr="00051876">
        <w:rPr>
          <w:rFonts w:hint="eastAsia"/>
          <w:sz w:val="24"/>
          <w:szCs w:val="24"/>
          <w:lang w:val="zh-CN"/>
        </w:rPr>
        <w:t>号决定第</w:t>
      </w:r>
      <w:r w:rsidRPr="00051876">
        <w:rPr>
          <w:sz w:val="24"/>
          <w:szCs w:val="24"/>
        </w:rPr>
        <w:t>2</w:t>
      </w:r>
      <w:r w:rsidRPr="00051876">
        <w:rPr>
          <w:rFonts w:hint="eastAsia"/>
          <w:sz w:val="24"/>
          <w:szCs w:val="24"/>
          <w:lang w:val="zh-CN"/>
        </w:rPr>
        <w:t>段的方法的文件</w:t>
      </w:r>
      <w:r w:rsidRPr="00051876">
        <w:rPr>
          <w:rFonts w:hint="eastAsia"/>
          <w:sz w:val="24"/>
          <w:szCs w:val="24"/>
        </w:rPr>
        <w:t>（</w:t>
      </w:r>
      <w:r w:rsidRPr="00051876">
        <w:rPr>
          <w:rFonts w:hint="eastAsia"/>
          <w:sz w:val="24"/>
          <w:szCs w:val="24"/>
          <w:lang w:val="zh-CN"/>
        </w:rPr>
        <w:t>第</w:t>
      </w:r>
      <w:r w:rsidRPr="00051876">
        <w:rPr>
          <w:sz w:val="24"/>
          <w:szCs w:val="24"/>
        </w:rPr>
        <w:t>84/88</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将在第八十九次会议审议</w:t>
      </w:r>
      <w:r w:rsidRPr="00051876">
        <w:rPr>
          <w:rFonts w:hint="eastAsia"/>
          <w:sz w:val="24"/>
          <w:szCs w:val="24"/>
        </w:rPr>
        <w:t>）；</w:t>
      </w:r>
      <w:r w:rsidRPr="00051876">
        <w:rPr>
          <w:rFonts w:hint="eastAsia"/>
          <w:sz w:val="24"/>
          <w:szCs w:val="24"/>
          <w:lang w:val="zh-CN"/>
        </w:rPr>
        <w:t>和</w:t>
      </w:r>
    </w:p>
    <w:p w14:paraId="39B5766E" w14:textId="77777777" w:rsidR="00375C62" w:rsidRPr="00051876" w:rsidRDefault="00375C62">
      <w:pPr>
        <w:pStyle w:val="Heading2"/>
        <w:numPr>
          <w:ilvl w:val="1"/>
          <w:numId w:val="1"/>
        </w:numPr>
        <w:rPr>
          <w:sz w:val="24"/>
          <w:szCs w:val="24"/>
        </w:rPr>
      </w:pPr>
      <w:r w:rsidRPr="00051876">
        <w:rPr>
          <w:rFonts w:hint="eastAsia"/>
          <w:sz w:val="24"/>
          <w:szCs w:val="24"/>
          <w:lang w:val="zh-CN"/>
        </w:rPr>
        <w:t>在泡沫塑料制造分行业和制冷、空调和热泵行业用低全球升温潜能值替代品替代氢氟碳化物时</w:t>
      </w:r>
      <w:r w:rsidRPr="00051876">
        <w:rPr>
          <w:rFonts w:hint="eastAsia"/>
          <w:sz w:val="24"/>
          <w:szCs w:val="24"/>
        </w:rPr>
        <w:t>，</w:t>
      </w:r>
      <w:r w:rsidRPr="00051876">
        <w:rPr>
          <w:rFonts w:hint="eastAsia"/>
          <w:sz w:val="24"/>
          <w:szCs w:val="24"/>
          <w:lang w:val="zh-CN"/>
        </w:rPr>
        <w:t>报告确定的备选方案以及适用的相关程序和条件</w:t>
      </w:r>
      <w:r w:rsidRPr="00051876">
        <w:rPr>
          <w:rFonts w:hint="eastAsia"/>
          <w:sz w:val="24"/>
          <w:szCs w:val="24"/>
        </w:rPr>
        <w:t>，</w:t>
      </w:r>
      <w:r w:rsidRPr="00051876">
        <w:rPr>
          <w:rFonts w:hint="eastAsia"/>
          <w:sz w:val="24"/>
          <w:szCs w:val="24"/>
          <w:lang w:val="zh-CN"/>
        </w:rPr>
        <w:t>以调动维持和</w:t>
      </w:r>
      <w:r w:rsidRPr="00051876">
        <w:rPr>
          <w:sz w:val="24"/>
          <w:szCs w:val="24"/>
        </w:rPr>
        <w:t>/</w:t>
      </w:r>
      <w:r w:rsidRPr="00051876">
        <w:rPr>
          <w:rFonts w:hint="eastAsia"/>
          <w:sz w:val="24"/>
          <w:szCs w:val="24"/>
          <w:lang w:val="zh-CN"/>
        </w:rPr>
        <w:t>或提高能源效率的财政资源</w:t>
      </w:r>
      <w:r w:rsidRPr="00051876">
        <w:rPr>
          <w:rFonts w:hint="eastAsia"/>
          <w:sz w:val="24"/>
          <w:szCs w:val="24"/>
        </w:rPr>
        <w:t>（</w:t>
      </w:r>
      <w:r w:rsidRPr="00051876">
        <w:rPr>
          <w:rFonts w:hint="eastAsia"/>
          <w:sz w:val="24"/>
          <w:szCs w:val="24"/>
          <w:lang w:val="zh-CN"/>
        </w:rPr>
        <w:t>第</w:t>
      </w:r>
      <w:r w:rsidRPr="00051876">
        <w:rPr>
          <w:sz w:val="24"/>
          <w:szCs w:val="24"/>
        </w:rPr>
        <w:t>87/51</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将在第八十九次会议讨论</w:t>
      </w:r>
      <w:r w:rsidRPr="00051876">
        <w:rPr>
          <w:rFonts w:hint="eastAsia"/>
          <w:sz w:val="24"/>
          <w:szCs w:val="24"/>
        </w:rPr>
        <w:t>）</w:t>
      </w:r>
      <w:r w:rsidRPr="00051876">
        <w:rPr>
          <w:rFonts w:hint="eastAsia"/>
          <w:sz w:val="24"/>
          <w:szCs w:val="24"/>
          <w:lang w:val="zh-CN"/>
        </w:rPr>
        <w:t>。</w:t>
      </w:r>
    </w:p>
    <w:p w14:paraId="018D3A9F" w14:textId="77777777" w:rsidR="00375C62" w:rsidRPr="00051876" w:rsidRDefault="00375C62" w:rsidP="003A438C">
      <w:pPr>
        <w:pStyle w:val="Heading1"/>
        <w:spacing w:after="120"/>
        <w:rPr>
          <w:sz w:val="24"/>
          <w:szCs w:val="24"/>
        </w:rPr>
      </w:pPr>
      <w:r w:rsidRPr="00051876">
        <w:rPr>
          <w:sz w:val="24"/>
          <w:szCs w:val="24"/>
        </w:rPr>
        <w:t>COVID-19</w:t>
      </w:r>
      <w:r w:rsidRPr="00051876">
        <w:rPr>
          <w:rFonts w:hint="eastAsia"/>
          <w:sz w:val="24"/>
          <w:szCs w:val="24"/>
          <w:lang w:val="zh-CN"/>
        </w:rPr>
        <w:t>大流行也对多边基金实施的项目和活动产生负面影响</w:t>
      </w:r>
      <w:r w:rsidRPr="00051876">
        <w:rPr>
          <w:rFonts w:hint="eastAsia"/>
          <w:sz w:val="24"/>
          <w:szCs w:val="24"/>
        </w:rPr>
        <w:t>，</w:t>
      </w:r>
      <w:r w:rsidRPr="00051876">
        <w:rPr>
          <w:rFonts w:hint="eastAsia"/>
          <w:sz w:val="24"/>
          <w:szCs w:val="24"/>
          <w:lang w:val="zh-CN"/>
        </w:rPr>
        <w:t>导致实施方面的延宕。为部分克服一些拖延</w:t>
      </w:r>
      <w:r w:rsidRPr="00051876">
        <w:rPr>
          <w:rFonts w:hint="eastAsia"/>
          <w:sz w:val="24"/>
          <w:szCs w:val="24"/>
          <w:lang w:val="en-US"/>
        </w:rPr>
        <w:t>，</w:t>
      </w:r>
      <w:r w:rsidRPr="00051876">
        <w:rPr>
          <w:rFonts w:hint="eastAsia"/>
          <w:sz w:val="24"/>
          <w:szCs w:val="24"/>
          <w:lang w:val="zh-CN"/>
        </w:rPr>
        <w:t>双边和执行机构通过视频磋商会议、海关官员和制冷技术人员在线培训方案、在线核查报告、区域在线会议、特定项目活动的网络研讨会和文件共享平台</w:t>
      </w:r>
      <w:r w:rsidRPr="00051876">
        <w:rPr>
          <w:rFonts w:hint="eastAsia"/>
          <w:sz w:val="24"/>
          <w:szCs w:val="24"/>
          <w:lang w:val="en-US"/>
        </w:rPr>
        <w:t>（</w:t>
      </w:r>
      <w:r w:rsidRPr="00051876">
        <w:rPr>
          <w:rFonts w:hint="eastAsia"/>
          <w:sz w:val="24"/>
          <w:szCs w:val="24"/>
          <w:lang w:val="zh-CN"/>
        </w:rPr>
        <w:t>例如</w:t>
      </w:r>
      <w:r w:rsidRPr="00051876">
        <w:rPr>
          <w:rFonts w:hint="eastAsia"/>
          <w:sz w:val="24"/>
          <w:szCs w:val="24"/>
          <w:lang w:val="en-US"/>
        </w:rPr>
        <w:t>，</w:t>
      </w:r>
      <w:r w:rsidRPr="00051876">
        <w:rPr>
          <w:rFonts w:hint="eastAsia"/>
          <w:sz w:val="24"/>
          <w:szCs w:val="24"/>
          <w:lang w:val="zh-CN"/>
        </w:rPr>
        <w:t>不需要举行面对面会议的项目编制工作、制定技术专家和设备的职权范围</w:t>
      </w:r>
      <w:r w:rsidRPr="00051876">
        <w:rPr>
          <w:rFonts w:hint="eastAsia"/>
          <w:sz w:val="24"/>
          <w:szCs w:val="24"/>
          <w:lang w:val="en-US"/>
        </w:rPr>
        <w:t>），</w:t>
      </w:r>
      <w:r w:rsidRPr="00051876">
        <w:rPr>
          <w:rFonts w:hint="eastAsia"/>
          <w:sz w:val="24"/>
          <w:szCs w:val="24"/>
          <w:lang w:val="zh-CN"/>
        </w:rPr>
        <w:t>协助国家臭氧机构</w:t>
      </w:r>
      <w:r w:rsidRPr="00051876">
        <w:rPr>
          <w:rFonts w:hint="eastAsia"/>
          <w:sz w:val="24"/>
          <w:szCs w:val="24"/>
          <w:lang w:val="en-US"/>
        </w:rPr>
        <w:t>（</w:t>
      </w:r>
      <w:r w:rsidRPr="00051876">
        <w:rPr>
          <w:sz w:val="24"/>
          <w:szCs w:val="24"/>
          <w:lang w:val="en-US"/>
        </w:rPr>
        <w:t>NOU</w:t>
      </w:r>
      <w:r w:rsidRPr="00051876">
        <w:rPr>
          <w:rFonts w:hint="eastAsia"/>
          <w:sz w:val="24"/>
          <w:szCs w:val="24"/>
          <w:lang w:val="en-US"/>
        </w:rPr>
        <w:t>）</w:t>
      </w:r>
      <w:r w:rsidRPr="00051876">
        <w:rPr>
          <w:rFonts w:hint="eastAsia"/>
          <w:sz w:val="24"/>
          <w:szCs w:val="24"/>
          <w:lang w:val="zh-CN"/>
        </w:rPr>
        <w:t>调整实施进程。</w:t>
      </w:r>
    </w:p>
    <w:p w14:paraId="220EA561" w14:textId="77777777" w:rsidR="00375C62" w:rsidRPr="00051876" w:rsidRDefault="00375C62" w:rsidP="003A438C">
      <w:pPr>
        <w:pStyle w:val="Heading1"/>
        <w:widowControl w:val="0"/>
        <w:spacing w:after="120"/>
        <w:rPr>
          <w:sz w:val="24"/>
          <w:szCs w:val="24"/>
        </w:rPr>
      </w:pPr>
      <w:r w:rsidRPr="00051876">
        <w:rPr>
          <w:rFonts w:hint="eastAsia"/>
          <w:sz w:val="24"/>
          <w:szCs w:val="24"/>
          <w:lang w:val="zh-CN"/>
        </w:rPr>
        <w:t>在与各机构就此事项进行讨论后</w:t>
      </w:r>
      <w:r w:rsidRPr="00051876">
        <w:rPr>
          <w:rFonts w:hint="eastAsia"/>
          <w:sz w:val="24"/>
          <w:szCs w:val="24"/>
        </w:rPr>
        <w:t>，</w:t>
      </w:r>
      <w:r w:rsidRPr="00051876">
        <w:rPr>
          <w:rFonts w:hint="eastAsia"/>
          <w:sz w:val="24"/>
          <w:szCs w:val="24"/>
          <w:lang w:val="zh-CN"/>
        </w:rPr>
        <w:t>秘书处指出</w:t>
      </w:r>
      <w:r w:rsidRPr="00051876">
        <w:rPr>
          <w:rFonts w:hint="eastAsia"/>
          <w:sz w:val="24"/>
          <w:szCs w:val="24"/>
        </w:rPr>
        <w:t>，</w:t>
      </w:r>
      <w:r w:rsidRPr="00051876">
        <w:rPr>
          <w:rFonts w:hint="eastAsia"/>
          <w:sz w:val="24"/>
          <w:szCs w:val="24"/>
          <w:lang w:val="zh-CN"/>
        </w:rPr>
        <w:t>各项活动预计将在</w:t>
      </w:r>
      <w:r w:rsidRPr="00051876">
        <w:rPr>
          <w:sz w:val="24"/>
          <w:szCs w:val="24"/>
        </w:rPr>
        <w:t>2022</w:t>
      </w:r>
      <w:r w:rsidRPr="00051876">
        <w:rPr>
          <w:rFonts w:hint="eastAsia"/>
          <w:sz w:val="24"/>
          <w:szCs w:val="24"/>
          <w:lang w:val="zh-CN"/>
        </w:rPr>
        <w:t>年恢复</w:t>
      </w:r>
      <w:r w:rsidRPr="00051876">
        <w:rPr>
          <w:rFonts w:hint="eastAsia"/>
          <w:sz w:val="24"/>
          <w:szCs w:val="24"/>
        </w:rPr>
        <w:t>，</w:t>
      </w:r>
      <w:r w:rsidRPr="00051876">
        <w:rPr>
          <w:rFonts w:hint="eastAsia"/>
          <w:sz w:val="24"/>
          <w:szCs w:val="24"/>
          <w:lang w:val="zh-CN"/>
        </w:rPr>
        <w:t>但不确定多快会恢复到</w:t>
      </w:r>
      <w:r w:rsidRPr="00051876">
        <w:rPr>
          <w:sz w:val="24"/>
          <w:szCs w:val="24"/>
        </w:rPr>
        <w:t>COVID-19</w:t>
      </w:r>
      <w:r w:rsidRPr="00051876">
        <w:rPr>
          <w:rFonts w:hint="eastAsia"/>
          <w:sz w:val="24"/>
          <w:szCs w:val="24"/>
          <w:lang w:val="zh-CN"/>
        </w:rPr>
        <w:t>之前的正常状态。鉴于双边和执行机构广泛支持实施氟氯烃淘汰管理计划正在进行的活动以及最近批准的编制逐步减少氢氟碳化物计划</w:t>
      </w:r>
      <w:r w:rsidRPr="00051876">
        <w:rPr>
          <w:rFonts w:hint="eastAsia"/>
          <w:sz w:val="24"/>
          <w:szCs w:val="24"/>
          <w:lang w:val="en-US"/>
        </w:rPr>
        <w:t>（</w:t>
      </w:r>
      <w:r w:rsidRPr="00051876">
        <w:rPr>
          <w:rFonts w:hint="eastAsia"/>
          <w:sz w:val="24"/>
          <w:szCs w:val="24"/>
          <w:lang w:val="zh-CN"/>
        </w:rPr>
        <w:t>基加利氢氟碳化物实施计划</w:t>
      </w:r>
      <w:r w:rsidRPr="00051876">
        <w:rPr>
          <w:rFonts w:hint="eastAsia"/>
          <w:sz w:val="24"/>
          <w:szCs w:val="24"/>
          <w:lang w:val="en-US"/>
        </w:rPr>
        <w:t>）</w:t>
      </w:r>
      <w:r w:rsidRPr="00051876">
        <w:rPr>
          <w:rFonts w:hint="eastAsia"/>
          <w:sz w:val="24"/>
          <w:szCs w:val="24"/>
          <w:lang w:val="zh-CN"/>
        </w:rPr>
        <w:t>的活动</w:t>
      </w:r>
      <w:r w:rsidRPr="00051876">
        <w:rPr>
          <w:rFonts w:hint="eastAsia"/>
          <w:sz w:val="24"/>
          <w:szCs w:val="24"/>
          <w:lang w:val="en-US"/>
        </w:rPr>
        <w:t>，</w:t>
      </w:r>
      <w:r w:rsidRPr="00051876">
        <w:rPr>
          <w:rFonts w:hint="eastAsia"/>
          <w:sz w:val="24"/>
          <w:szCs w:val="24"/>
          <w:lang w:val="zh-CN"/>
        </w:rPr>
        <w:t>秘书处认为继续评估和监测</w:t>
      </w:r>
      <w:r w:rsidRPr="00051876">
        <w:rPr>
          <w:sz w:val="24"/>
          <w:szCs w:val="24"/>
          <w:lang w:val="en-US"/>
        </w:rPr>
        <w:t>COVID-19</w:t>
      </w:r>
      <w:r w:rsidRPr="00051876">
        <w:rPr>
          <w:rFonts w:hint="eastAsia"/>
          <w:sz w:val="24"/>
          <w:szCs w:val="24"/>
          <w:lang w:val="zh-CN"/>
        </w:rPr>
        <w:t>大流行对多边基金运作的影响至为重要。</w:t>
      </w:r>
    </w:p>
    <w:p w14:paraId="26EB35E2" w14:textId="77777777" w:rsidR="00375C62" w:rsidRPr="00051876" w:rsidRDefault="00375C62" w:rsidP="003A438C">
      <w:pPr>
        <w:pStyle w:val="Heading1"/>
        <w:numPr>
          <w:ilvl w:val="0"/>
          <w:numId w:val="0"/>
        </w:numPr>
        <w:spacing w:after="120"/>
        <w:rPr>
          <w:i/>
          <w:sz w:val="24"/>
          <w:szCs w:val="24"/>
        </w:rPr>
      </w:pPr>
      <w:r w:rsidRPr="00051876">
        <w:rPr>
          <w:rFonts w:eastAsia="楷体" w:hint="eastAsia"/>
          <w:sz w:val="24"/>
          <w:szCs w:val="24"/>
          <w:lang w:val="zh-CN"/>
        </w:rPr>
        <w:t>多边基金</w:t>
      </w:r>
      <w:r w:rsidRPr="00051876">
        <w:rPr>
          <w:sz w:val="24"/>
          <w:szCs w:val="24"/>
          <w:lang w:val="zh-CN"/>
        </w:rPr>
        <w:t>2021-2023</w:t>
      </w:r>
      <w:r w:rsidRPr="00051876">
        <w:rPr>
          <w:rFonts w:eastAsia="楷体" w:hint="eastAsia"/>
          <w:sz w:val="24"/>
          <w:szCs w:val="24"/>
          <w:lang w:val="zh-CN"/>
        </w:rPr>
        <w:t>年充资状况</w:t>
      </w:r>
    </w:p>
    <w:p w14:paraId="287EF48F" w14:textId="77777777" w:rsidR="00375C62" w:rsidRPr="00051876" w:rsidRDefault="00375C62" w:rsidP="003A438C">
      <w:pPr>
        <w:pStyle w:val="Heading1"/>
        <w:spacing w:after="120"/>
        <w:rPr>
          <w:sz w:val="24"/>
          <w:szCs w:val="24"/>
        </w:rPr>
      </w:pPr>
      <w:r w:rsidRPr="00051876">
        <w:rPr>
          <w:rFonts w:hint="eastAsia"/>
          <w:sz w:val="24"/>
          <w:szCs w:val="24"/>
          <w:lang w:val="zh-CN"/>
        </w:rPr>
        <w:t>与执行委员会面临的情况类似</w:t>
      </w:r>
      <w:r w:rsidRPr="00051876">
        <w:rPr>
          <w:rFonts w:hint="eastAsia"/>
          <w:sz w:val="24"/>
          <w:szCs w:val="24"/>
          <w:lang w:val="en-US"/>
        </w:rPr>
        <w:t>，</w:t>
      </w:r>
      <w:r w:rsidRPr="00051876">
        <w:rPr>
          <w:rFonts w:hint="eastAsia"/>
          <w:sz w:val="24"/>
          <w:szCs w:val="24"/>
          <w:lang w:val="zh-CN"/>
        </w:rPr>
        <w:t>蒙特利尔议定书缔约方无法在</w:t>
      </w:r>
      <w:r w:rsidRPr="00051876">
        <w:rPr>
          <w:sz w:val="24"/>
          <w:szCs w:val="24"/>
          <w:lang w:val="en-US"/>
        </w:rPr>
        <w:t>2020</w:t>
      </w:r>
      <w:r w:rsidRPr="00051876">
        <w:rPr>
          <w:rFonts w:hint="eastAsia"/>
          <w:sz w:val="24"/>
          <w:szCs w:val="24"/>
          <w:lang w:val="zh-CN"/>
        </w:rPr>
        <w:t>年和</w:t>
      </w:r>
      <w:r w:rsidRPr="00051876">
        <w:rPr>
          <w:sz w:val="24"/>
          <w:szCs w:val="24"/>
          <w:lang w:val="en-US"/>
        </w:rPr>
        <w:t>2021</w:t>
      </w:r>
      <w:r w:rsidRPr="00051876">
        <w:rPr>
          <w:rFonts w:hint="eastAsia"/>
          <w:sz w:val="24"/>
          <w:szCs w:val="24"/>
          <w:lang w:val="zh-CN"/>
        </w:rPr>
        <w:t>年举行面对面会议。虽然缔约方以在线工作的方式举行会议，议程有所减少，但它们无法作出相关决定。关于多边基金</w:t>
      </w:r>
      <w:r w:rsidRPr="00051876">
        <w:rPr>
          <w:sz w:val="24"/>
          <w:szCs w:val="24"/>
          <w:lang w:val="zh-CN"/>
        </w:rPr>
        <w:t>2021-2023</w:t>
      </w:r>
      <w:r w:rsidRPr="00051876">
        <w:rPr>
          <w:rFonts w:hint="eastAsia"/>
          <w:sz w:val="24"/>
          <w:szCs w:val="24"/>
          <w:lang w:val="zh-CN"/>
        </w:rPr>
        <w:t>年期间的充资问题，缔约方除其他外通过了以下两项决定：</w:t>
      </w:r>
    </w:p>
    <w:p w14:paraId="2978DECA" w14:textId="3357035C" w:rsidR="00375C62" w:rsidRPr="00051876" w:rsidRDefault="00375C62" w:rsidP="003A438C">
      <w:pPr>
        <w:pStyle w:val="Heading2"/>
        <w:numPr>
          <w:ilvl w:val="1"/>
          <w:numId w:val="1"/>
        </w:numPr>
        <w:spacing w:after="120"/>
        <w:rPr>
          <w:sz w:val="24"/>
          <w:szCs w:val="24"/>
        </w:rPr>
      </w:pPr>
      <w:r w:rsidRPr="00051876">
        <w:rPr>
          <w:rFonts w:hint="eastAsia"/>
          <w:sz w:val="24"/>
          <w:szCs w:val="24"/>
          <w:lang w:val="zh-CN"/>
        </w:rPr>
        <w:t>在其第三十二次会议</w:t>
      </w:r>
      <w:r w:rsidRPr="00051876">
        <w:rPr>
          <w:rStyle w:val="FootnoteReference"/>
          <w:sz w:val="24"/>
          <w:szCs w:val="24"/>
          <w:lang w:val="zh-CN"/>
        </w:rPr>
        <w:footnoteReference w:id="8"/>
      </w:r>
      <w:r w:rsidRPr="00051876">
        <w:rPr>
          <w:rFonts w:hint="eastAsia"/>
          <w:sz w:val="24"/>
          <w:szCs w:val="24"/>
          <w:lang w:val="zh-CN"/>
        </w:rPr>
        <w:t>通过多边基金</w:t>
      </w:r>
      <w:r w:rsidRPr="00051876">
        <w:rPr>
          <w:sz w:val="24"/>
          <w:szCs w:val="24"/>
        </w:rPr>
        <w:t>2021-2023</w:t>
      </w:r>
      <w:r w:rsidRPr="00051876">
        <w:rPr>
          <w:rFonts w:hint="eastAsia"/>
          <w:sz w:val="24"/>
          <w:szCs w:val="24"/>
          <w:lang w:val="zh-CN"/>
        </w:rPr>
        <w:t>三年期临时预算</w:t>
      </w:r>
      <w:r w:rsidRPr="00051876">
        <w:rPr>
          <w:rFonts w:hint="eastAsia"/>
          <w:sz w:val="24"/>
          <w:szCs w:val="24"/>
        </w:rPr>
        <w:t>，</w:t>
      </w:r>
      <w:r w:rsidRPr="00051876">
        <w:rPr>
          <w:rFonts w:hint="eastAsia"/>
          <w:sz w:val="24"/>
          <w:szCs w:val="24"/>
          <w:lang w:val="zh-CN"/>
        </w:rPr>
        <w:t>金额</w:t>
      </w:r>
      <w:r w:rsidRPr="00051876">
        <w:rPr>
          <w:sz w:val="24"/>
          <w:szCs w:val="24"/>
        </w:rPr>
        <w:t>2.68</w:t>
      </w:r>
      <w:r w:rsidRPr="00051876">
        <w:rPr>
          <w:rFonts w:hint="eastAsia"/>
          <w:sz w:val="24"/>
          <w:szCs w:val="24"/>
          <w:lang w:val="zh-CN"/>
        </w:rPr>
        <w:t>亿美元</w:t>
      </w:r>
      <w:r w:rsidRPr="00051876">
        <w:rPr>
          <w:rFonts w:hint="eastAsia"/>
          <w:sz w:val="24"/>
          <w:szCs w:val="24"/>
        </w:rPr>
        <w:t>，</w:t>
      </w:r>
      <w:r w:rsidRPr="00051876">
        <w:rPr>
          <w:rFonts w:hint="eastAsia"/>
          <w:sz w:val="24"/>
          <w:szCs w:val="24"/>
          <w:lang w:val="zh-CN"/>
        </w:rPr>
        <w:t>优先提供给三年期的一部分的</w:t>
      </w:r>
      <w:r w:rsidRPr="00051876">
        <w:rPr>
          <w:sz w:val="24"/>
          <w:szCs w:val="24"/>
        </w:rPr>
        <w:t>2021</w:t>
      </w:r>
      <w:r w:rsidRPr="00051876">
        <w:rPr>
          <w:rFonts w:hint="eastAsia"/>
          <w:sz w:val="24"/>
          <w:szCs w:val="24"/>
          <w:lang w:val="zh-CN"/>
        </w:rPr>
        <w:t>年</w:t>
      </w:r>
      <w:r w:rsidRPr="00051876">
        <w:rPr>
          <w:rFonts w:hint="eastAsia"/>
          <w:sz w:val="24"/>
          <w:szCs w:val="24"/>
        </w:rPr>
        <w:t>，</w:t>
      </w:r>
      <w:r w:rsidRPr="00051876">
        <w:rPr>
          <w:rFonts w:hint="eastAsia"/>
          <w:sz w:val="24"/>
          <w:szCs w:val="24"/>
          <w:lang w:val="zh-CN"/>
        </w:rPr>
        <w:t>直到缔约方可以通过有关充资的最终决定包括通过修订的预算为止</w:t>
      </w:r>
      <w:r w:rsidRPr="00051876">
        <w:rPr>
          <w:rFonts w:hint="eastAsia"/>
          <w:sz w:val="24"/>
          <w:szCs w:val="24"/>
        </w:rPr>
        <w:t>，</w:t>
      </w:r>
      <w:r w:rsidRPr="00051876">
        <w:rPr>
          <w:rFonts w:hint="eastAsia"/>
          <w:sz w:val="24"/>
          <w:szCs w:val="24"/>
          <w:lang w:val="zh-CN"/>
        </w:rPr>
        <w:t>但有一项谅解</w:t>
      </w:r>
      <w:r w:rsidRPr="00051876">
        <w:rPr>
          <w:rFonts w:hint="eastAsia"/>
          <w:sz w:val="24"/>
          <w:szCs w:val="24"/>
        </w:rPr>
        <w:t>，</w:t>
      </w:r>
      <w:r w:rsidRPr="00051876">
        <w:rPr>
          <w:rFonts w:hint="eastAsia"/>
          <w:sz w:val="24"/>
          <w:szCs w:val="24"/>
          <w:lang w:val="zh-CN"/>
        </w:rPr>
        <w:t>即临时预算将由预期缴交多边基金的捐款和</w:t>
      </w:r>
      <w:r w:rsidRPr="00051876">
        <w:rPr>
          <w:sz w:val="24"/>
          <w:szCs w:val="24"/>
        </w:rPr>
        <w:t>2018-2020</w:t>
      </w:r>
      <w:r w:rsidRPr="00051876">
        <w:rPr>
          <w:rFonts w:hint="eastAsia"/>
          <w:sz w:val="24"/>
          <w:szCs w:val="24"/>
          <w:lang w:val="zh-CN"/>
        </w:rPr>
        <w:t>三年期的其他来源提供</w:t>
      </w:r>
      <w:r w:rsidRPr="00051876">
        <w:rPr>
          <w:rFonts w:hint="eastAsia"/>
          <w:sz w:val="24"/>
          <w:szCs w:val="24"/>
        </w:rPr>
        <w:t>（</w:t>
      </w:r>
      <w:r w:rsidRPr="00051876">
        <w:rPr>
          <w:rFonts w:hint="eastAsia"/>
          <w:sz w:val="24"/>
          <w:szCs w:val="24"/>
          <w:lang w:val="zh-CN"/>
        </w:rPr>
        <w:t>第</w:t>
      </w:r>
      <w:r w:rsidRPr="00051876">
        <w:rPr>
          <w:sz w:val="24"/>
          <w:szCs w:val="24"/>
        </w:rPr>
        <w:lastRenderedPageBreak/>
        <w:t>XXXII/</w:t>
      </w:r>
      <w:r w:rsidR="003A438C">
        <w:rPr>
          <w:sz w:val="24"/>
          <w:szCs w:val="24"/>
        </w:rPr>
        <w:t> </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和</w:t>
      </w:r>
    </w:p>
    <w:p w14:paraId="1D07BC7F" w14:textId="77777777" w:rsidR="00375C62" w:rsidRPr="00051876" w:rsidRDefault="00375C62">
      <w:pPr>
        <w:pStyle w:val="Heading2"/>
        <w:numPr>
          <w:ilvl w:val="1"/>
          <w:numId w:val="1"/>
        </w:numPr>
        <w:rPr>
          <w:sz w:val="24"/>
          <w:szCs w:val="24"/>
        </w:rPr>
      </w:pPr>
      <w:r w:rsidRPr="00051876">
        <w:rPr>
          <w:rFonts w:hint="eastAsia"/>
          <w:sz w:val="24"/>
          <w:szCs w:val="24"/>
          <w:lang w:val="zh-CN"/>
        </w:rPr>
        <w:t>第三十三次会议</w:t>
      </w:r>
      <w:r w:rsidRPr="00051876">
        <w:rPr>
          <w:rStyle w:val="FootnoteReference"/>
          <w:sz w:val="24"/>
          <w:szCs w:val="24"/>
          <w:lang w:val="zh-CN"/>
        </w:rPr>
        <w:footnoteReference w:id="9"/>
      </w:r>
      <w:r w:rsidRPr="00051876">
        <w:rPr>
          <w:rFonts w:hint="eastAsia"/>
          <w:sz w:val="24"/>
          <w:szCs w:val="24"/>
          <w:lang w:val="zh-CN"/>
        </w:rPr>
        <w:t>通过多边基金</w:t>
      </w:r>
      <w:r w:rsidRPr="00051876">
        <w:rPr>
          <w:sz w:val="24"/>
          <w:szCs w:val="24"/>
        </w:rPr>
        <w:t>2021-2023</w:t>
      </w:r>
      <w:r w:rsidRPr="00051876">
        <w:rPr>
          <w:rFonts w:hint="eastAsia"/>
          <w:sz w:val="24"/>
          <w:szCs w:val="24"/>
          <w:lang w:val="zh-CN"/>
        </w:rPr>
        <w:t>三年期的更新临时预算</w:t>
      </w:r>
      <w:r w:rsidRPr="00051876">
        <w:rPr>
          <w:rFonts w:hint="eastAsia"/>
          <w:sz w:val="24"/>
          <w:szCs w:val="24"/>
        </w:rPr>
        <w:t>，</w:t>
      </w:r>
      <w:r w:rsidRPr="00051876">
        <w:rPr>
          <w:rFonts w:hint="eastAsia"/>
          <w:sz w:val="24"/>
          <w:szCs w:val="24"/>
          <w:lang w:val="zh-CN"/>
        </w:rPr>
        <w:t>金额</w:t>
      </w:r>
      <w:r w:rsidRPr="00051876">
        <w:rPr>
          <w:sz w:val="24"/>
          <w:szCs w:val="24"/>
        </w:rPr>
        <w:t>4</w:t>
      </w:r>
      <w:r w:rsidRPr="00051876">
        <w:rPr>
          <w:rFonts w:hint="eastAsia"/>
          <w:sz w:val="24"/>
          <w:szCs w:val="24"/>
          <w:lang w:val="zh-CN"/>
        </w:rPr>
        <w:t>亿美元</w:t>
      </w:r>
      <w:r w:rsidRPr="00051876">
        <w:rPr>
          <w:rFonts w:hint="eastAsia"/>
          <w:sz w:val="24"/>
          <w:szCs w:val="24"/>
        </w:rPr>
        <w:t>，</w:t>
      </w:r>
      <w:r w:rsidRPr="00051876">
        <w:rPr>
          <w:rFonts w:hint="eastAsia"/>
          <w:sz w:val="24"/>
          <w:szCs w:val="24"/>
          <w:lang w:val="zh-CN"/>
        </w:rPr>
        <w:t>直到缔约方可以通过有关充资的最终决定包括通过</w:t>
      </w:r>
      <w:r w:rsidRPr="00051876">
        <w:rPr>
          <w:sz w:val="24"/>
          <w:szCs w:val="24"/>
        </w:rPr>
        <w:t>2021-2023</w:t>
      </w:r>
      <w:r w:rsidRPr="00051876">
        <w:rPr>
          <w:rFonts w:hint="eastAsia"/>
          <w:sz w:val="24"/>
          <w:szCs w:val="24"/>
          <w:lang w:val="zh-CN"/>
        </w:rPr>
        <w:t>三年期的订正预算为止</w:t>
      </w:r>
      <w:r w:rsidRPr="00051876">
        <w:rPr>
          <w:rFonts w:hint="eastAsia"/>
          <w:sz w:val="24"/>
          <w:szCs w:val="24"/>
        </w:rPr>
        <w:t>，</w:t>
      </w:r>
      <w:r w:rsidRPr="00051876">
        <w:rPr>
          <w:rFonts w:hint="eastAsia"/>
          <w:sz w:val="24"/>
          <w:szCs w:val="24"/>
          <w:lang w:val="zh-CN"/>
        </w:rPr>
        <w:t>但有一项谅解</w:t>
      </w:r>
      <w:r w:rsidRPr="00051876">
        <w:rPr>
          <w:rFonts w:hint="eastAsia"/>
          <w:sz w:val="24"/>
          <w:szCs w:val="24"/>
        </w:rPr>
        <w:t>，</w:t>
      </w:r>
      <w:r w:rsidRPr="00051876">
        <w:rPr>
          <w:rFonts w:hint="eastAsia"/>
          <w:sz w:val="24"/>
          <w:szCs w:val="24"/>
          <w:lang w:val="zh-CN"/>
        </w:rPr>
        <w:t>即更新的临时预算将由预期缴交多边基金的捐款和</w:t>
      </w:r>
      <w:r w:rsidRPr="00051876">
        <w:rPr>
          <w:sz w:val="24"/>
          <w:szCs w:val="24"/>
        </w:rPr>
        <w:t>2018-2020</w:t>
      </w:r>
      <w:r w:rsidRPr="00051876">
        <w:rPr>
          <w:rFonts w:hint="eastAsia"/>
          <w:sz w:val="24"/>
          <w:szCs w:val="24"/>
          <w:lang w:val="zh-CN"/>
        </w:rPr>
        <w:t>三年期的其他来源以及缔约方在</w:t>
      </w:r>
      <w:r w:rsidRPr="00051876">
        <w:rPr>
          <w:sz w:val="24"/>
          <w:szCs w:val="24"/>
        </w:rPr>
        <w:t>2021</w:t>
      </w:r>
      <w:r w:rsidRPr="00051876">
        <w:rPr>
          <w:rFonts w:hint="eastAsia"/>
          <w:sz w:val="24"/>
          <w:szCs w:val="24"/>
          <w:lang w:val="zh-CN"/>
        </w:rPr>
        <w:t>年已经作出的捐款提供</w:t>
      </w:r>
      <w:r w:rsidRPr="00051876">
        <w:rPr>
          <w:rFonts w:hint="eastAsia"/>
          <w:sz w:val="24"/>
          <w:szCs w:val="24"/>
        </w:rPr>
        <w:t>（</w:t>
      </w:r>
      <w:r w:rsidRPr="00051876">
        <w:rPr>
          <w:rFonts w:hint="eastAsia"/>
          <w:sz w:val="24"/>
          <w:szCs w:val="24"/>
          <w:lang w:val="zh-CN"/>
        </w:rPr>
        <w:t>第</w:t>
      </w:r>
      <w:r w:rsidRPr="00051876">
        <w:rPr>
          <w:sz w:val="24"/>
          <w:szCs w:val="24"/>
        </w:rPr>
        <w:t>XXXIII/1</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w:t>
      </w:r>
    </w:p>
    <w:p w14:paraId="4CD70C72" w14:textId="77777777" w:rsidR="00375C62" w:rsidRPr="00051876" w:rsidRDefault="00375C62">
      <w:pPr>
        <w:pStyle w:val="Heading1"/>
        <w:rPr>
          <w:sz w:val="24"/>
          <w:szCs w:val="24"/>
        </w:rPr>
      </w:pPr>
      <w:r w:rsidRPr="00051876">
        <w:rPr>
          <w:rFonts w:hint="eastAsia"/>
          <w:sz w:val="24"/>
          <w:szCs w:val="24"/>
          <w:lang w:val="zh-CN"/>
        </w:rPr>
        <w:t>缔约方还授权臭氧秘书处在与大流行相关的情况允许的情形下</w:t>
      </w:r>
      <w:r w:rsidRPr="00051876">
        <w:rPr>
          <w:rFonts w:hint="eastAsia"/>
          <w:sz w:val="24"/>
          <w:szCs w:val="24"/>
        </w:rPr>
        <w:t>，</w:t>
      </w:r>
      <w:r w:rsidRPr="00051876">
        <w:rPr>
          <w:rFonts w:hint="eastAsia"/>
          <w:sz w:val="24"/>
          <w:szCs w:val="24"/>
          <w:lang w:val="zh-CN"/>
        </w:rPr>
        <w:t>于</w:t>
      </w:r>
      <w:r w:rsidRPr="00051876">
        <w:rPr>
          <w:sz w:val="24"/>
          <w:szCs w:val="24"/>
        </w:rPr>
        <w:t>2022</w:t>
      </w:r>
      <w:r w:rsidRPr="00051876">
        <w:rPr>
          <w:rFonts w:hint="eastAsia"/>
          <w:sz w:val="24"/>
          <w:szCs w:val="24"/>
          <w:lang w:val="zh-CN"/>
        </w:rPr>
        <w:t>年举办一次缔约方特别会议</w:t>
      </w:r>
      <w:r w:rsidRPr="00051876">
        <w:rPr>
          <w:rFonts w:hint="eastAsia"/>
          <w:sz w:val="24"/>
          <w:szCs w:val="24"/>
        </w:rPr>
        <w:t>，</w:t>
      </w:r>
      <w:r w:rsidRPr="00051876">
        <w:rPr>
          <w:rFonts w:hint="eastAsia"/>
          <w:sz w:val="24"/>
          <w:szCs w:val="24"/>
          <w:lang w:val="zh-CN"/>
        </w:rPr>
        <w:t>使缔约方能就多边基金</w:t>
      </w:r>
      <w:r w:rsidRPr="00051876">
        <w:rPr>
          <w:sz w:val="24"/>
          <w:szCs w:val="24"/>
        </w:rPr>
        <w:t>2021-2023</w:t>
      </w:r>
      <w:r w:rsidRPr="00051876">
        <w:rPr>
          <w:rFonts w:hint="eastAsia"/>
          <w:sz w:val="24"/>
          <w:szCs w:val="24"/>
          <w:lang w:val="zh-CN"/>
        </w:rPr>
        <w:t>三年期的充资做出决定</w:t>
      </w:r>
      <w:r w:rsidRPr="00051876">
        <w:rPr>
          <w:rFonts w:hint="eastAsia"/>
          <w:sz w:val="24"/>
          <w:szCs w:val="24"/>
        </w:rPr>
        <w:t>（</w:t>
      </w:r>
      <w:r w:rsidRPr="00051876">
        <w:rPr>
          <w:rFonts w:hint="eastAsia"/>
          <w:sz w:val="24"/>
          <w:szCs w:val="24"/>
          <w:lang w:val="zh-CN"/>
        </w:rPr>
        <w:t>第</w:t>
      </w:r>
      <w:r w:rsidRPr="00051876">
        <w:rPr>
          <w:sz w:val="24"/>
          <w:szCs w:val="24"/>
        </w:rPr>
        <w:t>XXXIII/3</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w:t>
      </w:r>
    </w:p>
    <w:p w14:paraId="71054B5D" w14:textId="77777777" w:rsidR="00375C62" w:rsidRPr="00051876" w:rsidRDefault="00375C62">
      <w:pPr>
        <w:pStyle w:val="Heading1"/>
        <w:numPr>
          <w:ilvl w:val="0"/>
          <w:numId w:val="0"/>
        </w:numPr>
        <w:rPr>
          <w:color w:val="000000"/>
          <w:sz w:val="24"/>
          <w:szCs w:val="24"/>
          <w:u w:val="single"/>
        </w:rPr>
      </w:pPr>
      <w:r w:rsidRPr="00051876">
        <w:rPr>
          <w:rFonts w:hint="eastAsia"/>
          <w:sz w:val="24"/>
          <w:szCs w:val="24"/>
          <w:u w:val="single"/>
          <w:lang w:val="zh-CN"/>
        </w:rPr>
        <w:t>方法</w:t>
      </w:r>
    </w:p>
    <w:p w14:paraId="73291E20" w14:textId="77777777" w:rsidR="00375C62" w:rsidRPr="00051876" w:rsidRDefault="00375C62">
      <w:pPr>
        <w:pStyle w:val="Heading1"/>
        <w:widowControl w:val="0"/>
        <w:rPr>
          <w:color w:val="000000"/>
          <w:sz w:val="24"/>
          <w:szCs w:val="24"/>
        </w:rPr>
      </w:pPr>
      <w:r w:rsidRPr="00051876">
        <w:rPr>
          <w:rFonts w:hint="eastAsia"/>
          <w:sz w:val="24"/>
          <w:szCs w:val="24"/>
          <w:lang w:val="zh-CN"/>
        </w:rPr>
        <w:t>鉴于决定拖延和信息有限</w:t>
      </w:r>
      <w:r w:rsidRPr="00051876">
        <w:rPr>
          <w:rFonts w:hint="eastAsia"/>
          <w:sz w:val="24"/>
          <w:szCs w:val="24"/>
        </w:rPr>
        <w:t>，</w:t>
      </w:r>
      <w:r w:rsidRPr="00051876">
        <w:rPr>
          <w:rFonts w:hint="eastAsia"/>
          <w:sz w:val="24"/>
          <w:szCs w:val="24"/>
          <w:lang w:val="zh-CN"/>
        </w:rPr>
        <w:t>秘书处在审查以下文件的基础上</w:t>
      </w:r>
      <w:r w:rsidRPr="00051876">
        <w:rPr>
          <w:rFonts w:hint="eastAsia"/>
          <w:sz w:val="24"/>
          <w:szCs w:val="24"/>
        </w:rPr>
        <w:t>，</w:t>
      </w:r>
      <w:r w:rsidRPr="00051876">
        <w:rPr>
          <w:rFonts w:hint="eastAsia"/>
          <w:sz w:val="24"/>
          <w:szCs w:val="24"/>
          <w:lang w:val="zh-CN"/>
        </w:rPr>
        <w:t>对</w:t>
      </w:r>
      <w:r w:rsidRPr="00051876">
        <w:rPr>
          <w:sz w:val="24"/>
          <w:szCs w:val="24"/>
        </w:rPr>
        <w:t>2021-2023</w:t>
      </w:r>
      <w:r w:rsidRPr="00051876">
        <w:rPr>
          <w:rFonts w:hint="eastAsia"/>
          <w:sz w:val="24"/>
          <w:szCs w:val="24"/>
          <w:lang w:val="zh-CN"/>
        </w:rPr>
        <w:t>三年期的行政费用机制进行了初步分析</w:t>
      </w:r>
      <w:r w:rsidRPr="00051876">
        <w:rPr>
          <w:rFonts w:hint="eastAsia"/>
          <w:sz w:val="24"/>
          <w:szCs w:val="24"/>
        </w:rPr>
        <w:t>：</w:t>
      </w:r>
    </w:p>
    <w:p w14:paraId="0B75AED5" w14:textId="77777777" w:rsidR="00375C62" w:rsidRPr="00051876" w:rsidRDefault="00375C62">
      <w:pPr>
        <w:pStyle w:val="Heading2"/>
        <w:numPr>
          <w:ilvl w:val="1"/>
          <w:numId w:val="1"/>
        </w:numPr>
        <w:rPr>
          <w:color w:val="000000"/>
          <w:sz w:val="24"/>
          <w:szCs w:val="24"/>
        </w:rPr>
      </w:pPr>
      <w:r w:rsidRPr="00051876">
        <w:rPr>
          <w:rFonts w:hint="eastAsia"/>
          <w:sz w:val="24"/>
          <w:szCs w:val="24"/>
          <w:lang w:val="zh-CN"/>
        </w:rPr>
        <w:t>委员会第八十六次会议核可的多边基金</w:t>
      </w:r>
      <w:r w:rsidRPr="00051876">
        <w:rPr>
          <w:sz w:val="24"/>
          <w:szCs w:val="24"/>
        </w:rPr>
        <w:t>2021-2023</w:t>
      </w:r>
      <w:r w:rsidRPr="00051876">
        <w:rPr>
          <w:rFonts w:hint="eastAsia"/>
          <w:sz w:val="24"/>
          <w:szCs w:val="24"/>
          <w:lang w:val="zh-CN"/>
        </w:rPr>
        <w:t>年综合业务计划</w:t>
      </w:r>
      <w:r w:rsidRPr="00051876">
        <w:rPr>
          <w:rFonts w:hint="eastAsia"/>
          <w:sz w:val="24"/>
          <w:szCs w:val="24"/>
        </w:rPr>
        <w:t>，</w:t>
      </w:r>
      <w:r w:rsidRPr="00051876">
        <w:rPr>
          <w:rStyle w:val="FootnoteReference"/>
          <w:sz w:val="24"/>
          <w:szCs w:val="24"/>
          <w:lang w:val="zh-CN"/>
        </w:rPr>
        <w:footnoteReference w:id="10"/>
      </w:r>
      <w:r w:rsidRPr="00051876">
        <w:rPr>
          <w:rFonts w:hint="eastAsia"/>
          <w:sz w:val="24"/>
          <w:szCs w:val="24"/>
          <w:lang w:val="zh-CN"/>
        </w:rPr>
        <w:t>以评估在此期间执行机构用于其运作的机构支助费用总额</w:t>
      </w:r>
      <w:r w:rsidRPr="00051876">
        <w:rPr>
          <w:rFonts w:hint="eastAsia"/>
          <w:sz w:val="24"/>
          <w:szCs w:val="24"/>
        </w:rPr>
        <w:t>；</w:t>
      </w:r>
    </w:p>
    <w:p w14:paraId="3CC0E8F0" w14:textId="77777777" w:rsidR="00375C62" w:rsidRPr="00051876" w:rsidRDefault="00375C62">
      <w:pPr>
        <w:pStyle w:val="Heading2"/>
        <w:numPr>
          <w:ilvl w:val="1"/>
          <w:numId w:val="1"/>
        </w:numPr>
        <w:rPr>
          <w:color w:val="000000"/>
          <w:sz w:val="24"/>
          <w:szCs w:val="24"/>
        </w:rPr>
      </w:pPr>
      <w:r w:rsidRPr="00051876">
        <w:rPr>
          <w:rFonts w:hint="eastAsia"/>
          <w:sz w:val="24"/>
          <w:szCs w:val="24"/>
          <w:lang w:val="zh-CN"/>
        </w:rPr>
        <w:t>第八十六次会议核准的环境署</w:t>
      </w:r>
      <w:r w:rsidRPr="00051876">
        <w:rPr>
          <w:sz w:val="24"/>
          <w:szCs w:val="24"/>
        </w:rPr>
        <w:t>2021</w:t>
      </w:r>
      <w:r w:rsidRPr="00051876">
        <w:rPr>
          <w:rFonts w:hint="eastAsia"/>
          <w:sz w:val="24"/>
          <w:szCs w:val="24"/>
          <w:lang w:val="zh-CN"/>
        </w:rPr>
        <w:t>年履约援助方案预算和开发署、工发组织和世界银行的</w:t>
      </w:r>
      <w:r w:rsidRPr="00051876">
        <w:rPr>
          <w:sz w:val="24"/>
          <w:szCs w:val="24"/>
        </w:rPr>
        <w:t>2021</w:t>
      </w:r>
      <w:r w:rsidRPr="00051876">
        <w:rPr>
          <w:rFonts w:hint="eastAsia"/>
          <w:sz w:val="24"/>
          <w:szCs w:val="24"/>
          <w:lang w:val="zh-CN"/>
        </w:rPr>
        <w:t>年核心单位预算</w:t>
      </w:r>
      <w:r w:rsidRPr="00051876">
        <w:rPr>
          <w:rFonts w:hint="eastAsia"/>
          <w:sz w:val="24"/>
          <w:szCs w:val="24"/>
        </w:rPr>
        <w:t>；</w:t>
      </w:r>
    </w:p>
    <w:p w14:paraId="4FB50492" w14:textId="77777777" w:rsidR="00375C62" w:rsidRPr="00051876" w:rsidRDefault="00375C62">
      <w:pPr>
        <w:pStyle w:val="Heading2"/>
        <w:numPr>
          <w:ilvl w:val="1"/>
          <w:numId w:val="1"/>
        </w:numPr>
        <w:rPr>
          <w:color w:val="000000"/>
          <w:sz w:val="24"/>
          <w:szCs w:val="24"/>
        </w:rPr>
      </w:pPr>
      <w:r w:rsidRPr="00051876">
        <w:rPr>
          <w:rFonts w:hint="eastAsia"/>
          <w:sz w:val="24"/>
          <w:szCs w:val="24"/>
          <w:lang w:val="zh-CN"/>
        </w:rPr>
        <w:t>提交第八十八次会议的环境署</w:t>
      </w:r>
      <w:r w:rsidRPr="00051876">
        <w:rPr>
          <w:sz w:val="24"/>
          <w:szCs w:val="24"/>
        </w:rPr>
        <w:t>2022</w:t>
      </w:r>
      <w:r w:rsidRPr="00051876">
        <w:rPr>
          <w:rFonts w:hint="eastAsia"/>
          <w:sz w:val="24"/>
          <w:szCs w:val="24"/>
          <w:lang w:val="zh-CN"/>
        </w:rPr>
        <w:t>年履约援助方案预算</w:t>
      </w:r>
      <w:r w:rsidRPr="00051876">
        <w:rPr>
          <w:rStyle w:val="FootnoteReference"/>
          <w:sz w:val="24"/>
          <w:szCs w:val="24"/>
          <w:lang w:val="zh-CN"/>
        </w:rPr>
        <w:footnoteReference w:id="11"/>
      </w:r>
      <w:r w:rsidRPr="00051876">
        <w:rPr>
          <w:rFonts w:hint="eastAsia"/>
          <w:sz w:val="24"/>
          <w:szCs w:val="24"/>
          <w:lang w:val="zh-CN"/>
        </w:rPr>
        <w:t>和开发署、工发组织和世界银行的</w:t>
      </w:r>
      <w:r w:rsidRPr="00051876">
        <w:rPr>
          <w:sz w:val="24"/>
          <w:szCs w:val="24"/>
        </w:rPr>
        <w:t>2022</w:t>
      </w:r>
      <w:r w:rsidRPr="00051876">
        <w:rPr>
          <w:rFonts w:hint="eastAsia"/>
          <w:sz w:val="24"/>
          <w:szCs w:val="24"/>
          <w:lang w:val="zh-CN"/>
        </w:rPr>
        <w:t>年核心单位预算</w:t>
      </w:r>
      <w:r w:rsidRPr="00051876">
        <w:rPr>
          <w:rFonts w:hint="eastAsia"/>
          <w:sz w:val="24"/>
          <w:szCs w:val="24"/>
        </w:rPr>
        <w:t>；</w:t>
      </w:r>
      <w:r w:rsidRPr="00051876">
        <w:rPr>
          <w:rStyle w:val="FootnoteReference"/>
          <w:sz w:val="24"/>
          <w:szCs w:val="24"/>
          <w:lang w:val="zh-CN"/>
        </w:rPr>
        <w:footnoteReference w:id="12"/>
      </w:r>
    </w:p>
    <w:p w14:paraId="6E7D3685" w14:textId="77777777" w:rsidR="00375C62" w:rsidRPr="00051876" w:rsidRDefault="00375C62">
      <w:pPr>
        <w:pStyle w:val="Heading2"/>
        <w:numPr>
          <w:ilvl w:val="1"/>
          <w:numId w:val="1"/>
        </w:numPr>
        <w:rPr>
          <w:color w:val="000000"/>
          <w:sz w:val="24"/>
          <w:szCs w:val="24"/>
        </w:rPr>
      </w:pPr>
      <w:r w:rsidRPr="00051876">
        <w:rPr>
          <w:rFonts w:hint="eastAsia"/>
          <w:sz w:val="24"/>
          <w:szCs w:val="24"/>
          <w:lang w:val="zh-CN"/>
        </w:rPr>
        <w:t>更新平行或合并执行淘汰氟氯烃和逐步减少氢氟碳化物活动的影响的分析</w:t>
      </w:r>
      <w:r w:rsidRPr="00051876">
        <w:rPr>
          <w:rFonts w:hint="eastAsia"/>
          <w:sz w:val="24"/>
          <w:szCs w:val="24"/>
        </w:rPr>
        <w:t>（</w:t>
      </w:r>
      <w:r w:rsidRPr="00051876">
        <w:rPr>
          <w:rFonts w:hint="eastAsia"/>
          <w:sz w:val="24"/>
          <w:szCs w:val="24"/>
          <w:lang w:val="zh-CN"/>
        </w:rPr>
        <w:t>第</w:t>
      </w:r>
      <w:r w:rsidRPr="00051876">
        <w:rPr>
          <w:sz w:val="24"/>
          <w:szCs w:val="24"/>
        </w:rPr>
        <w:t>84/86</w:t>
      </w:r>
      <w:r w:rsidRPr="00051876">
        <w:rPr>
          <w:rFonts w:hint="eastAsia"/>
          <w:sz w:val="24"/>
          <w:szCs w:val="24"/>
          <w:lang w:val="zh-CN"/>
        </w:rPr>
        <w:t>号决定</w:t>
      </w:r>
      <w:r w:rsidRPr="00051876">
        <w:rPr>
          <w:rFonts w:hint="eastAsia"/>
          <w:sz w:val="24"/>
          <w:szCs w:val="24"/>
        </w:rPr>
        <w:t>（</w:t>
      </w:r>
      <w:r w:rsidRPr="00051876">
        <w:rPr>
          <w:sz w:val="24"/>
          <w:szCs w:val="24"/>
        </w:rPr>
        <w:t>b</w:t>
      </w:r>
      <w:r w:rsidRPr="00051876">
        <w:rPr>
          <w:rFonts w:hint="eastAsia"/>
          <w:sz w:val="24"/>
          <w:szCs w:val="24"/>
        </w:rPr>
        <w:t>）（</w:t>
      </w:r>
      <w:r w:rsidRPr="00051876">
        <w:rPr>
          <w:rFonts w:hint="eastAsia"/>
          <w:sz w:val="24"/>
          <w:szCs w:val="24"/>
          <w:lang w:val="zh-CN"/>
        </w:rPr>
        <w:t>一</w:t>
      </w:r>
      <w:r w:rsidRPr="00051876">
        <w:rPr>
          <w:rFonts w:hint="eastAsia"/>
          <w:sz w:val="24"/>
          <w:szCs w:val="24"/>
        </w:rPr>
        <w:t>）</w:t>
      </w:r>
      <w:r w:rsidRPr="00051876">
        <w:rPr>
          <w:rFonts w:hint="eastAsia"/>
          <w:sz w:val="24"/>
          <w:szCs w:val="24"/>
          <w:lang w:val="zh-CN"/>
        </w:rPr>
        <w:t>段</w:t>
      </w:r>
      <w:r w:rsidRPr="00051876">
        <w:rPr>
          <w:rFonts w:hint="eastAsia"/>
          <w:sz w:val="24"/>
          <w:szCs w:val="24"/>
        </w:rPr>
        <w:t>），</w:t>
      </w:r>
      <w:r w:rsidRPr="00051876">
        <w:rPr>
          <w:rStyle w:val="FootnoteReference"/>
          <w:color w:val="000000"/>
          <w:sz w:val="24"/>
          <w:szCs w:val="24"/>
          <w:lang w:val="zh-CN"/>
        </w:rPr>
        <w:footnoteReference w:id="13"/>
      </w:r>
      <w:r w:rsidRPr="00051876">
        <w:rPr>
          <w:rFonts w:hint="eastAsia"/>
          <w:sz w:val="24"/>
          <w:szCs w:val="24"/>
          <w:lang w:val="zh-CN"/>
        </w:rPr>
        <w:t>以评估这些决定</w:t>
      </w:r>
      <w:r w:rsidRPr="00051876">
        <w:rPr>
          <w:sz w:val="24"/>
          <w:szCs w:val="24"/>
        </w:rPr>
        <w:t>/</w:t>
      </w:r>
      <w:r w:rsidRPr="00051876">
        <w:rPr>
          <w:rFonts w:hint="eastAsia"/>
          <w:sz w:val="24"/>
          <w:szCs w:val="24"/>
          <w:lang w:val="zh-CN"/>
        </w:rPr>
        <w:t>信息对</w:t>
      </w:r>
      <w:r w:rsidRPr="00051876">
        <w:rPr>
          <w:sz w:val="24"/>
          <w:szCs w:val="24"/>
        </w:rPr>
        <w:t>2021-2023</w:t>
      </w:r>
      <w:r w:rsidRPr="00051876">
        <w:rPr>
          <w:rFonts w:hint="eastAsia"/>
          <w:sz w:val="24"/>
          <w:szCs w:val="24"/>
          <w:lang w:val="zh-CN"/>
        </w:rPr>
        <w:t>三年期行政费用机制的影响。</w:t>
      </w:r>
    </w:p>
    <w:p w14:paraId="54A17238" w14:textId="77777777" w:rsidR="00375C62" w:rsidRPr="00051876" w:rsidRDefault="00375C62">
      <w:pPr>
        <w:pStyle w:val="Heading1"/>
        <w:spacing w:after="0"/>
        <w:rPr>
          <w:sz w:val="24"/>
          <w:szCs w:val="24"/>
        </w:rPr>
      </w:pPr>
      <w:r w:rsidRPr="00051876">
        <w:rPr>
          <w:rFonts w:hint="eastAsia"/>
          <w:sz w:val="24"/>
          <w:szCs w:val="24"/>
          <w:lang w:val="zh-CN"/>
        </w:rPr>
        <w:t>秘书处还与每个执行机构就</w:t>
      </w:r>
      <w:r w:rsidRPr="00051876">
        <w:rPr>
          <w:sz w:val="24"/>
          <w:szCs w:val="24"/>
        </w:rPr>
        <w:t>2021-2023</w:t>
      </w:r>
      <w:r w:rsidRPr="00051876">
        <w:rPr>
          <w:rFonts w:hint="eastAsia"/>
          <w:sz w:val="24"/>
          <w:szCs w:val="24"/>
          <w:lang w:val="zh-CN"/>
        </w:rPr>
        <w:t>三年期的行政费用机制所涉问题进行了讨论</w:t>
      </w:r>
      <w:r w:rsidRPr="00051876">
        <w:rPr>
          <w:rFonts w:hint="eastAsia"/>
          <w:sz w:val="24"/>
          <w:szCs w:val="24"/>
        </w:rPr>
        <w:t>，</w:t>
      </w:r>
      <w:r w:rsidRPr="00051876">
        <w:rPr>
          <w:rFonts w:hint="eastAsia"/>
          <w:sz w:val="24"/>
          <w:szCs w:val="24"/>
          <w:lang w:val="zh-CN"/>
        </w:rPr>
        <w:t>鉴于编制第</w:t>
      </w:r>
      <w:r w:rsidRPr="00051876">
        <w:rPr>
          <w:sz w:val="24"/>
          <w:szCs w:val="24"/>
        </w:rPr>
        <w:t>5</w:t>
      </w:r>
      <w:r w:rsidRPr="00051876">
        <w:rPr>
          <w:rFonts w:hint="eastAsia"/>
          <w:sz w:val="24"/>
          <w:szCs w:val="24"/>
          <w:lang w:val="zh-CN"/>
        </w:rPr>
        <w:t>条国家逐步减少氢氟碳化物计划的准则获得通过</w:t>
      </w:r>
      <w:r w:rsidRPr="00051876">
        <w:rPr>
          <w:rFonts w:hint="eastAsia"/>
          <w:sz w:val="24"/>
          <w:szCs w:val="24"/>
        </w:rPr>
        <w:t>，</w:t>
      </w:r>
      <w:r w:rsidRPr="00051876">
        <w:rPr>
          <w:rFonts w:hint="eastAsia"/>
          <w:sz w:val="24"/>
          <w:szCs w:val="24"/>
          <w:lang w:val="zh-CN"/>
        </w:rPr>
        <w:t>在三年期期间与氟氯烃淘汰管理计划相关的活动将与基加利氢氟碳化物实施计划的编制活动一起实施</w:t>
      </w:r>
      <w:r w:rsidRPr="00051876">
        <w:rPr>
          <w:rFonts w:hint="eastAsia"/>
          <w:sz w:val="24"/>
          <w:szCs w:val="24"/>
        </w:rPr>
        <w:t>（</w:t>
      </w:r>
      <w:r w:rsidRPr="00051876">
        <w:rPr>
          <w:rFonts w:hint="eastAsia"/>
          <w:sz w:val="24"/>
          <w:szCs w:val="24"/>
          <w:lang w:val="zh-CN"/>
        </w:rPr>
        <w:t>第</w:t>
      </w:r>
      <w:r w:rsidRPr="00051876">
        <w:rPr>
          <w:sz w:val="24"/>
          <w:szCs w:val="24"/>
        </w:rPr>
        <w:t>87/50</w:t>
      </w:r>
      <w:r w:rsidRPr="00051876">
        <w:rPr>
          <w:rFonts w:hint="eastAsia"/>
          <w:sz w:val="24"/>
          <w:szCs w:val="24"/>
          <w:lang w:val="zh-CN"/>
        </w:rPr>
        <w:t>号决定</w:t>
      </w:r>
      <w:r w:rsidRPr="00051876">
        <w:rPr>
          <w:rFonts w:hint="eastAsia"/>
          <w:sz w:val="24"/>
          <w:szCs w:val="24"/>
        </w:rPr>
        <w:t>）；</w:t>
      </w:r>
      <w:r w:rsidRPr="00051876">
        <w:rPr>
          <w:rFonts w:hint="eastAsia"/>
          <w:sz w:val="24"/>
          <w:szCs w:val="24"/>
          <w:lang w:val="zh-CN"/>
        </w:rPr>
        <w:t>这些活动将对协助第</w:t>
      </w:r>
      <w:r w:rsidRPr="00051876">
        <w:rPr>
          <w:sz w:val="24"/>
          <w:szCs w:val="24"/>
        </w:rPr>
        <w:t>5</w:t>
      </w:r>
      <w:r w:rsidRPr="00051876">
        <w:rPr>
          <w:rFonts w:hint="eastAsia"/>
          <w:sz w:val="24"/>
          <w:szCs w:val="24"/>
          <w:lang w:val="zh-CN"/>
        </w:rPr>
        <w:t>条国家所需的机构支助费用产生影响。</w:t>
      </w:r>
      <w:r w:rsidRPr="00051876">
        <w:rPr>
          <w:color w:val="000000"/>
          <w:sz w:val="24"/>
          <w:szCs w:val="24"/>
        </w:rPr>
        <w:t xml:space="preserve"> </w:t>
      </w:r>
    </w:p>
    <w:p w14:paraId="50A7A962" w14:textId="77777777" w:rsidR="00375C62" w:rsidRPr="00051876" w:rsidRDefault="00375C62">
      <w:pPr>
        <w:rPr>
          <w:sz w:val="24"/>
          <w:szCs w:val="24"/>
        </w:rPr>
      </w:pPr>
    </w:p>
    <w:p w14:paraId="4B19E2AD" w14:textId="77777777" w:rsidR="00375C62" w:rsidRPr="00051876" w:rsidRDefault="00375C62">
      <w:pPr>
        <w:pStyle w:val="Heading1"/>
        <w:rPr>
          <w:sz w:val="24"/>
          <w:szCs w:val="24"/>
        </w:rPr>
      </w:pPr>
      <w:r w:rsidRPr="00051876">
        <w:rPr>
          <w:rFonts w:hint="eastAsia"/>
          <w:sz w:val="24"/>
          <w:szCs w:val="24"/>
          <w:lang w:val="zh-CN"/>
        </w:rPr>
        <w:t>在这方面</w:t>
      </w:r>
      <w:r w:rsidRPr="00051876">
        <w:rPr>
          <w:rFonts w:hint="eastAsia"/>
          <w:sz w:val="24"/>
          <w:szCs w:val="24"/>
        </w:rPr>
        <w:t>，</w:t>
      </w:r>
      <w:r w:rsidRPr="00051876">
        <w:rPr>
          <w:rFonts w:hint="eastAsia"/>
          <w:sz w:val="24"/>
          <w:szCs w:val="24"/>
          <w:lang w:val="zh-CN"/>
        </w:rPr>
        <w:t>截至第八十七次会议</w:t>
      </w:r>
      <w:r w:rsidRPr="00051876">
        <w:rPr>
          <w:rFonts w:hint="eastAsia"/>
          <w:sz w:val="24"/>
          <w:szCs w:val="24"/>
        </w:rPr>
        <w:t>，</w:t>
      </w:r>
      <w:r w:rsidRPr="00051876">
        <w:rPr>
          <w:rFonts w:hint="eastAsia"/>
          <w:sz w:val="24"/>
          <w:szCs w:val="24"/>
          <w:lang w:val="zh-CN"/>
        </w:rPr>
        <w:t>已批准为</w:t>
      </w:r>
      <w:r w:rsidRPr="00051876">
        <w:rPr>
          <w:sz w:val="24"/>
          <w:szCs w:val="24"/>
        </w:rPr>
        <w:t>35</w:t>
      </w:r>
      <w:r w:rsidRPr="00051876">
        <w:rPr>
          <w:rFonts w:hint="eastAsia"/>
          <w:sz w:val="24"/>
          <w:szCs w:val="24"/>
          <w:lang w:val="zh-CN"/>
        </w:rPr>
        <w:t>个第</w:t>
      </w:r>
      <w:r w:rsidRPr="00051876">
        <w:rPr>
          <w:sz w:val="24"/>
          <w:szCs w:val="24"/>
        </w:rPr>
        <w:t>5</w:t>
      </w:r>
      <w:r w:rsidRPr="00051876">
        <w:rPr>
          <w:rFonts w:hint="eastAsia"/>
          <w:sz w:val="24"/>
          <w:szCs w:val="24"/>
          <w:lang w:val="zh-CN"/>
        </w:rPr>
        <w:t>条国家编制基加利氢氟碳化物实施计划的供资和另外</w:t>
      </w:r>
      <w:r w:rsidRPr="00051876">
        <w:rPr>
          <w:sz w:val="24"/>
          <w:szCs w:val="24"/>
        </w:rPr>
        <w:t>19</w:t>
      </w:r>
      <w:r w:rsidRPr="00051876">
        <w:rPr>
          <w:rFonts w:hint="eastAsia"/>
          <w:sz w:val="24"/>
          <w:szCs w:val="24"/>
          <w:lang w:val="zh-CN"/>
        </w:rPr>
        <w:t>个第</w:t>
      </w:r>
      <w:r w:rsidRPr="00051876">
        <w:rPr>
          <w:sz w:val="24"/>
          <w:szCs w:val="24"/>
        </w:rPr>
        <w:t>5</w:t>
      </w:r>
      <w:r w:rsidRPr="00051876">
        <w:rPr>
          <w:rFonts w:hint="eastAsia"/>
          <w:sz w:val="24"/>
          <w:szCs w:val="24"/>
          <w:lang w:val="zh-CN"/>
        </w:rPr>
        <w:t>条国家提交第八十八次会议的供资申请</w:t>
      </w:r>
      <w:r w:rsidRPr="00051876">
        <w:rPr>
          <w:rFonts w:hint="eastAsia"/>
          <w:sz w:val="24"/>
          <w:szCs w:val="24"/>
        </w:rPr>
        <w:t>；</w:t>
      </w:r>
      <w:r w:rsidRPr="00051876">
        <w:rPr>
          <w:rFonts w:hint="eastAsia"/>
          <w:sz w:val="24"/>
          <w:szCs w:val="24"/>
          <w:lang w:val="zh-CN"/>
        </w:rPr>
        <w:t>为另外</w:t>
      </w:r>
      <w:r w:rsidRPr="00051876">
        <w:rPr>
          <w:sz w:val="24"/>
          <w:szCs w:val="24"/>
        </w:rPr>
        <w:t>70</w:t>
      </w:r>
      <w:r w:rsidRPr="00051876">
        <w:rPr>
          <w:rFonts w:hint="eastAsia"/>
          <w:sz w:val="24"/>
          <w:szCs w:val="24"/>
          <w:lang w:val="zh-CN"/>
        </w:rPr>
        <w:t>个和</w:t>
      </w:r>
      <w:r w:rsidRPr="00051876">
        <w:rPr>
          <w:sz w:val="24"/>
          <w:szCs w:val="24"/>
        </w:rPr>
        <w:t>29</w:t>
      </w:r>
      <w:r w:rsidRPr="00051876">
        <w:rPr>
          <w:rFonts w:hint="eastAsia"/>
          <w:sz w:val="24"/>
          <w:szCs w:val="24"/>
          <w:lang w:val="zh-CN"/>
        </w:rPr>
        <w:t>个第</w:t>
      </w:r>
      <w:r w:rsidRPr="00051876">
        <w:rPr>
          <w:sz w:val="24"/>
          <w:szCs w:val="24"/>
        </w:rPr>
        <w:t>5</w:t>
      </w:r>
      <w:r w:rsidRPr="00051876">
        <w:rPr>
          <w:rFonts w:hint="eastAsia"/>
          <w:sz w:val="24"/>
          <w:szCs w:val="24"/>
          <w:lang w:val="zh-CN"/>
        </w:rPr>
        <w:t>条国家编制基加利氢氟碳化物实施计划的供资申请已分别列入</w:t>
      </w:r>
      <w:r w:rsidRPr="00051876">
        <w:rPr>
          <w:sz w:val="24"/>
          <w:szCs w:val="24"/>
        </w:rPr>
        <w:t>2022</w:t>
      </w:r>
      <w:r w:rsidRPr="00051876">
        <w:rPr>
          <w:rFonts w:hint="eastAsia"/>
          <w:sz w:val="24"/>
          <w:szCs w:val="24"/>
          <w:lang w:val="zh-CN"/>
        </w:rPr>
        <w:t>年和</w:t>
      </w:r>
      <w:r w:rsidRPr="00051876">
        <w:rPr>
          <w:sz w:val="24"/>
          <w:szCs w:val="24"/>
        </w:rPr>
        <w:t>2023</w:t>
      </w:r>
      <w:r w:rsidRPr="00051876">
        <w:rPr>
          <w:rFonts w:hint="eastAsia"/>
          <w:sz w:val="24"/>
          <w:szCs w:val="24"/>
          <w:lang w:val="zh-CN"/>
        </w:rPr>
        <w:t>年的综合业务计划。</w:t>
      </w:r>
      <w:r w:rsidRPr="00051876">
        <w:rPr>
          <w:rStyle w:val="FootnoteReference"/>
          <w:sz w:val="24"/>
          <w:szCs w:val="24"/>
          <w:lang w:val="zh-CN"/>
        </w:rPr>
        <w:footnoteReference w:id="14"/>
      </w:r>
      <w:r w:rsidRPr="00051876">
        <w:rPr>
          <w:rFonts w:hint="eastAsia"/>
          <w:sz w:val="24"/>
          <w:szCs w:val="24"/>
          <w:lang w:val="zh-CN"/>
        </w:rPr>
        <w:t>这些活动将增加双边和执行机构以及国家臭氧机构的工作量。然而，</w:t>
      </w:r>
      <w:r w:rsidRPr="00051876">
        <w:rPr>
          <w:rFonts w:hint="eastAsia"/>
          <w:sz w:val="24"/>
          <w:szCs w:val="24"/>
          <w:lang w:val="zh-CN"/>
        </w:rPr>
        <w:lastRenderedPageBreak/>
        <w:t>在逐步减少氢氟碳化物时，</w:t>
      </w:r>
      <w:r w:rsidRPr="00051876">
        <w:rPr>
          <w:rStyle w:val="FootnoteReference"/>
          <w:sz w:val="24"/>
          <w:szCs w:val="24"/>
          <w:lang w:val="zh-CN"/>
        </w:rPr>
        <w:footnoteReference w:id="15"/>
      </w:r>
      <w:r w:rsidRPr="00051876">
        <w:rPr>
          <w:rFonts w:hint="eastAsia"/>
          <w:sz w:val="24"/>
          <w:szCs w:val="24"/>
          <w:lang w:val="zh-CN"/>
        </w:rPr>
        <w:t>一旦结束对悬而未决的氢氟碳化物政策相关问题、逐步减少氢氟碳化物计划的准则、逐步减少氢氟碳化物的潜在战略和与增加能效相关事务的讨论并通过决定后，就会对提交基加利氢氟碳化物实施计划相关的活动的范围和规模以及更重要的实施问题有更好的了解。鉴于这些事实，执行委员会请秘书处编写一份有关多边基金机构和第</w:t>
      </w:r>
      <w:r w:rsidRPr="00051876">
        <w:rPr>
          <w:sz w:val="24"/>
          <w:szCs w:val="24"/>
          <w:lang w:val="zh-CN"/>
        </w:rPr>
        <w:t>5</w:t>
      </w:r>
      <w:r w:rsidRPr="00051876">
        <w:rPr>
          <w:rFonts w:hint="eastAsia"/>
          <w:sz w:val="24"/>
          <w:szCs w:val="24"/>
          <w:lang w:val="zh-CN"/>
        </w:rPr>
        <w:t>条国家解决逐步减少氢氟碳化物问题的能力的分析报告，供第九十一次会议审议。</w:t>
      </w:r>
    </w:p>
    <w:p w14:paraId="6C5A3FC3" w14:textId="561DD592" w:rsidR="00375C62" w:rsidRPr="00051876" w:rsidRDefault="00375C62" w:rsidP="003A438C">
      <w:pPr>
        <w:widowControl w:val="0"/>
        <w:spacing w:after="120"/>
        <w:rPr>
          <w:sz w:val="24"/>
          <w:szCs w:val="24"/>
        </w:rPr>
      </w:pPr>
      <w:r w:rsidRPr="00051876">
        <w:rPr>
          <w:rFonts w:hint="eastAsia"/>
          <w:b/>
          <w:sz w:val="24"/>
          <w:szCs w:val="24"/>
          <w:lang w:val="zh-CN"/>
        </w:rPr>
        <w:t>多边基金行政费用机制的概览</w:t>
      </w:r>
    </w:p>
    <w:p w14:paraId="5D4CFBF9" w14:textId="77777777" w:rsidR="00375C62" w:rsidRPr="00051876" w:rsidRDefault="00375C62">
      <w:pPr>
        <w:pStyle w:val="Heading1"/>
        <w:rPr>
          <w:sz w:val="24"/>
          <w:szCs w:val="24"/>
        </w:rPr>
      </w:pPr>
      <w:r w:rsidRPr="00051876">
        <w:rPr>
          <w:rFonts w:hint="eastAsia"/>
          <w:sz w:val="24"/>
          <w:szCs w:val="24"/>
          <w:lang w:val="zh-CN"/>
        </w:rPr>
        <w:t>如表</w:t>
      </w:r>
      <w:r w:rsidRPr="00051876">
        <w:rPr>
          <w:sz w:val="24"/>
          <w:szCs w:val="24"/>
          <w:lang w:val="zh-CN"/>
        </w:rPr>
        <w:t>1</w:t>
      </w:r>
      <w:r w:rsidRPr="00051876">
        <w:rPr>
          <w:rFonts w:hint="eastAsia"/>
          <w:sz w:val="24"/>
          <w:szCs w:val="24"/>
          <w:lang w:val="zh-CN"/>
        </w:rPr>
        <w:t>所示，自多边基金成立以来，按三年期项目供资批准率计算的方案支助费用（</w:t>
      </w:r>
      <w:r w:rsidRPr="00051876">
        <w:rPr>
          <w:sz w:val="24"/>
          <w:szCs w:val="24"/>
          <w:lang w:val="zh-CN"/>
        </w:rPr>
        <w:t>PSC</w:t>
      </w:r>
      <w:r w:rsidRPr="00051876">
        <w:rPr>
          <w:rFonts w:hint="eastAsia"/>
          <w:sz w:val="24"/>
          <w:szCs w:val="24"/>
          <w:lang w:val="zh-CN"/>
        </w:rPr>
        <w:t>）比率一般徘徊在</w:t>
      </w:r>
      <w:r w:rsidRPr="00051876">
        <w:rPr>
          <w:sz w:val="24"/>
          <w:szCs w:val="24"/>
          <w:lang w:val="zh-CN"/>
        </w:rPr>
        <w:t>13%</w:t>
      </w:r>
      <w:r w:rsidRPr="00051876">
        <w:rPr>
          <w:rFonts w:hint="eastAsia"/>
          <w:sz w:val="24"/>
          <w:szCs w:val="24"/>
          <w:lang w:val="zh-CN"/>
        </w:rPr>
        <w:t>以下。</w:t>
      </w:r>
    </w:p>
    <w:p w14:paraId="6D6B5B18" w14:textId="77777777" w:rsidR="00375C62" w:rsidRDefault="00375C62">
      <w:pPr>
        <w:widowControl w:val="0"/>
        <w:rPr>
          <w:b/>
          <w:color w:val="000000"/>
          <w:sz w:val="21"/>
          <w:szCs w:val="24"/>
        </w:rPr>
      </w:pPr>
      <w:r w:rsidRPr="00051876">
        <w:rPr>
          <w:rFonts w:hint="eastAsia"/>
          <w:b/>
          <w:sz w:val="24"/>
          <w:szCs w:val="24"/>
          <w:lang w:val="zh-CN"/>
        </w:rPr>
        <w:t>表</w:t>
      </w:r>
      <w:r w:rsidRPr="00051876">
        <w:rPr>
          <w:b/>
          <w:sz w:val="24"/>
          <w:szCs w:val="24"/>
        </w:rPr>
        <w:t>1</w:t>
      </w:r>
      <w:r w:rsidRPr="00051876">
        <w:rPr>
          <w:rFonts w:hint="eastAsia"/>
          <w:b/>
          <w:sz w:val="24"/>
          <w:szCs w:val="24"/>
        </w:rPr>
        <w:t>：</w:t>
      </w:r>
      <w:r w:rsidRPr="00051876">
        <w:rPr>
          <w:rFonts w:hint="eastAsia"/>
          <w:b/>
          <w:sz w:val="24"/>
          <w:szCs w:val="24"/>
          <w:lang w:val="zh-CN"/>
        </w:rPr>
        <w:t>从</w:t>
      </w:r>
      <w:r w:rsidRPr="00051876">
        <w:rPr>
          <w:b/>
          <w:sz w:val="24"/>
          <w:szCs w:val="24"/>
        </w:rPr>
        <w:t>1991</w:t>
      </w:r>
      <w:r w:rsidRPr="00051876">
        <w:rPr>
          <w:rFonts w:hint="eastAsia"/>
          <w:b/>
          <w:sz w:val="24"/>
          <w:szCs w:val="24"/>
          <w:lang w:val="zh-CN"/>
        </w:rPr>
        <w:t>年以来多边基金按三年期支付的行政费用</w:t>
      </w:r>
      <w:r w:rsidRPr="00051876">
        <w:rPr>
          <w:rFonts w:hint="eastAsia"/>
          <w:b/>
          <w:sz w:val="24"/>
          <w:szCs w:val="24"/>
        </w:rPr>
        <w:t>（</w:t>
      </w:r>
      <w:r w:rsidRPr="00051876">
        <w:rPr>
          <w:b/>
          <w:sz w:val="24"/>
          <w:szCs w:val="24"/>
        </w:rPr>
        <w:t>%</w:t>
      </w:r>
      <w:r w:rsidRPr="00051876">
        <w:rPr>
          <w:rFonts w:hint="eastAsia"/>
          <w:b/>
          <w:sz w:val="24"/>
          <w:szCs w:val="24"/>
        </w:rPr>
        <w:t>）</w:t>
      </w:r>
      <w:r w:rsidRPr="00051876">
        <w:rPr>
          <w:rStyle w:val="FootnoteReference"/>
          <w:b/>
          <w:sz w:val="24"/>
          <w:szCs w:val="24"/>
          <w:lang w:val="zh-CN"/>
        </w:rPr>
        <w:footnoteReference w:id="16"/>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1"/>
        <w:gridCol w:w="912"/>
        <w:gridCol w:w="910"/>
        <w:gridCol w:w="909"/>
        <w:gridCol w:w="909"/>
        <w:gridCol w:w="909"/>
        <w:gridCol w:w="909"/>
        <w:gridCol w:w="909"/>
        <w:gridCol w:w="909"/>
        <w:gridCol w:w="909"/>
      </w:tblGrid>
      <w:tr w:rsidR="00375C62" w14:paraId="037F31C0" w14:textId="77777777">
        <w:trPr>
          <w:tblHeader/>
        </w:trPr>
        <w:tc>
          <w:tcPr>
            <w:tcW w:w="625" w:type="pct"/>
            <w:noWrap/>
            <w:tcMar>
              <w:left w:w="29" w:type="dxa"/>
              <w:right w:w="0" w:type="dxa"/>
            </w:tcMar>
            <w:vAlign w:val="center"/>
          </w:tcPr>
          <w:p w14:paraId="4A92872D" w14:textId="77777777" w:rsidR="00375C62" w:rsidRPr="00051876" w:rsidRDefault="00375C62">
            <w:pPr>
              <w:jc w:val="left"/>
              <w:rPr>
                <w:sz w:val="20"/>
                <w:szCs w:val="20"/>
              </w:rPr>
            </w:pPr>
            <w:r w:rsidRPr="00051876">
              <w:rPr>
                <w:rFonts w:hint="eastAsia"/>
                <w:b/>
                <w:sz w:val="20"/>
                <w:szCs w:val="20"/>
                <w:lang w:val="zh-CN"/>
              </w:rPr>
              <w:t>机构</w:t>
            </w:r>
          </w:p>
        </w:tc>
        <w:tc>
          <w:tcPr>
            <w:tcW w:w="487" w:type="pct"/>
            <w:tcMar>
              <w:left w:w="58" w:type="dxa"/>
              <w:right w:w="58" w:type="dxa"/>
            </w:tcMar>
            <w:vAlign w:val="center"/>
          </w:tcPr>
          <w:p w14:paraId="7258B312" w14:textId="77777777" w:rsidR="00375C62" w:rsidRPr="00051876" w:rsidRDefault="00375C62">
            <w:pPr>
              <w:jc w:val="center"/>
              <w:rPr>
                <w:b/>
                <w:color w:val="000000"/>
                <w:sz w:val="20"/>
                <w:szCs w:val="20"/>
                <w:lang w:val="en-US"/>
              </w:rPr>
            </w:pPr>
            <w:r w:rsidRPr="00051876">
              <w:rPr>
                <w:b/>
                <w:color w:val="000000"/>
                <w:sz w:val="20"/>
                <w:szCs w:val="20"/>
                <w:lang w:val="en-US"/>
              </w:rPr>
              <w:t>1991-1999</w:t>
            </w:r>
          </w:p>
        </w:tc>
        <w:tc>
          <w:tcPr>
            <w:tcW w:w="486" w:type="pct"/>
            <w:noWrap/>
            <w:tcMar>
              <w:left w:w="58" w:type="dxa"/>
              <w:right w:w="58" w:type="dxa"/>
            </w:tcMar>
            <w:vAlign w:val="center"/>
          </w:tcPr>
          <w:p w14:paraId="4FDA9EB1" w14:textId="77777777" w:rsidR="00375C62" w:rsidRPr="00051876" w:rsidRDefault="00375C62">
            <w:pPr>
              <w:jc w:val="center"/>
              <w:rPr>
                <w:b/>
                <w:color w:val="000000"/>
                <w:sz w:val="20"/>
                <w:szCs w:val="20"/>
                <w:lang w:val="en-US"/>
              </w:rPr>
            </w:pPr>
            <w:r w:rsidRPr="00051876">
              <w:rPr>
                <w:b/>
                <w:color w:val="000000"/>
                <w:sz w:val="20"/>
                <w:szCs w:val="20"/>
                <w:lang w:val="en-US"/>
              </w:rPr>
              <w:t>2000- 2002</w:t>
            </w:r>
          </w:p>
        </w:tc>
        <w:tc>
          <w:tcPr>
            <w:tcW w:w="486" w:type="pct"/>
            <w:noWrap/>
            <w:tcMar>
              <w:left w:w="58" w:type="dxa"/>
              <w:right w:w="58" w:type="dxa"/>
            </w:tcMar>
            <w:vAlign w:val="center"/>
          </w:tcPr>
          <w:p w14:paraId="1106CE89" w14:textId="77777777" w:rsidR="00375C62" w:rsidRPr="00051876" w:rsidRDefault="00375C62">
            <w:pPr>
              <w:jc w:val="center"/>
              <w:rPr>
                <w:b/>
                <w:color w:val="000000"/>
                <w:sz w:val="20"/>
                <w:szCs w:val="20"/>
                <w:lang w:val="en-US"/>
              </w:rPr>
            </w:pPr>
            <w:r w:rsidRPr="00051876">
              <w:rPr>
                <w:b/>
                <w:color w:val="000000"/>
                <w:sz w:val="20"/>
                <w:szCs w:val="20"/>
                <w:lang w:val="en-US"/>
              </w:rPr>
              <w:t>2003- 2005</w:t>
            </w:r>
          </w:p>
        </w:tc>
        <w:tc>
          <w:tcPr>
            <w:tcW w:w="486" w:type="pct"/>
            <w:noWrap/>
            <w:tcMar>
              <w:left w:w="58" w:type="dxa"/>
              <w:right w:w="58" w:type="dxa"/>
            </w:tcMar>
            <w:vAlign w:val="center"/>
          </w:tcPr>
          <w:p w14:paraId="4D2E1644" w14:textId="77777777" w:rsidR="00375C62" w:rsidRPr="00051876" w:rsidRDefault="00375C62">
            <w:pPr>
              <w:jc w:val="center"/>
              <w:rPr>
                <w:b/>
                <w:color w:val="000000"/>
                <w:sz w:val="20"/>
                <w:szCs w:val="20"/>
                <w:lang w:val="en-US"/>
              </w:rPr>
            </w:pPr>
            <w:r w:rsidRPr="00051876">
              <w:rPr>
                <w:b/>
                <w:color w:val="000000"/>
                <w:sz w:val="20"/>
                <w:szCs w:val="20"/>
                <w:lang w:val="en-US"/>
              </w:rPr>
              <w:t>2006- 2008</w:t>
            </w:r>
          </w:p>
        </w:tc>
        <w:tc>
          <w:tcPr>
            <w:tcW w:w="486" w:type="pct"/>
            <w:noWrap/>
            <w:tcMar>
              <w:left w:w="58" w:type="dxa"/>
              <w:right w:w="58" w:type="dxa"/>
            </w:tcMar>
            <w:vAlign w:val="center"/>
          </w:tcPr>
          <w:p w14:paraId="7C1906E4" w14:textId="77777777" w:rsidR="00375C62" w:rsidRPr="00051876" w:rsidRDefault="00375C62">
            <w:pPr>
              <w:jc w:val="center"/>
              <w:rPr>
                <w:b/>
                <w:color w:val="000000"/>
                <w:sz w:val="20"/>
                <w:szCs w:val="20"/>
                <w:lang w:val="en-US"/>
              </w:rPr>
            </w:pPr>
            <w:r w:rsidRPr="00051876">
              <w:rPr>
                <w:b/>
                <w:color w:val="000000"/>
                <w:sz w:val="20"/>
                <w:szCs w:val="20"/>
                <w:lang w:val="en-US"/>
              </w:rPr>
              <w:t>2009- 2011</w:t>
            </w:r>
          </w:p>
        </w:tc>
        <w:tc>
          <w:tcPr>
            <w:tcW w:w="486" w:type="pct"/>
            <w:noWrap/>
            <w:tcMar>
              <w:left w:w="58" w:type="dxa"/>
              <w:right w:w="58" w:type="dxa"/>
            </w:tcMar>
            <w:vAlign w:val="center"/>
          </w:tcPr>
          <w:p w14:paraId="672A5103" w14:textId="77777777" w:rsidR="00375C62" w:rsidRPr="00051876" w:rsidRDefault="00375C62">
            <w:pPr>
              <w:jc w:val="center"/>
              <w:rPr>
                <w:b/>
                <w:color w:val="000000"/>
                <w:sz w:val="20"/>
                <w:szCs w:val="20"/>
                <w:lang w:val="en-US"/>
              </w:rPr>
            </w:pPr>
            <w:r w:rsidRPr="00051876">
              <w:rPr>
                <w:b/>
                <w:color w:val="000000"/>
                <w:sz w:val="20"/>
                <w:szCs w:val="20"/>
                <w:lang w:val="en-US"/>
              </w:rPr>
              <w:t>2012- 2014</w:t>
            </w:r>
          </w:p>
        </w:tc>
        <w:tc>
          <w:tcPr>
            <w:tcW w:w="486" w:type="pct"/>
            <w:tcMar>
              <w:left w:w="58" w:type="dxa"/>
              <w:right w:w="58" w:type="dxa"/>
            </w:tcMar>
            <w:vAlign w:val="center"/>
          </w:tcPr>
          <w:p w14:paraId="5D72C76A" w14:textId="77777777" w:rsidR="00375C62" w:rsidRPr="00051876" w:rsidRDefault="00375C62">
            <w:pPr>
              <w:jc w:val="center"/>
              <w:rPr>
                <w:b/>
                <w:color w:val="000000"/>
                <w:sz w:val="20"/>
                <w:szCs w:val="20"/>
                <w:lang w:val="en-US"/>
              </w:rPr>
            </w:pPr>
            <w:r w:rsidRPr="00051876">
              <w:rPr>
                <w:b/>
                <w:color w:val="000000"/>
                <w:sz w:val="20"/>
                <w:szCs w:val="20"/>
                <w:lang w:val="en-US"/>
              </w:rPr>
              <w:t>2015- 2017</w:t>
            </w:r>
          </w:p>
        </w:tc>
        <w:tc>
          <w:tcPr>
            <w:tcW w:w="486" w:type="pct"/>
            <w:tcMar>
              <w:left w:w="58" w:type="dxa"/>
              <w:right w:w="58" w:type="dxa"/>
            </w:tcMar>
            <w:vAlign w:val="center"/>
          </w:tcPr>
          <w:p w14:paraId="175919DB" w14:textId="77777777" w:rsidR="00375C62" w:rsidRPr="00051876" w:rsidRDefault="00375C62">
            <w:pPr>
              <w:jc w:val="center"/>
              <w:rPr>
                <w:b/>
                <w:color w:val="000000"/>
                <w:sz w:val="20"/>
                <w:szCs w:val="20"/>
                <w:lang w:val="en-US"/>
              </w:rPr>
            </w:pPr>
            <w:r w:rsidRPr="00051876">
              <w:rPr>
                <w:b/>
                <w:color w:val="000000"/>
                <w:sz w:val="20"/>
                <w:szCs w:val="20"/>
                <w:lang w:val="en-US"/>
              </w:rPr>
              <w:t>2018 -2020</w:t>
            </w:r>
          </w:p>
        </w:tc>
        <w:tc>
          <w:tcPr>
            <w:tcW w:w="486" w:type="pct"/>
            <w:tcMar>
              <w:left w:w="58" w:type="dxa"/>
              <w:right w:w="58" w:type="dxa"/>
            </w:tcMar>
          </w:tcPr>
          <w:p w14:paraId="5041B30F" w14:textId="77777777" w:rsidR="00375C62" w:rsidRPr="00051876" w:rsidRDefault="00375C62">
            <w:pPr>
              <w:jc w:val="center"/>
              <w:rPr>
                <w:b/>
                <w:color w:val="000000"/>
                <w:sz w:val="20"/>
                <w:szCs w:val="20"/>
                <w:lang w:val="en-US"/>
              </w:rPr>
            </w:pPr>
            <w:r w:rsidRPr="00051876">
              <w:rPr>
                <w:b/>
                <w:color w:val="000000"/>
                <w:sz w:val="20"/>
                <w:szCs w:val="20"/>
                <w:lang w:val="en-US"/>
              </w:rPr>
              <w:t>2021-2023**</w:t>
            </w:r>
          </w:p>
        </w:tc>
      </w:tr>
      <w:tr w:rsidR="00375C62" w14:paraId="73589EF7" w14:textId="77777777">
        <w:tc>
          <w:tcPr>
            <w:tcW w:w="625" w:type="pct"/>
            <w:noWrap/>
            <w:tcMar>
              <w:left w:w="29" w:type="dxa"/>
              <w:right w:w="0" w:type="dxa"/>
            </w:tcMar>
            <w:vAlign w:val="bottom"/>
          </w:tcPr>
          <w:p w14:paraId="41A44A6C" w14:textId="77777777" w:rsidR="00375C62" w:rsidRPr="00051876" w:rsidRDefault="00375C62">
            <w:pPr>
              <w:jc w:val="left"/>
              <w:rPr>
                <w:sz w:val="20"/>
                <w:szCs w:val="20"/>
              </w:rPr>
            </w:pPr>
            <w:r w:rsidRPr="00051876">
              <w:rPr>
                <w:rFonts w:hint="eastAsia"/>
                <w:sz w:val="20"/>
                <w:szCs w:val="20"/>
                <w:lang w:val="zh-CN"/>
              </w:rPr>
              <w:t>双边机构</w:t>
            </w:r>
          </w:p>
        </w:tc>
        <w:tc>
          <w:tcPr>
            <w:tcW w:w="487" w:type="pct"/>
            <w:tcMar>
              <w:left w:w="0" w:type="dxa"/>
              <w:right w:w="187" w:type="dxa"/>
            </w:tcMar>
            <w:vAlign w:val="center"/>
          </w:tcPr>
          <w:p w14:paraId="56C7E980" w14:textId="77777777" w:rsidR="00375C62" w:rsidRPr="00051876" w:rsidRDefault="00375C62">
            <w:pPr>
              <w:jc w:val="right"/>
              <w:rPr>
                <w:color w:val="000000"/>
                <w:sz w:val="20"/>
                <w:szCs w:val="20"/>
              </w:rPr>
            </w:pPr>
            <w:r w:rsidRPr="00051876">
              <w:rPr>
                <w:color w:val="000000"/>
                <w:sz w:val="20"/>
                <w:szCs w:val="20"/>
              </w:rPr>
              <w:t>2.8</w:t>
            </w:r>
          </w:p>
        </w:tc>
        <w:tc>
          <w:tcPr>
            <w:tcW w:w="486" w:type="pct"/>
            <w:noWrap/>
            <w:tcMar>
              <w:left w:w="0" w:type="dxa"/>
              <w:right w:w="187" w:type="dxa"/>
            </w:tcMar>
            <w:vAlign w:val="center"/>
          </w:tcPr>
          <w:p w14:paraId="4E55AC4A" w14:textId="77777777" w:rsidR="00375C62" w:rsidRPr="00051876" w:rsidRDefault="00375C62">
            <w:pPr>
              <w:jc w:val="right"/>
              <w:rPr>
                <w:color w:val="000000"/>
                <w:sz w:val="20"/>
                <w:szCs w:val="20"/>
              </w:rPr>
            </w:pPr>
            <w:r w:rsidRPr="00051876">
              <w:rPr>
                <w:color w:val="000000"/>
                <w:sz w:val="20"/>
                <w:szCs w:val="20"/>
              </w:rPr>
              <w:t>11.4</w:t>
            </w:r>
          </w:p>
        </w:tc>
        <w:tc>
          <w:tcPr>
            <w:tcW w:w="486" w:type="pct"/>
            <w:noWrap/>
            <w:tcMar>
              <w:left w:w="0" w:type="dxa"/>
              <w:right w:w="187" w:type="dxa"/>
            </w:tcMar>
            <w:vAlign w:val="center"/>
          </w:tcPr>
          <w:p w14:paraId="47BF7616" w14:textId="77777777" w:rsidR="00375C62" w:rsidRPr="00051876" w:rsidRDefault="00375C62">
            <w:pPr>
              <w:jc w:val="right"/>
              <w:rPr>
                <w:color w:val="000000"/>
                <w:sz w:val="20"/>
                <w:szCs w:val="20"/>
              </w:rPr>
            </w:pPr>
            <w:r w:rsidRPr="00051876">
              <w:rPr>
                <w:color w:val="000000"/>
                <w:sz w:val="20"/>
                <w:szCs w:val="20"/>
              </w:rPr>
              <w:t>10.7</w:t>
            </w:r>
          </w:p>
        </w:tc>
        <w:tc>
          <w:tcPr>
            <w:tcW w:w="486" w:type="pct"/>
            <w:noWrap/>
            <w:tcMar>
              <w:left w:w="0" w:type="dxa"/>
              <w:right w:w="187" w:type="dxa"/>
            </w:tcMar>
            <w:vAlign w:val="center"/>
          </w:tcPr>
          <w:p w14:paraId="172216B7" w14:textId="77777777" w:rsidR="00375C62" w:rsidRPr="00051876" w:rsidRDefault="00375C62">
            <w:pPr>
              <w:jc w:val="right"/>
              <w:rPr>
                <w:color w:val="000000"/>
                <w:sz w:val="20"/>
                <w:szCs w:val="20"/>
              </w:rPr>
            </w:pPr>
            <w:r w:rsidRPr="00051876">
              <w:rPr>
                <w:color w:val="000000"/>
                <w:sz w:val="20"/>
                <w:szCs w:val="20"/>
              </w:rPr>
              <w:t>12.4</w:t>
            </w:r>
          </w:p>
        </w:tc>
        <w:tc>
          <w:tcPr>
            <w:tcW w:w="486" w:type="pct"/>
            <w:noWrap/>
            <w:tcMar>
              <w:left w:w="0" w:type="dxa"/>
              <w:right w:w="187" w:type="dxa"/>
            </w:tcMar>
            <w:vAlign w:val="center"/>
          </w:tcPr>
          <w:p w14:paraId="11CE3377" w14:textId="77777777" w:rsidR="00375C62" w:rsidRPr="00051876" w:rsidRDefault="00375C62">
            <w:pPr>
              <w:jc w:val="right"/>
              <w:rPr>
                <w:color w:val="000000"/>
                <w:sz w:val="20"/>
                <w:szCs w:val="20"/>
              </w:rPr>
            </w:pPr>
            <w:r w:rsidRPr="00051876">
              <w:rPr>
                <w:color w:val="000000"/>
                <w:sz w:val="20"/>
                <w:szCs w:val="20"/>
              </w:rPr>
              <w:t>12.3</w:t>
            </w:r>
          </w:p>
        </w:tc>
        <w:tc>
          <w:tcPr>
            <w:tcW w:w="486" w:type="pct"/>
            <w:noWrap/>
            <w:tcMar>
              <w:left w:w="0" w:type="dxa"/>
              <w:right w:w="187" w:type="dxa"/>
            </w:tcMar>
            <w:vAlign w:val="center"/>
          </w:tcPr>
          <w:p w14:paraId="2E990C90" w14:textId="77777777" w:rsidR="00375C62" w:rsidRPr="00051876" w:rsidRDefault="00375C62">
            <w:pPr>
              <w:jc w:val="right"/>
              <w:rPr>
                <w:color w:val="000000"/>
                <w:sz w:val="20"/>
                <w:szCs w:val="20"/>
              </w:rPr>
            </w:pPr>
            <w:r w:rsidRPr="00051876">
              <w:rPr>
                <w:color w:val="000000"/>
                <w:sz w:val="20"/>
                <w:szCs w:val="20"/>
              </w:rPr>
              <w:t>11.7</w:t>
            </w:r>
          </w:p>
        </w:tc>
        <w:tc>
          <w:tcPr>
            <w:tcW w:w="486" w:type="pct"/>
            <w:tcMar>
              <w:left w:w="0" w:type="dxa"/>
              <w:right w:w="187" w:type="dxa"/>
            </w:tcMar>
            <w:vAlign w:val="center"/>
          </w:tcPr>
          <w:p w14:paraId="4083A9DC" w14:textId="77777777" w:rsidR="00375C62" w:rsidRPr="00051876" w:rsidRDefault="00375C62">
            <w:pPr>
              <w:jc w:val="right"/>
              <w:rPr>
                <w:color w:val="000000"/>
                <w:sz w:val="20"/>
                <w:szCs w:val="20"/>
              </w:rPr>
            </w:pPr>
            <w:r w:rsidRPr="00051876">
              <w:rPr>
                <w:color w:val="000000"/>
                <w:sz w:val="20"/>
                <w:szCs w:val="20"/>
              </w:rPr>
              <w:t>11.8</w:t>
            </w:r>
          </w:p>
        </w:tc>
        <w:tc>
          <w:tcPr>
            <w:tcW w:w="486" w:type="pct"/>
            <w:tcMar>
              <w:left w:w="0" w:type="dxa"/>
              <w:right w:w="187" w:type="dxa"/>
            </w:tcMar>
            <w:vAlign w:val="center"/>
          </w:tcPr>
          <w:p w14:paraId="16182395" w14:textId="77777777" w:rsidR="00375C62" w:rsidRPr="00051876" w:rsidRDefault="00375C62">
            <w:pPr>
              <w:jc w:val="right"/>
              <w:rPr>
                <w:color w:val="000000"/>
                <w:sz w:val="20"/>
                <w:szCs w:val="20"/>
              </w:rPr>
            </w:pPr>
            <w:r w:rsidRPr="00051876">
              <w:rPr>
                <w:color w:val="000000"/>
                <w:sz w:val="20"/>
                <w:szCs w:val="20"/>
              </w:rPr>
              <w:t>11.5</w:t>
            </w:r>
          </w:p>
        </w:tc>
        <w:tc>
          <w:tcPr>
            <w:tcW w:w="486" w:type="pct"/>
            <w:tcMar>
              <w:left w:w="0" w:type="dxa"/>
              <w:right w:w="187" w:type="dxa"/>
            </w:tcMar>
          </w:tcPr>
          <w:p w14:paraId="3719C99F" w14:textId="77777777" w:rsidR="00375C62" w:rsidRPr="00051876" w:rsidRDefault="00375C62">
            <w:pPr>
              <w:jc w:val="right"/>
              <w:rPr>
                <w:color w:val="000000"/>
                <w:sz w:val="20"/>
                <w:szCs w:val="20"/>
              </w:rPr>
            </w:pPr>
            <w:r w:rsidRPr="00051876">
              <w:rPr>
                <w:color w:val="000000"/>
                <w:sz w:val="20"/>
                <w:szCs w:val="20"/>
              </w:rPr>
              <w:t>11.8</w:t>
            </w:r>
          </w:p>
        </w:tc>
      </w:tr>
      <w:tr w:rsidR="00375C62" w14:paraId="30CA78A4" w14:textId="77777777">
        <w:tc>
          <w:tcPr>
            <w:tcW w:w="625" w:type="pct"/>
            <w:noWrap/>
            <w:tcMar>
              <w:left w:w="29" w:type="dxa"/>
              <w:right w:w="0" w:type="dxa"/>
            </w:tcMar>
            <w:vAlign w:val="bottom"/>
          </w:tcPr>
          <w:p w14:paraId="29D77181" w14:textId="77777777" w:rsidR="00375C62" w:rsidRPr="00051876" w:rsidRDefault="00375C62">
            <w:pPr>
              <w:jc w:val="left"/>
              <w:rPr>
                <w:sz w:val="20"/>
                <w:szCs w:val="20"/>
              </w:rPr>
            </w:pPr>
            <w:r w:rsidRPr="00051876">
              <w:rPr>
                <w:rFonts w:hint="eastAsia"/>
                <w:sz w:val="20"/>
                <w:szCs w:val="20"/>
                <w:lang w:val="zh-CN"/>
              </w:rPr>
              <w:t>开发署</w:t>
            </w:r>
          </w:p>
        </w:tc>
        <w:tc>
          <w:tcPr>
            <w:tcW w:w="487" w:type="pct"/>
            <w:tcMar>
              <w:left w:w="0" w:type="dxa"/>
              <w:right w:w="187" w:type="dxa"/>
            </w:tcMar>
            <w:vAlign w:val="center"/>
          </w:tcPr>
          <w:p w14:paraId="492A1A6F" w14:textId="77777777" w:rsidR="00375C62" w:rsidRPr="00051876" w:rsidRDefault="00375C62">
            <w:pPr>
              <w:jc w:val="right"/>
              <w:rPr>
                <w:color w:val="000000"/>
                <w:sz w:val="20"/>
                <w:szCs w:val="20"/>
              </w:rPr>
            </w:pPr>
            <w:r w:rsidRPr="00051876">
              <w:rPr>
                <w:color w:val="000000"/>
                <w:sz w:val="20"/>
                <w:szCs w:val="20"/>
              </w:rPr>
              <w:t>12.9</w:t>
            </w:r>
          </w:p>
        </w:tc>
        <w:tc>
          <w:tcPr>
            <w:tcW w:w="486" w:type="pct"/>
            <w:noWrap/>
            <w:tcMar>
              <w:left w:w="0" w:type="dxa"/>
              <w:right w:w="187" w:type="dxa"/>
            </w:tcMar>
            <w:vAlign w:val="center"/>
          </w:tcPr>
          <w:p w14:paraId="6F44F37B" w14:textId="77777777" w:rsidR="00375C62" w:rsidRPr="00051876" w:rsidRDefault="00375C62">
            <w:pPr>
              <w:jc w:val="right"/>
              <w:rPr>
                <w:color w:val="000000"/>
                <w:sz w:val="20"/>
                <w:szCs w:val="20"/>
              </w:rPr>
            </w:pPr>
            <w:r w:rsidRPr="00051876">
              <w:rPr>
                <w:color w:val="000000"/>
                <w:sz w:val="20"/>
                <w:szCs w:val="20"/>
              </w:rPr>
              <w:t>12.9</w:t>
            </w:r>
          </w:p>
        </w:tc>
        <w:tc>
          <w:tcPr>
            <w:tcW w:w="486" w:type="pct"/>
            <w:noWrap/>
            <w:tcMar>
              <w:left w:w="0" w:type="dxa"/>
              <w:right w:w="187" w:type="dxa"/>
            </w:tcMar>
            <w:vAlign w:val="center"/>
          </w:tcPr>
          <w:p w14:paraId="433DA9BF" w14:textId="77777777" w:rsidR="00375C62" w:rsidRPr="00051876" w:rsidRDefault="00375C62">
            <w:pPr>
              <w:jc w:val="right"/>
              <w:rPr>
                <w:color w:val="000000"/>
                <w:sz w:val="20"/>
                <w:szCs w:val="20"/>
              </w:rPr>
            </w:pPr>
            <w:r w:rsidRPr="00051876">
              <w:rPr>
                <w:color w:val="000000"/>
                <w:sz w:val="20"/>
                <w:szCs w:val="20"/>
              </w:rPr>
              <w:t>13.2</w:t>
            </w:r>
          </w:p>
        </w:tc>
        <w:tc>
          <w:tcPr>
            <w:tcW w:w="486" w:type="pct"/>
            <w:noWrap/>
            <w:tcMar>
              <w:left w:w="0" w:type="dxa"/>
              <w:right w:w="187" w:type="dxa"/>
            </w:tcMar>
            <w:vAlign w:val="center"/>
          </w:tcPr>
          <w:p w14:paraId="2FA5EC2A" w14:textId="77777777" w:rsidR="00375C62" w:rsidRPr="00051876" w:rsidRDefault="00375C62">
            <w:pPr>
              <w:jc w:val="right"/>
              <w:rPr>
                <w:color w:val="000000"/>
                <w:sz w:val="20"/>
                <w:szCs w:val="20"/>
              </w:rPr>
            </w:pPr>
            <w:r w:rsidRPr="00051876">
              <w:rPr>
                <w:color w:val="000000"/>
                <w:sz w:val="20"/>
                <w:szCs w:val="20"/>
              </w:rPr>
              <w:t>18.3</w:t>
            </w:r>
          </w:p>
        </w:tc>
        <w:tc>
          <w:tcPr>
            <w:tcW w:w="486" w:type="pct"/>
            <w:noWrap/>
            <w:tcMar>
              <w:left w:w="0" w:type="dxa"/>
              <w:right w:w="187" w:type="dxa"/>
            </w:tcMar>
            <w:vAlign w:val="center"/>
          </w:tcPr>
          <w:p w14:paraId="0B61D0B1" w14:textId="77777777" w:rsidR="00375C62" w:rsidRPr="00051876" w:rsidRDefault="00375C62">
            <w:pPr>
              <w:jc w:val="right"/>
              <w:rPr>
                <w:color w:val="000000"/>
                <w:sz w:val="20"/>
                <w:szCs w:val="20"/>
              </w:rPr>
            </w:pPr>
            <w:r w:rsidRPr="00051876">
              <w:rPr>
                <w:color w:val="000000"/>
                <w:sz w:val="20"/>
                <w:szCs w:val="20"/>
              </w:rPr>
              <w:t>14.0</w:t>
            </w:r>
          </w:p>
        </w:tc>
        <w:tc>
          <w:tcPr>
            <w:tcW w:w="486" w:type="pct"/>
            <w:noWrap/>
            <w:tcMar>
              <w:left w:w="0" w:type="dxa"/>
              <w:right w:w="187" w:type="dxa"/>
            </w:tcMar>
            <w:vAlign w:val="center"/>
          </w:tcPr>
          <w:p w14:paraId="428FCA14" w14:textId="77777777" w:rsidR="00375C62" w:rsidRPr="00051876" w:rsidRDefault="00375C62">
            <w:pPr>
              <w:jc w:val="right"/>
              <w:rPr>
                <w:color w:val="000000"/>
                <w:sz w:val="20"/>
                <w:szCs w:val="20"/>
              </w:rPr>
            </w:pPr>
            <w:r w:rsidRPr="00051876">
              <w:rPr>
                <w:color w:val="000000"/>
                <w:sz w:val="20"/>
                <w:szCs w:val="20"/>
              </w:rPr>
              <w:t>13.9</w:t>
            </w:r>
          </w:p>
        </w:tc>
        <w:tc>
          <w:tcPr>
            <w:tcW w:w="486" w:type="pct"/>
            <w:tcMar>
              <w:left w:w="0" w:type="dxa"/>
              <w:right w:w="187" w:type="dxa"/>
            </w:tcMar>
            <w:vAlign w:val="center"/>
          </w:tcPr>
          <w:p w14:paraId="21482873" w14:textId="77777777" w:rsidR="00375C62" w:rsidRPr="00051876" w:rsidRDefault="00375C62">
            <w:pPr>
              <w:jc w:val="right"/>
              <w:rPr>
                <w:color w:val="000000"/>
                <w:sz w:val="20"/>
                <w:szCs w:val="20"/>
              </w:rPr>
            </w:pPr>
            <w:r w:rsidRPr="00051876">
              <w:rPr>
                <w:color w:val="000000"/>
                <w:sz w:val="20"/>
                <w:szCs w:val="20"/>
              </w:rPr>
              <w:t>12.6</w:t>
            </w:r>
          </w:p>
        </w:tc>
        <w:tc>
          <w:tcPr>
            <w:tcW w:w="486" w:type="pct"/>
            <w:tcMar>
              <w:left w:w="0" w:type="dxa"/>
              <w:right w:w="187" w:type="dxa"/>
            </w:tcMar>
            <w:vAlign w:val="center"/>
          </w:tcPr>
          <w:p w14:paraId="68448CAE" w14:textId="77777777" w:rsidR="00375C62" w:rsidRPr="00051876" w:rsidRDefault="00375C62">
            <w:pPr>
              <w:jc w:val="right"/>
              <w:rPr>
                <w:color w:val="000000"/>
                <w:sz w:val="20"/>
                <w:szCs w:val="20"/>
              </w:rPr>
            </w:pPr>
            <w:r w:rsidRPr="00051876">
              <w:rPr>
                <w:color w:val="000000"/>
                <w:sz w:val="20"/>
                <w:szCs w:val="20"/>
              </w:rPr>
              <w:t>14.7</w:t>
            </w:r>
          </w:p>
        </w:tc>
        <w:tc>
          <w:tcPr>
            <w:tcW w:w="486" w:type="pct"/>
            <w:tcMar>
              <w:left w:w="0" w:type="dxa"/>
              <w:right w:w="187" w:type="dxa"/>
            </w:tcMar>
          </w:tcPr>
          <w:p w14:paraId="28D5E54D" w14:textId="77777777" w:rsidR="00375C62" w:rsidRPr="00051876" w:rsidRDefault="00375C62">
            <w:pPr>
              <w:jc w:val="right"/>
              <w:rPr>
                <w:color w:val="000000"/>
                <w:sz w:val="20"/>
                <w:szCs w:val="20"/>
              </w:rPr>
            </w:pPr>
            <w:r w:rsidRPr="00051876">
              <w:rPr>
                <w:color w:val="000000"/>
                <w:sz w:val="20"/>
                <w:szCs w:val="20"/>
              </w:rPr>
              <w:t>12.8</w:t>
            </w:r>
          </w:p>
        </w:tc>
      </w:tr>
      <w:tr w:rsidR="00375C62" w14:paraId="66542D7D" w14:textId="77777777">
        <w:tc>
          <w:tcPr>
            <w:tcW w:w="625" w:type="pct"/>
            <w:noWrap/>
            <w:tcMar>
              <w:left w:w="29" w:type="dxa"/>
              <w:right w:w="0" w:type="dxa"/>
            </w:tcMar>
            <w:vAlign w:val="bottom"/>
          </w:tcPr>
          <w:p w14:paraId="6282F1DC" w14:textId="77777777" w:rsidR="00375C62" w:rsidRPr="00051876" w:rsidRDefault="00375C62">
            <w:pPr>
              <w:jc w:val="left"/>
              <w:rPr>
                <w:sz w:val="20"/>
                <w:szCs w:val="20"/>
              </w:rPr>
            </w:pPr>
            <w:r w:rsidRPr="00051876">
              <w:rPr>
                <w:rFonts w:hint="eastAsia"/>
                <w:sz w:val="20"/>
                <w:szCs w:val="20"/>
                <w:lang w:val="zh-CN"/>
              </w:rPr>
              <w:t>环境署</w:t>
            </w:r>
            <w:r w:rsidRPr="00051876">
              <w:rPr>
                <w:sz w:val="20"/>
                <w:szCs w:val="20"/>
                <w:lang w:val="zh-CN"/>
              </w:rPr>
              <w:t>*</w:t>
            </w:r>
          </w:p>
        </w:tc>
        <w:tc>
          <w:tcPr>
            <w:tcW w:w="487" w:type="pct"/>
            <w:tcMar>
              <w:left w:w="0" w:type="dxa"/>
              <w:right w:w="187" w:type="dxa"/>
            </w:tcMar>
            <w:vAlign w:val="center"/>
          </w:tcPr>
          <w:p w14:paraId="54856D4C" w14:textId="77777777" w:rsidR="00375C62" w:rsidRPr="00051876" w:rsidRDefault="00375C62">
            <w:pPr>
              <w:jc w:val="right"/>
              <w:rPr>
                <w:color w:val="000000"/>
                <w:sz w:val="20"/>
                <w:szCs w:val="20"/>
              </w:rPr>
            </w:pPr>
            <w:r w:rsidRPr="00051876">
              <w:rPr>
                <w:color w:val="000000"/>
                <w:sz w:val="20"/>
                <w:szCs w:val="20"/>
              </w:rPr>
              <w:t>13.0</w:t>
            </w:r>
          </w:p>
        </w:tc>
        <w:tc>
          <w:tcPr>
            <w:tcW w:w="486" w:type="pct"/>
            <w:noWrap/>
            <w:tcMar>
              <w:left w:w="0" w:type="dxa"/>
              <w:right w:w="187" w:type="dxa"/>
            </w:tcMar>
            <w:vAlign w:val="center"/>
          </w:tcPr>
          <w:p w14:paraId="1DBED76D" w14:textId="77777777" w:rsidR="00375C62" w:rsidRPr="00051876" w:rsidRDefault="00375C62">
            <w:pPr>
              <w:jc w:val="right"/>
              <w:rPr>
                <w:color w:val="000000"/>
                <w:sz w:val="20"/>
                <w:szCs w:val="20"/>
              </w:rPr>
            </w:pPr>
            <w:r w:rsidRPr="00051876">
              <w:rPr>
                <w:color w:val="000000"/>
                <w:sz w:val="20"/>
                <w:szCs w:val="20"/>
              </w:rPr>
              <w:t>9.7</w:t>
            </w:r>
          </w:p>
        </w:tc>
        <w:tc>
          <w:tcPr>
            <w:tcW w:w="486" w:type="pct"/>
            <w:noWrap/>
            <w:tcMar>
              <w:left w:w="0" w:type="dxa"/>
              <w:right w:w="187" w:type="dxa"/>
            </w:tcMar>
            <w:vAlign w:val="center"/>
          </w:tcPr>
          <w:p w14:paraId="3D5B29C5" w14:textId="77777777" w:rsidR="00375C62" w:rsidRPr="00051876" w:rsidRDefault="00375C62">
            <w:pPr>
              <w:jc w:val="right"/>
              <w:rPr>
                <w:color w:val="000000"/>
                <w:sz w:val="20"/>
                <w:szCs w:val="20"/>
              </w:rPr>
            </w:pPr>
            <w:r w:rsidRPr="00051876">
              <w:rPr>
                <w:color w:val="000000"/>
                <w:sz w:val="20"/>
                <w:szCs w:val="20"/>
              </w:rPr>
              <w:t>7.3</w:t>
            </w:r>
          </w:p>
        </w:tc>
        <w:tc>
          <w:tcPr>
            <w:tcW w:w="486" w:type="pct"/>
            <w:noWrap/>
            <w:tcMar>
              <w:left w:w="0" w:type="dxa"/>
              <w:right w:w="187" w:type="dxa"/>
            </w:tcMar>
            <w:vAlign w:val="center"/>
          </w:tcPr>
          <w:p w14:paraId="6D5E34BE" w14:textId="77777777" w:rsidR="00375C62" w:rsidRPr="00051876" w:rsidRDefault="00375C62">
            <w:pPr>
              <w:jc w:val="right"/>
              <w:rPr>
                <w:color w:val="000000"/>
                <w:sz w:val="20"/>
                <w:szCs w:val="20"/>
              </w:rPr>
            </w:pPr>
            <w:r w:rsidRPr="00051876">
              <w:rPr>
                <w:color w:val="000000"/>
                <w:sz w:val="20"/>
                <w:szCs w:val="20"/>
              </w:rPr>
              <w:t>7.9</w:t>
            </w:r>
          </w:p>
        </w:tc>
        <w:tc>
          <w:tcPr>
            <w:tcW w:w="486" w:type="pct"/>
            <w:noWrap/>
            <w:tcMar>
              <w:left w:w="0" w:type="dxa"/>
              <w:right w:w="187" w:type="dxa"/>
            </w:tcMar>
            <w:vAlign w:val="center"/>
          </w:tcPr>
          <w:p w14:paraId="521A567B" w14:textId="77777777" w:rsidR="00375C62" w:rsidRPr="00051876" w:rsidRDefault="00375C62">
            <w:pPr>
              <w:jc w:val="right"/>
              <w:rPr>
                <w:color w:val="000000"/>
                <w:sz w:val="20"/>
                <w:szCs w:val="20"/>
              </w:rPr>
            </w:pPr>
            <w:r w:rsidRPr="00051876">
              <w:rPr>
                <w:color w:val="000000"/>
                <w:sz w:val="20"/>
                <w:szCs w:val="20"/>
              </w:rPr>
              <w:t>7.6</w:t>
            </w:r>
          </w:p>
        </w:tc>
        <w:tc>
          <w:tcPr>
            <w:tcW w:w="486" w:type="pct"/>
            <w:noWrap/>
            <w:tcMar>
              <w:left w:w="0" w:type="dxa"/>
              <w:right w:w="187" w:type="dxa"/>
            </w:tcMar>
            <w:vAlign w:val="center"/>
          </w:tcPr>
          <w:p w14:paraId="57749775" w14:textId="77777777" w:rsidR="00375C62" w:rsidRPr="00051876" w:rsidRDefault="00375C62">
            <w:pPr>
              <w:jc w:val="right"/>
              <w:rPr>
                <w:color w:val="000000"/>
                <w:sz w:val="20"/>
                <w:szCs w:val="20"/>
              </w:rPr>
            </w:pPr>
            <w:r w:rsidRPr="00051876">
              <w:rPr>
                <w:color w:val="000000"/>
                <w:sz w:val="20"/>
                <w:szCs w:val="20"/>
              </w:rPr>
              <w:t>7.0</w:t>
            </w:r>
          </w:p>
        </w:tc>
        <w:tc>
          <w:tcPr>
            <w:tcW w:w="486" w:type="pct"/>
            <w:tcMar>
              <w:left w:w="0" w:type="dxa"/>
              <w:right w:w="187" w:type="dxa"/>
            </w:tcMar>
            <w:vAlign w:val="center"/>
          </w:tcPr>
          <w:p w14:paraId="2EE33720" w14:textId="77777777" w:rsidR="00375C62" w:rsidRPr="00051876" w:rsidRDefault="00375C62">
            <w:pPr>
              <w:jc w:val="right"/>
              <w:rPr>
                <w:color w:val="000000"/>
                <w:sz w:val="20"/>
                <w:szCs w:val="20"/>
              </w:rPr>
            </w:pPr>
            <w:r w:rsidRPr="00051876">
              <w:rPr>
                <w:color w:val="000000"/>
                <w:sz w:val="20"/>
                <w:szCs w:val="20"/>
              </w:rPr>
              <w:t>7.6</w:t>
            </w:r>
          </w:p>
        </w:tc>
        <w:tc>
          <w:tcPr>
            <w:tcW w:w="486" w:type="pct"/>
            <w:tcMar>
              <w:left w:w="0" w:type="dxa"/>
              <w:right w:w="187" w:type="dxa"/>
            </w:tcMar>
            <w:vAlign w:val="center"/>
          </w:tcPr>
          <w:p w14:paraId="5DC69560" w14:textId="77777777" w:rsidR="00375C62" w:rsidRPr="00051876" w:rsidRDefault="00375C62">
            <w:pPr>
              <w:jc w:val="right"/>
              <w:rPr>
                <w:color w:val="000000"/>
                <w:sz w:val="20"/>
                <w:szCs w:val="20"/>
              </w:rPr>
            </w:pPr>
            <w:r w:rsidRPr="00051876">
              <w:rPr>
                <w:color w:val="000000"/>
                <w:sz w:val="20"/>
                <w:szCs w:val="20"/>
              </w:rPr>
              <w:t>7.7</w:t>
            </w:r>
          </w:p>
        </w:tc>
        <w:tc>
          <w:tcPr>
            <w:tcW w:w="486" w:type="pct"/>
            <w:tcMar>
              <w:left w:w="0" w:type="dxa"/>
              <w:right w:w="187" w:type="dxa"/>
            </w:tcMar>
          </w:tcPr>
          <w:p w14:paraId="265D5A0B" w14:textId="77777777" w:rsidR="00375C62" w:rsidRPr="00051876" w:rsidRDefault="00375C62">
            <w:pPr>
              <w:jc w:val="right"/>
              <w:rPr>
                <w:color w:val="000000"/>
                <w:sz w:val="20"/>
                <w:szCs w:val="20"/>
              </w:rPr>
            </w:pPr>
            <w:r w:rsidRPr="00051876">
              <w:rPr>
                <w:color w:val="000000"/>
                <w:sz w:val="20"/>
                <w:szCs w:val="20"/>
              </w:rPr>
              <w:t>8.0</w:t>
            </w:r>
          </w:p>
        </w:tc>
      </w:tr>
      <w:tr w:rsidR="00375C62" w14:paraId="21E95D09" w14:textId="77777777">
        <w:tc>
          <w:tcPr>
            <w:tcW w:w="625" w:type="pct"/>
            <w:noWrap/>
            <w:tcMar>
              <w:left w:w="29" w:type="dxa"/>
              <w:right w:w="0" w:type="dxa"/>
            </w:tcMar>
            <w:vAlign w:val="bottom"/>
          </w:tcPr>
          <w:p w14:paraId="4661F7EA" w14:textId="77777777" w:rsidR="00375C62" w:rsidRPr="00051876" w:rsidRDefault="00375C62">
            <w:pPr>
              <w:jc w:val="left"/>
              <w:rPr>
                <w:sz w:val="20"/>
                <w:szCs w:val="20"/>
              </w:rPr>
            </w:pPr>
            <w:r w:rsidRPr="00051876">
              <w:rPr>
                <w:rFonts w:hint="eastAsia"/>
                <w:sz w:val="20"/>
                <w:szCs w:val="20"/>
                <w:lang w:val="zh-CN"/>
              </w:rPr>
              <w:t>工发组织</w:t>
            </w:r>
          </w:p>
        </w:tc>
        <w:tc>
          <w:tcPr>
            <w:tcW w:w="487" w:type="pct"/>
            <w:tcMar>
              <w:left w:w="0" w:type="dxa"/>
              <w:right w:w="187" w:type="dxa"/>
            </w:tcMar>
            <w:vAlign w:val="center"/>
          </w:tcPr>
          <w:p w14:paraId="3770AE3D" w14:textId="77777777" w:rsidR="00375C62" w:rsidRPr="00051876" w:rsidRDefault="00375C62">
            <w:pPr>
              <w:jc w:val="right"/>
              <w:rPr>
                <w:color w:val="000000"/>
                <w:sz w:val="20"/>
                <w:szCs w:val="20"/>
              </w:rPr>
            </w:pPr>
            <w:r w:rsidRPr="00051876">
              <w:rPr>
                <w:color w:val="000000"/>
                <w:sz w:val="20"/>
                <w:szCs w:val="20"/>
              </w:rPr>
              <w:t>12.8</w:t>
            </w:r>
          </w:p>
        </w:tc>
        <w:tc>
          <w:tcPr>
            <w:tcW w:w="486" w:type="pct"/>
            <w:noWrap/>
            <w:tcMar>
              <w:left w:w="0" w:type="dxa"/>
              <w:right w:w="187" w:type="dxa"/>
            </w:tcMar>
            <w:vAlign w:val="center"/>
          </w:tcPr>
          <w:p w14:paraId="78D93904" w14:textId="77777777" w:rsidR="00375C62" w:rsidRPr="00051876" w:rsidRDefault="00375C62">
            <w:pPr>
              <w:jc w:val="right"/>
              <w:rPr>
                <w:color w:val="000000"/>
                <w:sz w:val="20"/>
                <w:szCs w:val="20"/>
              </w:rPr>
            </w:pPr>
            <w:r w:rsidRPr="00051876">
              <w:rPr>
                <w:color w:val="000000"/>
                <w:sz w:val="20"/>
                <w:szCs w:val="20"/>
              </w:rPr>
              <w:t>13.4</w:t>
            </w:r>
          </w:p>
        </w:tc>
        <w:tc>
          <w:tcPr>
            <w:tcW w:w="486" w:type="pct"/>
            <w:noWrap/>
            <w:tcMar>
              <w:left w:w="0" w:type="dxa"/>
              <w:right w:w="187" w:type="dxa"/>
            </w:tcMar>
            <w:vAlign w:val="center"/>
          </w:tcPr>
          <w:p w14:paraId="406D4D02" w14:textId="77777777" w:rsidR="00375C62" w:rsidRPr="00051876" w:rsidRDefault="00375C62">
            <w:pPr>
              <w:jc w:val="right"/>
              <w:rPr>
                <w:color w:val="000000"/>
                <w:sz w:val="20"/>
                <w:szCs w:val="20"/>
              </w:rPr>
            </w:pPr>
            <w:r w:rsidRPr="00051876">
              <w:rPr>
                <w:color w:val="000000"/>
                <w:sz w:val="20"/>
                <w:szCs w:val="20"/>
              </w:rPr>
              <w:t>11.7</w:t>
            </w:r>
          </w:p>
        </w:tc>
        <w:tc>
          <w:tcPr>
            <w:tcW w:w="486" w:type="pct"/>
            <w:noWrap/>
            <w:tcMar>
              <w:left w:w="0" w:type="dxa"/>
              <w:right w:w="187" w:type="dxa"/>
            </w:tcMar>
            <w:vAlign w:val="center"/>
          </w:tcPr>
          <w:p w14:paraId="3C3017A0" w14:textId="77777777" w:rsidR="00375C62" w:rsidRPr="00051876" w:rsidRDefault="00375C62">
            <w:pPr>
              <w:jc w:val="right"/>
              <w:rPr>
                <w:color w:val="000000"/>
                <w:sz w:val="20"/>
                <w:szCs w:val="20"/>
              </w:rPr>
            </w:pPr>
            <w:r w:rsidRPr="00051876">
              <w:rPr>
                <w:color w:val="000000"/>
                <w:sz w:val="20"/>
                <w:szCs w:val="20"/>
              </w:rPr>
              <w:t>14.4</w:t>
            </w:r>
          </w:p>
        </w:tc>
        <w:tc>
          <w:tcPr>
            <w:tcW w:w="486" w:type="pct"/>
            <w:noWrap/>
            <w:tcMar>
              <w:left w:w="0" w:type="dxa"/>
              <w:right w:w="187" w:type="dxa"/>
            </w:tcMar>
            <w:vAlign w:val="center"/>
          </w:tcPr>
          <w:p w14:paraId="1C071D0F" w14:textId="77777777" w:rsidR="00375C62" w:rsidRPr="00051876" w:rsidRDefault="00375C62">
            <w:pPr>
              <w:jc w:val="right"/>
              <w:rPr>
                <w:color w:val="000000"/>
                <w:sz w:val="20"/>
                <w:szCs w:val="20"/>
              </w:rPr>
            </w:pPr>
            <w:r w:rsidRPr="00051876">
              <w:rPr>
                <w:color w:val="000000"/>
                <w:sz w:val="20"/>
                <w:szCs w:val="20"/>
              </w:rPr>
              <w:t>11.8</w:t>
            </w:r>
          </w:p>
        </w:tc>
        <w:tc>
          <w:tcPr>
            <w:tcW w:w="486" w:type="pct"/>
            <w:noWrap/>
            <w:tcMar>
              <w:left w:w="0" w:type="dxa"/>
              <w:right w:w="187" w:type="dxa"/>
            </w:tcMar>
            <w:vAlign w:val="center"/>
          </w:tcPr>
          <w:p w14:paraId="57F28A4F" w14:textId="77777777" w:rsidR="00375C62" w:rsidRPr="00051876" w:rsidRDefault="00375C62">
            <w:pPr>
              <w:jc w:val="right"/>
              <w:rPr>
                <w:color w:val="000000"/>
                <w:sz w:val="20"/>
                <w:szCs w:val="20"/>
              </w:rPr>
            </w:pPr>
            <w:r w:rsidRPr="00051876">
              <w:rPr>
                <w:color w:val="000000"/>
                <w:sz w:val="20"/>
                <w:szCs w:val="20"/>
              </w:rPr>
              <w:t>13.7</w:t>
            </w:r>
          </w:p>
        </w:tc>
        <w:tc>
          <w:tcPr>
            <w:tcW w:w="486" w:type="pct"/>
            <w:tcMar>
              <w:left w:w="0" w:type="dxa"/>
              <w:right w:w="187" w:type="dxa"/>
            </w:tcMar>
            <w:vAlign w:val="center"/>
          </w:tcPr>
          <w:p w14:paraId="0EB0EBF1" w14:textId="77777777" w:rsidR="00375C62" w:rsidRPr="00051876" w:rsidRDefault="00375C62">
            <w:pPr>
              <w:jc w:val="right"/>
              <w:rPr>
                <w:color w:val="000000"/>
                <w:sz w:val="20"/>
                <w:szCs w:val="20"/>
              </w:rPr>
            </w:pPr>
            <w:r w:rsidRPr="00051876">
              <w:rPr>
                <w:color w:val="000000"/>
                <w:sz w:val="20"/>
                <w:szCs w:val="20"/>
              </w:rPr>
              <w:t>13.8</w:t>
            </w:r>
          </w:p>
        </w:tc>
        <w:tc>
          <w:tcPr>
            <w:tcW w:w="486" w:type="pct"/>
            <w:tcMar>
              <w:left w:w="0" w:type="dxa"/>
              <w:right w:w="187" w:type="dxa"/>
            </w:tcMar>
            <w:vAlign w:val="center"/>
          </w:tcPr>
          <w:p w14:paraId="34583DF7" w14:textId="77777777" w:rsidR="00375C62" w:rsidRPr="00051876" w:rsidRDefault="00375C62">
            <w:pPr>
              <w:jc w:val="right"/>
              <w:rPr>
                <w:color w:val="000000"/>
                <w:sz w:val="20"/>
                <w:szCs w:val="20"/>
              </w:rPr>
            </w:pPr>
            <w:r w:rsidRPr="00051876">
              <w:rPr>
                <w:color w:val="000000"/>
                <w:sz w:val="20"/>
                <w:szCs w:val="20"/>
              </w:rPr>
              <w:t>16.2</w:t>
            </w:r>
          </w:p>
        </w:tc>
        <w:tc>
          <w:tcPr>
            <w:tcW w:w="486" w:type="pct"/>
            <w:tcMar>
              <w:left w:w="0" w:type="dxa"/>
              <w:right w:w="187" w:type="dxa"/>
            </w:tcMar>
          </w:tcPr>
          <w:p w14:paraId="384DF629" w14:textId="77777777" w:rsidR="00375C62" w:rsidRPr="00051876" w:rsidRDefault="00375C62">
            <w:pPr>
              <w:jc w:val="right"/>
              <w:rPr>
                <w:color w:val="000000"/>
                <w:sz w:val="20"/>
                <w:szCs w:val="20"/>
              </w:rPr>
            </w:pPr>
            <w:r w:rsidRPr="00051876">
              <w:rPr>
                <w:color w:val="000000"/>
                <w:sz w:val="20"/>
                <w:szCs w:val="20"/>
              </w:rPr>
              <w:t>14.8</w:t>
            </w:r>
          </w:p>
        </w:tc>
      </w:tr>
      <w:tr w:rsidR="00375C62" w14:paraId="608EFD10" w14:textId="77777777">
        <w:tc>
          <w:tcPr>
            <w:tcW w:w="625" w:type="pct"/>
            <w:noWrap/>
            <w:tcMar>
              <w:left w:w="29" w:type="dxa"/>
              <w:right w:w="0" w:type="dxa"/>
            </w:tcMar>
            <w:vAlign w:val="bottom"/>
          </w:tcPr>
          <w:p w14:paraId="10A2E974" w14:textId="77777777" w:rsidR="00375C62" w:rsidRPr="00051876" w:rsidRDefault="00375C62">
            <w:pPr>
              <w:jc w:val="left"/>
              <w:rPr>
                <w:sz w:val="20"/>
                <w:szCs w:val="20"/>
              </w:rPr>
            </w:pPr>
            <w:r w:rsidRPr="00051876">
              <w:rPr>
                <w:rFonts w:hint="eastAsia"/>
                <w:sz w:val="20"/>
                <w:szCs w:val="20"/>
                <w:lang w:val="zh-CN"/>
              </w:rPr>
              <w:t>世界银行</w:t>
            </w:r>
          </w:p>
        </w:tc>
        <w:tc>
          <w:tcPr>
            <w:tcW w:w="487" w:type="pct"/>
            <w:tcMar>
              <w:left w:w="0" w:type="dxa"/>
              <w:right w:w="187" w:type="dxa"/>
            </w:tcMar>
            <w:vAlign w:val="center"/>
          </w:tcPr>
          <w:p w14:paraId="54E2D00B" w14:textId="77777777" w:rsidR="00375C62" w:rsidRPr="00051876" w:rsidRDefault="00375C62">
            <w:pPr>
              <w:jc w:val="right"/>
              <w:rPr>
                <w:color w:val="000000"/>
                <w:sz w:val="20"/>
                <w:szCs w:val="20"/>
              </w:rPr>
            </w:pPr>
            <w:r w:rsidRPr="00051876">
              <w:rPr>
                <w:color w:val="000000"/>
                <w:sz w:val="20"/>
                <w:szCs w:val="20"/>
              </w:rPr>
              <w:t>8.6</w:t>
            </w:r>
          </w:p>
        </w:tc>
        <w:tc>
          <w:tcPr>
            <w:tcW w:w="486" w:type="pct"/>
            <w:noWrap/>
            <w:tcMar>
              <w:left w:w="0" w:type="dxa"/>
              <w:right w:w="187" w:type="dxa"/>
            </w:tcMar>
            <w:vAlign w:val="center"/>
          </w:tcPr>
          <w:p w14:paraId="1C542C16" w14:textId="77777777" w:rsidR="00375C62" w:rsidRPr="00051876" w:rsidRDefault="00375C62">
            <w:pPr>
              <w:jc w:val="right"/>
              <w:rPr>
                <w:color w:val="000000"/>
                <w:sz w:val="20"/>
                <w:szCs w:val="20"/>
              </w:rPr>
            </w:pPr>
            <w:r w:rsidRPr="00051876">
              <w:rPr>
                <w:color w:val="000000"/>
                <w:sz w:val="20"/>
                <w:szCs w:val="20"/>
              </w:rPr>
              <w:t>10.0</w:t>
            </w:r>
          </w:p>
        </w:tc>
        <w:tc>
          <w:tcPr>
            <w:tcW w:w="486" w:type="pct"/>
            <w:noWrap/>
            <w:tcMar>
              <w:left w:w="0" w:type="dxa"/>
              <w:right w:w="187" w:type="dxa"/>
            </w:tcMar>
            <w:vAlign w:val="center"/>
          </w:tcPr>
          <w:p w14:paraId="642C05A8" w14:textId="77777777" w:rsidR="00375C62" w:rsidRPr="00051876" w:rsidRDefault="00375C62">
            <w:pPr>
              <w:jc w:val="right"/>
              <w:rPr>
                <w:color w:val="000000"/>
                <w:sz w:val="20"/>
                <w:szCs w:val="20"/>
              </w:rPr>
            </w:pPr>
            <w:r w:rsidRPr="00051876">
              <w:rPr>
                <w:color w:val="000000"/>
                <w:sz w:val="20"/>
                <w:szCs w:val="20"/>
              </w:rPr>
              <w:t>9.9</w:t>
            </w:r>
          </w:p>
        </w:tc>
        <w:tc>
          <w:tcPr>
            <w:tcW w:w="486" w:type="pct"/>
            <w:noWrap/>
            <w:tcMar>
              <w:left w:w="0" w:type="dxa"/>
              <w:right w:w="187" w:type="dxa"/>
            </w:tcMar>
            <w:vAlign w:val="center"/>
          </w:tcPr>
          <w:p w14:paraId="07E1EAAE" w14:textId="77777777" w:rsidR="00375C62" w:rsidRPr="00051876" w:rsidRDefault="00375C62">
            <w:pPr>
              <w:jc w:val="right"/>
              <w:rPr>
                <w:color w:val="000000"/>
                <w:sz w:val="20"/>
                <w:szCs w:val="20"/>
              </w:rPr>
            </w:pPr>
            <w:r w:rsidRPr="00051876">
              <w:rPr>
                <w:color w:val="000000"/>
                <w:sz w:val="20"/>
                <w:szCs w:val="20"/>
              </w:rPr>
              <w:t>10.1</w:t>
            </w:r>
          </w:p>
        </w:tc>
        <w:tc>
          <w:tcPr>
            <w:tcW w:w="486" w:type="pct"/>
            <w:noWrap/>
            <w:tcMar>
              <w:left w:w="0" w:type="dxa"/>
              <w:right w:w="187" w:type="dxa"/>
            </w:tcMar>
            <w:vAlign w:val="center"/>
          </w:tcPr>
          <w:p w14:paraId="00F4D73A" w14:textId="77777777" w:rsidR="00375C62" w:rsidRPr="00051876" w:rsidRDefault="00375C62">
            <w:pPr>
              <w:jc w:val="right"/>
              <w:rPr>
                <w:color w:val="000000"/>
                <w:sz w:val="20"/>
                <w:szCs w:val="20"/>
              </w:rPr>
            </w:pPr>
            <w:r w:rsidRPr="00051876">
              <w:rPr>
                <w:color w:val="000000"/>
                <w:sz w:val="20"/>
                <w:szCs w:val="20"/>
              </w:rPr>
              <w:t>13.4</w:t>
            </w:r>
          </w:p>
        </w:tc>
        <w:tc>
          <w:tcPr>
            <w:tcW w:w="486" w:type="pct"/>
            <w:noWrap/>
            <w:tcMar>
              <w:left w:w="0" w:type="dxa"/>
              <w:right w:w="187" w:type="dxa"/>
            </w:tcMar>
            <w:vAlign w:val="center"/>
          </w:tcPr>
          <w:p w14:paraId="4BF18085" w14:textId="77777777" w:rsidR="00375C62" w:rsidRPr="00051876" w:rsidRDefault="00375C62">
            <w:pPr>
              <w:jc w:val="right"/>
              <w:rPr>
                <w:color w:val="000000"/>
                <w:sz w:val="20"/>
                <w:szCs w:val="20"/>
              </w:rPr>
            </w:pPr>
            <w:r w:rsidRPr="00051876">
              <w:rPr>
                <w:color w:val="000000"/>
                <w:sz w:val="20"/>
                <w:szCs w:val="20"/>
              </w:rPr>
              <w:t>11.0</w:t>
            </w:r>
          </w:p>
        </w:tc>
        <w:tc>
          <w:tcPr>
            <w:tcW w:w="486" w:type="pct"/>
            <w:tcMar>
              <w:left w:w="0" w:type="dxa"/>
              <w:right w:w="187" w:type="dxa"/>
            </w:tcMar>
            <w:vAlign w:val="center"/>
          </w:tcPr>
          <w:p w14:paraId="0ADC4DDB" w14:textId="77777777" w:rsidR="00375C62" w:rsidRPr="00051876" w:rsidRDefault="00375C62">
            <w:pPr>
              <w:jc w:val="right"/>
              <w:rPr>
                <w:color w:val="000000"/>
                <w:sz w:val="20"/>
                <w:szCs w:val="20"/>
              </w:rPr>
            </w:pPr>
            <w:r w:rsidRPr="00051876">
              <w:rPr>
                <w:color w:val="000000"/>
                <w:sz w:val="20"/>
                <w:szCs w:val="20"/>
              </w:rPr>
              <w:t>12.7</w:t>
            </w:r>
          </w:p>
        </w:tc>
        <w:tc>
          <w:tcPr>
            <w:tcW w:w="486" w:type="pct"/>
            <w:tcMar>
              <w:left w:w="0" w:type="dxa"/>
              <w:right w:w="187" w:type="dxa"/>
            </w:tcMar>
            <w:vAlign w:val="center"/>
          </w:tcPr>
          <w:p w14:paraId="40A379D7" w14:textId="77777777" w:rsidR="00375C62" w:rsidRPr="00051876" w:rsidRDefault="00375C62">
            <w:pPr>
              <w:jc w:val="right"/>
              <w:rPr>
                <w:color w:val="000000"/>
                <w:sz w:val="20"/>
                <w:szCs w:val="20"/>
              </w:rPr>
            </w:pPr>
            <w:r w:rsidRPr="00051876">
              <w:rPr>
                <w:color w:val="000000"/>
                <w:sz w:val="20"/>
                <w:szCs w:val="20"/>
              </w:rPr>
              <w:t>22.4</w:t>
            </w:r>
          </w:p>
        </w:tc>
        <w:tc>
          <w:tcPr>
            <w:tcW w:w="486" w:type="pct"/>
            <w:tcMar>
              <w:left w:w="0" w:type="dxa"/>
              <w:right w:w="187" w:type="dxa"/>
            </w:tcMar>
          </w:tcPr>
          <w:p w14:paraId="5A85F82F" w14:textId="77777777" w:rsidR="00375C62" w:rsidRPr="00051876" w:rsidRDefault="00375C62">
            <w:pPr>
              <w:jc w:val="right"/>
              <w:rPr>
                <w:color w:val="000000"/>
                <w:sz w:val="20"/>
                <w:szCs w:val="20"/>
              </w:rPr>
            </w:pPr>
            <w:r w:rsidRPr="00051876">
              <w:rPr>
                <w:color w:val="000000"/>
                <w:sz w:val="20"/>
                <w:szCs w:val="20"/>
              </w:rPr>
              <w:t>15.5</w:t>
            </w:r>
          </w:p>
        </w:tc>
      </w:tr>
      <w:tr w:rsidR="00375C62" w14:paraId="5FD1ABB2" w14:textId="77777777">
        <w:tc>
          <w:tcPr>
            <w:tcW w:w="625" w:type="pct"/>
            <w:noWrap/>
            <w:tcMar>
              <w:left w:w="29" w:type="dxa"/>
            </w:tcMar>
            <w:vAlign w:val="bottom"/>
          </w:tcPr>
          <w:p w14:paraId="688F2E6B" w14:textId="77777777" w:rsidR="00375C62" w:rsidRPr="00051876" w:rsidRDefault="00375C62">
            <w:pPr>
              <w:jc w:val="left"/>
              <w:rPr>
                <w:sz w:val="20"/>
                <w:szCs w:val="20"/>
              </w:rPr>
            </w:pPr>
            <w:r w:rsidRPr="00051876">
              <w:rPr>
                <w:rFonts w:hint="eastAsia"/>
                <w:sz w:val="20"/>
                <w:szCs w:val="20"/>
                <w:lang w:val="zh-CN"/>
              </w:rPr>
              <w:t>平均</w:t>
            </w:r>
          </w:p>
        </w:tc>
        <w:tc>
          <w:tcPr>
            <w:tcW w:w="487" w:type="pct"/>
            <w:tcMar>
              <w:left w:w="0" w:type="dxa"/>
              <w:right w:w="187" w:type="dxa"/>
            </w:tcMar>
            <w:vAlign w:val="center"/>
          </w:tcPr>
          <w:p w14:paraId="57F4B661" w14:textId="77777777" w:rsidR="00375C62" w:rsidRPr="00051876" w:rsidRDefault="00375C62">
            <w:pPr>
              <w:jc w:val="right"/>
              <w:rPr>
                <w:b/>
                <w:color w:val="000000"/>
                <w:sz w:val="20"/>
                <w:szCs w:val="20"/>
              </w:rPr>
            </w:pPr>
            <w:r w:rsidRPr="00051876">
              <w:rPr>
                <w:b/>
                <w:color w:val="000000"/>
                <w:sz w:val="20"/>
                <w:szCs w:val="20"/>
              </w:rPr>
              <w:t>10.7</w:t>
            </w:r>
          </w:p>
        </w:tc>
        <w:tc>
          <w:tcPr>
            <w:tcW w:w="486" w:type="pct"/>
            <w:noWrap/>
            <w:tcMar>
              <w:left w:w="0" w:type="dxa"/>
              <w:right w:w="187" w:type="dxa"/>
            </w:tcMar>
            <w:vAlign w:val="center"/>
          </w:tcPr>
          <w:p w14:paraId="62059C93" w14:textId="77777777" w:rsidR="00375C62" w:rsidRPr="00051876" w:rsidRDefault="00375C62">
            <w:pPr>
              <w:jc w:val="right"/>
              <w:rPr>
                <w:b/>
                <w:color w:val="000000"/>
                <w:sz w:val="20"/>
                <w:szCs w:val="20"/>
              </w:rPr>
            </w:pPr>
            <w:r w:rsidRPr="00051876">
              <w:rPr>
                <w:b/>
                <w:color w:val="000000"/>
                <w:sz w:val="20"/>
                <w:szCs w:val="20"/>
              </w:rPr>
              <w:t>11.6</w:t>
            </w:r>
          </w:p>
        </w:tc>
        <w:tc>
          <w:tcPr>
            <w:tcW w:w="486" w:type="pct"/>
            <w:noWrap/>
            <w:tcMar>
              <w:left w:w="0" w:type="dxa"/>
              <w:right w:w="187" w:type="dxa"/>
            </w:tcMar>
            <w:vAlign w:val="center"/>
          </w:tcPr>
          <w:p w14:paraId="0C549E7A" w14:textId="77777777" w:rsidR="00375C62" w:rsidRPr="00051876" w:rsidRDefault="00375C62">
            <w:pPr>
              <w:jc w:val="right"/>
              <w:rPr>
                <w:b/>
                <w:color w:val="000000"/>
                <w:sz w:val="20"/>
                <w:szCs w:val="20"/>
              </w:rPr>
            </w:pPr>
            <w:r w:rsidRPr="00051876">
              <w:rPr>
                <w:b/>
                <w:color w:val="000000"/>
                <w:sz w:val="20"/>
                <w:szCs w:val="20"/>
              </w:rPr>
              <w:t>10.8</w:t>
            </w:r>
          </w:p>
        </w:tc>
        <w:tc>
          <w:tcPr>
            <w:tcW w:w="486" w:type="pct"/>
            <w:noWrap/>
            <w:tcMar>
              <w:left w:w="0" w:type="dxa"/>
              <w:right w:w="187" w:type="dxa"/>
            </w:tcMar>
            <w:vAlign w:val="center"/>
          </w:tcPr>
          <w:p w14:paraId="25507774" w14:textId="77777777" w:rsidR="00375C62" w:rsidRPr="00051876" w:rsidRDefault="00375C62">
            <w:pPr>
              <w:jc w:val="right"/>
              <w:rPr>
                <w:b/>
                <w:color w:val="000000"/>
                <w:sz w:val="20"/>
                <w:szCs w:val="20"/>
              </w:rPr>
            </w:pPr>
            <w:r w:rsidRPr="00051876">
              <w:rPr>
                <w:b/>
                <w:color w:val="000000"/>
                <w:sz w:val="20"/>
                <w:szCs w:val="20"/>
              </w:rPr>
              <w:t>12.0</w:t>
            </w:r>
          </w:p>
        </w:tc>
        <w:tc>
          <w:tcPr>
            <w:tcW w:w="486" w:type="pct"/>
            <w:noWrap/>
            <w:tcMar>
              <w:left w:w="0" w:type="dxa"/>
              <w:right w:w="187" w:type="dxa"/>
            </w:tcMar>
            <w:vAlign w:val="center"/>
          </w:tcPr>
          <w:p w14:paraId="1B035B69" w14:textId="77777777" w:rsidR="00375C62" w:rsidRPr="00051876" w:rsidRDefault="00375C62">
            <w:pPr>
              <w:jc w:val="right"/>
              <w:rPr>
                <w:b/>
                <w:color w:val="000000"/>
                <w:sz w:val="20"/>
                <w:szCs w:val="20"/>
              </w:rPr>
            </w:pPr>
            <w:r w:rsidRPr="00051876">
              <w:rPr>
                <w:b/>
                <w:color w:val="000000"/>
                <w:sz w:val="20"/>
                <w:szCs w:val="20"/>
              </w:rPr>
              <w:t>12.1</w:t>
            </w:r>
          </w:p>
        </w:tc>
        <w:tc>
          <w:tcPr>
            <w:tcW w:w="486" w:type="pct"/>
            <w:noWrap/>
            <w:tcMar>
              <w:left w:w="0" w:type="dxa"/>
              <w:right w:w="187" w:type="dxa"/>
            </w:tcMar>
            <w:vAlign w:val="center"/>
          </w:tcPr>
          <w:p w14:paraId="6AD67C72" w14:textId="77777777" w:rsidR="00375C62" w:rsidRPr="00051876" w:rsidRDefault="00375C62">
            <w:pPr>
              <w:jc w:val="right"/>
              <w:rPr>
                <w:b/>
                <w:color w:val="000000"/>
                <w:sz w:val="20"/>
                <w:szCs w:val="20"/>
              </w:rPr>
            </w:pPr>
            <w:r w:rsidRPr="00051876">
              <w:rPr>
                <w:b/>
                <w:color w:val="000000"/>
                <w:sz w:val="20"/>
                <w:szCs w:val="20"/>
              </w:rPr>
              <w:t>12.1</w:t>
            </w:r>
          </w:p>
        </w:tc>
        <w:tc>
          <w:tcPr>
            <w:tcW w:w="486" w:type="pct"/>
            <w:tcMar>
              <w:left w:w="0" w:type="dxa"/>
              <w:right w:w="187" w:type="dxa"/>
            </w:tcMar>
            <w:vAlign w:val="center"/>
          </w:tcPr>
          <w:p w14:paraId="41710F2F" w14:textId="77777777" w:rsidR="00375C62" w:rsidRPr="00051876" w:rsidRDefault="00375C62">
            <w:pPr>
              <w:jc w:val="right"/>
              <w:rPr>
                <w:b/>
                <w:color w:val="000000"/>
                <w:sz w:val="20"/>
                <w:szCs w:val="20"/>
              </w:rPr>
            </w:pPr>
            <w:r w:rsidRPr="00051876">
              <w:rPr>
                <w:b/>
                <w:color w:val="000000"/>
                <w:sz w:val="20"/>
                <w:szCs w:val="20"/>
              </w:rPr>
              <w:t>12.1</w:t>
            </w:r>
          </w:p>
        </w:tc>
        <w:tc>
          <w:tcPr>
            <w:tcW w:w="486" w:type="pct"/>
            <w:tcMar>
              <w:left w:w="0" w:type="dxa"/>
              <w:right w:w="187" w:type="dxa"/>
            </w:tcMar>
            <w:vAlign w:val="center"/>
          </w:tcPr>
          <w:p w14:paraId="29605BF6" w14:textId="77777777" w:rsidR="00375C62" w:rsidRPr="00051876" w:rsidRDefault="00375C62">
            <w:pPr>
              <w:jc w:val="right"/>
              <w:rPr>
                <w:b/>
                <w:color w:val="000000"/>
                <w:sz w:val="20"/>
                <w:szCs w:val="20"/>
              </w:rPr>
            </w:pPr>
            <w:r w:rsidRPr="00051876">
              <w:rPr>
                <w:b/>
                <w:color w:val="000000"/>
                <w:sz w:val="20"/>
                <w:szCs w:val="20"/>
              </w:rPr>
              <w:t>14.2</w:t>
            </w:r>
          </w:p>
        </w:tc>
        <w:tc>
          <w:tcPr>
            <w:tcW w:w="486" w:type="pct"/>
            <w:tcMar>
              <w:left w:w="0" w:type="dxa"/>
              <w:right w:w="187" w:type="dxa"/>
            </w:tcMar>
          </w:tcPr>
          <w:p w14:paraId="70B4B6B2" w14:textId="77777777" w:rsidR="00375C62" w:rsidRPr="00051876" w:rsidRDefault="00375C62">
            <w:pPr>
              <w:jc w:val="right"/>
              <w:rPr>
                <w:b/>
                <w:color w:val="000000"/>
                <w:sz w:val="20"/>
                <w:szCs w:val="20"/>
              </w:rPr>
            </w:pPr>
            <w:r w:rsidRPr="00051876">
              <w:rPr>
                <w:b/>
                <w:color w:val="000000"/>
                <w:sz w:val="20"/>
                <w:szCs w:val="20"/>
              </w:rPr>
              <w:t>12.6</w:t>
            </w:r>
          </w:p>
        </w:tc>
      </w:tr>
    </w:tbl>
    <w:p w14:paraId="09B4AE33" w14:textId="77777777" w:rsidR="00375C62" w:rsidRPr="00051876" w:rsidRDefault="00375C62">
      <w:pPr>
        <w:rPr>
          <w:color w:val="000000"/>
          <w:sz w:val="19"/>
          <w:szCs w:val="24"/>
        </w:rPr>
      </w:pPr>
      <w:r w:rsidRPr="00051876">
        <w:rPr>
          <w:sz w:val="19"/>
          <w:szCs w:val="24"/>
        </w:rPr>
        <w:t xml:space="preserve">* </w:t>
      </w:r>
      <w:r w:rsidRPr="00051876">
        <w:rPr>
          <w:rFonts w:hint="eastAsia"/>
          <w:sz w:val="19"/>
          <w:szCs w:val="24"/>
          <w:lang w:val="zh-CN"/>
        </w:rPr>
        <w:t>包括履约援助方案的方案支助费用</w:t>
      </w:r>
      <w:r w:rsidRPr="00051876">
        <w:rPr>
          <w:rFonts w:hint="eastAsia"/>
          <w:sz w:val="19"/>
          <w:szCs w:val="24"/>
        </w:rPr>
        <w:t>（</w:t>
      </w:r>
      <w:r w:rsidRPr="00051876">
        <w:rPr>
          <w:sz w:val="19"/>
          <w:szCs w:val="24"/>
        </w:rPr>
        <w:t>2001</w:t>
      </w:r>
      <w:r w:rsidRPr="00051876">
        <w:rPr>
          <w:rFonts w:hint="eastAsia"/>
          <w:sz w:val="19"/>
          <w:szCs w:val="24"/>
          <w:lang w:val="zh-CN"/>
        </w:rPr>
        <w:t>年首次核准</w:t>
      </w:r>
      <w:r w:rsidRPr="00051876">
        <w:rPr>
          <w:rFonts w:hint="eastAsia"/>
          <w:sz w:val="19"/>
          <w:szCs w:val="24"/>
        </w:rPr>
        <w:t>），</w:t>
      </w:r>
      <w:r w:rsidRPr="00051876">
        <w:rPr>
          <w:rFonts w:hint="eastAsia"/>
          <w:sz w:val="19"/>
          <w:szCs w:val="24"/>
          <w:lang w:val="zh-CN"/>
        </w:rPr>
        <w:t>但不包括作为履约援助方案的一部分的直接费用支付的行政费用。</w:t>
      </w:r>
    </w:p>
    <w:p w14:paraId="738B8888" w14:textId="77777777" w:rsidR="00375C62" w:rsidRPr="00051876" w:rsidRDefault="00375C62">
      <w:pPr>
        <w:spacing w:after="240"/>
        <w:rPr>
          <w:caps/>
          <w:color w:val="000000"/>
          <w:sz w:val="24"/>
          <w:szCs w:val="24"/>
        </w:rPr>
      </w:pPr>
      <w:r w:rsidRPr="00051876">
        <w:rPr>
          <w:sz w:val="19"/>
          <w:szCs w:val="24"/>
        </w:rPr>
        <w:t xml:space="preserve">** </w:t>
      </w:r>
      <w:r w:rsidRPr="00051876">
        <w:rPr>
          <w:rFonts w:hint="eastAsia"/>
          <w:sz w:val="19"/>
          <w:szCs w:val="24"/>
          <w:lang w:val="zh-CN"/>
        </w:rPr>
        <w:t>根据第八十七次会议实际批准数额</w:t>
      </w:r>
      <w:r w:rsidRPr="00051876">
        <w:rPr>
          <w:rFonts w:hint="eastAsia"/>
          <w:sz w:val="19"/>
          <w:szCs w:val="24"/>
        </w:rPr>
        <w:t>，</w:t>
      </w:r>
      <w:r w:rsidRPr="00051876">
        <w:rPr>
          <w:rFonts w:hint="eastAsia"/>
          <w:sz w:val="19"/>
          <w:szCs w:val="24"/>
          <w:lang w:val="zh-CN"/>
        </w:rPr>
        <w:t>提交第八十八次会议的申请和</w:t>
      </w:r>
      <w:r w:rsidRPr="00051876">
        <w:rPr>
          <w:sz w:val="19"/>
          <w:szCs w:val="24"/>
        </w:rPr>
        <w:t>2022</w:t>
      </w:r>
      <w:r w:rsidRPr="00051876">
        <w:rPr>
          <w:rFonts w:hint="eastAsia"/>
          <w:sz w:val="19"/>
          <w:szCs w:val="24"/>
          <w:lang w:val="zh-CN"/>
        </w:rPr>
        <w:t>年和</w:t>
      </w:r>
      <w:r w:rsidRPr="00051876">
        <w:rPr>
          <w:sz w:val="19"/>
          <w:szCs w:val="24"/>
        </w:rPr>
        <w:t>2023</w:t>
      </w:r>
      <w:r w:rsidRPr="00051876">
        <w:rPr>
          <w:rFonts w:hint="eastAsia"/>
          <w:sz w:val="19"/>
          <w:szCs w:val="24"/>
          <w:lang w:val="zh-CN"/>
        </w:rPr>
        <w:t>年计划进行的活动。</w:t>
      </w:r>
    </w:p>
    <w:p w14:paraId="4B01B77A" w14:textId="2BFB31D1" w:rsidR="00375C62" w:rsidRPr="00051876" w:rsidRDefault="00375C62">
      <w:pPr>
        <w:pStyle w:val="Heading1"/>
        <w:rPr>
          <w:sz w:val="24"/>
          <w:szCs w:val="24"/>
        </w:rPr>
      </w:pPr>
      <w:r w:rsidRPr="00051876">
        <w:rPr>
          <w:rFonts w:hint="eastAsia"/>
          <w:sz w:val="24"/>
          <w:szCs w:val="24"/>
          <w:lang w:val="zh-CN"/>
        </w:rPr>
        <w:t>在某些时期并对具体执行机构而言</w:t>
      </w:r>
      <w:r w:rsidRPr="00051876">
        <w:rPr>
          <w:rFonts w:hint="eastAsia"/>
          <w:sz w:val="24"/>
          <w:szCs w:val="24"/>
        </w:rPr>
        <w:t>，</w:t>
      </w:r>
      <w:r w:rsidRPr="00051876">
        <w:rPr>
          <w:rFonts w:hint="eastAsia"/>
          <w:sz w:val="24"/>
          <w:szCs w:val="24"/>
          <w:lang w:val="zh-CN"/>
        </w:rPr>
        <w:t>由于批准的项目供资数额减少导致核心单位预算成比例地增加</w:t>
      </w:r>
      <w:r w:rsidRPr="00051876">
        <w:rPr>
          <w:rFonts w:hint="eastAsia"/>
          <w:sz w:val="24"/>
          <w:szCs w:val="24"/>
        </w:rPr>
        <w:t>，</w:t>
      </w:r>
      <w:r w:rsidRPr="00051876">
        <w:rPr>
          <w:rFonts w:hint="eastAsia"/>
          <w:sz w:val="24"/>
          <w:szCs w:val="24"/>
          <w:lang w:val="zh-CN"/>
        </w:rPr>
        <w:t>导致方案支助费用高于</w:t>
      </w:r>
      <w:r w:rsidRPr="00051876">
        <w:rPr>
          <w:sz w:val="24"/>
          <w:szCs w:val="24"/>
        </w:rPr>
        <w:t>13%</w:t>
      </w:r>
      <w:r w:rsidRPr="00051876">
        <w:rPr>
          <w:rFonts w:hint="eastAsia"/>
          <w:sz w:val="24"/>
          <w:szCs w:val="24"/>
        </w:rPr>
        <w:t>（</w:t>
      </w:r>
      <w:r w:rsidRPr="00051876">
        <w:rPr>
          <w:rFonts w:hint="eastAsia"/>
          <w:sz w:val="24"/>
          <w:szCs w:val="24"/>
          <w:lang w:val="zh-CN"/>
        </w:rPr>
        <w:t>例如</w:t>
      </w:r>
      <w:r w:rsidRPr="00051876">
        <w:rPr>
          <w:rFonts w:hint="eastAsia"/>
          <w:sz w:val="24"/>
          <w:szCs w:val="24"/>
        </w:rPr>
        <w:t>，</w:t>
      </w:r>
      <w:r w:rsidRPr="00051876">
        <w:rPr>
          <w:rFonts w:hint="eastAsia"/>
          <w:sz w:val="24"/>
          <w:szCs w:val="24"/>
          <w:lang w:val="zh-CN"/>
        </w:rPr>
        <w:t>开发署在</w:t>
      </w:r>
      <w:r w:rsidRPr="00051876">
        <w:rPr>
          <w:sz w:val="24"/>
          <w:szCs w:val="24"/>
        </w:rPr>
        <w:t>2003-2005</w:t>
      </w:r>
      <w:r w:rsidRPr="00051876">
        <w:rPr>
          <w:rFonts w:hint="eastAsia"/>
          <w:sz w:val="24"/>
          <w:szCs w:val="24"/>
          <w:lang w:val="zh-CN"/>
        </w:rPr>
        <w:t>年、</w:t>
      </w:r>
      <w:r w:rsidRPr="00051876">
        <w:rPr>
          <w:sz w:val="24"/>
          <w:szCs w:val="24"/>
        </w:rPr>
        <w:t>2006</w:t>
      </w:r>
      <w:r w:rsidR="003A438C">
        <w:rPr>
          <w:sz w:val="24"/>
          <w:szCs w:val="24"/>
        </w:rPr>
        <w:noBreakHyphen/>
      </w:r>
      <w:r w:rsidRPr="00051876">
        <w:rPr>
          <w:sz w:val="24"/>
          <w:szCs w:val="24"/>
        </w:rPr>
        <w:t>2008</w:t>
      </w:r>
      <w:r w:rsidRPr="00051876">
        <w:rPr>
          <w:rFonts w:hint="eastAsia"/>
          <w:sz w:val="24"/>
          <w:szCs w:val="24"/>
          <w:lang w:val="zh-CN"/>
        </w:rPr>
        <w:t>年、</w:t>
      </w:r>
      <w:r w:rsidRPr="00051876">
        <w:rPr>
          <w:sz w:val="24"/>
          <w:szCs w:val="24"/>
        </w:rPr>
        <w:t>2009-2011</w:t>
      </w:r>
      <w:r w:rsidRPr="00051876">
        <w:rPr>
          <w:rFonts w:hint="eastAsia"/>
          <w:sz w:val="24"/>
          <w:szCs w:val="24"/>
          <w:lang w:val="zh-CN"/>
        </w:rPr>
        <w:t>年、</w:t>
      </w:r>
      <w:r w:rsidRPr="00051876">
        <w:rPr>
          <w:sz w:val="24"/>
          <w:szCs w:val="24"/>
        </w:rPr>
        <w:t>2012-2014</w:t>
      </w:r>
      <w:r w:rsidRPr="00051876">
        <w:rPr>
          <w:rFonts w:hint="eastAsia"/>
          <w:sz w:val="24"/>
          <w:szCs w:val="24"/>
          <w:lang w:val="zh-CN"/>
        </w:rPr>
        <w:t>年和</w:t>
      </w:r>
      <w:r w:rsidRPr="00051876">
        <w:rPr>
          <w:sz w:val="24"/>
          <w:szCs w:val="24"/>
        </w:rPr>
        <w:t>2018-2020</w:t>
      </w:r>
      <w:r w:rsidRPr="00051876">
        <w:rPr>
          <w:rFonts w:hint="eastAsia"/>
          <w:sz w:val="24"/>
          <w:szCs w:val="24"/>
          <w:lang w:val="zh-CN"/>
        </w:rPr>
        <w:t>年</w:t>
      </w:r>
      <w:r w:rsidRPr="00051876">
        <w:rPr>
          <w:rFonts w:hint="eastAsia"/>
          <w:sz w:val="24"/>
          <w:szCs w:val="24"/>
        </w:rPr>
        <w:t>；</w:t>
      </w:r>
      <w:r w:rsidRPr="00051876">
        <w:rPr>
          <w:rFonts w:hint="eastAsia"/>
          <w:sz w:val="24"/>
          <w:szCs w:val="24"/>
          <w:lang w:val="zh-CN"/>
        </w:rPr>
        <w:t>工发组织在</w:t>
      </w:r>
      <w:r w:rsidRPr="00051876">
        <w:rPr>
          <w:sz w:val="24"/>
          <w:szCs w:val="24"/>
        </w:rPr>
        <w:t>2000-2002</w:t>
      </w:r>
      <w:r w:rsidRPr="00051876">
        <w:rPr>
          <w:rFonts w:hint="eastAsia"/>
          <w:sz w:val="24"/>
          <w:szCs w:val="24"/>
          <w:lang w:val="zh-CN"/>
        </w:rPr>
        <w:t>年、</w:t>
      </w:r>
      <w:r w:rsidRPr="00051876">
        <w:rPr>
          <w:sz w:val="24"/>
          <w:szCs w:val="24"/>
        </w:rPr>
        <w:t>2006-2008</w:t>
      </w:r>
      <w:r w:rsidRPr="00051876">
        <w:rPr>
          <w:rFonts w:hint="eastAsia"/>
          <w:sz w:val="24"/>
          <w:szCs w:val="24"/>
          <w:lang w:val="zh-CN"/>
        </w:rPr>
        <w:t>年、</w:t>
      </w:r>
      <w:r w:rsidRPr="00051876">
        <w:rPr>
          <w:sz w:val="24"/>
          <w:szCs w:val="24"/>
        </w:rPr>
        <w:t>2012-2014</w:t>
      </w:r>
      <w:r w:rsidRPr="00051876">
        <w:rPr>
          <w:rFonts w:hint="eastAsia"/>
          <w:sz w:val="24"/>
          <w:szCs w:val="24"/>
          <w:lang w:val="zh-CN"/>
        </w:rPr>
        <w:t>年、</w:t>
      </w:r>
      <w:r w:rsidRPr="00051876">
        <w:rPr>
          <w:sz w:val="24"/>
          <w:szCs w:val="24"/>
        </w:rPr>
        <w:t>2015-2017</w:t>
      </w:r>
      <w:r w:rsidRPr="00051876">
        <w:rPr>
          <w:rFonts w:hint="eastAsia"/>
          <w:sz w:val="24"/>
          <w:szCs w:val="24"/>
          <w:lang w:val="zh-CN"/>
        </w:rPr>
        <w:t>年和</w:t>
      </w:r>
      <w:r w:rsidRPr="00051876">
        <w:rPr>
          <w:sz w:val="24"/>
          <w:szCs w:val="24"/>
        </w:rPr>
        <w:t>2018-2020</w:t>
      </w:r>
      <w:r w:rsidRPr="00051876">
        <w:rPr>
          <w:rFonts w:hint="eastAsia"/>
          <w:sz w:val="24"/>
          <w:szCs w:val="24"/>
          <w:lang w:val="zh-CN"/>
        </w:rPr>
        <w:t>年</w:t>
      </w:r>
      <w:r w:rsidRPr="00051876">
        <w:rPr>
          <w:rFonts w:hint="eastAsia"/>
          <w:sz w:val="24"/>
          <w:szCs w:val="24"/>
        </w:rPr>
        <w:t>；</w:t>
      </w:r>
      <w:r w:rsidRPr="00051876">
        <w:rPr>
          <w:rFonts w:hint="eastAsia"/>
          <w:sz w:val="24"/>
          <w:szCs w:val="24"/>
          <w:lang w:val="zh-CN"/>
        </w:rPr>
        <w:t>世界银行在</w:t>
      </w:r>
      <w:r w:rsidRPr="00051876">
        <w:rPr>
          <w:sz w:val="24"/>
          <w:szCs w:val="24"/>
        </w:rPr>
        <w:t>2009-2011</w:t>
      </w:r>
      <w:r w:rsidRPr="00051876">
        <w:rPr>
          <w:rFonts w:hint="eastAsia"/>
          <w:sz w:val="24"/>
          <w:szCs w:val="24"/>
          <w:lang w:val="zh-CN"/>
        </w:rPr>
        <w:t>年和</w:t>
      </w:r>
      <w:r w:rsidRPr="00051876">
        <w:rPr>
          <w:sz w:val="24"/>
          <w:szCs w:val="24"/>
        </w:rPr>
        <w:t>2018-2020</w:t>
      </w:r>
      <w:r w:rsidRPr="00051876">
        <w:rPr>
          <w:rFonts w:hint="eastAsia"/>
          <w:sz w:val="24"/>
          <w:szCs w:val="24"/>
          <w:lang w:val="zh-CN"/>
        </w:rPr>
        <w:t>年</w:t>
      </w:r>
      <w:r w:rsidRPr="00051876">
        <w:rPr>
          <w:rFonts w:hint="eastAsia"/>
          <w:sz w:val="24"/>
          <w:szCs w:val="24"/>
        </w:rPr>
        <w:t>）</w:t>
      </w:r>
      <w:r w:rsidRPr="00051876">
        <w:rPr>
          <w:rFonts w:hint="eastAsia"/>
          <w:sz w:val="24"/>
          <w:szCs w:val="24"/>
          <w:lang w:val="zh-CN"/>
        </w:rPr>
        <w:t>。此外</w:t>
      </w:r>
      <w:r w:rsidRPr="00051876">
        <w:rPr>
          <w:rFonts w:hint="eastAsia"/>
          <w:sz w:val="24"/>
          <w:szCs w:val="24"/>
          <w:lang w:val="en-US"/>
        </w:rPr>
        <w:t>，</w:t>
      </w:r>
      <w:r w:rsidRPr="00051876">
        <w:rPr>
          <w:rFonts w:hint="eastAsia"/>
          <w:sz w:val="24"/>
          <w:szCs w:val="24"/>
          <w:lang w:val="zh-CN"/>
        </w:rPr>
        <w:t>在</w:t>
      </w:r>
      <w:r w:rsidRPr="00051876">
        <w:rPr>
          <w:sz w:val="24"/>
          <w:szCs w:val="24"/>
          <w:lang w:val="en-US"/>
        </w:rPr>
        <w:t>2006-2008</w:t>
      </w:r>
      <w:r w:rsidRPr="00051876">
        <w:rPr>
          <w:rFonts w:hint="eastAsia"/>
          <w:sz w:val="24"/>
          <w:szCs w:val="24"/>
          <w:lang w:val="zh-CN"/>
        </w:rPr>
        <w:t>三年期和</w:t>
      </w:r>
      <w:r w:rsidRPr="00051876">
        <w:rPr>
          <w:sz w:val="24"/>
          <w:szCs w:val="24"/>
          <w:lang w:val="en-US"/>
        </w:rPr>
        <w:t>2009-2011</w:t>
      </w:r>
      <w:r w:rsidRPr="00051876">
        <w:rPr>
          <w:rFonts w:hint="eastAsia"/>
          <w:sz w:val="24"/>
          <w:szCs w:val="24"/>
          <w:lang w:val="zh-CN"/>
        </w:rPr>
        <w:t>三年期期间</w:t>
      </w:r>
      <w:r w:rsidRPr="00051876">
        <w:rPr>
          <w:rFonts w:hint="eastAsia"/>
          <w:sz w:val="24"/>
          <w:szCs w:val="24"/>
          <w:lang w:val="en-US"/>
        </w:rPr>
        <w:t>，</w:t>
      </w:r>
      <w:r w:rsidRPr="00051876">
        <w:rPr>
          <w:rFonts w:hint="eastAsia"/>
          <w:sz w:val="24"/>
          <w:szCs w:val="24"/>
          <w:lang w:val="zh-CN"/>
        </w:rPr>
        <w:t>大多数核准的供资都提供给淘汰主要用于制冷维修行业的氟氯化碳</w:t>
      </w:r>
      <w:r w:rsidRPr="00051876">
        <w:rPr>
          <w:rFonts w:hint="eastAsia"/>
          <w:sz w:val="24"/>
          <w:szCs w:val="24"/>
          <w:lang w:val="en-US"/>
        </w:rPr>
        <w:t>（</w:t>
      </w:r>
      <w:r w:rsidRPr="00051876">
        <w:rPr>
          <w:rFonts w:hint="eastAsia"/>
          <w:sz w:val="24"/>
          <w:szCs w:val="24"/>
          <w:lang w:val="zh-CN"/>
        </w:rPr>
        <w:t>非低消费量国家的成本效益门槛为每公斤</w:t>
      </w:r>
      <w:r w:rsidRPr="00051876">
        <w:rPr>
          <w:sz w:val="24"/>
          <w:szCs w:val="24"/>
          <w:lang w:val="en-US"/>
        </w:rPr>
        <w:t>5</w:t>
      </w:r>
      <w:r w:rsidRPr="00051876">
        <w:rPr>
          <w:rFonts w:hint="eastAsia"/>
          <w:sz w:val="24"/>
          <w:szCs w:val="24"/>
          <w:lang w:val="zh-CN"/>
        </w:rPr>
        <w:t>美元</w:t>
      </w:r>
      <w:r w:rsidRPr="00051876">
        <w:rPr>
          <w:rFonts w:hint="eastAsia"/>
          <w:sz w:val="24"/>
          <w:szCs w:val="24"/>
          <w:lang w:val="en-US"/>
        </w:rPr>
        <w:t>），</w:t>
      </w:r>
      <w:r w:rsidRPr="00051876">
        <w:rPr>
          <w:rFonts w:hint="eastAsia"/>
          <w:sz w:val="24"/>
          <w:szCs w:val="24"/>
          <w:lang w:val="zh-CN"/>
        </w:rPr>
        <w:t>而此时为淘汰氟氯烃的投资项目和非投资项目都尚未全面开始。</w:t>
      </w:r>
    </w:p>
    <w:p w14:paraId="44EACAB0" w14:textId="21E91DC4" w:rsidR="00375C62" w:rsidRPr="00051876" w:rsidRDefault="00375C62" w:rsidP="003A438C">
      <w:pPr>
        <w:spacing w:after="240"/>
        <w:rPr>
          <w:sz w:val="24"/>
          <w:szCs w:val="24"/>
        </w:rPr>
      </w:pPr>
      <w:r w:rsidRPr="00051876">
        <w:rPr>
          <w:rFonts w:hint="eastAsia"/>
          <w:sz w:val="24"/>
          <w:szCs w:val="24"/>
          <w:u w:val="single"/>
          <w:lang w:val="zh-CN"/>
        </w:rPr>
        <w:t>简短分析</w:t>
      </w:r>
      <w:r w:rsidRPr="00051876">
        <w:rPr>
          <w:sz w:val="24"/>
          <w:szCs w:val="24"/>
          <w:u w:val="single"/>
          <w:lang w:val="zh-CN"/>
        </w:rPr>
        <w:t>2018-2020</w:t>
      </w:r>
      <w:r w:rsidRPr="00051876">
        <w:rPr>
          <w:rFonts w:hint="eastAsia"/>
          <w:sz w:val="24"/>
          <w:szCs w:val="24"/>
          <w:u w:val="single"/>
          <w:lang w:val="zh-CN"/>
        </w:rPr>
        <w:t>三年期的情况</w:t>
      </w:r>
    </w:p>
    <w:p w14:paraId="7E6EA477" w14:textId="77777777" w:rsidR="00375C62" w:rsidRPr="00051876" w:rsidRDefault="00375C62">
      <w:pPr>
        <w:pStyle w:val="Heading1"/>
        <w:rPr>
          <w:sz w:val="24"/>
          <w:szCs w:val="24"/>
        </w:rPr>
      </w:pPr>
      <w:r w:rsidRPr="00051876">
        <w:rPr>
          <w:rFonts w:hint="eastAsia"/>
          <w:sz w:val="24"/>
          <w:szCs w:val="24"/>
          <w:lang w:val="zh-CN"/>
        </w:rPr>
        <w:t>如表</w:t>
      </w:r>
      <w:r w:rsidRPr="00051876">
        <w:rPr>
          <w:sz w:val="24"/>
          <w:szCs w:val="24"/>
          <w:lang w:val="zh-CN"/>
        </w:rPr>
        <w:t>2</w:t>
      </w:r>
      <w:r w:rsidRPr="00051876">
        <w:rPr>
          <w:rFonts w:hint="eastAsia"/>
          <w:sz w:val="24"/>
          <w:szCs w:val="24"/>
          <w:lang w:val="zh-CN"/>
        </w:rPr>
        <w:t>所示，特别在</w:t>
      </w:r>
      <w:r w:rsidRPr="00051876">
        <w:rPr>
          <w:sz w:val="24"/>
          <w:szCs w:val="24"/>
          <w:lang w:val="zh-CN"/>
        </w:rPr>
        <w:t>2018-2020</w:t>
      </w:r>
      <w:r w:rsidRPr="00051876">
        <w:rPr>
          <w:rFonts w:hint="eastAsia"/>
          <w:sz w:val="24"/>
          <w:szCs w:val="24"/>
          <w:lang w:val="zh-CN"/>
        </w:rPr>
        <w:t>三年期，与</w:t>
      </w:r>
      <w:r w:rsidRPr="00051876">
        <w:rPr>
          <w:sz w:val="24"/>
          <w:szCs w:val="24"/>
          <w:lang w:val="zh-CN"/>
        </w:rPr>
        <w:t>2015-2017</w:t>
      </w:r>
      <w:r w:rsidRPr="00051876">
        <w:rPr>
          <w:rFonts w:hint="eastAsia"/>
          <w:sz w:val="24"/>
          <w:szCs w:val="24"/>
          <w:lang w:val="zh-CN"/>
        </w:rPr>
        <w:t>三年期（和之前的三年期）相比，项目供资急剧减少。</w:t>
      </w:r>
    </w:p>
    <w:p w14:paraId="75A863F6" w14:textId="77777777" w:rsidR="00375C62" w:rsidRPr="00051876" w:rsidRDefault="00375C62">
      <w:pPr>
        <w:keepNext/>
        <w:rPr>
          <w:sz w:val="24"/>
          <w:szCs w:val="24"/>
        </w:rPr>
      </w:pPr>
      <w:r w:rsidRPr="00051876">
        <w:rPr>
          <w:rFonts w:hint="eastAsia"/>
          <w:b/>
          <w:sz w:val="24"/>
          <w:szCs w:val="24"/>
          <w:lang w:val="zh-CN"/>
        </w:rPr>
        <w:t>表</w:t>
      </w:r>
      <w:r w:rsidRPr="00051876">
        <w:rPr>
          <w:b/>
          <w:sz w:val="24"/>
          <w:szCs w:val="24"/>
          <w:lang w:val="en-US"/>
        </w:rPr>
        <w:t>2</w:t>
      </w:r>
      <w:r w:rsidRPr="00051876">
        <w:rPr>
          <w:rFonts w:hint="eastAsia"/>
          <w:b/>
          <w:sz w:val="24"/>
          <w:szCs w:val="24"/>
          <w:lang w:val="en-US"/>
        </w:rPr>
        <w:t>：</w:t>
      </w:r>
      <w:r w:rsidRPr="00051876">
        <w:rPr>
          <w:rFonts w:hint="eastAsia"/>
          <w:b/>
          <w:sz w:val="24"/>
          <w:szCs w:val="24"/>
          <w:lang w:val="zh-CN"/>
        </w:rPr>
        <w:t>多边基金</w:t>
      </w:r>
      <w:r w:rsidRPr="00051876">
        <w:rPr>
          <w:b/>
          <w:sz w:val="24"/>
          <w:szCs w:val="24"/>
          <w:lang w:val="zh-CN"/>
        </w:rPr>
        <w:t>2015-2017</w:t>
      </w:r>
      <w:r w:rsidRPr="00051876">
        <w:rPr>
          <w:rFonts w:hint="eastAsia"/>
          <w:b/>
          <w:sz w:val="24"/>
          <w:szCs w:val="24"/>
          <w:lang w:val="zh-CN"/>
        </w:rPr>
        <w:t>三年期、</w:t>
      </w:r>
      <w:r w:rsidRPr="00051876">
        <w:rPr>
          <w:b/>
          <w:sz w:val="24"/>
          <w:szCs w:val="24"/>
          <w:lang w:val="zh-CN"/>
        </w:rPr>
        <w:t>2018-2020</w:t>
      </w:r>
      <w:r w:rsidRPr="00051876">
        <w:rPr>
          <w:rFonts w:hint="eastAsia"/>
          <w:b/>
          <w:sz w:val="24"/>
          <w:szCs w:val="24"/>
          <w:lang w:val="zh-CN"/>
        </w:rPr>
        <w:t>三年期和</w:t>
      </w:r>
      <w:r w:rsidRPr="00051876">
        <w:rPr>
          <w:b/>
          <w:sz w:val="24"/>
          <w:szCs w:val="24"/>
          <w:lang w:val="zh-CN"/>
        </w:rPr>
        <w:t>2021-2023</w:t>
      </w:r>
      <w:r w:rsidRPr="00051876">
        <w:rPr>
          <w:rFonts w:hint="eastAsia"/>
          <w:b/>
          <w:sz w:val="24"/>
          <w:szCs w:val="24"/>
          <w:lang w:val="zh-CN"/>
        </w:rPr>
        <w:t>三年期支付的行政费用</w:t>
      </w:r>
    </w:p>
    <w:tbl>
      <w:tblPr>
        <w:tblW w:w="9360" w:type="dxa"/>
        <w:tblLayout w:type="fixed"/>
        <w:tblLook w:val="00A0" w:firstRow="1" w:lastRow="0" w:firstColumn="1" w:lastColumn="0" w:noHBand="0" w:noVBand="0"/>
      </w:tblPr>
      <w:tblGrid>
        <w:gridCol w:w="953"/>
        <w:gridCol w:w="934"/>
        <w:gridCol w:w="935"/>
        <w:gridCol w:w="935"/>
        <w:gridCol w:w="934"/>
        <w:gridCol w:w="933"/>
        <w:gridCol w:w="934"/>
        <w:gridCol w:w="934"/>
        <w:gridCol w:w="934"/>
        <w:gridCol w:w="934"/>
      </w:tblGrid>
      <w:tr w:rsidR="00375C62" w14:paraId="3B8FBF47" w14:textId="77777777" w:rsidTr="003A438C">
        <w:trPr>
          <w:tblHeader/>
        </w:trPr>
        <w:tc>
          <w:tcPr>
            <w:tcW w:w="953" w:type="dxa"/>
            <w:vMerge w:val="restart"/>
            <w:tcBorders>
              <w:top w:val="single" w:sz="4" w:space="0" w:color="auto"/>
              <w:left w:val="single" w:sz="4" w:space="0" w:color="auto"/>
              <w:right w:val="single" w:sz="4" w:space="0" w:color="auto"/>
            </w:tcBorders>
            <w:noWrap/>
            <w:tcMar>
              <w:left w:w="29" w:type="dxa"/>
              <w:right w:w="29" w:type="dxa"/>
            </w:tcMar>
            <w:vAlign w:val="center"/>
          </w:tcPr>
          <w:p w14:paraId="580FC296" w14:textId="77777777" w:rsidR="00375C62" w:rsidRPr="00051876" w:rsidRDefault="00375C62">
            <w:pPr>
              <w:keepNext/>
              <w:jc w:val="left"/>
              <w:rPr>
                <w:sz w:val="20"/>
                <w:szCs w:val="20"/>
              </w:rPr>
            </w:pPr>
            <w:r w:rsidRPr="00051876">
              <w:rPr>
                <w:rFonts w:hint="eastAsia"/>
                <w:b/>
                <w:sz w:val="20"/>
                <w:szCs w:val="20"/>
                <w:lang w:val="zh-CN"/>
              </w:rPr>
              <w:t>机构</w:t>
            </w:r>
          </w:p>
        </w:tc>
        <w:tc>
          <w:tcPr>
            <w:tcW w:w="2804" w:type="dxa"/>
            <w:gridSpan w:val="3"/>
            <w:tcBorders>
              <w:top w:val="single" w:sz="4" w:space="0" w:color="auto"/>
              <w:left w:val="nil"/>
              <w:bottom w:val="single" w:sz="4" w:space="0" w:color="auto"/>
              <w:right w:val="single" w:sz="4" w:space="0" w:color="auto"/>
            </w:tcBorders>
            <w:noWrap/>
            <w:tcMar>
              <w:left w:w="0" w:type="dxa"/>
              <w:right w:w="14" w:type="dxa"/>
            </w:tcMar>
            <w:vAlign w:val="center"/>
          </w:tcPr>
          <w:p w14:paraId="6FA8D5D2" w14:textId="77777777" w:rsidR="00375C62" w:rsidRPr="00051876" w:rsidRDefault="00375C62">
            <w:pPr>
              <w:keepNext/>
              <w:jc w:val="center"/>
              <w:rPr>
                <w:b/>
                <w:color w:val="000000"/>
                <w:sz w:val="20"/>
                <w:szCs w:val="20"/>
              </w:rPr>
            </w:pPr>
            <w:r w:rsidRPr="00051876">
              <w:rPr>
                <w:b/>
                <w:color w:val="000000"/>
                <w:sz w:val="20"/>
                <w:szCs w:val="20"/>
              </w:rPr>
              <w:t>2015-2017*</w:t>
            </w:r>
          </w:p>
        </w:tc>
        <w:tc>
          <w:tcPr>
            <w:tcW w:w="2801" w:type="dxa"/>
            <w:gridSpan w:val="3"/>
            <w:tcBorders>
              <w:top w:val="single" w:sz="4" w:space="0" w:color="auto"/>
              <w:left w:val="nil"/>
              <w:bottom w:val="single" w:sz="4" w:space="0" w:color="auto"/>
              <w:right w:val="single" w:sz="4" w:space="0" w:color="auto"/>
            </w:tcBorders>
            <w:noWrap/>
            <w:tcMar>
              <w:left w:w="0" w:type="dxa"/>
              <w:right w:w="14" w:type="dxa"/>
            </w:tcMar>
            <w:vAlign w:val="center"/>
          </w:tcPr>
          <w:p w14:paraId="3B1FD79E" w14:textId="77777777" w:rsidR="00375C62" w:rsidRPr="00051876" w:rsidRDefault="00375C62">
            <w:pPr>
              <w:keepNext/>
              <w:jc w:val="center"/>
              <w:rPr>
                <w:b/>
                <w:color w:val="000000"/>
                <w:sz w:val="20"/>
                <w:szCs w:val="20"/>
              </w:rPr>
            </w:pPr>
            <w:r w:rsidRPr="00051876">
              <w:rPr>
                <w:b/>
                <w:color w:val="000000"/>
                <w:sz w:val="20"/>
                <w:szCs w:val="20"/>
              </w:rPr>
              <w:t>2018-2020*</w:t>
            </w:r>
          </w:p>
        </w:tc>
        <w:tc>
          <w:tcPr>
            <w:tcW w:w="2802" w:type="dxa"/>
            <w:gridSpan w:val="3"/>
            <w:tcBorders>
              <w:top w:val="single" w:sz="4" w:space="0" w:color="auto"/>
              <w:left w:val="nil"/>
              <w:bottom w:val="single" w:sz="4" w:space="0" w:color="auto"/>
              <w:right w:val="single" w:sz="4" w:space="0" w:color="auto"/>
            </w:tcBorders>
            <w:noWrap/>
            <w:tcMar>
              <w:left w:w="0" w:type="dxa"/>
              <w:right w:w="14" w:type="dxa"/>
            </w:tcMar>
            <w:vAlign w:val="center"/>
          </w:tcPr>
          <w:p w14:paraId="4F9FABD4" w14:textId="77777777" w:rsidR="00375C62" w:rsidRPr="00051876" w:rsidRDefault="00375C62">
            <w:pPr>
              <w:keepNext/>
              <w:jc w:val="center"/>
              <w:rPr>
                <w:b/>
                <w:color w:val="000000"/>
                <w:sz w:val="20"/>
                <w:szCs w:val="20"/>
              </w:rPr>
            </w:pPr>
            <w:r w:rsidRPr="00051876">
              <w:rPr>
                <w:b/>
                <w:color w:val="000000"/>
                <w:sz w:val="20"/>
                <w:szCs w:val="20"/>
              </w:rPr>
              <w:t>2021-2023**</w:t>
            </w:r>
          </w:p>
        </w:tc>
      </w:tr>
      <w:tr w:rsidR="00375C62" w14:paraId="7332A988" w14:textId="77777777" w:rsidTr="003A438C">
        <w:trPr>
          <w:tblHeader/>
        </w:trPr>
        <w:tc>
          <w:tcPr>
            <w:tcW w:w="953" w:type="dxa"/>
            <w:vMerge/>
            <w:tcBorders>
              <w:left w:val="single" w:sz="4" w:space="0" w:color="auto"/>
              <w:bottom w:val="single" w:sz="4" w:space="0" w:color="auto"/>
              <w:right w:val="single" w:sz="4" w:space="0" w:color="auto"/>
            </w:tcBorders>
            <w:noWrap/>
            <w:tcMar>
              <w:left w:w="29" w:type="dxa"/>
              <w:right w:w="29" w:type="dxa"/>
            </w:tcMar>
            <w:vAlign w:val="center"/>
          </w:tcPr>
          <w:p w14:paraId="14A9E9C7" w14:textId="77777777" w:rsidR="00375C62" w:rsidRPr="00051876" w:rsidRDefault="00375C62">
            <w:pPr>
              <w:jc w:val="left"/>
              <w:rPr>
                <w:b/>
                <w:color w:val="000000"/>
                <w:sz w:val="20"/>
                <w:szCs w:val="20"/>
              </w:rPr>
            </w:pPr>
          </w:p>
        </w:tc>
        <w:tc>
          <w:tcPr>
            <w:tcW w:w="934" w:type="dxa"/>
            <w:tcBorders>
              <w:top w:val="nil"/>
              <w:left w:val="nil"/>
              <w:bottom w:val="single" w:sz="4" w:space="0" w:color="auto"/>
              <w:right w:val="single" w:sz="4" w:space="0" w:color="auto"/>
            </w:tcBorders>
            <w:noWrap/>
            <w:tcMar>
              <w:left w:w="0" w:type="dxa"/>
              <w:right w:w="14" w:type="dxa"/>
            </w:tcMar>
            <w:vAlign w:val="center"/>
          </w:tcPr>
          <w:p w14:paraId="557A28BF" w14:textId="77777777" w:rsidR="00375C62" w:rsidRPr="00051876" w:rsidRDefault="00375C62">
            <w:pPr>
              <w:jc w:val="center"/>
              <w:rPr>
                <w:sz w:val="20"/>
                <w:szCs w:val="20"/>
              </w:rPr>
            </w:pPr>
            <w:r w:rsidRPr="00051876">
              <w:rPr>
                <w:rFonts w:hint="eastAsia"/>
                <w:b/>
                <w:sz w:val="20"/>
                <w:szCs w:val="20"/>
                <w:lang w:val="zh-CN"/>
              </w:rPr>
              <w:t>供资数额</w:t>
            </w:r>
          </w:p>
        </w:tc>
        <w:tc>
          <w:tcPr>
            <w:tcW w:w="935" w:type="dxa"/>
            <w:tcBorders>
              <w:top w:val="nil"/>
              <w:left w:val="nil"/>
              <w:bottom w:val="single" w:sz="4" w:space="0" w:color="auto"/>
              <w:right w:val="single" w:sz="4" w:space="0" w:color="auto"/>
            </w:tcBorders>
            <w:noWrap/>
            <w:tcMar>
              <w:left w:w="0" w:type="dxa"/>
              <w:right w:w="14" w:type="dxa"/>
            </w:tcMar>
            <w:vAlign w:val="center"/>
          </w:tcPr>
          <w:p w14:paraId="4A79FCBB" w14:textId="77777777" w:rsidR="00375C62" w:rsidRPr="00051876" w:rsidRDefault="00375C62">
            <w:pPr>
              <w:jc w:val="center"/>
              <w:rPr>
                <w:sz w:val="20"/>
                <w:szCs w:val="20"/>
              </w:rPr>
            </w:pPr>
            <w:r w:rsidRPr="00051876">
              <w:rPr>
                <w:rFonts w:hint="eastAsia"/>
                <w:b/>
                <w:sz w:val="20"/>
                <w:szCs w:val="20"/>
                <w:lang w:val="zh-CN"/>
              </w:rPr>
              <w:t>支助费用</w:t>
            </w:r>
          </w:p>
        </w:tc>
        <w:tc>
          <w:tcPr>
            <w:tcW w:w="935" w:type="dxa"/>
            <w:tcBorders>
              <w:top w:val="nil"/>
              <w:left w:val="nil"/>
              <w:bottom w:val="single" w:sz="4" w:space="0" w:color="auto"/>
              <w:right w:val="single" w:sz="4" w:space="0" w:color="auto"/>
            </w:tcBorders>
            <w:noWrap/>
            <w:tcMar>
              <w:left w:w="0" w:type="dxa"/>
              <w:right w:w="14" w:type="dxa"/>
            </w:tcMar>
            <w:vAlign w:val="center"/>
          </w:tcPr>
          <w:p w14:paraId="44E16780" w14:textId="77777777" w:rsidR="00375C62" w:rsidRPr="00051876" w:rsidRDefault="00375C62">
            <w:pPr>
              <w:jc w:val="center"/>
              <w:rPr>
                <w:sz w:val="20"/>
                <w:szCs w:val="20"/>
              </w:rPr>
            </w:pPr>
            <w:r w:rsidRPr="00051876">
              <w:rPr>
                <w:rFonts w:hint="eastAsia"/>
                <w:b/>
                <w:sz w:val="20"/>
                <w:szCs w:val="20"/>
                <w:lang w:val="zh-CN"/>
              </w:rPr>
              <w:t>支助费用</w:t>
            </w:r>
          </w:p>
        </w:tc>
        <w:tc>
          <w:tcPr>
            <w:tcW w:w="934" w:type="dxa"/>
            <w:tcBorders>
              <w:top w:val="nil"/>
              <w:left w:val="nil"/>
              <w:bottom w:val="single" w:sz="4" w:space="0" w:color="auto"/>
              <w:right w:val="single" w:sz="4" w:space="0" w:color="auto"/>
            </w:tcBorders>
            <w:noWrap/>
            <w:tcMar>
              <w:left w:w="0" w:type="dxa"/>
              <w:right w:w="14" w:type="dxa"/>
            </w:tcMar>
            <w:vAlign w:val="center"/>
          </w:tcPr>
          <w:p w14:paraId="164C83FA" w14:textId="77777777" w:rsidR="00375C62" w:rsidRPr="00051876" w:rsidRDefault="00375C62">
            <w:pPr>
              <w:jc w:val="center"/>
              <w:rPr>
                <w:sz w:val="20"/>
                <w:szCs w:val="20"/>
              </w:rPr>
            </w:pPr>
            <w:r w:rsidRPr="00051876">
              <w:rPr>
                <w:rFonts w:hint="eastAsia"/>
                <w:b/>
                <w:sz w:val="20"/>
                <w:szCs w:val="20"/>
                <w:lang w:val="zh-CN"/>
              </w:rPr>
              <w:t>供资数额</w:t>
            </w:r>
          </w:p>
        </w:tc>
        <w:tc>
          <w:tcPr>
            <w:tcW w:w="933" w:type="dxa"/>
            <w:tcBorders>
              <w:top w:val="nil"/>
              <w:left w:val="nil"/>
              <w:bottom w:val="single" w:sz="4" w:space="0" w:color="auto"/>
              <w:right w:val="single" w:sz="4" w:space="0" w:color="auto"/>
            </w:tcBorders>
            <w:noWrap/>
            <w:tcMar>
              <w:left w:w="0" w:type="dxa"/>
              <w:right w:w="14" w:type="dxa"/>
            </w:tcMar>
            <w:vAlign w:val="center"/>
          </w:tcPr>
          <w:p w14:paraId="106FC592" w14:textId="77777777" w:rsidR="00375C62" w:rsidRPr="00051876" w:rsidRDefault="00375C62">
            <w:pPr>
              <w:jc w:val="center"/>
              <w:rPr>
                <w:sz w:val="20"/>
                <w:szCs w:val="20"/>
              </w:rPr>
            </w:pPr>
            <w:r w:rsidRPr="00051876">
              <w:rPr>
                <w:rFonts w:hint="eastAsia"/>
                <w:b/>
                <w:sz w:val="20"/>
                <w:szCs w:val="20"/>
                <w:lang w:val="zh-CN"/>
              </w:rPr>
              <w:t>支助费用</w:t>
            </w:r>
          </w:p>
        </w:tc>
        <w:tc>
          <w:tcPr>
            <w:tcW w:w="934" w:type="dxa"/>
            <w:tcBorders>
              <w:top w:val="nil"/>
              <w:left w:val="nil"/>
              <w:bottom w:val="single" w:sz="4" w:space="0" w:color="auto"/>
              <w:right w:val="single" w:sz="4" w:space="0" w:color="auto"/>
            </w:tcBorders>
            <w:noWrap/>
            <w:tcMar>
              <w:left w:w="0" w:type="dxa"/>
              <w:right w:w="14" w:type="dxa"/>
            </w:tcMar>
            <w:vAlign w:val="center"/>
          </w:tcPr>
          <w:p w14:paraId="2AFB2AE9" w14:textId="77777777" w:rsidR="00375C62" w:rsidRPr="00051876" w:rsidRDefault="00375C62">
            <w:pPr>
              <w:jc w:val="center"/>
              <w:rPr>
                <w:sz w:val="20"/>
                <w:szCs w:val="20"/>
              </w:rPr>
            </w:pPr>
            <w:r w:rsidRPr="00051876">
              <w:rPr>
                <w:rFonts w:hint="eastAsia"/>
                <w:b/>
                <w:sz w:val="20"/>
                <w:szCs w:val="20"/>
                <w:lang w:val="zh-CN"/>
              </w:rPr>
              <w:t>支助费用</w:t>
            </w:r>
          </w:p>
        </w:tc>
        <w:tc>
          <w:tcPr>
            <w:tcW w:w="934" w:type="dxa"/>
            <w:tcBorders>
              <w:top w:val="nil"/>
              <w:left w:val="nil"/>
              <w:bottom w:val="single" w:sz="4" w:space="0" w:color="auto"/>
              <w:right w:val="single" w:sz="4" w:space="0" w:color="auto"/>
            </w:tcBorders>
            <w:noWrap/>
            <w:tcMar>
              <w:left w:w="0" w:type="dxa"/>
              <w:right w:w="14" w:type="dxa"/>
            </w:tcMar>
            <w:vAlign w:val="center"/>
          </w:tcPr>
          <w:p w14:paraId="00AA0151" w14:textId="77777777" w:rsidR="00375C62" w:rsidRPr="00051876" w:rsidRDefault="00375C62">
            <w:pPr>
              <w:jc w:val="center"/>
              <w:rPr>
                <w:sz w:val="20"/>
                <w:szCs w:val="20"/>
              </w:rPr>
            </w:pPr>
            <w:r w:rsidRPr="00051876">
              <w:rPr>
                <w:rFonts w:hint="eastAsia"/>
                <w:b/>
                <w:sz w:val="20"/>
                <w:szCs w:val="20"/>
                <w:lang w:val="zh-CN"/>
              </w:rPr>
              <w:t>供资数额</w:t>
            </w:r>
          </w:p>
        </w:tc>
        <w:tc>
          <w:tcPr>
            <w:tcW w:w="934" w:type="dxa"/>
            <w:tcBorders>
              <w:top w:val="nil"/>
              <w:left w:val="nil"/>
              <w:bottom w:val="single" w:sz="4" w:space="0" w:color="auto"/>
              <w:right w:val="single" w:sz="4" w:space="0" w:color="auto"/>
            </w:tcBorders>
            <w:noWrap/>
            <w:tcMar>
              <w:left w:w="0" w:type="dxa"/>
              <w:right w:w="14" w:type="dxa"/>
            </w:tcMar>
            <w:vAlign w:val="center"/>
          </w:tcPr>
          <w:p w14:paraId="15013DA5" w14:textId="77777777" w:rsidR="00375C62" w:rsidRPr="00051876" w:rsidRDefault="00375C62">
            <w:pPr>
              <w:jc w:val="center"/>
              <w:rPr>
                <w:sz w:val="20"/>
                <w:szCs w:val="20"/>
              </w:rPr>
            </w:pPr>
            <w:r w:rsidRPr="00051876">
              <w:rPr>
                <w:rFonts w:hint="eastAsia"/>
                <w:b/>
                <w:sz w:val="20"/>
                <w:szCs w:val="20"/>
                <w:lang w:val="zh-CN"/>
              </w:rPr>
              <w:t>支助费用</w:t>
            </w:r>
          </w:p>
        </w:tc>
        <w:tc>
          <w:tcPr>
            <w:tcW w:w="934" w:type="dxa"/>
            <w:tcBorders>
              <w:top w:val="nil"/>
              <w:left w:val="nil"/>
              <w:bottom w:val="single" w:sz="4" w:space="0" w:color="auto"/>
              <w:right w:val="single" w:sz="4" w:space="0" w:color="auto"/>
            </w:tcBorders>
            <w:noWrap/>
            <w:tcMar>
              <w:left w:w="0" w:type="dxa"/>
              <w:right w:w="14" w:type="dxa"/>
            </w:tcMar>
            <w:vAlign w:val="center"/>
          </w:tcPr>
          <w:p w14:paraId="6BA6A5C7" w14:textId="77777777" w:rsidR="00375C62" w:rsidRPr="00051876" w:rsidRDefault="00375C62">
            <w:pPr>
              <w:jc w:val="center"/>
              <w:rPr>
                <w:sz w:val="20"/>
                <w:szCs w:val="20"/>
              </w:rPr>
            </w:pPr>
            <w:r w:rsidRPr="00051876">
              <w:rPr>
                <w:rFonts w:hint="eastAsia"/>
                <w:b/>
                <w:sz w:val="20"/>
                <w:szCs w:val="20"/>
                <w:lang w:val="zh-CN"/>
              </w:rPr>
              <w:t>支助费用</w:t>
            </w:r>
          </w:p>
        </w:tc>
      </w:tr>
      <w:tr w:rsidR="00375C62" w14:paraId="13F61BB5"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799EADBB" w14:textId="77777777" w:rsidR="00375C62" w:rsidRPr="00051876" w:rsidRDefault="00375C62">
            <w:pPr>
              <w:jc w:val="left"/>
              <w:rPr>
                <w:sz w:val="20"/>
                <w:szCs w:val="20"/>
              </w:rPr>
            </w:pPr>
            <w:r w:rsidRPr="00051876">
              <w:rPr>
                <w:rFonts w:hint="eastAsia"/>
                <w:sz w:val="20"/>
                <w:szCs w:val="20"/>
                <w:lang w:val="zh-CN"/>
              </w:rPr>
              <w:t>双边机构</w:t>
            </w:r>
          </w:p>
        </w:tc>
        <w:tc>
          <w:tcPr>
            <w:tcW w:w="934" w:type="dxa"/>
            <w:tcBorders>
              <w:top w:val="nil"/>
              <w:left w:val="nil"/>
              <w:bottom w:val="single" w:sz="4" w:space="0" w:color="auto"/>
              <w:right w:val="single" w:sz="4" w:space="0" w:color="auto"/>
            </w:tcBorders>
            <w:noWrap/>
            <w:tcMar>
              <w:left w:w="0" w:type="dxa"/>
              <w:right w:w="14" w:type="dxa"/>
            </w:tcMar>
          </w:tcPr>
          <w:p w14:paraId="577BCB5B" w14:textId="77777777" w:rsidR="00375C62" w:rsidRPr="00051876" w:rsidRDefault="00375C62">
            <w:pPr>
              <w:jc w:val="right"/>
              <w:rPr>
                <w:color w:val="000000"/>
                <w:sz w:val="20"/>
                <w:szCs w:val="20"/>
              </w:rPr>
            </w:pPr>
            <w:r w:rsidRPr="00051876">
              <w:rPr>
                <w:color w:val="000000"/>
                <w:sz w:val="20"/>
                <w:szCs w:val="20"/>
              </w:rPr>
              <w:t>13,137,457</w:t>
            </w:r>
          </w:p>
        </w:tc>
        <w:tc>
          <w:tcPr>
            <w:tcW w:w="935" w:type="dxa"/>
            <w:tcBorders>
              <w:top w:val="nil"/>
              <w:left w:val="nil"/>
              <w:bottom w:val="single" w:sz="4" w:space="0" w:color="auto"/>
              <w:right w:val="single" w:sz="4" w:space="0" w:color="auto"/>
            </w:tcBorders>
            <w:noWrap/>
            <w:tcMar>
              <w:left w:w="0" w:type="dxa"/>
              <w:right w:w="14" w:type="dxa"/>
            </w:tcMar>
          </w:tcPr>
          <w:p w14:paraId="4335359B" w14:textId="77777777" w:rsidR="00375C62" w:rsidRPr="00051876" w:rsidRDefault="00375C62">
            <w:pPr>
              <w:jc w:val="right"/>
              <w:rPr>
                <w:color w:val="000000"/>
                <w:sz w:val="20"/>
                <w:szCs w:val="20"/>
              </w:rPr>
            </w:pPr>
            <w:r w:rsidRPr="00051876">
              <w:rPr>
                <w:color w:val="000000"/>
                <w:sz w:val="20"/>
                <w:szCs w:val="20"/>
              </w:rPr>
              <w:t>1,544,708</w:t>
            </w:r>
          </w:p>
        </w:tc>
        <w:tc>
          <w:tcPr>
            <w:tcW w:w="935" w:type="dxa"/>
            <w:tcBorders>
              <w:top w:val="nil"/>
              <w:left w:val="nil"/>
              <w:bottom w:val="single" w:sz="4" w:space="0" w:color="auto"/>
              <w:right w:val="single" w:sz="4" w:space="0" w:color="auto"/>
            </w:tcBorders>
            <w:noWrap/>
            <w:tcMar>
              <w:left w:w="0" w:type="dxa"/>
              <w:right w:w="14" w:type="dxa"/>
            </w:tcMar>
          </w:tcPr>
          <w:p w14:paraId="6B564316" w14:textId="77777777" w:rsidR="00375C62" w:rsidRPr="00051876" w:rsidRDefault="00375C62">
            <w:pPr>
              <w:jc w:val="right"/>
              <w:rPr>
                <w:color w:val="000000"/>
                <w:sz w:val="20"/>
                <w:szCs w:val="20"/>
              </w:rPr>
            </w:pPr>
            <w:r w:rsidRPr="00051876">
              <w:rPr>
                <w:color w:val="000000"/>
                <w:sz w:val="20"/>
                <w:szCs w:val="20"/>
              </w:rPr>
              <w:t>11.76%</w:t>
            </w:r>
          </w:p>
        </w:tc>
        <w:tc>
          <w:tcPr>
            <w:tcW w:w="934" w:type="dxa"/>
            <w:tcBorders>
              <w:top w:val="nil"/>
              <w:left w:val="nil"/>
              <w:bottom w:val="single" w:sz="4" w:space="0" w:color="auto"/>
              <w:right w:val="single" w:sz="4" w:space="0" w:color="auto"/>
            </w:tcBorders>
            <w:noWrap/>
            <w:tcMar>
              <w:left w:w="0" w:type="dxa"/>
              <w:right w:w="14" w:type="dxa"/>
            </w:tcMar>
          </w:tcPr>
          <w:p w14:paraId="6758A3A4" w14:textId="77777777" w:rsidR="00375C62" w:rsidRPr="00051876" w:rsidRDefault="00375C62">
            <w:pPr>
              <w:jc w:val="right"/>
              <w:rPr>
                <w:color w:val="000000"/>
                <w:sz w:val="20"/>
                <w:szCs w:val="20"/>
              </w:rPr>
            </w:pPr>
            <w:r w:rsidRPr="00051876">
              <w:rPr>
                <w:color w:val="000000"/>
                <w:sz w:val="20"/>
                <w:szCs w:val="20"/>
              </w:rPr>
              <w:t>13,128,336</w:t>
            </w:r>
          </w:p>
        </w:tc>
        <w:tc>
          <w:tcPr>
            <w:tcW w:w="933" w:type="dxa"/>
            <w:tcBorders>
              <w:top w:val="nil"/>
              <w:left w:val="nil"/>
              <w:bottom w:val="single" w:sz="4" w:space="0" w:color="auto"/>
              <w:right w:val="single" w:sz="4" w:space="0" w:color="auto"/>
            </w:tcBorders>
            <w:noWrap/>
            <w:tcMar>
              <w:left w:w="0" w:type="dxa"/>
              <w:right w:w="14" w:type="dxa"/>
            </w:tcMar>
          </w:tcPr>
          <w:p w14:paraId="4E8AC622" w14:textId="77777777" w:rsidR="00375C62" w:rsidRPr="00051876" w:rsidRDefault="00375C62">
            <w:pPr>
              <w:jc w:val="right"/>
              <w:rPr>
                <w:color w:val="000000"/>
                <w:sz w:val="20"/>
                <w:szCs w:val="20"/>
              </w:rPr>
            </w:pPr>
            <w:r w:rsidRPr="00051876">
              <w:rPr>
                <w:color w:val="000000"/>
                <w:sz w:val="20"/>
                <w:szCs w:val="20"/>
              </w:rPr>
              <w:t>1,509,434</w:t>
            </w:r>
          </w:p>
        </w:tc>
        <w:tc>
          <w:tcPr>
            <w:tcW w:w="934" w:type="dxa"/>
            <w:tcBorders>
              <w:top w:val="nil"/>
              <w:left w:val="nil"/>
              <w:bottom w:val="single" w:sz="4" w:space="0" w:color="auto"/>
              <w:right w:val="single" w:sz="4" w:space="0" w:color="auto"/>
            </w:tcBorders>
            <w:noWrap/>
            <w:tcMar>
              <w:left w:w="0" w:type="dxa"/>
              <w:right w:w="14" w:type="dxa"/>
            </w:tcMar>
          </w:tcPr>
          <w:p w14:paraId="3CDFF459" w14:textId="77777777" w:rsidR="00375C62" w:rsidRPr="00051876" w:rsidRDefault="00375C62">
            <w:pPr>
              <w:jc w:val="right"/>
              <w:rPr>
                <w:color w:val="000000"/>
                <w:sz w:val="20"/>
                <w:szCs w:val="20"/>
              </w:rPr>
            </w:pPr>
            <w:r w:rsidRPr="00051876">
              <w:rPr>
                <w:color w:val="000000"/>
                <w:sz w:val="20"/>
                <w:szCs w:val="20"/>
              </w:rPr>
              <w:t>11.50%</w:t>
            </w:r>
          </w:p>
        </w:tc>
        <w:tc>
          <w:tcPr>
            <w:tcW w:w="934" w:type="dxa"/>
            <w:tcBorders>
              <w:top w:val="nil"/>
              <w:left w:val="nil"/>
              <w:bottom w:val="single" w:sz="4" w:space="0" w:color="auto"/>
              <w:right w:val="single" w:sz="4" w:space="0" w:color="auto"/>
            </w:tcBorders>
            <w:noWrap/>
            <w:tcMar>
              <w:left w:w="0" w:type="dxa"/>
              <w:right w:w="14" w:type="dxa"/>
            </w:tcMar>
          </w:tcPr>
          <w:p w14:paraId="76ADC6AE" w14:textId="77777777" w:rsidR="00375C62" w:rsidRPr="00051876" w:rsidRDefault="00375C62">
            <w:pPr>
              <w:jc w:val="right"/>
              <w:rPr>
                <w:color w:val="000000"/>
                <w:sz w:val="20"/>
                <w:szCs w:val="20"/>
              </w:rPr>
            </w:pPr>
            <w:r w:rsidRPr="00051876">
              <w:rPr>
                <w:color w:val="000000"/>
                <w:sz w:val="20"/>
                <w:szCs w:val="20"/>
              </w:rPr>
              <w:t>9,729,722</w:t>
            </w:r>
          </w:p>
        </w:tc>
        <w:tc>
          <w:tcPr>
            <w:tcW w:w="934" w:type="dxa"/>
            <w:tcBorders>
              <w:top w:val="nil"/>
              <w:left w:val="nil"/>
              <w:bottom w:val="single" w:sz="4" w:space="0" w:color="auto"/>
              <w:right w:val="single" w:sz="4" w:space="0" w:color="auto"/>
            </w:tcBorders>
            <w:noWrap/>
            <w:tcMar>
              <w:left w:w="0" w:type="dxa"/>
              <w:right w:w="14" w:type="dxa"/>
            </w:tcMar>
          </w:tcPr>
          <w:p w14:paraId="03AC04F0" w14:textId="77777777" w:rsidR="00375C62" w:rsidRPr="00051876" w:rsidRDefault="00375C62">
            <w:pPr>
              <w:jc w:val="right"/>
              <w:rPr>
                <w:color w:val="000000"/>
                <w:sz w:val="20"/>
                <w:szCs w:val="20"/>
              </w:rPr>
            </w:pPr>
            <w:r w:rsidRPr="00051876">
              <w:rPr>
                <w:color w:val="000000"/>
                <w:sz w:val="20"/>
                <w:szCs w:val="20"/>
              </w:rPr>
              <w:t>1,148,821</w:t>
            </w:r>
          </w:p>
        </w:tc>
        <w:tc>
          <w:tcPr>
            <w:tcW w:w="934" w:type="dxa"/>
            <w:tcBorders>
              <w:top w:val="nil"/>
              <w:left w:val="nil"/>
              <w:bottom w:val="single" w:sz="4" w:space="0" w:color="auto"/>
              <w:right w:val="single" w:sz="4" w:space="0" w:color="auto"/>
            </w:tcBorders>
            <w:noWrap/>
            <w:tcMar>
              <w:left w:w="0" w:type="dxa"/>
              <w:right w:w="14" w:type="dxa"/>
            </w:tcMar>
          </w:tcPr>
          <w:p w14:paraId="79462B3F" w14:textId="77777777" w:rsidR="00375C62" w:rsidRPr="00051876" w:rsidRDefault="00375C62">
            <w:pPr>
              <w:jc w:val="right"/>
              <w:rPr>
                <w:color w:val="000000"/>
                <w:sz w:val="20"/>
                <w:szCs w:val="20"/>
              </w:rPr>
            </w:pPr>
            <w:r w:rsidRPr="00051876">
              <w:rPr>
                <w:color w:val="000000"/>
                <w:sz w:val="20"/>
                <w:szCs w:val="20"/>
              </w:rPr>
              <w:t>11.81%</w:t>
            </w:r>
          </w:p>
        </w:tc>
      </w:tr>
      <w:tr w:rsidR="00375C62" w14:paraId="26C719DE"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6391A021" w14:textId="77777777" w:rsidR="00375C62" w:rsidRPr="00051876" w:rsidRDefault="00375C62">
            <w:pPr>
              <w:jc w:val="left"/>
              <w:rPr>
                <w:sz w:val="20"/>
                <w:szCs w:val="20"/>
              </w:rPr>
            </w:pPr>
            <w:r w:rsidRPr="00051876">
              <w:rPr>
                <w:rFonts w:hint="eastAsia"/>
                <w:sz w:val="20"/>
                <w:szCs w:val="20"/>
                <w:lang w:val="zh-CN"/>
              </w:rPr>
              <w:t>开发署</w:t>
            </w:r>
          </w:p>
        </w:tc>
        <w:tc>
          <w:tcPr>
            <w:tcW w:w="934" w:type="dxa"/>
            <w:tcBorders>
              <w:top w:val="nil"/>
              <w:left w:val="nil"/>
              <w:bottom w:val="single" w:sz="4" w:space="0" w:color="auto"/>
              <w:right w:val="single" w:sz="4" w:space="0" w:color="auto"/>
            </w:tcBorders>
            <w:noWrap/>
            <w:tcMar>
              <w:left w:w="0" w:type="dxa"/>
              <w:right w:w="14" w:type="dxa"/>
            </w:tcMar>
          </w:tcPr>
          <w:p w14:paraId="64B906BA" w14:textId="77777777" w:rsidR="00375C62" w:rsidRPr="00051876" w:rsidRDefault="00375C62">
            <w:pPr>
              <w:jc w:val="right"/>
              <w:rPr>
                <w:color w:val="000000"/>
                <w:sz w:val="20"/>
                <w:szCs w:val="20"/>
              </w:rPr>
            </w:pPr>
            <w:r w:rsidRPr="00051876">
              <w:rPr>
                <w:color w:val="000000"/>
                <w:sz w:val="20"/>
                <w:szCs w:val="20"/>
              </w:rPr>
              <w:t>110,970,958</w:t>
            </w:r>
          </w:p>
        </w:tc>
        <w:tc>
          <w:tcPr>
            <w:tcW w:w="935" w:type="dxa"/>
            <w:tcBorders>
              <w:top w:val="nil"/>
              <w:left w:val="nil"/>
              <w:bottom w:val="single" w:sz="4" w:space="0" w:color="auto"/>
              <w:right w:val="single" w:sz="4" w:space="0" w:color="auto"/>
            </w:tcBorders>
            <w:noWrap/>
            <w:tcMar>
              <w:left w:w="0" w:type="dxa"/>
              <w:right w:w="14" w:type="dxa"/>
            </w:tcMar>
          </w:tcPr>
          <w:p w14:paraId="2943E743" w14:textId="77777777" w:rsidR="00375C62" w:rsidRPr="00051876" w:rsidRDefault="00375C62">
            <w:pPr>
              <w:jc w:val="right"/>
              <w:rPr>
                <w:color w:val="000000"/>
                <w:sz w:val="20"/>
                <w:szCs w:val="20"/>
              </w:rPr>
            </w:pPr>
            <w:r w:rsidRPr="00051876">
              <w:rPr>
                <w:color w:val="000000"/>
                <w:sz w:val="20"/>
                <w:szCs w:val="20"/>
              </w:rPr>
              <w:t>14,036,859</w:t>
            </w:r>
          </w:p>
        </w:tc>
        <w:tc>
          <w:tcPr>
            <w:tcW w:w="935" w:type="dxa"/>
            <w:tcBorders>
              <w:top w:val="nil"/>
              <w:left w:val="nil"/>
              <w:bottom w:val="single" w:sz="4" w:space="0" w:color="auto"/>
              <w:right w:val="single" w:sz="4" w:space="0" w:color="auto"/>
            </w:tcBorders>
            <w:noWrap/>
            <w:tcMar>
              <w:left w:w="0" w:type="dxa"/>
              <w:right w:w="14" w:type="dxa"/>
            </w:tcMar>
          </w:tcPr>
          <w:p w14:paraId="2D0BB914" w14:textId="77777777" w:rsidR="00375C62" w:rsidRPr="00051876" w:rsidRDefault="00375C62">
            <w:pPr>
              <w:jc w:val="right"/>
              <w:rPr>
                <w:color w:val="000000"/>
                <w:sz w:val="20"/>
                <w:szCs w:val="20"/>
              </w:rPr>
            </w:pPr>
            <w:r w:rsidRPr="00051876">
              <w:rPr>
                <w:color w:val="000000"/>
                <w:sz w:val="20"/>
                <w:szCs w:val="20"/>
              </w:rPr>
              <w:t>12.65%</w:t>
            </w:r>
          </w:p>
        </w:tc>
        <w:tc>
          <w:tcPr>
            <w:tcW w:w="934" w:type="dxa"/>
            <w:tcBorders>
              <w:top w:val="nil"/>
              <w:left w:val="nil"/>
              <w:bottom w:val="single" w:sz="4" w:space="0" w:color="auto"/>
              <w:right w:val="single" w:sz="4" w:space="0" w:color="auto"/>
            </w:tcBorders>
            <w:noWrap/>
            <w:tcMar>
              <w:left w:w="0" w:type="dxa"/>
              <w:right w:w="14" w:type="dxa"/>
            </w:tcMar>
          </w:tcPr>
          <w:p w14:paraId="35C7EF89" w14:textId="77777777" w:rsidR="00375C62" w:rsidRPr="00051876" w:rsidRDefault="00375C62">
            <w:pPr>
              <w:jc w:val="right"/>
              <w:rPr>
                <w:color w:val="000000"/>
                <w:sz w:val="20"/>
                <w:szCs w:val="20"/>
              </w:rPr>
            </w:pPr>
            <w:r w:rsidRPr="00051876">
              <w:rPr>
                <w:color w:val="000000"/>
                <w:sz w:val="20"/>
                <w:szCs w:val="20"/>
              </w:rPr>
              <w:t>82,222,848</w:t>
            </w:r>
          </w:p>
        </w:tc>
        <w:tc>
          <w:tcPr>
            <w:tcW w:w="933" w:type="dxa"/>
            <w:tcBorders>
              <w:top w:val="nil"/>
              <w:left w:val="nil"/>
              <w:bottom w:val="single" w:sz="4" w:space="0" w:color="auto"/>
              <w:right w:val="single" w:sz="4" w:space="0" w:color="auto"/>
            </w:tcBorders>
            <w:noWrap/>
            <w:tcMar>
              <w:left w:w="0" w:type="dxa"/>
              <w:right w:w="14" w:type="dxa"/>
            </w:tcMar>
          </w:tcPr>
          <w:p w14:paraId="523D283F" w14:textId="77777777" w:rsidR="00375C62" w:rsidRPr="00051876" w:rsidRDefault="00375C62">
            <w:pPr>
              <w:jc w:val="right"/>
              <w:rPr>
                <w:color w:val="000000"/>
                <w:sz w:val="20"/>
                <w:szCs w:val="20"/>
              </w:rPr>
            </w:pPr>
            <w:r w:rsidRPr="00051876">
              <w:rPr>
                <w:color w:val="000000"/>
                <w:sz w:val="20"/>
                <w:szCs w:val="20"/>
              </w:rPr>
              <w:t>12,072,610</w:t>
            </w:r>
          </w:p>
        </w:tc>
        <w:tc>
          <w:tcPr>
            <w:tcW w:w="934" w:type="dxa"/>
            <w:tcBorders>
              <w:top w:val="nil"/>
              <w:left w:val="nil"/>
              <w:bottom w:val="single" w:sz="4" w:space="0" w:color="auto"/>
              <w:right w:val="single" w:sz="4" w:space="0" w:color="auto"/>
            </w:tcBorders>
            <w:noWrap/>
            <w:tcMar>
              <w:left w:w="0" w:type="dxa"/>
              <w:right w:w="14" w:type="dxa"/>
            </w:tcMar>
          </w:tcPr>
          <w:p w14:paraId="0F3DCBB0" w14:textId="77777777" w:rsidR="00375C62" w:rsidRPr="00051876" w:rsidRDefault="00375C62">
            <w:pPr>
              <w:jc w:val="right"/>
              <w:rPr>
                <w:color w:val="000000"/>
                <w:sz w:val="20"/>
                <w:szCs w:val="20"/>
              </w:rPr>
            </w:pPr>
            <w:r w:rsidRPr="00051876">
              <w:rPr>
                <w:color w:val="000000"/>
                <w:sz w:val="20"/>
                <w:szCs w:val="20"/>
              </w:rPr>
              <w:t>14.68%</w:t>
            </w:r>
          </w:p>
        </w:tc>
        <w:tc>
          <w:tcPr>
            <w:tcW w:w="934" w:type="dxa"/>
            <w:tcBorders>
              <w:top w:val="nil"/>
              <w:left w:val="nil"/>
              <w:bottom w:val="single" w:sz="4" w:space="0" w:color="auto"/>
              <w:right w:val="single" w:sz="4" w:space="0" w:color="auto"/>
            </w:tcBorders>
            <w:noWrap/>
            <w:tcMar>
              <w:left w:w="0" w:type="dxa"/>
              <w:right w:w="14" w:type="dxa"/>
            </w:tcMar>
          </w:tcPr>
          <w:p w14:paraId="50BBC766" w14:textId="77777777" w:rsidR="00375C62" w:rsidRPr="00051876" w:rsidRDefault="00375C62">
            <w:pPr>
              <w:jc w:val="right"/>
              <w:rPr>
                <w:color w:val="000000"/>
                <w:sz w:val="20"/>
                <w:szCs w:val="20"/>
              </w:rPr>
            </w:pPr>
            <w:r w:rsidRPr="00051876">
              <w:rPr>
                <w:color w:val="000000"/>
                <w:sz w:val="20"/>
                <w:szCs w:val="20"/>
              </w:rPr>
              <w:t>116,349,367</w:t>
            </w:r>
          </w:p>
        </w:tc>
        <w:tc>
          <w:tcPr>
            <w:tcW w:w="934" w:type="dxa"/>
            <w:tcBorders>
              <w:top w:val="nil"/>
              <w:left w:val="nil"/>
              <w:bottom w:val="single" w:sz="4" w:space="0" w:color="auto"/>
              <w:right w:val="single" w:sz="4" w:space="0" w:color="auto"/>
            </w:tcBorders>
            <w:noWrap/>
            <w:tcMar>
              <w:left w:w="0" w:type="dxa"/>
              <w:right w:w="14" w:type="dxa"/>
            </w:tcMar>
          </w:tcPr>
          <w:p w14:paraId="4EDD7131" w14:textId="77777777" w:rsidR="00375C62" w:rsidRPr="00051876" w:rsidRDefault="00375C62">
            <w:pPr>
              <w:jc w:val="right"/>
              <w:rPr>
                <w:color w:val="000000"/>
                <w:sz w:val="20"/>
                <w:szCs w:val="20"/>
              </w:rPr>
            </w:pPr>
            <w:r w:rsidRPr="00051876">
              <w:rPr>
                <w:color w:val="000000"/>
                <w:sz w:val="20"/>
                <w:szCs w:val="20"/>
              </w:rPr>
              <w:t>14,922,098</w:t>
            </w:r>
          </w:p>
        </w:tc>
        <w:tc>
          <w:tcPr>
            <w:tcW w:w="934" w:type="dxa"/>
            <w:tcBorders>
              <w:top w:val="nil"/>
              <w:left w:val="nil"/>
              <w:bottom w:val="single" w:sz="4" w:space="0" w:color="auto"/>
              <w:right w:val="single" w:sz="4" w:space="0" w:color="auto"/>
            </w:tcBorders>
            <w:noWrap/>
            <w:tcMar>
              <w:left w:w="0" w:type="dxa"/>
              <w:right w:w="14" w:type="dxa"/>
            </w:tcMar>
          </w:tcPr>
          <w:p w14:paraId="204C362D" w14:textId="77777777" w:rsidR="00375C62" w:rsidRPr="00051876" w:rsidRDefault="00375C62">
            <w:pPr>
              <w:jc w:val="right"/>
              <w:rPr>
                <w:color w:val="000000"/>
                <w:sz w:val="20"/>
                <w:szCs w:val="20"/>
              </w:rPr>
            </w:pPr>
            <w:r w:rsidRPr="00051876">
              <w:rPr>
                <w:color w:val="000000"/>
                <w:sz w:val="20"/>
                <w:szCs w:val="20"/>
              </w:rPr>
              <w:t>12.83%</w:t>
            </w:r>
          </w:p>
        </w:tc>
      </w:tr>
      <w:tr w:rsidR="00375C62" w14:paraId="12FEB0A9"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3F3811FF" w14:textId="77777777" w:rsidR="00375C62" w:rsidRPr="00051876" w:rsidRDefault="00375C62">
            <w:pPr>
              <w:jc w:val="left"/>
              <w:rPr>
                <w:sz w:val="20"/>
                <w:szCs w:val="20"/>
              </w:rPr>
            </w:pPr>
            <w:r w:rsidRPr="00051876">
              <w:rPr>
                <w:rFonts w:hint="eastAsia"/>
                <w:sz w:val="20"/>
                <w:szCs w:val="20"/>
                <w:lang w:val="zh-CN"/>
              </w:rPr>
              <w:t>环境署</w:t>
            </w:r>
          </w:p>
        </w:tc>
        <w:tc>
          <w:tcPr>
            <w:tcW w:w="934" w:type="dxa"/>
            <w:tcBorders>
              <w:top w:val="nil"/>
              <w:left w:val="nil"/>
              <w:bottom w:val="single" w:sz="4" w:space="0" w:color="auto"/>
              <w:right w:val="single" w:sz="4" w:space="0" w:color="auto"/>
            </w:tcBorders>
            <w:noWrap/>
            <w:tcMar>
              <w:left w:w="0" w:type="dxa"/>
              <w:right w:w="14" w:type="dxa"/>
            </w:tcMar>
          </w:tcPr>
          <w:p w14:paraId="65172DE4" w14:textId="77777777" w:rsidR="00375C62" w:rsidRPr="00051876" w:rsidRDefault="00375C62">
            <w:pPr>
              <w:jc w:val="right"/>
              <w:rPr>
                <w:color w:val="000000"/>
                <w:sz w:val="20"/>
                <w:szCs w:val="20"/>
              </w:rPr>
            </w:pPr>
            <w:r w:rsidRPr="00051876">
              <w:rPr>
                <w:color w:val="000000"/>
                <w:sz w:val="20"/>
                <w:szCs w:val="20"/>
              </w:rPr>
              <w:t>57,099,089</w:t>
            </w:r>
          </w:p>
        </w:tc>
        <w:tc>
          <w:tcPr>
            <w:tcW w:w="935" w:type="dxa"/>
            <w:tcBorders>
              <w:top w:val="nil"/>
              <w:left w:val="nil"/>
              <w:bottom w:val="single" w:sz="4" w:space="0" w:color="auto"/>
              <w:right w:val="single" w:sz="4" w:space="0" w:color="auto"/>
            </w:tcBorders>
            <w:noWrap/>
            <w:tcMar>
              <w:left w:w="0" w:type="dxa"/>
              <w:right w:w="14" w:type="dxa"/>
            </w:tcMar>
          </w:tcPr>
          <w:p w14:paraId="45485DE4" w14:textId="77777777" w:rsidR="00375C62" w:rsidRPr="00051876" w:rsidRDefault="00375C62">
            <w:pPr>
              <w:jc w:val="right"/>
              <w:rPr>
                <w:color w:val="000000"/>
                <w:sz w:val="20"/>
                <w:szCs w:val="20"/>
              </w:rPr>
            </w:pPr>
            <w:r w:rsidRPr="00051876">
              <w:rPr>
                <w:color w:val="000000"/>
                <w:sz w:val="20"/>
                <w:szCs w:val="20"/>
              </w:rPr>
              <w:t>4,350,070</w:t>
            </w:r>
          </w:p>
        </w:tc>
        <w:tc>
          <w:tcPr>
            <w:tcW w:w="935" w:type="dxa"/>
            <w:tcBorders>
              <w:top w:val="nil"/>
              <w:left w:val="nil"/>
              <w:bottom w:val="single" w:sz="4" w:space="0" w:color="auto"/>
              <w:right w:val="single" w:sz="4" w:space="0" w:color="auto"/>
            </w:tcBorders>
            <w:noWrap/>
            <w:tcMar>
              <w:left w:w="0" w:type="dxa"/>
              <w:right w:w="14" w:type="dxa"/>
            </w:tcMar>
          </w:tcPr>
          <w:p w14:paraId="0446DA69" w14:textId="77777777" w:rsidR="00375C62" w:rsidRPr="00051876" w:rsidRDefault="00375C62">
            <w:pPr>
              <w:jc w:val="right"/>
              <w:rPr>
                <w:color w:val="000000"/>
                <w:sz w:val="20"/>
                <w:szCs w:val="20"/>
              </w:rPr>
            </w:pPr>
            <w:r w:rsidRPr="00051876">
              <w:rPr>
                <w:color w:val="000000"/>
                <w:sz w:val="20"/>
                <w:szCs w:val="20"/>
              </w:rPr>
              <w:t>7.62%</w:t>
            </w:r>
          </w:p>
        </w:tc>
        <w:tc>
          <w:tcPr>
            <w:tcW w:w="934" w:type="dxa"/>
            <w:tcBorders>
              <w:top w:val="nil"/>
              <w:left w:val="nil"/>
              <w:bottom w:val="single" w:sz="4" w:space="0" w:color="auto"/>
              <w:right w:val="single" w:sz="4" w:space="0" w:color="auto"/>
            </w:tcBorders>
            <w:noWrap/>
            <w:tcMar>
              <w:left w:w="0" w:type="dxa"/>
              <w:right w:w="14" w:type="dxa"/>
            </w:tcMar>
          </w:tcPr>
          <w:p w14:paraId="2D3594CF" w14:textId="77777777" w:rsidR="00375C62" w:rsidRPr="00051876" w:rsidRDefault="00375C62">
            <w:pPr>
              <w:jc w:val="right"/>
              <w:rPr>
                <w:color w:val="000000"/>
                <w:sz w:val="20"/>
                <w:szCs w:val="20"/>
              </w:rPr>
            </w:pPr>
            <w:r w:rsidRPr="00051876">
              <w:rPr>
                <w:color w:val="000000"/>
                <w:sz w:val="20"/>
                <w:szCs w:val="20"/>
              </w:rPr>
              <w:t>63,091,330</w:t>
            </w:r>
          </w:p>
        </w:tc>
        <w:tc>
          <w:tcPr>
            <w:tcW w:w="933" w:type="dxa"/>
            <w:tcBorders>
              <w:top w:val="nil"/>
              <w:left w:val="nil"/>
              <w:bottom w:val="single" w:sz="4" w:space="0" w:color="auto"/>
              <w:right w:val="single" w:sz="4" w:space="0" w:color="auto"/>
            </w:tcBorders>
            <w:noWrap/>
            <w:tcMar>
              <w:left w:w="0" w:type="dxa"/>
              <w:right w:w="14" w:type="dxa"/>
            </w:tcMar>
          </w:tcPr>
          <w:p w14:paraId="7B9A988C" w14:textId="77777777" w:rsidR="00375C62" w:rsidRPr="00051876" w:rsidRDefault="00375C62">
            <w:pPr>
              <w:jc w:val="right"/>
              <w:rPr>
                <w:color w:val="000000"/>
                <w:sz w:val="20"/>
                <w:szCs w:val="20"/>
              </w:rPr>
            </w:pPr>
            <w:r w:rsidRPr="00051876">
              <w:rPr>
                <w:color w:val="000000"/>
                <w:sz w:val="20"/>
                <w:szCs w:val="20"/>
              </w:rPr>
              <w:t>4,856,460</w:t>
            </w:r>
          </w:p>
        </w:tc>
        <w:tc>
          <w:tcPr>
            <w:tcW w:w="934" w:type="dxa"/>
            <w:tcBorders>
              <w:top w:val="nil"/>
              <w:left w:val="nil"/>
              <w:bottom w:val="single" w:sz="4" w:space="0" w:color="auto"/>
              <w:right w:val="single" w:sz="4" w:space="0" w:color="auto"/>
            </w:tcBorders>
            <w:noWrap/>
            <w:tcMar>
              <w:left w:w="0" w:type="dxa"/>
              <w:right w:w="14" w:type="dxa"/>
            </w:tcMar>
          </w:tcPr>
          <w:p w14:paraId="74DB1A68" w14:textId="77777777" w:rsidR="00375C62" w:rsidRPr="00051876" w:rsidRDefault="00375C62">
            <w:pPr>
              <w:jc w:val="right"/>
              <w:rPr>
                <w:color w:val="000000"/>
                <w:sz w:val="20"/>
                <w:szCs w:val="20"/>
              </w:rPr>
            </w:pPr>
            <w:r w:rsidRPr="00051876">
              <w:rPr>
                <w:color w:val="000000"/>
                <w:sz w:val="20"/>
                <w:szCs w:val="20"/>
              </w:rPr>
              <w:t>7.70%</w:t>
            </w:r>
          </w:p>
        </w:tc>
        <w:tc>
          <w:tcPr>
            <w:tcW w:w="934" w:type="dxa"/>
            <w:tcBorders>
              <w:top w:val="nil"/>
              <w:left w:val="nil"/>
              <w:bottom w:val="single" w:sz="4" w:space="0" w:color="auto"/>
              <w:right w:val="single" w:sz="4" w:space="0" w:color="auto"/>
            </w:tcBorders>
            <w:noWrap/>
            <w:tcMar>
              <w:left w:w="0" w:type="dxa"/>
              <w:right w:w="14" w:type="dxa"/>
            </w:tcMar>
          </w:tcPr>
          <w:p w14:paraId="1491092F" w14:textId="77777777" w:rsidR="00375C62" w:rsidRPr="00051876" w:rsidRDefault="00375C62">
            <w:pPr>
              <w:jc w:val="right"/>
              <w:rPr>
                <w:color w:val="000000"/>
                <w:sz w:val="20"/>
                <w:szCs w:val="20"/>
              </w:rPr>
            </w:pPr>
            <w:r w:rsidRPr="00051876">
              <w:rPr>
                <w:color w:val="000000"/>
                <w:sz w:val="20"/>
                <w:szCs w:val="20"/>
              </w:rPr>
              <w:t>80,275,275</w:t>
            </w:r>
          </w:p>
        </w:tc>
        <w:tc>
          <w:tcPr>
            <w:tcW w:w="934" w:type="dxa"/>
            <w:tcBorders>
              <w:top w:val="nil"/>
              <w:left w:val="nil"/>
              <w:bottom w:val="single" w:sz="4" w:space="0" w:color="auto"/>
              <w:right w:val="single" w:sz="4" w:space="0" w:color="auto"/>
            </w:tcBorders>
            <w:noWrap/>
            <w:tcMar>
              <w:left w:w="0" w:type="dxa"/>
              <w:right w:w="14" w:type="dxa"/>
            </w:tcMar>
          </w:tcPr>
          <w:p w14:paraId="1B1A1E3A" w14:textId="77777777" w:rsidR="00375C62" w:rsidRPr="00051876" w:rsidRDefault="00375C62">
            <w:pPr>
              <w:jc w:val="right"/>
              <w:rPr>
                <w:color w:val="000000"/>
                <w:sz w:val="20"/>
                <w:szCs w:val="20"/>
              </w:rPr>
            </w:pPr>
            <w:r w:rsidRPr="00051876">
              <w:rPr>
                <w:color w:val="000000"/>
                <w:sz w:val="20"/>
                <w:szCs w:val="20"/>
              </w:rPr>
              <w:t>6,437,675</w:t>
            </w:r>
          </w:p>
        </w:tc>
        <w:tc>
          <w:tcPr>
            <w:tcW w:w="934" w:type="dxa"/>
            <w:tcBorders>
              <w:top w:val="nil"/>
              <w:left w:val="nil"/>
              <w:bottom w:val="single" w:sz="4" w:space="0" w:color="auto"/>
              <w:right w:val="single" w:sz="4" w:space="0" w:color="auto"/>
            </w:tcBorders>
            <w:noWrap/>
            <w:tcMar>
              <w:left w:w="0" w:type="dxa"/>
              <w:right w:w="14" w:type="dxa"/>
            </w:tcMar>
          </w:tcPr>
          <w:p w14:paraId="54065BDB" w14:textId="77777777" w:rsidR="00375C62" w:rsidRPr="00051876" w:rsidRDefault="00375C62">
            <w:pPr>
              <w:jc w:val="right"/>
              <w:rPr>
                <w:color w:val="000000"/>
                <w:sz w:val="20"/>
                <w:szCs w:val="20"/>
              </w:rPr>
            </w:pPr>
            <w:r w:rsidRPr="00051876">
              <w:rPr>
                <w:color w:val="000000"/>
                <w:sz w:val="20"/>
                <w:szCs w:val="20"/>
              </w:rPr>
              <w:t>8.02%</w:t>
            </w:r>
          </w:p>
        </w:tc>
      </w:tr>
      <w:tr w:rsidR="00375C62" w14:paraId="4BF7EB01"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4FCBFD8A" w14:textId="77777777" w:rsidR="00375C62" w:rsidRPr="00051876" w:rsidRDefault="00375C62">
            <w:pPr>
              <w:jc w:val="left"/>
              <w:rPr>
                <w:sz w:val="20"/>
                <w:szCs w:val="20"/>
              </w:rPr>
            </w:pPr>
            <w:r w:rsidRPr="00051876">
              <w:rPr>
                <w:rFonts w:hint="eastAsia"/>
                <w:sz w:val="20"/>
                <w:szCs w:val="20"/>
                <w:lang w:val="zh-CN"/>
              </w:rPr>
              <w:t>工发组织</w:t>
            </w:r>
          </w:p>
        </w:tc>
        <w:tc>
          <w:tcPr>
            <w:tcW w:w="934" w:type="dxa"/>
            <w:tcBorders>
              <w:top w:val="nil"/>
              <w:left w:val="nil"/>
              <w:bottom w:val="single" w:sz="4" w:space="0" w:color="auto"/>
              <w:right w:val="single" w:sz="4" w:space="0" w:color="auto"/>
            </w:tcBorders>
            <w:noWrap/>
            <w:tcMar>
              <w:left w:w="0" w:type="dxa"/>
              <w:right w:w="14" w:type="dxa"/>
            </w:tcMar>
          </w:tcPr>
          <w:p w14:paraId="5FCA6F2C" w14:textId="77777777" w:rsidR="00375C62" w:rsidRPr="00051876" w:rsidRDefault="00375C62">
            <w:pPr>
              <w:jc w:val="right"/>
              <w:rPr>
                <w:color w:val="000000"/>
                <w:sz w:val="20"/>
                <w:szCs w:val="20"/>
              </w:rPr>
            </w:pPr>
            <w:r w:rsidRPr="00051876">
              <w:rPr>
                <w:color w:val="000000"/>
                <w:sz w:val="20"/>
                <w:szCs w:val="20"/>
              </w:rPr>
              <w:t>92,046,015</w:t>
            </w:r>
          </w:p>
        </w:tc>
        <w:tc>
          <w:tcPr>
            <w:tcW w:w="935" w:type="dxa"/>
            <w:tcBorders>
              <w:top w:val="nil"/>
              <w:left w:val="nil"/>
              <w:bottom w:val="single" w:sz="4" w:space="0" w:color="auto"/>
              <w:right w:val="single" w:sz="4" w:space="0" w:color="auto"/>
            </w:tcBorders>
            <w:noWrap/>
            <w:tcMar>
              <w:left w:w="0" w:type="dxa"/>
              <w:right w:w="14" w:type="dxa"/>
            </w:tcMar>
          </w:tcPr>
          <w:p w14:paraId="7417D53B" w14:textId="77777777" w:rsidR="00375C62" w:rsidRPr="00051876" w:rsidRDefault="00375C62">
            <w:pPr>
              <w:jc w:val="right"/>
              <w:rPr>
                <w:color w:val="000000"/>
                <w:sz w:val="20"/>
                <w:szCs w:val="20"/>
              </w:rPr>
            </w:pPr>
            <w:r w:rsidRPr="00051876">
              <w:rPr>
                <w:color w:val="000000"/>
                <w:sz w:val="20"/>
                <w:szCs w:val="20"/>
              </w:rPr>
              <w:t>12,700,308</w:t>
            </w:r>
          </w:p>
        </w:tc>
        <w:tc>
          <w:tcPr>
            <w:tcW w:w="935" w:type="dxa"/>
            <w:tcBorders>
              <w:top w:val="nil"/>
              <w:left w:val="nil"/>
              <w:bottom w:val="single" w:sz="4" w:space="0" w:color="auto"/>
              <w:right w:val="single" w:sz="4" w:space="0" w:color="auto"/>
            </w:tcBorders>
            <w:noWrap/>
            <w:tcMar>
              <w:left w:w="0" w:type="dxa"/>
              <w:right w:w="14" w:type="dxa"/>
            </w:tcMar>
          </w:tcPr>
          <w:p w14:paraId="515C2800" w14:textId="77777777" w:rsidR="00375C62" w:rsidRPr="00051876" w:rsidRDefault="00375C62">
            <w:pPr>
              <w:jc w:val="right"/>
              <w:rPr>
                <w:color w:val="000000"/>
                <w:sz w:val="20"/>
                <w:szCs w:val="20"/>
              </w:rPr>
            </w:pPr>
            <w:r w:rsidRPr="00051876">
              <w:rPr>
                <w:color w:val="000000"/>
                <w:sz w:val="20"/>
                <w:szCs w:val="20"/>
              </w:rPr>
              <w:t>13.80%</w:t>
            </w:r>
          </w:p>
        </w:tc>
        <w:tc>
          <w:tcPr>
            <w:tcW w:w="934" w:type="dxa"/>
            <w:tcBorders>
              <w:top w:val="nil"/>
              <w:left w:val="nil"/>
              <w:bottom w:val="single" w:sz="4" w:space="0" w:color="auto"/>
              <w:right w:val="single" w:sz="4" w:space="0" w:color="auto"/>
            </w:tcBorders>
            <w:noWrap/>
            <w:tcMar>
              <w:left w:w="0" w:type="dxa"/>
              <w:right w:w="14" w:type="dxa"/>
            </w:tcMar>
          </w:tcPr>
          <w:p w14:paraId="577773AC" w14:textId="77777777" w:rsidR="00375C62" w:rsidRPr="00051876" w:rsidRDefault="00375C62">
            <w:pPr>
              <w:jc w:val="right"/>
              <w:rPr>
                <w:color w:val="000000"/>
                <w:sz w:val="20"/>
                <w:szCs w:val="20"/>
              </w:rPr>
            </w:pPr>
            <w:r w:rsidRPr="00051876">
              <w:rPr>
                <w:color w:val="000000"/>
                <w:sz w:val="20"/>
                <w:szCs w:val="20"/>
              </w:rPr>
              <w:t>67,837,355</w:t>
            </w:r>
          </w:p>
        </w:tc>
        <w:tc>
          <w:tcPr>
            <w:tcW w:w="933" w:type="dxa"/>
            <w:tcBorders>
              <w:top w:val="nil"/>
              <w:left w:val="nil"/>
              <w:bottom w:val="single" w:sz="4" w:space="0" w:color="auto"/>
              <w:right w:val="single" w:sz="4" w:space="0" w:color="auto"/>
            </w:tcBorders>
            <w:noWrap/>
            <w:tcMar>
              <w:left w:w="0" w:type="dxa"/>
              <w:right w:w="14" w:type="dxa"/>
            </w:tcMar>
          </w:tcPr>
          <w:p w14:paraId="1C9D6800" w14:textId="77777777" w:rsidR="00375C62" w:rsidRPr="00051876" w:rsidRDefault="00375C62">
            <w:pPr>
              <w:jc w:val="right"/>
              <w:rPr>
                <w:color w:val="000000"/>
                <w:sz w:val="20"/>
                <w:szCs w:val="20"/>
              </w:rPr>
            </w:pPr>
            <w:r w:rsidRPr="00051876">
              <w:rPr>
                <w:color w:val="000000"/>
                <w:sz w:val="20"/>
                <w:szCs w:val="20"/>
              </w:rPr>
              <w:t>10,990,848</w:t>
            </w:r>
          </w:p>
        </w:tc>
        <w:tc>
          <w:tcPr>
            <w:tcW w:w="934" w:type="dxa"/>
            <w:tcBorders>
              <w:top w:val="nil"/>
              <w:left w:val="nil"/>
              <w:bottom w:val="single" w:sz="4" w:space="0" w:color="auto"/>
              <w:right w:val="single" w:sz="4" w:space="0" w:color="auto"/>
            </w:tcBorders>
            <w:noWrap/>
            <w:tcMar>
              <w:left w:w="0" w:type="dxa"/>
              <w:right w:w="14" w:type="dxa"/>
            </w:tcMar>
          </w:tcPr>
          <w:p w14:paraId="5DAB8BA9" w14:textId="77777777" w:rsidR="00375C62" w:rsidRPr="00051876" w:rsidRDefault="00375C62">
            <w:pPr>
              <w:jc w:val="right"/>
              <w:rPr>
                <w:color w:val="000000"/>
                <w:sz w:val="20"/>
                <w:szCs w:val="20"/>
              </w:rPr>
            </w:pPr>
            <w:r w:rsidRPr="00051876">
              <w:rPr>
                <w:color w:val="000000"/>
                <w:sz w:val="20"/>
                <w:szCs w:val="20"/>
              </w:rPr>
              <w:t>16.20%</w:t>
            </w:r>
          </w:p>
        </w:tc>
        <w:tc>
          <w:tcPr>
            <w:tcW w:w="934" w:type="dxa"/>
            <w:tcBorders>
              <w:top w:val="nil"/>
              <w:left w:val="nil"/>
              <w:bottom w:val="single" w:sz="4" w:space="0" w:color="auto"/>
              <w:right w:val="single" w:sz="4" w:space="0" w:color="auto"/>
            </w:tcBorders>
            <w:noWrap/>
            <w:tcMar>
              <w:left w:w="0" w:type="dxa"/>
              <w:right w:w="14" w:type="dxa"/>
            </w:tcMar>
          </w:tcPr>
          <w:p w14:paraId="1919AD0F" w14:textId="77777777" w:rsidR="00375C62" w:rsidRPr="00051876" w:rsidRDefault="00375C62">
            <w:pPr>
              <w:jc w:val="right"/>
              <w:rPr>
                <w:color w:val="000000"/>
                <w:sz w:val="20"/>
                <w:szCs w:val="20"/>
              </w:rPr>
            </w:pPr>
            <w:r w:rsidRPr="00051876">
              <w:rPr>
                <w:sz w:val="20"/>
                <w:szCs w:val="20"/>
              </w:rPr>
              <w:t>79,947,575</w:t>
            </w:r>
          </w:p>
        </w:tc>
        <w:tc>
          <w:tcPr>
            <w:tcW w:w="934" w:type="dxa"/>
            <w:tcBorders>
              <w:top w:val="nil"/>
              <w:left w:val="nil"/>
              <w:bottom w:val="single" w:sz="4" w:space="0" w:color="auto"/>
              <w:right w:val="single" w:sz="4" w:space="0" w:color="auto"/>
            </w:tcBorders>
            <w:noWrap/>
            <w:tcMar>
              <w:left w:w="0" w:type="dxa"/>
              <w:right w:w="14" w:type="dxa"/>
            </w:tcMar>
          </w:tcPr>
          <w:p w14:paraId="0910EA0D" w14:textId="77777777" w:rsidR="00375C62" w:rsidRPr="00051876" w:rsidRDefault="00375C62">
            <w:pPr>
              <w:jc w:val="right"/>
              <w:rPr>
                <w:color w:val="000000"/>
                <w:sz w:val="20"/>
                <w:szCs w:val="20"/>
              </w:rPr>
            </w:pPr>
            <w:r w:rsidRPr="00051876">
              <w:rPr>
                <w:sz w:val="20"/>
                <w:szCs w:val="20"/>
              </w:rPr>
              <w:t>11,844,193</w:t>
            </w:r>
          </w:p>
        </w:tc>
        <w:tc>
          <w:tcPr>
            <w:tcW w:w="934" w:type="dxa"/>
            <w:tcBorders>
              <w:top w:val="nil"/>
              <w:left w:val="nil"/>
              <w:bottom w:val="single" w:sz="4" w:space="0" w:color="auto"/>
              <w:right w:val="single" w:sz="4" w:space="0" w:color="auto"/>
            </w:tcBorders>
            <w:noWrap/>
            <w:tcMar>
              <w:left w:w="0" w:type="dxa"/>
              <w:right w:w="14" w:type="dxa"/>
            </w:tcMar>
          </w:tcPr>
          <w:p w14:paraId="68EFA0C7" w14:textId="77777777" w:rsidR="00375C62" w:rsidRPr="00051876" w:rsidRDefault="00375C62">
            <w:pPr>
              <w:jc w:val="right"/>
              <w:rPr>
                <w:color w:val="000000"/>
                <w:sz w:val="20"/>
                <w:szCs w:val="20"/>
              </w:rPr>
            </w:pPr>
            <w:r w:rsidRPr="00051876">
              <w:rPr>
                <w:color w:val="000000"/>
                <w:sz w:val="20"/>
                <w:szCs w:val="20"/>
              </w:rPr>
              <w:t>14.81%</w:t>
            </w:r>
          </w:p>
        </w:tc>
      </w:tr>
      <w:tr w:rsidR="00375C62" w14:paraId="2E47F237"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00FF50BF" w14:textId="77777777" w:rsidR="00375C62" w:rsidRPr="00051876" w:rsidRDefault="00375C62">
            <w:pPr>
              <w:jc w:val="left"/>
              <w:rPr>
                <w:sz w:val="20"/>
                <w:szCs w:val="20"/>
              </w:rPr>
            </w:pPr>
            <w:r w:rsidRPr="00051876">
              <w:rPr>
                <w:rFonts w:hint="eastAsia"/>
                <w:sz w:val="20"/>
                <w:szCs w:val="20"/>
                <w:lang w:val="zh-CN"/>
              </w:rPr>
              <w:lastRenderedPageBreak/>
              <w:t>世界银行</w:t>
            </w:r>
          </w:p>
        </w:tc>
        <w:tc>
          <w:tcPr>
            <w:tcW w:w="934" w:type="dxa"/>
            <w:tcBorders>
              <w:top w:val="nil"/>
              <w:left w:val="nil"/>
              <w:bottom w:val="single" w:sz="4" w:space="0" w:color="auto"/>
              <w:right w:val="single" w:sz="4" w:space="0" w:color="auto"/>
            </w:tcBorders>
            <w:noWrap/>
            <w:tcMar>
              <w:left w:w="0" w:type="dxa"/>
              <w:right w:w="14" w:type="dxa"/>
            </w:tcMar>
          </w:tcPr>
          <w:p w14:paraId="5DC95885" w14:textId="77777777" w:rsidR="00375C62" w:rsidRPr="00051876" w:rsidRDefault="00375C62">
            <w:pPr>
              <w:jc w:val="right"/>
              <w:rPr>
                <w:color w:val="000000"/>
                <w:sz w:val="20"/>
                <w:szCs w:val="20"/>
              </w:rPr>
            </w:pPr>
            <w:r w:rsidRPr="00051876">
              <w:rPr>
                <w:color w:val="000000"/>
                <w:sz w:val="20"/>
                <w:szCs w:val="20"/>
              </w:rPr>
              <w:t>77,797,579</w:t>
            </w:r>
          </w:p>
        </w:tc>
        <w:tc>
          <w:tcPr>
            <w:tcW w:w="935" w:type="dxa"/>
            <w:tcBorders>
              <w:top w:val="nil"/>
              <w:left w:val="nil"/>
              <w:bottom w:val="single" w:sz="4" w:space="0" w:color="auto"/>
              <w:right w:val="single" w:sz="4" w:space="0" w:color="auto"/>
            </w:tcBorders>
            <w:noWrap/>
            <w:tcMar>
              <w:left w:w="0" w:type="dxa"/>
              <w:right w:w="14" w:type="dxa"/>
            </w:tcMar>
          </w:tcPr>
          <w:p w14:paraId="1055DBCF" w14:textId="77777777" w:rsidR="00375C62" w:rsidRPr="00051876" w:rsidRDefault="00375C62">
            <w:pPr>
              <w:jc w:val="right"/>
              <w:rPr>
                <w:color w:val="000000"/>
                <w:sz w:val="20"/>
                <w:szCs w:val="20"/>
              </w:rPr>
            </w:pPr>
            <w:r w:rsidRPr="00051876">
              <w:rPr>
                <w:color w:val="000000"/>
                <w:sz w:val="20"/>
                <w:szCs w:val="20"/>
              </w:rPr>
              <w:t>9,889,963</w:t>
            </w:r>
          </w:p>
        </w:tc>
        <w:tc>
          <w:tcPr>
            <w:tcW w:w="935" w:type="dxa"/>
            <w:tcBorders>
              <w:top w:val="nil"/>
              <w:left w:val="nil"/>
              <w:bottom w:val="single" w:sz="4" w:space="0" w:color="auto"/>
              <w:right w:val="single" w:sz="4" w:space="0" w:color="auto"/>
            </w:tcBorders>
            <w:noWrap/>
            <w:tcMar>
              <w:left w:w="0" w:type="dxa"/>
              <w:right w:w="14" w:type="dxa"/>
            </w:tcMar>
          </w:tcPr>
          <w:p w14:paraId="48DE4BF2" w14:textId="77777777" w:rsidR="00375C62" w:rsidRPr="00051876" w:rsidRDefault="00375C62">
            <w:pPr>
              <w:jc w:val="right"/>
              <w:rPr>
                <w:color w:val="000000"/>
                <w:sz w:val="20"/>
                <w:szCs w:val="20"/>
              </w:rPr>
            </w:pPr>
            <w:r w:rsidRPr="00051876">
              <w:rPr>
                <w:color w:val="000000"/>
                <w:sz w:val="20"/>
                <w:szCs w:val="20"/>
              </w:rPr>
              <w:t>12.71%</w:t>
            </w:r>
          </w:p>
        </w:tc>
        <w:tc>
          <w:tcPr>
            <w:tcW w:w="934" w:type="dxa"/>
            <w:tcBorders>
              <w:top w:val="nil"/>
              <w:left w:val="nil"/>
              <w:bottom w:val="single" w:sz="4" w:space="0" w:color="auto"/>
              <w:right w:val="single" w:sz="4" w:space="0" w:color="auto"/>
            </w:tcBorders>
            <w:noWrap/>
            <w:tcMar>
              <w:left w:w="0" w:type="dxa"/>
              <w:right w:w="14" w:type="dxa"/>
            </w:tcMar>
          </w:tcPr>
          <w:p w14:paraId="13146227" w14:textId="77777777" w:rsidR="00375C62" w:rsidRPr="00051876" w:rsidRDefault="00375C62">
            <w:pPr>
              <w:jc w:val="right"/>
              <w:rPr>
                <w:color w:val="000000"/>
                <w:sz w:val="20"/>
                <w:szCs w:val="20"/>
              </w:rPr>
            </w:pPr>
            <w:r w:rsidRPr="00051876">
              <w:rPr>
                <w:color w:val="000000"/>
                <w:sz w:val="20"/>
                <w:szCs w:val="20"/>
              </w:rPr>
              <w:t>31,488,575</w:t>
            </w:r>
          </w:p>
        </w:tc>
        <w:tc>
          <w:tcPr>
            <w:tcW w:w="933" w:type="dxa"/>
            <w:tcBorders>
              <w:top w:val="nil"/>
              <w:left w:val="nil"/>
              <w:bottom w:val="single" w:sz="4" w:space="0" w:color="auto"/>
              <w:right w:val="single" w:sz="4" w:space="0" w:color="auto"/>
            </w:tcBorders>
            <w:noWrap/>
            <w:tcMar>
              <w:left w:w="0" w:type="dxa"/>
              <w:right w:w="14" w:type="dxa"/>
            </w:tcMar>
          </w:tcPr>
          <w:p w14:paraId="1006207A" w14:textId="77777777" w:rsidR="00375C62" w:rsidRPr="00051876" w:rsidRDefault="00375C62">
            <w:pPr>
              <w:jc w:val="right"/>
              <w:rPr>
                <w:color w:val="000000"/>
                <w:sz w:val="20"/>
                <w:szCs w:val="20"/>
              </w:rPr>
            </w:pPr>
            <w:r w:rsidRPr="00051876">
              <w:rPr>
                <w:color w:val="000000"/>
                <w:sz w:val="20"/>
                <w:szCs w:val="20"/>
              </w:rPr>
              <w:t>7,046,976</w:t>
            </w:r>
          </w:p>
        </w:tc>
        <w:tc>
          <w:tcPr>
            <w:tcW w:w="934" w:type="dxa"/>
            <w:tcBorders>
              <w:top w:val="nil"/>
              <w:left w:val="nil"/>
              <w:bottom w:val="single" w:sz="4" w:space="0" w:color="auto"/>
              <w:right w:val="single" w:sz="4" w:space="0" w:color="auto"/>
            </w:tcBorders>
            <w:noWrap/>
            <w:tcMar>
              <w:left w:w="0" w:type="dxa"/>
              <w:right w:w="14" w:type="dxa"/>
            </w:tcMar>
          </w:tcPr>
          <w:p w14:paraId="5618A589" w14:textId="77777777" w:rsidR="00375C62" w:rsidRPr="00051876" w:rsidRDefault="00375C62">
            <w:pPr>
              <w:jc w:val="right"/>
              <w:rPr>
                <w:color w:val="000000"/>
                <w:sz w:val="20"/>
                <w:szCs w:val="20"/>
              </w:rPr>
            </w:pPr>
            <w:r w:rsidRPr="00051876">
              <w:rPr>
                <w:color w:val="000000"/>
                <w:sz w:val="20"/>
                <w:szCs w:val="20"/>
              </w:rPr>
              <w:t>22.38%</w:t>
            </w:r>
          </w:p>
        </w:tc>
        <w:tc>
          <w:tcPr>
            <w:tcW w:w="934" w:type="dxa"/>
            <w:tcBorders>
              <w:top w:val="nil"/>
              <w:left w:val="nil"/>
              <w:bottom w:val="single" w:sz="4" w:space="0" w:color="auto"/>
              <w:right w:val="single" w:sz="4" w:space="0" w:color="auto"/>
            </w:tcBorders>
            <w:noWrap/>
            <w:tcMar>
              <w:left w:w="0" w:type="dxa"/>
              <w:right w:w="14" w:type="dxa"/>
            </w:tcMar>
          </w:tcPr>
          <w:p w14:paraId="0A9361F9" w14:textId="77777777" w:rsidR="00375C62" w:rsidRPr="00051876" w:rsidRDefault="00375C62">
            <w:pPr>
              <w:jc w:val="right"/>
              <w:rPr>
                <w:color w:val="000000"/>
                <w:sz w:val="20"/>
                <w:szCs w:val="20"/>
              </w:rPr>
            </w:pPr>
            <w:r w:rsidRPr="00051876">
              <w:rPr>
                <w:color w:val="000000"/>
                <w:sz w:val="20"/>
                <w:szCs w:val="20"/>
              </w:rPr>
              <w:t>58,203,404</w:t>
            </w:r>
          </w:p>
        </w:tc>
        <w:tc>
          <w:tcPr>
            <w:tcW w:w="934" w:type="dxa"/>
            <w:tcBorders>
              <w:top w:val="nil"/>
              <w:left w:val="nil"/>
              <w:bottom w:val="single" w:sz="4" w:space="0" w:color="auto"/>
              <w:right w:val="single" w:sz="4" w:space="0" w:color="auto"/>
            </w:tcBorders>
            <w:noWrap/>
            <w:tcMar>
              <w:left w:w="0" w:type="dxa"/>
              <w:right w:w="14" w:type="dxa"/>
            </w:tcMar>
          </w:tcPr>
          <w:p w14:paraId="532241D5" w14:textId="77777777" w:rsidR="00375C62" w:rsidRPr="00051876" w:rsidRDefault="00375C62">
            <w:pPr>
              <w:jc w:val="right"/>
              <w:rPr>
                <w:color w:val="000000"/>
                <w:sz w:val="20"/>
                <w:szCs w:val="20"/>
              </w:rPr>
            </w:pPr>
            <w:r w:rsidRPr="00051876">
              <w:rPr>
                <w:color w:val="000000"/>
                <w:sz w:val="20"/>
                <w:szCs w:val="20"/>
              </w:rPr>
              <w:t>9,032,304</w:t>
            </w:r>
          </w:p>
        </w:tc>
        <w:tc>
          <w:tcPr>
            <w:tcW w:w="934" w:type="dxa"/>
            <w:tcBorders>
              <w:top w:val="nil"/>
              <w:left w:val="nil"/>
              <w:bottom w:val="single" w:sz="4" w:space="0" w:color="auto"/>
              <w:right w:val="single" w:sz="4" w:space="0" w:color="auto"/>
            </w:tcBorders>
            <w:noWrap/>
            <w:tcMar>
              <w:left w:w="0" w:type="dxa"/>
              <w:right w:w="14" w:type="dxa"/>
            </w:tcMar>
          </w:tcPr>
          <w:p w14:paraId="644460F1" w14:textId="77777777" w:rsidR="00375C62" w:rsidRPr="00051876" w:rsidRDefault="00375C62">
            <w:pPr>
              <w:jc w:val="right"/>
              <w:rPr>
                <w:color w:val="000000"/>
                <w:sz w:val="20"/>
                <w:szCs w:val="20"/>
              </w:rPr>
            </w:pPr>
            <w:r w:rsidRPr="00051876">
              <w:rPr>
                <w:color w:val="000000"/>
                <w:sz w:val="20"/>
                <w:szCs w:val="20"/>
              </w:rPr>
              <w:t>15.52%</w:t>
            </w:r>
          </w:p>
        </w:tc>
      </w:tr>
      <w:tr w:rsidR="00375C62" w14:paraId="55ED1B31" w14:textId="77777777">
        <w:tc>
          <w:tcPr>
            <w:tcW w:w="953" w:type="dxa"/>
            <w:tcBorders>
              <w:top w:val="nil"/>
              <w:left w:val="single" w:sz="4" w:space="0" w:color="auto"/>
              <w:bottom w:val="single" w:sz="4" w:space="0" w:color="auto"/>
              <w:right w:val="single" w:sz="4" w:space="0" w:color="auto"/>
            </w:tcBorders>
            <w:noWrap/>
            <w:tcMar>
              <w:left w:w="29" w:type="dxa"/>
              <w:right w:w="29" w:type="dxa"/>
            </w:tcMar>
            <w:vAlign w:val="bottom"/>
          </w:tcPr>
          <w:p w14:paraId="1923FAB4" w14:textId="77777777" w:rsidR="00375C62" w:rsidRPr="00051876" w:rsidRDefault="00375C62">
            <w:pPr>
              <w:jc w:val="left"/>
              <w:rPr>
                <w:sz w:val="20"/>
                <w:szCs w:val="20"/>
              </w:rPr>
            </w:pPr>
            <w:r w:rsidRPr="00051876">
              <w:rPr>
                <w:rFonts w:hint="eastAsia"/>
                <w:sz w:val="20"/>
                <w:szCs w:val="20"/>
                <w:lang w:val="zh-CN"/>
              </w:rPr>
              <w:t>共计</w:t>
            </w:r>
          </w:p>
        </w:tc>
        <w:tc>
          <w:tcPr>
            <w:tcW w:w="934" w:type="dxa"/>
            <w:tcBorders>
              <w:top w:val="nil"/>
              <w:left w:val="nil"/>
              <w:bottom w:val="single" w:sz="4" w:space="0" w:color="auto"/>
              <w:right w:val="single" w:sz="4" w:space="0" w:color="auto"/>
            </w:tcBorders>
            <w:noWrap/>
            <w:tcMar>
              <w:left w:w="0" w:type="dxa"/>
              <w:right w:w="14" w:type="dxa"/>
            </w:tcMar>
          </w:tcPr>
          <w:p w14:paraId="14559340" w14:textId="77777777" w:rsidR="00375C62" w:rsidRPr="00051876" w:rsidRDefault="00375C62">
            <w:pPr>
              <w:jc w:val="right"/>
              <w:rPr>
                <w:color w:val="000000"/>
                <w:sz w:val="20"/>
                <w:szCs w:val="20"/>
              </w:rPr>
            </w:pPr>
            <w:r w:rsidRPr="00051876">
              <w:rPr>
                <w:color w:val="000000"/>
                <w:sz w:val="20"/>
                <w:szCs w:val="20"/>
              </w:rPr>
              <w:t>351,051,098</w:t>
            </w:r>
          </w:p>
        </w:tc>
        <w:tc>
          <w:tcPr>
            <w:tcW w:w="935" w:type="dxa"/>
            <w:tcBorders>
              <w:top w:val="nil"/>
              <w:left w:val="nil"/>
              <w:bottom w:val="single" w:sz="4" w:space="0" w:color="auto"/>
              <w:right w:val="single" w:sz="4" w:space="0" w:color="auto"/>
            </w:tcBorders>
            <w:noWrap/>
            <w:tcMar>
              <w:left w:w="0" w:type="dxa"/>
              <w:right w:w="14" w:type="dxa"/>
            </w:tcMar>
          </w:tcPr>
          <w:p w14:paraId="31FEB925" w14:textId="77777777" w:rsidR="00375C62" w:rsidRPr="00051876" w:rsidRDefault="00375C62">
            <w:pPr>
              <w:jc w:val="right"/>
              <w:rPr>
                <w:color w:val="000000"/>
                <w:sz w:val="20"/>
                <w:szCs w:val="20"/>
              </w:rPr>
            </w:pPr>
            <w:r w:rsidRPr="00051876">
              <w:rPr>
                <w:color w:val="000000"/>
                <w:sz w:val="20"/>
                <w:szCs w:val="20"/>
              </w:rPr>
              <w:t>42,521,909</w:t>
            </w:r>
          </w:p>
        </w:tc>
        <w:tc>
          <w:tcPr>
            <w:tcW w:w="935" w:type="dxa"/>
            <w:tcBorders>
              <w:top w:val="nil"/>
              <w:left w:val="nil"/>
              <w:bottom w:val="single" w:sz="4" w:space="0" w:color="auto"/>
              <w:right w:val="single" w:sz="4" w:space="0" w:color="auto"/>
            </w:tcBorders>
            <w:noWrap/>
            <w:tcMar>
              <w:left w:w="0" w:type="dxa"/>
              <w:right w:w="14" w:type="dxa"/>
            </w:tcMar>
          </w:tcPr>
          <w:p w14:paraId="14119171" w14:textId="77777777" w:rsidR="00375C62" w:rsidRPr="00051876" w:rsidRDefault="00375C62">
            <w:pPr>
              <w:jc w:val="right"/>
              <w:rPr>
                <w:color w:val="000000"/>
                <w:sz w:val="20"/>
                <w:szCs w:val="20"/>
              </w:rPr>
            </w:pPr>
            <w:r w:rsidRPr="00051876">
              <w:rPr>
                <w:color w:val="000000"/>
                <w:sz w:val="20"/>
                <w:szCs w:val="20"/>
              </w:rPr>
              <w:t>12.11%</w:t>
            </w:r>
          </w:p>
        </w:tc>
        <w:tc>
          <w:tcPr>
            <w:tcW w:w="934" w:type="dxa"/>
            <w:tcBorders>
              <w:top w:val="nil"/>
              <w:left w:val="nil"/>
              <w:bottom w:val="single" w:sz="4" w:space="0" w:color="auto"/>
              <w:right w:val="single" w:sz="4" w:space="0" w:color="auto"/>
            </w:tcBorders>
            <w:noWrap/>
            <w:tcMar>
              <w:left w:w="0" w:type="dxa"/>
              <w:right w:w="14" w:type="dxa"/>
            </w:tcMar>
          </w:tcPr>
          <w:p w14:paraId="01055D18" w14:textId="77777777" w:rsidR="00375C62" w:rsidRPr="00051876" w:rsidRDefault="00375C62">
            <w:pPr>
              <w:jc w:val="right"/>
              <w:rPr>
                <w:color w:val="000000"/>
                <w:sz w:val="20"/>
                <w:szCs w:val="20"/>
              </w:rPr>
            </w:pPr>
            <w:r w:rsidRPr="00051876">
              <w:rPr>
                <w:color w:val="000000"/>
                <w:sz w:val="20"/>
                <w:szCs w:val="20"/>
              </w:rPr>
              <w:t>257,768,444</w:t>
            </w:r>
          </w:p>
        </w:tc>
        <w:tc>
          <w:tcPr>
            <w:tcW w:w="933" w:type="dxa"/>
            <w:tcBorders>
              <w:top w:val="nil"/>
              <w:left w:val="nil"/>
              <w:bottom w:val="single" w:sz="4" w:space="0" w:color="auto"/>
              <w:right w:val="single" w:sz="4" w:space="0" w:color="auto"/>
            </w:tcBorders>
            <w:noWrap/>
            <w:tcMar>
              <w:left w:w="0" w:type="dxa"/>
              <w:right w:w="14" w:type="dxa"/>
            </w:tcMar>
          </w:tcPr>
          <w:p w14:paraId="45D1084F" w14:textId="77777777" w:rsidR="00375C62" w:rsidRPr="00051876" w:rsidRDefault="00375C62">
            <w:pPr>
              <w:jc w:val="right"/>
              <w:rPr>
                <w:color w:val="000000"/>
                <w:sz w:val="20"/>
                <w:szCs w:val="20"/>
              </w:rPr>
            </w:pPr>
            <w:r w:rsidRPr="00051876">
              <w:rPr>
                <w:color w:val="000000"/>
                <w:sz w:val="20"/>
                <w:szCs w:val="20"/>
              </w:rPr>
              <w:t>36,476,328</w:t>
            </w:r>
          </w:p>
        </w:tc>
        <w:tc>
          <w:tcPr>
            <w:tcW w:w="934" w:type="dxa"/>
            <w:tcBorders>
              <w:top w:val="nil"/>
              <w:left w:val="nil"/>
              <w:bottom w:val="single" w:sz="4" w:space="0" w:color="auto"/>
              <w:right w:val="single" w:sz="4" w:space="0" w:color="auto"/>
            </w:tcBorders>
            <w:noWrap/>
            <w:tcMar>
              <w:left w:w="0" w:type="dxa"/>
              <w:right w:w="14" w:type="dxa"/>
            </w:tcMar>
          </w:tcPr>
          <w:p w14:paraId="7F388714" w14:textId="77777777" w:rsidR="00375C62" w:rsidRPr="00051876" w:rsidRDefault="00375C62">
            <w:pPr>
              <w:jc w:val="right"/>
              <w:rPr>
                <w:color w:val="000000"/>
                <w:sz w:val="20"/>
                <w:szCs w:val="20"/>
              </w:rPr>
            </w:pPr>
            <w:r w:rsidRPr="00051876">
              <w:rPr>
                <w:color w:val="000000"/>
                <w:sz w:val="20"/>
                <w:szCs w:val="20"/>
              </w:rPr>
              <w:t>14.15%</w:t>
            </w:r>
          </w:p>
        </w:tc>
        <w:tc>
          <w:tcPr>
            <w:tcW w:w="934" w:type="dxa"/>
            <w:tcBorders>
              <w:top w:val="nil"/>
              <w:left w:val="nil"/>
              <w:bottom w:val="single" w:sz="4" w:space="0" w:color="auto"/>
              <w:right w:val="single" w:sz="4" w:space="0" w:color="auto"/>
            </w:tcBorders>
            <w:noWrap/>
            <w:tcMar>
              <w:left w:w="0" w:type="dxa"/>
              <w:right w:w="14" w:type="dxa"/>
            </w:tcMar>
          </w:tcPr>
          <w:p w14:paraId="36A30167" w14:textId="77777777" w:rsidR="00375C62" w:rsidRPr="00051876" w:rsidRDefault="00375C62">
            <w:pPr>
              <w:jc w:val="right"/>
              <w:rPr>
                <w:color w:val="000000"/>
                <w:sz w:val="20"/>
                <w:szCs w:val="20"/>
              </w:rPr>
            </w:pPr>
            <w:r w:rsidRPr="00051876">
              <w:rPr>
                <w:color w:val="000000"/>
                <w:sz w:val="20"/>
                <w:szCs w:val="20"/>
              </w:rPr>
              <w:t>344,505,343</w:t>
            </w:r>
          </w:p>
        </w:tc>
        <w:tc>
          <w:tcPr>
            <w:tcW w:w="934" w:type="dxa"/>
            <w:tcBorders>
              <w:top w:val="nil"/>
              <w:left w:val="nil"/>
              <w:bottom w:val="single" w:sz="4" w:space="0" w:color="auto"/>
              <w:right w:val="single" w:sz="4" w:space="0" w:color="auto"/>
            </w:tcBorders>
            <w:noWrap/>
            <w:tcMar>
              <w:left w:w="0" w:type="dxa"/>
              <w:right w:w="14" w:type="dxa"/>
            </w:tcMar>
          </w:tcPr>
          <w:p w14:paraId="26799F11" w14:textId="77777777" w:rsidR="00375C62" w:rsidRPr="00051876" w:rsidRDefault="00375C62">
            <w:pPr>
              <w:jc w:val="right"/>
              <w:rPr>
                <w:color w:val="000000"/>
                <w:sz w:val="20"/>
                <w:szCs w:val="20"/>
              </w:rPr>
            </w:pPr>
            <w:r w:rsidRPr="00051876">
              <w:rPr>
                <w:color w:val="000000"/>
                <w:sz w:val="20"/>
                <w:szCs w:val="20"/>
              </w:rPr>
              <w:t>43,385,091</w:t>
            </w:r>
          </w:p>
        </w:tc>
        <w:tc>
          <w:tcPr>
            <w:tcW w:w="934" w:type="dxa"/>
            <w:tcBorders>
              <w:top w:val="nil"/>
              <w:left w:val="nil"/>
              <w:bottom w:val="single" w:sz="4" w:space="0" w:color="auto"/>
              <w:right w:val="single" w:sz="4" w:space="0" w:color="auto"/>
            </w:tcBorders>
            <w:noWrap/>
            <w:tcMar>
              <w:left w:w="0" w:type="dxa"/>
              <w:right w:w="14" w:type="dxa"/>
            </w:tcMar>
          </w:tcPr>
          <w:p w14:paraId="22D81011" w14:textId="77777777" w:rsidR="00375C62" w:rsidRPr="00051876" w:rsidRDefault="00375C62">
            <w:pPr>
              <w:jc w:val="right"/>
              <w:rPr>
                <w:color w:val="000000"/>
                <w:sz w:val="20"/>
                <w:szCs w:val="20"/>
              </w:rPr>
            </w:pPr>
            <w:r w:rsidRPr="00051876">
              <w:rPr>
                <w:color w:val="000000"/>
                <w:sz w:val="20"/>
                <w:szCs w:val="20"/>
              </w:rPr>
              <w:t>12.59%</w:t>
            </w:r>
          </w:p>
        </w:tc>
      </w:tr>
    </w:tbl>
    <w:p w14:paraId="0438F76D" w14:textId="77777777" w:rsidR="00375C62" w:rsidRPr="00051876" w:rsidRDefault="00375C62">
      <w:pPr>
        <w:rPr>
          <w:sz w:val="19"/>
          <w:szCs w:val="19"/>
        </w:rPr>
      </w:pPr>
      <w:r w:rsidRPr="00051876">
        <w:rPr>
          <w:sz w:val="19"/>
          <w:szCs w:val="19"/>
          <w:lang w:val="zh-CN"/>
        </w:rPr>
        <w:t xml:space="preserve">(*) </w:t>
      </w:r>
      <w:r w:rsidRPr="00051876">
        <w:rPr>
          <w:rFonts w:hint="eastAsia"/>
          <w:sz w:val="19"/>
          <w:szCs w:val="19"/>
          <w:lang w:val="zh-CN"/>
        </w:rPr>
        <w:t>实际供资。</w:t>
      </w:r>
    </w:p>
    <w:p w14:paraId="1878D529" w14:textId="77777777" w:rsidR="00375C62" w:rsidRPr="00051876" w:rsidRDefault="00375C62">
      <w:pPr>
        <w:rPr>
          <w:sz w:val="19"/>
          <w:szCs w:val="19"/>
        </w:rPr>
      </w:pPr>
      <w:r w:rsidRPr="00051876">
        <w:rPr>
          <w:sz w:val="19"/>
          <w:szCs w:val="19"/>
          <w:lang w:val="zh-CN"/>
        </w:rPr>
        <w:t>(**) 2021-2023</w:t>
      </w:r>
      <w:r w:rsidRPr="00051876">
        <w:rPr>
          <w:rFonts w:hint="eastAsia"/>
          <w:sz w:val="19"/>
          <w:szCs w:val="19"/>
          <w:lang w:val="zh-CN"/>
        </w:rPr>
        <w:t>年综合业务计划中的估计数值。</w:t>
      </w:r>
    </w:p>
    <w:p w14:paraId="6E964116" w14:textId="77777777" w:rsidR="00375C62" w:rsidRDefault="00375C62">
      <w:pPr>
        <w:rPr>
          <w:szCs w:val="24"/>
        </w:rPr>
      </w:pPr>
    </w:p>
    <w:p w14:paraId="154BD5DE" w14:textId="77777777" w:rsidR="00375C62" w:rsidRPr="00051876" w:rsidRDefault="00375C62">
      <w:pPr>
        <w:pStyle w:val="Heading1"/>
        <w:rPr>
          <w:sz w:val="24"/>
          <w:szCs w:val="24"/>
        </w:rPr>
      </w:pPr>
      <w:r w:rsidRPr="00051876">
        <w:rPr>
          <w:rFonts w:hint="eastAsia"/>
          <w:sz w:val="24"/>
          <w:szCs w:val="24"/>
          <w:lang w:val="zh-CN"/>
        </w:rPr>
        <w:t>项目供资减少的主要原因是对一个第</w:t>
      </w:r>
      <w:r w:rsidRPr="00051876">
        <w:rPr>
          <w:sz w:val="24"/>
          <w:szCs w:val="24"/>
        </w:rPr>
        <w:t>5</w:t>
      </w:r>
      <w:r w:rsidRPr="00051876">
        <w:rPr>
          <w:rFonts w:hint="eastAsia"/>
          <w:sz w:val="24"/>
          <w:szCs w:val="24"/>
          <w:lang w:val="zh-CN"/>
        </w:rPr>
        <w:t>条国家的氟氯烃淘汰管理计划第二阶段的供资付款作出调整以及继续就批准一个第</w:t>
      </w:r>
      <w:r w:rsidRPr="00051876">
        <w:rPr>
          <w:sz w:val="24"/>
          <w:szCs w:val="24"/>
        </w:rPr>
        <w:t>5</w:t>
      </w:r>
      <w:r w:rsidRPr="00051876">
        <w:rPr>
          <w:rFonts w:hint="eastAsia"/>
          <w:sz w:val="24"/>
          <w:szCs w:val="24"/>
          <w:lang w:val="zh-CN"/>
        </w:rPr>
        <w:t>条国家的氟氯烃生产淘汰管理计划第二阶段进行磋商</w:t>
      </w:r>
      <w:r w:rsidRPr="00051876">
        <w:rPr>
          <w:rFonts w:hint="eastAsia"/>
          <w:sz w:val="24"/>
          <w:szCs w:val="24"/>
        </w:rPr>
        <w:t>，</w:t>
      </w:r>
      <w:r w:rsidRPr="00051876">
        <w:rPr>
          <w:rFonts w:hint="eastAsia"/>
          <w:sz w:val="24"/>
          <w:szCs w:val="24"/>
          <w:lang w:val="zh-CN"/>
        </w:rPr>
        <w:t>它直到</w:t>
      </w:r>
      <w:r w:rsidRPr="00051876">
        <w:rPr>
          <w:sz w:val="24"/>
          <w:szCs w:val="24"/>
        </w:rPr>
        <w:t>2019</w:t>
      </w:r>
      <w:r w:rsidRPr="00051876">
        <w:rPr>
          <w:rFonts w:hint="eastAsia"/>
          <w:sz w:val="24"/>
          <w:szCs w:val="24"/>
          <w:lang w:val="zh-CN"/>
        </w:rPr>
        <w:t>年第八十四次会议才结束磋商</w:t>
      </w:r>
      <w:r w:rsidRPr="00051876">
        <w:rPr>
          <w:rFonts w:hint="eastAsia"/>
          <w:sz w:val="24"/>
          <w:szCs w:val="24"/>
        </w:rPr>
        <w:t>，</w:t>
      </w:r>
      <w:r w:rsidRPr="00051876">
        <w:rPr>
          <w:rFonts w:hint="eastAsia"/>
          <w:sz w:val="24"/>
          <w:szCs w:val="24"/>
          <w:lang w:val="zh-CN"/>
        </w:rPr>
        <w:t>即</w:t>
      </w:r>
      <w:r w:rsidRPr="00051876">
        <w:rPr>
          <w:sz w:val="24"/>
          <w:szCs w:val="24"/>
        </w:rPr>
        <w:t>2018-2020</w:t>
      </w:r>
      <w:r w:rsidRPr="00051876">
        <w:rPr>
          <w:rFonts w:hint="eastAsia"/>
          <w:sz w:val="24"/>
          <w:szCs w:val="24"/>
          <w:lang w:val="zh-CN"/>
        </w:rPr>
        <w:t>三年期结束之前一年以及宣布</w:t>
      </w:r>
      <w:r w:rsidRPr="00051876">
        <w:rPr>
          <w:sz w:val="24"/>
          <w:szCs w:val="24"/>
        </w:rPr>
        <w:t>COVID-19</w:t>
      </w:r>
      <w:r w:rsidRPr="00051876">
        <w:rPr>
          <w:rFonts w:hint="eastAsia"/>
          <w:sz w:val="24"/>
          <w:szCs w:val="24"/>
          <w:lang w:val="zh-CN"/>
        </w:rPr>
        <w:t>大流行之前数月。从</w:t>
      </w:r>
      <w:r w:rsidRPr="00051876">
        <w:rPr>
          <w:sz w:val="24"/>
          <w:szCs w:val="24"/>
          <w:lang w:val="en-US"/>
        </w:rPr>
        <w:t>2020</w:t>
      </w:r>
      <w:r w:rsidRPr="00051876">
        <w:rPr>
          <w:rFonts w:hint="eastAsia"/>
          <w:sz w:val="24"/>
          <w:szCs w:val="24"/>
          <w:lang w:val="zh-CN"/>
        </w:rPr>
        <w:t>年起</w:t>
      </w:r>
      <w:r w:rsidRPr="00051876">
        <w:rPr>
          <w:rFonts w:hint="eastAsia"/>
          <w:sz w:val="24"/>
          <w:szCs w:val="24"/>
          <w:lang w:val="en-US"/>
        </w:rPr>
        <w:t>，</w:t>
      </w:r>
      <w:r w:rsidRPr="00051876">
        <w:rPr>
          <w:sz w:val="24"/>
          <w:szCs w:val="24"/>
          <w:lang w:val="en-US"/>
        </w:rPr>
        <w:t>COVID-19</w:t>
      </w:r>
      <w:r w:rsidRPr="00051876">
        <w:rPr>
          <w:rFonts w:hint="eastAsia"/>
          <w:sz w:val="24"/>
          <w:szCs w:val="24"/>
          <w:lang w:val="zh-CN"/>
        </w:rPr>
        <w:t>大流行造成的各种限制导致项目实施延迟</w:t>
      </w:r>
      <w:r w:rsidRPr="00051876">
        <w:rPr>
          <w:rFonts w:hint="eastAsia"/>
          <w:sz w:val="24"/>
          <w:szCs w:val="24"/>
          <w:lang w:val="en-US"/>
        </w:rPr>
        <w:t>，</w:t>
      </w:r>
      <w:r w:rsidRPr="00051876">
        <w:rPr>
          <w:rFonts w:hint="eastAsia"/>
          <w:sz w:val="24"/>
          <w:szCs w:val="24"/>
          <w:lang w:val="zh-CN"/>
        </w:rPr>
        <w:t>从而影响了提交氟氯烃淘汰管理计划供资付款的申请。在本三年期内</w:t>
      </w:r>
      <w:r w:rsidRPr="00051876">
        <w:rPr>
          <w:rFonts w:hint="eastAsia"/>
          <w:sz w:val="24"/>
          <w:szCs w:val="24"/>
          <w:lang w:val="en-US"/>
        </w:rPr>
        <w:t>，</w:t>
      </w:r>
      <w:r w:rsidRPr="00051876">
        <w:rPr>
          <w:rFonts w:hint="eastAsia"/>
          <w:sz w:val="24"/>
          <w:szCs w:val="24"/>
          <w:lang w:val="zh-CN"/>
        </w:rPr>
        <w:t>根据第</w:t>
      </w:r>
      <w:r w:rsidRPr="00051876">
        <w:rPr>
          <w:sz w:val="24"/>
          <w:szCs w:val="24"/>
          <w:lang w:val="en-US"/>
        </w:rPr>
        <w:t>79/41</w:t>
      </w:r>
      <w:r w:rsidRPr="00051876">
        <w:rPr>
          <w:rFonts w:hint="eastAsia"/>
          <w:sz w:val="24"/>
          <w:szCs w:val="24"/>
          <w:lang w:val="zh-CN"/>
        </w:rPr>
        <w:t>号决定批准了为开发署、工发组织和世界银行提供的</w:t>
      </w:r>
      <w:r w:rsidRPr="00051876">
        <w:rPr>
          <w:sz w:val="24"/>
          <w:szCs w:val="24"/>
          <w:lang w:val="en-US"/>
        </w:rPr>
        <w:t>2018</w:t>
      </w:r>
      <w:r w:rsidRPr="00051876">
        <w:rPr>
          <w:rFonts w:hint="eastAsia"/>
          <w:sz w:val="24"/>
          <w:szCs w:val="24"/>
          <w:lang w:val="zh-CN"/>
        </w:rPr>
        <w:t>年、</w:t>
      </w:r>
      <w:r w:rsidRPr="00051876">
        <w:rPr>
          <w:sz w:val="24"/>
          <w:szCs w:val="24"/>
          <w:lang w:val="en-US"/>
        </w:rPr>
        <w:t>2019</w:t>
      </w:r>
      <w:r w:rsidRPr="00051876">
        <w:rPr>
          <w:rFonts w:hint="eastAsia"/>
          <w:sz w:val="24"/>
          <w:szCs w:val="24"/>
          <w:lang w:val="zh-CN"/>
        </w:rPr>
        <w:t>年和</w:t>
      </w:r>
      <w:r w:rsidRPr="00051876">
        <w:rPr>
          <w:sz w:val="24"/>
          <w:szCs w:val="24"/>
          <w:lang w:val="en-US"/>
        </w:rPr>
        <w:t>2020</w:t>
      </w:r>
      <w:r w:rsidRPr="00051876">
        <w:rPr>
          <w:rFonts w:hint="eastAsia"/>
          <w:sz w:val="24"/>
          <w:szCs w:val="24"/>
          <w:lang w:val="zh-CN"/>
        </w:rPr>
        <w:t>年核心单位供资</w:t>
      </w:r>
      <w:r w:rsidRPr="00051876">
        <w:rPr>
          <w:rFonts w:hint="eastAsia"/>
          <w:sz w:val="24"/>
          <w:szCs w:val="24"/>
          <w:lang w:val="en-US"/>
        </w:rPr>
        <w:t>；</w:t>
      </w:r>
      <w:r w:rsidRPr="00051876">
        <w:rPr>
          <w:rFonts w:hint="eastAsia"/>
          <w:sz w:val="24"/>
          <w:szCs w:val="24"/>
          <w:lang w:val="zh-CN"/>
        </w:rPr>
        <w:t>在此基础上</w:t>
      </w:r>
      <w:r w:rsidRPr="00051876">
        <w:rPr>
          <w:rFonts w:hint="eastAsia"/>
          <w:sz w:val="24"/>
          <w:szCs w:val="24"/>
          <w:lang w:val="en-US"/>
        </w:rPr>
        <w:t>，</w:t>
      </w:r>
      <w:r w:rsidRPr="00051876">
        <w:rPr>
          <w:rFonts w:hint="eastAsia"/>
          <w:sz w:val="24"/>
          <w:szCs w:val="24"/>
          <w:lang w:val="zh-CN"/>
        </w:rPr>
        <w:t>批准的项目供资减少导致方案支助费用对核准的资金总额的占比较高。</w:t>
      </w:r>
      <w:r w:rsidRPr="00051876">
        <w:rPr>
          <w:sz w:val="24"/>
          <w:szCs w:val="24"/>
        </w:rPr>
        <w:t xml:space="preserve">  </w:t>
      </w:r>
    </w:p>
    <w:p w14:paraId="19585648" w14:textId="77777777" w:rsidR="00375C62" w:rsidRPr="00051876" w:rsidRDefault="00375C62">
      <w:pPr>
        <w:pStyle w:val="Heading1"/>
        <w:rPr>
          <w:sz w:val="24"/>
          <w:szCs w:val="24"/>
        </w:rPr>
      </w:pPr>
      <w:r w:rsidRPr="00051876">
        <w:rPr>
          <w:rFonts w:hint="eastAsia"/>
          <w:sz w:val="24"/>
          <w:szCs w:val="24"/>
          <w:lang w:val="zh-CN"/>
        </w:rPr>
        <w:t>然而</w:t>
      </w:r>
      <w:r w:rsidRPr="00051876">
        <w:rPr>
          <w:rFonts w:hint="eastAsia"/>
          <w:sz w:val="24"/>
          <w:szCs w:val="24"/>
        </w:rPr>
        <w:t>，</w:t>
      </w:r>
      <w:r w:rsidRPr="00051876">
        <w:rPr>
          <w:rFonts w:hint="eastAsia"/>
          <w:sz w:val="24"/>
          <w:szCs w:val="24"/>
          <w:lang w:val="zh-CN"/>
        </w:rPr>
        <w:t>对于</w:t>
      </w:r>
      <w:r w:rsidRPr="00051876">
        <w:rPr>
          <w:sz w:val="24"/>
          <w:szCs w:val="24"/>
        </w:rPr>
        <w:t>2021-2023</w:t>
      </w:r>
      <w:r w:rsidRPr="00051876">
        <w:rPr>
          <w:rFonts w:hint="eastAsia"/>
          <w:sz w:val="24"/>
          <w:szCs w:val="24"/>
          <w:lang w:val="zh-CN"/>
        </w:rPr>
        <w:t>三年期而言</w:t>
      </w:r>
      <w:r w:rsidRPr="00051876">
        <w:rPr>
          <w:rFonts w:hint="eastAsia"/>
          <w:sz w:val="24"/>
          <w:szCs w:val="24"/>
        </w:rPr>
        <w:t>，</w:t>
      </w:r>
      <w:r w:rsidRPr="00051876">
        <w:rPr>
          <w:rFonts w:hint="eastAsia"/>
          <w:sz w:val="24"/>
          <w:szCs w:val="24"/>
          <w:lang w:val="zh-CN"/>
        </w:rPr>
        <w:t>项目和活动以及相关方案支助费用的总体供资比</w:t>
      </w:r>
      <w:r w:rsidRPr="00051876">
        <w:rPr>
          <w:sz w:val="24"/>
          <w:szCs w:val="24"/>
        </w:rPr>
        <w:t>2015-2017</w:t>
      </w:r>
      <w:r w:rsidRPr="00051876">
        <w:rPr>
          <w:rFonts w:hint="eastAsia"/>
          <w:sz w:val="24"/>
          <w:szCs w:val="24"/>
          <w:lang w:val="zh-CN"/>
        </w:rPr>
        <w:t>三年期的水平略低</w:t>
      </w:r>
      <w:r w:rsidRPr="00051876">
        <w:rPr>
          <w:rFonts w:hint="eastAsia"/>
          <w:sz w:val="24"/>
          <w:szCs w:val="24"/>
        </w:rPr>
        <w:t>，</w:t>
      </w:r>
      <w:r w:rsidRPr="00051876">
        <w:rPr>
          <w:rFonts w:hint="eastAsia"/>
          <w:sz w:val="24"/>
          <w:szCs w:val="24"/>
          <w:lang w:val="zh-CN"/>
        </w:rPr>
        <w:t>总体方案支助费用低于</w:t>
      </w:r>
      <w:r w:rsidRPr="00051876">
        <w:rPr>
          <w:sz w:val="24"/>
          <w:szCs w:val="24"/>
        </w:rPr>
        <w:t>13%</w:t>
      </w:r>
      <w:r w:rsidRPr="00051876">
        <w:rPr>
          <w:rFonts w:hint="eastAsia"/>
          <w:sz w:val="24"/>
          <w:szCs w:val="24"/>
        </w:rPr>
        <w:t>，</w:t>
      </w:r>
      <w:r w:rsidRPr="00051876">
        <w:rPr>
          <w:rFonts w:hint="eastAsia"/>
          <w:sz w:val="24"/>
          <w:szCs w:val="24"/>
          <w:lang w:val="zh-CN"/>
        </w:rPr>
        <w:t>尽管工发组织和世界银行的方案支助费用高于</w:t>
      </w:r>
      <w:r w:rsidRPr="00051876">
        <w:rPr>
          <w:sz w:val="24"/>
          <w:szCs w:val="24"/>
        </w:rPr>
        <w:t>13%</w:t>
      </w:r>
      <w:r w:rsidRPr="00051876">
        <w:rPr>
          <w:rFonts w:hint="eastAsia"/>
          <w:sz w:val="24"/>
          <w:szCs w:val="24"/>
          <w:lang w:val="zh-CN"/>
        </w:rPr>
        <w:t>。此外</w:t>
      </w:r>
      <w:r w:rsidRPr="00051876">
        <w:rPr>
          <w:rFonts w:hint="eastAsia"/>
          <w:sz w:val="24"/>
          <w:szCs w:val="24"/>
          <w:lang w:val="en-US"/>
        </w:rPr>
        <w:t>，</w:t>
      </w:r>
      <w:r w:rsidRPr="00051876">
        <w:rPr>
          <w:rFonts w:hint="eastAsia"/>
          <w:sz w:val="24"/>
          <w:szCs w:val="24"/>
          <w:lang w:val="zh-CN"/>
        </w:rPr>
        <w:t>由于不同机构核心单位对行政支助费用的相对分配</w:t>
      </w:r>
      <w:r w:rsidRPr="00051876">
        <w:rPr>
          <w:rFonts w:hint="eastAsia"/>
          <w:sz w:val="24"/>
          <w:szCs w:val="24"/>
          <w:lang w:val="en-US"/>
        </w:rPr>
        <w:t>，</w:t>
      </w:r>
      <w:r w:rsidRPr="00051876">
        <w:rPr>
          <w:rFonts w:hint="eastAsia"/>
          <w:sz w:val="24"/>
          <w:szCs w:val="24"/>
          <w:lang w:val="zh-CN"/>
        </w:rPr>
        <w:t>行政支助费用的增长低于整体项目供资的增长。</w:t>
      </w:r>
      <w:r w:rsidRPr="00051876">
        <w:rPr>
          <w:sz w:val="24"/>
          <w:szCs w:val="24"/>
        </w:rPr>
        <w:t xml:space="preserve"> </w:t>
      </w:r>
    </w:p>
    <w:p w14:paraId="6CF2B735" w14:textId="77777777" w:rsidR="00375C62" w:rsidRPr="00051876" w:rsidRDefault="00375C62">
      <w:pPr>
        <w:pStyle w:val="Heading1"/>
        <w:rPr>
          <w:sz w:val="24"/>
          <w:szCs w:val="24"/>
        </w:rPr>
      </w:pPr>
      <w:r w:rsidRPr="00051876">
        <w:rPr>
          <w:rFonts w:hint="eastAsia"/>
          <w:sz w:val="24"/>
          <w:szCs w:val="24"/>
          <w:lang w:val="zh-CN"/>
        </w:rPr>
        <w:t>根据</w:t>
      </w:r>
      <w:r w:rsidRPr="00051876">
        <w:rPr>
          <w:sz w:val="24"/>
          <w:szCs w:val="24"/>
        </w:rPr>
        <w:t>2021-2023</w:t>
      </w:r>
      <w:r w:rsidRPr="00051876">
        <w:rPr>
          <w:rFonts w:hint="eastAsia"/>
          <w:sz w:val="24"/>
          <w:szCs w:val="24"/>
          <w:lang w:val="zh-CN"/>
        </w:rPr>
        <w:t>年综合业务计划提供的数据</w:t>
      </w:r>
      <w:r w:rsidRPr="00051876">
        <w:rPr>
          <w:rFonts w:hint="eastAsia"/>
          <w:sz w:val="24"/>
          <w:szCs w:val="24"/>
        </w:rPr>
        <w:t>，</w:t>
      </w:r>
      <w:r w:rsidRPr="00051876">
        <w:rPr>
          <w:rFonts w:hint="eastAsia"/>
          <w:sz w:val="24"/>
          <w:szCs w:val="24"/>
          <w:lang w:val="zh-CN"/>
        </w:rPr>
        <w:t>与实施氟氯烃项下的活动、编制基加利氢氟碳化物实施计划和延长体制强化项目相关的供资占全部供资金额的</w:t>
      </w:r>
      <w:r w:rsidRPr="00051876">
        <w:rPr>
          <w:sz w:val="24"/>
          <w:szCs w:val="24"/>
        </w:rPr>
        <w:t>85%</w:t>
      </w:r>
      <w:r w:rsidRPr="00051876">
        <w:rPr>
          <w:rFonts w:hint="eastAsia"/>
          <w:sz w:val="24"/>
          <w:szCs w:val="24"/>
          <w:lang w:val="zh-CN"/>
        </w:rPr>
        <w:t>以上。基加利氢氟碳化物实施计划的筹备活动</w:t>
      </w:r>
      <w:r w:rsidRPr="00051876">
        <w:rPr>
          <w:rFonts w:hint="eastAsia"/>
          <w:sz w:val="24"/>
          <w:szCs w:val="24"/>
          <w:lang w:val="en-US"/>
        </w:rPr>
        <w:t>（</w:t>
      </w:r>
      <w:r w:rsidRPr="00051876">
        <w:rPr>
          <w:rFonts w:hint="eastAsia"/>
          <w:sz w:val="24"/>
          <w:szCs w:val="24"/>
          <w:lang w:val="zh-CN"/>
        </w:rPr>
        <w:t>例如</w:t>
      </w:r>
      <w:r w:rsidRPr="00051876">
        <w:rPr>
          <w:rFonts w:hint="eastAsia"/>
          <w:sz w:val="24"/>
          <w:szCs w:val="24"/>
          <w:lang w:val="en-US"/>
        </w:rPr>
        <w:t>，</w:t>
      </w:r>
      <w:r w:rsidRPr="00051876">
        <w:rPr>
          <w:rFonts w:hint="eastAsia"/>
          <w:sz w:val="24"/>
          <w:szCs w:val="24"/>
          <w:lang w:val="zh-CN"/>
        </w:rPr>
        <w:t>项目规划、氢氟碳化物数据收集和分析、制定包括制冷维修行业在内的逐步减少氢氟碳化物总体战略以及相关的氢氟碳化物投资活动</w:t>
      </w:r>
      <w:r w:rsidRPr="00051876">
        <w:rPr>
          <w:rFonts w:hint="eastAsia"/>
          <w:sz w:val="24"/>
          <w:szCs w:val="24"/>
          <w:lang w:val="en-US"/>
        </w:rPr>
        <w:t>）</w:t>
      </w:r>
      <w:r w:rsidRPr="00051876">
        <w:rPr>
          <w:rFonts w:hint="eastAsia"/>
          <w:sz w:val="24"/>
          <w:szCs w:val="24"/>
          <w:lang w:val="zh-CN"/>
        </w:rPr>
        <w:t>将涉及大量工作</w:t>
      </w:r>
      <w:r w:rsidRPr="00051876">
        <w:rPr>
          <w:rFonts w:hint="eastAsia"/>
          <w:sz w:val="24"/>
          <w:szCs w:val="24"/>
          <w:lang w:val="en-US"/>
        </w:rPr>
        <w:t>，</w:t>
      </w:r>
      <w:r w:rsidRPr="00051876">
        <w:rPr>
          <w:rFonts w:hint="eastAsia"/>
          <w:sz w:val="24"/>
          <w:szCs w:val="24"/>
          <w:lang w:val="zh-CN"/>
        </w:rPr>
        <w:t>这需要双边和执行机构管理</w:t>
      </w:r>
      <w:r w:rsidRPr="00051876">
        <w:rPr>
          <w:rFonts w:hint="eastAsia"/>
          <w:sz w:val="24"/>
          <w:szCs w:val="24"/>
          <w:lang w:val="en-US"/>
        </w:rPr>
        <w:t>，</w:t>
      </w:r>
      <w:r w:rsidRPr="00051876">
        <w:rPr>
          <w:rFonts w:hint="eastAsia"/>
          <w:sz w:val="24"/>
          <w:szCs w:val="24"/>
          <w:lang w:val="zh-CN"/>
        </w:rPr>
        <w:t>并得到技术专家、国家臭氧机构工作人员和相关国家利益攸关方的支持。这些机构需要在</w:t>
      </w:r>
      <w:r w:rsidRPr="00051876">
        <w:rPr>
          <w:sz w:val="24"/>
          <w:szCs w:val="24"/>
          <w:lang w:val="en-US"/>
        </w:rPr>
        <w:t>2022</w:t>
      </w:r>
      <w:r w:rsidRPr="00051876">
        <w:rPr>
          <w:rFonts w:hint="eastAsia"/>
          <w:sz w:val="24"/>
          <w:szCs w:val="24"/>
          <w:lang w:val="zh-CN"/>
        </w:rPr>
        <w:t>年和</w:t>
      </w:r>
      <w:r w:rsidRPr="00051876">
        <w:rPr>
          <w:sz w:val="24"/>
          <w:szCs w:val="24"/>
          <w:lang w:val="en-US"/>
        </w:rPr>
        <w:t>2023</w:t>
      </w:r>
      <w:r w:rsidRPr="00051876">
        <w:rPr>
          <w:rFonts w:hint="eastAsia"/>
          <w:sz w:val="24"/>
          <w:szCs w:val="24"/>
          <w:lang w:val="zh-CN"/>
        </w:rPr>
        <w:t>年支持各国完成基加利氢氟碳化物实施计划</w:t>
      </w:r>
      <w:r w:rsidRPr="00051876">
        <w:rPr>
          <w:rFonts w:hint="eastAsia"/>
          <w:sz w:val="24"/>
          <w:szCs w:val="24"/>
          <w:lang w:val="en-US"/>
        </w:rPr>
        <w:t>，</w:t>
      </w:r>
      <w:r w:rsidRPr="00051876">
        <w:rPr>
          <w:rFonts w:hint="eastAsia"/>
          <w:sz w:val="24"/>
          <w:szCs w:val="24"/>
          <w:lang w:val="zh-CN"/>
        </w:rPr>
        <w:t>并在得到执行委员会批准之后</w:t>
      </w:r>
      <w:r w:rsidRPr="00051876">
        <w:rPr>
          <w:rFonts w:hint="eastAsia"/>
          <w:sz w:val="24"/>
          <w:szCs w:val="24"/>
          <w:lang w:val="en-US"/>
        </w:rPr>
        <w:t>，</w:t>
      </w:r>
      <w:r w:rsidRPr="00051876">
        <w:rPr>
          <w:rFonts w:hint="eastAsia"/>
          <w:sz w:val="24"/>
          <w:szCs w:val="24"/>
          <w:lang w:val="zh-CN"/>
        </w:rPr>
        <w:t>启动基加利氢氟碳化物实施计划。</w:t>
      </w:r>
      <w:r w:rsidRPr="00051876">
        <w:rPr>
          <w:sz w:val="24"/>
          <w:szCs w:val="24"/>
        </w:rPr>
        <w:t xml:space="preserve"> </w:t>
      </w:r>
    </w:p>
    <w:p w14:paraId="366B6F28" w14:textId="77777777" w:rsidR="00375C62" w:rsidRPr="00051876" w:rsidRDefault="00375C62">
      <w:pPr>
        <w:pStyle w:val="Heading1"/>
        <w:rPr>
          <w:sz w:val="24"/>
          <w:szCs w:val="24"/>
        </w:rPr>
      </w:pPr>
      <w:r w:rsidRPr="00051876">
        <w:rPr>
          <w:rFonts w:hint="eastAsia"/>
          <w:sz w:val="24"/>
          <w:szCs w:val="24"/>
          <w:lang w:val="zh-CN"/>
        </w:rPr>
        <w:t>第一批基加利氢氟碳化物实施计划预计将于</w:t>
      </w:r>
      <w:r w:rsidRPr="00051876">
        <w:rPr>
          <w:sz w:val="24"/>
          <w:szCs w:val="24"/>
          <w:lang w:val="en-US"/>
        </w:rPr>
        <w:t>2023</w:t>
      </w:r>
      <w:r w:rsidRPr="00051876">
        <w:rPr>
          <w:rFonts w:hint="eastAsia"/>
          <w:sz w:val="24"/>
          <w:szCs w:val="24"/>
          <w:lang w:val="zh-CN"/>
        </w:rPr>
        <w:t>年开始实施。预计执行委员会将在</w:t>
      </w:r>
      <w:r w:rsidRPr="00051876">
        <w:rPr>
          <w:sz w:val="24"/>
          <w:szCs w:val="24"/>
          <w:lang w:val="zh-CN"/>
        </w:rPr>
        <w:t>2022</w:t>
      </w:r>
      <w:r w:rsidRPr="00051876">
        <w:rPr>
          <w:rFonts w:hint="eastAsia"/>
          <w:sz w:val="24"/>
          <w:szCs w:val="24"/>
          <w:lang w:val="zh-CN"/>
        </w:rPr>
        <w:t>年讨论与逐步减少氢氟碳化物相关的若干政策问题；通过这些讨论作出的决定将决定为基加利氢氟碳化物实施计划的执行、体制强化项目的未来活动和相关支助费用提供供资的水平。</w:t>
      </w:r>
    </w:p>
    <w:p w14:paraId="52941198" w14:textId="77777777" w:rsidR="00375C62" w:rsidRPr="00051876" w:rsidRDefault="00375C62">
      <w:pPr>
        <w:rPr>
          <w:sz w:val="24"/>
          <w:szCs w:val="24"/>
          <w:u w:val="single"/>
        </w:rPr>
      </w:pPr>
      <w:r w:rsidRPr="00051876">
        <w:rPr>
          <w:rFonts w:hint="eastAsia"/>
          <w:sz w:val="24"/>
          <w:szCs w:val="24"/>
          <w:u w:val="single"/>
          <w:lang w:val="zh-CN"/>
        </w:rPr>
        <w:t>结论</w:t>
      </w:r>
    </w:p>
    <w:p w14:paraId="1573D9AD" w14:textId="77777777" w:rsidR="00375C62" w:rsidRPr="00051876" w:rsidRDefault="00375C62">
      <w:pPr>
        <w:rPr>
          <w:sz w:val="24"/>
          <w:szCs w:val="24"/>
        </w:rPr>
      </w:pPr>
    </w:p>
    <w:p w14:paraId="18727314" w14:textId="77777777" w:rsidR="00375C62" w:rsidRPr="00051876" w:rsidRDefault="00375C62">
      <w:pPr>
        <w:pStyle w:val="Heading1"/>
        <w:rPr>
          <w:sz w:val="24"/>
          <w:szCs w:val="24"/>
        </w:rPr>
      </w:pPr>
      <w:r w:rsidRPr="00051876">
        <w:rPr>
          <w:rFonts w:hint="eastAsia"/>
          <w:sz w:val="24"/>
          <w:szCs w:val="24"/>
          <w:lang w:val="zh-CN"/>
        </w:rPr>
        <w:t>根据目前就逐步减少氢氟碳化物相关政策问题的磋商和当前为</w:t>
      </w:r>
      <w:r w:rsidRPr="00051876">
        <w:rPr>
          <w:sz w:val="24"/>
          <w:szCs w:val="24"/>
        </w:rPr>
        <w:t>2021-2023</w:t>
      </w:r>
      <w:r w:rsidRPr="00051876">
        <w:rPr>
          <w:rFonts w:hint="eastAsia"/>
          <w:sz w:val="24"/>
          <w:szCs w:val="24"/>
          <w:lang w:val="zh-CN"/>
        </w:rPr>
        <w:t>三年期拟定的计划</w:t>
      </w:r>
      <w:r w:rsidRPr="00051876">
        <w:rPr>
          <w:rFonts w:hint="eastAsia"/>
          <w:sz w:val="24"/>
          <w:szCs w:val="24"/>
        </w:rPr>
        <w:t>，</w:t>
      </w:r>
      <w:r w:rsidRPr="00051876">
        <w:rPr>
          <w:rFonts w:hint="eastAsia"/>
          <w:sz w:val="24"/>
          <w:szCs w:val="24"/>
          <w:lang w:val="zh-CN"/>
        </w:rPr>
        <w:t>秘书处认为将执行机构的行政支助费用维持在与</w:t>
      </w:r>
      <w:r w:rsidRPr="00051876">
        <w:rPr>
          <w:sz w:val="24"/>
          <w:szCs w:val="24"/>
        </w:rPr>
        <w:t>2018-2020</w:t>
      </w:r>
      <w:r w:rsidRPr="00051876">
        <w:rPr>
          <w:rFonts w:hint="eastAsia"/>
          <w:sz w:val="24"/>
          <w:szCs w:val="24"/>
          <w:lang w:val="zh-CN"/>
        </w:rPr>
        <w:t>三年期相同的水平</w:t>
      </w:r>
      <w:r w:rsidRPr="00051876">
        <w:rPr>
          <w:rFonts w:hint="eastAsia"/>
          <w:sz w:val="24"/>
          <w:szCs w:val="24"/>
        </w:rPr>
        <w:t>，</w:t>
      </w:r>
      <w:r w:rsidRPr="00051876">
        <w:rPr>
          <w:rFonts w:hint="eastAsia"/>
          <w:sz w:val="24"/>
          <w:szCs w:val="24"/>
          <w:lang w:val="zh-CN"/>
        </w:rPr>
        <w:t>可顺利在</w:t>
      </w:r>
      <w:r w:rsidRPr="00051876">
        <w:rPr>
          <w:sz w:val="24"/>
          <w:szCs w:val="24"/>
        </w:rPr>
        <w:t>2021-2023</w:t>
      </w:r>
      <w:r w:rsidRPr="00051876">
        <w:rPr>
          <w:rFonts w:hint="eastAsia"/>
          <w:sz w:val="24"/>
          <w:szCs w:val="24"/>
          <w:lang w:val="zh-CN"/>
        </w:rPr>
        <w:t>三年期推展项目活动的实施。秘书处进一步认为</w:t>
      </w:r>
      <w:r w:rsidRPr="00051876">
        <w:rPr>
          <w:rFonts w:hint="eastAsia"/>
          <w:sz w:val="24"/>
          <w:szCs w:val="24"/>
          <w:lang w:val="en-US"/>
        </w:rPr>
        <w:t>，</w:t>
      </w:r>
      <w:r w:rsidRPr="00051876">
        <w:rPr>
          <w:rFonts w:hint="eastAsia"/>
          <w:sz w:val="24"/>
          <w:szCs w:val="24"/>
          <w:lang w:val="zh-CN"/>
        </w:rPr>
        <w:t>根据与逐步减少氢氟碳化物相关的政策决定的结果</w:t>
      </w:r>
      <w:r w:rsidRPr="00051876">
        <w:rPr>
          <w:rFonts w:hint="eastAsia"/>
          <w:sz w:val="24"/>
          <w:szCs w:val="24"/>
          <w:lang w:val="en-US"/>
        </w:rPr>
        <w:t>，</w:t>
      </w:r>
      <w:r w:rsidRPr="00051876">
        <w:rPr>
          <w:rFonts w:hint="eastAsia"/>
          <w:sz w:val="24"/>
          <w:szCs w:val="24"/>
          <w:lang w:val="zh-CN"/>
        </w:rPr>
        <w:t>包括对多边基金机构和第</w:t>
      </w:r>
      <w:r w:rsidRPr="00051876">
        <w:rPr>
          <w:sz w:val="24"/>
          <w:szCs w:val="24"/>
          <w:lang w:val="en-US"/>
        </w:rPr>
        <w:t>5</w:t>
      </w:r>
      <w:r w:rsidRPr="00051876">
        <w:rPr>
          <w:rFonts w:hint="eastAsia"/>
          <w:sz w:val="24"/>
          <w:szCs w:val="24"/>
          <w:lang w:val="zh-CN"/>
        </w:rPr>
        <w:t>条国家解决逐步减少氢氟碳化物问题的能力分析</w:t>
      </w:r>
      <w:r w:rsidRPr="00051876">
        <w:rPr>
          <w:rFonts w:hint="eastAsia"/>
          <w:sz w:val="24"/>
          <w:szCs w:val="24"/>
          <w:lang w:val="en-US"/>
        </w:rPr>
        <w:t>，</w:t>
      </w:r>
      <w:r w:rsidRPr="00051876">
        <w:rPr>
          <w:rFonts w:hint="eastAsia"/>
          <w:sz w:val="24"/>
          <w:szCs w:val="24"/>
          <w:lang w:val="zh-CN"/>
        </w:rPr>
        <w:t>下一个三年期的行政费用机制应在</w:t>
      </w:r>
      <w:r w:rsidRPr="00051876">
        <w:rPr>
          <w:sz w:val="24"/>
          <w:szCs w:val="24"/>
          <w:lang w:val="en-US"/>
        </w:rPr>
        <w:t>2024-2026</w:t>
      </w:r>
      <w:r w:rsidRPr="00051876">
        <w:rPr>
          <w:rFonts w:hint="eastAsia"/>
          <w:sz w:val="24"/>
          <w:szCs w:val="24"/>
          <w:lang w:val="zh-CN"/>
        </w:rPr>
        <w:t>三年期进行审查。</w:t>
      </w:r>
      <w:r w:rsidRPr="00051876">
        <w:rPr>
          <w:sz w:val="24"/>
          <w:szCs w:val="24"/>
        </w:rPr>
        <w:t xml:space="preserve"> </w:t>
      </w:r>
    </w:p>
    <w:p w14:paraId="49771929" w14:textId="77777777" w:rsidR="006102BD" w:rsidRDefault="006102BD">
      <w:pPr>
        <w:jc w:val="left"/>
        <w:rPr>
          <w:b/>
          <w:sz w:val="24"/>
          <w:szCs w:val="24"/>
          <w:lang w:val="zh-CN"/>
        </w:rPr>
      </w:pPr>
      <w:r>
        <w:rPr>
          <w:b/>
          <w:sz w:val="24"/>
          <w:szCs w:val="24"/>
          <w:lang w:val="zh-CN"/>
        </w:rPr>
        <w:br w:type="page"/>
      </w:r>
    </w:p>
    <w:p w14:paraId="79B586B3" w14:textId="39A3516A" w:rsidR="00375C62" w:rsidRPr="00051876" w:rsidRDefault="00375C62">
      <w:pPr>
        <w:keepNext/>
        <w:rPr>
          <w:b/>
          <w:sz w:val="24"/>
          <w:szCs w:val="24"/>
        </w:rPr>
      </w:pPr>
      <w:r w:rsidRPr="00051876">
        <w:rPr>
          <w:rFonts w:hint="eastAsia"/>
          <w:b/>
          <w:sz w:val="24"/>
          <w:szCs w:val="24"/>
          <w:lang w:val="zh-CN"/>
        </w:rPr>
        <w:lastRenderedPageBreak/>
        <w:t>建议</w:t>
      </w:r>
    </w:p>
    <w:p w14:paraId="43FD8952" w14:textId="77777777" w:rsidR="00375C62" w:rsidRPr="00051876" w:rsidRDefault="00375C62">
      <w:pPr>
        <w:keepNext/>
        <w:rPr>
          <w:sz w:val="24"/>
          <w:szCs w:val="24"/>
        </w:rPr>
      </w:pPr>
    </w:p>
    <w:p w14:paraId="7089F836" w14:textId="77777777" w:rsidR="00375C62" w:rsidRPr="00051876" w:rsidRDefault="00375C62">
      <w:pPr>
        <w:pStyle w:val="Heading1"/>
        <w:rPr>
          <w:sz w:val="24"/>
          <w:szCs w:val="24"/>
        </w:rPr>
      </w:pPr>
      <w:r w:rsidRPr="00051876">
        <w:rPr>
          <w:rFonts w:hint="eastAsia"/>
          <w:sz w:val="24"/>
          <w:szCs w:val="24"/>
          <w:lang w:val="zh-CN"/>
        </w:rPr>
        <w:t>谨请执行委员会：</w:t>
      </w:r>
    </w:p>
    <w:p w14:paraId="78041F42" w14:textId="77777777" w:rsidR="00375C62" w:rsidRPr="00051876" w:rsidRDefault="00375C62">
      <w:pPr>
        <w:pStyle w:val="Heading2"/>
        <w:numPr>
          <w:ilvl w:val="1"/>
          <w:numId w:val="1"/>
        </w:numPr>
        <w:rPr>
          <w:sz w:val="24"/>
          <w:szCs w:val="24"/>
        </w:rPr>
      </w:pPr>
      <w:r w:rsidRPr="00051876">
        <w:rPr>
          <w:rFonts w:hint="eastAsia"/>
          <w:sz w:val="24"/>
          <w:szCs w:val="24"/>
          <w:lang w:val="zh-CN"/>
        </w:rPr>
        <w:t>注意到</w:t>
      </w:r>
      <w:r w:rsidRPr="00051876">
        <w:rPr>
          <w:sz w:val="24"/>
          <w:szCs w:val="24"/>
        </w:rPr>
        <w:t>UNEP/</w:t>
      </w:r>
      <w:proofErr w:type="spellStart"/>
      <w:r w:rsidRPr="00051876">
        <w:rPr>
          <w:sz w:val="24"/>
          <w:szCs w:val="24"/>
        </w:rPr>
        <w:t>OzL.Pro</w:t>
      </w:r>
      <w:proofErr w:type="spellEnd"/>
      <w:r w:rsidRPr="00051876">
        <w:rPr>
          <w:sz w:val="24"/>
          <w:szCs w:val="24"/>
        </w:rPr>
        <w:t>/</w:t>
      </w:r>
      <w:proofErr w:type="spellStart"/>
      <w:r w:rsidRPr="00051876">
        <w:rPr>
          <w:sz w:val="24"/>
          <w:szCs w:val="24"/>
        </w:rPr>
        <w:t>ExCom</w:t>
      </w:r>
      <w:proofErr w:type="spellEnd"/>
      <w:r w:rsidRPr="00051876">
        <w:rPr>
          <w:sz w:val="24"/>
          <w:szCs w:val="24"/>
        </w:rPr>
        <w:t>/88/68</w:t>
      </w:r>
      <w:r w:rsidRPr="00051876">
        <w:rPr>
          <w:rFonts w:hint="eastAsia"/>
          <w:sz w:val="24"/>
          <w:szCs w:val="24"/>
          <w:lang w:val="zh-CN"/>
        </w:rPr>
        <w:t>号文件所载关于行政费用机制和核心单位供资分析的信息</w:t>
      </w:r>
      <w:r w:rsidRPr="00051876">
        <w:rPr>
          <w:rFonts w:hint="eastAsia"/>
          <w:sz w:val="24"/>
          <w:szCs w:val="24"/>
        </w:rPr>
        <w:t>（</w:t>
      </w:r>
      <w:r w:rsidRPr="00051876">
        <w:rPr>
          <w:rFonts w:hint="eastAsia"/>
          <w:sz w:val="24"/>
          <w:szCs w:val="24"/>
          <w:lang w:val="zh-CN"/>
        </w:rPr>
        <w:t>第</w:t>
      </w:r>
      <w:r w:rsidRPr="00051876">
        <w:rPr>
          <w:sz w:val="24"/>
          <w:szCs w:val="24"/>
        </w:rPr>
        <w:t>84/61</w:t>
      </w:r>
      <w:r w:rsidRPr="00051876">
        <w:rPr>
          <w:rFonts w:hint="eastAsia"/>
          <w:sz w:val="24"/>
          <w:szCs w:val="24"/>
          <w:lang w:val="zh-CN"/>
        </w:rPr>
        <w:t>号决定</w:t>
      </w:r>
      <w:r w:rsidRPr="00051876">
        <w:rPr>
          <w:rFonts w:hint="eastAsia"/>
          <w:sz w:val="24"/>
          <w:szCs w:val="24"/>
        </w:rPr>
        <w:t>（</w:t>
      </w:r>
      <w:r w:rsidRPr="00051876">
        <w:rPr>
          <w:sz w:val="24"/>
          <w:szCs w:val="24"/>
        </w:rPr>
        <w:t>c</w:t>
      </w:r>
      <w:r w:rsidRPr="00051876">
        <w:rPr>
          <w:rFonts w:hint="eastAsia"/>
          <w:sz w:val="24"/>
          <w:szCs w:val="24"/>
        </w:rPr>
        <w:t>）</w:t>
      </w:r>
      <w:r w:rsidRPr="00051876">
        <w:rPr>
          <w:rFonts w:hint="eastAsia"/>
          <w:sz w:val="24"/>
          <w:szCs w:val="24"/>
          <w:lang w:val="zh-CN"/>
        </w:rPr>
        <w:t>段</w:t>
      </w:r>
      <w:r w:rsidRPr="00051876">
        <w:rPr>
          <w:rFonts w:hint="eastAsia"/>
          <w:sz w:val="24"/>
          <w:szCs w:val="24"/>
        </w:rPr>
        <w:t>）；</w:t>
      </w:r>
    </w:p>
    <w:p w14:paraId="513019B1" w14:textId="77777777" w:rsidR="00375C62" w:rsidRPr="00051876" w:rsidRDefault="00375C62">
      <w:pPr>
        <w:pStyle w:val="Heading2"/>
        <w:numPr>
          <w:ilvl w:val="1"/>
          <w:numId w:val="1"/>
        </w:numPr>
        <w:rPr>
          <w:sz w:val="24"/>
          <w:szCs w:val="24"/>
        </w:rPr>
      </w:pPr>
      <w:r w:rsidRPr="00051876">
        <w:rPr>
          <w:rFonts w:hint="eastAsia"/>
          <w:sz w:val="24"/>
          <w:szCs w:val="24"/>
          <w:lang w:val="zh-CN"/>
        </w:rPr>
        <w:t>允许双边和执行机构继续对</w:t>
      </w:r>
      <w:r w:rsidRPr="00051876">
        <w:rPr>
          <w:sz w:val="24"/>
          <w:szCs w:val="24"/>
        </w:rPr>
        <w:t>2022</w:t>
      </w:r>
      <w:r w:rsidRPr="00051876">
        <w:rPr>
          <w:rFonts w:hint="eastAsia"/>
          <w:sz w:val="24"/>
          <w:szCs w:val="24"/>
          <w:lang w:val="zh-CN"/>
        </w:rPr>
        <w:t>年和</w:t>
      </w:r>
      <w:r w:rsidRPr="00051876">
        <w:rPr>
          <w:sz w:val="24"/>
          <w:szCs w:val="24"/>
        </w:rPr>
        <w:t>2023</w:t>
      </w:r>
      <w:r w:rsidRPr="00051876">
        <w:rPr>
          <w:rFonts w:hint="eastAsia"/>
          <w:sz w:val="24"/>
          <w:szCs w:val="24"/>
          <w:lang w:val="zh-CN"/>
        </w:rPr>
        <w:t>年提交的项目使用现有行政费用机制</w:t>
      </w:r>
      <w:r w:rsidRPr="00051876">
        <w:rPr>
          <w:rFonts w:hint="eastAsia"/>
          <w:sz w:val="24"/>
          <w:szCs w:val="24"/>
        </w:rPr>
        <w:t>；</w:t>
      </w:r>
      <w:r w:rsidRPr="00051876">
        <w:rPr>
          <w:rFonts w:hint="eastAsia"/>
          <w:sz w:val="24"/>
          <w:szCs w:val="24"/>
          <w:lang w:val="zh-CN"/>
        </w:rPr>
        <w:t>和</w:t>
      </w:r>
    </w:p>
    <w:p w14:paraId="3D5678BD" w14:textId="77777777" w:rsidR="00375C62" w:rsidRPr="00051876" w:rsidRDefault="00375C62">
      <w:pPr>
        <w:pStyle w:val="Heading2"/>
        <w:numPr>
          <w:ilvl w:val="1"/>
          <w:numId w:val="1"/>
        </w:numPr>
        <w:rPr>
          <w:sz w:val="24"/>
          <w:szCs w:val="24"/>
        </w:rPr>
      </w:pPr>
      <w:r w:rsidRPr="00051876">
        <w:rPr>
          <w:rFonts w:hint="eastAsia"/>
          <w:sz w:val="24"/>
          <w:szCs w:val="24"/>
          <w:lang w:val="zh-CN"/>
        </w:rPr>
        <w:t>请秘书处向</w:t>
      </w:r>
      <w:r w:rsidRPr="00051876">
        <w:rPr>
          <w:sz w:val="24"/>
          <w:szCs w:val="24"/>
        </w:rPr>
        <w:t>2023</w:t>
      </w:r>
      <w:r w:rsidRPr="00051876">
        <w:rPr>
          <w:rFonts w:hint="eastAsia"/>
          <w:sz w:val="24"/>
          <w:szCs w:val="24"/>
          <w:lang w:val="zh-CN"/>
        </w:rPr>
        <w:t>年最后一次会议提交关于行政费用机制和核心单位供资的分析</w:t>
      </w:r>
      <w:r w:rsidRPr="00051876">
        <w:rPr>
          <w:rFonts w:hint="eastAsia"/>
          <w:sz w:val="24"/>
          <w:szCs w:val="24"/>
        </w:rPr>
        <w:t>，</w:t>
      </w:r>
      <w:r w:rsidRPr="00051876">
        <w:rPr>
          <w:rFonts w:hint="eastAsia"/>
          <w:sz w:val="24"/>
          <w:szCs w:val="24"/>
          <w:lang w:val="zh-CN"/>
        </w:rPr>
        <w:t>同时考虑到执行委员会的相关决定</w:t>
      </w:r>
      <w:r w:rsidRPr="00051876">
        <w:rPr>
          <w:rFonts w:hint="eastAsia"/>
          <w:sz w:val="24"/>
          <w:szCs w:val="24"/>
        </w:rPr>
        <w:t>，</w:t>
      </w:r>
      <w:r w:rsidRPr="00051876">
        <w:rPr>
          <w:rFonts w:hint="eastAsia"/>
          <w:sz w:val="24"/>
          <w:szCs w:val="24"/>
          <w:lang w:val="zh-CN"/>
        </w:rPr>
        <w:t>包括</w:t>
      </w:r>
      <w:r w:rsidRPr="00051876">
        <w:rPr>
          <w:sz w:val="24"/>
          <w:szCs w:val="24"/>
        </w:rPr>
        <w:t>2023</w:t>
      </w:r>
      <w:r w:rsidRPr="00051876">
        <w:rPr>
          <w:rFonts w:hint="eastAsia"/>
          <w:sz w:val="24"/>
          <w:szCs w:val="24"/>
          <w:lang w:val="zh-CN"/>
        </w:rPr>
        <w:t>年最后一次会议之前的会议作出的决定</w:t>
      </w:r>
      <w:r w:rsidRPr="00051876">
        <w:rPr>
          <w:rFonts w:hint="eastAsia"/>
          <w:sz w:val="24"/>
          <w:szCs w:val="24"/>
        </w:rPr>
        <w:t>，</w:t>
      </w:r>
      <w:r w:rsidRPr="00051876">
        <w:rPr>
          <w:rFonts w:hint="eastAsia"/>
          <w:sz w:val="24"/>
          <w:szCs w:val="24"/>
          <w:lang w:val="zh-CN"/>
        </w:rPr>
        <w:t>并在这些决定的基础上</w:t>
      </w:r>
      <w:r w:rsidRPr="00051876">
        <w:rPr>
          <w:rFonts w:hint="eastAsia"/>
          <w:sz w:val="24"/>
          <w:szCs w:val="24"/>
        </w:rPr>
        <w:t>，</w:t>
      </w:r>
      <w:r w:rsidRPr="00051876">
        <w:rPr>
          <w:rFonts w:hint="eastAsia"/>
          <w:sz w:val="24"/>
          <w:szCs w:val="24"/>
          <w:lang w:val="zh-CN"/>
        </w:rPr>
        <w:t>执行委员会将决定多边基金</w:t>
      </w:r>
      <w:r w:rsidRPr="00051876">
        <w:rPr>
          <w:sz w:val="24"/>
          <w:szCs w:val="24"/>
        </w:rPr>
        <w:t>2021−2023</w:t>
      </w:r>
      <w:r w:rsidRPr="00051876">
        <w:rPr>
          <w:rFonts w:hint="eastAsia"/>
          <w:sz w:val="24"/>
          <w:szCs w:val="24"/>
          <w:lang w:val="zh-CN"/>
        </w:rPr>
        <w:t>三年期的行政费用机制是否应用于</w:t>
      </w:r>
      <w:r w:rsidRPr="00051876">
        <w:rPr>
          <w:sz w:val="24"/>
          <w:szCs w:val="24"/>
        </w:rPr>
        <w:t>2024-2026</w:t>
      </w:r>
      <w:r w:rsidRPr="00051876">
        <w:rPr>
          <w:rFonts w:hint="eastAsia"/>
          <w:sz w:val="24"/>
          <w:szCs w:val="24"/>
          <w:lang w:val="zh-CN"/>
        </w:rPr>
        <w:t>三年期。</w:t>
      </w:r>
    </w:p>
    <w:tbl>
      <w:tblPr>
        <w:tblW w:w="0" w:type="auto"/>
        <w:jc w:val="center"/>
        <w:tblLayout w:type="fixed"/>
        <w:tblLook w:val="00A0" w:firstRow="1" w:lastRow="0" w:firstColumn="1" w:lastColumn="0" w:noHBand="0" w:noVBand="0"/>
      </w:tblPr>
      <w:tblGrid>
        <w:gridCol w:w="1871"/>
        <w:gridCol w:w="1872"/>
        <w:gridCol w:w="1872"/>
        <w:gridCol w:w="1872"/>
        <w:gridCol w:w="1873"/>
      </w:tblGrid>
      <w:tr w:rsidR="00375C62" w14:paraId="080CA00D" w14:textId="77777777">
        <w:trPr>
          <w:jc w:val="center"/>
        </w:trPr>
        <w:tc>
          <w:tcPr>
            <w:tcW w:w="1871" w:type="dxa"/>
          </w:tcPr>
          <w:p w14:paraId="3962B18B" w14:textId="77777777" w:rsidR="00375C62" w:rsidRDefault="00375C62">
            <w:pPr>
              <w:rPr>
                <w:szCs w:val="24"/>
              </w:rPr>
            </w:pPr>
          </w:p>
        </w:tc>
        <w:tc>
          <w:tcPr>
            <w:tcW w:w="1872" w:type="dxa"/>
          </w:tcPr>
          <w:p w14:paraId="1A41F4E5" w14:textId="77777777" w:rsidR="00375C62" w:rsidRDefault="00375C62">
            <w:pPr>
              <w:rPr>
                <w:szCs w:val="24"/>
              </w:rPr>
            </w:pPr>
          </w:p>
        </w:tc>
        <w:tc>
          <w:tcPr>
            <w:tcW w:w="1872" w:type="dxa"/>
            <w:tcBorders>
              <w:bottom w:val="single" w:sz="4" w:space="0" w:color="auto"/>
            </w:tcBorders>
          </w:tcPr>
          <w:p w14:paraId="6F5CAF09" w14:textId="77777777" w:rsidR="00375C62" w:rsidRDefault="00375C62">
            <w:pPr>
              <w:rPr>
                <w:szCs w:val="24"/>
              </w:rPr>
            </w:pPr>
          </w:p>
        </w:tc>
        <w:tc>
          <w:tcPr>
            <w:tcW w:w="1872" w:type="dxa"/>
          </w:tcPr>
          <w:p w14:paraId="51B3CECD" w14:textId="77777777" w:rsidR="00375C62" w:rsidRDefault="00375C62">
            <w:pPr>
              <w:rPr>
                <w:szCs w:val="24"/>
              </w:rPr>
            </w:pPr>
          </w:p>
        </w:tc>
        <w:tc>
          <w:tcPr>
            <w:tcW w:w="1873" w:type="dxa"/>
          </w:tcPr>
          <w:p w14:paraId="7A1162EA" w14:textId="77777777" w:rsidR="00375C62" w:rsidRDefault="00375C62">
            <w:pPr>
              <w:rPr>
                <w:szCs w:val="24"/>
              </w:rPr>
            </w:pPr>
          </w:p>
        </w:tc>
      </w:tr>
    </w:tbl>
    <w:p w14:paraId="6764BBB5" w14:textId="77777777" w:rsidR="00375C62" w:rsidRDefault="00375C62">
      <w:pPr>
        <w:rPr>
          <w:szCs w:val="24"/>
        </w:rPr>
      </w:pPr>
    </w:p>
    <w:sectPr w:rsidR="00375C62" w:rsidSect="00375C62">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31D1C" w14:textId="77777777" w:rsidR="005C0ACF" w:rsidRDefault="005C0ACF">
      <w:pPr>
        <w:rPr>
          <w:szCs w:val="24"/>
        </w:rPr>
      </w:pPr>
      <w:r>
        <w:rPr>
          <w:szCs w:val="24"/>
        </w:rPr>
        <w:separator/>
      </w:r>
    </w:p>
  </w:endnote>
  <w:endnote w:type="continuationSeparator" w:id="0">
    <w:p w14:paraId="400E2A9F" w14:textId="77777777" w:rsidR="005C0ACF" w:rsidRDefault="005C0AC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FDCA9" w14:textId="2DFE8664" w:rsidR="00375C62" w:rsidRDefault="00375C62">
    <w:pPr>
      <w:jc w:val="center"/>
      <w:rPr>
        <w:szCs w:val="24"/>
      </w:rPr>
    </w:pPr>
    <w:r>
      <w:rPr>
        <w:szCs w:val="24"/>
      </w:rPr>
      <w:fldChar w:fldCharType="begin"/>
    </w:r>
    <w:r>
      <w:rPr>
        <w:szCs w:val="24"/>
      </w:rPr>
      <w:instrText xml:space="preserve"> PAGE </w:instrText>
    </w:r>
    <w:r>
      <w:rPr>
        <w:szCs w:val="24"/>
      </w:rPr>
      <w:fldChar w:fldCharType="separate"/>
    </w:r>
    <w:r w:rsidR="006102BD">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59197" w14:textId="14E0DB2F" w:rsidR="00375C62" w:rsidRDefault="00375C62">
    <w:pPr>
      <w:jc w:val="center"/>
      <w:rPr>
        <w:szCs w:val="24"/>
      </w:rPr>
    </w:pPr>
    <w:r>
      <w:rPr>
        <w:szCs w:val="24"/>
      </w:rPr>
      <w:fldChar w:fldCharType="begin"/>
    </w:r>
    <w:r>
      <w:rPr>
        <w:szCs w:val="24"/>
      </w:rPr>
      <w:instrText xml:space="preserve"> PAGE </w:instrText>
    </w:r>
    <w:r>
      <w:rPr>
        <w:szCs w:val="24"/>
      </w:rPr>
      <w:fldChar w:fldCharType="separate"/>
    </w:r>
    <w:r w:rsidR="006102BD">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3575F" w14:textId="77777777" w:rsidR="00375C62" w:rsidRDefault="00375C62" w:rsidP="00FA10F3">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78FBE08D" w14:textId="77777777" w:rsidR="00375C62" w:rsidRPr="00FA10F3" w:rsidRDefault="00375C62" w:rsidP="00FA10F3">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0D378" w14:textId="77777777" w:rsidR="005C0ACF" w:rsidRDefault="005C0ACF">
      <w:pPr>
        <w:rPr>
          <w:szCs w:val="24"/>
        </w:rPr>
      </w:pPr>
      <w:r>
        <w:rPr>
          <w:szCs w:val="24"/>
        </w:rPr>
        <w:separator/>
      </w:r>
    </w:p>
  </w:footnote>
  <w:footnote w:type="continuationSeparator" w:id="0">
    <w:p w14:paraId="798FC472" w14:textId="77777777" w:rsidR="005C0ACF" w:rsidRDefault="005C0ACF">
      <w:pPr>
        <w:rPr>
          <w:szCs w:val="24"/>
        </w:rPr>
      </w:pPr>
      <w:r>
        <w:rPr>
          <w:szCs w:val="24"/>
        </w:rPr>
        <w:continuationSeparator/>
      </w:r>
    </w:p>
  </w:footnote>
  <w:footnote w:id="1">
    <w:p w14:paraId="46EAABF0" w14:textId="77777777" w:rsidR="00375C62" w:rsidRDefault="00375C62">
      <w:pPr>
        <w:pStyle w:val="FootnoteText"/>
      </w:pPr>
      <w:r w:rsidRPr="00051876">
        <w:rPr>
          <w:rStyle w:val="FootnoteReference"/>
          <w:szCs w:val="24"/>
        </w:rPr>
        <w:footnoteRef/>
      </w:r>
      <w:r w:rsidRPr="00051876">
        <w:rPr>
          <w:szCs w:val="24"/>
        </w:rPr>
        <w:t xml:space="preserve"> </w:t>
      </w:r>
      <w:r w:rsidRPr="00051876">
        <w:rPr>
          <w:rFonts w:hint="eastAsia"/>
          <w:szCs w:val="24"/>
          <w:lang w:val="zh-CN"/>
        </w:rPr>
        <w:t>由于</w:t>
      </w:r>
      <w:r w:rsidRPr="00051876">
        <w:rPr>
          <w:szCs w:val="24"/>
          <w:lang w:val="zh-CN"/>
        </w:rPr>
        <w:t>2019</w:t>
      </w:r>
      <w:r w:rsidRPr="00051876">
        <w:rPr>
          <w:rFonts w:hint="eastAsia"/>
          <w:szCs w:val="24"/>
          <w:lang w:val="zh-CN"/>
        </w:rPr>
        <w:t>年冠状病毒病（</w:t>
      </w:r>
      <w:r w:rsidRPr="00051876">
        <w:rPr>
          <w:szCs w:val="24"/>
          <w:lang w:val="zh-CN"/>
        </w:rPr>
        <w:t>COVID-19</w:t>
      </w:r>
      <w:r w:rsidRPr="00051876">
        <w:rPr>
          <w:rFonts w:hint="eastAsia"/>
          <w:szCs w:val="24"/>
          <w:lang w:val="zh-CN"/>
        </w:rPr>
        <w:t>），将于</w:t>
      </w:r>
      <w:r w:rsidRPr="00051876">
        <w:rPr>
          <w:szCs w:val="24"/>
          <w:lang w:val="zh-CN"/>
        </w:rPr>
        <w:t>2021</w:t>
      </w:r>
      <w:r w:rsidRPr="00051876">
        <w:rPr>
          <w:rFonts w:hint="eastAsia"/>
          <w:szCs w:val="24"/>
          <w:lang w:val="zh-CN"/>
        </w:rPr>
        <w:t>年</w:t>
      </w:r>
      <w:r w:rsidRPr="00051876">
        <w:rPr>
          <w:szCs w:val="24"/>
          <w:lang w:val="zh-CN"/>
        </w:rPr>
        <w:t>11</w:t>
      </w:r>
      <w:r w:rsidRPr="00051876">
        <w:rPr>
          <w:rFonts w:hint="eastAsia"/>
          <w:szCs w:val="24"/>
          <w:lang w:val="zh-CN"/>
        </w:rPr>
        <w:t>月和</w:t>
      </w:r>
      <w:r w:rsidRPr="00051876">
        <w:rPr>
          <w:szCs w:val="24"/>
          <w:lang w:val="zh-CN"/>
        </w:rPr>
        <w:t>12</w:t>
      </w:r>
      <w:r w:rsidRPr="00051876">
        <w:rPr>
          <w:rFonts w:hint="eastAsia"/>
          <w:szCs w:val="24"/>
          <w:lang w:val="zh-CN"/>
        </w:rPr>
        <w:t>月举行在线会议和闭会期间批准程序。</w:t>
      </w:r>
    </w:p>
  </w:footnote>
  <w:footnote w:id="2">
    <w:p w14:paraId="33D2EB9B" w14:textId="77777777" w:rsidR="00375C62" w:rsidRDefault="00375C62">
      <w:pPr>
        <w:pStyle w:val="FootnoteText"/>
      </w:pPr>
      <w:r w:rsidRPr="00051876">
        <w:rPr>
          <w:rStyle w:val="FootnoteReference"/>
          <w:szCs w:val="24"/>
        </w:rPr>
        <w:footnoteRef/>
      </w:r>
      <w:r w:rsidRPr="00051876">
        <w:rPr>
          <w:szCs w:val="24"/>
        </w:rPr>
        <w:t xml:space="preserve">  IAP-86</w:t>
      </w:r>
      <w:r w:rsidRPr="00051876">
        <w:rPr>
          <w:rFonts w:hint="eastAsia"/>
          <w:szCs w:val="24"/>
          <w:lang w:val="zh-CN"/>
        </w:rPr>
        <w:t>在</w:t>
      </w:r>
      <w:smartTag w:uri="urn:schemas-microsoft-com:office:smarttags" w:element="chsdate">
        <w:smartTagPr>
          <w:attr w:name="Year" w:val="2020"/>
          <w:attr w:name="Month" w:val="11"/>
          <w:attr w:name="Day" w:val="16"/>
          <w:attr w:name="IsLunarDate" w:val="False"/>
          <w:attr w:name="IsROCDate" w:val="False"/>
        </w:smartTagPr>
        <w:r w:rsidRPr="00051876">
          <w:rPr>
            <w:szCs w:val="24"/>
          </w:rPr>
          <w:t>2020</w:t>
        </w:r>
        <w:r w:rsidRPr="00051876">
          <w:rPr>
            <w:rFonts w:hint="eastAsia"/>
            <w:szCs w:val="24"/>
            <w:lang w:val="zh-CN"/>
          </w:rPr>
          <w:t>年</w:t>
        </w:r>
        <w:r w:rsidRPr="00051876">
          <w:rPr>
            <w:szCs w:val="24"/>
          </w:rPr>
          <w:t>11</w:t>
        </w:r>
        <w:r w:rsidRPr="00051876">
          <w:rPr>
            <w:rFonts w:hint="eastAsia"/>
            <w:szCs w:val="24"/>
            <w:lang w:val="zh-CN"/>
          </w:rPr>
          <w:t>月</w:t>
        </w:r>
        <w:r w:rsidRPr="00051876">
          <w:rPr>
            <w:szCs w:val="24"/>
          </w:rPr>
          <w:t>16</w:t>
        </w:r>
        <w:r w:rsidRPr="00051876">
          <w:rPr>
            <w:rFonts w:hint="eastAsia"/>
            <w:szCs w:val="24"/>
            <w:lang w:val="zh-CN"/>
          </w:rPr>
          <w:t>日</w:t>
        </w:r>
      </w:smartTag>
      <w:r w:rsidRPr="00051876">
        <w:rPr>
          <w:rFonts w:hint="eastAsia"/>
          <w:szCs w:val="24"/>
          <w:lang w:val="zh-CN"/>
        </w:rPr>
        <w:t>至</w:t>
      </w:r>
      <w:smartTag w:uri="urn:schemas-microsoft-com:office:smarttags" w:element="chsdate">
        <w:smartTagPr>
          <w:attr w:name="Year" w:val="2021"/>
          <w:attr w:name="Month" w:val="12"/>
          <w:attr w:name="Day" w:val="3"/>
          <w:attr w:name="IsLunarDate" w:val="False"/>
          <w:attr w:name="IsROCDate" w:val="False"/>
        </w:smartTagPr>
        <w:r w:rsidRPr="00051876">
          <w:rPr>
            <w:szCs w:val="24"/>
          </w:rPr>
          <w:t>12</w:t>
        </w:r>
        <w:r w:rsidRPr="00051876">
          <w:rPr>
            <w:rFonts w:hint="eastAsia"/>
            <w:szCs w:val="24"/>
            <w:lang w:val="zh-CN"/>
          </w:rPr>
          <w:t>月</w:t>
        </w:r>
        <w:r w:rsidRPr="00051876">
          <w:rPr>
            <w:szCs w:val="24"/>
          </w:rPr>
          <w:t>3</w:t>
        </w:r>
        <w:r w:rsidRPr="00051876">
          <w:rPr>
            <w:rFonts w:hint="eastAsia"/>
            <w:szCs w:val="24"/>
            <w:lang w:val="zh-CN"/>
          </w:rPr>
          <w:t>日</w:t>
        </w:r>
      </w:smartTag>
      <w:r w:rsidRPr="00051876">
        <w:rPr>
          <w:rFonts w:hint="eastAsia"/>
          <w:szCs w:val="24"/>
          <w:lang w:val="zh-CN"/>
        </w:rPr>
        <w:t>举行。</w:t>
      </w:r>
    </w:p>
  </w:footnote>
  <w:footnote w:id="3">
    <w:p w14:paraId="3DA575D8" w14:textId="77777777" w:rsidR="00375C62" w:rsidRDefault="00375C62">
      <w:pPr>
        <w:pStyle w:val="FootnoteText"/>
      </w:pPr>
      <w:r w:rsidRPr="00051876">
        <w:rPr>
          <w:rStyle w:val="FootnoteReference"/>
          <w:szCs w:val="24"/>
        </w:rPr>
        <w:footnoteRef/>
      </w:r>
      <w:r w:rsidRPr="00051876">
        <w:rPr>
          <w:szCs w:val="24"/>
        </w:rPr>
        <w:t xml:space="preserve"> UNEP/</w:t>
      </w:r>
      <w:proofErr w:type="spellStart"/>
      <w:r w:rsidRPr="00051876">
        <w:rPr>
          <w:szCs w:val="24"/>
        </w:rPr>
        <w:t>OzL.Pro</w:t>
      </w:r>
      <w:proofErr w:type="spellEnd"/>
      <w:r w:rsidRPr="00051876">
        <w:rPr>
          <w:szCs w:val="24"/>
        </w:rPr>
        <w:t>/</w:t>
      </w:r>
      <w:proofErr w:type="spellStart"/>
      <w:r w:rsidRPr="00051876">
        <w:rPr>
          <w:szCs w:val="24"/>
        </w:rPr>
        <w:t>ExCom</w:t>
      </w:r>
      <w:proofErr w:type="spellEnd"/>
      <w:r w:rsidRPr="00051876">
        <w:rPr>
          <w:szCs w:val="24"/>
        </w:rPr>
        <w:t>/86/36</w:t>
      </w:r>
      <w:r w:rsidRPr="00051876">
        <w:rPr>
          <w:rFonts w:hint="eastAsia"/>
          <w:szCs w:val="24"/>
          <w:lang w:val="zh-CN"/>
        </w:rPr>
        <w:t>。</w:t>
      </w:r>
    </w:p>
  </w:footnote>
  <w:footnote w:id="4">
    <w:p w14:paraId="0FA6C5D3" w14:textId="77777777" w:rsidR="00375C62" w:rsidRDefault="00375C62">
      <w:pPr>
        <w:pStyle w:val="FootnoteText"/>
      </w:pPr>
      <w:r w:rsidRPr="00051876">
        <w:rPr>
          <w:rStyle w:val="FootnoteReference"/>
          <w:szCs w:val="24"/>
        </w:rPr>
        <w:footnoteRef/>
      </w:r>
      <w:r w:rsidRPr="00051876">
        <w:rPr>
          <w:szCs w:val="24"/>
        </w:rPr>
        <w:t xml:space="preserve"> UNEP/</w:t>
      </w:r>
      <w:proofErr w:type="spellStart"/>
      <w:r w:rsidRPr="00051876">
        <w:rPr>
          <w:szCs w:val="24"/>
        </w:rPr>
        <w:t>OzL.Pro</w:t>
      </w:r>
      <w:proofErr w:type="spellEnd"/>
      <w:r w:rsidRPr="00051876">
        <w:rPr>
          <w:szCs w:val="24"/>
        </w:rPr>
        <w:t>/</w:t>
      </w:r>
      <w:proofErr w:type="spellStart"/>
      <w:r w:rsidRPr="00051876">
        <w:rPr>
          <w:szCs w:val="24"/>
        </w:rPr>
        <w:t>ExCom</w:t>
      </w:r>
      <w:proofErr w:type="spellEnd"/>
      <w:r w:rsidRPr="00051876">
        <w:rPr>
          <w:szCs w:val="24"/>
        </w:rPr>
        <w:t>/86/37</w:t>
      </w:r>
      <w:r w:rsidRPr="00051876">
        <w:rPr>
          <w:rFonts w:hint="eastAsia"/>
          <w:szCs w:val="24"/>
          <w:lang w:val="zh-CN"/>
        </w:rPr>
        <w:t>。</w:t>
      </w:r>
    </w:p>
  </w:footnote>
  <w:footnote w:id="5">
    <w:p w14:paraId="0BFFE7C7" w14:textId="77777777" w:rsidR="00375C62" w:rsidRDefault="00375C62">
      <w:pPr>
        <w:pStyle w:val="FootnoteText"/>
      </w:pPr>
      <w:r w:rsidRPr="00051876">
        <w:rPr>
          <w:rStyle w:val="FootnoteReference"/>
          <w:szCs w:val="24"/>
        </w:rPr>
        <w:footnoteRef/>
      </w:r>
      <w:r w:rsidRPr="00051876">
        <w:rPr>
          <w:szCs w:val="24"/>
        </w:rPr>
        <w:t xml:space="preserve"> </w:t>
      </w:r>
      <w:r w:rsidRPr="00051876">
        <w:rPr>
          <w:szCs w:val="24"/>
          <w:lang w:val="en-US"/>
        </w:rPr>
        <w:t xml:space="preserve"> IAP-86ext</w:t>
      </w:r>
      <w:r w:rsidRPr="00051876">
        <w:rPr>
          <w:rFonts w:hint="eastAsia"/>
          <w:szCs w:val="24"/>
          <w:lang w:val="zh-CN"/>
        </w:rPr>
        <w:t>在</w:t>
      </w:r>
      <w:smartTag w:uri="urn:schemas-microsoft-com:office:smarttags" w:element="chsdate">
        <w:smartTagPr>
          <w:attr w:name="Year" w:val="2021"/>
          <w:attr w:name="Month" w:val="3"/>
          <w:attr w:name="Day" w:val="29"/>
          <w:attr w:name="IsLunarDate" w:val="False"/>
          <w:attr w:name="IsROCDate" w:val="False"/>
        </w:smartTagPr>
        <w:r w:rsidRPr="00051876">
          <w:rPr>
            <w:szCs w:val="24"/>
            <w:lang w:val="en-US"/>
          </w:rPr>
          <w:t>2021</w:t>
        </w:r>
        <w:r w:rsidRPr="00051876">
          <w:rPr>
            <w:rFonts w:hint="eastAsia"/>
            <w:szCs w:val="24"/>
            <w:lang w:val="zh-CN"/>
          </w:rPr>
          <w:t>年</w:t>
        </w:r>
        <w:r w:rsidRPr="00051876">
          <w:rPr>
            <w:szCs w:val="24"/>
            <w:lang w:val="en-US"/>
          </w:rPr>
          <w:t>3</w:t>
        </w:r>
        <w:r w:rsidRPr="00051876">
          <w:rPr>
            <w:rFonts w:hint="eastAsia"/>
            <w:szCs w:val="24"/>
            <w:lang w:val="zh-CN"/>
          </w:rPr>
          <w:t>月</w:t>
        </w:r>
        <w:r w:rsidRPr="00051876">
          <w:rPr>
            <w:szCs w:val="24"/>
            <w:lang w:val="en-US"/>
          </w:rPr>
          <w:t>29</w:t>
        </w:r>
        <w:r w:rsidRPr="00051876">
          <w:rPr>
            <w:rFonts w:hint="eastAsia"/>
            <w:szCs w:val="24"/>
            <w:lang w:val="zh-CN"/>
          </w:rPr>
          <w:t>日</w:t>
        </w:r>
      </w:smartTag>
      <w:r w:rsidRPr="00051876">
        <w:rPr>
          <w:rFonts w:hint="eastAsia"/>
          <w:szCs w:val="24"/>
          <w:lang w:val="zh-CN"/>
        </w:rPr>
        <w:t>至</w:t>
      </w:r>
      <w:smartTag w:uri="urn:schemas-microsoft-com:office:smarttags" w:element="chsdate">
        <w:smartTagPr>
          <w:attr w:name="Year" w:val="2021"/>
          <w:attr w:name="Month" w:val="5"/>
          <w:attr w:name="Day" w:val="7"/>
          <w:attr w:name="IsLunarDate" w:val="False"/>
          <w:attr w:name="IsROCDate" w:val="False"/>
        </w:smartTagPr>
        <w:r w:rsidRPr="00051876">
          <w:rPr>
            <w:szCs w:val="24"/>
            <w:lang w:val="en-US"/>
          </w:rPr>
          <w:t>5</w:t>
        </w:r>
        <w:r w:rsidRPr="00051876">
          <w:rPr>
            <w:rFonts w:hint="eastAsia"/>
            <w:szCs w:val="24"/>
            <w:lang w:val="zh-CN"/>
          </w:rPr>
          <w:t>月</w:t>
        </w:r>
        <w:r w:rsidRPr="00051876">
          <w:rPr>
            <w:szCs w:val="24"/>
            <w:lang w:val="en-US"/>
          </w:rPr>
          <w:t>7</w:t>
        </w:r>
        <w:r w:rsidRPr="00051876">
          <w:rPr>
            <w:rFonts w:hint="eastAsia"/>
            <w:szCs w:val="24"/>
            <w:lang w:val="zh-CN"/>
          </w:rPr>
          <w:t>日</w:t>
        </w:r>
      </w:smartTag>
      <w:r w:rsidRPr="00051876">
        <w:rPr>
          <w:rFonts w:hint="eastAsia"/>
          <w:szCs w:val="24"/>
          <w:lang w:val="zh-CN"/>
        </w:rPr>
        <w:t>举行。</w:t>
      </w:r>
    </w:p>
  </w:footnote>
  <w:footnote w:id="6">
    <w:p w14:paraId="736B72A4" w14:textId="2DE78399" w:rsidR="00375C62" w:rsidRDefault="00375C62">
      <w:pPr>
        <w:pStyle w:val="FootnoteText"/>
        <w:rPr>
          <w:szCs w:val="24"/>
          <w:lang w:val="zh-CN"/>
        </w:rPr>
      </w:pPr>
      <w:r w:rsidRPr="00051876">
        <w:rPr>
          <w:rStyle w:val="FootnoteReference"/>
          <w:szCs w:val="24"/>
        </w:rPr>
        <w:footnoteRef/>
      </w:r>
      <w:r w:rsidRPr="00051876">
        <w:rPr>
          <w:szCs w:val="24"/>
        </w:rPr>
        <w:t xml:space="preserve"> </w:t>
      </w:r>
      <w:r w:rsidRPr="00051876">
        <w:rPr>
          <w:szCs w:val="24"/>
          <w:lang w:val="zh-CN"/>
        </w:rPr>
        <w:t>UNEP/OzL.Pro/ExCom/86/85</w:t>
      </w:r>
      <w:r w:rsidRPr="00051876">
        <w:rPr>
          <w:rFonts w:hint="eastAsia"/>
          <w:szCs w:val="24"/>
          <w:lang w:val="zh-CN"/>
        </w:rPr>
        <w:t>。</w:t>
      </w:r>
    </w:p>
    <w:p w14:paraId="25B06039" w14:textId="77777777" w:rsidR="006102BD" w:rsidRDefault="006102BD">
      <w:pPr>
        <w:pStyle w:val="FootnoteText"/>
        <w:rPr>
          <w:rFonts w:hint="eastAsia"/>
        </w:rPr>
      </w:pPr>
    </w:p>
  </w:footnote>
  <w:footnote w:id="7">
    <w:p w14:paraId="7C19E400" w14:textId="77777777" w:rsidR="00375C62" w:rsidRDefault="00375C62">
      <w:pPr>
        <w:pStyle w:val="FootnoteText"/>
      </w:pPr>
      <w:r w:rsidRPr="00051876">
        <w:rPr>
          <w:rStyle w:val="FootnoteReference"/>
          <w:szCs w:val="24"/>
        </w:rPr>
        <w:footnoteRef/>
      </w:r>
      <w:r w:rsidRPr="00051876">
        <w:rPr>
          <w:szCs w:val="24"/>
        </w:rPr>
        <w:t xml:space="preserve"> </w:t>
      </w:r>
      <w:r w:rsidRPr="00051876">
        <w:rPr>
          <w:rFonts w:hint="eastAsia"/>
          <w:szCs w:val="24"/>
          <w:lang w:val="zh-CN"/>
        </w:rPr>
        <w:t>第八十九次会议预备面对面举行，讨论无法根据第</w:t>
      </w:r>
      <w:r w:rsidRPr="00051876">
        <w:rPr>
          <w:szCs w:val="24"/>
          <w:lang w:val="zh-CN"/>
        </w:rPr>
        <w:t>87/60</w:t>
      </w:r>
      <w:r w:rsidRPr="00051876">
        <w:rPr>
          <w:rFonts w:hint="eastAsia"/>
          <w:szCs w:val="24"/>
          <w:lang w:val="zh-CN"/>
        </w:rPr>
        <w:t>号决定</w:t>
      </w:r>
      <w:r w:rsidRPr="00051876">
        <w:rPr>
          <w:szCs w:val="24"/>
          <w:lang w:val="zh-CN"/>
        </w:rPr>
        <w:t xml:space="preserve">(a) </w:t>
      </w:r>
      <w:r w:rsidRPr="00051876">
        <w:rPr>
          <w:rFonts w:hint="eastAsia"/>
          <w:szCs w:val="24"/>
          <w:lang w:val="zh-CN"/>
        </w:rPr>
        <w:t>段通过相关闭会期间批准程序和虚拟会议处理的各个未决政策项目。</w:t>
      </w:r>
    </w:p>
  </w:footnote>
  <w:footnote w:id="8">
    <w:p w14:paraId="084CDFE5" w14:textId="77777777" w:rsidR="00375C62" w:rsidRDefault="00375C62">
      <w:pPr>
        <w:pStyle w:val="FootnoteText"/>
      </w:pPr>
      <w:r w:rsidRPr="00051876">
        <w:rPr>
          <w:rStyle w:val="FootnoteReference"/>
          <w:szCs w:val="24"/>
        </w:rPr>
        <w:footnoteRef/>
      </w:r>
      <w:r w:rsidRPr="00051876">
        <w:rPr>
          <w:szCs w:val="24"/>
        </w:rPr>
        <w:t xml:space="preserve"> </w:t>
      </w:r>
      <w:r w:rsidRPr="00051876">
        <w:rPr>
          <w:rFonts w:hint="eastAsia"/>
          <w:szCs w:val="24"/>
          <w:lang w:val="zh-CN"/>
        </w:rPr>
        <w:t>线上会议，于</w:t>
      </w:r>
      <w:smartTag w:uri="urn:schemas-microsoft-com:office:smarttags" w:element="chsdate">
        <w:smartTagPr>
          <w:attr w:name="Year" w:val="2020"/>
          <w:attr w:name="Month" w:val="11"/>
          <w:attr w:name="Day" w:val="23"/>
          <w:attr w:name="IsLunarDate" w:val="False"/>
          <w:attr w:name="IsROCDate" w:val="False"/>
        </w:smartTagPr>
        <w:r w:rsidRPr="00051876">
          <w:rPr>
            <w:szCs w:val="24"/>
            <w:lang w:val="zh-CN"/>
          </w:rPr>
          <w:t>2020</w:t>
        </w:r>
        <w:r w:rsidRPr="00051876">
          <w:rPr>
            <w:rFonts w:hint="eastAsia"/>
            <w:szCs w:val="24"/>
            <w:lang w:val="zh-CN"/>
          </w:rPr>
          <w:t>年</w:t>
        </w:r>
        <w:r w:rsidRPr="00051876">
          <w:rPr>
            <w:szCs w:val="24"/>
            <w:lang w:val="zh-CN"/>
          </w:rPr>
          <w:t>11</w:t>
        </w:r>
        <w:r w:rsidRPr="00051876">
          <w:rPr>
            <w:rFonts w:hint="eastAsia"/>
            <w:szCs w:val="24"/>
            <w:lang w:val="zh-CN"/>
          </w:rPr>
          <w:t>月</w:t>
        </w:r>
        <w:r w:rsidRPr="00051876">
          <w:rPr>
            <w:szCs w:val="24"/>
            <w:lang w:val="zh-CN"/>
          </w:rPr>
          <w:t>23</w:t>
        </w:r>
        <w:r w:rsidRPr="00051876">
          <w:rPr>
            <w:rFonts w:hint="eastAsia"/>
            <w:szCs w:val="24"/>
            <w:lang w:val="zh-CN"/>
          </w:rPr>
          <w:t>日</w:t>
        </w:r>
      </w:smartTag>
      <w:r w:rsidRPr="00051876">
        <w:rPr>
          <w:rFonts w:hint="eastAsia"/>
          <w:szCs w:val="24"/>
          <w:lang w:val="zh-CN"/>
        </w:rPr>
        <w:t>至</w:t>
      </w:r>
      <w:r w:rsidRPr="00051876">
        <w:rPr>
          <w:szCs w:val="24"/>
          <w:lang w:val="zh-CN"/>
        </w:rPr>
        <w:t>27</w:t>
      </w:r>
      <w:r w:rsidRPr="00051876">
        <w:rPr>
          <w:rFonts w:hint="eastAsia"/>
          <w:szCs w:val="24"/>
          <w:lang w:val="zh-CN"/>
        </w:rPr>
        <w:t>日举行。</w:t>
      </w:r>
    </w:p>
  </w:footnote>
  <w:footnote w:id="9">
    <w:p w14:paraId="08360C77" w14:textId="77777777" w:rsidR="00375C62" w:rsidRDefault="00375C62">
      <w:pPr>
        <w:pStyle w:val="FootnoteText"/>
      </w:pPr>
      <w:r w:rsidRPr="00051876">
        <w:rPr>
          <w:rStyle w:val="FootnoteReference"/>
          <w:szCs w:val="24"/>
        </w:rPr>
        <w:footnoteRef/>
      </w:r>
      <w:r w:rsidRPr="00051876">
        <w:rPr>
          <w:szCs w:val="24"/>
        </w:rPr>
        <w:t xml:space="preserve"> </w:t>
      </w:r>
      <w:r w:rsidRPr="00051876">
        <w:rPr>
          <w:rFonts w:hint="eastAsia"/>
          <w:szCs w:val="24"/>
          <w:lang w:val="zh-CN"/>
        </w:rPr>
        <w:t>线上会议，于</w:t>
      </w:r>
      <w:smartTag w:uri="urn:schemas-microsoft-com:office:smarttags" w:element="chsdate">
        <w:smartTagPr>
          <w:attr w:name="Year" w:val="2021"/>
          <w:attr w:name="Month" w:val="10"/>
          <w:attr w:name="Day" w:val="23"/>
          <w:attr w:name="IsLunarDate" w:val="False"/>
          <w:attr w:name="IsROCDate" w:val="False"/>
        </w:smartTagPr>
        <w:r w:rsidRPr="00051876">
          <w:rPr>
            <w:szCs w:val="24"/>
            <w:lang w:val="zh-CN"/>
          </w:rPr>
          <w:t>2021</w:t>
        </w:r>
        <w:r w:rsidRPr="00051876">
          <w:rPr>
            <w:rFonts w:hint="eastAsia"/>
            <w:szCs w:val="24"/>
            <w:lang w:val="zh-CN"/>
          </w:rPr>
          <w:t>年</w:t>
        </w:r>
        <w:r w:rsidRPr="00051876">
          <w:rPr>
            <w:szCs w:val="24"/>
            <w:lang w:val="zh-CN"/>
          </w:rPr>
          <w:t>10</w:t>
        </w:r>
        <w:r w:rsidRPr="00051876">
          <w:rPr>
            <w:rFonts w:hint="eastAsia"/>
            <w:szCs w:val="24"/>
            <w:lang w:val="zh-CN"/>
          </w:rPr>
          <w:t>月</w:t>
        </w:r>
        <w:r w:rsidRPr="00051876">
          <w:rPr>
            <w:szCs w:val="24"/>
            <w:lang w:val="zh-CN"/>
          </w:rPr>
          <w:t>23</w:t>
        </w:r>
        <w:r w:rsidRPr="00051876">
          <w:rPr>
            <w:rFonts w:hint="eastAsia"/>
            <w:szCs w:val="24"/>
            <w:lang w:val="zh-CN"/>
          </w:rPr>
          <w:t>日</w:t>
        </w:r>
      </w:smartTag>
      <w:r w:rsidRPr="00051876">
        <w:rPr>
          <w:rFonts w:hint="eastAsia"/>
          <w:szCs w:val="24"/>
          <w:lang w:val="zh-CN"/>
        </w:rPr>
        <w:t>至</w:t>
      </w:r>
      <w:r w:rsidRPr="00051876">
        <w:rPr>
          <w:szCs w:val="24"/>
          <w:lang w:val="zh-CN"/>
        </w:rPr>
        <w:t>29</w:t>
      </w:r>
      <w:r w:rsidRPr="00051876">
        <w:rPr>
          <w:rFonts w:hint="eastAsia"/>
          <w:szCs w:val="24"/>
          <w:lang w:val="zh-CN"/>
        </w:rPr>
        <w:t>日举行。</w:t>
      </w:r>
    </w:p>
  </w:footnote>
  <w:footnote w:id="10">
    <w:p w14:paraId="1C88F485" w14:textId="77777777" w:rsidR="00375C62" w:rsidRDefault="00375C62">
      <w:pPr>
        <w:pStyle w:val="FootnoteText"/>
      </w:pPr>
      <w:r w:rsidRPr="00051876">
        <w:rPr>
          <w:rStyle w:val="FootnoteReference"/>
          <w:szCs w:val="24"/>
        </w:rPr>
        <w:footnoteRef/>
      </w:r>
      <w:r w:rsidRPr="00051876">
        <w:rPr>
          <w:szCs w:val="24"/>
        </w:rPr>
        <w:t xml:space="preserve"> UNEP/</w:t>
      </w:r>
      <w:proofErr w:type="spellStart"/>
      <w:r w:rsidRPr="00051876">
        <w:rPr>
          <w:szCs w:val="24"/>
        </w:rPr>
        <w:t>OzL.Pro</w:t>
      </w:r>
      <w:proofErr w:type="spellEnd"/>
      <w:r w:rsidRPr="00051876">
        <w:rPr>
          <w:szCs w:val="24"/>
        </w:rPr>
        <w:t>/</w:t>
      </w:r>
      <w:proofErr w:type="spellStart"/>
      <w:r w:rsidRPr="00051876">
        <w:rPr>
          <w:szCs w:val="24"/>
        </w:rPr>
        <w:t>ExCom</w:t>
      </w:r>
      <w:proofErr w:type="spellEnd"/>
      <w:r w:rsidRPr="00051876">
        <w:rPr>
          <w:szCs w:val="24"/>
        </w:rPr>
        <w:t>/86/25</w:t>
      </w:r>
      <w:r w:rsidRPr="00051876">
        <w:rPr>
          <w:rFonts w:hint="eastAsia"/>
          <w:szCs w:val="24"/>
          <w:lang w:val="zh-CN"/>
        </w:rPr>
        <w:t>号文件和第</w:t>
      </w:r>
      <w:r w:rsidRPr="00051876">
        <w:rPr>
          <w:szCs w:val="24"/>
        </w:rPr>
        <w:t>86/45</w:t>
      </w:r>
      <w:r w:rsidRPr="00051876">
        <w:rPr>
          <w:rFonts w:hint="eastAsia"/>
          <w:szCs w:val="24"/>
          <w:lang w:val="zh-CN"/>
        </w:rPr>
        <w:t>号决定。</w:t>
      </w:r>
    </w:p>
  </w:footnote>
  <w:footnote w:id="11">
    <w:p w14:paraId="4D194A23" w14:textId="77777777" w:rsidR="00375C62" w:rsidRDefault="00375C62">
      <w:pPr>
        <w:pStyle w:val="FootnoteText"/>
      </w:pPr>
      <w:r w:rsidRPr="00051876">
        <w:rPr>
          <w:rStyle w:val="FootnoteReference"/>
          <w:szCs w:val="24"/>
        </w:rPr>
        <w:footnoteRef/>
      </w:r>
      <w:r w:rsidRPr="00051876">
        <w:rPr>
          <w:szCs w:val="24"/>
        </w:rPr>
        <w:t xml:space="preserve"> UNEP/</w:t>
      </w:r>
      <w:proofErr w:type="spellStart"/>
      <w:r w:rsidRPr="00051876">
        <w:rPr>
          <w:szCs w:val="24"/>
        </w:rPr>
        <w:t>OzL.Pro</w:t>
      </w:r>
      <w:proofErr w:type="spellEnd"/>
      <w:r w:rsidRPr="00051876">
        <w:rPr>
          <w:szCs w:val="24"/>
        </w:rPr>
        <w:t>/</w:t>
      </w:r>
      <w:proofErr w:type="spellStart"/>
      <w:r w:rsidRPr="00051876">
        <w:rPr>
          <w:szCs w:val="24"/>
        </w:rPr>
        <w:t>ExCom</w:t>
      </w:r>
      <w:proofErr w:type="spellEnd"/>
      <w:r w:rsidRPr="00051876">
        <w:rPr>
          <w:szCs w:val="24"/>
        </w:rPr>
        <w:t>/88/34</w:t>
      </w:r>
      <w:r w:rsidRPr="00051876">
        <w:rPr>
          <w:rFonts w:hint="eastAsia"/>
          <w:szCs w:val="24"/>
          <w:lang w:val="zh-CN"/>
        </w:rPr>
        <w:t>。</w:t>
      </w:r>
    </w:p>
  </w:footnote>
  <w:footnote w:id="12">
    <w:p w14:paraId="5E3E06EA" w14:textId="77777777" w:rsidR="00375C62" w:rsidRDefault="00375C62">
      <w:pPr>
        <w:pStyle w:val="FootnoteText"/>
      </w:pPr>
      <w:r w:rsidRPr="00051876">
        <w:rPr>
          <w:rStyle w:val="FootnoteReference"/>
          <w:szCs w:val="24"/>
        </w:rPr>
        <w:footnoteRef/>
      </w:r>
      <w:r w:rsidRPr="00051876">
        <w:rPr>
          <w:szCs w:val="24"/>
        </w:rPr>
        <w:t xml:space="preserve"> UNEP/</w:t>
      </w:r>
      <w:proofErr w:type="spellStart"/>
      <w:r w:rsidRPr="00051876">
        <w:rPr>
          <w:szCs w:val="24"/>
        </w:rPr>
        <w:t>OzL.Pro</w:t>
      </w:r>
      <w:proofErr w:type="spellEnd"/>
      <w:r w:rsidRPr="00051876">
        <w:rPr>
          <w:szCs w:val="24"/>
        </w:rPr>
        <w:t>/</w:t>
      </w:r>
      <w:proofErr w:type="spellStart"/>
      <w:r w:rsidRPr="00051876">
        <w:rPr>
          <w:szCs w:val="24"/>
        </w:rPr>
        <w:t>ExCom</w:t>
      </w:r>
      <w:proofErr w:type="spellEnd"/>
      <w:r w:rsidRPr="00051876">
        <w:rPr>
          <w:szCs w:val="24"/>
        </w:rPr>
        <w:t>/88/35</w:t>
      </w:r>
      <w:r w:rsidRPr="00051876">
        <w:rPr>
          <w:rFonts w:hint="eastAsia"/>
          <w:szCs w:val="24"/>
          <w:lang w:val="zh-CN"/>
        </w:rPr>
        <w:t>。</w:t>
      </w:r>
    </w:p>
  </w:footnote>
  <w:footnote w:id="13">
    <w:p w14:paraId="0C9C35EC" w14:textId="77777777" w:rsidR="00375C62" w:rsidRDefault="00375C62">
      <w:pPr>
        <w:pStyle w:val="FootnoteText"/>
      </w:pPr>
      <w:r w:rsidRPr="00051876">
        <w:rPr>
          <w:rStyle w:val="FootnoteReference"/>
          <w:szCs w:val="24"/>
        </w:rPr>
        <w:footnoteRef/>
      </w:r>
      <w:r w:rsidRPr="00051876">
        <w:rPr>
          <w:szCs w:val="24"/>
        </w:rPr>
        <w:t xml:space="preserve"> </w:t>
      </w:r>
      <w:r w:rsidRPr="00051876">
        <w:rPr>
          <w:szCs w:val="24"/>
          <w:lang w:val="zh-CN"/>
        </w:rPr>
        <w:t>UNEP/OzL.Pro/ExCom/87/43</w:t>
      </w:r>
      <w:r w:rsidRPr="00051876">
        <w:rPr>
          <w:rFonts w:hint="eastAsia"/>
          <w:szCs w:val="24"/>
          <w:lang w:val="zh-CN"/>
        </w:rPr>
        <w:t>。</w:t>
      </w:r>
    </w:p>
  </w:footnote>
  <w:footnote w:id="14">
    <w:p w14:paraId="5FCD5C53" w14:textId="77777777" w:rsidR="00375C62" w:rsidRDefault="00375C62">
      <w:pPr>
        <w:pStyle w:val="FootnoteText"/>
      </w:pPr>
      <w:r w:rsidRPr="00051876">
        <w:rPr>
          <w:rStyle w:val="FootnoteReference"/>
          <w:szCs w:val="24"/>
        </w:rPr>
        <w:footnoteRef/>
      </w:r>
      <w:r w:rsidRPr="00051876">
        <w:rPr>
          <w:szCs w:val="24"/>
        </w:rPr>
        <w:t xml:space="preserve"> </w:t>
      </w:r>
      <w:r w:rsidRPr="00051876">
        <w:rPr>
          <w:rFonts w:hint="eastAsia"/>
          <w:szCs w:val="24"/>
          <w:lang w:val="zh-CN"/>
        </w:rPr>
        <w:t>综合业务计划列入</w:t>
      </w:r>
      <w:r w:rsidRPr="00051876">
        <w:rPr>
          <w:szCs w:val="24"/>
          <w:lang w:val="zh-CN"/>
        </w:rPr>
        <w:t>2022</w:t>
      </w:r>
      <w:r w:rsidRPr="00051876">
        <w:rPr>
          <w:rFonts w:hint="eastAsia"/>
          <w:szCs w:val="24"/>
          <w:lang w:val="zh-CN"/>
        </w:rPr>
        <w:t>年编制基加利氢氟碳化物实施计划的供资金额</w:t>
      </w:r>
      <w:r w:rsidRPr="00051876">
        <w:rPr>
          <w:szCs w:val="24"/>
          <w:lang w:val="zh-CN"/>
        </w:rPr>
        <w:t>7,189,942</w:t>
      </w:r>
      <w:r w:rsidRPr="00051876">
        <w:rPr>
          <w:rFonts w:hint="eastAsia"/>
          <w:szCs w:val="24"/>
          <w:lang w:val="zh-CN"/>
        </w:rPr>
        <w:t>美元，外加机构支助费用</w:t>
      </w:r>
      <w:r w:rsidRPr="00051876">
        <w:rPr>
          <w:szCs w:val="24"/>
          <w:lang w:val="zh-CN"/>
        </w:rPr>
        <w:t>782,808</w:t>
      </w:r>
      <w:r w:rsidRPr="00051876">
        <w:rPr>
          <w:rFonts w:hint="eastAsia"/>
          <w:szCs w:val="24"/>
          <w:lang w:val="zh-CN"/>
        </w:rPr>
        <w:t>美元，和</w:t>
      </w:r>
      <w:r w:rsidRPr="00051876">
        <w:rPr>
          <w:szCs w:val="24"/>
          <w:lang w:val="zh-CN"/>
        </w:rPr>
        <w:t>2023</w:t>
      </w:r>
      <w:r w:rsidRPr="00051876">
        <w:rPr>
          <w:rFonts w:hint="eastAsia"/>
          <w:szCs w:val="24"/>
          <w:lang w:val="zh-CN"/>
        </w:rPr>
        <w:t>年供资金额</w:t>
      </w:r>
      <w:r w:rsidRPr="00051876">
        <w:rPr>
          <w:szCs w:val="24"/>
          <w:lang w:val="zh-CN"/>
        </w:rPr>
        <w:t>3,398,327</w:t>
      </w:r>
      <w:r w:rsidRPr="00051876">
        <w:rPr>
          <w:rFonts w:hint="eastAsia"/>
          <w:szCs w:val="24"/>
          <w:lang w:val="zh-CN"/>
        </w:rPr>
        <w:t>美元，外加机构支助费用</w:t>
      </w:r>
      <w:r w:rsidRPr="00051876">
        <w:rPr>
          <w:szCs w:val="24"/>
          <w:lang w:val="zh-CN"/>
        </w:rPr>
        <w:t>318,216</w:t>
      </w:r>
      <w:r w:rsidRPr="00051876">
        <w:rPr>
          <w:rFonts w:hint="eastAsia"/>
          <w:szCs w:val="24"/>
          <w:lang w:val="zh-CN"/>
        </w:rPr>
        <w:t>美元。</w:t>
      </w:r>
    </w:p>
  </w:footnote>
  <w:footnote w:id="15">
    <w:p w14:paraId="645BC1D4" w14:textId="77777777" w:rsidR="00375C62" w:rsidRDefault="00375C62">
      <w:pPr>
        <w:pStyle w:val="FootnoteText"/>
      </w:pPr>
      <w:r>
        <w:rPr>
          <w:rStyle w:val="FootnoteReference"/>
          <w:szCs w:val="24"/>
        </w:rPr>
        <w:footnoteRef/>
      </w:r>
      <w:r>
        <w:rPr>
          <w:szCs w:val="24"/>
        </w:rPr>
        <w:t xml:space="preserve"> </w:t>
      </w:r>
      <w:r>
        <w:rPr>
          <w:rFonts w:ascii="SimSun" w:hint="eastAsia"/>
          <w:szCs w:val="24"/>
          <w:lang w:val="zh-CN"/>
        </w:rPr>
        <w:t>与不同活动的供资资格有关的政策问题将在</w:t>
      </w:r>
      <w:r>
        <w:rPr>
          <w:rFonts w:ascii="SimSun"/>
          <w:szCs w:val="24"/>
          <w:lang w:val="zh-CN"/>
        </w:rPr>
        <w:t>2022</w:t>
      </w:r>
      <w:r>
        <w:rPr>
          <w:rFonts w:ascii="SimSun" w:hint="eastAsia"/>
          <w:szCs w:val="24"/>
          <w:lang w:val="zh-CN"/>
        </w:rPr>
        <w:t>年就这些问题进行磋商后作出决定。</w:t>
      </w:r>
    </w:p>
  </w:footnote>
  <w:footnote w:id="16">
    <w:p w14:paraId="2F27CE83" w14:textId="77777777" w:rsidR="00375C62" w:rsidRDefault="00375C62">
      <w:pPr>
        <w:pStyle w:val="FootnoteText"/>
      </w:pPr>
      <w:r>
        <w:rPr>
          <w:rStyle w:val="FootnoteReference"/>
          <w:szCs w:val="24"/>
        </w:rPr>
        <w:footnoteRef/>
      </w:r>
      <w:r>
        <w:rPr>
          <w:szCs w:val="24"/>
        </w:rPr>
        <w:t xml:space="preserve"> </w:t>
      </w:r>
      <w:r>
        <w:rPr>
          <w:rFonts w:ascii="SimSun" w:hint="eastAsia"/>
          <w:szCs w:val="24"/>
          <w:lang w:val="zh-CN"/>
        </w:rPr>
        <w:t>审查</w:t>
      </w:r>
      <w:r>
        <w:rPr>
          <w:szCs w:val="24"/>
          <w:lang w:val="zh-CN"/>
        </w:rPr>
        <w:t>2015-2017</w:t>
      </w:r>
      <w:r>
        <w:rPr>
          <w:rFonts w:ascii="SimSun" w:hint="eastAsia"/>
          <w:szCs w:val="24"/>
          <w:lang w:val="zh-CN"/>
        </w:rPr>
        <w:t>三年期行政费用机制的文件也作出类似分析（</w:t>
      </w:r>
      <w:r>
        <w:rPr>
          <w:szCs w:val="24"/>
          <w:lang w:val="zh-CN"/>
        </w:rPr>
        <w:t>UNEP/OzL.Pro/ExCom/73/51</w:t>
      </w:r>
      <w:r>
        <w:rPr>
          <w:rFonts w:ascii="SimSun" w:hint="eastAsia"/>
          <w:szCs w:val="24"/>
          <w:lang w:val="zh-CN"/>
        </w:rPr>
        <w:t>）。该次分析与表</w:t>
      </w:r>
      <w:r>
        <w:rPr>
          <w:rFonts w:ascii="SimSun"/>
          <w:szCs w:val="24"/>
          <w:lang w:val="en-US"/>
        </w:rPr>
        <w:t>1</w:t>
      </w:r>
      <w:r>
        <w:rPr>
          <w:rFonts w:ascii="SimSun" w:hint="eastAsia"/>
          <w:szCs w:val="24"/>
          <w:lang w:val="zh-CN"/>
        </w:rPr>
        <w:t>所列分析的一些微小差异是由于项目已经关闭并且结余也已归还基金或项目已经转交其他机构。</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E51E6" w14:textId="3C13E6CF" w:rsidR="00375C62" w:rsidRDefault="002920B8">
    <w:pPr>
      <w:rPr>
        <w:szCs w:val="24"/>
      </w:rPr>
    </w:pPr>
    <w:r>
      <w:fldChar w:fldCharType="begin"/>
    </w:r>
    <w:r>
      <w:instrText xml:space="preserve"> DOCPROPERTY "Document number"  \* MERGEFORMAT </w:instrText>
    </w:r>
    <w:r>
      <w:fldChar w:fldCharType="separate"/>
    </w:r>
    <w:r w:rsidR="003A438C" w:rsidRPr="003A438C">
      <w:rPr>
        <w:szCs w:val="24"/>
      </w:rPr>
      <w:t>UNEP/</w:t>
    </w:r>
    <w:proofErr w:type="spellStart"/>
    <w:r w:rsidR="003A438C" w:rsidRPr="003A438C">
      <w:rPr>
        <w:szCs w:val="24"/>
      </w:rPr>
      <w:t>OzL.Pro</w:t>
    </w:r>
    <w:proofErr w:type="spellEnd"/>
    <w:r w:rsidR="003A438C" w:rsidRPr="003A438C">
      <w:rPr>
        <w:szCs w:val="24"/>
      </w:rPr>
      <w:t>/</w:t>
    </w:r>
    <w:proofErr w:type="spellStart"/>
    <w:r w:rsidR="003A438C" w:rsidRPr="003A438C">
      <w:rPr>
        <w:szCs w:val="24"/>
      </w:rPr>
      <w:t>ExCom</w:t>
    </w:r>
    <w:proofErr w:type="spellEnd"/>
    <w:r w:rsidR="003A438C" w:rsidRPr="003A438C">
      <w:rPr>
        <w:szCs w:val="24"/>
      </w:rPr>
      <w:t>/88/68</w:t>
    </w:r>
    <w:r>
      <w:rPr>
        <w:szCs w:val="24"/>
      </w:rPr>
      <w:fldChar w:fldCharType="end"/>
    </w:r>
  </w:p>
  <w:p w14:paraId="77A8994D" w14:textId="77777777" w:rsidR="00375C62" w:rsidRDefault="00375C62">
    <w:pPr>
      <w:rPr>
        <w:szCs w:val="24"/>
      </w:rPr>
    </w:pPr>
  </w:p>
  <w:p w14:paraId="1A0E1A62" w14:textId="77777777" w:rsidR="00375C62" w:rsidRDefault="00375C62">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A713" w14:textId="47122963" w:rsidR="00375C62" w:rsidRDefault="002920B8">
    <w:pPr>
      <w:jc w:val="right"/>
      <w:rPr>
        <w:szCs w:val="24"/>
      </w:rPr>
    </w:pPr>
    <w:r>
      <w:fldChar w:fldCharType="begin"/>
    </w:r>
    <w:r>
      <w:instrText xml:space="preserve"> DOCPROPERTY "Document number"  \* MERGEFORMAT </w:instrText>
    </w:r>
    <w:r>
      <w:fldChar w:fldCharType="separate"/>
    </w:r>
    <w:r w:rsidR="003A438C" w:rsidRPr="003A438C">
      <w:rPr>
        <w:szCs w:val="24"/>
      </w:rPr>
      <w:t>UNEP/</w:t>
    </w:r>
    <w:proofErr w:type="spellStart"/>
    <w:r w:rsidR="003A438C" w:rsidRPr="003A438C">
      <w:rPr>
        <w:szCs w:val="24"/>
      </w:rPr>
      <w:t>OzL.Pro</w:t>
    </w:r>
    <w:proofErr w:type="spellEnd"/>
    <w:r w:rsidR="003A438C" w:rsidRPr="003A438C">
      <w:rPr>
        <w:szCs w:val="24"/>
      </w:rPr>
      <w:t>/</w:t>
    </w:r>
    <w:proofErr w:type="spellStart"/>
    <w:r w:rsidR="003A438C" w:rsidRPr="003A438C">
      <w:rPr>
        <w:szCs w:val="24"/>
      </w:rPr>
      <w:t>ExCom</w:t>
    </w:r>
    <w:proofErr w:type="spellEnd"/>
    <w:r w:rsidR="003A438C" w:rsidRPr="003A438C">
      <w:rPr>
        <w:szCs w:val="24"/>
      </w:rPr>
      <w:t>/88/68</w:t>
    </w:r>
    <w:r>
      <w:rPr>
        <w:szCs w:val="24"/>
      </w:rPr>
      <w:fldChar w:fldCharType="end"/>
    </w:r>
  </w:p>
  <w:p w14:paraId="4A185C64" w14:textId="77777777" w:rsidR="00375C62" w:rsidRDefault="00375C62">
    <w:pPr>
      <w:rPr>
        <w:szCs w:val="24"/>
      </w:rPr>
    </w:pPr>
  </w:p>
  <w:p w14:paraId="239D5606" w14:textId="77777777" w:rsidR="00375C62" w:rsidRDefault="00375C62">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27B681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5E786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1C5A682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69C344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3A226A5C"/>
    <w:multiLevelType w:val="hybridMultilevel"/>
    <w:tmpl w:val="04E656F2"/>
    <w:lvl w:ilvl="0" w:tplc="10090001">
      <w:start w:val="2021"/>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CF36FD9"/>
    <w:multiLevelType w:val="hybridMultilevel"/>
    <w:tmpl w:val="67B889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575A99"/>
    <w:multiLevelType w:val="hybridMultilevel"/>
    <w:tmpl w:val="B3A66ED4"/>
    <w:lvl w:ilvl="0" w:tplc="FE024456">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4AD64288"/>
    <w:multiLevelType w:val="hybridMultilevel"/>
    <w:tmpl w:val="1D7C8AC8"/>
    <w:lvl w:ilvl="0" w:tplc="FE024456">
      <w:start w:val="1"/>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1" w15:restartNumberingAfterBreak="0">
    <w:nsid w:val="4B0963B4"/>
    <w:multiLevelType w:val="hybridMultilevel"/>
    <w:tmpl w:val="8FAA0048"/>
    <w:lvl w:ilvl="0" w:tplc="FE024456">
      <w:start w:val="1"/>
      <w:numFmt w:val="lowerLetter"/>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68537B0F"/>
    <w:multiLevelType w:val="hybridMultilevel"/>
    <w:tmpl w:val="E9667350"/>
    <w:lvl w:ilvl="0" w:tplc="FBCEB518">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 w15:restartNumberingAfterBreak="0">
    <w:nsid w:val="78B056B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26"/>
  </w:num>
  <w:num w:numId="20">
    <w:abstractNumId w:val="15"/>
  </w:num>
  <w:num w:numId="21">
    <w:abstractNumId w:val="21"/>
  </w:num>
  <w:num w:numId="22">
    <w:abstractNumId w:val="17"/>
  </w:num>
  <w:num w:numId="23">
    <w:abstractNumId w:val="19"/>
  </w:num>
  <w:num w:numId="24">
    <w:abstractNumId w:val="18"/>
  </w:num>
  <w:num w:numId="25">
    <w:abstractNumId w:val="2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2"/>
  </w:num>
  <w:num w:numId="38">
    <w:abstractNumId w:val="16"/>
  </w:num>
  <w:num w:numId="39">
    <w:abstractNumId w:val="25"/>
  </w:num>
  <w:num w:numId="40">
    <w:abstractNumId w:val="11"/>
  </w:num>
  <w:num w:numId="4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850F0"/>
    <w:rsid w:val="00000FED"/>
    <w:rsid w:val="0000191B"/>
    <w:rsid w:val="0000434E"/>
    <w:rsid w:val="00004C16"/>
    <w:rsid w:val="00004D20"/>
    <w:rsid w:val="000211A9"/>
    <w:rsid w:val="000212DE"/>
    <w:rsid w:val="00024221"/>
    <w:rsid w:val="00024601"/>
    <w:rsid w:val="00031260"/>
    <w:rsid w:val="0003681A"/>
    <w:rsid w:val="000372B7"/>
    <w:rsid w:val="00044465"/>
    <w:rsid w:val="00050F6E"/>
    <w:rsid w:val="00051876"/>
    <w:rsid w:val="00057254"/>
    <w:rsid w:val="00061EC2"/>
    <w:rsid w:val="00066CE8"/>
    <w:rsid w:val="00070B4C"/>
    <w:rsid w:val="000730C8"/>
    <w:rsid w:val="00075D54"/>
    <w:rsid w:val="00080C2D"/>
    <w:rsid w:val="00080ED0"/>
    <w:rsid w:val="00081D5C"/>
    <w:rsid w:val="00085B8F"/>
    <w:rsid w:val="00090481"/>
    <w:rsid w:val="00093B48"/>
    <w:rsid w:val="000A3826"/>
    <w:rsid w:val="000A4E92"/>
    <w:rsid w:val="000A6B31"/>
    <w:rsid w:val="000A6C26"/>
    <w:rsid w:val="000B0154"/>
    <w:rsid w:val="000C3D0A"/>
    <w:rsid w:val="000D1419"/>
    <w:rsid w:val="000D52A4"/>
    <w:rsid w:val="000E07BC"/>
    <w:rsid w:val="000F0A10"/>
    <w:rsid w:val="000F1CD4"/>
    <w:rsid w:val="000F3423"/>
    <w:rsid w:val="000F3CAD"/>
    <w:rsid w:val="000F4103"/>
    <w:rsid w:val="000F46E2"/>
    <w:rsid w:val="000F70A7"/>
    <w:rsid w:val="0010481A"/>
    <w:rsid w:val="00113CCA"/>
    <w:rsid w:val="00121B26"/>
    <w:rsid w:val="00121F39"/>
    <w:rsid w:val="00122F25"/>
    <w:rsid w:val="00127A77"/>
    <w:rsid w:val="00135980"/>
    <w:rsid w:val="00157C8A"/>
    <w:rsid w:val="00163924"/>
    <w:rsid w:val="00164719"/>
    <w:rsid w:val="00164F5C"/>
    <w:rsid w:val="001662EE"/>
    <w:rsid w:val="0016663F"/>
    <w:rsid w:val="00166FC4"/>
    <w:rsid w:val="001677AC"/>
    <w:rsid w:val="0017199D"/>
    <w:rsid w:val="001765BE"/>
    <w:rsid w:val="00177D59"/>
    <w:rsid w:val="001804EA"/>
    <w:rsid w:val="00181108"/>
    <w:rsid w:val="00185024"/>
    <w:rsid w:val="00185780"/>
    <w:rsid w:val="00187444"/>
    <w:rsid w:val="00190A61"/>
    <w:rsid w:val="001A2215"/>
    <w:rsid w:val="001A3342"/>
    <w:rsid w:val="001A3E3D"/>
    <w:rsid w:val="001A7049"/>
    <w:rsid w:val="001B1E40"/>
    <w:rsid w:val="001C764E"/>
    <w:rsid w:val="001D2CA7"/>
    <w:rsid w:val="001E1052"/>
    <w:rsid w:val="001E21B1"/>
    <w:rsid w:val="001E2F93"/>
    <w:rsid w:val="001E4554"/>
    <w:rsid w:val="001E61E5"/>
    <w:rsid w:val="001F2159"/>
    <w:rsid w:val="00200B14"/>
    <w:rsid w:val="002029B8"/>
    <w:rsid w:val="002035BE"/>
    <w:rsid w:val="00210B8B"/>
    <w:rsid w:val="00214863"/>
    <w:rsid w:val="002156B4"/>
    <w:rsid w:val="00215B1B"/>
    <w:rsid w:val="00221E67"/>
    <w:rsid w:val="00224FCD"/>
    <w:rsid w:val="00244027"/>
    <w:rsid w:val="00253222"/>
    <w:rsid w:val="00262423"/>
    <w:rsid w:val="002625F3"/>
    <w:rsid w:val="00262847"/>
    <w:rsid w:val="00264B8F"/>
    <w:rsid w:val="00265371"/>
    <w:rsid w:val="00265C97"/>
    <w:rsid w:val="002679D8"/>
    <w:rsid w:val="00271070"/>
    <w:rsid w:val="00281BB2"/>
    <w:rsid w:val="00284BBE"/>
    <w:rsid w:val="002920B8"/>
    <w:rsid w:val="00296C8C"/>
    <w:rsid w:val="002B254E"/>
    <w:rsid w:val="002B72E9"/>
    <w:rsid w:val="002B77B5"/>
    <w:rsid w:val="002C0320"/>
    <w:rsid w:val="002C3351"/>
    <w:rsid w:val="002C7998"/>
    <w:rsid w:val="002E4517"/>
    <w:rsid w:val="002F1E53"/>
    <w:rsid w:val="002F2CAA"/>
    <w:rsid w:val="0030052C"/>
    <w:rsid w:val="00310642"/>
    <w:rsid w:val="003306E1"/>
    <w:rsid w:val="003320E4"/>
    <w:rsid w:val="0033525D"/>
    <w:rsid w:val="003360E8"/>
    <w:rsid w:val="003372FF"/>
    <w:rsid w:val="003414F3"/>
    <w:rsid w:val="00355F9A"/>
    <w:rsid w:val="0035613E"/>
    <w:rsid w:val="00363EE9"/>
    <w:rsid w:val="00367411"/>
    <w:rsid w:val="00372487"/>
    <w:rsid w:val="00375C62"/>
    <w:rsid w:val="00376128"/>
    <w:rsid w:val="0037742E"/>
    <w:rsid w:val="00377D56"/>
    <w:rsid w:val="0038245A"/>
    <w:rsid w:val="003840E6"/>
    <w:rsid w:val="00385CFC"/>
    <w:rsid w:val="0039337A"/>
    <w:rsid w:val="003A176A"/>
    <w:rsid w:val="003A3189"/>
    <w:rsid w:val="003A3CA7"/>
    <w:rsid w:val="003A438C"/>
    <w:rsid w:val="003B2124"/>
    <w:rsid w:val="003B33BD"/>
    <w:rsid w:val="003B569D"/>
    <w:rsid w:val="003B7AD0"/>
    <w:rsid w:val="003C3C0E"/>
    <w:rsid w:val="003C6472"/>
    <w:rsid w:val="003D1158"/>
    <w:rsid w:val="003D42A6"/>
    <w:rsid w:val="003D4F21"/>
    <w:rsid w:val="003D4FAC"/>
    <w:rsid w:val="003E644C"/>
    <w:rsid w:val="003E77D0"/>
    <w:rsid w:val="003E7906"/>
    <w:rsid w:val="003F3C50"/>
    <w:rsid w:val="00406A6A"/>
    <w:rsid w:val="00406B22"/>
    <w:rsid w:val="004125AD"/>
    <w:rsid w:val="00414E43"/>
    <w:rsid w:val="00415626"/>
    <w:rsid w:val="00416A86"/>
    <w:rsid w:val="00420071"/>
    <w:rsid w:val="004328A7"/>
    <w:rsid w:val="00432943"/>
    <w:rsid w:val="00434C74"/>
    <w:rsid w:val="00445E16"/>
    <w:rsid w:val="004508F1"/>
    <w:rsid w:val="00456EB4"/>
    <w:rsid w:val="004718F3"/>
    <w:rsid w:val="0047197A"/>
    <w:rsid w:val="00472881"/>
    <w:rsid w:val="00475040"/>
    <w:rsid w:val="00475B4D"/>
    <w:rsid w:val="00493D40"/>
    <w:rsid w:val="00495B4F"/>
    <w:rsid w:val="004967B6"/>
    <w:rsid w:val="004A504B"/>
    <w:rsid w:val="004A6911"/>
    <w:rsid w:val="004B0FE3"/>
    <w:rsid w:val="004B54E0"/>
    <w:rsid w:val="004B643D"/>
    <w:rsid w:val="004B7384"/>
    <w:rsid w:val="004C4269"/>
    <w:rsid w:val="004C463B"/>
    <w:rsid w:val="004D05AA"/>
    <w:rsid w:val="004D2440"/>
    <w:rsid w:val="004D26EF"/>
    <w:rsid w:val="004D6236"/>
    <w:rsid w:val="004D7F90"/>
    <w:rsid w:val="004E4DBB"/>
    <w:rsid w:val="004E4E41"/>
    <w:rsid w:val="004E7F9C"/>
    <w:rsid w:val="004F00B8"/>
    <w:rsid w:val="004F3493"/>
    <w:rsid w:val="004F5143"/>
    <w:rsid w:val="004F5EEB"/>
    <w:rsid w:val="00501ADC"/>
    <w:rsid w:val="0050706D"/>
    <w:rsid w:val="00510B01"/>
    <w:rsid w:val="00511999"/>
    <w:rsid w:val="00512B09"/>
    <w:rsid w:val="005220ED"/>
    <w:rsid w:val="00524F82"/>
    <w:rsid w:val="00525D7C"/>
    <w:rsid w:val="005276E1"/>
    <w:rsid w:val="00527732"/>
    <w:rsid w:val="00533796"/>
    <w:rsid w:val="00537343"/>
    <w:rsid w:val="005401E9"/>
    <w:rsid w:val="00542582"/>
    <w:rsid w:val="00543E92"/>
    <w:rsid w:val="00546C37"/>
    <w:rsid w:val="00555D75"/>
    <w:rsid w:val="00560DF0"/>
    <w:rsid w:val="00560F03"/>
    <w:rsid w:val="0056759C"/>
    <w:rsid w:val="00571107"/>
    <w:rsid w:val="00590FE6"/>
    <w:rsid w:val="0059513E"/>
    <w:rsid w:val="00595EAD"/>
    <w:rsid w:val="005A3495"/>
    <w:rsid w:val="005A58D4"/>
    <w:rsid w:val="005A5C53"/>
    <w:rsid w:val="005A6AA4"/>
    <w:rsid w:val="005A6D9F"/>
    <w:rsid w:val="005B48FF"/>
    <w:rsid w:val="005B77BD"/>
    <w:rsid w:val="005C0ACF"/>
    <w:rsid w:val="005D1AAE"/>
    <w:rsid w:val="005D363F"/>
    <w:rsid w:val="005E07BD"/>
    <w:rsid w:val="005E2DE3"/>
    <w:rsid w:val="00604C15"/>
    <w:rsid w:val="00605B73"/>
    <w:rsid w:val="006102BD"/>
    <w:rsid w:val="00614CEE"/>
    <w:rsid w:val="0061548C"/>
    <w:rsid w:val="006158D5"/>
    <w:rsid w:val="00625D83"/>
    <w:rsid w:val="00626134"/>
    <w:rsid w:val="0064108F"/>
    <w:rsid w:val="0064210F"/>
    <w:rsid w:val="00642C6D"/>
    <w:rsid w:val="00642DD0"/>
    <w:rsid w:val="0064789A"/>
    <w:rsid w:val="00660EBF"/>
    <w:rsid w:val="00660EFD"/>
    <w:rsid w:val="006622A1"/>
    <w:rsid w:val="006623E7"/>
    <w:rsid w:val="00662B80"/>
    <w:rsid w:val="006642F8"/>
    <w:rsid w:val="00667292"/>
    <w:rsid w:val="00670F6C"/>
    <w:rsid w:val="00681F40"/>
    <w:rsid w:val="006842A6"/>
    <w:rsid w:val="006852C7"/>
    <w:rsid w:val="006852CE"/>
    <w:rsid w:val="00692D14"/>
    <w:rsid w:val="006956EF"/>
    <w:rsid w:val="006A3785"/>
    <w:rsid w:val="006B445A"/>
    <w:rsid w:val="006B65C7"/>
    <w:rsid w:val="006C1727"/>
    <w:rsid w:val="006C2C83"/>
    <w:rsid w:val="006C301B"/>
    <w:rsid w:val="006C32FD"/>
    <w:rsid w:val="006C39CE"/>
    <w:rsid w:val="006C46FE"/>
    <w:rsid w:val="006C629A"/>
    <w:rsid w:val="006C7718"/>
    <w:rsid w:val="006D0FCC"/>
    <w:rsid w:val="006D21F5"/>
    <w:rsid w:val="006D23AB"/>
    <w:rsid w:val="006E0C07"/>
    <w:rsid w:val="006E126D"/>
    <w:rsid w:val="006E1FC3"/>
    <w:rsid w:val="006E7BE3"/>
    <w:rsid w:val="006F0690"/>
    <w:rsid w:val="00704CE9"/>
    <w:rsid w:val="0070616B"/>
    <w:rsid w:val="00706295"/>
    <w:rsid w:val="00706FDA"/>
    <w:rsid w:val="00711F9A"/>
    <w:rsid w:val="00713810"/>
    <w:rsid w:val="00714C2B"/>
    <w:rsid w:val="00715488"/>
    <w:rsid w:val="00721635"/>
    <w:rsid w:val="00724605"/>
    <w:rsid w:val="007303A5"/>
    <w:rsid w:val="00730B3E"/>
    <w:rsid w:val="0073420B"/>
    <w:rsid w:val="007377F9"/>
    <w:rsid w:val="00741D84"/>
    <w:rsid w:val="007448F2"/>
    <w:rsid w:val="0074515F"/>
    <w:rsid w:val="0074760E"/>
    <w:rsid w:val="00753E46"/>
    <w:rsid w:val="00754ABA"/>
    <w:rsid w:val="007714AD"/>
    <w:rsid w:val="00771C2D"/>
    <w:rsid w:val="007804F4"/>
    <w:rsid w:val="00782B0D"/>
    <w:rsid w:val="007A1546"/>
    <w:rsid w:val="007A228C"/>
    <w:rsid w:val="007A368E"/>
    <w:rsid w:val="007A5868"/>
    <w:rsid w:val="007B04CE"/>
    <w:rsid w:val="007B6871"/>
    <w:rsid w:val="007B7A2F"/>
    <w:rsid w:val="007C3D33"/>
    <w:rsid w:val="007D00BD"/>
    <w:rsid w:val="007D294A"/>
    <w:rsid w:val="007D47D2"/>
    <w:rsid w:val="007D6EC0"/>
    <w:rsid w:val="007D7E1D"/>
    <w:rsid w:val="007E5404"/>
    <w:rsid w:val="007E65A2"/>
    <w:rsid w:val="007E7ABE"/>
    <w:rsid w:val="007F7D65"/>
    <w:rsid w:val="008003B7"/>
    <w:rsid w:val="00801797"/>
    <w:rsid w:val="008161AA"/>
    <w:rsid w:val="0081697B"/>
    <w:rsid w:val="00823A43"/>
    <w:rsid w:val="008269D5"/>
    <w:rsid w:val="00830024"/>
    <w:rsid w:val="00831979"/>
    <w:rsid w:val="00840CE4"/>
    <w:rsid w:val="00843E62"/>
    <w:rsid w:val="00851352"/>
    <w:rsid w:val="00853402"/>
    <w:rsid w:val="00857077"/>
    <w:rsid w:val="0086133A"/>
    <w:rsid w:val="00861AFA"/>
    <w:rsid w:val="00863230"/>
    <w:rsid w:val="00864BF7"/>
    <w:rsid w:val="00865BD0"/>
    <w:rsid w:val="008711E2"/>
    <w:rsid w:val="008717D8"/>
    <w:rsid w:val="0087215C"/>
    <w:rsid w:val="00875D25"/>
    <w:rsid w:val="00880E35"/>
    <w:rsid w:val="00882164"/>
    <w:rsid w:val="008875FE"/>
    <w:rsid w:val="00887F8E"/>
    <w:rsid w:val="00895270"/>
    <w:rsid w:val="008955CA"/>
    <w:rsid w:val="00896234"/>
    <w:rsid w:val="00897E43"/>
    <w:rsid w:val="008B4A78"/>
    <w:rsid w:val="008C1CFE"/>
    <w:rsid w:val="008C5738"/>
    <w:rsid w:val="008C7EAD"/>
    <w:rsid w:val="008D0CFE"/>
    <w:rsid w:val="008D256F"/>
    <w:rsid w:val="008D6152"/>
    <w:rsid w:val="008E7BA9"/>
    <w:rsid w:val="008F0871"/>
    <w:rsid w:val="008F0F81"/>
    <w:rsid w:val="008F27BF"/>
    <w:rsid w:val="009102F2"/>
    <w:rsid w:val="00911FB2"/>
    <w:rsid w:val="00912F74"/>
    <w:rsid w:val="009142EC"/>
    <w:rsid w:val="009154C3"/>
    <w:rsid w:val="009227F2"/>
    <w:rsid w:val="00923540"/>
    <w:rsid w:val="00926767"/>
    <w:rsid w:val="009324BA"/>
    <w:rsid w:val="009361D5"/>
    <w:rsid w:val="009371E3"/>
    <w:rsid w:val="009428A4"/>
    <w:rsid w:val="00945AD7"/>
    <w:rsid w:val="00945E5C"/>
    <w:rsid w:val="0095176C"/>
    <w:rsid w:val="009554BE"/>
    <w:rsid w:val="009640F3"/>
    <w:rsid w:val="00965674"/>
    <w:rsid w:val="009659F4"/>
    <w:rsid w:val="00970D60"/>
    <w:rsid w:val="009746F5"/>
    <w:rsid w:val="0097793B"/>
    <w:rsid w:val="00980665"/>
    <w:rsid w:val="009855C3"/>
    <w:rsid w:val="00987628"/>
    <w:rsid w:val="0099390E"/>
    <w:rsid w:val="00994CAD"/>
    <w:rsid w:val="009960E5"/>
    <w:rsid w:val="009A65FC"/>
    <w:rsid w:val="009A7ADC"/>
    <w:rsid w:val="009B0D30"/>
    <w:rsid w:val="009B1205"/>
    <w:rsid w:val="009B45F5"/>
    <w:rsid w:val="009C19B7"/>
    <w:rsid w:val="009C5ABB"/>
    <w:rsid w:val="009D29D0"/>
    <w:rsid w:val="009D7C51"/>
    <w:rsid w:val="009E196C"/>
    <w:rsid w:val="009E7C36"/>
    <w:rsid w:val="009F2290"/>
    <w:rsid w:val="009F36BF"/>
    <w:rsid w:val="009F7DC7"/>
    <w:rsid w:val="00A111B6"/>
    <w:rsid w:val="00A17E1C"/>
    <w:rsid w:val="00A2476F"/>
    <w:rsid w:val="00A26D27"/>
    <w:rsid w:val="00A376EE"/>
    <w:rsid w:val="00A42A99"/>
    <w:rsid w:val="00A45319"/>
    <w:rsid w:val="00A4714C"/>
    <w:rsid w:val="00A5151A"/>
    <w:rsid w:val="00A53B65"/>
    <w:rsid w:val="00A57E0A"/>
    <w:rsid w:val="00A610F1"/>
    <w:rsid w:val="00A729DD"/>
    <w:rsid w:val="00A80558"/>
    <w:rsid w:val="00A823F6"/>
    <w:rsid w:val="00A8401A"/>
    <w:rsid w:val="00A8719E"/>
    <w:rsid w:val="00AA0A89"/>
    <w:rsid w:val="00AA6429"/>
    <w:rsid w:val="00AB2632"/>
    <w:rsid w:val="00AB3DEA"/>
    <w:rsid w:val="00AC01AA"/>
    <w:rsid w:val="00AC4F72"/>
    <w:rsid w:val="00AD082E"/>
    <w:rsid w:val="00AD34B5"/>
    <w:rsid w:val="00AF09A3"/>
    <w:rsid w:val="00AF741A"/>
    <w:rsid w:val="00B01ADB"/>
    <w:rsid w:val="00B04161"/>
    <w:rsid w:val="00B056F9"/>
    <w:rsid w:val="00B0691B"/>
    <w:rsid w:val="00B06E04"/>
    <w:rsid w:val="00B11E3D"/>
    <w:rsid w:val="00B145BD"/>
    <w:rsid w:val="00B16661"/>
    <w:rsid w:val="00B17648"/>
    <w:rsid w:val="00B17E82"/>
    <w:rsid w:val="00B21709"/>
    <w:rsid w:val="00B4575A"/>
    <w:rsid w:val="00B46B70"/>
    <w:rsid w:val="00B575BA"/>
    <w:rsid w:val="00B71608"/>
    <w:rsid w:val="00B73C8D"/>
    <w:rsid w:val="00B76429"/>
    <w:rsid w:val="00B86471"/>
    <w:rsid w:val="00B87CBC"/>
    <w:rsid w:val="00B9524E"/>
    <w:rsid w:val="00B956D4"/>
    <w:rsid w:val="00B96F13"/>
    <w:rsid w:val="00B97446"/>
    <w:rsid w:val="00BA7432"/>
    <w:rsid w:val="00BB2764"/>
    <w:rsid w:val="00BC0D43"/>
    <w:rsid w:val="00BC1AA0"/>
    <w:rsid w:val="00BC2495"/>
    <w:rsid w:val="00BC4C7B"/>
    <w:rsid w:val="00BC5675"/>
    <w:rsid w:val="00BC7E7E"/>
    <w:rsid w:val="00BC7EB9"/>
    <w:rsid w:val="00BD2643"/>
    <w:rsid w:val="00BD2ED1"/>
    <w:rsid w:val="00BD429F"/>
    <w:rsid w:val="00BD56B1"/>
    <w:rsid w:val="00BD6558"/>
    <w:rsid w:val="00BE070C"/>
    <w:rsid w:val="00BE0BCF"/>
    <w:rsid w:val="00BE3A36"/>
    <w:rsid w:val="00BF1136"/>
    <w:rsid w:val="00BF2F76"/>
    <w:rsid w:val="00BF3022"/>
    <w:rsid w:val="00BF3214"/>
    <w:rsid w:val="00BF5573"/>
    <w:rsid w:val="00BF70DC"/>
    <w:rsid w:val="00C02951"/>
    <w:rsid w:val="00C15867"/>
    <w:rsid w:val="00C170DF"/>
    <w:rsid w:val="00C17E88"/>
    <w:rsid w:val="00C2296D"/>
    <w:rsid w:val="00C23155"/>
    <w:rsid w:val="00C27435"/>
    <w:rsid w:val="00C33069"/>
    <w:rsid w:val="00C40C41"/>
    <w:rsid w:val="00C42080"/>
    <w:rsid w:val="00C45885"/>
    <w:rsid w:val="00C50F22"/>
    <w:rsid w:val="00C52DED"/>
    <w:rsid w:val="00C57971"/>
    <w:rsid w:val="00C65BD7"/>
    <w:rsid w:val="00C76BA4"/>
    <w:rsid w:val="00C76BBA"/>
    <w:rsid w:val="00C83A48"/>
    <w:rsid w:val="00C84726"/>
    <w:rsid w:val="00C85865"/>
    <w:rsid w:val="00C85E85"/>
    <w:rsid w:val="00C961CF"/>
    <w:rsid w:val="00CA2EAE"/>
    <w:rsid w:val="00CA4AC1"/>
    <w:rsid w:val="00CA70DA"/>
    <w:rsid w:val="00CB0316"/>
    <w:rsid w:val="00CB0B11"/>
    <w:rsid w:val="00CB2386"/>
    <w:rsid w:val="00CB426A"/>
    <w:rsid w:val="00CB5354"/>
    <w:rsid w:val="00CB5A00"/>
    <w:rsid w:val="00CC3C9E"/>
    <w:rsid w:val="00CC6A14"/>
    <w:rsid w:val="00CC6E10"/>
    <w:rsid w:val="00CC70A3"/>
    <w:rsid w:val="00CD1238"/>
    <w:rsid w:val="00CD2891"/>
    <w:rsid w:val="00CD356C"/>
    <w:rsid w:val="00CD4442"/>
    <w:rsid w:val="00CD53C3"/>
    <w:rsid w:val="00CD574E"/>
    <w:rsid w:val="00CD62D7"/>
    <w:rsid w:val="00CE4C22"/>
    <w:rsid w:val="00CE76E5"/>
    <w:rsid w:val="00CF2BD3"/>
    <w:rsid w:val="00CF41EC"/>
    <w:rsid w:val="00CF5D04"/>
    <w:rsid w:val="00D04DE4"/>
    <w:rsid w:val="00D063F1"/>
    <w:rsid w:val="00D14F22"/>
    <w:rsid w:val="00D17A53"/>
    <w:rsid w:val="00D2272A"/>
    <w:rsid w:val="00D23493"/>
    <w:rsid w:val="00D3338C"/>
    <w:rsid w:val="00D4741C"/>
    <w:rsid w:val="00D529BF"/>
    <w:rsid w:val="00D54A4C"/>
    <w:rsid w:val="00D5647A"/>
    <w:rsid w:val="00D56E65"/>
    <w:rsid w:val="00D57918"/>
    <w:rsid w:val="00D60FE9"/>
    <w:rsid w:val="00D73DC6"/>
    <w:rsid w:val="00D73E37"/>
    <w:rsid w:val="00D74C1A"/>
    <w:rsid w:val="00D754C1"/>
    <w:rsid w:val="00D77393"/>
    <w:rsid w:val="00D77A35"/>
    <w:rsid w:val="00D80BC7"/>
    <w:rsid w:val="00D81B3E"/>
    <w:rsid w:val="00D850F0"/>
    <w:rsid w:val="00D90835"/>
    <w:rsid w:val="00D90C70"/>
    <w:rsid w:val="00D90E49"/>
    <w:rsid w:val="00D926AE"/>
    <w:rsid w:val="00D96ADE"/>
    <w:rsid w:val="00DA0CE2"/>
    <w:rsid w:val="00DB1731"/>
    <w:rsid w:val="00DC6A10"/>
    <w:rsid w:val="00DD18F7"/>
    <w:rsid w:val="00DD4527"/>
    <w:rsid w:val="00DE657E"/>
    <w:rsid w:val="00DF4704"/>
    <w:rsid w:val="00DF5E8F"/>
    <w:rsid w:val="00E024AA"/>
    <w:rsid w:val="00E0411C"/>
    <w:rsid w:val="00E15C77"/>
    <w:rsid w:val="00E1785E"/>
    <w:rsid w:val="00E20187"/>
    <w:rsid w:val="00E2345F"/>
    <w:rsid w:val="00E24BD0"/>
    <w:rsid w:val="00E250F1"/>
    <w:rsid w:val="00E25D90"/>
    <w:rsid w:val="00E3550D"/>
    <w:rsid w:val="00E37C94"/>
    <w:rsid w:val="00E43431"/>
    <w:rsid w:val="00E457D7"/>
    <w:rsid w:val="00E5269F"/>
    <w:rsid w:val="00E52838"/>
    <w:rsid w:val="00E54730"/>
    <w:rsid w:val="00E55958"/>
    <w:rsid w:val="00E614E0"/>
    <w:rsid w:val="00E67CB1"/>
    <w:rsid w:val="00E73345"/>
    <w:rsid w:val="00E73F7F"/>
    <w:rsid w:val="00E75CDA"/>
    <w:rsid w:val="00E8228E"/>
    <w:rsid w:val="00E84863"/>
    <w:rsid w:val="00E85409"/>
    <w:rsid w:val="00E86C31"/>
    <w:rsid w:val="00EA429F"/>
    <w:rsid w:val="00EA4F9E"/>
    <w:rsid w:val="00EA63CA"/>
    <w:rsid w:val="00EA6D3B"/>
    <w:rsid w:val="00EB00AD"/>
    <w:rsid w:val="00EB136C"/>
    <w:rsid w:val="00EB480E"/>
    <w:rsid w:val="00EB5EC6"/>
    <w:rsid w:val="00EB7FC9"/>
    <w:rsid w:val="00ED12B9"/>
    <w:rsid w:val="00ED27E8"/>
    <w:rsid w:val="00ED441D"/>
    <w:rsid w:val="00ED7137"/>
    <w:rsid w:val="00EE5919"/>
    <w:rsid w:val="00EE6257"/>
    <w:rsid w:val="00EF06EA"/>
    <w:rsid w:val="00F06609"/>
    <w:rsid w:val="00F068BB"/>
    <w:rsid w:val="00F21088"/>
    <w:rsid w:val="00F25163"/>
    <w:rsid w:val="00F25EE7"/>
    <w:rsid w:val="00F26833"/>
    <w:rsid w:val="00F27B9C"/>
    <w:rsid w:val="00F327E7"/>
    <w:rsid w:val="00F35746"/>
    <w:rsid w:val="00F447C7"/>
    <w:rsid w:val="00F459B4"/>
    <w:rsid w:val="00F5211B"/>
    <w:rsid w:val="00F554A9"/>
    <w:rsid w:val="00F631EF"/>
    <w:rsid w:val="00F70693"/>
    <w:rsid w:val="00F716FD"/>
    <w:rsid w:val="00F80355"/>
    <w:rsid w:val="00F87C43"/>
    <w:rsid w:val="00F96793"/>
    <w:rsid w:val="00F96A3D"/>
    <w:rsid w:val="00FA03A8"/>
    <w:rsid w:val="00FA10F3"/>
    <w:rsid w:val="00FA5722"/>
    <w:rsid w:val="00FA70A7"/>
    <w:rsid w:val="00FB0C81"/>
    <w:rsid w:val="00FB0DB1"/>
    <w:rsid w:val="00FC0F15"/>
    <w:rsid w:val="00FC2200"/>
    <w:rsid w:val="00FC2540"/>
    <w:rsid w:val="00FD10B7"/>
    <w:rsid w:val="00FE05F6"/>
    <w:rsid w:val="00FF0204"/>
    <w:rsid w:val="00FF15E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1B72015E"/>
  <w15:docId w15:val="{0B01DC81-B8B6-4484-8CFC-7924AD92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locked="1"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sz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7167D7"/>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
    <w:basedOn w:val="DefaultParagraphFont"/>
    <w:link w:val="Heading4"/>
    <w:uiPriority w:val="9"/>
    <w:semiHidden/>
    <w:rsid w:val="007167D7"/>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7167D7"/>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7167D7"/>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7167D7"/>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7167D7"/>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7167D7"/>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7167D7"/>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locked/>
    <w:rsid w:val="00FA10F3"/>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7167D7"/>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167D7"/>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7167D7"/>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7167D7"/>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7167D7"/>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7167D7"/>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uiPriority w:val="99"/>
    <w:qFormat/>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uiPriority w:val="99"/>
    <w:locked/>
    <w:rPr>
      <w:rFonts w:cs="Times New Roman"/>
      <w:sz w:val="22"/>
      <w:szCs w:val="22"/>
      <w:lang w:val="en-GB"/>
    </w:rPr>
  </w:style>
  <w:style w:type="paragraph" w:styleId="Revision">
    <w:name w:val="Revision"/>
    <w:hidden/>
    <w:uiPriority w:val="99"/>
    <w:semiHidden/>
    <w:rPr>
      <w:lang w:val="en-GB"/>
    </w:rPr>
  </w:style>
  <w:style w:type="table" w:customStyle="1" w:styleId="Calendar2">
    <w:name w:val="Calendar 2"/>
    <w:uiPriority w:val="99"/>
    <w:pPr>
      <w:jc w:val="center"/>
    </w:pPr>
    <w:rPr>
      <w:sz w:val="28"/>
      <w:szCs w:val="28"/>
    </w:rPr>
    <w:tblPr>
      <w:tblInd w:w="0" w:type="dxa"/>
      <w:tblBorders>
        <w:insideV w:val="single" w:sz="4" w:space="0" w:color="95B3D7"/>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7167D7"/>
    <w:pPr>
      <w:numPr>
        <w:numId w:val="16"/>
      </w:numPr>
    </w:pPr>
  </w:style>
  <w:style w:type="numbering" w:styleId="1ai">
    <w:name w:val="Outline List 1"/>
    <w:basedOn w:val="NoList"/>
    <w:uiPriority w:val="99"/>
    <w:semiHidden/>
    <w:unhideWhenUsed/>
    <w:locked/>
    <w:rsid w:val="007167D7"/>
    <w:pPr>
      <w:numPr>
        <w:numId w:val="17"/>
      </w:numPr>
    </w:pPr>
  </w:style>
  <w:style w:type="numbering" w:styleId="ArticleSection">
    <w:name w:val="Outline List 3"/>
    <w:basedOn w:val="NoList"/>
    <w:uiPriority w:val="99"/>
    <w:semiHidden/>
    <w:unhideWhenUsed/>
    <w:locked/>
    <w:rsid w:val="007167D7"/>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167805">
      <w:marLeft w:val="0"/>
      <w:marRight w:val="0"/>
      <w:marTop w:val="0"/>
      <w:marBottom w:val="0"/>
      <w:divBdr>
        <w:top w:val="none" w:sz="0" w:space="0" w:color="auto"/>
        <w:left w:val="none" w:sz="0" w:space="0" w:color="auto"/>
        <w:bottom w:val="none" w:sz="0" w:space="0" w:color="auto"/>
        <w:right w:val="none" w:sz="0" w:space="0" w:color="auto"/>
      </w:divBdr>
    </w:div>
    <w:div w:id="807167806">
      <w:marLeft w:val="0"/>
      <w:marRight w:val="0"/>
      <w:marTop w:val="0"/>
      <w:marBottom w:val="0"/>
      <w:divBdr>
        <w:top w:val="none" w:sz="0" w:space="0" w:color="auto"/>
        <w:left w:val="none" w:sz="0" w:space="0" w:color="auto"/>
        <w:bottom w:val="none" w:sz="0" w:space="0" w:color="auto"/>
        <w:right w:val="none" w:sz="0" w:space="0" w:color="auto"/>
      </w:divBdr>
      <w:divsChild>
        <w:div w:id="80716780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UNEP/OzL.Pro/ExCom/88/68</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57B647-A9D9-4BBD-8197-D6646BFF613F}"/>
</file>

<file path=customXml/itemProps2.xml><?xml version="1.0" encoding="utf-8"?>
<ds:datastoreItem xmlns:ds="http://schemas.openxmlformats.org/officeDocument/2006/customXml" ds:itemID="{6C021713-98E4-41DC-8900-1085F60FF0E5}"/>
</file>

<file path=customXml/itemProps3.xml><?xml version="1.0" encoding="utf-8"?>
<ds:datastoreItem xmlns:ds="http://schemas.openxmlformats.org/officeDocument/2006/customXml" ds:itemID="{5F3E60F2-41CC-4014-BF74-CD39517E11E3}"/>
</file>

<file path=docProps/app.xml><?xml version="1.0" encoding="utf-8"?>
<Properties xmlns="http://schemas.openxmlformats.org/officeDocument/2006/extended-properties" xmlns:vt="http://schemas.openxmlformats.org/officeDocument/2006/docPropsVTypes">
  <Template>Eec88G</Template>
  <TotalTime>5</TotalTime>
  <Pages>1</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行政费用机制和核心单位供资分析（第86/92号决定（c）段）</vt:lpstr>
    </vt:vector>
  </TitlesOfParts>
  <Company>UNMFS</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行政费用机制和核心单位供资分析（第86/92号决定（c）段）</dc:title>
  <dc:subject/>
  <dc:creator>Anthoula Dounavis</dc:creator>
  <cp:keywords/>
  <dc:description/>
  <cp:lastModifiedBy>HBE</cp:lastModifiedBy>
  <cp:revision>4</cp:revision>
  <cp:lastPrinted>2001-05-26T16:40:00Z</cp:lastPrinted>
  <dcterms:created xsi:type="dcterms:W3CDTF">2021-11-07T13:29:00Z</dcterms:created>
  <dcterms:modified xsi:type="dcterms:W3CDTF">2021-11-22T04:25:00Z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UNEP/OzL.Pro/ExCom/88/68</vt:lpwstr>
  </property>
  <property fmtid="{D5CDD505-2E9C-101B-9397-08002B2CF9AE}" pid="3" name="Revision date">
    <vt:lpwstr>11/12/2021</vt:lpwstr>
  </property>
  <property fmtid="{D5CDD505-2E9C-101B-9397-08002B2CF9AE}" pid="4" name="ContentTypeId">
    <vt:lpwstr>0x010100BF0B249387EB3B4695C68AD565FAA1BB</vt:lpwstr>
  </property>
</Properties>
</file>