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520"/>
        <w:gridCol w:w="3870"/>
        <w:gridCol w:w="3870"/>
      </w:tblGrid>
      <w:tr w:rsidR="008B3228" w:rsidRPr="007559BF" w14:paraId="7D619637" w14:textId="77777777" w:rsidTr="0046350A">
        <w:trPr>
          <w:trHeight w:val="720"/>
        </w:trPr>
        <w:tc>
          <w:tcPr>
            <w:tcW w:w="6390" w:type="dxa"/>
            <w:gridSpan w:val="2"/>
            <w:tcBorders>
              <w:bottom w:val="single" w:sz="18" w:space="0" w:color="auto"/>
            </w:tcBorders>
          </w:tcPr>
          <w:p w14:paraId="2424BE5E" w14:textId="77777777" w:rsidR="008B3228" w:rsidRPr="007559BF" w:rsidRDefault="008B3228" w:rsidP="004635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Pr>
                <w:rFonts w:ascii="Univers" w:hAnsi="Univers"/>
                <w:b/>
                <w:sz w:val="28"/>
                <w:szCs w:val="28"/>
                <w:lang w:val="fr-CA"/>
              </w:rPr>
              <w:t>NATIONS</w:t>
            </w:r>
          </w:p>
          <w:p w14:paraId="30A7F4F1" w14:textId="77777777" w:rsidR="008B3228" w:rsidRPr="007559BF" w:rsidRDefault="008B3228" w:rsidP="004635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Pr>
                <w:rFonts w:ascii="Univers" w:hAnsi="Univers"/>
                <w:b/>
                <w:sz w:val="28"/>
                <w:szCs w:val="28"/>
                <w:lang w:val="fr-CA"/>
              </w:rPr>
              <w:t>UNIES</w:t>
            </w:r>
          </w:p>
        </w:tc>
        <w:tc>
          <w:tcPr>
            <w:tcW w:w="3870" w:type="dxa"/>
            <w:tcBorders>
              <w:bottom w:val="single" w:sz="18" w:space="0" w:color="auto"/>
            </w:tcBorders>
          </w:tcPr>
          <w:p w14:paraId="366C8CC8" w14:textId="77777777" w:rsidR="008B3228" w:rsidRPr="007559BF" w:rsidRDefault="008B3228" w:rsidP="0046350A">
            <w:pPr>
              <w:jc w:val="right"/>
              <w:rPr>
                <w:sz w:val="52"/>
                <w:szCs w:val="52"/>
                <w:lang w:val="fr-CA"/>
              </w:rPr>
            </w:pPr>
            <w:r>
              <w:rPr>
                <w:rFonts w:ascii="Univers Bold" w:hAnsi="Univers Bold"/>
                <w:b/>
                <w:sz w:val="72"/>
                <w:lang w:val="fr-CA"/>
              </w:rPr>
              <w:t>EP</w:t>
            </w:r>
          </w:p>
        </w:tc>
      </w:tr>
      <w:tr w:rsidR="008B3228" w:rsidRPr="00511A09" w14:paraId="036B1450" w14:textId="77777777" w:rsidTr="004635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4"/>
        </w:trPr>
        <w:tc>
          <w:tcPr>
            <w:tcW w:w="2520" w:type="dxa"/>
            <w:tcBorders>
              <w:top w:val="nil"/>
              <w:left w:val="nil"/>
              <w:bottom w:val="single" w:sz="36" w:space="0" w:color="auto"/>
              <w:right w:val="nil"/>
            </w:tcBorders>
          </w:tcPr>
          <w:p w14:paraId="23CCB9B6" w14:textId="6EE15261" w:rsidR="008B3228" w:rsidRPr="007559BF" w:rsidRDefault="008B3228" w:rsidP="0046350A">
            <w:pPr>
              <w:spacing w:before="120"/>
              <w:rPr>
                <w:lang w:val="fr-CA"/>
              </w:rPr>
            </w:pPr>
            <w:r>
              <w:rPr>
                <w:noProof/>
                <w:lang w:val="fr-CA"/>
              </w:rPr>
              <w:drawing>
                <wp:inline distT="0" distB="0" distL="0" distR="0" wp14:anchorId="492D7E18" wp14:editId="714B3110">
                  <wp:extent cx="1177290" cy="95250"/>
                  <wp:effectExtent l="0" t="0" r="0" b="0"/>
                  <wp:docPr id="153846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7290" cy="95250"/>
                          </a:xfrm>
                          <a:prstGeom prst="rect">
                            <a:avLst/>
                          </a:prstGeom>
                          <a:noFill/>
                          <a:ln>
                            <a:noFill/>
                          </a:ln>
                        </pic:spPr>
                      </pic:pic>
                    </a:graphicData>
                  </a:graphic>
                </wp:inline>
              </w:drawing>
            </w:r>
            <w:r>
              <w:rPr>
                <w:noProof/>
                <w:lang w:val="fr-CA" w:eastAsia="zh-CN"/>
              </w:rPr>
              <mc:AlternateContent>
                <mc:Choice Requires="wpg">
                  <w:drawing>
                    <wp:anchor distT="0" distB="0" distL="114300" distR="114300" simplePos="0" relativeHeight="251659264" behindDoc="0" locked="0" layoutInCell="1" allowOverlap="1" wp14:anchorId="005DA8E3" wp14:editId="3EE83FB8">
                      <wp:simplePos x="0" y="0"/>
                      <wp:positionH relativeFrom="column">
                        <wp:posOffset>3810</wp:posOffset>
                      </wp:positionH>
                      <wp:positionV relativeFrom="paragraph">
                        <wp:posOffset>32385</wp:posOffset>
                      </wp:positionV>
                      <wp:extent cx="844550" cy="1573530"/>
                      <wp:effectExtent l="0" t="0" r="0" b="7620"/>
                      <wp:wrapNone/>
                      <wp:docPr id="150906448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573530"/>
                                <a:chOff x="0" y="0"/>
                                <a:chExt cx="844550" cy="1573619"/>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05269"/>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margin">
                        <wp14:pctHeight>0</wp14:pctHeight>
                      </wp14:sizeRelV>
                    </wp:anchor>
                  </w:drawing>
                </mc:Choice>
                <mc:Fallback>
                  <w:pict>
                    <v:group w14:anchorId="09045526" id="Group 2" o:spid="_x0000_s1026" style="position:absolute;margin-left:.3pt;margin-top:2.55pt;width:66.5pt;height:123.9pt;z-index:251659264;mso-height-relative:margin" coordsize="8445,15736"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AAbIFjnQIAAM4HAAAOAAAAZHJzL2Uyb0RvYy54bWzUVV1vmzAUfZ+0/2D5 vSGBkjCUpJrWD03qumhbf4BjDFjFH7KdkPz7XRtCm2TTpmrS1AfQtY3vPefcYzy/2okGbZmxXMkF nozGGDFJVcFltcCPP24vMoysI7IgjZJsgffM4qvl+3fzVucsVrVqCmYQJJE2b/UC187pPIosrZkg dqQ0k7BYKiOIg6GposKQFrKLJorH42nUKlNooyizFmavu0W8DPnLklH3tSwtc6hZYMDmwtuE99q/ o+Wc5JUhuua0h0FegUIQLqHokOqaOII2hp+lEpwaZVXpRlSJSJUlpyxwADaT8QmbO6M2OnCp8rbS g0wg7YlOr05LH7Z3Rn/XK9Ohh/Be0ScLukStrvKX635cPX+8K43wm4AE2gVF94OibOcQhcns8jJN QXcKS5N0lqRJLzmtoS9n22h985uN08kH36uI5F3ZAG4AoznN4ekFguhMoD8bCXa5jWG4TyL+Kocg 5mmjL6CXmji+5g13++BL6JoHJbcrTr22fgBargzixQLHGEki4DjAqi+KYKJgloIxHx9uVp7pYUO3 nXh6oTFIqk81kRX7aDW4G2QNuhx/HvnhUe11w/UtbxrfMB/3LKHgiZN+IVTn0mtFN4JJ1x07wxog rKStubYYmZyJNQNm5nMxgXbDkXdATxsuXXfGrKHfAG84b9YZ5mjtsZSAqZ+H3g4LgcAzZk/HgkfR uv2iCkhMNk6BxAc3DCacJt5tYLbZNPNhKDeYMcngl9GZMRun8fTYUqCxse6OKYF8AFwAbyhCtvfW IweEh098bam8on7+gK8PYdg1EII348nk1JPJ27YhHKn/ZsPOg6f2i+MkTjv7zZJxlqXh5D57+OCt f2K/8IOESyO4tr/g/K30cgzxy2t4+RMAAP//AwBQSwMECgAAAAAAAAAhAH4VrL8SBgAAEgYAABQA AABkcnMvbWVkaWEvaW1hZ2UxLnBuZ4lQTkcNChoKAAAADUlIRFIAAADAAAAAqgEDAAAAwX3SeAAA AAFzUkdCAK7OHOkAAAAEZ0FNQQAAsY8L/GEFAAAAIGNIUk0AAHomAACAhAAA+gAAAIDoAAB1MAAA 6mAAADqYAAAXcJy6UTwAAAAGUExURQAAAP///6XZn90AAAAJcEhZcwAAIdUAACHVAQSctJ0AAAVp SURBVFjDzdc9bhw3FABgjicQXQShSheCiNwgpQonzFGSG6R0ISxns0a23CPoKKawAVzqCKagQqW4 UGEGYci8H3J+tKveCyQW5tsh+d7j34ryykd86/BwEpKJwpyCUJw4+cZtGeRJ6DO09BnbtAvIMnaF e5ELiDJI6AUfugUE5U0WBH41B69vWyPRmBk480bCyCgitZvg07ASwnqOcLsdIVsBQ1JREzzvR0i5 g7/6JAPJ/Qgx99C/WPX8jh/hkHhA60z/BtvgPioedIE3i4oj7OMVxZYMjth9MA024Veha/bhvYsR +iBqoJjbcNYgSy9UTT88S90vFZKcqvcF/hsuGyin58ULl5Yhqu2iqkmbBov5UYrWDEHbJdyNsHxe nhSDfwlYSwKTF508TeAXnTxX+OrscnaGsqnwoVtANAyPzvfLABXDnXOcQlFzn/pbhvVADyD33GTu GG42vGQGIeraEQz6T55c8LyWZfid4SO1EBF4FO5HhKx5LXkEDsifV9Cti9pJIEhmMDxY/GhulYG6 SAyS//5K0I99194zQTSqhocfDnEg0HoaVB2WeyAwT/h3BaqMJ7i0dzza3rdhBYRwWXY8WhkrfI0V NGdKpZqt53SPoJPmMHSugRwyQzQcBu4NFEiEJY/gG5QaSLQMznJ8ExiGwXJ8BLQuNIMoc7A4TQgu RQ18hCwZulomGi6WKvcI8aJfAEbbbxDe9bV+FDnlpGOQFShXlJM1Qnqn6qTqQ4OB4LzmUMhxzrkt wPW54RxKdtpJEVbnlqDN+AkoCaItUEpvUEXkVUdrZVw2G8yi+gKwXE74+S9qACP/PYL0GmR9I5JR z9Rb+3S43RqE3QMWsErGEsZitEj6hoAlU22jZdi3kpda9GhXAOpmwyDrWsDJcG0AMCTPX/UNkhGw nffjE1cB5uAcLC9QnD4IfW7AswRBBQJZgScDgbcid+k0lBmkBhI3PTGCmgFUUFyrBnGEAWA4hizX CO9PQAfgRpAT9Ajv9EsoZwgegSanDG03OZO4Pk7AXwpn+1tzBB8R0tufj0F/Qrh+CU9/G4DV99e1 pgw9burWiGLFtT0CeFrsEF/CzuGdwDiANAHkenebEDzsPktQDwj6BDxGABUA8gSQUvkYIMBthCvE ArJ88gAbhDIBfEveYWnX6RgKVZDO2glgJLJQBS3CMBYKIVMFDa4zN9YcopWJQB9DxAp6FetsUG3d 4L0NQC6gI8AKhh4BB6QbKEfQRfWJ8k6TuifQOBlEVDe86dddKyo456Dm4kMFU4+JqHBxQf7ewz0v t9NAlxQvYcx4FF6oz5QTAlP+iRd0QJbhB72nnNhM8R3i+47AncEej6HbQvHdxyu+ZfheOQoE24Pv 3sY/FEHoECJDjze63zRB6naOJhB2BN/dRGdxVLmInYMJj60MuMv2cZ0JrJN4LRp6HIGFMyLIRE2Z SIC3Ftfh4QEHIF8/ivSYCNwHJC7yUA4Eu7LHGtJeo/ELh7In2JfngDv9HV8so3rEHUzQ9TbOLvPw dqqR2wVAc6FGDl+Zbfxw8g4cOdzx8wwc1MtwSkSXZ1cyZzFMBKiCmQFsVbidCD6XhgnWkU6jegDP 7oNw15AVYBZemREkpZhvr0J8N0K+rOcCHxrjaVfST3zNof+5en0q/Ho/wvyXkq9nz3QLbdfnzPei EQZsYdaXmJoW2ot6jZoBrto3dVeaA76gvBpEu3UyPNPmY7ef68qZDRfbyPrAF1U9At9Hok02iNa/ aF13OCna8hyBjtotBjm0UEQbbckKp1hsP1GmlCQY52Eq5AT4WyjaE+DrW0eAv9CyPgGUdnUC1Lwo M8iqtfcS9CvAn6fXoHwb8D9bWfd7N7eRwAAAAABJRU5ErkJgglBLAwQKAAAAAAAAACEA4IndHG0J AABtCQAAFAAAAGRycy9tZWRpYS9pbWFnZTIucG5niVBORw0KGgoAAAANSUhEUgAAAMYAAACwAQMA AABuLoPCAAAAAXNSR0IArs4c6QAAAARnQU1BAACxjwv8YQUAAAAgY0hSTQAAeiYAAICEAAD6AAAA gOgAAHUwAADqYAAAOpgAABdwnLpRPAAAAAZQTFRFAAAA////pdmf3QAAAAlwSFlzAAAh1QAAIdUB BJy0nQAACMRJREFUWMPN109vG8cVAPA3HpvjA8tVkUMIWOWo6BeQkUMZlNWoaIH0VPTYWxnoA4SC D2UQ1rssjegilD32YETHXnPMzaMwCFXAsHrsqRlijehiIMOoSFfwel/fm9mVZUc+9VIFpBn+uDNv 3/zZN4Bv+Cvh/0t8+gZxAPpaqQBAXCtOFhUkr8s39IK0wEK8LnP6qLBAzNJXpaKenSF5XlBz/7ki hUGc0j+oK4n4/Iq4FCtF8kyjRby4IjYNlxUPwt2W6aU8onfHjdJ1pcbSXMoOxXrMsqQ3RXhWSzUR /AXJOb3NqMvzWsqxDHHz/XCzlVzXUngVAwCICRdFLZ7Ec3oAOASDUKRRnEtwxZeMC0i53WxSy7H9 ES7oB7pAS68E7cA08i79LwJFUMoTXKLd1FGmdp+a4Fynpxlgjq6RWZZTt55ynX7jgYJxnSSKnC4o GBfuh2Lw+OmlzA7oglmQEoxLP2upIN/JRK10lQSpQH9uHtbytdxMFvOQBJZkrp8oGaU1Sg6WHhvR 86WM8kXL6Xm+4gFMnlfQMgermTQsh8oavaYkeKDk0GvhcvkoSnbfFAc0owCSlG/V3xNHLG0FZcqD LIpSnGcC1/5OLS0WSgJn9BaJL5LpnKRqt2mkSCzFVtyylNhSNUKjS3NTklRwAmk5kdODILfVGtdL SgLP6wGY8r4IUrYhyTFfFDyvaQBAVwYaMUtc5D7mmgRNdjyL8oclHvhVzPVtWlw6+0UtyznOi1/W eaP5M7eCpWjL+Rx1qeJM/BOLE1OWjkp01YwPDb3E009r6ZAYkiOWqZO4/Gstmz1D6aHWMprc4AQu n9TSZSkWNDsEVhu/FZifiizI9g6t9/UKXdeasj+hYTg7jjIcpBe48jgtyqQYG0jX+SqKneAa8+J+ UqD01dtZul6tIUg2JlmWE1PgKkdt07W/CJJkBc3lg6pPvfkl3nFp4VOSaqzggmSOgtdCgok3hTdB WoLaQk3Tl6VS35mi0EE6tRzwaOvqFpoySr8jz/G0MuEaq0h0OUngGUmblv+c5IckJwqDKHgK1aCt qP8yrfpY5JnCB3hEIkg2b9M0OKKUTtLP3gNJK2xe3ZdR3jqjBrD8jQENuyk1UO2IKO+QUFhSgwIw 33I4QnwBVQfuLVm8OKRNBLRjgSh7SzQXaCH8tR0uK5PNSFqQ08c1y22S7pBue8fKByRiwcI7fJsv CrLLckPMqOF1yX3Q2oJfswzVTaikZDlnSbmvf+AZ7mxHkSy07UGIYoOkt90hEUrNq5RF8BqGbZZu kI9ZchLJIv7NsrnZhgoOFeUzv7AgUpaSpUOCtaxJ+Kkl6TNJl+WxyuLt/+2Rix+gp/osJ0kUsTjy l7JNkv0u4dZWVvydRYXW5BVZkqiChSOQfpPubhzky12QLJJFS8ey/Tbfz5/pyxvP6qiNYHHbb7F8 sgs3W8V18vBX0E5YHlKujbADwNH23dMqtf96L4PkLxRx/6VskBjbOXNDDVGqnwtLS6+/sU+Stfbc +1+xfMiSsQw2RjxZWve8/T0/gS5o7rybWVpZvQ1P8wDkfnnY4XFdB8meAX4CjroEefFCwxaN65rm 6H42fQw4FyQaqAQwlseVF8a+ZTmYBhElTXpoTZGn/76Vh4CzY3cWZMxbmCTRJOoh4OLY7T3tgKju stzkfJbvO0XZOc7tXuiAnxLDbkpNlyvX4Vw3Qg9VsFsp3Vzh3CbLPfqP5SBMt3TO4geUN/eO3ee5 Sa15AfCVrtIL5/ssP7P7PEWqH9Pk3QLq5Y9r50ck/o79kGUyTu3KQUW74NoVjiWxY5ZxqY8fWTGh fencXXCuvbLjf5LsozrptWBAkruPMpJC2ckJyR5mu7Ti+rwLuo/C/ibt5AOSZQga7vIu6O6zlMI+ +YDC5gcyxMSRCBZwT34aSjdedrT3L2n3n7BU4L421JCp5QXLWAYZnmnP14R+lKHHx3DEgrCV9yru J6yenxiNveFIkTzPtvI5ctdBRlpXg+GQ5YXdyOf06BVRxj3DknBsbmO15J0gymAzLcfDXc3ieVrl FFyIoNfFYuwyftaXY3A5rqCVhKhbG1RNuSzlqAfg9tFvJbOQgxY/0R2cs/TAjbAYISWL/pIFrpwT ZyxJ5sZcixVqzUmaUaq9WvKdKusGqdehFiOhx5z1SRTnBiZPMEZNsc0zKkxYpHc9szzgAq5L++gk peZTvlOclkOt51xB8pa5Ue3ozJV8p5iVI6p+fC0Ce0asiiB2Z5R8abhGYlF4mIrch3rH6tEPbMrF JQtVfJXIXRCX+JvDUJCyGFx9K85CdtAp39oORSxv5ynmT8UphLrKy6LVTbnmWyMX8svHsopSQNFq G35grpGKA0zakor2KJMbipNDYhVluCt9rNJKGEj5MfdHEVB5NegqG6WCnhSfY5yiVIKP+yqL1SBC Swou7LJQEa98P4G6tsykhHAksVxFL1y/A3WlaoXIJlxfr1mUHW1CXfc6mGY7SS2ltqMu1LUyVSaZ mdVSpNloG5pqHYTVrhaL4IeiliMSqheiUGb8rqpl6YRLKDksVDoIlyW1rGjZKSo2WGhghIOdpo43 GdX4jnNNySulg7Kp/ZWnFBaShM8HkgasOS/QfkhtgaaR46lq9fFl1NR4nIg0PJ5mtmzOJaBiZnkW 0OHgyDdR01dV/AUfb5xGaKKm9Gu4PP5Z4/jAF8WBzEwjWRUajUIL1F3KNBTgtdAC3bg8Mco4tFF4 BjTHwqodYm/OZvFOsPmVeinZy1Mmbwr6ykkPLs+cLkytl6dDXhxhKlHO4+XNWTPDpg6hU5Z59eTK W/bmlVNtLQabyiB0f3ol6rAVKNq+w0VXYovV1qSt+YN05pWo6RtvZNjIXo2aO7C0rKEJojkHQ3zQ eZM1iWqipvY1zcUy8U1yGynph4Wmk2kZJ8NrZ/SUD9BZfa9XxYZXUZ/6r8q0vg6/JxySN9dIFc7I +hrhBRTfXpfw82sldBGa/N416Zsk/iVvFPyf5L+6UxhS3w0grQAAAABJRU5ErkJgglBLAwQUAAYA CAAAACEA1QfvP9wAAAAGAQAADwAAAGRycy9kb3ducmV2LnhtbEyOTUvDQBRF94L/YXiCOzv5IEVj Xkop6qoItoK4m2Zek9DMm5CZJum/d7qyy8u9nHuK1Ww6MdLgWssI8SICQVxZ3XKN8L1/f3oG4bxi rTrLhHAhB6vy/q5QubYTf9G487UIEHa5Qmi873MpXdWQUW5he+LQHe1glA9xqKUe1BTgppNJFC2l US2Hh0b1tGmoOu3OBuFjUtM6jd/G7em4ufzus8+fbUyIjw/z+hWEp9n/j+GqH9ShDE4He2btRIew DDuELAZxLdM05ANCkiUvIMtC3uqXfwAAAP//AwBQSwMEFAAGAAgAAAAhAC5s8ADFAAAApQEAABkA AABkcnMvX3JlbHMvZTJvRG9jLnhtbC5yZWxzvJDBisIwEIbvC/sOYe7btD0sspj2IoJXcR9gSKZp sJmEJIq+vYFlQUHw5nFm+L//Y9bjxS/iTCm7wAq6pgVBrINxbBX8HrZfKxC5IBtcApOCK2UYh8+P 9Z4WLDWUZxezqBTOCuZS4o+UWc/kMTchEtfLFJLHUsdkZUR9REuyb9tvme4ZMDwwxc4oSDvTgzhc Y21+zQ7T5DRtgj554vKkQjpfuysQk6WiwJNx+Lfsm8gW5HOH7j0O3b+DfHjucAMAAP//AwBQSwEC LQAUAAYACAAAACEAsYJntgoBAAATAgAAEwAAAAAAAAAAAAAAAAAAAAAAW0NvbnRlbnRfVHlwZXNd LnhtbFBLAQItABQABgAIAAAAIQA4/SH/1gAAAJQBAAALAAAAAAAAAAAAAAAAADsBAABfcmVscy8u cmVsc1BLAQItABQABgAIAAAAIQAAbIFjnQIAAM4HAAAOAAAAAAAAAAAAAAAAADoCAABkcnMvZTJv RG9jLnhtbFBLAQItAAoAAAAAAAAAIQB+Fay/EgYAABIGAAAUAAAAAAAAAAAAAAAAAAMFAABkcnMv bWVkaWEvaW1hZ2UxLnBuZ1BLAQItAAoAAAAAAAAAIQDgid0cbQkAAG0JAAAUAAAAAAAAAAAAAAAA AEcLAABkcnMvbWVkaWEvaW1hZ2UyLnBuZ1BLAQItABQABgAIAAAAIQDVB+8/3AAAAAYBAAAPAAAA AAAAAAAAAAAAAOYUAABkcnMvZG93bnJldi54bWxQSwECLQAUAAYACAAAACEALmzwAMUAAAClAQAA GQAAAAAAAAAAAAAAAADvFQAAZHJzL19yZWxzL2Uyb0RvYy54bWwucmVsc1BLBQYAAAAABwAHAL4B AADrFgAAAAA= ">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053;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WVGzewAAAANoAAAAPAAAAZHJzL2Rvd25yZXYueG1sRI9BawIx FITvBf9DeEJvNau0paxGEUHYo9WC18fmdRPcvOwmWXf9902h0OMwM98wm93kWnGnEK1nBctFAYK4 9tpyo+Drcnz5ABETssbWMyl4UITddva0wVL7kT/pfk6NyBCOJSowKXWllLE25DAufEecvW8fHKYs QyN1wDHDXStXRfEuHVrOCwY7Ohiqb+fBKfD166npzHC9BHft33RlbW+tUs/zab8GkWhK/+G/dqUV rOD3Sr4BcvsDAAD//wMAUEsBAi0AFAAGAAgAAAAhANvh9svuAAAAhQEAABMAAAAAAAAAAAAAAAAA AAAAAFtDb250ZW50X1R5cGVzXS54bWxQSwECLQAUAAYACAAAACEAWvQsW78AAAAVAQAACwAAAAAA AAAAAAAAAAAfAQAAX3JlbHMvLnJlbHNQSwECLQAUAAYACAAAACEA1lRs3sAAAADaAAAADwAAAAAA AAAAAAAAAAAHAgAAZHJzL2Rvd25yZXYueG1sUEsFBgAAAAADAAMAtwAAAPQCAAAAAA== ">
                        <v:imagedata r:id="rId14" o:title="UNEP"/>
                      </v:shape>
                      <v:shape id="Picture 3" o:spid="_x0000_s1028" type="#_x0000_t75" style="position:absolute;width:8223;height:7308;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WlKySxQAAANoAAAAPAAAAZHJzL2Rvd25yZXYueG1sRI9Ba8JA FITvBf/D8oReim6qVCS6irQWirQHowePz+wzCWbfptmtG/313ULB4zAz3zDzZWdqcaHWVZYVPA8T EMS51RUXCva798EUhPPIGmvLpOBKDpaL3sMcU20Db+mS+UJECLsUFZTeN6mULi/JoBvahjh6J9sa 9FG2hdQthgg3tRwlyUQarDgulNjQa0n5OfsxCtbT8Pn9heEpm7wct5vD7S3I/U6px363moHw1Pl7 +L/9oRWM4e9KvAFy8QsAAP//AwBQSwECLQAUAAYACAAAACEA2+H2y+4AAACFAQAAEwAAAAAAAAAA AAAAAAAAAAAAW0NvbnRlbnRfVHlwZXNdLnhtbFBLAQItABQABgAIAAAAIQBa9CxbvwAAABUBAAAL AAAAAAAAAAAAAAAAAB8BAABfcmVscy8ucmVsc1BLAQItABQABgAIAAAAIQDWlKySxQAAANoAAAAP AAAAAAAAAAAAAAAAAAcCAABkcnMvZG93bnJldi54bWxQSwUGAAAAAAMAAwC3AAAA+QIAAAAA ">
                        <v:imagedata r:id="rId15" o:title=""/>
                      </v:shape>
                    </v:group>
                  </w:pict>
                </mc:Fallback>
              </mc:AlternateContent>
            </w:r>
          </w:p>
        </w:tc>
        <w:tc>
          <w:tcPr>
            <w:tcW w:w="3870" w:type="dxa"/>
            <w:tcBorders>
              <w:top w:val="nil"/>
              <w:left w:val="nil"/>
              <w:bottom w:val="single" w:sz="36" w:space="0" w:color="auto"/>
              <w:right w:val="nil"/>
            </w:tcBorders>
          </w:tcPr>
          <w:p w14:paraId="7FFD4D29" w14:textId="77777777" w:rsidR="008B3228" w:rsidRPr="007559BF" w:rsidRDefault="008B3228" w:rsidP="004635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33861A20" w14:textId="77777777" w:rsidR="008B3228" w:rsidRPr="007559BF" w:rsidRDefault="008B3228" w:rsidP="004635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AA51DC2" w14:textId="77777777" w:rsidR="008B3228" w:rsidRPr="007559BF" w:rsidRDefault="008B3228" w:rsidP="0046350A">
            <w:pPr>
              <w:rPr>
                <w:rFonts w:ascii="Univers" w:hAnsi="Univers"/>
                <w:b/>
                <w:sz w:val="32"/>
                <w:lang w:val="fr-CA"/>
              </w:rPr>
            </w:pPr>
            <w:r>
              <w:rPr>
                <w:rFonts w:ascii="Univers" w:hAnsi="Univers"/>
                <w:b/>
                <w:sz w:val="32"/>
                <w:lang w:val="fr-CA"/>
              </w:rPr>
              <w:t>Nations Unies pour</w:t>
            </w:r>
          </w:p>
          <w:p w14:paraId="6B737709" w14:textId="77777777" w:rsidR="008B3228" w:rsidRPr="007559BF" w:rsidRDefault="008B3228" w:rsidP="004635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roofErr w:type="gramStart"/>
            <w:r>
              <w:rPr>
                <w:rFonts w:ascii="Univers" w:hAnsi="Univers"/>
                <w:b/>
                <w:sz w:val="32"/>
                <w:lang w:val="fr-CA"/>
              </w:rPr>
              <w:t>l’environnement</w:t>
            </w:r>
            <w:proofErr w:type="gramEnd"/>
          </w:p>
          <w:p w14:paraId="47AA931F" w14:textId="77777777" w:rsidR="008B3228" w:rsidRPr="007559BF" w:rsidRDefault="008B3228" w:rsidP="0046350A">
            <w:pPr>
              <w:spacing w:before="720"/>
              <w:ind w:left="158"/>
              <w:rPr>
                <w:lang w:val="fr-CA"/>
              </w:rPr>
            </w:pPr>
          </w:p>
        </w:tc>
        <w:tc>
          <w:tcPr>
            <w:tcW w:w="3870" w:type="dxa"/>
            <w:tcBorders>
              <w:top w:val="nil"/>
              <w:left w:val="nil"/>
              <w:bottom w:val="single" w:sz="36" w:space="0" w:color="auto"/>
              <w:right w:val="nil"/>
            </w:tcBorders>
          </w:tcPr>
          <w:p w14:paraId="75DAFA07" w14:textId="77777777" w:rsidR="008B3228" w:rsidRPr="007559BF" w:rsidRDefault="008B3228" w:rsidP="0046350A">
            <w:pPr>
              <w:spacing w:before="240"/>
              <w:rPr>
                <w:noProof/>
                <w:lang w:val="fr-CA"/>
              </w:rPr>
            </w:pPr>
            <w:r>
              <w:rPr>
                <w:noProof/>
                <w:lang w:val="fr-CA"/>
              </w:rPr>
              <w:t>Distr.</w:t>
            </w:r>
          </w:p>
          <w:p w14:paraId="6CB6E2B7" w14:textId="77777777" w:rsidR="008B3228" w:rsidRPr="007559BF" w:rsidRDefault="008B3228" w:rsidP="0046350A">
            <w:pPr>
              <w:rPr>
                <w:noProof/>
                <w:lang w:val="fr-CA"/>
              </w:rPr>
            </w:pPr>
            <w:r>
              <w:rPr>
                <w:noProof/>
                <w:lang w:val="fr-CA"/>
              </w:rPr>
              <w:t>GÉNÉRALE</w:t>
            </w:r>
          </w:p>
          <w:p w14:paraId="3F247034" w14:textId="77777777" w:rsidR="008B3228" w:rsidRPr="007559BF" w:rsidRDefault="008B3228" w:rsidP="0046350A">
            <w:pPr>
              <w:rPr>
                <w:noProof/>
                <w:lang w:val="fr-CA"/>
              </w:rPr>
            </w:pPr>
          </w:p>
          <w:p w14:paraId="73F1601E" w14:textId="0903CC41" w:rsidR="008B3228" w:rsidRPr="009B44EF" w:rsidRDefault="008B3228" w:rsidP="0046350A">
            <w:pPr>
              <w:rPr>
                <w:noProof/>
                <w:lang w:val="fr-FR"/>
              </w:rPr>
            </w:pPr>
            <w:r>
              <w:fldChar w:fldCharType="begin"/>
            </w:r>
            <w:r w:rsidRPr="009B44EF">
              <w:rPr>
                <w:lang w:val="fr-FR"/>
              </w:rPr>
              <w:instrText xml:space="preserve"> DOCPROPERTY "Document number"  \* MERGEFORMAT </w:instrText>
            </w:r>
            <w:r>
              <w:fldChar w:fldCharType="separate"/>
            </w:r>
            <w:r w:rsidRPr="009B44EF">
              <w:rPr>
                <w:noProof/>
                <w:lang w:val="fr-FR"/>
              </w:rPr>
              <w:t>UNEP/OzL.Pro/ExCom/98/46</w:t>
            </w:r>
            <w:r>
              <w:rPr>
                <w:noProof/>
                <w:lang w:val="fr-CA"/>
              </w:rPr>
              <w:fldChar w:fldCharType="end"/>
            </w:r>
          </w:p>
          <w:p w14:paraId="0E0147F4" w14:textId="67FDFCD2" w:rsidR="008B3228" w:rsidRPr="008B3228" w:rsidRDefault="008B3228" w:rsidP="0046350A">
            <w:pPr>
              <w:rPr>
                <w:noProof/>
              </w:rPr>
            </w:pPr>
            <w:r>
              <w:rPr>
                <w:noProof/>
                <w:lang w:val="fr-CA"/>
              </w:rPr>
              <w:fldChar w:fldCharType="begin"/>
            </w:r>
            <w:r>
              <w:rPr>
                <w:noProof/>
              </w:rPr>
              <w:instrText xml:space="preserve"> DOCPROPERTY "Revision date" \@ "d MMMM YYYY"  \* MERGEFORMAT </w:instrText>
            </w:r>
            <w:r>
              <w:rPr>
                <w:noProof/>
                <w:lang w:val="fr-CA"/>
              </w:rPr>
              <w:fldChar w:fldCharType="separate"/>
            </w:r>
            <w:r>
              <w:rPr>
                <w:noProof/>
              </w:rPr>
              <w:t>31 mai 2026</w:t>
            </w:r>
            <w:r>
              <w:rPr>
                <w:noProof/>
                <w:lang w:val="fr-CA"/>
              </w:rPr>
              <w:fldChar w:fldCharType="end"/>
            </w:r>
          </w:p>
          <w:p w14:paraId="6232023A" w14:textId="77777777" w:rsidR="008B3228" w:rsidRPr="008B3228" w:rsidRDefault="008B3228" w:rsidP="0046350A">
            <w:pPr>
              <w:rPr>
                <w:caps/>
                <w:noProof/>
              </w:rPr>
            </w:pPr>
          </w:p>
          <w:p w14:paraId="338C59D1" w14:textId="77777777" w:rsidR="008B3228" w:rsidRPr="007559BF" w:rsidRDefault="008B3228" w:rsidP="0046350A">
            <w:pPr>
              <w:rPr>
                <w:caps/>
                <w:noProof/>
                <w:lang w:val="fr-CA"/>
              </w:rPr>
            </w:pPr>
            <w:r>
              <w:rPr>
                <w:caps/>
                <w:noProof/>
                <w:lang w:val="fr-CA"/>
              </w:rPr>
              <w:t>FRANÇAIS</w:t>
            </w:r>
          </w:p>
          <w:p w14:paraId="2A5E6C3C" w14:textId="77777777" w:rsidR="008B3228" w:rsidRPr="007559BF" w:rsidRDefault="008B3228" w:rsidP="0046350A">
            <w:pPr>
              <w:rPr>
                <w:noProof/>
                <w:lang w:val="fr-CA"/>
              </w:rPr>
            </w:pPr>
            <w:r>
              <w:rPr>
                <w:noProof/>
                <w:lang w:val="fr-CA"/>
              </w:rPr>
              <w:t>ORIGINAL : ANGLAIS</w:t>
            </w:r>
          </w:p>
        </w:tc>
      </w:tr>
    </w:tbl>
    <w:p w14:paraId="3DF704B9" w14:textId="77777777" w:rsidR="008B3228" w:rsidRPr="007559BF" w:rsidRDefault="008B3228" w:rsidP="008B3228">
      <w:pPr>
        <w:spacing w:before="60"/>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Quatre-vingt-dix-huitième réunion</w:t>
      </w:r>
    </w:p>
    <w:p w14:paraId="487D07DF" w14:textId="77777777" w:rsidR="008B3228" w:rsidRPr="007559BF" w:rsidRDefault="008B3228" w:rsidP="008B3228">
      <w:pPr>
        <w:jc w:val="left"/>
        <w:rPr>
          <w:lang w:val="fr-CA"/>
        </w:rPr>
      </w:pPr>
      <w:r>
        <w:rPr>
          <w:lang w:val="fr-CA"/>
        </w:rPr>
        <w:t>Montréal, 22–26 juin 2026</w:t>
      </w:r>
    </w:p>
    <w:p w14:paraId="7FA3C79B" w14:textId="419C86CD" w:rsidR="008B3228" w:rsidRPr="007559BF" w:rsidRDefault="008B3228" w:rsidP="008B3228">
      <w:pPr>
        <w:jc w:val="left"/>
        <w:rPr>
          <w:lang w:val="fr-CA"/>
        </w:rPr>
      </w:pPr>
      <w:r>
        <w:rPr>
          <w:lang w:val="fr-CA"/>
        </w:rPr>
        <w:t>Point 8 d) de l’ordre du jour provisoire</w:t>
      </w:r>
      <w:r>
        <w:rPr>
          <w:rStyle w:val="FootnoteReference"/>
          <w:lang w:val="fr-CA"/>
        </w:rPr>
        <w:footnoteReference w:id="2"/>
      </w:r>
    </w:p>
    <w:p w14:paraId="754DF0E0" w14:textId="77777777" w:rsidR="00C15867" w:rsidRPr="008B3228" w:rsidRDefault="00C15867" w:rsidP="001161CD">
      <w:pPr>
        <w:jc w:val="left"/>
        <w:rPr>
          <w:lang w:val="fr-CA"/>
        </w:rPr>
      </w:pPr>
    </w:p>
    <w:p w14:paraId="4A1EA51B" w14:textId="77777777" w:rsidR="00563DA8" w:rsidRPr="008B3228" w:rsidRDefault="00563DA8" w:rsidP="001161CD">
      <w:pPr>
        <w:jc w:val="left"/>
        <w:rPr>
          <w:lang w:val="fr-CA"/>
        </w:rPr>
      </w:pPr>
    </w:p>
    <w:p w14:paraId="14B0CDA9" w14:textId="77777777" w:rsidR="00D1290A" w:rsidRPr="008B3228" w:rsidRDefault="00D1290A" w:rsidP="001161CD">
      <w:pPr>
        <w:jc w:val="left"/>
        <w:rPr>
          <w:lang w:val="fr-CA"/>
        </w:rPr>
      </w:pPr>
    </w:p>
    <w:p w14:paraId="0C5F8484" w14:textId="77777777" w:rsidR="00563DA8" w:rsidRPr="008B3228" w:rsidRDefault="00563DA8" w:rsidP="001161CD">
      <w:pPr>
        <w:rPr>
          <w:lang w:val="fr-CA"/>
        </w:rPr>
      </w:pPr>
    </w:p>
    <w:p w14:paraId="476B61F1" w14:textId="008626C8" w:rsidR="00563DA8" w:rsidRPr="008B3228" w:rsidRDefault="00563DA8" w:rsidP="001161CD">
      <w:pPr>
        <w:jc w:val="center"/>
        <w:rPr>
          <w:b/>
          <w:lang w:val="fr-CA"/>
        </w:rPr>
      </w:pPr>
      <w:r>
        <w:rPr>
          <w:b/>
          <w:lang w:val="fr-CA"/>
        </w:rPr>
        <w:t>PROPOSITION DE PROJET : SAINT-KITTS-ET-NEVIS</w:t>
      </w:r>
    </w:p>
    <w:p w14:paraId="7D9937E8" w14:textId="77777777" w:rsidR="00563DA8" w:rsidRPr="008B3228" w:rsidRDefault="00563DA8" w:rsidP="001161CD">
      <w:pPr>
        <w:rPr>
          <w:lang w:val="fr-CA"/>
        </w:rPr>
      </w:pPr>
    </w:p>
    <w:p w14:paraId="7A02CBEB" w14:textId="77777777" w:rsidR="00563DA8" w:rsidRPr="008B3228" w:rsidRDefault="00563DA8" w:rsidP="001161CD">
      <w:pPr>
        <w:rPr>
          <w:lang w:val="fr-CA"/>
        </w:rPr>
      </w:pPr>
    </w:p>
    <w:p w14:paraId="5855F453" w14:textId="358A7BB5" w:rsidR="00563DA8" w:rsidRPr="008B3228" w:rsidRDefault="00563DA8" w:rsidP="001161CD">
      <w:pPr>
        <w:ind w:firstLine="720"/>
        <w:rPr>
          <w:lang w:val="fr-CA"/>
        </w:rPr>
      </w:pPr>
      <w:r>
        <w:rPr>
          <w:lang w:val="fr-CA"/>
        </w:rPr>
        <w:t>Le présent document contient les observations et recommandations du secrétariat concernant la proposition de projet suivante :</w:t>
      </w:r>
    </w:p>
    <w:p w14:paraId="12CD2472" w14:textId="49A38B1A" w:rsidR="00563DA8" w:rsidRDefault="00563DA8" w:rsidP="00AF4DE1">
      <w:pPr>
        <w:pStyle w:val="Heading1"/>
        <w:numPr>
          <w:ilvl w:val="0"/>
          <w:numId w:val="0"/>
        </w:numPr>
        <w:spacing w:before="240"/>
        <w:rPr>
          <w:b/>
        </w:rPr>
      </w:pPr>
      <w:r>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2519"/>
        <w:gridCol w:w="2029"/>
      </w:tblGrid>
      <w:tr w:rsidR="00563DA8" w:rsidRPr="00EE5B08" w14:paraId="3FB32BCA" w14:textId="77777777" w:rsidTr="00166085">
        <w:tc>
          <w:tcPr>
            <w:tcW w:w="2606" w:type="pct"/>
          </w:tcPr>
          <w:p w14:paraId="23D620CC" w14:textId="77777777" w:rsidR="00563DA8" w:rsidRPr="00EE5B08" w:rsidRDefault="00563DA8" w:rsidP="001161CD">
            <w:pPr>
              <w:pStyle w:val="ListParagraph"/>
              <w:jc w:val="left"/>
              <w:rPr>
                <w:lang w:val="en-CA"/>
              </w:rPr>
            </w:pPr>
          </w:p>
        </w:tc>
        <w:tc>
          <w:tcPr>
            <w:tcW w:w="1326" w:type="pct"/>
          </w:tcPr>
          <w:p w14:paraId="68B507C0" w14:textId="77777777" w:rsidR="00563DA8" w:rsidRDefault="00563DA8" w:rsidP="001161CD">
            <w:pPr>
              <w:jc w:val="center"/>
              <w:rPr>
                <w:highlight w:val="cyan"/>
              </w:rPr>
            </w:pPr>
          </w:p>
        </w:tc>
        <w:tc>
          <w:tcPr>
            <w:tcW w:w="1068" w:type="pct"/>
          </w:tcPr>
          <w:p w14:paraId="03F74232" w14:textId="77777777" w:rsidR="00563DA8" w:rsidRDefault="00563DA8" w:rsidP="001161CD">
            <w:pPr>
              <w:jc w:val="right"/>
              <w:rPr>
                <w:highlight w:val="cyan"/>
              </w:rPr>
            </w:pPr>
          </w:p>
        </w:tc>
      </w:tr>
      <w:tr w:rsidR="00563DA8" w:rsidRPr="00EE5B08" w14:paraId="6BEB9A53" w14:textId="77777777" w:rsidTr="00166085">
        <w:tc>
          <w:tcPr>
            <w:tcW w:w="2606" w:type="pct"/>
          </w:tcPr>
          <w:p w14:paraId="57A3C3FD" w14:textId="00C380B1" w:rsidR="00563DA8" w:rsidRPr="008B3228" w:rsidRDefault="00563DA8" w:rsidP="001161CD">
            <w:pPr>
              <w:pStyle w:val="ListParagraph"/>
              <w:numPr>
                <w:ilvl w:val="0"/>
                <w:numId w:val="21"/>
              </w:numPr>
              <w:ind w:left="604" w:hanging="714"/>
              <w:jc w:val="left"/>
              <w:rPr>
                <w:lang w:val="fr-CA"/>
              </w:rPr>
            </w:pPr>
            <w:r>
              <w:rPr>
                <w:lang w:val="fr-CA"/>
              </w:rPr>
              <w:t>Plan de gestion de l'élimination des HCFC (phase II, première tranche)</w:t>
            </w:r>
          </w:p>
        </w:tc>
        <w:tc>
          <w:tcPr>
            <w:tcW w:w="1326" w:type="pct"/>
          </w:tcPr>
          <w:p w14:paraId="40A2B86C" w14:textId="40724D7B" w:rsidR="00563DA8" w:rsidRDefault="00697CB1" w:rsidP="001161CD">
            <w:pPr>
              <w:jc w:val="center"/>
              <w:rPr>
                <w:highlight w:val="cyan"/>
              </w:rPr>
            </w:pPr>
            <w:r>
              <w:t>PNUE et ONUDI</w:t>
            </w:r>
          </w:p>
        </w:tc>
        <w:tc>
          <w:tcPr>
            <w:tcW w:w="1068" w:type="pct"/>
          </w:tcPr>
          <w:p w14:paraId="3D89D636" w14:textId="77777777" w:rsidR="00563DA8" w:rsidRDefault="00563DA8" w:rsidP="001161CD">
            <w:pPr>
              <w:jc w:val="right"/>
              <w:rPr>
                <w:highlight w:val="cyan"/>
              </w:rPr>
            </w:pPr>
            <w:r>
              <w:t>Pour examen individuel</w:t>
            </w:r>
          </w:p>
        </w:tc>
      </w:tr>
    </w:tbl>
    <w:p w14:paraId="488C51A5" w14:textId="77777777" w:rsidR="00563DA8" w:rsidRPr="009931F4" w:rsidRDefault="00563DA8" w:rsidP="001161CD"/>
    <w:p w14:paraId="4A250B92" w14:textId="77777777" w:rsidR="00563DA8" w:rsidRPr="00996241" w:rsidRDefault="00563DA8" w:rsidP="001161CD"/>
    <w:p w14:paraId="0A39B7B5" w14:textId="77777777" w:rsidR="00563DA8" w:rsidRPr="009931F4" w:rsidRDefault="00563DA8" w:rsidP="001161CD"/>
    <w:p w14:paraId="63496229" w14:textId="77777777" w:rsidR="00563DA8" w:rsidRPr="00996241" w:rsidRDefault="00563DA8" w:rsidP="001161CD">
      <w:pPr>
        <w:jc w:val="left"/>
      </w:pPr>
    </w:p>
    <w:p w14:paraId="11479CB5" w14:textId="77777777" w:rsidR="00563DA8" w:rsidRPr="00996241" w:rsidRDefault="00563DA8" w:rsidP="001161CD">
      <w:pPr>
        <w:jc w:val="left"/>
      </w:pPr>
      <w:r>
        <w:br w:type="page"/>
      </w:r>
    </w:p>
    <w:p w14:paraId="37A630B0" w14:textId="77777777" w:rsidR="00563DA8" w:rsidRPr="008B3228" w:rsidRDefault="00563DA8" w:rsidP="001161CD">
      <w:pPr>
        <w:spacing w:before="120" w:after="120"/>
        <w:ind w:left="-425" w:right="-420"/>
        <w:jc w:val="center"/>
        <w:rPr>
          <w:b/>
          <w:lang w:val="fr-CA"/>
        </w:rPr>
      </w:pPr>
      <w:r>
        <w:rPr>
          <w:b/>
          <w:lang w:val="fr-CA"/>
        </w:rPr>
        <w:lastRenderedPageBreak/>
        <w:t>FICHE D'ÉVALUATION DE PROJET – PROJETS PLURIANNUELS</w:t>
      </w:r>
    </w:p>
    <w:p w14:paraId="7DA6B204" w14:textId="62718175" w:rsidR="00563DA8" w:rsidRPr="00C56812" w:rsidRDefault="00697CB1" w:rsidP="008458F0">
      <w:pPr>
        <w:spacing w:before="200" w:after="200"/>
        <w:ind w:left="-425" w:right="-420"/>
        <w:jc w:val="center"/>
        <w:rPr>
          <w:b/>
        </w:rPr>
      </w:pPr>
      <w:r>
        <w:rPr>
          <w:b/>
        </w:rPr>
        <w:t>Saint-Kitts-et-Nevis</w:t>
      </w:r>
    </w:p>
    <w:tbl>
      <w:tblPr>
        <w:tblStyle w:val="TableGrid"/>
        <w:tblW w:w="5364" w:type="pct"/>
        <w:jc w:val="center"/>
        <w:tblLayout w:type="fixed"/>
        <w:tblLook w:val="04A0" w:firstRow="1" w:lastRow="0" w:firstColumn="1" w:lastColumn="0" w:noHBand="0" w:noVBand="1"/>
      </w:tblPr>
      <w:tblGrid>
        <w:gridCol w:w="5395"/>
        <w:gridCol w:w="4636"/>
      </w:tblGrid>
      <w:tr w:rsidR="00563DA8" w:rsidRPr="00EB31E3" w14:paraId="6B55572B" w14:textId="77777777" w:rsidTr="00442E0A">
        <w:trPr>
          <w:trHeight w:val="139"/>
          <w:jc w:val="center"/>
        </w:trPr>
        <w:tc>
          <w:tcPr>
            <w:tcW w:w="2689" w:type="pct"/>
            <w:vAlign w:val="center"/>
          </w:tcPr>
          <w:p w14:paraId="7F0851BD" w14:textId="2ED59EFA" w:rsidR="00563DA8" w:rsidRPr="00996241" w:rsidRDefault="00563DA8" w:rsidP="00951FBF">
            <w:pPr>
              <w:spacing w:before="20" w:after="20"/>
              <w:jc w:val="center"/>
              <w:rPr>
                <w:b/>
                <w:sz w:val="20"/>
              </w:rPr>
            </w:pPr>
            <w:r>
              <w:rPr>
                <w:b/>
                <w:sz w:val="20"/>
              </w:rPr>
              <w:t xml:space="preserve"> TITRE DU PROJET</w:t>
            </w:r>
          </w:p>
        </w:tc>
        <w:tc>
          <w:tcPr>
            <w:tcW w:w="2311" w:type="pct"/>
            <w:vAlign w:val="center"/>
          </w:tcPr>
          <w:p w14:paraId="7D34BD76" w14:textId="5158E6D1" w:rsidR="00563DA8" w:rsidRPr="00996241" w:rsidRDefault="00442E0A" w:rsidP="00951FBF">
            <w:pPr>
              <w:spacing w:before="20" w:after="20"/>
              <w:jc w:val="center"/>
              <w:rPr>
                <w:b/>
                <w:sz w:val="20"/>
              </w:rPr>
            </w:pPr>
            <w:r>
              <w:rPr>
                <w:b/>
                <w:sz w:val="20"/>
              </w:rPr>
              <w:t>AGENCE</w:t>
            </w:r>
          </w:p>
        </w:tc>
      </w:tr>
      <w:tr w:rsidR="00563DA8" w:rsidRPr="00EB31E3" w14:paraId="51318B47" w14:textId="77777777" w:rsidTr="00442E0A">
        <w:trPr>
          <w:trHeight w:val="326"/>
          <w:jc w:val="center"/>
        </w:trPr>
        <w:tc>
          <w:tcPr>
            <w:tcW w:w="2689" w:type="pct"/>
            <w:vAlign w:val="center"/>
          </w:tcPr>
          <w:p w14:paraId="43FDFDD6" w14:textId="2D1E27A5" w:rsidR="00563DA8" w:rsidRPr="008B3228" w:rsidRDefault="00563DA8" w:rsidP="00E13F9A">
            <w:pPr>
              <w:spacing w:before="20" w:after="20"/>
              <w:jc w:val="center"/>
              <w:rPr>
                <w:color w:val="000000" w:themeColor="text1"/>
                <w:sz w:val="20"/>
                <w:lang w:val="fr-CA"/>
              </w:rPr>
            </w:pPr>
            <w:r>
              <w:rPr>
                <w:color w:val="000000" w:themeColor="text1"/>
                <w:sz w:val="20"/>
                <w:lang w:val="fr-CA"/>
              </w:rPr>
              <w:t>Plan de gestion de l'élimination des HCFC (Phase II)</w:t>
            </w:r>
          </w:p>
        </w:tc>
        <w:tc>
          <w:tcPr>
            <w:tcW w:w="2311" w:type="pct"/>
            <w:vAlign w:val="center"/>
          </w:tcPr>
          <w:p w14:paraId="01FFE645" w14:textId="21EB74AE" w:rsidR="00563DA8" w:rsidRPr="00996241" w:rsidRDefault="00697CB1" w:rsidP="00E13F9A">
            <w:pPr>
              <w:spacing w:before="20" w:after="20"/>
              <w:jc w:val="center"/>
              <w:rPr>
                <w:color w:val="000000" w:themeColor="text1"/>
                <w:sz w:val="20"/>
              </w:rPr>
            </w:pPr>
            <w:r>
              <w:rPr>
                <w:color w:val="000000" w:themeColor="text1"/>
                <w:sz w:val="20"/>
              </w:rPr>
              <w:t>PNUE (principale), ONUDI</w:t>
            </w:r>
          </w:p>
        </w:tc>
      </w:tr>
    </w:tbl>
    <w:p w14:paraId="74B9150F"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6654"/>
        <w:gridCol w:w="1531"/>
        <w:gridCol w:w="1846"/>
      </w:tblGrid>
      <w:tr w:rsidR="00563DA8" w:rsidRPr="00996241" w14:paraId="41DF7742" w14:textId="77777777" w:rsidTr="00442E0A">
        <w:trPr>
          <w:trHeight w:val="334"/>
          <w:jc w:val="center"/>
        </w:trPr>
        <w:tc>
          <w:tcPr>
            <w:tcW w:w="3317" w:type="pct"/>
            <w:vAlign w:val="center"/>
          </w:tcPr>
          <w:p w14:paraId="7B69D15D" w14:textId="19079C5D" w:rsidR="00563DA8" w:rsidRPr="008B3228" w:rsidRDefault="00442E0A" w:rsidP="00951FBF">
            <w:pPr>
              <w:spacing w:before="20" w:after="20"/>
              <w:jc w:val="left"/>
              <w:rPr>
                <w:b/>
                <w:sz w:val="20"/>
                <w:lang w:val="fr-CA"/>
              </w:rPr>
            </w:pPr>
            <w:r>
              <w:rPr>
                <w:b/>
                <w:sz w:val="20"/>
                <w:lang w:val="fr-CA"/>
              </w:rPr>
              <w:t>DONNÉES VISÉES À L’ARTICLE 7 (Annexe C, Groupe I)</w:t>
            </w:r>
          </w:p>
        </w:tc>
        <w:tc>
          <w:tcPr>
            <w:tcW w:w="763" w:type="pct"/>
            <w:vAlign w:val="center"/>
          </w:tcPr>
          <w:p w14:paraId="2591D2CD" w14:textId="05BD5D3C" w:rsidR="00563DA8" w:rsidRPr="00996241" w:rsidRDefault="00563DA8" w:rsidP="00951FBF">
            <w:pPr>
              <w:spacing w:before="20" w:after="20"/>
              <w:jc w:val="center"/>
              <w:rPr>
                <w:sz w:val="20"/>
              </w:rPr>
            </w:pPr>
            <w:proofErr w:type="gramStart"/>
            <w:r>
              <w:rPr>
                <w:b/>
                <w:bCs/>
                <w:sz w:val="20"/>
              </w:rPr>
              <w:t>Année :</w:t>
            </w:r>
            <w:proofErr w:type="gramEnd"/>
            <w:r>
              <w:rPr>
                <w:b/>
                <w:bCs/>
                <w:color w:val="000000" w:themeColor="text1"/>
                <w:sz w:val="20"/>
              </w:rPr>
              <w:t xml:space="preserve"> 2024 </w:t>
            </w:r>
          </w:p>
        </w:tc>
        <w:tc>
          <w:tcPr>
            <w:tcW w:w="920" w:type="pct"/>
            <w:vAlign w:val="center"/>
          </w:tcPr>
          <w:p w14:paraId="6650B93E" w14:textId="7C695E51" w:rsidR="00563DA8" w:rsidRPr="00996241" w:rsidRDefault="00F53374" w:rsidP="00951FBF">
            <w:pPr>
              <w:spacing w:before="20" w:after="20"/>
              <w:jc w:val="right"/>
              <w:rPr>
                <w:sz w:val="20"/>
              </w:rPr>
            </w:pPr>
            <w:r>
              <w:rPr>
                <w:color w:val="000000" w:themeColor="text1"/>
                <w:sz w:val="20"/>
              </w:rPr>
              <w:t xml:space="preserve">0,00 </w:t>
            </w:r>
            <w:r>
              <w:rPr>
                <w:sz w:val="20"/>
              </w:rPr>
              <w:t>tonne PAO</w:t>
            </w:r>
          </w:p>
        </w:tc>
      </w:tr>
    </w:tbl>
    <w:p w14:paraId="34EF02DB" w14:textId="77777777" w:rsidR="00563DA8" w:rsidRPr="00DC561D" w:rsidRDefault="00563DA8" w:rsidP="001161CD">
      <w:pPr>
        <w:jc w:val="center"/>
        <w:rPr>
          <w:sz w:val="18"/>
        </w:rPr>
      </w:pPr>
    </w:p>
    <w:tbl>
      <w:tblPr>
        <w:tblStyle w:val="TableGrid"/>
        <w:tblW w:w="5360" w:type="pct"/>
        <w:jc w:val="center"/>
        <w:tblLayout w:type="fixed"/>
        <w:tblLook w:val="04A0" w:firstRow="1" w:lastRow="0" w:firstColumn="1" w:lastColumn="0" w:noHBand="0" w:noVBand="1"/>
      </w:tblPr>
      <w:tblGrid>
        <w:gridCol w:w="1401"/>
        <w:gridCol w:w="856"/>
        <w:gridCol w:w="992"/>
        <w:gridCol w:w="1135"/>
        <w:gridCol w:w="1417"/>
        <w:gridCol w:w="1570"/>
        <w:gridCol w:w="904"/>
        <w:gridCol w:w="1748"/>
      </w:tblGrid>
      <w:tr w:rsidR="00442E0A" w:rsidRPr="008533A5" w14:paraId="105A43C6" w14:textId="77777777" w:rsidTr="001E1126">
        <w:trPr>
          <w:trHeight w:val="128"/>
          <w:jc w:val="center"/>
        </w:trPr>
        <w:tc>
          <w:tcPr>
            <w:tcW w:w="4128" w:type="pct"/>
            <w:gridSpan w:val="7"/>
            <w:tcBorders>
              <w:right w:val="single" w:sz="4" w:space="0" w:color="auto"/>
            </w:tcBorders>
            <w:vAlign w:val="center"/>
          </w:tcPr>
          <w:p w14:paraId="504D6A44" w14:textId="77777777" w:rsidR="00442E0A" w:rsidRPr="008B3228" w:rsidRDefault="00442E0A" w:rsidP="00951FBF">
            <w:pPr>
              <w:spacing w:before="20" w:after="20"/>
              <w:jc w:val="left"/>
              <w:rPr>
                <w:b/>
                <w:sz w:val="20"/>
                <w:lang w:val="fr-CA"/>
              </w:rPr>
            </w:pPr>
            <w:r>
              <w:rPr>
                <w:b/>
                <w:sz w:val="20"/>
                <w:lang w:val="fr-CA"/>
              </w:rPr>
              <w:t>DONNÉES SECTORIELLES DU PROGRAMME DE PAYS (tonnes PAO)</w:t>
            </w:r>
          </w:p>
        </w:tc>
        <w:tc>
          <w:tcPr>
            <w:tcW w:w="872" w:type="pct"/>
            <w:tcBorders>
              <w:top w:val="single" w:sz="4" w:space="0" w:color="auto"/>
              <w:left w:val="single" w:sz="4" w:space="0" w:color="auto"/>
              <w:bottom w:val="single" w:sz="4" w:space="0" w:color="auto"/>
              <w:right w:val="single" w:sz="4" w:space="0" w:color="auto"/>
            </w:tcBorders>
            <w:vAlign w:val="center"/>
          </w:tcPr>
          <w:p w14:paraId="2B705ADB" w14:textId="27B00BB6" w:rsidR="00442E0A" w:rsidRPr="008533A5" w:rsidRDefault="00442E0A" w:rsidP="00442E0A">
            <w:pPr>
              <w:spacing w:before="20" w:after="20"/>
              <w:jc w:val="center"/>
              <w:rPr>
                <w:b/>
                <w:sz w:val="20"/>
                <w:highlight w:val="cyan"/>
              </w:rPr>
            </w:pPr>
            <w:proofErr w:type="gramStart"/>
            <w:r>
              <w:rPr>
                <w:b/>
                <w:sz w:val="20"/>
              </w:rPr>
              <w:t>Année :</w:t>
            </w:r>
            <w:proofErr w:type="gramEnd"/>
            <w:r>
              <w:rPr>
                <w:b/>
                <w:sz w:val="20"/>
              </w:rPr>
              <w:t xml:space="preserve"> </w:t>
            </w:r>
            <w:r>
              <w:rPr>
                <w:b/>
                <w:color w:val="000000" w:themeColor="text1"/>
                <w:sz w:val="20"/>
              </w:rPr>
              <w:t>2025</w:t>
            </w:r>
          </w:p>
        </w:tc>
      </w:tr>
      <w:tr w:rsidR="0047515D" w:rsidRPr="00EB31E3" w14:paraId="046ED5A0" w14:textId="77777777" w:rsidTr="001E1126">
        <w:trPr>
          <w:trHeight w:val="63"/>
          <w:jc w:val="center"/>
        </w:trPr>
        <w:tc>
          <w:tcPr>
            <w:tcW w:w="699" w:type="pct"/>
            <w:vMerge w:val="restart"/>
            <w:vAlign w:val="center"/>
          </w:tcPr>
          <w:p w14:paraId="71E6CFF4" w14:textId="77777777" w:rsidR="0047515D" w:rsidRPr="009931F4" w:rsidRDefault="00B371D3" w:rsidP="00951FBF">
            <w:pPr>
              <w:spacing w:before="20" w:after="20"/>
              <w:jc w:val="center"/>
              <w:rPr>
                <w:sz w:val="20"/>
              </w:rPr>
            </w:pPr>
            <w:r>
              <w:rPr>
                <w:sz w:val="20"/>
              </w:rPr>
              <w:t>Substance</w:t>
            </w:r>
          </w:p>
        </w:tc>
        <w:tc>
          <w:tcPr>
            <w:tcW w:w="427" w:type="pct"/>
            <w:vMerge w:val="restart"/>
            <w:vAlign w:val="center"/>
          </w:tcPr>
          <w:p w14:paraId="3EC4B95A" w14:textId="77777777" w:rsidR="0047515D" w:rsidRPr="00996241" w:rsidRDefault="0047515D" w:rsidP="00951FBF">
            <w:pPr>
              <w:spacing w:before="20" w:after="20"/>
              <w:ind w:left="-106" w:right="-97"/>
              <w:jc w:val="center"/>
              <w:rPr>
                <w:sz w:val="20"/>
              </w:rPr>
            </w:pPr>
            <w:r>
              <w:rPr>
                <w:sz w:val="20"/>
              </w:rPr>
              <w:t>Aérosols</w:t>
            </w:r>
          </w:p>
        </w:tc>
        <w:tc>
          <w:tcPr>
            <w:tcW w:w="495" w:type="pct"/>
            <w:vMerge w:val="restart"/>
            <w:vAlign w:val="center"/>
          </w:tcPr>
          <w:p w14:paraId="1C079953" w14:textId="77777777" w:rsidR="0047515D" w:rsidRPr="00996241" w:rsidRDefault="0047515D" w:rsidP="00951FBF">
            <w:pPr>
              <w:spacing w:before="20" w:after="20"/>
              <w:jc w:val="center"/>
              <w:rPr>
                <w:sz w:val="20"/>
              </w:rPr>
            </w:pPr>
            <w:r>
              <w:rPr>
                <w:sz w:val="20"/>
              </w:rPr>
              <w:t>Mousses</w:t>
            </w:r>
          </w:p>
        </w:tc>
        <w:tc>
          <w:tcPr>
            <w:tcW w:w="566" w:type="pct"/>
            <w:vMerge w:val="restart"/>
            <w:vAlign w:val="center"/>
          </w:tcPr>
          <w:p w14:paraId="6A91C0A5" w14:textId="77777777" w:rsidR="0047515D" w:rsidRPr="00996241" w:rsidRDefault="0047515D" w:rsidP="00951FBF">
            <w:pPr>
              <w:spacing w:before="20" w:after="20"/>
              <w:ind w:left="-106" w:right="-112"/>
              <w:jc w:val="center"/>
              <w:rPr>
                <w:sz w:val="20"/>
              </w:rPr>
            </w:pPr>
            <w:r>
              <w:rPr>
                <w:sz w:val="20"/>
              </w:rPr>
              <w:t>Lutte contre l'incendie</w:t>
            </w:r>
          </w:p>
        </w:tc>
        <w:tc>
          <w:tcPr>
            <w:tcW w:w="1490" w:type="pct"/>
            <w:gridSpan w:val="2"/>
            <w:vAlign w:val="center"/>
          </w:tcPr>
          <w:p w14:paraId="74985C52" w14:textId="77777777" w:rsidR="0047515D" w:rsidRPr="00996241" w:rsidRDefault="0047515D" w:rsidP="00951FBF">
            <w:pPr>
              <w:spacing w:before="20" w:after="20"/>
              <w:jc w:val="center"/>
              <w:rPr>
                <w:sz w:val="20"/>
              </w:rPr>
            </w:pPr>
            <w:r>
              <w:rPr>
                <w:sz w:val="20"/>
              </w:rPr>
              <w:t>Réfrigération</w:t>
            </w:r>
          </w:p>
        </w:tc>
        <w:tc>
          <w:tcPr>
            <w:tcW w:w="451" w:type="pct"/>
            <w:vMerge w:val="restart"/>
            <w:vAlign w:val="center"/>
          </w:tcPr>
          <w:p w14:paraId="141AA297" w14:textId="77777777" w:rsidR="0047515D" w:rsidRPr="00996241" w:rsidRDefault="0047515D" w:rsidP="00951FBF">
            <w:pPr>
              <w:spacing w:before="20" w:after="20"/>
              <w:ind w:left="-106" w:right="-105"/>
              <w:jc w:val="center"/>
              <w:rPr>
                <w:sz w:val="20"/>
              </w:rPr>
            </w:pPr>
            <w:r>
              <w:rPr>
                <w:sz w:val="20"/>
              </w:rPr>
              <w:t>Solvant</w:t>
            </w:r>
          </w:p>
        </w:tc>
        <w:tc>
          <w:tcPr>
            <w:tcW w:w="872" w:type="pct"/>
            <w:vMerge w:val="restart"/>
            <w:tcBorders>
              <w:top w:val="single" w:sz="4" w:space="0" w:color="auto"/>
            </w:tcBorders>
            <w:vAlign w:val="center"/>
          </w:tcPr>
          <w:p w14:paraId="5CDC2470" w14:textId="0E0CB22E" w:rsidR="0047515D" w:rsidRPr="00996241" w:rsidRDefault="001E1126" w:rsidP="00951FBF">
            <w:pPr>
              <w:spacing w:before="20" w:after="20"/>
              <w:jc w:val="center"/>
              <w:rPr>
                <w:sz w:val="20"/>
              </w:rPr>
            </w:pPr>
            <w:r>
              <w:rPr>
                <w:sz w:val="20"/>
              </w:rPr>
              <w:t>Consommation totale du secteur</w:t>
            </w:r>
          </w:p>
        </w:tc>
      </w:tr>
      <w:tr w:rsidR="0047515D" w:rsidRPr="00EB31E3" w14:paraId="01EDF5D7" w14:textId="77777777" w:rsidTr="001E1126">
        <w:trPr>
          <w:trHeight w:val="46"/>
          <w:jc w:val="center"/>
        </w:trPr>
        <w:tc>
          <w:tcPr>
            <w:tcW w:w="699" w:type="pct"/>
            <w:vMerge/>
            <w:vAlign w:val="center"/>
          </w:tcPr>
          <w:p w14:paraId="2B06150C" w14:textId="77777777" w:rsidR="0047515D" w:rsidRPr="009931F4" w:rsidRDefault="0047515D" w:rsidP="00E13F9A">
            <w:pPr>
              <w:spacing w:before="20" w:after="20"/>
              <w:jc w:val="center"/>
              <w:rPr>
                <w:sz w:val="20"/>
              </w:rPr>
            </w:pPr>
          </w:p>
        </w:tc>
        <w:tc>
          <w:tcPr>
            <w:tcW w:w="427" w:type="pct"/>
            <w:vMerge/>
            <w:vAlign w:val="center"/>
          </w:tcPr>
          <w:p w14:paraId="2362307F" w14:textId="77777777" w:rsidR="0047515D" w:rsidRPr="00996241" w:rsidRDefault="0047515D" w:rsidP="00E13F9A">
            <w:pPr>
              <w:spacing w:before="20" w:after="20"/>
              <w:ind w:left="-106" w:right="-97"/>
              <w:jc w:val="center"/>
              <w:rPr>
                <w:sz w:val="20"/>
              </w:rPr>
            </w:pPr>
          </w:p>
        </w:tc>
        <w:tc>
          <w:tcPr>
            <w:tcW w:w="495" w:type="pct"/>
            <w:vMerge/>
            <w:vAlign w:val="center"/>
          </w:tcPr>
          <w:p w14:paraId="08EB4863" w14:textId="77777777" w:rsidR="0047515D" w:rsidRPr="00996241" w:rsidRDefault="0047515D" w:rsidP="00E13F9A">
            <w:pPr>
              <w:spacing w:before="20" w:after="20"/>
              <w:jc w:val="center"/>
              <w:rPr>
                <w:sz w:val="20"/>
              </w:rPr>
            </w:pPr>
          </w:p>
        </w:tc>
        <w:tc>
          <w:tcPr>
            <w:tcW w:w="566" w:type="pct"/>
            <w:vMerge/>
            <w:vAlign w:val="center"/>
          </w:tcPr>
          <w:p w14:paraId="4544C60C" w14:textId="77777777" w:rsidR="0047515D" w:rsidRPr="00996241" w:rsidRDefault="0047515D" w:rsidP="00E13F9A">
            <w:pPr>
              <w:spacing w:before="20" w:after="20"/>
              <w:ind w:left="-106" w:right="-112"/>
              <w:jc w:val="center"/>
              <w:rPr>
                <w:sz w:val="20"/>
              </w:rPr>
            </w:pPr>
          </w:p>
        </w:tc>
        <w:tc>
          <w:tcPr>
            <w:tcW w:w="707" w:type="pct"/>
            <w:vAlign w:val="center"/>
          </w:tcPr>
          <w:p w14:paraId="7A6E8A28" w14:textId="77777777" w:rsidR="0047515D" w:rsidRPr="00996241" w:rsidRDefault="0047515D" w:rsidP="00E13F9A">
            <w:pPr>
              <w:spacing w:before="20" w:after="20"/>
              <w:jc w:val="center"/>
              <w:rPr>
                <w:sz w:val="20"/>
              </w:rPr>
            </w:pPr>
            <w:r>
              <w:rPr>
                <w:sz w:val="20"/>
              </w:rPr>
              <w:t>Fabrication</w:t>
            </w:r>
          </w:p>
        </w:tc>
        <w:tc>
          <w:tcPr>
            <w:tcW w:w="783" w:type="pct"/>
            <w:vAlign w:val="center"/>
          </w:tcPr>
          <w:p w14:paraId="7DB70B87" w14:textId="77777777" w:rsidR="0047515D" w:rsidRPr="00996241" w:rsidRDefault="0047515D" w:rsidP="00E13F9A">
            <w:pPr>
              <w:spacing w:before="20" w:after="20"/>
              <w:jc w:val="center"/>
              <w:rPr>
                <w:sz w:val="20"/>
              </w:rPr>
            </w:pPr>
            <w:r>
              <w:rPr>
                <w:sz w:val="20"/>
              </w:rPr>
              <w:t>Entretien</w:t>
            </w:r>
          </w:p>
        </w:tc>
        <w:tc>
          <w:tcPr>
            <w:tcW w:w="451" w:type="pct"/>
            <w:vMerge/>
            <w:vAlign w:val="center"/>
          </w:tcPr>
          <w:p w14:paraId="72422291" w14:textId="77777777" w:rsidR="0047515D" w:rsidRPr="00996241" w:rsidRDefault="0047515D" w:rsidP="00E13F9A">
            <w:pPr>
              <w:spacing w:before="20" w:after="20"/>
              <w:ind w:left="-106" w:right="-105"/>
              <w:jc w:val="center"/>
              <w:rPr>
                <w:sz w:val="20"/>
              </w:rPr>
            </w:pPr>
          </w:p>
        </w:tc>
        <w:tc>
          <w:tcPr>
            <w:tcW w:w="872" w:type="pct"/>
            <w:vMerge/>
            <w:vAlign w:val="center"/>
          </w:tcPr>
          <w:p w14:paraId="6E34FD7F" w14:textId="77777777" w:rsidR="0047515D" w:rsidRPr="00996241" w:rsidRDefault="0047515D" w:rsidP="00E13F9A">
            <w:pPr>
              <w:spacing w:before="20" w:after="20"/>
              <w:jc w:val="center"/>
              <w:rPr>
                <w:sz w:val="20"/>
              </w:rPr>
            </w:pPr>
          </w:p>
        </w:tc>
      </w:tr>
      <w:tr w:rsidR="0047515D" w:rsidRPr="00EB31E3" w14:paraId="046AE9C7" w14:textId="77777777" w:rsidTr="001E1126">
        <w:trPr>
          <w:trHeight w:val="250"/>
          <w:jc w:val="center"/>
        </w:trPr>
        <w:tc>
          <w:tcPr>
            <w:tcW w:w="699" w:type="pct"/>
            <w:vAlign w:val="center"/>
          </w:tcPr>
          <w:p w14:paraId="20FCE098" w14:textId="77777777" w:rsidR="0047515D" w:rsidRPr="009931F4" w:rsidRDefault="0047515D" w:rsidP="00951FBF">
            <w:pPr>
              <w:spacing w:before="20" w:after="20"/>
              <w:jc w:val="left"/>
              <w:rPr>
                <w:sz w:val="20"/>
              </w:rPr>
            </w:pPr>
            <w:r>
              <w:rPr>
                <w:color w:val="000000" w:themeColor="text1"/>
                <w:sz w:val="20"/>
              </w:rPr>
              <w:t>HCFC-22</w:t>
            </w:r>
          </w:p>
        </w:tc>
        <w:tc>
          <w:tcPr>
            <w:tcW w:w="427" w:type="pct"/>
            <w:vAlign w:val="center"/>
          </w:tcPr>
          <w:p w14:paraId="2040F67F" w14:textId="77777777" w:rsidR="0047515D" w:rsidRPr="00996241" w:rsidRDefault="0047515D" w:rsidP="00951FBF">
            <w:pPr>
              <w:spacing w:before="20" w:after="20"/>
              <w:jc w:val="right"/>
              <w:rPr>
                <w:sz w:val="20"/>
              </w:rPr>
            </w:pPr>
          </w:p>
        </w:tc>
        <w:tc>
          <w:tcPr>
            <w:tcW w:w="495" w:type="pct"/>
            <w:vAlign w:val="center"/>
          </w:tcPr>
          <w:p w14:paraId="773D375B" w14:textId="77777777" w:rsidR="0047515D" w:rsidRPr="00996241" w:rsidRDefault="0047515D" w:rsidP="00951FBF">
            <w:pPr>
              <w:spacing w:before="20" w:after="20"/>
              <w:jc w:val="right"/>
              <w:rPr>
                <w:sz w:val="20"/>
              </w:rPr>
            </w:pPr>
          </w:p>
        </w:tc>
        <w:tc>
          <w:tcPr>
            <w:tcW w:w="566" w:type="pct"/>
            <w:vAlign w:val="center"/>
          </w:tcPr>
          <w:p w14:paraId="02819A5E" w14:textId="77777777" w:rsidR="0047515D" w:rsidRPr="00996241" w:rsidRDefault="0047515D" w:rsidP="00951FBF">
            <w:pPr>
              <w:spacing w:before="20" w:after="20"/>
              <w:jc w:val="right"/>
              <w:rPr>
                <w:sz w:val="20"/>
              </w:rPr>
            </w:pPr>
          </w:p>
        </w:tc>
        <w:tc>
          <w:tcPr>
            <w:tcW w:w="707" w:type="pct"/>
            <w:vAlign w:val="center"/>
          </w:tcPr>
          <w:p w14:paraId="410BC8D0" w14:textId="77777777" w:rsidR="0047515D" w:rsidRPr="00996241" w:rsidRDefault="0047515D" w:rsidP="00951FBF">
            <w:pPr>
              <w:spacing w:before="20" w:after="20"/>
              <w:jc w:val="right"/>
              <w:rPr>
                <w:sz w:val="20"/>
              </w:rPr>
            </w:pPr>
          </w:p>
        </w:tc>
        <w:tc>
          <w:tcPr>
            <w:tcW w:w="783" w:type="pct"/>
            <w:vAlign w:val="center"/>
          </w:tcPr>
          <w:p w14:paraId="7C23A409" w14:textId="79399ADF" w:rsidR="0047515D" w:rsidRPr="00996241" w:rsidRDefault="00191B35" w:rsidP="00951FBF">
            <w:pPr>
              <w:spacing w:before="20" w:after="20"/>
              <w:jc w:val="right"/>
              <w:rPr>
                <w:sz w:val="20"/>
              </w:rPr>
            </w:pPr>
            <w:r>
              <w:rPr>
                <w:sz w:val="20"/>
              </w:rPr>
              <w:t>0,04</w:t>
            </w:r>
          </w:p>
        </w:tc>
        <w:tc>
          <w:tcPr>
            <w:tcW w:w="451" w:type="pct"/>
            <w:vAlign w:val="center"/>
          </w:tcPr>
          <w:p w14:paraId="7E58E141" w14:textId="77777777" w:rsidR="0047515D" w:rsidRPr="00996241" w:rsidRDefault="0047515D" w:rsidP="00951FBF">
            <w:pPr>
              <w:spacing w:before="20" w:after="20"/>
              <w:jc w:val="right"/>
              <w:rPr>
                <w:sz w:val="20"/>
              </w:rPr>
            </w:pPr>
          </w:p>
        </w:tc>
        <w:tc>
          <w:tcPr>
            <w:tcW w:w="872" w:type="pct"/>
            <w:vAlign w:val="center"/>
          </w:tcPr>
          <w:p w14:paraId="32C681B6" w14:textId="62483F64" w:rsidR="0047515D" w:rsidRPr="00996241" w:rsidRDefault="00191B35" w:rsidP="00951FBF">
            <w:pPr>
              <w:spacing w:before="20" w:after="20"/>
              <w:jc w:val="right"/>
              <w:rPr>
                <w:sz w:val="20"/>
              </w:rPr>
            </w:pPr>
            <w:r>
              <w:rPr>
                <w:sz w:val="20"/>
              </w:rPr>
              <w:t>0,04</w:t>
            </w:r>
          </w:p>
        </w:tc>
      </w:tr>
    </w:tbl>
    <w:p w14:paraId="46856CE2" w14:textId="77777777" w:rsidR="00563DA8" w:rsidRPr="00BE2DAA"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563DA8" w:rsidRPr="009B44EF" w14:paraId="5D21DE1C" w14:textId="77777777" w:rsidTr="00951FBF">
        <w:trPr>
          <w:trHeight w:val="272"/>
          <w:jc w:val="center"/>
        </w:trPr>
        <w:tc>
          <w:tcPr>
            <w:tcW w:w="5000" w:type="pct"/>
            <w:gridSpan w:val="4"/>
            <w:vAlign w:val="center"/>
          </w:tcPr>
          <w:p w14:paraId="07AEEF60" w14:textId="77777777" w:rsidR="00563DA8" w:rsidRPr="008B3228" w:rsidRDefault="00563DA8" w:rsidP="00951FBF">
            <w:pPr>
              <w:spacing w:before="20" w:after="20"/>
              <w:jc w:val="left"/>
              <w:rPr>
                <w:b/>
                <w:sz w:val="20"/>
                <w:lang w:val="fr-CA"/>
              </w:rPr>
            </w:pPr>
            <w:r>
              <w:rPr>
                <w:b/>
                <w:sz w:val="20"/>
                <w:lang w:val="fr-CA"/>
              </w:rPr>
              <w:t>DONNÉES SUR LA CONSOMMATION (tonnes PAO)</w:t>
            </w:r>
          </w:p>
        </w:tc>
      </w:tr>
      <w:tr w:rsidR="00563DA8" w:rsidRPr="00EB31E3" w14:paraId="74A64B3F" w14:textId="77777777" w:rsidTr="00D969DC">
        <w:trPr>
          <w:trHeight w:val="272"/>
          <w:jc w:val="center"/>
        </w:trPr>
        <w:tc>
          <w:tcPr>
            <w:tcW w:w="1027" w:type="pct"/>
            <w:vAlign w:val="center"/>
          </w:tcPr>
          <w:p w14:paraId="7752C6C3" w14:textId="77777777" w:rsidR="00563DA8" w:rsidRPr="009931F4" w:rsidRDefault="00563DA8" w:rsidP="00951FBF">
            <w:pPr>
              <w:spacing w:before="20" w:after="20"/>
              <w:jc w:val="center"/>
              <w:rPr>
                <w:sz w:val="20"/>
              </w:rPr>
            </w:pPr>
            <w:proofErr w:type="spellStart"/>
            <w:r>
              <w:rPr>
                <w:sz w:val="20"/>
              </w:rPr>
              <w:t>Référence</w:t>
            </w:r>
            <w:proofErr w:type="spellEnd"/>
            <w:r>
              <w:rPr>
                <w:sz w:val="20"/>
              </w:rPr>
              <w:t xml:space="preserve"> 2009-</w:t>
            </w:r>
            <w:proofErr w:type="gramStart"/>
            <w:r>
              <w:rPr>
                <w:sz w:val="20"/>
              </w:rPr>
              <w:t>2010 :</w:t>
            </w:r>
            <w:proofErr w:type="gramEnd"/>
          </w:p>
        </w:tc>
        <w:tc>
          <w:tcPr>
            <w:tcW w:w="1091" w:type="pct"/>
            <w:vAlign w:val="center"/>
          </w:tcPr>
          <w:p w14:paraId="3DA02AF0" w14:textId="3EA15072" w:rsidR="00563DA8" w:rsidRPr="00996241" w:rsidRDefault="00A324B6" w:rsidP="00951FBF">
            <w:pPr>
              <w:spacing w:before="20" w:after="20"/>
              <w:jc w:val="right"/>
              <w:rPr>
                <w:sz w:val="20"/>
              </w:rPr>
            </w:pPr>
            <w:r>
              <w:rPr>
                <w:sz w:val="20"/>
              </w:rPr>
              <w:t>0,50</w:t>
            </w:r>
          </w:p>
        </w:tc>
        <w:tc>
          <w:tcPr>
            <w:tcW w:w="2119" w:type="pct"/>
            <w:vAlign w:val="center"/>
          </w:tcPr>
          <w:p w14:paraId="449C1C05" w14:textId="77777777" w:rsidR="00563DA8" w:rsidRPr="008B3228" w:rsidRDefault="00563DA8" w:rsidP="00951FBF">
            <w:pPr>
              <w:spacing w:before="20" w:after="20"/>
              <w:jc w:val="center"/>
              <w:rPr>
                <w:sz w:val="20"/>
                <w:lang w:val="fr-CA"/>
              </w:rPr>
            </w:pPr>
            <w:r>
              <w:rPr>
                <w:sz w:val="20"/>
                <w:lang w:val="fr-CA"/>
              </w:rPr>
              <w:t>Point de départ des réductions globales durables :</w:t>
            </w:r>
          </w:p>
        </w:tc>
        <w:tc>
          <w:tcPr>
            <w:tcW w:w="763" w:type="pct"/>
            <w:vAlign w:val="center"/>
          </w:tcPr>
          <w:p w14:paraId="33EBB5B2" w14:textId="61E1A32E" w:rsidR="00563DA8" w:rsidRPr="00996241" w:rsidRDefault="00A324B6" w:rsidP="00951FBF">
            <w:pPr>
              <w:spacing w:before="20" w:after="20"/>
              <w:jc w:val="right"/>
              <w:rPr>
                <w:sz w:val="20"/>
              </w:rPr>
            </w:pPr>
            <w:r>
              <w:rPr>
                <w:sz w:val="20"/>
              </w:rPr>
              <w:t>0,50</w:t>
            </w:r>
          </w:p>
        </w:tc>
      </w:tr>
      <w:tr w:rsidR="00563DA8" w:rsidRPr="00EB31E3" w14:paraId="172C9CB2" w14:textId="77777777" w:rsidTr="007E1D1A">
        <w:trPr>
          <w:trHeight w:val="163"/>
          <w:jc w:val="center"/>
        </w:trPr>
        <w:tc>
          <w:tcPr>
            <w:tcW w:w="5000" w:type="pct"/>
            <w:gridSpan w:val="4"/>
          </w:tcPr>
          <w:p w14:paraId="2AA1AB12" w14:textId="77777777" w:rsidR="00563DA8" w:rsidRPr="009931F4" w:rsidRDefault="00563DA8" w:rsidP="00E13F9A">
            <w:pPr>
              <w:tabs>
                <w:tab w:val="left" w:pos="993"/>
              </w:tabs>
              <w:spacing w:before="20" w:after="20"/>
              <w:ind w:left="426"/>
              <w:jc w:val="left"/>
              <w:rPr>
                <w:b/>
                <w:sz w:val="20"/>
              </w:rPr>
            </w:pPr>
            <w:r>
              <w:rPr>
                <w:b/>
                <w:sz w:val="20"/>
              </w:rPr>
              <w:t>CONSOMMATION ÉLIGIBLE AU FINANCEMENT</w:t>
            </w:r>
          </w:p>
        </w:tc>
      </w:tr>
      <w:tr w:rsidR="00563DA8" w:rsidRPr="00EB31E3" w14:paraId="4E34A038" w14:textId="77777777" w:rsidTr="00D969DC">
        <w:trPr>
          <w:trHeight w:val="272"/>
          <w:jc w:val="center"/>
        </w:trPr>
        <w:tc>
          <w:tcPr>
            <w:tcW w:w="1027" w:type="pct"/>
            <w:vAlign w:val="center"/>
          </w:tcPr>
          <w:p w14:paraId="25841343" w14:textId="77777777" w:rsidR="00563DA8" w:rsidRPr="009931F4" w:rsidRDefault="00563DA8" w:rsidP="00951FBF">
            <w:pPr>
              <w:spacing w:before="20" w:after="20"/>
              <w:jc w:val="center"/>
              <w:rPr>
                <w:sz w:val="20"/>
              </w:rPr>
            </w:pPr>
            <w:r>
              <w:rPr>
                <w:sz w:val="20"/>
              </w:rPr>
              <w:t xml:space="preserve">Déjà </w:t>
            </w:r>
            <w:proofErr w:type="gramStart"/>
            <w:r>
              <w:rPr>
                <w:sz w:val="20"/>
              </w:rPr>
              <w:t>approuvée :</w:t>
            </w:r>
            <w:proofErr w:type="gramEnd"/>
          </w:p>
        </w:tc>
        <w:tc>
          <w:tcPr>
            <w:tcW w:w="1091" w:type="pct"/>
            <w:vAlign w:val="center"/>
          </w:tcPr>
          <w:p w14:paraId="56E3A677" w14:textId="5EB12001" w:rsidR="00563DA8" w:rsidRPr="00996241" w:rsidRDefault="00A324B6" w:rsidP="00951FBF">
            <w:pPr>
              <w:spacing w:before="20" w:after="20"/>
              <w:jc w:val="right"/>
              <w:rPr>
                <w:sz w:val="20"/>
              </w:rPr>
            </w:pPr>
            <w:r>
              <w:rPr>
                <w:sz w:val="20"/>
              </w:rPr>
              <w:t>0,18</w:t>
            </w:r>
          </w:p>
        </w:tc>
        <w:tc>
          <w:tcPr>
            <w:tcW w:w="2119" w:type="pct"/>
            <w:vAlign w:val="center"/>
          </w:tcPr>
          <w:p w14:paraId="7675F4C0" w14:textId="77777777" w:rsidR="00563DA8" w:rsidRPr="00996241" w:rsidRDefault="00563DA8" w:rsidP="00951FBF">
            <w:pPr>
              <w:spacing w:before="20" w:after="20"/>
              <w:jc w:val="center"/>
              <w:rPr>
                <w:sz w:val="20"/>
              </w:rPr>
            </w:pPr>
            <w:proofErr w:type="gramStart"/>
            <w:r>
              <w:rPr>
                <w:sz w:val="20"/>
              </w:rPr>
              <w:t>Restante :</w:t>
            </w:r>
            <w:proofErr w:type="gramEnd"/>
          </w:p>
        </w:tc>
        <w:tc>
          <w:tcPr>
            <w:tcW w:w="763" w:type="pct"/>
            <w:vAlign w:val="center"/>
          </w:tcPr>
          <w:p w14:paraId="263B5B91" w14:textId="0088FD38" w:rsidR="00563DA8" w:rsidRPr="00996241" w:rsidRDefault="00A324B6" w:rsidP="00951FBF">
            <w:pPr>
              <w:spacing w:before="20" w:after="20"/>
              <w:jc w:val="right"/>
              <w:rPr>
                <w:sz w:val="20"/>
              </w:rPr>
            </w:pPr>
            <w:r>
              <w:rPr>
                <w:sz w:val="20"/>
              </w:rPr>
              <w:t>0,32</w:t>
            </w:r>
          </w:p>
        </w:tc>
      </w:tr>
    </w:tbl>
    <w:p w14:paraId="53F35650" w14:textId="77777777" w:rsidR="00563DA8" w:rsidRPr="00DC561D" w:rsidRDefault="00563DA8" w:rsidP="001161CD">
      <w:pPr>
        <w:jc w:val="center"/>
        <w:rPr>
          <w:sz w:val="18"/>
        </w:rPr>
      </w:pPr>
    </w:p>
    <w:tbl>
      <w:tblPr>
        <w:tblStyle w:val="TableGrid"/>
        <w:tblW w:w="5364" w:type="pct"/>
        <w:jc w:val="center"/>
        <w:tblLayout w:type="fixed"/>
        <w:tblLook w:val="04A0" w:firstRow="1" w:lastRow="0" w:firstColumn="1" w:lastColumn="0" w:noHBand="0" w:noVBand="1"/>
      </w:tblPr>
      <w:tblGrid>
        <w:gridCol w:w="986"/>
        <w:gridCol w:w="3272"/>
        <w:gridCol w:w="1414"/>
        <w:gridCol w:w="1414"/>
        <w:gridCol w:w="1414"/>
        <w:gridCol w:w="1531"/>
      </w:tblGrid>
      <w:tr w:rsidR="00563DA8" w:rsidRPr="00EB31E3" w14:paraId="02059A9F" w14:textId="77777777" w:rsidTr="001E1126">
        <w:trPr>
          <w:trHeight w:val="258"/>
          <w:jc w:val="center"/>
        </w:trPr>
        <w:tc>
          <w:tcPr>
            <w:tcW w:w="2122" w:type="pct"/>
            <w:gridSpan w:val="2"/>
            <w:vAlign w:val="center"/>
          </w:tcPr>
          <w:p w14:paraId="39433053" w14:textId="77777777" w:rsidR="00563DA8" w:rsidRPr="00996241" w:rsidRDefault="00563DA8" w:rsidP="00E13F9A">
            <w:pPr>
              <w:spacing w:before="20" w:after="20"/>
              <w:jc w:val="left"/>
              <w:rPr>
                <w:b/>
                <w:sz w:val="20"/>
              </w:rPr>
            </w:pPr>
            <w:r>
              <w:rPr>
                <w:b/>
                <w:sz w:val="20"/>
              </w:rPr>
              <w:t>PLAN D’ACTIVITÉS APPROUVÉ</w:t>
            </w:r>
          </w:p>
        </w:tc>
        <w:tc>
          <w:tcPr>
            <w:tcW w:w="705" w:type="pct"/>
            <w:vAlign w:val="center"/>
          </w:tcPr>
          <w:p w14:paraId="61A1C441" w14:textId="77777777" w:rsidR="00563DA8" w:rsidRPr="00996241" w:rsidRDefault="00E14B1B" w:rsidP="00E13F9A">
            <w:pPr>
              <w:spacing w:before="20" w:after="20"/>
              <w:jc w:val="center"/>
              <w:rPr>
                <w:b/>
                <w:sz w:val="20"/>
              </w:rPr>
            </w:pPr>
            <w:r>
              <w:rPr>
                <w:b/>
                <w:sz w:val="20"/>
              </w:rPr>
              <w:t>2026</w:t>
            </w:r>
          </w:p>
        </w:tc>
        <w:tc>
          <w:tcPr>
            <w:tcW w:w="705" w:type="pct"/>
            <w:vAlign w:val="center"/>
          </w:tcPr>
          <w:p w14:paraId="15F2E53B" w14:textId="77777777" w:rsidR="00563DA8" w:rsidRPr="00996241" w:rsidRDefault="00E14B1B" w:rsidP="00E13F9A">
            <w:pPr>
              <w:spacing w:before="20" w:after="20"/>
              <w:jc w:val="center"/>
              <w:rPr>
                <w:b/>
                <w:sz w:val="20"/>
              </w:rPr>
            </w:pPr>
            <w:r>
              <w:rPr>
                <w:b/>
                <w:sz w:val="20"/>
              </w:rPr>
              <w:t>2027</w:t>
            </w:r>
          </w:p>
        </w:tc>
        <w:tc>
          <w:tcPr>
            <w:tcW w:w="705" w:type="pct"/>
            <w:vAlign w:val="center"/>
          </w:tcPr>
          <w:p w14:paraId="2250C654" w14:textId="77777777" w:rsidR="00563DA8" w:rsidRPr="00996241" w:rsidRDefault="00E14B1B" w:rsidP="00E13F9A">
            <w:pPr>
              <w:spacing w:before="20" w:after="20"/>
              <w:jc w:val="center"/>
              <w:rPr>
                <w:b/>
                <w:sz w:val="20"/>
              </w:rPr>
            </w:pPr>
            <w:r>
              <w:rPr>
                <w:b/>
                <w:sz w:val="20"/>
              </w:rPr>
              <w:t>2028</w:t>
            </w:r>
          </w:p>
        </w:tc>
        <w:tc>
          <w:tcPr>
            <w:tcW w:w="763" w:type="pct"/>
            <w:vAlign w:val="center"/>
          </w:tcPr>
          <w:p w14:paraId="0FD53958" w14:textId="77777777" w:rsidR="00563DA8" w:rsidRPr="00996241" w:rsidRDefault="00563DA8" w:rsidP="00E13F9A">
            <w:pPr>
              <w:spacing w:before="20" w:after="20"/>
              <w:jc w:val="center"/>
              <w:rPr>
                <w:b/>
                <w:sz w:val="20"/>
              </w:rPr>
            </w:pPr>
            <w:r>
              <w:rPr>
                <w:b/>
                <w:sz w:val="20"/>
              </w:rPr>
              <w:t>Total</w:t>
            </w:r>
          </w:p>
        </w:tc>
      </w:tr>
      <w:tr w:rsidR="005D56BB" w:rsidRPr="00EB31E3" w14:paraId="6B8AB63E" w14:textId="77777777" w:rsidTr="001E1126">
        <w:trPr>
          <w:trHeight w:val="258"/>
          <w:jc w:val="center"/>
        </w:trPr>
        <w:tc>
          <w:tcPr>
            <w:tcW w:w="491" w:type="pct"/>
            <w:vMerge w:val="restart"/>
            <w:vAlign w:val="center"/>
          </w:tcPr>
          <w:p w14:paraId="2C097B56" w14:textId="327665F5" w:rsidR="005D56BB" w:rsidRPr="00996241" w:rsidRDefault="00697CB1" w:rsidP="005D56BB">
            <w:pPr>
              <w:spacing w:before="20" w:after="20"/>
              <w:jc w:val="center"/>
              <w:rPr>
                <w:sz w:val="20"/>
              </w:rPr>
            </w:pPr>
            <w:r>
              <w:rPr>
                <w:color w:val="000000" w:themeColor="text1"/>
                <w:sz w:val="20"/>
              </w:rPr>
              <w:t>PNUE</w:t>
            </w:r>
          </w:p>
        </w:tc>
        <w:tc>
          <w:tcPr>
            <w:tcW w:w="1631" w:type="pct"/>
            <w:vAlign w:val="center"/>
          </w:tcPr>
          <w:p w14:paraId="02CD6738" w14:textId="1A9D9205" w:rsidR="005D56BB" w:rsidRPr="008B3228" w:rsidRDefault="008E6D76" w:rsidP="005D56BB">
            <w:pPr>
              <w:spacing w:before="20" w:after="20"/>
              <w:jc w:val="left"/>
              <w:rPr>
                <w:sz w:val="20"/>
                <w:lang w:val="fr-CA"/>
              </w:rPr>
            </w:pPr>
            <w:r>
              <w:rPr>
                <w:sz w:val="20"/>
                <w:lang w:val="fr-CA"/>
              </w:rPr>
              <w:t>Élimination des SAO (tonnes PAO)</w:t>
            </w:r>
          </w:p>
        </w:tc>
        <w:tc>
          <w:tcPr>
            <w:tcW w:w="705" w:type="pct"/>
            <w:vAlign w:val="center"/>
          </w:tcPr>
          <w:p w14:paraId="1CFD72B6" w14:textId="7B9180DE" w:rsidR="005D56BB" w:rsidRPr="00996241" w:rsidRDefault="00A32E2B" w:rsidP="005D56BB">
            <w:pPr>
              <w:spacing w:before="20" w:after="20"/>
              <w:jc w:val="right"/>
              <w:rPr>
                <w:sz w:val="20"/>
              </w:rPr>
            </w:pPr>
            <w:r>
              <w:rPr>
                <w:sz w:val="20"/>
              </w:rPr>
              <w:t>0,07</w:t>
            </w:r>
          </w:p>
        </w:tc>
        <w:tc>
          <w:tcPr>
            <w:tcW w:w="705" w:type="pct"/>
            <w:vAlign w:val="center"/>
          </w:tcPr>
          <w:p w14:paraId="42267FC5" w14:textId="3A4A38EE" w:rsidR="005D56BB" w:rsidRPr="00996241" w:rsidRDefault="00A32E2B" w:rsidP="005D56BB">
            <w:pPr>
              <w:spacing w:before="20" w:after="20"/>
              <w:jc w:val="right"/>
              <w:rPr>
                <w:sz w:val="20"/>
              </w:rPr>
            </w:pPr>
            <w:r>
              <w:rPr>
                <w:sz w:val="20"/>
              </w:rPr>
              <w:t>0,00</w:t>
            </w:r>
          </w:p>
        </w:tc>
        <w:tc>
          <w:tcPr>
            <w:tcW w:w="705" w:type="pct"/>
            <w:vAlign w:val="center"/>
          </w:tcPr>
          <w:p w14:paraId="5A007644" w14:textId="70467ACF" w:rsidR="005D56BB" w:rsidRPr="00996241" w:rsidRDefault="00B51EEA" w:rsidP="005D56BB">
            <w:pPr>
              <w:spacing w:before="20" w:after="20"/>
              <w:jc w:val="right"/>
              <w:rPr>
                <w:sz w:val="20"/>
              </w:rPr>
            </w:pPr>
            <w:r>
              <w:rPr>
                <w:sz w:val="20"/>
              </w:rPr>
              <w:t>0,00</w:t>
            </w:r>
          </w:p>
        </w:tc>
        <w:tc>
          <w:tcPr>
            <w:tcW w:w="763" w:type="pct"/>
            <w:vAlign w:val="center"/>
          </w:tcPr>
          <w:p w14:paraId="5EC5F667" w14:textId="0F365542" w:rsidR="005D56BB" w:rsidRPr="006B525D" w:rsidRDefault="00B51EEA" w:rsidP="005D56BB">
            <w:pPr>
              <w:spacing w:before="20" w:after="20"/>
              <w:jc w:val="right"/>
              <w:rPr>
                <w:sz w:val="20"/>
              </w:rPr>
            </w:pPr>
            <w:r>
              <w:rPr>
                <w:sz w:val="20"/>
              </w:rPr>
              <w:t>0,07</w:t>
            </w:r>
          </w:p>
        </w:tc>
      </w:tr>
      <w:tr w:rsidR="005D56BB" w:rsidRPr="00EB31E3" w14:paraId="5DF8E240" w14:textId="77777777" w:rsidTr="001E1126">
        <w:trPr>
          <w:trHeight w:val="258"/>
          <w:jc w:val="center"/>
        </w:trPr>
        <w:tc>
          <w:tcPr>
            <w:tcW w:w="491" w:type="pct"/>
            <w:vMerge/>
            <w:vAlign w:val="center"/>
          </w:tcPr>
          <w:p w14:paraId="437E46C9" w14:textId="77777777" w:rsidR="005D56BB" w:rsidRPr="00996241" w:rsidRDefault="005D56BB" w:rsidP="005D56BB">
            <w:pPr>
              <w:spacing w:before="20" w:after="20"/>
              <w:jc w:val="center"/>
              <w:rPr>
                <w:sz w:val="20"/>
              </w:rPr>
            </w:pPr>
          </w:p>
        </w:tc>
        <w:tc>
          <w:tcPr>
            <w:tcW w:w="1631" w:type="pct"/>
            <w:vAlign w:val="center"/>
          </w:tcPr>
          <w:p w14:paraId="5E6E53FA" w14:textId="77777777" w:rsidR="005D56BB" w:rsidRPr="00996241" w:rsidRDefault="005D56BB" w:rsidP="005D56BB">
            <w:pPr>
              <w:spacing w:before="20" w:after="20"/>
              <w:jc w:val="left"/>
              <w:rPr>
                <w:sz w:val="20"/>
              </w:rPr>
            </w:pPr>
            <w:r>
              <w:rPr>
                <w:sz w:val="20"/>
              </w:rPr>
              <w:t>Financement ($US)</w:t>
            </w:r>
          </w:p>
        </w:tc>
        <w:tc>
          <w:tcPr>
            <w:tcW w:w="705" w:type="pct"/>
            <w:vAlign w:val="center"/>
          </w:tcPr>
          <w:p w14:paraId="4998782F" w14:textId="1925823A" w:rsidR="005D56BB" w:rsidRPr="00996241" w:rsidRDefault="00A32E2B" w:rsidP="005D56BB">
            <w:pPr>
              <w:spacing w:before="20" w:after="20"/>
              <w:jc w:val="right"/>
              <w:rPr>
                <w:sz w:val="20"/>
              </w:rPr>
            </w:pPr>
            <w:r>
              <w:rPr>
                <w:sz w:val="20"/>
              </w:rPr>
              <w:t>*134 677</w:t>
            </w:r>
          </w:p>
        </w:tc>
        <w:tc>
          <w:tcPr>
            <w:tcW w:w="705" w:type="pct"/>
            <w:vAlign w:val="center"/>
          </w:tcPr>
          <w:p w14:paraId="79477F28" w14:textId="4C76C2E6" w:rsidR="005D56BB" w:rsidRPr="00996241" w:rsidRDefault="00A32E2B" w:rsidP="005D56BB">
            <w:pPr>
              <w:spacing w:before="20" w:after="20"/>
              <w:jc w:val="right"/>
              <w:rPr>
                <w:sz w:val="20"/>
              </w:rPr>
            </w:pPr>
            <w:r>
              <w:rPr>
                <w:sz w:val="20"/>
              </w:rPr>
              <w:t>0</w:t>
            </w:r>
          </w:p>
        </w:tc>
        <w:tc>
          <w:tcPr>
            <w:tcW w:w="705" w:type="pct"/>
            <w:vAlign w:val="center"/>
          </w:tcPr>
          <w:p w14:paraId="46E62ACD" w14:textId="5AE2409F" w:rsidR="005D56BB" w:rsidRPr="00996241" w:rsidRDefault="00B51EEA" w:rsidP="005D56BB">
            <w:pPr>
              <w:spacing w:before="20" w:after="20"/>
              <w:jc w:val="right"/>
              <w:rPr>
                <w:sz w:val="20"/>
              </w:rPr>
            </w:pPr>
            <w:r>
              <w:rPr>
                <w:sz w:val="20"/>
              </w:rPr>
              <w:t>0</w:t>
            </w:r>
          </w:p>
        </w:tc>
        <w:tc>
          <w:tcPr>
            <w:tcW w:w="763" w:type="pct"/>
            <w:vAlign w:val="center"/>
          </w:tcPr>
          <w:p w14:paraId="0704CB53" w14:textId="775BAE7A" w:rsidR="005D56BB" w:rsidRPr="00996241" w:rsidRDefault="00B51EEA" w:rsidP="005D56BB">
            <w:pPr>
              <w:spacing w:before="20" w:after="20"/>
              <w:jc w:val="right"/>
              <w:rPr>
                <w:sz w:val="20"/>
              </w:rPr>
            </w:pPr>
            <w:r>
              <w:rPr>
                <w:sz w:val="20"/>
              </w:rPr>
              <w:t>134 677</w:t>
            </w:r>
          </w:p>
        </w:tc>
      </w:tr>
      <w:tr w:rsidR="00950076" w:rsidRPr="00EB31E3" w14:paraId="02C86334" w14:textId="77777777" w:rsidTr="001E1126">
        <w:trPr>
          <w:trHeight w:val="258"/>
          <w:jc w:val="center"/>
        </w:trPr>
        <w:tc>
          <w:tcPr>
            <w:tcW w:w="491" w:type="pct"/>
            <w:vMerge w:val="restart"/>
            <w:vAlign w:val="center"/>
          </w:tcPr>
          <w:p w14:paraId="300CACCF" w14:textId="13AF5530" w:rsidR="00950076" w:rsidRPr="008E6D76" w:rsidRDefault="001E1126" w:rsidP="00950076">
            <w:pPr>
              <w:spacing w:before="20" w:after="20"/>
              <w:jc w:val="center"/>
              <w:rPr>
                <w:sz w:val="20"/>
              </w:rPr>
            </w:pPr>
            <w:r>
              <w:rPr>
                <w:color w:val="000000" w:themeColor="text1"/>
                <w:sz w:val="20"/>
              </w:rPr>
              <w:t>ONUDI</w:t>
            </w:r>
          </w:p>
        </w:tc>
        <w:tc>
          <w:tcPr>
            <w:tcW w:w="1631" w:type="pct"/>
            <w:vAlign w:val="center"/>
          </w:tcPr>
          <w:p w14:paraId="714E48D4" w14:textId="7E004C58" w:rsidR="00950076" w:rsidRPr="008E6D76" w:rsidRDefault="008E6D76" w:rsidP="00950076">
            <w:pPr>
              <w:spacing w:before="20" w:after="20"/>
              <w:jc w:val="left"/>
              <w:rPr>
                <w:sz w:val="20"/>
                <w:lang w:val="fr-CA"/>
              </w:rPr>
            </w:pPr>
            <w:r>
              <w:rPr>
                <w:sz w:val="20"/>
                <w:lang w:val="fr-CA"/>
              </w:rPr>
              <w:t>Élimination des SAO (tonnes PAO)</w:t>
            </w:r>
          </w:p>
        </w:tc>
        <w:tc>
          <w:tcPr>
            <w:tcW w:w="705" w:type="pct"/>
            <w:vAlign w:val="center"/>
          </w:tcPr>
          <w:p w14:paraId="634CDFBB" w14:textId="7AF5066D" w:rsidR="00950076" w:rsidRPr="00996241" w:rsidRDefault="00950076" w:rsidP="00950076">
            <w:pPr>
              <w:spacing w:before="20" w:after="20"/>
              <w:jc w:val="right"/>
              <w:rPr>
                <w:sz w:val="20"/>
              </w:rPr>
            </w:pPr>
            <w:r>
              <w:rPr>
                <w:sz w:val="20"/>
              </w:rPr>
              <w:t>0,10</w:t>
            </w:r>
          </w:p>
        </w:tc>
        <w:tc>
          <w:tcPr>
            <w:tcW w:w="705" w:type="pct"/>
            <w:vAlign w:val="center"/>
          </w:tcPr>
          <w:p w14:paraId="172FE65F" w14:textId="255A0E2A" w:rsidR="00950076" w:rsidRPr="00996241" w:rsidRDefault="00950076" w:rsidP="00950076">
            <w:pPr>
              <w:spacing w:before="20" w:after="20"/>
              <w:jc w:val="right"/>
              <w:rPr>
                <w:sz w:val="20"/>
              </w:rPr>
            </w:pPr>
            <w:r>
              <w:rPr>
                <w:sz w:val="20"/>
              </w:rPr>
              <w:t>0,00</w:t>
            </w:r>
          </w:p>
        </w:tc>
        <w:tc>
          <w:tcPr>
            <w:tcW w:w="705" w:type="pct"/>
            <w:vAlign w:val="center"/>
          </w:tcPr>
          <w:p w14:paraId="23A59165" w14:textId="0ADE1DA7" w:rsidR="00950076" w:rsidRPr="00996241" w:rsidRDefault="00950076" w:rsidP="00950076">
            <w:pPr>
              <w:spacing w:before="20" w:after="20"/>
              <w:jc w:val="right"/>
              <w:rPr>
                <w:sz w:val="20"/>
              </w:rPr>
            </w:pPr>
            <w:r>
              <w:rPr>
                <w:sz w:val="20"/>
              </w:rPr>
              <w:t>0,00</w:t>
            </w:r>
          </w:p>
        </w:tc>
        <w:tc>
          <w:tcPr>
            <w:tcW w:w="763" w:type="pct"/>
            <w:vAlign w:val="center"/>
          </w:tcPr>
          <w:p w14:paraId="21C7A317" w14:textId="7C8F273C" w:rsidR="00950076" w:rsidRPr="00996241" w:rsidRDefault="00950076" w:rsidP="00950076">
            <w:pPr>
              <w:spacing w:before="20" w:after="20"/>
              <w:jc w:val="right"/>
              <w:rPr>
                <w:sz w:val="20"/>
              </w:rPr>
            </w:pPr>
            <w:r>
              <w:rPr>
                <w:sz w:val="20"/>
              </w:rPr>
              <w:t>0,10</w:t>
            </w:r>
          </w:p>
        </w:tc>
      </w:tr>
      <w:tr w:rsidR="00950076" w:rsidRPr="00EB31E3" w14:paraId="4F9C36A0" w14:textId="77777777" w:rsidTr="001E1126">
        <w:trPr>
          <w:trHeight w:val="258"/>
          <w:jc w:val="center"/>
        </w:trPr>
        <w:tc>
          <w:tcPr>
            <w:tcW w:w="491" w:type="pct"/>
            <w:vMerge/>
            <w:vAlign w:val="center"/>
          </w:tcPr>
          <w:p w14:paraId="5C927E0E" w14:textId="77777777" w:rsidR="00950076" w:rsidRPr="00996241" w:rsidRDefault="00950076" w:rsidP="00950076">
            <w:pPr>
              <w:spacing w:before="20" w:after="20"/>
              <w:jc w:val="left"/>
              <w:rPr>
                <w:sz w:val="20"/>
              </w:rPr>
            </w:pPr>
          </w:p>
        </w:tc>
        <w:tc>
          <w:tcPr>
            <w:tcW w:w="1631" w:type="pct"/>
            <w:vAlign w:val="center"/>
          </w:tcPr>
          <w:p w14:paraId="7AFAD9D1" w14:textId="77777777" w:rsidR="00950076" w:rsidRPr="00996241" w:rsidRDefault="00950076" w:rsidP="00950076">
            <w:pPr>
              <w:spacing w:before="20" w:after="20"/>
              <w:jc w:val="left"/>
              <w:rPr>
                <w:sz w:val="20"/>
              </w:rPr>
            </w:pPr>
            <w:r>
              <w:rPr>
                <w:sz w:val="20"/>
              </w:rPr>
              <w:t>Financement ($US)</w:t>
            </w:r>
          </w:p>
        </w:tc>
        <w:tc>
          <w:tcPr>
            <w:tcW w:w="705" w:type="pct"/>
            <w:vAlign w:val="center"/>
          </w:tcPr>
          <w:p w14:paraId="04832C01" w14:textId="65D3C117" w:rsidR="00950076" w:rsidRPr="00996241" w:rsidRDefault="00950076" w:rsidP="00950076">
            <w:pPr>
              <w:spacing w:before="20" w:after="20"/>
              <w:jc w:val="right"/>
              <w:rPr>
                <w:sz w:val="20"/>
              </w:rPr>
            </w:pPr>
            <w:r>
              <w:rPr>
                <w:sz w:val="20"/>
              </w:rPr>
              <w:t>30 000</w:t>
            </w:r>
          </w:p>
        </w:tc>
        <w:tc>
          <w:tcPr>
            <w:tcW w:w="705" w:type="pct"/>
            <w:vAlign w:val="center"/>
          </w:tcPr>
          <w:p w14:paraId="373BC641" w14:textId="06245295" w:rsidR="00950076" w:rsidRPr="00996241" w:rsidRDefault="00950076" w:rsidP="00950076">
            <w:pPr>
              <w:spacing w:before="20" w:after="20"/>
              <w:jc w:val="right"/>
              <w:rPr>
                <w:sz w:val="20"/>
              </w:rPr>
            </w:pPr>
            <w:r>
              <w:rPr>
                <w:sz w:val="20"/>
              </w:rPr>
              <w:t>0</w:t>
            </w:r>
          </w:p>
        </w:tc>
        <w:tc>
          <w:tcPr>
            <w:tcW w:w="705" w:type="pct"/>
            <w:vAlign w:val="center"/>
          </w:tcPr>
          <w:p w14:paraId="0B3185AE" w14:textId="3A80D979" w:rsidR="00950076" w:rsidRPr="00996241" w:rsidRDefault="00950076" w:rsidP="00950076">
            <w:pPr>
              <w:spacing w:before="20" w:after="20"/>
              <w:jc w:val="right"/>
              <w:rPr>
                <w:sz w:val="20"/>
              </w:rPr>
            </w:pPr>
            <w:r>
              <w:rPr>
                <w:sz w:val="20"/>
              </w:rPr>
              <w:t>0</w:t>
            </w:r>
          </w:p>
        </w:tc>
        <w:tc>
          <w:tcPr>
            <w:tcW w:w="763" w:type="pct"/>
            <w:vAlign w:val="center"/>
          </w:tcPr>
          <w:p w14:paraId="05E2246E" w14:textId="1AE12E19" w:rsidR="00950076" w:rsidRPr="00996241" w:rsidRDefault="00950076" w:rsidP="00950076">
            <w:pPr>
              <w:spacing w:before="20" w:after="20"/>
              <w:jc w:val="right"/>
              <w:rPr>
                <w:sz w:val="20"/>
              </w:rPr>
            </w:pPr>
            <w:r>
              <w:rPr>
                <w:sz w:val="20"/>
              </w:rPr>
              <w:t>30 000</w:t>
            </w:r>
          </w:p>
        </w:tc>
      </w:tr>
    </w:tbl>
    <w:p w14:paraId="36E8677A" w14:textId="6051C295" w:rsidR="00563DA8" w:rsidRPr="008B3228" w:rsidRDefault="00563DA8" w:rsidP="001161CD">
      <w:pPr>
        <w:spacing w:after="120"/>
        <w:ind w:left="-284" w:right="-279"/>
        <w:rPr>
          <w:sz w:val="18"/>
          <w:szCs w:val="18"/>
          <w:lang w:val="fr-CA"/>
        </w:rPr>
      </w:pPr>
      <w:r>
        <w:rPr>
          <w:sz w:val="18"/>
          <w:szCs w:val="18"/>
          <w:lang w:val="fr-CA"/>
        </w:rPr>
        <w:t>*Dont 78 948 $US pour le PNUE au titre d'activités supplémentaires visant à maintenir l'efficacité énergétique conformément à la décision 89/6.</w:t>
      </w:r>
    </w:p>
    <w:tbl>
      <w:tblPr>
        <w:tblStyle w:val="TableGrid"/>
        <w:tblW w:w="5360" w:type="pct"/>
        <w:jc w:val="center"/>
        <w:tblLayout w:type="fixed"/>
        <w:tblLook w:val="04A0" w:firstRow="1" w:lastRow="0" w:firstColumn="1" w:lastColumn="0" w:noHBand="0" w:noVBand="1"/>
      </w:tblPr>
      <w:tblGrid>
        <w:gridCol w:w="1579"/>
        <w:gridCol w:w="938"/>
        <w:gridCol w:w="1900"/>
        <w:gridCol w:w="938"/>
        <w:gridCol w:w="938"/>
        <w:gridCol w:w="938"/>
        <w:gridCol w:w="938"/>
        <w:gridCol w:w="938"/>
        <w:gridCol w:w="916"/>
      </w:tblGrid>
      <w:tr w:rsidR="009A77BF" w:rsidRPr="009F3322" w14:paraId="4B770CF0" w14:textId="77777777" w:rsidTr="00582F1A">
        <w:trPr>
          <w:trHeight w:val="260"/>
          <w:jc w:val="center"/>
        </w:trPr>
        <w:tc>
          <w:tcPr>
            <w:tcW w:w="2202" w:type="pct"/>
            <w:gridSpan w:val="3"/>
            <w:vAlign w:val="center"/>
          </w:tcPr>
          <w:p w14:paraId="0CD67483" w14:textId="1C067986" w:rsidR="009A77BF" w:rsidRPr="008B3228" w:rsidRDefault="009A77BF" w:rsidP="00330395">
            <w:pPr>
              <w:spacing w:before="20" w:after="20"/>
              <w:jc w:val="left"/>
              <w:rPr>
                <w:b/>
                <w:bCs/>
                <w:sz w:val="20"/>
                <w:szCs w:val="20"/>
                <w:lang w:val="fr-CA"/>
              </w:rPr>
            </w:pPr>
            <w:r>
              <w:rPr>
                <w:b/>
                <w:sz w:val="20"/>
                <w:szCs w:val="20"/>
                <w:lang w:val="fr-CA"/>
              </w:rPr>
              <w:t xml:space="preserve">DONNÉES DU PROJET TELLES QUE CONVENUES </w:t>
            </w:r>
          </w:p>
        </w:tc>
        <w:tc>
          <w:tcPr>
            <w:tcW w:w="468" w:type="pct"/>
            <w:vAlign w:val="center"/>
          </w:tcPr>
          <w:p w14:paraId="1A407A1E" w14:textId="3DE11C3F" w:rsidR="009A77BF" w:rsidRPr="009F3322" w:rsidRDefault="001E5EC1" w:rsidP="001161CD">
            <w:pPr>
              <w:spacing w:before="20" w:after="20"/>
              <w:jc w:val="center"/>
              <w:rPr>
                <w:b/>
                <w:sz w:val="20"/>
                <w:szCs w:val="20"/>
              </w:rPr>
            </w:pPr>
            <w:r>
              <w:rPr>
                <w:b/>
                <w:sz w:val="20"/>
                <w:szCs w:val="20"/>
              </w:rPr>
              <w:t>2026*</w:t>
            </w:r>
          </w:p>
        </w:tc>
        <w:tc>
          <w:tcPr>
            <w:tcW w:w="468" w:type="pct"/>
            <w:vAlign w:val="center"/>
          </w:tcPr>
          <w:p w14:paraId="3699910A" w14:textId="77777777" w:rsidR="009A77BF" w:rsidRPr="009F3322" w:rsidRDefault="009A77BF" w:rsidP="001161CD">
            <w:pPr>
              <w:spacing w:before="20" w:after="20"/>
              <w:jc w:val="center"/>
              <w:rPr>
                <w:b/>
                <w:sz w:val="20"/>
                <w:szCs w:val="20"/>
              </w:rPr>
            </w:pPr>
            <w:r>
              <w:rPr>
                <w:b/>
                <w:sz w:val="20"/>
                <w:szCs w:val="20"/>
              </w:rPr>
              <w:t>2027</w:t>
            </w:r>
          </w:p>
        </w:tc>
        <w:tc>
          <w:tcPr>
            <w:tcW w:w="468" w:type="pct"/>
            <w:vAlign w:val="center"/>
          </w:tcPr>
          <w:p w14:paraId="3C5DF2B1" w14:textId="77777777" w:rsidR="009A77BF" w:rsidRPr="009F3322" w:rsidRDefault="009A77BF" w:rsidP="001161CD">
            <w:pPr>
              <w:spacing w:before="20" w:after="20"/>
              <w:jc w:val="center"/>
              <w:rPr>
                <w:b/>
                <w:sz w:val="20"/>
                <w:szCs w:val="20"/>
              </w:rPr>
            </w:pPr>
            <w:r>
              <w:rPr>
                <w:b/>
                <w:sz w:val="20"/>
                <w:szCs w:val="20"/>
              </w:rPr>
              <w:t>2028</w:t>
            </w:r>
          </w:p>
        </w:tc>
        <w:tc>
          <w:tcPr>
            <w:tcW w:w="468" w:type="pct"/>
            <w:vAlign w:val="center"/>
          </w:tcPr>
          <w:p w14:paraId="7B3443C5" w14:textId="77777777" w:rsidR="009A77BF" w:rsidRPr="009F3322" w:rsidRDefault="009A77BF" w:rsidP="001161CD">
            <w:pPr>
              <w:spacing w:before="20" w:after="20"/>
              <w:jc w:val="center"/>
              <w:rPr>
                <w:b/>
                <w:sz w:val="20"/>
                <w:szCs w:val="20"/>
              </w:rPr>
            </w:pPr>
            <w:r>
              <w:rPr>
                <w:b/>
                <w:sz w:val="20"/>
                <w:szCs w:val="20"/>
              </w:rPr>
              <w:t>2029</w:t>
            </w:r>
          </w:p>
        </w:tc>
        <w:tc>
          <w:tcPr>
            <w:tcW w:w="468" w:type="pct"/>
            <w:vAlign w:val="center"/>
          </w:tcPr>
          <w:p w14:paraId="1F18C3BF" w14:textId="77777777" w:rsidR="009A77BF" w:rsidRPr="009F3322" w:rsidRDefault="009A77BF" w:rsidP="001161CD">
            <w:pPr>
              <w:spacing w:before="20" w:after="20"/>
              <w:jc w:val="center"/>
              <w:rPr>
                <w:b/>
                <w:sz w:val="20"/>
                <w:szCs w:val="20"/>
              </w:rPr>
            </w:pPr>
            <w:r>
              <w:rPr>
                <w:b/>
                <w:sz w:val="20"/>
                <w:szCs w:val="20"/>
              </w:rPr>
              <w:t>2030</w:t>
            </w:r>
          </w:p>
        </w:tc>
        <w:tc>
          <w:tcPr>
            <w:tcW w:w="458" w:type="pct"/>
            <w:vAlign w:val="center"/>
          </w:tcPr>
          <w:p w14:paraId="141A2E83" w14:textId="77777777" w:rsidR="009A77BF" w:rsidRPr="009F3322" w:rsidRDefault="009A77BF" w:rsidP="001161CD">
            <w:pPr>
              <w:spacing w:before="20" w:after="20"/>
              <w:jc w:val="center"/>
              <w:rPr>
                <w:b/>
                <w:sz w:val="20"/>
                <w:szCs w:val="20"/>
              </w:rPr>
            </w:pPr>
            <w:r>
              <w:rPr>
                <w:b/>
                <w:sz w:val="20"/>
                <w:szCs w:val="20"/>
              </w:rPr>
              <w:t>Total</w:t>
            </w:r>
          </w:p>
        </w:tc>
      </w:tr>
      <w:tr w:rsidR="00FA0E78" w:rsidRPr="009F3322" w14:paraId="45C2CBDD" w14:textId="77777777" w:rsidTr="00582F1A">
        <w:trPr>
          <w:trHeight w:val="67"/>
          <w:jc w:val="center"/>
        </w:trPr>
        <w:tc>
          <w:tcPr>
            <w:tcW w:w="787" w:type="pct"/>
            <w:vMerge w:val="restart"/>
          </w:tcPr>
          <w:p w14:paraId="3138399E" w14:textId="77777777" w:rsidR="00FA0E78" w:rsidRPr="009F3322" w:rsidRDefault="00FA0E78" w:rsidP="00FA0E78">
            <w:pPr>
              <w:tabs>
                <w:tab w:val="left" w:pos="8280"/>
              </w:tabs>
              <w:spacing w:before="20" w:after="20"/>
              <w:ind w:right="-8"/>
              <w:jc w:val="left"/>
              <w:rPr>
                <w:sz w:val="20"/>
                <w:szCs w:val="20"/>
              </w:rPr>
            </w:pPr>
            <w:r>
              <w:rPr>
                <w:sz w:val="20"/>
                <w:szCs w:val="20"/>
              </w:rPr>
              <w:t>Consommation (tonnes PAO)</w:t>
            </w:r>
          </w:p>
        </w:tc>
        <w:tc>
          <w:tcPr>
            <w:tcW w:w="1416" w:type="pct"/>
            <w:gridSpan w:val="2"/>
            <w:vAlign w:val="center"/>
          </w:tcPr>
          <w:p w14:paraId="5507217D" w14:textId="77777777" w:rsidR="00FA0E78" w:rsidRPr="008B3228" w:rsidRDefault="00FA0E78" w:rsidP="00FA0E78">
            <w:pPr>
              <w:tabs>
                <w:tab w:val="left" w:pos="8280"/>
              </w:tabs>
              <w:spacing w:before="20" w:after="20"/>
              <w:ind w:right="-8"/>
              <w:jc w:val="left"/>
              <w:rPr>
                <w:sz w:val="20"/>
                <w:szCs w:val="20"/>
                <w:lang w:val="fr-CA"/>
              </w:rPr>
            </w:pPr>
            <w:r>
              <w:rPr>
                <w:sz w:val="20"/>
                <w:szCs w:val="20"/>
                <w:lang w:val="fr-CA"/>
              </w:rPr>
              <w:t>Limites du Protocole de Montréal</w:t>
            </w:r>
          </w:p>
        </w:tc>
        <w:tc>
          <w:tcPr>
            <w:tcW w:w="468" w:type="pct"/>
            <w:vAlign w:val="center"/>
          </w:tcPr>
          <w:p w14:paraId="0D9C9001" w14:textId="48EA0EB1"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4A4D36CD" w14:textId="56427AEF"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0F3C3868" w14:textId="4F730C79"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144CB0C5" w14:textId="0BB25C25"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5D2637E0" w14:textId="70E98451" w:rsidR="00FA0E78" w:rsidRPr="009F3322" w:rsidRDefault="00FA0E78" w:rsidP="00FA0E78">
            <w:pPr>
              <w:tabs>
                <w:tab w:val="left" w:pos="8280"/>
              </w:tabs>
              <w:spacing w:before="20" w:after="20"/>
              <w:jc w:val="right"/>
              <w:rPr>
                <w:sz w:val="20"/>
                <w:szCs w:val="20"/>
                <w:highlight w:val="cyan"/>
              </w:rPr>
            </w:pPr>
            <w:r>
              <w:rPr>
                <w:color w:val="000000"/>
                <w:sz w:val="20"/>
                <w:szCs w:val="20"/>
              </w:rPr>
              <w:t>0,00</w:t>
            </w:r>
          </w:p>
        </w:tc>
        <w:tc>
          <w:tcPr>
            <w:tcW w:w="458" w:type="pct"/>
            <w:vAlign w:val="center"/>
          </w:tcPr>
          <w:p w14:paraId="1E3A8310" w14:textId="77777777" w:rsidR="00FA0E78" w:rsidRPr="009F3322" w:rsidRDefault="00FA0E78" w:rsidP="00FA0E78">
            <w:pPr>
              <w:tabs>
                <w:tab w:val="left" w:pos="8280"/>
              </w:tabs>
              <w:spacing w:before="20" w:after="20"/>
              <w:jc w:val="right"/>
              <w:rPr>
                <w:sz w:val="20"/>
                <w:szCs w:val="20"/>
              </w:rPr>
            </w:pPr>
            <w:r>
              <w:rPr>
                <w:sz w:val="20"/>
                <w:szCs w:val="20"/>
              </w:rPr>
              <w:t>s.o.</w:t>
            </w:r>
          </w:p>
        </w:tc>
      </w:tr>
      <w:tr w:rsidR="00FA0E78" w:rsidRPr="009F3322" w14:paraId="277E47C3" w14:textId="77777777" w:rsidTr="00582F1A">
        <w:trPr>
          <w:trHeight w:val="190"/>
          <w:jc w:val="center"/>
        </w:trPr>
        <w:tc>
          <w:tcPr>
            <w:tcW w:w="787" w:type="pct"/>
            <w:vMerge/>
          </w:tcPr>
          <w:p w14:paraId="5D13A8F6" w14:textId="77777777" w:rsidR="00FA0E78" w:rsidRPr="009F3322" w:rsidRDefault="00FA0E78" w:rsidP="00FA0E78">
            <w:pPr>
              <w:tabs>
                <w:tab w:val="left" w:pos="8280"/>
              </w:tabs>
              <w:spacing w:before="20" w:after="20"/>
              <w:jc w:val="left"/>
              <w:rPr>
                <w:sz w:val="20"/>
                <w:szCs w:val="20"/>
              </w:rPr>
            </w:pPr>
          </w:p>
        </w:tc>
        <w:tc>
          <w:tcPr>
            <w:tcW w:w="1416" w:type="pct"/>
            <w:gridSpan w:val="2"/>
            <w:vAlign w:val="center"/>
          </w:tcPr>
          <w:p w14:paraId="5645D0BD" w14:textId="77777777" w:rsidR="00FA0E78" w:rsidRPr="009F3322" w:rsidRDefault="00FA0E78" w:rsidP="00FA0E78">
            <w:pPr>
              <w:tabs>
                <w:tab w:val="left" w:pos="8280"/>
              </w:tabs>
              <w:spacing w:before="20" w:after="20"/>
              <w:jc w:val="left"/>
              <w:rPr>
                <w:sz w:val="20"/>
                <w:szCs w:val="20"/>
              </w:rPr>
            </w:pPr>
            <w:r>
              <w:rPr>
                <w:sz w:val="20"/>
                <w:szCs w:val="20"/>
              </w:rPr>
              <w:t>Consommation maximale autorisée</w:t>
            </w:r>
          </w:p>
        </w:tc>
        <w:tc>
          <w:tcPr>
            <w:tcW w:w="468" w:type="pct"/>
            <w:vAlign w:val="center"/>
          </w:tcPr>
          <w:p w14:paraId="4F65C7AA" w14:textId="28D515B5"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0EA998E8" w14:textId="11AE7E59"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1B5BAF16" w14:textId="6E31DBA5"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27589850" w14:textId="09C43571" w:rsidR="00FA0E78" w:rsidRPr="009F3322" w:rsidRDefault="00FA0E78" w:rsidP="00FA0E78">
            <w:pPr>
              <w:tabs>
                <w:tab w:val="left" w:pos="8280"/>
              </w:tabs>
              <w:spacing w:before="20" w:after="20"/>
              <w:jc w:val="right"/>
              <w:rPr>
                <w:sz w:val="20"/>
                <w:szCs w:val="20"/>
              </w:rPr>
            </w:pPr>
            <w:r>
              <w:rPr>
                <w:color w:val="000000"/>
                <w:sz w:val="20"/>
                <w:szCs w:val="20"/>
              </w:rPr>
              <w:t>0,16</w:t>
            </w:r>
          </w:p>
        </w:tc>
        <w:tc>
          <w:tcPr>
            <w:tcW w:w="468" w:type="pct"/>
            <w:vAlign w:val="center"/>
          </w:tcPr>
          <w:p w14:paraId="0CD80D2E" w14:textId="7F38E6C1" w:rsidR="00FA0E78" w:rsidRPr="009F3322" w:rsidRDefault="00FA0E78" w:rsidP="00FA0E78">
            <w:pPr>
              <w:tabs>
                <w:tab w:val="left" w:pos="8280"/>
              </w:tabs>
              <w:spacing w:before="20" w:after="20"/>
              <w:jc w:val="right"/>
              <w:rPr>
                <w:sz w:val="20"/>
                <w:szCs w:val="20"/>
                <w:highlight w:val="cyan"/>
              </w:rPr>
            </w:pPr>
            <w:r>
              <w:rPr>
                <w:color w:val="000000"/>
                <w:sz w:val="20"/>
                <w:szCs w:val="20"/>
              </w:rPr>
              <w:t>0,00</w:t>
            </w:r>
          </w:p>
        </w:tc>
        <w:tc>
          <w:tcPr>
            <w:tcW w:w="458" w:type="pct"/>
            <w:vAlign w:val="center"/>
          </w:tcPr>
          <w:p w14:paraId="577E6890" w14:textId="77777777" w:rsidR="00FA0E78" w:rsidRPr="009F3322" w:rsidRDefault="00FA0E78" w:rsidP="00FA0E78">
            <w:pPr>
              <w:tabs>
                <w:tab w:val="left" w:pos="8280"/>
              </w:tabs>
              <w:spacing w:before="20" w:after="20"/>
              <w:jc w:val="right"/>
              <w:rPr>
                <w:sz w:val="20"/>
                <w:szCs w:val="20"/>
              </w:rPr>
            </w:pPr>
            <w:r>
              <w:rPr>
                <w:sz w:val="20"/>
                <w:szCs w:val="20"/>
              </w:rPr>
              <w:t>s.o.</w:t>
            </w:r>
          </w:p>
        </w:tc>
      </w:tr>
      <w:tr w:rsidR="004F3F9F" w:rsidRPr="009F3322" w14:paraId="61193A46" w14:textId="77777777" w:rsidTr="00582F1A">
        <w:trPr>
          <w:trHeight w:val="106"/>
          <w:jc w:val="center"/>
        </w:trPr>
        <w:tc>
          <w:tcPr>
            <w:tcW w:w="787" w:type="pct"/>
            <w:vMerge w:val="restart"/>
            <w:vAlign w:val="center"/>
          </w:tcPr>
          <w:p w14:paraId="3293C973" w14:textId="77777777" w:rsidR="004F3F9F" w:rsidRPr="008B3228" w:rsidRDefault="004F3F9F" w:rsidP="004F3F9F">
            <w:pPr>
              <w:tabs>
                <w:tab w:val="left" w:pos="8280"/>
              </w:tabs>
              <w:spacing w:before="20" w:after="20"/>
              <w:ind w:right="-3"/>
              <w:jc w:val="left"/>
              <w:rPr>
                <w:sz w:val="20"/>
                <w:szCs w:val="20"/>
                <w:lang w:val="fr-CA"/>
              </w:rPr>
            </w:pPr>
            <w:r>
              <w:rPr>
                <w:sz w:val="20"/>
                <w:szCs w:val="20"/>
                <w:lang w:val="fr-CA"/>
              </w:rPr>
              <w:t>Coûts de projet demandés en principe ($US)</w:t>
            </w:r>
          </w:p>
        </w:tc>
        <w:tc>
          <w:tcPr>
            <w:tcW w:w="468" w:type="pct"/>
            <w:vMerge w:val="restart"/>
            <w:vAlign w:val="center"/>
          </w:tcPr>
          <w:p w14:paraId="6AA410CC" w14:textId="07688383" w:rsidR="004F3F9F" w:rsidRPr="009F3322" w:rsidRDefault="004F3F9F" w:rsidP="004F3F9F">
            <w:pPr>
              <w:tabs>
                <w:tab w:val="left" w:pos="8280"/>
              </w:tabs>
              <w:spacing w:before="20" w:after="20"/>
              <w:jc w:val="center"/>
              <w:rPr>
                <w:sz w:val="20"/>
                <w:szCs w:val="20"/>
              </w:rPr>
            </w:pPr>
            <w:r>
              <w:rPr>
                <w:color w:val="000000" w:themeColor="text1"/>
                <w:sz w:val="20"/>
                <w:szCs w:val="20"/>
              </w:rPr>
              <w:t>PNUE</w:t>
            </w:r>
          </w:p>
        </w:tc>
        <w:tc>
          <w:tcPr>
            <w:tcW w:w="948" w:type="pct"/>
            <w:vAlign w:val="center"/>
          </w:tcPr>
          <w:p w14:paraId="33256203" w14:textId="77777777" w:rsidR="004F3F9F" w:rsidRPr="009F3322" w:rsidRDefault="004F3F9F" w:rsidP="004F3F9F">
            <w:pPr>
              <w:tabs>
                <w:tab w:val="left" w:pos="8280"/>
              </w:tabs>
              <w:spacing w:before="20" w:after="20"/>
              <w:jc w:val="left"/>
              <w:rPr>
                <w:sz w:val="20"/>
                <w:szCs w:val="20"/>
              </w:rPr>
            </w:pPr>
            <w:r>
              <w:rPr>
                <w:sz w:val="20"/>
                <w:szCs w:val="20"/>
              </w:rPr>
              <w:t>Coûts du projet</w:t>
            </w:r>
          </w:p>
        </w:tc>
        <w:tc>
          <w:tcPr>
            <w:tcW w:w="468" w:type="pct"/>
            <w:vAlign w:val="center"/>
          </w:tcPr>
          <w:p w14:paraId="3C2DE941" w14:textId="2C5F453F" w:rsidR="004F3F9F" w:rsidRPr="00F30178" w:rsidRDefault="004F3F9F" w:rsidP="004F3F9F">
            <w:pPr>
              <w:tabs>
                <w:tab w:val="left" w:pos="8280"/>
              </w:tabs>
              <w:spacing w:before="20" w:after="20"/>
              <w:jc w:val="right"/>
              <w:rPr>
                <w:sz w:val="20"/>
                <w:szCs w:val="20"/>
                <w:highlight w:val="yellow"/>
              </w:rPr>
            </w:pPr>
            <w:r>
              <w:rPr>
                <w:color w:val="000000"/>
                <w:sz w:val="20"/>
                <w:szCs w:val="20"/>
              </w:rPr>
              <w:t>108 900</w:t>
            </w:r>
          </w:p>
        </w:tc>
        <w:tc>
          <w:tcPr>
            <w:tcW w:w="468" w:type="pct"/>
            <w:vAlign w:val="center"/>
          </w:tcPr>
          <w:p w14:paraId="485A2620" w14:textId="7986FEBA"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4575665A" w14:textId="5DF05894" w:rsidR="004F3F9F" w:rsidRPr="00F30178" w:rsidRDefault="004F3F9F" w:rsidP="004F3F9F">
            <w:pPr>
              <w:tabs>
                <w:tab w:val="left" w:pos="8280"/>
              </w:tabs>
              <w:spacing w:before="20" w:after="20"/>
              <w:jc w:val="right"/>
              <w:rPr>
                <w:sz w:val="20"/>
                <w:szCs w:val="20"/>
                <w:highlight w:val="yellow"/>
              </w:rPr>
            </w:pPr>
            <w:r>
              <w:rPr>
                <w:color w:val="000000"/>
                <w:sz w:val="20"/>
                <w:szCs w:val="20"/>
              </w:rPr>
              <w:t>111 000</w:t>
            </w:r>
          </w:p>
        </w:tc>
        <w:tc>
          <w:tcPr>
            <w:tcW w:w="468" w:type="pct"/>
            <w:vAlign w:val="center"/>
          </w:tcPr>
          <w:p w14:paraId="43E46489" w14:textId="296310C6"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BF1AD71" w14:textId="5A3A4084" w:rsidR="004F3F9F" w:rsidRPr="00F30178" w:rsidRDefault="004F3F9F" w:rsidP="004F3F9F">
            <w:pPr>
              <w:tabs>
                <w:tab w:val="left" w:pos="8280"/>
              </w:tabs>
              <w:spacing w:before="20" w:after="20"/>
              <w:jc w:val="right"/>
              <w:rPr>
                <w:sz w:val="20"/>
                <w:szCs w:val="20"/>
                <w:highlight w:val="yellow"/>
              </w:rPr>
            </w:pPr>
            <w:r>
              <w:rPr>
                <w:color w:val="000000"/>
                <w:sz w:val="20"/>
                <w:szCs w:val="20"/>
              </w:rPr>
              <w:t>13 800</w:t>
            </w:r>
          </w:p>
        </w:tc>
        <w:tc>
          <w:tcPr>
            <w:tcW w:w="458" w:type="pct"/>
            <w:vAlign w:val="center"/>
          </w:tcPr>
          <w:p w14:paraId="7197A170" w14:textId="661EC378" w:rsidR="004F3F9F" w:rsidRPr="00F30178" w:rsidRDefault="004F3F9F" w:rsidP="004F3F9F">
            <w:pPr>
              <w:tabs>
                <w:tab w:val="left" w:pos="8280"/>
              </w:tabs>
              <w:spacing w:before="20" w:after="20"/>
              <w:jc w:val="right"/>
              <w:rPr>
                <w:sz w:val="20"/>
                <w:szCs w:val="20"/>
                <w:highlight w:val="yellow"/>
              </w:rPr>
            </w:pPr>
            <w:r>
              <w:rPr>
                <w:color w:val="000000"/>
                <w:sz w:val="20"/>
                <w:szCs w:val="20"/>
              </w:rPr>
              <w:t>233 700</w:t>
            </w:r>
          </w:p>
        </w:tc>
      </w:tr>
      <w:tr w:rsidR="004F3F9F" w:rsidRPr="009F3322" w14:paraId="6CA17D79" w14:textId="77777777" w:rsidTr="00582F1A">
        <w:trPr>
          <w:trHeight w:val="46"/>
          <w:jc w:val="center"/>
        </w:trPr>
        <w:tc>
          <w:tcPr>
            <w:tcW w:w="787" w:type="pct"/>
            <w:vMerge/>
            <w:vAlign w:val="center"/>
          </w:tcPr>
          <w:p w14:paraId="1FDD818C" w14:textId="77777777" w:rsidR="004F3F9F" w:rsidRPr="009F3322" w:rsidRDefault="004F3F9F" w:rsidP="004F3F9F">
            <w:pPr>
              <w:tabs>
                <w:tab w:val="left" w:pos="8280"/>
              </w:tabs>
              <w:spacing w:before="20" w:after="20"/>
              <w:jc w:val="left"/>
              <w:rPr>
                <w:sz w:val="20"/>
                <w:szCs w:val="20"/>
              </w:rPr>
            </w:pPr>
          </w:p>
        </w:tc>
        <w:tc>
          <w:tcPr>
            <w:tcW w:w="468" w:type="pct"/>
            <w:vMerge/>
            <w:vAlign w:val="center"/>
          </w:tcPr>
          <w:p w14:paraId="0FBFA3D7" w14:textId="77777777" w:rsidR="004F3F9F" w:rsidRPr="009F3322" w:rsidRDefault="004F3F9F" w:rsidP="004F3F9F">
            <w:pPr>
              <w:tabs>
                <w:tab w:val="left" w:pos="8280"/>
              </w:tabs>
              <w:spacing w:before="20" w:after="20"/>
              <w:jc w:val="center"/>
              <w:rPr>
                <w:sz w:val="20"/>
                <w:szCs w:val="20"/>
              </w:rPr>
            </w:pPr>
          </w:p>
        </w:tc>
        <w:tc>
          <w:tcPr>
            <w:tcW w:w="948" w:type="pct"/>
            <w:vAlign w:val="center"/>
          </w:tcPr>
          <w:p w14:paraId="45FD29A0" w14:textId="77777777" w:rsidR="004F3F9F" w:rsidRPr="009F3322" w:rsidRDefault="004F3F9F" w:rsidP="004F3F9F">
            <w:pPr>
              <w:tabs>
                <w:tab w:val="left" w:pos="8280"/>
              </w:tabs>
              <w:spacing w:before="20" w:after="20"/>
              <w:jc w:val="left"/>
              <w:rPr>
                <w:sz w:val="20"/>
                <w:szCs w:val="20"/>
              </w:rPr>
            </w:pPr>
            <w:r>
              <w:rPr>
                <w:sz w:val="20"/>
                <w:szCs w:val="20"/>
              </w:rPr>
              <w:t>Coûts d'appui</w:t>
            </w:r>
          </w:p>
        </w:tc>
        <w:tc>
          <w:tcPr>
            <w:tcW w:w="468" w:type="pct"/>
            <w:vAlign w:val="center"/>
          </w:tcPr>
          <w:p w14:paraId="1C32B3A6" w14:textId="688305AC" w:rsidR="004F3F9F" w:rsidRPr="00F30178" w:rsidRDefault="004F3F9F" w:rsidP="004F3F9F">
            <w:pPr>
              <w:tabs>
                <w:tab w:val="left" w:pos="8280"/>
              </w:tabs>
              <w:spacing w:before="20" w:after="20"/>
              <w:jc w:val="right"/>
              <w:rPr>
                <w:sz w:val="20"/>
                <w:szCs w:val="20"/>
                <w:highlight w:val="yellow"/>
              </w:rPr>
            </w:pPr>
            <w:r>
              <w:rPr>
                <w:color w:val="000000"/>
                <w:sz w:val="20"/>
                <w:szCs w:val="20"/>
              </w:rPr>
              <w:t>14 157</w:t>
            </w:r>
          </w:p>
        </w:tc>
        <w:tc>
          <w:tcPr>
            <w:tcW w:w="468" w:type="pct"/>
            <w:vAlign w:val="center"/>
          </w:tcPr>
          <w:p w14:paraId="60229695" w14:textId="0C16C691"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9F7C392" w14:textId="057D8482" w:rsidR="004F3F9F" w:rsidRPr="00F30178" w:rsidRDefault="004F3F9F" w:rsidP="004F3F9F">
            <w:pPr>
              <w:tabs>
                <w:tab w:val="left" w:pos="8280"/>
              </w:tabs>
              <w:spacing w:before="20" w:after="20"/>
              <w:jc w:val="right"/>
              <w:rPr>
                <w:sz w:val="20"/>
                <w:szCs w:val="20"/>
                <w:highlight w:val="yellow"/>
              </w:rPr>
            </w:pPr>
            <w:r>
              <w:rPr>
                <w:color w:val="000000"/>
                <w:sz w:val="20"/>
                <w:szCs w:val="20"/>
              </w:rPr>
              <w:t>14 430</w:t>
            </w:r>
          </w:p>
        </w:tc>
        <w:tc>
          <w:tcPr>
            <w:tcW w:w="468" w:type="pct"/>
            <w:vAlign w:val="center"/>
          </w:tcPr>
          <w:p w14:paraId="21169208" w14:textId="51420AE3"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79ECF626" w14:textId="74F2DAA2" w:rsidR="004F3F9F" w:rsidRPr="00F30178" w:rsidRDefault="004F3F9F" w:rsidP="004F3F9F">
            <w:pPr>
              <w:tabs>
                <w:tab w:val="left" w:pos="8280"/>
              </w:tabs>
              <w:spacing w:before="20" w:after="20"/>
              <w:jc w:val="right"/>
              <w:rPr>
                <w:sz w:val="20"/>
                <w:szCs w:val="20"/>
                <w:highlight w:val="yellow"/>
              </w:rPr>
            </w:pPr>
            <w:r>
              <w:rPr>
                <w:color w:val="000000"/>
                <w:sz w:val="20"/>
                <w:szCs w:val="20"/>
              </w:rPr>
              <w:t>1 794</w:t>
            </w:r>
          </w:p>
        </w:tc>
        <w:tc>
          <w:tcPr>
            <w:tcW w:w="458" w:type="pct"/>
            <w:vAlign w:val="center"/>
          </w:tcPr>
          <w:p w14:paraId="12AC0752" w14:textId="42FF68A1" w:rsidR="004F3F9F" w:rsidRPr="00F30178" w:rsidRDefault="004F3F9F" w:rsidP="004F3F9F">
            <w:pPr>
              <w:tabs>
                <w:tab w:val="left" w:pos="8280"/>
              </w:tabs>
              <w:spacing w:before="20" w:after="20"/>
              <w:jc w:val="right"/>
              <w:rPr>
                <w:sz w:val="20"/>
                <w:szCs w:val="20"/>
                <w:highlight w:val="yellow"/>
              </w:rPr>
            </w:pPr>
            <w:r>
              <w:rPr>
                <w:color w:val="000000"/>
                <w:sz w:val="20"/>
                <w:szCs w:val="20"/>
              </w:rPr>
              <w:t>30 381</w:t>
            </w:r>
          </w:p>
        </w:tc>
      </w:tr>
      <w:tr w:rsidR="009F3322" w:rsidRPr="009F3322" w14:paraId="6777554F" w14:textId="77777777" w:rsidTr="00582F1A">
        <w:trPr>
          <w:trHeight w:val="56"/>
          <w:jc w:val="center"/>
        </w:trPr>
        <w:tc>
          <w:tcPr>
            <w:tcW w:w="787" w:type="pct"/>
            <w:vMerge/>
            <w:vAlign w:val="center"/>
          </w:tcPr>
          <w:p w14:paraId="0A577D00" w14:textId="77777777" w:rsidR="009F3322" w:rsidRPr="009F3322" w:rsidRDefault="009F3322" w:rsidP="009F3322">
            <w:pPr>
              <w:tabs>
                <w:tab w:val="left" w:pos="8280"/>
              </w:tabs>
              <w:spacing w:before="20" w:after="20"/>
              <w:jc w:val="left"/>
              <w:rPr>
                <w:sz w:val="20"/>
                <w:szCs w:val="20"/>
              </w:rPr>
            </w:pPr>
          </w:p>
        </w:tc>
        <w:tc>
          <w:tcPr>
            <w:tcW w:w="468" w:type="pct"/>
            <w:vMerge w:val="restart"/>
            <w:vAlign w:val="center"/>
          </w:tcPr>
          <w:p w14:paraId="59632E28" w14:textId="331958F9" w:rsidR="009F3322" w:rsidRPr="009F3322" w:rsidRDefault="001E1126" w:rsidP="009F3322">
            <w:pPr>
              <w:tabs>
                <w:tab w:val="left" w:pos="8280"/>
              </w:tabs>
              <w:spacing w:before="20" w:after="20"/>
              <w:jc w:val="center"/>
              <w:rPr>
                <w:sz w:val="20"/>
                <w:szCs w:val="20"/>
              </w:rPr>
            </w:pPr>
            <w:r>
              <w:rPr>
                <w:color w:val="000000" w:themeColor="text1"/>
                <w:sz w:val="20"/>
                <w:szCs w:val="20"/>
              </w:rPr>
              <w:t>ONUDI</w:t>
            </w:r>
          </w:p>
        </w:tc>
        <w:tc>
          <w:tcPr>
            <w:tcW w:w="948" w:type="pct"/>
            <w:vAlign w:val="center"/>
          </w:tcPr>
          <w:p w14:paraId="4CEEA779" w14:textId="77777777" w:rsidR="009F3322" w:rsidRPr="009F3322" w:rsidRDefault="009F3322" w:rsidP="009F3322">
            <w:pPr>
              <w:tabs>
                <w:tab w:val="left" w:pos="8280"/>
              </w:tabs>
              <w:spacing w:before="20" w:after="20"/>
              <w:jc w:val="left"/>
              <w:rPr>
                <w:sz w:val="20"/>
                <w:szCs w:val="20"/>
              </w:rPr>
            </w:pPr>
            <w:r>
              <w:rPr>
                <w:sz w:val="20"/>
                <w:szCs w:val="20"/>
              </w:rPr>
              <w:t>Coûts du projet</w:t>
            </w:r>
          </w:p>
        </w:tc>
        <w:tc>
          <w:tcPr>
            <w:tcW w:w="468" w:type="pct"/>
            <w:vAlign w:val="center"/>
          </w:tcPr>
          <w:p w14:paraId="7A9B98DB" w14:textId="55F7F094" w:rsidR="009F3322" w:rsidRPr="00F30178" w:rsidRDefault="009F3322" w:rsidP="009F3322">
            <w:pPr>
              <w:tabs>
                <w:tab w:val="left" w:pos="8280"/>
              </w:tabs>
              <w:spacing w:before="20" w:after="20"/>
              <w:jc w:val="right"/>
              <w:rPr>
                <w:sz w:val="20"/>
                <w:szCs w:val="20"/>
                <w:highlight w:val="yellow"/>
              </w:rPr>
            </w:pPr>
            <w:r>
              <w:rPr>
                <w:color w:val="000000"/>
                <w:sz w:val="20"/>
                <w:szCs w:val="20"/>
              </w:rPr>
              <w:t>35 000</w:t>
            </w:r>
          </w:p>
        </w:tc>
        <w:tc>
          <w:tcPr>
            <w:tcW w:w="468" w:type="pct"/>
            <w:vAlign w:val="center"/>
          </w:tcPr>
          <w:p w14:paraId="3E4409D6" w14:textId="23D52EC4"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33A2F62" w14:textId="446FD63E" w:rsidR="009F3322" w:rsidRPr="00F30178" w:rsidRDefault="009F3322" w:rsidP="009F3322">
            <w:pPr>
              <w:tabs>
                <w:tab w:val="left" w:pos="8280"/>
              </w:tabs>
              <w:spacing w:before="20" w:after="20"/>
              <w:jc w:val="right"/>
              <w:rPr>
                <w:sz w:val="20"/>
                <w:szCs w:val="20"/>
                <w:highlight w:val="yellow"/>
              </w:rPr>
            </w:pPr>
            <w:r>
              <w:rPr>
                <w:color w:val="000000"/>
                <w:sz w:val="20"/>
                <w:szCs w:val="20"/>
              </w:rPr>
              <w:t>17 000</w:t>
            </w:r>
          </w:p>
        </w:tc>
        <w:tc>
          <w:tcPr>
            <w:tcW w:w="468" w:type="pct"/>
            <w:vAlign w:val="center"/>
          </w:tcPr>
          <w:p w14:paraId="7A3897DE" w14:textId="117AD57A"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6827149C" w14:textId="305C71B4" w:rsidR="009F3322" w:rsidRPr="00F30178" w:rsidRDefault="009F3322" w:rsidP="009F3322">
            <w:pPr>
              <w:tabs>
                <w:tab w:val="left" w:pos="8280"/>
              </w:tabs>
              <w:spacing w:before="20" w:after="20"/>
              <w:jc w:val="right"/>
              <w:rPr>
                <w:sz w:val="20"/>
                <w:szCs w:val="20"/>
                <w:highlight w:val="yellow"/>
              </w:rPr>
            </w:pPr>
            <w:r>
              <w:rPr>
                <w:color w:val="000000"/>
                <w:sz w:val="20"/>
                <w:szCs w:val="20"/>
              </w:rPr>
              <w:t>5 300</w:t>
            </w:r>
          </w:p>
        </w:tc>
        <w:tc>
          <w:tcPr>
            <w:tcW w:w="458" w:type="pct"/>
            <w:vAlign w:val="center"/>
          </w:tcPr>
          <w:p w14:paraId="3E4E9357" w14:textId="6582CBB3" w:rsidR="009F3322" w:rsidRPr="00F30178" w:rsidRDefault="009F3322" w:rsidP="009F3322">
            <w:pPr>
              <w:tabs>
                <w:tab w:val="left" w:pos="8280"/>
              </w:tabs>
              <w:spacing w:before="20" w:after="20"/>
              <w:jc w:val="right"/>
              <w:rPr>
                <w:sz w:val="20"/>
                <w:szCs w:val="20"/>
                <w:highlight w:val="yellow"/>
              </w:rPr>
            </w:pPr>
            <w:r>
              <w:rPr>
                <w:color w:val="000000"/>
                <w:sz w:val="20"/>
                <w:szCs w:val="20"/>
              </w:rPr>
              <w:t>57 300</w:t>
            </w:r>
          </w:p>
        </w:tc>
      </w:tr>
      <w:tr w:rsidR="009F3322" w:rsidRPr="009F3322" w14:paraId="5C46DD60" w14:textId="77777777" w:rsidTr="00582F1A">
        <w:trPr>
          <w:trHeight w:val="46"/>
          <w:jc w:val="center"/>
        </w:trPr>
        <w:tc>
          <w:tcPr>
            <w:tcW w:w="787" w:type="pct"/>
            <w:vMerge/>
            <w:vAlign w:val="center"/>
          </w:tcPr>
          <w:p w14:paraId="68109655" w14:textId="77777777" w:rsidR="009F3322" w:rsidRPr="009F3322" w:rsidRDefault="009F3322" w:rsidP="009F3322">
            <w:pPr>
              <w:tabs>
                <w:tab w:val="left" w:pos="8280"/>
              </w:tabs>
              <w:spacing w:before="20" w:after="20"/>
              <w:jc w:val="left"/>
              <w:rPr>
                <w:sz w:val="20"/>
                <w:szCs w:val="20"/>
              </w:rPr>
            </w:pPr>
          </w:p>
        </w:tc>
        <w:tc>
          <w:tcPr>
            <w:tcW w:w="468" w:type="pct"/>
            <w:vMerge/>
            <w:vAlign w:val="center"/>
          </w:tcPr>
          <w:p w14:paraId="5F642487" w14:textId="77777777" w:rsidR="009F3322" w:rsidRPr="009F3322" w:rsidRDefault="009F3322" w:rsidP="009F3322">
            <w:pPr>
              <w:tabs>
                <w:tab w:val="left" w:pos="8280"/>
              </w:tabs>
              <w:spacing w:before="20" w:after="20"/>
              <w:jc w:val="left"/>
              <w:rPr>
                <w:sz w:val="20"/>
                <w:szCs w:val="20"/>
              </w:rPr>
            </w:pPr>
          </w:p>
        </w:tc>
        <w:tc>
          <w:tcPr>
            <w:tcW w:w="948" w:type="pct"/>
            <w:vAlign w:val="center"/>
          </w:tcPr>
          <w:p w14:paraId="1FDA2D3B" w14:textId="77777777" w:rsidR="009F3322" w:rsidRPr="009F3322" w:rsidRDefault="009F3322" w:rsidP="009F3322">
            <w:pPr>
              <w:tabs>
                <w:tab w:val="left" w:pos="8280"/>
              </w:tabs>
              <w:spacing w:before="20" w:after="20"/>
              <w:jc w:val="left"/>
              <w:rPr>
                <w:sz w:val="20"/>
                <w:szCs w:val="20"/>
              </w:rPr>
            </w:pPr>
            <w:r>
              <w:rPr>
                <w:sz w:val="20"/>
                <w:szCs w:val="20"/>
              </w:rPr>
              <w:t>Coûts d'appui</w:t>
            </w:r>
          </w:p>
        </w:tc>
        <w:tc>
          <w:tcPr>
            <w:tcW w:w="468" w:type="pct"/>
            <w:vAlign w:val="center"/>
          </w:tcPr>
          <w:p w14:paraId="1005F047" w14:textId="65CD6C8A" w:rsidR="009F3322" w:rsidRPr="00F30178" w:rsidRDefault="009F3322" w:rsidP="009F3322">
            <w:pPr>
              <w:tabs>
                <w:tab w:val="left" w:pos="8280"/>
              </w:tabs>
              <w:spacing w:before="20" w:after="20"/>
              <w:jc w:val="right"/>
              <w:rPr>
                <w:sz w:val="20"/>
                <w:szCs w:val="20"/>
                <w:highlight w:val="yellow"/>
              </w:rPr>
            </w:pPr>
            <w:r>
              <w:rPr>
                <w:color w:val="000000"/>
                <w:sz w:val="20"/>
                <w:szCs w:val="20"/>
              </w:rPr>
              <w:t>3 150</w:t>
            </w:r>
          </w:p>
        </w:tc>
        <w:tc>
          <w:tcPr>
            <w:tcW w:w="468" w:type="pct"/>
            <w:vAlign w:val="center"/>
          </w:tcPr>
          <w:p w14:paraId="4EDF7DFA" w14:textId="14C9D429"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6EF0C3C6" w14:textId="1DDCDD32" w:rsidR="009F3322" w:rsidRPr="00F30178" w:rsidRDefault="009F3322" w:rsidP="009F3322">
            <w:pPr>
              <w:tabs>
                <w:tab w:val="left" w:pos="8280"/>
              </w:tabs>
              <w:spacing w:before="20" w:after="20"/>
              <w:jc w:val="right"/>
              <w:rPr>
                <w:sz w:val="20"/>
                <w:szCs w:val="20"/>
                <w:highlight w:val="yellow"/>
              </w:rPr>
            </w:pPr>
            <w:r>
              <w:rPr>
                <w:color w:val="000000"/>
                <w:sz w:val="20"/>
                <w:szCs w:val="20"/>
              </w:rPr>
              <w:t>1 530</w:t>
            </w:r>
          </w:p>
        </w:tc>
        <w:tc>
          <w:tcPr>
            <w:tcW w:w="468" w:type="pct"/>
            <w:vAlign w:val="center"/>
          </w:tcPr>
          <w:p w14:paraId="2593689C" w14:textId="3D1E98C3" w:rsidR="009F3322" w:rsidRPr="00F30178" w:rsidRDefault="009F3322" w:rsidP="009F3322">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320EEE2" w14:textId="59D74342" w:rsidR="009F3322" w:rsidRPr="00F30178" w:rsidRDefault="009F3322" w:rsidP="009F3322">
            <w:pPr>
              <w:tabs>
                <w:tab w:val="left" w:pos="8280"/>
              </w:tabs>
              <w:spacing w:before="20" w:after="20"/>
              <w:jc w:val="right"/>
              <w:rPr>
                <w:sz w:val="20"/>
                <w:szCs w:val="20"/>
                <w:highlight w:val="yellow"/>
              </w:rPr>
            </w:pPr>
            <w:r>
              <w:rPr>
                <w:color w:val="000000"/>
                <w:sz w:val="20"/>
                <w:szCs w:val="20"/>
              </w:rPr>
              <w:t>477</w:t>
            </w:r>
          </w:p>
        </w:tc>
        <w:tc>
          <w:tcPr>
            <w:tcW w:w="458" w:type="pct"/>
            <w:vAlign w:val="center"/>
          </w:tcPr>
          <w:p w14:paraId="41790F25" w14:textId="323C33B0" w:rsidR="009F3322" w:rsidRPr="00F30178" w:rsidRDefault="009F3322" w:rsidP="009F3322">
            <w:pPr>
              <w:tabs>
                <w:tab w:val="left" w:pos="8280"/>
              </w:tabs>
              <w:spacing w:before="20" w:after="20"/>
              <w:jc w:val="right"/>
              <w:rPr>
                <w:sz w:val="20"/>
                <w:szCs w:val="20"/>
                <w:highlight w:val="yellow"/>
              </w:rPr>
            </w:pPr>
            <w:r>
              <w:rPr>
                <w:color w:val="000000"/>
                <w:sz w:val="20"/>
                <w:szCs w:val="20"/>
              </w:rPr>
              <w:t>5 157</w:t>
            </w:r>
          </w:p>
        </w:tc>
      </w:tr>
      <w:tr w:rsidR="004F3F9F" w:rsidRPr="009F3322" w14:paraId="55D72717" w14:textId="77777777" w:rsidTr="00582F1A">
        <w:trPr>
          <w:trHeight w:val="157"/>
          <w:jc w:val="center"/>
        </w:trPr>
        <w:tc>
          <w:tcPr>
            <w:tcW w:w="1255" w:type="pct"/>
            <w:gridSpan w:val="2"/>
            <w:vMerge w:val="restart"/>
            <w:vAlign w:val="center"/>
          </w:tcPr>
          <w:p w14:paraId="25A78B09" w14:textId="77777777" w:rsidR="004F3F9F" w:rsidRPr="008B3228" w:rsidRDefault="004F3F9F" w:rsidP="004F3F9F">
            <w:pPr>
              <w:tabs>
                <w:tab w:val="left" w:pos="8280"/>
              </w:tabs>
              <w:spacing w:before="20" w:after="20"/>
              <w:jc w:val="left"/>
              <w:rPr>
                <w:sz w:val="20"/>
                <w:szCs w:val="20"/>
                <w:lang w:val="fr-CA"/>
              </w:rPr>
            </w:pPr>
            <w:r>
              <w:rPr>
                <w:sz w:val="20"/>
                <w:szCs w:val="20"/>
                <w:lang w:val="fr-CA"/>
              </w:rPr>
              <w:t>Total des montants recommandés en principe ($US)</w:t>
            </w:r>
          </w:p>
        </w:tc>
        <w:tc>
          <w:tcPr>
            <w:tcW w:w="948" w:type="pct"/>
            <w:vAlign w:val="center"/>
          </w:tcPr>
          <w:p w14:paraId="278DA5F9" w14:textId="77777777" w:rsidR="004F3F9F" w:rsidRPr="009F3322" w:rsidRDefault="004F3F9F" w:rsidP="004F3F9F">
            <w:pPr>
              <w:tabs>
                <w:tab w:val="left" w:pos="8280"/>
              </w:tabs>
              <w:spacing w:before="20" w:after="20"/>
              <w:jc w:val="left"/>
              <w:rPr>
                <w:sz w:val="20"/>
                <w:szCs w:val="20"/>
              </w:rPr>
            </w:pPr>
            <w:r>
              <w:rPr>
                <w:sz w:val="20"/>
                <w:szCs w:val="20"/>
              </w:rPr>
              <w:t>Coûts du projet</w:t>
            </w:r>
          </w:p>
        </w:tc>
        <w:tc>
          <w:tcPr>
            <w:tcW w:w="468" w:type="pct"/>
            <w:vAlign w:val="center"/>
          </w:tcPr>
          <w:p w14:paraId="002502CC" w14:textId="3B512DB8" w:rsidR="004F3F9F" w:rsidRPr="00F30178" w:rsidRDefault="004F3F9F" w:rsidP="004F3F9F">
            <w:pPr>
              <w:tabs>
                <w:tab w:val="left" w:pos="8280"/>
              </w:tabs>
              <w:spacing w:before="20" w:after="20"/>
              <w:jc w:val="right"/>
              <w:rPr>
                <w:sz w:val="20"/>
                <w:szCs w:val="20"/>
                <w:highlight w:val="yellow"/>
              </w:rPr>
            </w:pPr>
            <w:r>
              <w:rPr>
                <w:color w:val="000000"/>
                <w:sz w:val="20"/>
                <w:szCs w:val="20"/>
              </w:rPr>
              <w:t>143 900</w:t>
            </w:r>
          </w:p>
        </w:tc>
        <w:tc>
          <w:tcPr>
            <w:tcW w:w="468" w:type="pct"/>
            <w:vAlign w:val="center"/>
          </w:tcPr>
          <w:p w14:paraId="26E90E93" w14:textId="082B94E4"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5E0D54D" w14:textId="3453B20D" w:rsidR="004F3F9F" w:rsidRPr="00F30178" w:rsidRDefault="004F3F9F" w:rsidP="004F3F9F">
            <w:pPr>
              <w:tabs>
                <w:tab w:val="left" w:pos="8280"/>
              </w:tabs>
              <w:spacing w:before="20" w:after="20"/>
              <w:jc w:val="right"/>
              <w:rPr>
                <w:sz w:val="20"/>
                <w:szCs w:val="20"/>
                <w:highlight w:val="yellow"/>
              </w:rPr>
            </w:pPr>
            <w:r>
              <w:rPr>
                <w:color w:val="000000"/>
                <w:sz w:val="20"/>
                <w:szCs w:val="20"/>
              </w:rPr>
              <w:t>128 000</w:t>
            </w:r>
          </w:p>
        </w:tc>
        <w:tc>
          <w:tcPr>
            <w:tcW w:w="468" w:type="pct"/>
            <w:vAlign w:val="center"/>
          </w:tcPr>
          <w:p w14:paraId="2D63C02B" w14:textId="1EEA98B1"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66CFF940" w14:textId="2F0CA5A4" w:rsidR="004F3F9F" w:rsidRPr="00F30178" w:rsidRDefault="004F3F9F" w:rsidP="004F3F9F">
            <w:pPr>
              <w:tabs>
                <w:tab w:val="left" w:pos="8280"/>
              </w:tabs>
              <w:spacing w:before="20" w:after="20"/>
              <w:jc w:val="right"/>
              <w:rPr>
                <w:sz w:val="20"/>
                <w:szCs w:val="20"/>
                <w:highlight w:val="yellow"/>
              </w:rPr>
            </w:pPr>
            <w:r>
              <w:rPr>
                <w:color w:val="000000"/>
                <w:sz w:val="20"/>
                <w:szCs w:val="20"/>
              </w:rPr>
              <w:t>19 100</w:t>
            </w:r>
          </w:p>
        </w:tc>
        <w:tc>
          <w:tcPr>
            <w:tcW w:w="458" w:type="pct"/>
            <w:vAlign w:val="center"/>
          </w:tcPr>
          <w:p w14:paraId="5399FEF7" w14:textId="67A4E069" w:rsidR="004F3F9F" w:rsidRPr="00F30178" w:rsidRDefault="004F3F9F" w:rsidP="004F3F9F">
            <w:pPr>
              <w:tabs>
                <w:tab w:val="left" w:pos="8280"/>
              </w:tabs>
              <w:spacing w:before="20" w:after="20"/>
              <w:jc w:val="right"/>
              <w:rPr>
                <w:sz w:val="20"/>
                <w:szCs w:val="20"/>
                <w:highlight w:val="yellow"/>
              </w:rPr>
            </w:pPr>
            <w:r>
              <w:rPr>
                <w:color w:val="000000"/>
                <w:sz w:val="20"/>
                <w:szCs w:val="20"/>
              </w:rPr>
              <w:t>291 000</w:t>
            </w:r>
          </w:p>
        </w:tc>
      </w:tr>
      <w:tr w:rsidR="004F3F9F" w:rsidRPr="009F3322" w14:paraId="2169ED50" w14:textId="77777777" w:rsidTr="00582F1A">
        <w:trPr>
          <w:trHeight w:val="202"/>
          <w:jc w:val="center"/>
        </w:trPr>
        <w:tc>
          <w:tcPr>
            <w:tcW w:w="1255" w:type="pct"/>
            <w:gridSpan w:val="2"/>
            <w:vMerge/>
          </w:tcPr>
          <w:p w14:paraId="3A0383A2" w14:textId="77777777" w:rsidR="004F3F9F" w:rsidRPr="009F3322" w:rsidRDefault="004F3F9F" w:rsidP="004F3F9F">
            <w:pPr>
              <w:tabs>
                <w:tab w:val="left" w:pos="8280"/>
              </w:tabs>
              <w:spacing w:before="20" w:after="20"/>
              <w:jc w:val="left"/>
              <w:rPr>
                <w:sz w:val="20"/>
                <w:szCs w:val="20"/>
              </w:rPr>
            </w:pPr>
          </w:p>
        </w:tc>
        <w:tc>
          <w:tcPr>
            <w:tcW w:w="948" w:type="pct"/>
            <w:vAlign w:val="center"/>
          </w:tcPr>
          <w:p w14:paraId="33DDB55E" w14:textId="77777777" w:rsidR="004F3F9F" w:rsidRPr="009F3322" w:rsidRDefault="004F3F9F" w:rsidP="004F3F9F">
            <w:pPr>
              <w:tabs>
                <w:tab w:val="left" w:pos="8280"/>
              </w:tabs>
              <w:spacing w:before="20" w:after="20"/>
              <w:jc w:val="left"/>
              <w:rPr>
                <w:sz w:val="20"/>
                <w:szCs w:val="20"/>
              </w:rPr>
            </w:pPr>
            <w:r>
              <w:rPr>
                <w:sz w:val="20"/>
                <w:szCs w:val="20"/>
              </w:rPr>
              <w:t>Coûts d'appui</w:t>
            </w:r>
          </w:p>
        </w:tc>
        <w:tc>
          <w:tcPr>
            <w:tcW w:w="468" w:type="pct"/>
            <w:vAlign w:val="center"/>
          </w:tcPr>
          <w:p w14:paraId="5B83B6FB" w14:textId="09E27E22" w:rsidR="004F3F9F" w:rsidRPr="00F30178" w:rsidRDefault="004F3F9F" w:rsidP="004F3F9F">
            <w:pPr>
              <w:tabs>
                <w:tab w:val="left" w:pos="8280"/>
              </w:tabs>
              <w:spacing w:before="20" w:after="20"/>
              <w:jc w:val="right"/>
              <w:rPr>
                <w:sz w:val="20"/>
                <w:szCs w:val="20"/>
                <w:highlight w:val="yellow"/>
              </w:rPr>
            </w:pPr>
            <w:r>
              <w:rPr>
                <w:color w:val="000000"/>
                <w:sz w:val="20"/>
                <w:szCs w:val="20"/>
              </w:rPr>
              <w:t>17 307</w:t>
            </w:r>
          </w:p>
        </w:tc>
        <w:tc>
          <w:tcPr>
            <w:tcW w:w="468" w:type="pct"/>
            <w:vAlign w:val="center"/>
          </w:tcPr>
          <w:p w14:paraId="670FA13C" w14:textId="64C934F8"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5DA963C5" w14:textId="510D96EC" w:rsidR="004F3F9F" w:rsidRPr="00F30178" w:rsidRDefault="004F3F9F" w:rsidP="004F3F9F">
            <w:pPr>
              <w:tabs>
                <w:tab w:val="left" w:pos="8280"/>
              </w:tabs>
              <w:spacing w:before="20" w:after="20"/>
              <w:jc w:val="right"/>
              <w:rPr>
                <w:sz w:val="20"/>
                <w:szCs w:val="20"/>
                <w:highlight w:val="yellow"/>
              </w:rPr>
            </w:pPr>
            <w:r>
              <w:rPr>
                <w:color w:val="000000"/>
                <w:sz w:val="20"/>
                <w:szCs w:val="20"/>
              </w:rPr>
              <w:t>15 960</w:t>
            </w:r>
          </w:p>
        </w:tc>
        <w:tc>
          <w:tcPr>
            <w:tcW w:w="468" w:type="pct"/>
            <w:vAlign w:val="center"/>
          </w:tcPr>
          <w:p w14:paraId="466568C3" w14:textId="27DFC366"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3B70E5C5" w14:textId="1E712B01" w:rsidR="004F3F9F" w:rsidRPr="00F30178" w:rsidRDefault="004F3F9F" w:rsidP="004F3F9F">
            <w:pPr>
              <w:tabs>
                <w:tab w:val="left" w:pos="8280"/>
              </w:tabs>
              <w:spacing w:before="20" w:after="20"/>
              <w:jc w:val="right"/>
              <w:rPr>
                <w:sz w:val="20"/>
                <w:szCs w:val="20"/>
                <w:highlight w:val="yellow"/>
              </w:rPr>
            </w:pPr>
            <w:r>
              <w:rPr>
                <w:color w:val="000000"/>
                <w:sz w:val="20"/>
                <w:szCs w:val="20"/>
              </w:rPr>
              <w:t>2 271</w:t>
            </w:r>
          </w:p>
        </w:tc>
        <w:tc>
          <w:tcPr>
            <w:tcW w:w="458" w:type="pct"/>
            <w:vAlign w:val="center"/>
          </w:tcPr>
          <w:p w14:paraId="752B83BD" w14:textId="64C0A710" w:rsidR="004F3F9F" w:rsidRPr="00F30178" w:rsidRDefault="004F3F9F" w:rsidP="004F3F9F">
            <w:pPr>
              <w:tabs>
                <w:tab w:val="left" w:pos="8280"/>
              </w:tabs>
              <w:spacing w:before="20" w:after="20"/>
              <w:jc w:val="right"/>
              <w:rPr>
                <w:sz w:val="20"/>
                <w:szCs w:val="20"/>
                <w:highlight w:val="yellow"/>
              </w:rPr>
            </w:pPr>
            <w:r>
              <w:rPr>
                <w:color w:val="000000"/>
                <w:sz w:val="20"/>
                <w:szCs w:val="20"/>
              </w:rPr>
              <w:t>35 538</w:t>
            </w:r>
          </w:p>
        </w:tc>
      </w:tr>
      <w:tr w:rsidR="004F3F9F" w:rsidRPr="009F3322" w14:paraId="12CE4120" w14:textId="77777777" w:rsidTr="00582F1A">
        <w:trPr>
          <w:trHeight w:val="46"/>
          <w:jc w:val="center"/>
        </w:trPr>
        <w:tc>
          <w:tcPr>
            <w:tcW w:w="1255" w:type="pct"/>
            <w:gridSpan w:val="2"/>
            <w:vMerge/>
          </w:tcPr>
          <w:p w14:paraId="77C1CF14" w14:textId="77777777" w:rsidR="004F3F9F" w:rsidRPr="009F3322" w:rsidRDefault="004F3F9F" w:rsidP="004F3F9F">
            <w:pPr>
              <w:tabs>
                <w:tab w:val="left" w:pos="8280"/>
              </w:tabs>
              <w:spacing w:before="20" w:after="20"/>
              <w:jc w:val="left"/>
              <w:rPr>
                <w:sz w:val="20"/>
                <w:szCs w:val="20"/>
              </w:rPr>
            </w:pPr>
          </w:p>
        </w:tc>
        <w:tc>
          <w:tcPr>
            <w:tcW w:w="948" w:type="pct"/>
            <w:vAlign w:val="center"/>
          </w:tcPr>
          <w:p w14:paraId="61323B3C" w14:textId="77777777" w:rsidR="004F3F9F" w:rsidRPr="009F3322" w:rsidRDefault="004F3F9F" w:rsidP="004F3F9F">
            <w:pPr>
              <w:tabs>
                <w:tab w:val="left" w:pos="8280"/>
              </w:tabs>
              <w:spacing w:before="20" w:after="20"/>
              <w:jc w:val="left"/>
              <w:rPr>
                <w:sz w:val="20"/>
                <w:szCs w:val="20"/>
              </w:rPr>
            </w:pPr>
            <w:r>
              <w:rPr>
                <w:sz w:val="20"/>
                <w:szCs w:val="20"/>
              </w:rPr>
              <w:t>Total des fonds</w:t>
            </w:r>
          </w:p>
        </w:tc>
        <w:tc>
          <w:tcPr>
            <w:tcW w:w="468" w:type="pct"/>
            <w:vAlign w:val="center"/>
          </w:tcPr>
          <w:p w14:paraId="5F174822" w14:textId="1163BAE5" w:rsidR="004F3F9F" w:rsidRPr="00F30178" w:rsidRDefault="004F3F9F" w:rsidP="004F3F9F">
            <w:pPr>
              <w:tabs>
                <w:tab w:val="left" w:pos="8280"/>
              </w:tabs>
              <w:spacing w:before="20" w:after="20"/>
              <w:jc w:val="right"/>
              <w:rPr>
                <w:sz w:val="20"/>
                <w:szCs w:val="20"/>
                <w:highlight w:val="yellow"/>
              </w:rPr>
            </w:pPr>
            <w:r>
              <w:rPr>
                <w:color w:val="000000"/>
                <w:sz w:val="20"/>
                <w:szCs w:val="20"/>
              </w:rPr>
              <w:t>161 207</w:t>
            </w:r>
          </w:p>
        </w:tc>
        <w:tc>
          <w:tcPr>
            <w:tcW w:w="468" w:type="pct"/>
            <w:vAlign w:val="center"/>
          </w:tcPr>
          <w:p w14:paraId="1B372A4E" w14:textId="27B55F93"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2E5E9FAB" w14:textId="3A05B0E5" w:rsidR="004F3F9F" w:rsidRPr="00F30178" w:rsidRDefault="004F3F9F" w:rsidP="004F3F9F">
            <w:pPr>
              <w:tabs>
                <w:tab w:val="left" w:pos="8280"/>
              </w:tabs>
              <w:spacing w:before="20" w:after="20"/>
              <w:jc w:val="right"/>
              <w:rPr>
                <w:sz w:val="20"/>
                <w:szCs w:val="20"/>
                <w:highlight w:val="yellow"/>
              </w:rPr>
            </w:pPr>
            <w:r>
              <w:rPr>
                <w:color w:val="000000"/>
                <w:sz w:val="20"/>
                <w:szCs w:val="20"/>
              </w:rPr>
              <w:t>143 960</w:t>
            </w:r>
          </w:p>
        </w:tc>
        <w:tc>
          <w:tcPr>
            <w:tcW w:w="468" w:type="pct"/>
            <w:vAlign w:val="center"/>
          </w:tcPr>
          <w:p w14:paraId="7F2038D6" w14:textId="29475D3C" w:rsidR="004F3F9F" w:rsidRPr="00F30178" w:rsidRDefault="004F3F9F" w:rsidP="004F3F9F">
            <w:pPr>
              <w:tabs>
                <w:tab w:val="left" w:pos="8280"/>
              </w:tabs>
              <w:spacing w:before="20" w:after="20"/>
              <w:jc w:val="right"/>
              <w:rPr>
                <w:sz w:val="20"/>
                <w:szCs w:val="20"/>
                <w:highlight w:val="yellow"/>
              </w:rPr>
            </w:pPr>
            <w:r>
              <w:rPr>
                <w:color w:val="000000"/>
                <w:sz w:val="20"/>
                <w:szCs w:val="20"/>
              </w:rPr>
              <w:t>0</w:t>
            </w:r>
          </w:p>
        </w:tc>
        <w:tc>
          <w:tcPr>
            <w:tcW w:w="468" w:type="pct"/>
            <w:vAlign w:val="center"/>
          </w:tcPr>
          <w:p w14:paraId="12316228" w14:textId="2B1425DF" w:rsidR="004F3F9F" w:rsidRPr="00F30178" w:rsidRDefault="004F3F9F" w:rsidP="004F3F9F">
            <w:pPr>
              <w:tabs>
                <w:tab w:val="left" w:pos="8280"/>
              </w:tabs>
              <w:spacing w:before="20" w:after="20"/>
              <w:jc w:val="right"/>
              <w:rPr>
                <w:sz w:val="20"/>
                <w:szCs w:val="20"/>
                <w:highlight w:val="yellow"/>
              </w:rPr>
            </w:pPr>
            <w:r>
              <w:rPr>
                <w:color w:val="000000"/>
                <w:sz w:val="20"/>
                <w:szCs w:val="20"/>
              </w:rPr>
              <w:t>21 371</w:t>
            </w:r>
          </w:p>
        </w:tc>
        <w:tc>
          <w:tcPr>
            <w:tcW w:w="458" w:type="pct"/>
            <w:vAlign w:val="center"/>
          </w:tcPr>
          <w:p w14:paraId="0B8F481D" w14:textId="24FFCBD6" w:rsidR="004F3F9F" w:rsidRPr="00F30178" w:rsidRDefault="004F3F9F" w:rsidP="004F3F9F">
            <w:pPr>
              <w:tabs>
                <w:tab w:val="left" w:pos="8280"/>
              </w:tabs>
              <w:spacing w:before="20" w:after="20"/>
              <w:jc w:val="right"/>
              <w:rPr>
                <w:sz w:val="20"/>
                <w:szCs w:val="20"/>
                <w:highlight w:val="yellow"/>
              </w:rPr>
            </w:pPr>
            <w:r>
              <w:rPr>
                <w:color w:val="000000"/>
                <w:sz w:val="20"/>
                <w:szCs w:val="20"/>
              </w:rPr>
              <w:t>326 538</w:t>
            </w:r>
          </w:p>
        </w:tc>
      </w:tr>
    </w:tbl>
    <w:p w14:paraId="126E0C34" w14:textId="3DDE7CBB" w:rsidR="008C7B67" w:rsidRPr="008B3228" w:rsidRDefault="00A50B8E" w:rsidP="008C7B67">
      <w:pPr>
        <w:spacing w:after="120"/>
        <w:ind w:left="-284" w:right="-279"/>
        <w:rPr>
          <w:sz w:val="18"/>
          <w:szCs w:val="18"/>
          <w:lang w:val="fr-CA"/>
        </w:rPr>
      </w:pPr>
      <w:r>
        <w:rPr>
          <w:sz w:val="18"/>
          <w:szCs w:val="18"/>
          <w:lang w:val="fr-CA"/>
        </w:rPr>
        <w:t>*Le financement pour 2026 et 2028 comprend un montant total de 100 000 $US, auquel s'ajoutent les coûts d’appui de l’agence de 13 000 $US, destinés au PNUE pour des activités supplémentaires visant à maintenir l’efficacité énergétique, conformément à la décision 89/6.</w:t>
      </w:r>
    </w:p>
    <w:tbl>
      <w:tblPr>
        <w:tblStyle w:val="TableGrid10"/>
        <w:tblW w:w="5364" w:type="pct"/>
        <w:jc w:val="center"/>
        <w:tblLayout w:type="fixed"/>
        <w:tblLook w:val="04A0" w:firstRow="1" w:lastRow="0" w:firstColumn="1" w:lastColumn="0" w:noHBand="0" w:noVBand="1"/>
      </w:tblPr>
      <w:tblGrid>
        <w:gridCol w:w="3343"/>
        <w:gridCol w:w="3344"/>
        <w:gridCol w:w="3344"/>
      </w:tblGrid>
      <w:tr w:rsidR="00563DA8" w:rsidRPr="009B44EF" w14:paraId="107A6B25" w14:textId="77777777" w:rsidTr="00E13F9A">
        <w:trPr>
          <w:trHeight w:val="261"/>
          <w:jc w:val="center"/>
        </w:trPr>
        <w:tc>
          <w:tcPr>
            <w:tcW w:w="5000" w:type="pct"/>
            <w:gridSpan w:val="3"/>
          </w:tcPr>
          <w:p w14:paraId="1580FD19" w14:textId="77777777" w:rsidR="00563DA8" w:rsidRPr="008B3228" w:rsidRDefault="00542658" w:rsidP="001161CD">
            <w:pPr>
              <w:spacing w:before="20" w:after="20"/>
              <w:rPr>
                <w:b/>
                <w:color w:val="000000" w:themeColor="text1"/>
                <w:sz w:val="20"/>
                <w:lang w:val="fr-CA"/>
              </w:rPr>
            </w:pPr>
            <w:r>
              <w:rPr>
                <w:b/>
                <w:color w:val="000000" w:themeColor="text1"/>
                <w:sz w:val="20"/>
                <w:lang w:val="fr-CA"/>
              </w:rPr>
              <w:t>Demande de financement pour la première tranche (2026)</w:t>
            </w:r>
          </w:p>
        </w:tc>
      </w:tr>
      <w:tr w:rsidR="00563DA8" w:rsidRPr="00EB31E3" w14:paraId="531E9432" w14:textId="77777777" w:rsidTr="00C00021">
        <w:trPr>
          <w:trHeight w:val="261"/>
          <w:jc w:val="center"/>
        </w:trPr>
        <w:tc>
          <w:tcPr>
            <w:tcW w:w="1666" w:type="pct"/>
          </w:tcPr>
          <w:p w14:paraId="436D33B9" w14:textId="77777777" w:rsidR="00563DA8" w:rsidRPr="009931F4" w:rsidRDefault="00563DA8" w:rsidP="001161CD">
            <w:pPr>
              <w:spacing w:before="20" w:after="20"/>
              <w:jc w:val="center"/>
              <w:rPr>
                <w:b/>
                <w:color w:val="000000" w:themeColor="text1"/>
                <w:sz w:val="20"/>
              </w:rPr>
            </w:pPr>
            <w:r>
              <w:rPr>
                <w:b/>
                <w:color w:val="000000" w:themeColor="text1"/>
                <w:sz w:val="20"/>
              </w:rPr>
              <w:t xml:space="preserve">Agence </w:t>
            </w:r>
            <w:proofErr w:type="spellStart"/>
            <w:r>
              <w:rPr>
                <w:b/>
                <w:color w:val="000000" w:themeColor="text1"/>
                <w:sz w:val="20"/>
              </w:rPr>
              <w:t>d'exécution</w:t>
            </w:r>
            <w:proofErr w:type="spellEnd"/>
          </w:p>
        </w:tc>
        <w:tc>
          <w:tcPr>
            <w:tcW w:w="1667" w:type="pct"/>
          </w:tcPr>
          <w:p w14:paraId="4F660C69" w14:textId="77777777" w:rsidR="00563DA8" w:rsidRPr="00996241" w:rsidRDefault="00563DA8" w:rsidP="001161CD">
            <w:pPr>
              <w:spacing w:before="20" w:after="20"/>
              <w:jc w:val="center"/>
              <w:rPr>
                <w:b/>
                <w:color w:val="000000" w:themeColor="text1"/>
                <w:sz w:val="20"/>
              </w:rPr>
            </w:pPr>
            <w:r>
              <w:rPr>
                <w:b/>
                <w:color w:val="000000" w:themeColor="text1"/>
                <w:sz w:val="20"/>
              </w:rPr>
              <w:t>Montant recommandé ($US)</w:t>
            </w:r>
          </w:p>
        </w:tc>
        <w:tc>
          <w:tcPr>
            <w:tcW w:w="1667" w:type="pct"/>
          </w:tcPr>
          <w:p w14:paraId="18F6E792" w14:textId="77777777" w:rsidR="00563DA8" w:rsidRPr="00996241" w:rsidRDefault="00563DA8" w:rsidP="001161CD">
            <w:pPr>
              <w:spacing w:before="20" w:after="20"/>
              <w:jc w:val="center"/>
              <w:rPr>
                <w:b/>
                <w:color w:val="000000" w:themeColor="text1"/>
                <w:sz w:val="20"/>
              </w:rPr>
            </w:pPr>
            <w:r>
              <w:rPr>
                <w:b/>
                <w:color w:val="000000" w:themeColor="text1"/>
                <w:sz w:val="20"/>
              </w:rPr>
              <w:t>Coûts d'appui ($US)</w:t>
            </w:r>
          </w:p>
        </w:tc>
      </w:tr>
      <w:tr w:rsidR="00563DA8" w:rsidRPr="00EB31E3" w14:paraId="7970B74E" w14:textId="77777777" w:rsidTr="00C00021">
        <w:trPr>
          <w:trHeight w:val="261"/>
          <w:jc w:val="center"/>
        </w:trPr>
        <w:tc>
          <w:tcPr>
            <w:tcW w:w="1666" w:type="pct"/>
          </w:tcPr>
          <w:p w14:paraId="572818EE" w14:textId="10C0D0A3" w:rsidR="00563DA8" w:rsidRPr="00996241" w:rsidRDefault="00697CB1" w:rsidP="001161CD">
            <w:pPr>
              <w:spacing w:before="20" w:after="20"/>
              <w:rPr>
                <w:color w:val="000000" w:themeColor="text1"/>
                <w:sz w:val="20"/>
              </w:rPr>
            </w:pPr>
            <w:r>
              <w:rPr>
                <w:color w:val="000000" w:themeColor="text1"/>
                <w:sz w:val="20"/>
              </w:rPr>
              <w:t>PNUE</w:t>
            </w:r>
          </w:p>
        </w:tc>
        <w:tc>
          <w:tcPr>
            <w:tcW w:w="1667" w:type="pct"/>
          </w:tcPr>
          <w:p w14:paraId="38514957" w14:textId="07600288" w:rsidR="00563DA8" w:rsidRPr="00954896" w:rsidRDefault="004F3F9F" w:rsidP="001161CD">
            <w:pPr>
              <w:spacing w:before="20" w:after="20"/>
              <w:jc w:val="right"/>
              <w:rPr>
                <w:color w:val="000000" w:themeColor="text1"/>
                <w:sz w:val="20"/>
              </w:rPr>
            </w:pPr>
            <w:r>
              <w:rPr>
                <w:color w:val="000000" w:themeColor="text1"/>
                <w:sz w:val="20"/>
              </w:rPr>
              <w:t>108 900</w:t>
            </w:r>
          </w:p>
        </w:tc>
        <w:tc>
          <w:tcPr>
            <w:tcW w:w="1667" w:type="pct"/>
          </w:tcPr>
          <w:p w14:paraId="21775125" w14:textId="094DDDDF" w:rsidR="00563DA8" w:rsidRPr="00954896" w:rsidRDefault="004F3F9F" w:rsidP="001161CD">
            <w:pPr>
              <w:spacing w:before="20" w:after="20"/>
              <w:jc w:val="right"/>
              <w:rPr>
                <w:color w:val="000000" w:themeColor="text1"/>
                <w:sz w:val="20"/>
              </w:rPr>
            </w:pPr>
            <w:r>
              <w:rPr>
                <w:color w:val="000000" w:themeColor="text1"/>
                <w:sz w:val="20"/>
              </w:rPr>
              <w:t>14 157</w:t>
            </w:r>
          </w:p>
        </w:tc>
      </w:tr>
      <w:tr w:rsidR="00563DA8" w:rsidRPr="00EB31E3" w14:paraId="616BCA4A" w14:textId="77777777" w:rsidTr="00C00021">
        <w:trPr>
          <w:trHeight w:val="67"/>
          <w:jc w:val="center"/>
        </w:trPr>
        <w:tc>
          <w:tcPr>
            <w:tcW w:w="1666" w:type="pct"/>
          </w:tcPr>
          <w:p w14:paraId="74351462" w14:textId="491118A2" w:rsidR="00563DA8" w:rsidRPr="009931F4" w:rsidRDefault="009A6121" w:rsidP="001161CD">
            <w:pPr>
              <w:spacing w:before="20" w:after="20"/>
              <w:rPr>
                <w:color w:val="000000" w:themeColor="text1"/>
                <w:sz w:val="20"/>
              </w:rPr>
            </w:pPr>
            <w:r>
              <w:rPr>
                <w:color w:val="000000" w:themeColor="text1"/>
                <w:sz w:val="20"/>
              </w:rPr>
              <w:t>ONUDI</w:t>
            </w:r>
          </w:p>
        </w:tc>
        <w:tc>
          <w:tcPr>
            <w:tcW w:w="1667" w:type="pct"/>
          </w:tcPr>
          <w:p w14:paraId="335BE6EB" w14:textId="61986D5F" w:rsidR="00563DA8" w:rsidRPr="00954896" w:rsidRDefault="00954896" w:rsidP="001161CD">
            <w:pPr>
              <w:spacing w:before="20" w:after="20"/>
              <w:jc w:val="right"/>
              <w:rPr>
                <w:color w:val="000000" w:themeColor="text1"/>
                <w:sz w:val="20"/>
              </w:rPr>
            </w:pPr>
            <w:r>
              <w:rPr>
                <w:color w:val="000000" w:themeColor="text1"/>
                <w:sz w:val="20"/>
              </w:rPr>
              <w:t>35 000</w:t>
            </w:r>
          </w:p>
        </w:tc>
        <w:tc>
          <w:tcPr>
            <w:tcW w:w="1667" w:type="pct"/>
          </w:tcPr>
          <w:p w14:paraId="67B68DD3" w14:textId="3EC08310" w:rsidR="00563DA8" w:rsidRPr="00954896" w:rsidRDefault="00954896" w:rsidP="001161CD">
            <w:pPr>
              <w:spacing w:before="20" w:after="20"/>
              <w:jc w:val="right"/>
              <w:rPr>
                <w:color w:val="000000" w:themeColor="text1"/>
                <w:sz w:val="20"/>
              </w:rPr>
            </w:pPr>
            <w:r>
              <w:rPr>
                <w:color w:val="000000" w:themeColor="text1"/>
                <w:sz w:val="20"/>
              </w:rPr>
              <w:t>3 150</w:t>
            </w:r>
          </w:p>
        </w:tc>
      </w:tr>
      <w:tr w:rsidR="00D31317" w:rsidRPr="00EB31E3" w14:paraId="4E605FB4" w14:textId="77777777" w:rsidTr="00C00021">
        <w:trPr>
          <w:trHeight w:val="261"/>
          <w:jc w:val="center"/>
        </w:trPr>
        <w:tc>
          <w:tcPr>
            <w:tcW w:w="1666" w:type="pct"/>
          </w:tcPr>
          <w:p w14:paraId="7F3C75A3" w14:textId="77777777" w:rsidR="00D31317" w:rsidRPr="009931F4" w:rsidRDefault="00D31317" w:rsidP="00D31317">
            <w:pPr>
              <w:spacing w:before="20" w:after="20"/>
              <w:rPr>
                <w:color w:val="000000" w:themeColor="text1"/>
                <w:sz w:val="20"/>
                <w:highlight w:val="cyan"/>
              </w:rPr>
            </w:pPr>
            <w:r>
              <w:rPr>
                <w:color w:val="000000" w:themeColor="text1"/>
                <w:sz w:val="20"/>
              </w:rPr>
              <w:t>Total</w:t>
            </w:r>
          </w:p>
        </w:tc>
        <w:tc>
          <w:tcPr>
            <w:tcW w:w="1667" w:type="pct"/>
          </w:tcPr>
          <w:p w14:paraId="4D79D89D" w14:textId="0B456BE9" w:rsidR="00D31317" w:rsidRPr="00954896" w:rsidRDefault="004F3F9F" w:rsidP="00D31317">
            <w:pPr>
              <w:spacing w:before="20" w:after="20"/>
              <w:jc w:val="right"/>
              <w:rPr>
                <w:color w:val="000000" w:themeColor="text1"/>
                <w:sz w:val="20"/>
              </w:rPr>
            </w:pPr>
            <w:r>
              <w:rPr>
                <w:color w:val="000000" w:themeColor="text1"/>
                <w:sz w:val="20"/>
              </w:rPr>
              <w:t>143 900</w:t>
            </w:r>
          </w:p>
        </w:tc>
        <w:tc>
          <w:tcPr>
            <w:tcW w:w="1667" w:type="pct"/>
          </w:tcPr>
          <w:p w14:paraId="5677D62D" w14:textId="01499075" w:rsidR="00D31317" w:rsidRPr="00954896" w:rsidRDefault="004F3F9F" w:rsidP="00D31317">
            <w:pPr>
              <w:spacing w:before="20" w:after="20"/>
              <w:jc w:val="right"/>
              <w:rPr>
                <w:color w:val="000000" w:themeColor="text1"/>
                <w:sz w:val="20"/>
              </w:rPr>
            </w:pPr>
            <w:r>
              <w:rPr>
                <w:color w:val="000000" w:themeColor="text1"/>
                <w:sz w:val="20"/>
              </w:rPr>
              <w:t>17 307</w:t>
            </w:r>
          </w:p>
        </w:tc>
      </w:tr>
    </w:tbl>
    <w:p w14:paraId="624450AF" w14:textId="77777777" w:rsidR="00563DA8" w:rsidRPr="00C56812" w:rsidRDefault="00563DA8" w:rsidP="001161CD">
      <w:pPr>
        <w:jc w:val="center"/>
        <w:rPr>
          <w:sz w:val="18"/>
          <w:szCs w:val="18"/>
        </w:rPr>
      </w:pPr>
    </w:p>
    <w:tbl>
      <w:tblPr>
        <w:tblStyle w:val="TableGrid"/>
        <w:tblW w:w="5364" w:type="pct"/>
        <w:jc w:val="center"/>
        <w:tblLayout w:type="fixed"/>
        <w:tblLook w:val="04A0" w:firstRow="1" w:lastRow="0" w:firstColumn="1" w:lastColumn="0" w:noHBand="0" w:noVBand="1"/>
      </w:tblPr>
      <w:tblGrid>
        <w:gridCol w:w="5015"/>
        <w:gridCol w:w="5016"/>
      </w:tblGrid>
      <w:tr w:rsidR="00563DA8" w:rsidRPr="00EB31E3" w14:paraId="0772D3D4" w14:textId="77777777" w:rsidTr="00C00021">
        <w:trPr>
          <w:trHeight w:hRule="exact" w:val="281"/>
          <w:jc w:val="center"/>
        </w:trPr>
        <w:tc>
          <w:tcPr>
            <w:tcW w:w="2500" w:type="pct"/>
          </w:tcPr>
          <w:p w14:paraId="71D830AC" w14:textId="77777777" w:rsidR="00563DA8" w:rsidRPr="00996241" w:rsidRDefault="00563DA8" w:rsidP="00E13F9A">
            <w:pPr>
              <w:spacing w:before="20" w:after="20"/>
              <w:jc w:val="left"/>
              <w:rPr>
                <w:b/>
                <w:color w:val="000000" w:themeColor="text1"/>
                <w:sz w:val="20"/>
              </w:rPr>
            </w:pPr>
            <w:r>
              <w:rPr>
                <w:b/>
                <w:color w:val="000000" w:themeColor="text1"/>
                <w:sz w:val="20"/>
              </w:rPr>
              <w:t xml:space="preserve">Recommandation du </w:t>
            </w:r>
            <w:proofErr w:type="gramStart"/>
            <w:r>
              <w:rPr>
                <w:b/>
                <w:color w:val="000000" w:themeColor="text1"/>
                <w:sz w:val="20"/>
              </w:rPr>
              <w:t>Secrétariat :</w:t>
            </w:r>
            <w:proofErr w:type="gramEnd"/>
          </w:p>
        </w:tc>
        <w:tc>
          <w:tcPr>
            <w:tcW w:w="2500" w:type="pct"/>
          </w:tcPr>
          <w:p w14:paraId="0DD0344B" w14:textId="77777777" w:rsidR="00563DA8" w:rsidRPr="00996241" w:rsidRDefault="00563DA8" w:rsidP="00E13F9A">
            <w:pPr>
              <w:spacing w:before="20" w:after="20"/>
              <w:jc w:val="center"/>
              <w:rPr>
                <w:color w:val="000000" w:themeColor="text1"/>
                <w:sz w:val="20"/>
              </w:rPr>
            </w:pPr>
            <w:r>
              <w:rPr>
                <w:color w:val="000000" w:themeColor="text1"/>
                <w:sz w:val="20"/>
              </w:rPr>
              <w:t>Pour examen individuel</w:t>
            </w:r>
          </w:p>
        </w:tc>
      </w:tr>
    </w:tbl>
    <w:p w14:paraId="249A994B" w14:textId="77777777" w:rsidR="00D31317" w:rsidRDefault="00D31317" w:rsidP="00D31317">
      <w:pPr>
        <w:tabs>
          <w:tab w:val="left" w:pos="2880"/>
          <w:tab w:val="left" w:pos="5760"/>
        </w:tabs>
        <w:spacing w:after="240"/>
        <w:rPr>
          <w:b/>
        </w:rPr>
      </w:pPr>
      <w:r>
        <w:rPr>
          <w:b/>
        </w:rPr>
        <w:br w:type="page"/>
      </w:r>
    </w:p>
    <w:p w14:paraId="5B35106E" w14:textId="4ED38B7A" w:rsidR="00563DA8" w:rsidRPr="00996241" w:rsidRDefault="00563DA8" w:rsidP="001161CD">
      <w:pPr>
        <w:keepNext/>
        <w:tabs>
          <w:tab w:val="left" w:pos="2880"/>
          <w:tab w:val="left" w:pos="5760"/>
        </w:tabs>
        <w:spacing w:before="240" w:after="240"/>
        <w:jc w:val="center"/>
        <w:rPr>
          <w:b/>
        </w:rPr>
      </w:pPr>
      <w:r>
        <w:rPr>
          <w:b/>
        </w:rPr>
        <w:lastRenderedPageBreak/>
        <w:t>DESCRIPTION DU PROJET</w:t>
      </w:r>
    </w:p>
    <w:p w14:paraId="1DC43071" w14:textId="77777777" w:rsidR="00563DA8" w:rsidRPr="00996241" w:rsidRDefault="00563DA8" w:rsidP="001161CD">
      <w:pPr>
        <w:keepNext/>
        <w:spacing w:after="240"/>
        <w:rPr>
          <w:b/>
        </w:rPr>
      </w:pPr>
      <w:r>
        <w:rPr>
          <w:b/>
        </w:rPr>
        <w:t>Contexte</w:t>
      </w:r>
    </w:p>
    <w:p w14:paraId="0A8328C9" w14:textId="1999C028" w:rsidR="00F9712F" w:rsidRPr="008B3228" w:rsidRDefault="00563DA8" w:rsidP="00FD395B">
      <w:pPr>
        <w:pStyle w:val="Heading1"/>
        <w:rPr>
          <w:lang w:val="fr-CA"/>
        </w:rPr>
      </w:pPr>
      <w:r>
        <w:rPr>
          <w:lang w:val="fr-CA"/>
        </w:rPr>
        <w:t>Au nom du gouvernement de Saint-Kitts-et-Nevis, le PNUE, en tant qu’agence d’exécution principale, a soumis une demande pour la phase II du Plan de gestion de l'élimination des HCFC (PGEH), d’un coût total de 585 914 $US, comprenant 396 100 $US, plus des coûts d’appui de l’agence d’exécution de 51 493 $US pour le PNUE et de 126 900 $US, auxquels s’ajoutent des coûts d’appui de l’agence d’exécution de 11 421 $US pour l’ONUDI, comme initialement soumis.</w:t>
      </w:r>
      <w:r>
        <w:rPr>
          <w:vertAlign w:val="superscript"/>
        </w:rPr>
        <w:footnoteReference w:id="3"/>
      </w:r>
      <w:r>
        <w:rPr>
          <w:lang w:val="fr-CA"/>
        </w:rPr>
        <w:t xml:space="preserve"> La demande comprend une demande de financement d’activités supplémentaires visant à maintenir l’efficacité énergétique dans le </w:t>
      </w:r>
      <w:r w:rsidR="00860E6B">
        <w:rPr>
          <w:lang w:val="fr-CA"/>
        </w:rPr>
        <w:t>s</w:t>
      </w:r>
      <w:r>
        <w:rPr>
          <w:lang w:val="fr-CA"/>
        </w:rPr>
        <w:t>ecteur de l’entretien des équipements de réfrigération.</w:t>
      </w:r>
      <w:r>
        <w:rPr>
          <w:rStyle w:val="FootnoteReference"/>
        </w:rPr>
        <w:footnoteReference w:id="4"/>
      </w:r>
      <w:r>
        <w:rPr>
          <w:lang w:val="fr-CA"/>
        </w:rPr>
        <w:t xml:space="preserve"> La mise en œuvre de la phase II du PGEH permettra d’éliminer la consommation restante de HCFC d’ici 2030.</w:t>
      </w:r>
    </w:p>
    <w:p w14:paraId="64C0504E" w14:textId="1388D52E" w:rsidR="00563DA8" w:rsidRPr="008B3228" w:rsidRDefault="00563DA8" w:rsidP="001161CD">
      <w:pPr>
        <w:pStyle w:val="Heading1"/>
        <w:rPr>
          <w:lang w:val="fr-CA"/>
        </w:rPr>
      </w:pPr>
      <w:r>
        <w:rPr>
          <w:lang w:val="fr-CA"/>
        </w:rPr>
        <w:t>La première tranche de la phase II du PGEH demandée à la présente réunion totalise 351 290 $US, dont 253 000 $US, plus des coûts d’appui d’agence de 32 890 $US pour le PNUE, et 60 000 $US, plus des coûts d’appui d’agence de 5 400 $US pour l’ONUDI, comme initialement soumis.</w:t>
      </w:r>
    </w:p>
    <w:p w14:paraId="40D59D66" w14:textId="327367FB" w:rsidR="00563DA8" w:rsidRPr="008B3228" w:rsidRDefault="00563DA8" w:rsidP="001161CD">
      <w:pPr>
        <w:keepNext/>
        <w:spacing w:after="240"/>
        <w:outlineLvl w:val="0"/>
        <w:rPr>
          <w:b/>
          <w:lang w:val="fr-CA"/>
        </w:rPr>
      </w:pPr>
      <w:r>
        <w:rPr>
          <w:b/>
          <w:lang w:val="fr-CA"/>
        </w:rPr>
        <w:t xml:space="preserve">État de la mise en œuvre de </w:t>
      </w:r>
      <w:r>
        <w:rPr>
          <w:b/>
          <w:bCs/>
          <w:lang w:val="fr-CA"/>
        </w:rPr>
        <w:t xml:space="preserve">la phase I </w:t>
      </w:r>
      <w:r>
        <w:rPr>
          <w:b/>
          <w:lang w:val="fr-CA"/>
        </w:rPr>
        <w:t>du plan de gestion de l'élimination des HCFC</w:t>
      </w:r>
    </w:p>
    <w:p w14:paraId="5E041C75" w14:textId="4EE42C27" w:rsidR="00563DA8" w:rsidRPr="008B3228" w:rsidRDefault="00563DA8" w:rsidP="001161CD">
      <w:pPr>
        <w:pStyle w:val="Heading1"/>
        <w:tabs>
          <w:tab w:val="num" w:pos="709"/>
        </w:tabs>
        <w:rPr>
          <w:lang w:val="fr-CA"/>
        </w:rPr>
      </w:pPr>
      <w:r>
        <w:rPr>
          <w:lang w:val="fr-CA"/>
        </w:rPr>
        <w:t>La phase I du PGEH de Saint-Kitts-et-Nevis a été approuvée lors de la 64</w:t>
      </w:r>
      <w:r>
        <w:rPr>
          <w:vertAlign w:val="superscript"/>
          <w:lang w:val="fr-CA"/>
        </w:rPr>
        <w:t>e</w:t>
      </w:r>
      <w:r>
        <w:rPr>
          <w:lang w:val="fr-CA"/>
        </w:rPr>
        <w:t xml:space="preserve"> réunion</w:t>
      </w:r>
      <w:r>
        <w:rPr>
          <w:vertAlign w:val="superscript"/>
        </w:rPr>
        <w:footnoteReference w:id="5"/>
      </w:r>
      <w:r>
        <w:rPr>
          <w:lang w:val="fr-CA"/>
        </w:rPr>
        <w:t xml:space="preserve"> afin d'éliminer progressivement 0,18 tonne PAO de HCFC utilisés dans les secteurs de l'entretien des équipements de réfrigération et de climatisation (RAC) et d'atteindre une réduction de 35 % par rapport au niveau de référence d'ici 2020, pour un coût total de 164 500 $US, auxquels s'ajoutent les coûts d'appui des agences. La phase I du plan de gestion des hydrochlorofluorocarbures (PGEH) s’est achevée en juin 2024, comme l’avait prolongé le Comité exécutif lors de sa 93</w:t>
      </w:r>
      <w:r>
        <w:rPr>
          <w:vertAlign w:val="superscript"/>
          <w:lang w:val="fr-CA"/>
        </w:rPr>
        <w:t>e</w:t>
      </w:r>
      <w:r>
        <w:rPr>
          <w:lang w:val="fr-CA"/>
        </w:rPr>
        <w:t xml:space="preserve"> réunion.</w:t>
      </w:r>
      <w:r>
        <w:rPr>
          <w:rStyle w:val="FootnoteReference"/>
        </w:rPr>
        <w:footnoteReference w:id="6"/>
      </w:r>
      <w:r>
        <w:rPr>
          <w:lang w:val="fr-CA"/>
        </w:rPr>
        <w:t xml:space="preserve"> Le rapport d’achèvement de projet a été reçu en février 2025. </w:t>
      </w:r>
    </w:p>
    <w:p w14:paraId="5EC49C81" w14:textId="16860D2E" w:rsidR="00563DA8" w:rsidRPr="008B3228" w:rsidRDefault="00563DA8" w:rsidP="001161CD">
      <w:pPr>
        <w:keepNext/>
        <w:spacing w:after="240"/>
        <w:rPr>
          <w:lang w:val="fr-CA"/>
        </w:rPr>
      </w:pPr>
      <w:r>
        <w:rPr>
          <w:u w:val="single"/>
          <w:lang w:val="fr-CA"/>
        </w:rPr>
        <w:t xml:space="preserve">Rapport sur la consommation de HCFC </w:t>
      </w:r>
      <w:bookmarkStart w:id="0" w:name="_Hlk170900703"/>
    </w:p>
    <w:p w14:paraId="37B4DF33" w14:textId="2DFF43BA" w:rsidR="00563DA8" w:rsidRPr="008B3228" w:rsidRDefault="00563DA8" w:rsidP="00BA0838">
      <w:pPr>
        <w:pStyle w:val="Heading1"/>
        <w:widowControl w:val="0"/>
        <w:spacing w:after="0"/>
        <w:rPr>
          <w:lang w:val="fr-CA"/>
        </w:rPr>
      </w:pPr>
      <w:bookmarkStart w:id="1" w:name="_Hlk141281293"/>
      <w:bookmarkEnd w:id="0"/>
      <w:r>
        <w:rPr>
          <w:lang w:val="fr-CA"/>
        </w:rPr>
        <w:t>Dans le rapport sur la mise en œuvre du programme de pays (CP), le Gouvernement de Saint-Kitts-et-Nevis a déclaré une consommation de 0,04 tonne PAO de HCFC en 2025, soit 91 % de moins que le niveau de référence des HCFC pour la conformité. Les données visées à l’article 7 pour 2025 n’ont pas encore été communiquées. La consommation de HCFC pour la période 2021-2025 est présentée dans le tableau 1.</w:t>
      </w:r>
    </w:p>
    <w:bookmarkEnd w:id="1"/>
    <w:p w14:paraId="30E3754E" w14:textId="555CB4FD" w:rsidR="00563DA8" w:rsidRPr="008B3228" w:rsidRDefault="00563DA8" w:rsidP="006A77D7">
      <w:pPr>
        <w:keepNext/>
        <w:spacing w:before="240"/>
        <w:rPr>
          <w:b/>
          <w:lang w:val="fr-CA"/>
        </w:rPr>
      </w:pPr>
      <w:r>
        <w:rPr>
          <w:b/>
          <w:lang w:val="fr-CA"/>
        </w:rPr>
        <w:t>Tableau 1. Consommation de HCFC en 2021-2025 à Saint-Kitts-et-Nevis (données visées à l’article 7)</w:t>
      </w:r>
    </w:p>
    <w:tbl>
      <w:tblPr>
        <w:tblW w:w="5000" w:type="pct"/>
        <w:tblLayout w:type="fixed"/>
        <w:tblLook w:val="04A0" w:firstRow="1" w:lastRow="0" w:firstColumn="1" w:lastColumn="0" w:noHBand="0" w:noVBand="1"/>
      </w:tblPr>
      <w:tblGrid>
        <w:gridCol w:w="2247"/>
        <w:gridCol w:w="1175"/>
        <w:gridCol w:w="1175"/>
        <w:gridCol w:w="1176"/>
        <w:gridCol w:w="1174"/>
        <w:gridCol w:w="1176"/>
        <w:gridCol w:w="1227"/>
      </w:tblGrid>
      <w:tr w:rsidR="004001AC" w:rsidRPr="00EB31E3" w14:paraId="32264B3E" w14:textId="77777777" w:rsidTr="00B55EC1">
        <w:trPr>
          <w:trHeight w:val="248"/>
          <w:tblHeader/>
        </w:trPr>
        <w:tc>
          <w:tcPr>
            <w:tcW w:w="120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117F9A5" w14:textId="77777777" w:rsidR="00563DA8" w:rsidRPr="00A64978" w:rsidRDefault="00563DA8" w:rsidP="001324D5">
            <w:pPr>
              <w:keepNext/>
              <w:spacing w:before="20" w:after="20"/>
              <w:jc w:val="left"/>
              <w:rPr>
                <w:b/>
                <w:color w:val="000000"/>
                <w:sz w:val="20"/>
                <w:szCs w:val="20"/>
              </w:rPr>
            </w:pPr>
            <w:r>
              <w:rPr>
                <w:b/>
                <w:color w:val="000000"/>
                <w:sz w:val="20"/>
                <w:szCs w:val="20"/>
              </w:rPr>
              <w:t>HCFC-22</w:t>
            </w:r>
          </w:p>
        </w:tc>
        <w:tc>
          <w:tcPr>
            <w:tcW w:w="628" w:type="pct"/>
            <w:tcBorders>
              <w:top w:val="single" w:sz="4" w:space="0" w:color="auto"/>
              <w:left w:val="nil"/>
              <w:bottom w:val="single" w:sz="4" w:space="0" w:color="auto"/>
              <w:right w:val="single" w:sz="4" w:space="0" w:color="auto"/>
            </w:tcBorders>
            <w:noWrap/>
            <w:vAlign w:val="center"/>
            <w:hideMark/>
          </w:tcPr>
          <w:p w14:paraId="2FD0ED48" w14:textId="77777777" w:rsidR="00563DA8" w:rsidRPr="00A64978" w:rsidRDefault="009C7DD7" w:rsidP="001324D5">
            <w:pPr>
              <w:keepNext/>
              <w:spacing w:before="20" w:after="20"/>
              <w:jc w:val="center"/>
              <w:rPr>
                <w:b/>
                <w:color w:val="000000"/>
                <w:sz w:val="20"/>
                <w:szCs w:val="20"/>
              </w:rPr>
            </w:pPr>
            <w:r>
              <w:rPr>
                <w:b/>
                <w:color w:val="000000"/>
                <w:sz w:val="20"/>
                <w:szCs w:val="20"/>
              </w:rPr>
              <w:t>2021</w:t>
            </w:r>
          </w:p>
        </w:tc>
        <w:tc>
          <w:tcPr>
            <w:tcW w:w="628" w:type="pct"/>
            <w:tcBorders>
              <w:top w:val="single" w:sz="4" w:space="0" w:color="auto"/>
              <w:left w:val="nil"/>
              <w:bottom w:val="single" w:sz="4" w:space="0" w:color="auto"/>
              <w:right w:val="single" w:sz="4" w:space="0" w:color="auto"/>
            </w:tcBorders>
            <w:vAlign w:val="center"/>
          </w:tcPr>
          <w:p w14:paraId="7D2BC1CA" w14:textId="77777777" w:rsidR="00563DA8" w:rsidRPr="00A64978" w:rsidRDefault="009C7DD7" w:rsidP="001324D5">
            <w:pPr>
              <w:keepNext/>
              <w:spacing w:before="20" w:after="20"/>
              <w:jc w:val="center"/>
              <w:rPr>
                <w:b/>
                <w:color w:val="000000"/>
                <w:sz w:val="20"/>
                <w:szCs w:val="20"/>
              </w:rPr>
            </w:pPr>
            <w:r>
              <w:rPr>
                <w:b/>
                <w:color w:val="000000"/>
                <w:sz w:val="20"/>
                <w:szCs w:val="20"/>
              </w:rPr>
              <w:t>2022</w:t>
            </w:r>
          </w:p>
        </w:tc>
        <w:tc>
          <w:tcPr>
            <w:tcW w:w="629" w:type="pct"/>
            <w:tcBorders>
              <w:top w:val="single" w:sz="4" w:space="0" w:color="auto"/>
              <w:left w:val="single" w:sz="4" w:space="0" w:color="auto"/>
              <w:bottom w:val="single" w:sz="4" w:space="0" w:color="auto"/>
              <w:right w:val="single" w:sz="4" w:space="0" w:color="auto"/>
            </w:tcBorders>
            <w:vAlign w:val="center"/>
          </w:tcPr>
          <w:p w14:paraId="12B64C09" w14:textId="77777777" w:rsidR="00563DA8" w:rsidRPr="00A64978" w:rsidRDefault="009C7DD7" w:rsidP="001324D5">
            <w:pPr>
              <w:keepNext/>
              <w:spacing w:before="20" w:after="20"/>
              <w:jc w:val="center"/>
              <w:rPr>
                <w:b/>
                <w:color w:val="000000"/>
                <w:sz w:val="20"/>
                <w:szCs w:val="20"/>
              </w:rPr>
            </w:pPr>
            <w:r>
              <w:rPr>
                <w:b/>
                <w:color w:val="000000"/>
                <w:sz w:val="20"/>
                <w:szCs w:val="20"/>
              </w:rPr>
              <w:t>2023</w:t>
            </w:r>
          </w:p>
        </w:tc>
        <w:tc>
          <w:tcPr>
            <w:tcW w:w="628" w:type="pct"/>
            <w:tcBorders>
              <w:top w:val="single" w:sz="4" w:space="0" w:color="auto"/>
              <w:left w:val="single" w:sz="4" w:space="0" w:color="auto"/>
              <w:bottom w:val="single" w:sz="4" w:space="0" w:color="auto"/>
              <w:right w:val="single" w:sz="4" w:space="0" w:color="auto"/>
            </w:tcBorders>
            <w:vAlign w:val="center"/>
          </w:tcPr>
          <w:p w14:paraId="768FAD3D" w14:textId="77777777" w:rsidR="00563DA8" w:rsidRPr="00A64978" w:rsidRDefault="009C7DD7" w:rsidP="001324D5">
            <w:pPr>
              <w:keepNext/>
              <w:spacing w:before="20" w:after="20"/>
              <w:jc w:val="center"/>
              <w:rPr>
                <w:b/>
                <w:color w:val="000000"/>
                <w:sz w:val="20"/>
                <w:szCs w:val="20"/>
              </w:rPr>
            </w:pPr>
            <w:r>
              <w:rPr>
                <w:b/>
                <w:color w:val="000000"/>
                <w:sz w:val="20"/>
                <w:szCs w:val="20"/>
              </w:rPr>
              <w:t>2024</w:t>
            </w:r>
          </w:p>
        </w:tc>
        <w:tc>
          <w:tcPr>
            <w:tcW w:w="629" w:type="pct"/>
            <w:tcBorders>
              <w:top w:val="single" w:sz="4" w:space="0" w:color="auto"/>
              <w:left w:val="single" w:sz="4" w:space="0" w:color="auto"/>
              <w:bottom w:val="single" w:sz="4" w:space="0" w:color="auto"/>
              <w:right w:val="single" w:sz="4" w:space="0" w:color="auto"/>
            </w:tcBorders>
            <w:vAlign w:val="center"/>
          </w:tcPr>
          <w:p w14:paraId="00F5F14E" w14:textId="77777777" w:rsidR="00563DA8" w:rsidRPr="00A64978" w:rsidRDefault="00563DA8" w:rsidP="001324D5">
            <w:pPr>
              <w:keepNext/>
              <w:spacing w:before="20" w:after="20"/>
              <w:jc w:val="center"/>
              <w:rPr>
                <w:b/>
                <w:color w:val="000000"/>
                <w:sz w:val="20"/>
                <w:szCs w:val="20"/>
              </w:rPr>
            </w:pPr>
            <w:r>
              <w:rPr>
                <w:b/>
                <w:color w:val="000000"/>
                <w:sz w:val="20"/>
                <w:szCs w:val="20"/>
              </w:rPr>
              <w:t>2025</w:t>
            </w:r>
          </w:p>
        </w:tc>
        <w:tc>
          <w:tcPr>
            <w:tcW w:w="656" w:type="pct"/>
            <w:tcBorders>
              <w:top w:val="single" w:sz="4" w:space="0" w:color="auto"/>
              <w:left w:val="single" w:sz="4" w:space="0" w:color="auto"/>
              <w:bottom w:val="single" w:sz="4" w:space="0" w:color="auto"/>
              <w:right w:val="single" w:sz="4" w:space="0" w:color="auto"/>
            </w:tcBorders>
            <w:noWrap/>
            <w:vAlign w:val="center"/>
            <w:hideMark/>
          </w:tcPr>
          <w:p w14:paraId="7636DF6D" w14:textId="77777777" w:rsidR="00563DA8" w:rsidRPr="00A64978" w:rsidRDefault="00563DA8" w:rsidP="001324D5">
            <w:pPr>
              <w:keepNext/>
              <w:spacing w:before="20" w:after="20"/>
              <w:jc w:val="center"/>
              <w:rPr>
                <w:b/>
                <w:color w:val="000000"/>
                <w:sz w:val="20"/>
                <w:szCs w:val="20"/>
              </w:rPr>
            </w:pPr>
            <w:r>
              <w:rPr>
                <w:b/>
                <w:color w:val="000000"/>
                <w:sz w:val="20"/>
                <w:szCs w:val="20"/>
              </w:rPr>
              <w:t>Référence</w:t>
            </w:r>
          </w:p>
        </w:tc>
      </w:tr>
      <w:tr w:rsidR="00EE73B1" w:rsidRPr="00EB31E3" w14:paraId="65FC6861" w14:textId="77777777" w:rsidTr="00B55EC1">
        <w:trPr>
          <w:trHeight w:val="240"/>
        </w:trPr>
        <w:tc>
          <w:tcPr>
            <w:tcW w:w="120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2214518" w14:textId="77777777" w:rsidR="00EE73B1" w:rsidRPr="00A64978" w:rsidRDefault="00EE73B1" w:rsidP="00EE73B1">
            <w:pPr>
              <w:spacing w:before="20" w:after="20"/>
              <w:jc w:val="left"/>
              <w:rPr>
                <w:b/>
                <w:bCs/>
                <w:color w:val="000000"/>
                <w:sz w:val="20"/>
                <w:szCs w:val="20"/>
              </w:rPr>
            </w:pPr>
            <w:r>
              <w:rPr>
                <w:b/>
                <w:bCs/>
                <w:color w:val="000000"/>
                <w:sz w:val="20"/>
                <w:szCs w:val="20"/>
              </w:rPr>
              <w:t>Tonnes métriques (tm)</w:t>
            </w:r>
          </w:p>
        </w:tc>
        <w:tc>
          <w:tcPr>
            <w:tcW w:w="628" w:type="pct"/>
            <w:tcBorders>
              <w:top w:val="nil"/>
              <w:left w:val="nil"/>
              <w:bottom w:val="single" w:sz="4" w:space="0" w:color="auto"/>
              <w:right w:val="single" w:sz="4" w:space="0" w:color="auto"/>
            </w:tcBorders>
            <w:noWrap/>
            <w:tcMar>
              <w:left w:w="115" w:type="dxa"/>
              <w:right w:w="230" w:type="dxa"/>
            </w:tcMar>
            <w:vAlign w:val="bottom"/>
          </w:tcPr>
          <w:p w14:paraId="51646CB4" w14:textId="59F20954" w:rsidR="00EE73B1" w:rsidRPr="00A64978" w:rsidRDefault="00EE73B1" w:rsidP="00EE73B1">
            <w:pPr>
              <w:spacing w:before="20" w:after="20"/>
              <w:ind w:right="-125"/>
              <w:jc w:val="right"/>
              <w:rPr>
                <w:sz w:val="20"/>
                <w:szCs w:val="20"/>
                <w:highlight w:val="cyan"/>
              </w:rPr>
            </w:pPr>
            <w:r>
              <w:rPr>
                <w:color w:val="000000"/>
                <w:sz w:val="20"/>
                <w:szCs w:val="20"/>
              </w:rPr>
              <w:t>0,68</w:t>
            </w:r>
          </w:p>
        </w:tc>
        <w:tc>
          <w:tcPr>
            <w:tcW w:w="628" w:type="pct"/>
            <w:tcBorders>
              <w:top w:val="single" w:sz="4" w:space="0" w:color="auto"/>
              <w:left w:val="nil"/>
              <w:bottom w:val="single" w:sz="4" w:space="0" w:color="auto"/>
              <w:right w:val="single" w:sz="4" w:space="0" w:color="auto"/>
            </w:tcBorders>
            <w:tcMar>
              <w:left w:w="115" w:type="dxa"/>
              <w:right w:w="230" w:type="dxa"/>
            </w:tcMar>
            <w:vAlign w:val="bottom"/>
          </w:tcPr>
          <w:p w14:paraId="14AB1E12" w14:textId="355CBB93" w:rsidR="00EE73B1" w:rsidRPr="00A64978" w:rsidRDefault="00EE73B1" w:rsidP="00EE73B1">
            <w:pPr>
              <w:spacing w:before="20" w:after="20"/>
              <w:ind w:right="-125"/>
              <w:jc w:val="right"/>
              <w:rPr>
                <w:sz w:val="20"/>
                <w:szCs w:val="20"/>
                <w:highlight w:val="cyan"/>
              </w:rPr>
            </w:pPr>
            <w:r>
              <w:rPr>
                <w:color w:val="000000"/>
                <w:sz w:val="20"/>
                <w:szCs w:val="20"/>
              </w:rPr>
              <w:t>2,04</w:t>
            </w:r>
          </w:p>
        </w:tc>
        <w:tc>
          <w:tcPr>
            <w:tcW w:w="629" w:type="pct"/>
            <w:tcBorders>
              <w:top w:val="nil"/>
              <w:left w:val="single" w:sz="4" w:space="0" w:color="auto"/>
              <w:bottom w:val="single" w:sz="4" w:space="0" w:color="auto"/>
              <w:right w:val="single" w:sz="4" w:space="0" w:color="auto"/>
            </w:tcBorders>
            <w:tcMar>
              <w:left w:w="115" w:type="dxa"/>
              <w:right w:w="230" w:type="dxa"/>
            </w:tcMar>
            <w:vAlign w:val="bottom"/>
          </w:tcPr>
          <w:p w14:paraId="03AD5982" w14:textId="4194CAFF" w:rsidR="00EE73B1" w:rsidRPr="00A64978" w:rsidRDefault="00EE73B1" w:rsidP="00EE73B1">
            <w:pPr>
              <w:spacing w:before="20" w:after="20"/>
              <w:ind w:right="-125"/>
              <w:jc w:val="right"/>
              <w:rPr>
                <w:sz w:val="20"/>
                <w:szCs w:val="20"/>
                <w:highlight w:val="cyan"/>
              </w:rPr>
            </w:pPr>
            <w:r>
              <w:rPr>
                <w:sz w:val="20"/>
                <w:szCs w:val="20"/>
              </w:rPr>
              <w:t>2,34</w:t>
            </w:r>
          </w:p>
        </w:tc>
        <w:tc>
          <w:tcPr>
            <w:tcW w:w="628" w:type="pct"/>
            <w:tcBorders>
              <w:top w:val="nil"/>
              <w:left w:val="single" w:sz="4" w:space="0" w:color="auto"/>
              <w:bottom w:val="single" w:sz="4" w:space="0" w:color="auto"/>
              <w:right w:val="single" w:sz="4" w:space="0" w:color="auto"/>
            </w:tcBorders>
            <w:tcMar>
              <w:left w:w="115" w:type="dxa"/>
              <w:right w:w="230" w:type="dxa"/>
            </w:tcMar>
            <w:vAlign w:val="bottom"/>
          </w:tcPr>
          <w:p w14:paraId="2C4F6FD9" w14:textId="043C7541" w:rsidR="00EE73B1" w:rsidRPr="00A64978" w:rsidRDefault="00EE73B1" w:rsidP="00EE73B1">
            <w:pPr>
              <w:spacing w:before="20" w:after="20"/>
              <w:ind w:right="-125"/>
              <w:jc w:val="right"/>
              <w:rPr>
                <w:rFonts w:eastAsiaTheme="minorHAnsi"/>
                <w:color w:val="000000"/>
                <w:sz w:val="20"/>
                <w:szCs w:val="20"/>
                <w:highlight w:val="cyan"/>
              </w:rPr>
            </w:pPr>
            <w:r>
              <w:rPr>
                <w:color w:val="000000"/>
                <w:sz w:val="20"/>
                <w:szCs w:val="20"/>
              </w:rPr>
              <w:t>0,00</w:t>
            </w:r>
          </w:p>
        </w:tc>
        <w:tc>
          <w:tcPr>
            <w:tcW w:w="629" w:type="pct"/>
            <w:tcBorders>
              <w:top w:val="nil"/>
              <w:left w:val="single" w:sz="4" w:space="0" w:color="auto"/>
              <w:bottom w:val="single" w:sz="4" w:space="0" w:color="auto"/>
              <w:right w:val="single" w:sz="4" w:space="0" w:color="auto"/>
            </w:tcBorders>
            <w:tcMar>
              <w:left w:w="115" w:type="dxa"/>
              <w:right w:w="230" w:type="dxa"/>
            </w:tcMar>
          </w:tcPr>
          <w:p w14:paraId="7E82A455" w14:textId="607BC9D1" w:rsidR="00EE73B1" w:rsidRPr="00A64978" w:rsidRDefault="00C367A7" w:rsidP="00EE73B1">
            <w:pPr>
              <w:spacing w:before="20" w:after="20"/>
              <w:ind w:right="-125"/>
              <w:jc w:val="right"/>
              <w:rPr>
                <w:color w:val="000000"/>
                <w:sz w:val="20"/>
                <w:szCs w:val="20"/>
              </w:rPr>
            </w:pPr>
            <w:r>
              <w:rPr>
                <w:color w:val="000000"/>
                <w:sz w:val="20"/>
                <w:szCs w:val="20"/>
              </w:rPr>
              <w:t>0,82</w:t>
            </w:r>
          </w:p>
        </w:tc>
        <w:tc>
          <w:tcPr>
            <w:tcW w:w="656" w:type="pct"/>
            <w:tcBorders>
              <w:top w:val="nil"/>
              <w:left w:val="single" w:sz="4" w:space="0" w:color="auto"/>
              <w:bottom w:val="single" w:sz="4" w:space="0" w:color="auto"/>
              <w:right w:val="single" w:sz="4" w:space="0" w:color="auto"/>
            </w:tcBorders>
            <w:noWrap/>
            <w:tcMar>
              <w:left w:w="115" w:type="dxa"/>
              <w:right w:w="230" w:type="dxa"/>
            </w:tcMar>
          </w:tcPr>
          <w:p w14:paraId="74E73C2C" w14:textId="10AFD336" w:rsidR="00EE73B1" w:rsidRPr="00A64978" w:rsidRDefault="004B6F95" w:rsidP="00EE73B1">
            <w:pPr>
              <w:spacing w:before="20" w:after="20"/>
              <w:ind w:right="-125"/>
              <w:jc w:val="right"/>
              <w:rPr>
                <w:color w:val="000000"/>
                <w:sz w:val="20"/>
                <w:szCs w:val="20"/>
              </w:rPr>
            </w:pPr>
            <w:r>
              <w:rPr>
                <w:color w:val="000000"/>
                <w:sz w:val="20"/>
                <w:szCs w:val="20"/>
              </w:rPr>
              <w:t>9,09</w:t>
            </w:r>
          </w:p>
        </w:tc>
      </w:tr>
      <w:tr w:rsidR="00C367A7" w:rsidRPr="00EB31E3" w14:paraId="4A603837" w14:textId="77777777" w:rsidTr="00B55EC1">
        <w:trPr>
          <w:trHeight w:val="40"/>
        </w:trPr>
        <w:tc>
          <w:tcPr>
            <w:tcW w:w="120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F3D4FF2" w14:textId="77777777" w:rsidR="00C367A7" w:rsidRPr="00A64978" w:rsidRDefault="00C367A7" w:rsidP="00C367A7">
            <w:pPr>
              <w:keepNext/>
              <w:spacing w:before="20" w:after="20"/>
              <w:jc w:val="left"/>
              <w:rPr>
                <w:b/>
                <w:bCs/>
                <w:color w:val="000000"/>
                <w:sz w:val="20"/>
                <w:szCs w:val="20"/>
              </w:rPr>
            </w:pPr>
            <w:r>
              <w:rPr>
                <w:b/>
                <w:bCs/>
                <w:color w:val="000000"/>
                <w:sz w:val="20"/>
                <w:szCs w:val="20"/>
              </w:rPr>
              <w:t>Tonnes PAO</w:t>
            </w:r>
          </w:p>
        </w:tc>
        <w:tc>
          <w:tcPr>
            <w:tcW w:w="628" w:type="pct"/>
            <w:tcBorders>
              <w:top w:val="single" w:sz="4" w:space="0" w:color="auto"/>
              <w:left w:val="nil"/>
              <w:bottom w:val="single" w:sz="4" w:space="0" w:color="auto"/>
              <w:right w:val="single" w:sz="4" w:space="0" w:color="auto"/>
            </w:tcBorders>
            <w:noWrap/>
            <w:tcMar>
              <w:left w:w="115" w:type="dxa"/>
              <w:right w:w="230" w:type="dxa"/>
            </w:tcMar>
            <w:vAlign w:val="bottom"/>
          </w:tcPr>
          <w:p w14:paraId="0E30B050" w14:textId="4603AF87" w:rsidR="00C367A7" w:rsidRPr="00A64978" w:rsidRDefault="00C367A7" w:rsidP="00C367A7">
            <w:pPr>
              <w:spacing w:before="20" w:after="20"/>
              <w:ind w:right="-125"/>
              <w:jc w:val="right"/>
              <w:rPr>
                <w:sz w:val="20"/>
                <w:szCs w:val="20"/>
                <w:highlight w:val="cyan"/>
              </w:rPr>
            </w:pPr>
            <w:r>
              <w:rPr>
                <w:color w:val="000000"/>
                <w:sz w:val="20"/>
                <w:szCs w:val="20"/>
              </w:rPr>
              <w:t>0,04</w:t>
            </w:r>
          </w:p>
        </w:tc>
        <w:tc>
          <w:tcPr>
            <w:tcW w:w="628" w:type="pct"/>
            <w:tcBorders>
              <w:top w:val="single" w:sz="4" w:space="0" w:color="auto"/>
              <w:left w:val="nil"/>
              <w:bottom w:val="single" w:sz="4" w:space="0" w:color="auto"/>
              <w:right w:val="single" w:sz="4" w:space="0" w:color="auto"/>
            </w:tcBorders>
            <w:tcMar>
              <w:left w:w="115" w:type="dxa"/>
              <w:right w:w="230" w:type="dxa"/>
            </w:tcMar>
            <w:vAlign w:val="bottom"/>
          </w:tcPr>
          <w:p w14:paraId="7CE8A5C8" w14:textId="1671A796" w:rsidR="00C367A7" w:rsidRPr="00A64978" w:rsidRDefault="00C367A7" w:rsidP="00C367A7">
            <w:pPr>
              <w:spacing w:before="20" w:after="20"/>
              <w:ind w:right="-125"/>
              <w:jc w:val="right"/>
              <w:rPr>
                <w:sz w:val="20"/>
                <w:szCs w:val="20"/>
                <w:highlight w:val="cyan"/>
              </w:rPr>
            </w:pPr>
            <w:r>
              <w:rPr>
                <w:color w:val="000000"/>
                <w:sz w:val="20"/>
                <w:szCs w:val="20"/>
              </w:rPr>
              <w:t>0,11</w:t>
            </w:r>
          </w:p>
        </w:tc>
        <w:tc>
          <w:tcPr>
            <w:tcW w:w="629"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042CD6C1" w14:textId="2136E6C2" w:rsidR="00C367A7" w:rsidRPr="00A64978" w:rsidRDefault="00C367A7" w:rsidP="00C367A7">
            <w:pPr>
              <w:spacing w:before="20" w:after="20"/>
              <w:ind w:right="-125"/>
              <w:jc w:val="right"/>
              <w:rPr>
                <w:sz w:val="20"/>
                <w:szCs w:val="20"/>
                <w:highlight w:val="cyan"/>
              </w:rPr>
            </w:pPr>
            <w:r>
              <w:rPr>
                <w:sz w:val="20"/>
                <w:szCs w:val="20"/>
              </w:rPr>
              <w:t>0,13</w:t>
            </w:r>
          </w:p>
        </w:tc>
        <w:tc>
          <w:tcPr>
            <w:tcW w:w="628" w:type="pct"/>
            <w:tcBorders>
              <w:top w:val="single" w:sz="4" w:space="0" w:color="auto"/>
              <w:left w:val="single" w:sz="4" w:space="0" w:color="auto"/>
              <w:bottom w:val="single" w:sz="4" w:space="0" w:color="auto"/>
              <w:right w:val="single" w:sz="4" w:space="0" w:color="auto"/>
            </w:tcBorders>
            <w:tcMar>
              <w:left w:w="115" w:type="dxa"/>
              <w:right w:w="230" w:type="dxa"/>
            </w:tcMar>
            <w:vAlign w:val="bottom"/>
          </w:tcPr>
          <w:p w14:paraId="47376F92" w14:textId="523F5BF8" w:rsidR="00C367A7" w:rsidRPr="00A64978" w:rsidRDefault="00C367A7" w:rsidP="00C367A7">
            <w:pPr>
              <w:spacing w:before="20" w:after="20"/>
              <w:ind w:right="-125"/>
              <w:jc w:val="right"/>
              <w:rPr>
                <w:rFonts w:eastAsiaTheme="minorHAnsi"/>
                <w:color w:val="000000"/>
                <w:sz w:val="20"/>
                <w:szCs w:val="20"/>
                <w:highlight w:val="cyan"/>
              </w:rPr>
            </w:pPr>
            <w:r>
              <w:rPr>
                <w:color w:val="000000"/>
                <w:sz w:val="20"/>
                <w:szCs w:val="20"/>
              </w:rPr>
              <w:t>0,00</w:t>
            </w:r>
          </w:p>
        </w:tc>
        <w:tc>
          <w:tcPr>
            <w:tcW w:w="629" w:type="pct"/>
            <w:tcBorders>
              <w:top w:val="single" w:sz="4" w:space="0" w:color="auto"/>
              <w:left w:val="single" w:sz="4" w:space="0" w:color="auto"/>
              <w:bottom w:val="single" w:sz="4" w:space="0" w:color="auto"/>
              <w:right w:val="single" w:sz="4" w:space="0" w:color="auto"/>
            </w:tcBorders>
            <w:tcMar>
              <w:left w:w="115" w:type="dxa"/>
              <w:right w:w="230" w:type="dxa"/>
            </w:tcMar>
          </w:tcPr>
          <w:p w14:paraId="34C01C7D" w14:textId="5C97B66A" w:rsidR="00C367A7" w:rsidRPr="004D287F" w:rsidRDefault="00C367A7" w:rsidP="00C367A7">
            <w:pPr>
              <w:spacing w:before="20" w:after="20"/>
              <w:ind w:right="-125"/>
              <w:jc w:val="right"/>
              <w:rPr>
                <w:rFonts w:eastAsiaTheme="minorHAnsi"/>
                <w:color w:val="000000"/>
                <w:sz w:val="20"/>
                <w:szCs w:val="20"/>
              </w:rPr>
            </w:pPr>
            <w:r>
              <w:rPr>
                <w:rFonts w:eastAsiaTheme="minorHAnsi"/>
                <w:color w:val="000000"/>
                <w:sz w:val="20"/>
                <w:szCs w:val="20"/>
              </w:rPr>
              <w:t>0,04</w:t>
            </w:r>
          </w:p>
        </w:tc>
        <w:tc>
          <w:tcPr>
            <w:tcW w:w="65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4911C931" w14:textId="6F6AC653" w:rsidR="00C367A7" w:rsidRPr="004D287F" w:rsidRDefault="004B6F95" w:rsidP="00C367A7">
            <w:pPr>
              <w:spacing w:before="20" w:after="20"/>
              <w:ind w:right="-125"/>
              <w:jc w:val="right"/>
              <w:rPr>
                <w:rFonts w:eastAsiaTheme="minorHAnsi"/>
                <w:color w:val="000000"/>
                <w:sz w:val="20"/>
                <w:szCs w:val="20"/>
              </w:rPr>
            </w:pPr>
            <w:r>
              <w:rPr>
                <w:rFonts w:eastAsiaTheme="minorHAnsi"/>
                <w:color w:val="000000"/>
                <w:sz w:val="20"/>
                <w:szCs w:val="20"/>
              </w:rPr>
              <w:t>0,50</w:t>
            </w:r>
          </w:p>
        </w:tc>
      </w:tr>
    </w:tbl>
    <w:p w14:paraId="68596088" w14:textId="73D8194B" w:rsidR="00563DA8" w:rsidRPr="006C193B" w:rsidRDefault="00E35170" w:rsidP="001161CD">
      <w:pPr>
        <w:rPr>
          <w:sz w:val="19"/>
        </w:rPr>
      </w:pPr>
      <w:r>
        <w:rPr>
          <w:sz w:val="19"/>
        </w:rPr>
        <w:t>*Données CP.</w:t>
      </w:r>
    </w:p>
    <w:p w14:paraId="7E1DE869" w14:textId="1DAFB2C0" w:rsidR="00C84121" w:rsidRPr="008B3228" w:rsidRDefault="00C84121" w:rsidP="00CA68A2">
      <w:pPr>
        <w:pStyle w:val="Heading1"/>
        <w:spacing w:before="240"/>
        <w:rPr>
          <w:lang w:val="fr-CA"/>
        </w:rPr>
      </w:pPr>
      <w:r>
        <w:rPr>
          <w:lang w:val="fr-CA"/>
        </w:rPr>
        <w:t xml:space="preserve">La consommation de HCFC a considérablement diminué au fil des ans en raison de la mise en œuvre du PGEH, de la hausse des prix des HCFC et de la faible importation d'équipements fonctionnant aux HCFC dans le pays. La consommation de HCFC varie considérablement d’une année à l’autre : elle a </w:t>
      </w:r>
      <w:r>
        <w:rPr>
          <w:lang w:val="fr-CA"/>
        </w:rPr>
        <w:lastRenderedPageBreak/>
        <w:t>baissé pendant la pandémie de COVID-19, puis s’est redressée en 2022 et 2023, avant de chuter à nouveau fortement en 2024 et 2025. Aucune consommation n’a été signalée en 2024, et en 2025, une petite quantité de HCFC-22 a été signalée, soit 72 % de moins que la cible de conformité pour 2025. Cela indique qu’il existe encore une demande résiduelle d’entretien pour les anciens équipements fonctionnant aux HCFC qui sont toujours en service.</w:t>
      </w:r>
    </w:p>
    <w:p w14:paraId="732D010F" w14:textId="77777777" w:rsidR="00563DA8" w:rsidRPr="008B3228" w:rsidRDefault="00563DA8" w:rsidP="001161CD">
      <w:pPr>
        <w:keepNext/>
        <w:spacing w:after="240"/>
        <w:rPr>
          <w:i/>
          <w:lang w:val="fr-CA"/>
        </w:rPr>
      </w:pPr>
      <w:bookmarkStart w:id="2" w:name="_Hlk126915671"/>
      <w:r>
        <w:rPr>
          <w:i/>
          <w:lang w:val="fr-CA"/>
        </w:rPr>
        <w:t>Rapport sur la mise en œuvre du programme de pays</w:t>
      </w:r>
    </w:p>
    <w:bookmarkEnd w:id="2"/>
    <w:p w14:paraId="208E9157" w14:textId="284A24E4" w:rsidR="00563DA8" w:rsidRPr="008B3228" w:rsidRDefault="00563DA8" w:rsidP="00CA68A2">
      <w:pPr>
        <w:pStyle w:val="Heading1"/>
        <w:spacing w:before="240"/>
        <w:rPr>
          <w:lang w:val="fr-CA"/>
        </w:rPr>
      </w:pPr>
      <w:r>
        <w:rPr>
          <w:lang w:val="fr-CA"/>
        </w:rPr>
        <w:t xml:space="preserve">Le Gouvernement de Saint-Kitts-et-Nevis a communiqué des données du secteur de la consommation des HCFC dans le cadre du rapport du programme de pays de 2024, et ces données correspondent aux données déclarées en vertu de l'article 7 du Protocole de Montréal. </w:t>
      </w:r>
    </w:p>
    <w:p w14:paraId="6830C742" w14:textId="77777777" w:rsidR="00863F66" w:rsidRPr="008B3228" w:rsidRDefault="00863F66" w:rsidP="00863F66">
      <w:pPr>
        <w:keepNext/>
        <w:spacing w:before="240" w:after="240"/>
        <w:rPr>
          <w:u w:val="single"/>
          <w:lang w:val="fr-CA"/>
        </w:rPr>
      </w:pPr>
      <w:bookmarkStart w:id="3" w:name="_Hlk126915708"/>
      <w:r>
        <w:rPr>
          <w:u w:val="single"/>
          <w:lang w:val="fr-CA"/>
        </w:rPr>
        <w:t>État d'avancement et décaissement</w:t>
      </w:r>
    </w:p>
    <w:p w14:paraId="7A865EED" w14:textId="77777777" w:rsidR="00863F66" w:rsidRPr="008B3228" w:rsidRDefault="00863F66" w:rsidP="00863F66">
      <w:pPr>
        <w:keepNext/>
        <w:autoSpaceDE w:val="0"/>
        <w:autoSpaceDN w:val="0"/>
        <w:adjustRightInd w:val="0"/>
        <w:spacing w:after="240"/>
        <w:rPr>
          <w:bCs/>
          <w:i/>
          <w:iCs/>
          <w:lang w:val="fr-CA"/>
        </w:rPr>
      </w:pPr>
      <w:r>
        <w:rPr>
          <w:bCs/>
          <w:i/>
          <w:iCs/>
          <w:lang w:val="fr-CA"/>
        </w:rPr>
        <w:t>Cadre juridique</w:t>
      </w:r>
    </w:p>
    <w:p w14:paraId="5EF01438" w14:textId="2D10357F" w:rsidR="002D1061" w:rsidRPr="008B3228" w:rsidRDefault="007F6853" w:rsidP="00081C87">
      <w:pPr>
        <w:pStyle w:val="Heading1"/>
        <w:spacing w:before="240"/>
        <w:rPr>
          <w:lang w:val="fr-CA"/>
        </w:rPr>
      </w:pPr>
      <w:r>
        <w:rPr>
          <w:lang w:val="fr-CA"/>
        </w:rPr>
        <w:t xml:space="preserve">À Saint-Kitts-et-Nevis, </w:t>
      </w:r>
      <w:r>
        <w:rPr>
          <w:rFonts w:asciiTheme="majorBidi" w:hAnsiTheme="majorBidi" w:cstheme="majorBidi"/>
          <w:lang w:val="fr-CA"/>
        </w:rPr>
        <w:t>le Département de l’environnement (DOE), par l’intermédiaire de l’</w:t>
      </w:r>
      <w:r w:rsidR="009F112C">
        <w:rPr>
          <w:rFonts w:asciiTheme="majorBidi" w:hAnsiTheme="majorBidi" w:cstheme="majorBidi"/>
          <w:lang w:val="fr-CA"/>
        </w:rPr>
        <w:t>U</w:t>
      </w:r>
      <w:r>
        <w:rPr>
          <w:rFonts w:asciiTheme="majorBidi" w:hAnsiTheme="majorBidi" w:cstheme="majorBidi"/>
          <w:lang w:val="fr-CA"/>
        </w:rPr>
        <w:t xml:space="preserve">nité nationale de l’ozone (UNO), fait office de point focal national pour la mise en œuvre du </w:t>
      </w:r>
      <w:r w:rsidR="00CE0A0A">
        <w:rPr>
          <w:rFonts w:asciiTheme="majorBidi" w:hAnsiTheme="majorBidi" w:cstheme="majorBidi"/>
          <w:lang w:val="fr-CA"/>
        </w:rPr>
        <w:t>P</w:t>
      </w:r>
      <w:r>
        <w:rPr>
          <w:rFonts w:asciiTheme="majorBidi" w:hAnsiTheme="majorBidi" w:cstheme="majorBidi"/>
          <w:lang w:val="fr-CA"/>
        </w:rPr>
        <w:t xml:space="preserve">rotocole de Montréal, et l’UNO est chargée de l’octroi des licences et de l’attribution des quotas. </w:t>
      </w:r>
      <w:r>
        <w:rPr>
          <w:lang w:val="fr-CA"/>
        </w:rPr>
        <w:t xml:space="preserve">Dans le cadre de la phase I du PGEH, le pays a mis à jour son </w:t>
      </w:r>
      <w:r>
        <w:rPr>
          <w:rFonts w:asciiTheme="majorBidi" w:hAnsiTheme="majorBidi" w:cstheme="majorBidi"/>
          <w:lang w:val="fr-CA"/>
        </w:rPr>
        <w:t>cadre législatif et réglementaire pour le contrôle des SAO, afin de couvrir les HCFC et les équipements fonctionnant aux HCFC (depuis 2014)</w:t>
      </w:r>
      <w:r>
        <w:rPr>
          <w:lang w:val="fr-CA"/>
        </w:rPr>
        <w:t xml:space="preserve">. Un </w:t>
      </w:r>
      <w:r>
        <w:rPr>
          <w:rFonts w:asciiTheme="majorBidi" w:hAnsiTheme="majorBidi" w:cstheme="majorBidi"/>
          <w:lang w:val="fr-CA"/>
        </w:rPr>
        <w:t xml:space="preserve">certain nombre d'autres mesures réglementaires ont également été introduites, notamment </w:t>
      </w:r>
      <w:r>
        <w:rPr>
          <w:lang w:val="fr-CA"/>
        </w:rPr>
        <w:t xml:space="preserve">un système d'enregistrement des importateurs, une obligation de déclaration pour les importateurs titulaires d'une licence, l'interdiction d'utiliser des </w:t>
      </w:r>
      <w:r w:rsidR="00FB5AEC">
        <w:rPr>
          <w:lang w:val="fr-CA"/>
        </w:rPr>
        <w:t>cylindres</w:t>
      </w:r>
      <w:r>
        <w:rPr>
          <w:lang w:val="fr-CA"/>
        </w:rPr>
        <w:t xml:space="preserve"> jetables pour les SAO</w:t>
      </w:r>
      <w:r>
        <w:rPr>
          <w:sz w:val="20"/>
          <w:szCs w:val="20"/>
          <w:lang w:val="fr-CA"/>
        </w:rPr>
        <w:t xml:space="preserve">, </w:t>
      </w:r>
      <w:r>
        <w:rPr>
          <w:lang w:val="fr-CA"/>
        </w:rPr>
        <w:t>ainsi qu'un système d'étiquetage des conteneurs de SAO et des équipements utilisant des SAO. Le Gouvernement a ratifié l'amendement de Kigali en août 2025, et un système de licences et de quotas relatifs aux HFC est en place sur le plan administratif, dans l'attente de son adoption législative officielle.</w:t>
      </w:r>
    </w:p>
    <w:p w14:paraId="3EEE0FFA" w14:textId="06FA3025" w:rsidR="008B43C5" w:rsidRPr="008B3228" w:rsidRDefault="008B43C5" w:rsidP="004D322A">
      <w:pPr>
        <w:pStyle w:val="Heading1"/>
        <w:spacing w:before="240"/>
        <w:rPr>
          <w:lang w:val="fr-CA"/>
        </w:rPr>
      </w:pPr>
      <w:r>
        <w:rPr>
          <w:lang w:val="fr-CA"/>
        </w:rPr>
        <w:t>Saint-Kitts-et-Nevis est membre de l'Organisation régionale pour la normalisation et la qualité (CROSQ) de la Communauté des Caraïbes (CARICOM). La CROSQ encourage l'harmonisation et la diffusion des normes régionales, soutient la compétitivité et le commerce, et favorise une production durable au sein du marché et de l'économie uniques de la CARICOM. En mars 2019, la CROSQ a publié des normes d'efficacité énergétique des bâtiments établissant des exigences minimales en matière d'efficacité énergétique pour les bâtiments, notamment l'enveloppe du bâtiment, les systèmes de climatisation, la ventilation, les pompes, l'éclairage et les systèmes de chauffage de l'eau sanitaire, afin d'aider les États membres à économiser l'énergie. En 2019, le Système régional d'étiquetage énergétique de la CARICOM a établi des normes minimales de performance énergétique (NMPE) et des exigences d'étiquetage, entre autres pour les réfrigérateurs et les climatiseurs. Cependant, celles-ci n'ont pas encore été intégrées dans la législation nationale.</w:t>
      </w:r>
    </w:p>
    <w:p w14:paraId="1E3F5F36" w14:textId="4F6AF4B6" w:rsidR="00CA68A2" w:rsidRPr="008B3228" w:rsidRDefault="00863F66" w:rsidP="00CA68A2">
      <w:pPr>
        <w:pStyle w:val="Heading1"/>
        <w:spacing w:before="240"/>
        <w:rPr>
          <w:lang w:val="fr-CA"/>
        </w:rPr>
      </w:pPr>
      <w:r>
        <w:rPr>
          <w:lang w:val="fr-CA"/>
        </w:rPr>
        <w:t xml:space="preserve">Au cours de la phase I du PGEH, 133 agents </w:t>
      </w:r>
      <w:r w:rsidR="003614D8">
        <w:rPr>
          <w:lang w:val="fr-CA"/>
        </w:rPr>
        <w:t>douaniers</w:t>
      </w:r>
      <w:r>
        <w:rPr>
          <w:lang w:val="fr-CA"/>
        </w:rPr>
        <w:t xml:space="preserve"> (dont 28 femmes) ont été formés au suivi et au contrôle des échanges commerciaux concernant les SAO et les équipements contenant des SAO. Lors de la dernière tranche, une campagne de sensibilisation du public sur le système </w:t>
      </w:r>
      <w:r w:rsidR="000B4280">
        <w:rPr>
          <w:lang w:val="fr-CA"/>
        </w:rPr>
        <w:t xml:space="preserve">de </w:t>
      </w:r>
      <w:r w:rsidR="00987B90">
        <w:rPr>
          <w:lang w:val="fr-CA"/>
        </w:rPr>
        <w:t>licences</w:t>
      </w:r>
      <w:r>
        <w:rPr>
          <w:lang w:val="fr-CA"/>
        </w:rPr>
        <w:t xml:space="preserve"> et de quotas a été menée, et 30 importateurs (dont 6 femmes) et 15 courtiers ont été formés à la réglementation sur les SAO. Trois réunions de consultation ont été organisées avec le Département des douanes et des accises à Saint-Kitts et deux à Saint-Nevis sur la mise en place d’un système électronique d’autorisation et de quotas ; deux sessions de formation de sensibilisation de suivi destinées au pouvoir judiciaire ont eu lieu en 2020 sur la réglementation du Protocole de Montréal ; et trois identifiants de réfrigérants ont été approvisionnés et resteront à la disposition des autorités douanières à des fins de formation et pour renforcer les fonctions de surveillance aux frontières. Un mémorandum d’entente entre les autorités douanières et l’UNO concernant la mise en œuvre d’un cadre visant à améliorer la surveillance et le signalement du commerce illicite a été préparé et est prêt pour signature fin juin 2026. </w:t>
      </w:r>
    </w:p>
    <w:p w14:paraId="50B46BDA" w14:textId="5F461278" w:rsidR="009F6C27" w:rsidRPr="008B3228" w:rsidRDefault="009F6C27" w:rsidP="00D12F37">
      <w:pPr>
        <w:pStyle w:val="Heading1"/>
        <w:numPr>
          <w:ilvl w:val="0"/>
          <w:numId w:val="0"/>
        </w:numPr>
        <w:spacing w:before="240"/>
        <w:rPr>
          <w:i/>
          <w:iCs/>
          <w:lang w:val="fr-CA"/>
        </w:rPr>
      </w:pPr>
      <w:r>
        <w:rPr>
          <w:i/>
          <w:iCs/>
          <w:lang w:val="fr-CA"/>
        </w:rPr>
        <w:lastRenderedPageBreak/>
        <w:t>Secteur de l'entretien de l'équipement de réfrigération</w:t>
      </w:r>
    </w:p>
    <w:p w14:paraId="7527A7DB" w14:textId="2CB940A9" w:rsidR="00FF0669" w:rsidRPr="008B3228" w:rsidRDefault="0095029D" w:rsidP="00CA68A2">
      <w:pPr>
        <w:pStyle w:val="Heading1"/>
        <w:spacing w:before="240"/>
        <w:rPr>
          <w:lang w:val="fr-CA"/>
        </w:rPr>
      </w:pPr>
      <w:r>
        <w:rPr>
          <w:lang w:val="fr-CA"/>
        </w:rPr>
        <w:t>Au cours de la mise en œuvre de la phase I du PGEH, 62 techniciens en équipements de réfrigération et de climatisation et 15 formateurs (dont deux femmes) ont suivi une formation sur les bonnes pratiques d'entretien et la préparation à la sécurité relative aux fluides frigorigènes inflammables. Quinze techniciens ont suivi une formation avancée sur la manipulation en toute sécurité des réfrigérants à potentiel de réchauffement de la planète (PRP) nul ou faible, tels que les hydrocarbures (HC), ainsi que sur les pratiques de récupération des réfrigérants. La manipulation en toute sécurité des équipements à base d'HC a été intégrée au programme national de formation en RAC et un code de bonnes pratiques pour les fluides frigorigènes inflammables a été rédigé. Des équipements de réfrigération et de climatisation ont été achetés</w:t>
      </w:r>
      <w:r>
        <w:rPr>
          <w:vertAlign w:val="superscript"/>
        </w:rPr>
        <w:footnoteReference w:id="7"/>
      </w:r>
      <w:r>
        <w:rPr>
          <w:vertAlign w:val="superscript"/>
          <w:lang w:val="fr-CA"/>
        </w:rPr>
        <w:t xml:space="preserve"> </w:t>
      </w:r>
      <w:r>
        <w:rPr>
          <w:lang w:val="fr-CA"/>
        </w:rPr>
        <w:t>pour les instituts de formation professionnelle technique afin d'améliorer la formation pratique et les capacités de récupération. La formation de 15 techniciens issus des secteurs de l'hôtellerie, de la pêche et de la plaisance, qui n'ont pas pu être formés pendant la phase I en raison de transitions administratives au sein de l'UNO, sera achevée au cours de la phase II.</w:t>
      </w:r>
    </w:p>
    <w:p w14:paraId="30D0E955" w14:textId="77777777" w:rsidR="00D86EFC" w:rsidRPr="003C5774" w:rsidRDefault="00D86EFC" w:rsidP="00D86EFC">
      <w:pPr>
        <w:rPr>
          <w:i/>
          <w:iCs/>
        </w:rPr>
      </w:pPr>
      <w:r>
        <w:rPr>
          <w:i/>
          <w:iCs/>
        </w:rPr>
        <w:t>Rapport de vérification</w:t>
      </w:r>
    </w:p>
    <w:p w14:paraId="59944203" w14:textId="77777777" w:rsidR="00D86EFC" w:rsidRDefault="00D86EFC" w:rsidP="00D86EFC"/>
    <w:p w14:paraId="27B548A7" w14:textId="6C8E1783" w:rsidR="00D86EFC" w:rsidRPr="008B3228" w:rsidRDefault="00C636A6" w:rsidP="00D86EFC">
      <w:pPr>
        <w:pStyle w:val="Heading1"/>
        <w:rPr>
          <w:u w:val="single"/>
          <w:lang w:val="fr-CA"/>
        </w:rPr>
      </w:pPr>
      <w:r>
        <w:rPr>
          <w:lang w:val="fr-CA"/>
        </w:rPr>
        <w:t>Comme indiqué lors de la 93</w:t>
      </w:r>
      <w:r>
        <w:rPr>
          <w:vertAlign w:val="superscript"/>
          <w:lang w:val="fr-CA"/>
        </w:rPr>
        <w:t>e</w:t>
      </w:r>
      <w:r>
        <w:rPr>
          <w:lang w:val="fr-CA"/>
        </w:rPr>
        <w:t xml:space="preserve"> réunion, le secrétariat a estimé que, bien que le </w:t>
      </w:r>
      <w:r w:rsidR="001C1FB7">
        <w:rPr>
          <w:lang w:val="fr-CA"/>
        </w:rPr>
        <w:t xml:space="preserve">système de licences </w:t>
      </w:r>
      <w:r>
        <w:rPr>
          <w:lang w:val="fr-CA"/>
        </w:rPr>
        <w:t xml:space="preserve">et de quotas de Saint-Kitts-et-Nevis soit opérationnel et capable d’assurer la conformité, la mise en œuvre des recommandations du rapport de vérification 2015-2022 présenté lors de cette réunion aiderait le Gouvernement à disposer d’un enregistrement plus précis des données et à réduire les erreurs dans la communication des données. </w:t>
      </w:r>
      <w:r>
        <w:rPr>
          <w:rFonts w:eastAsia="SimSun"/>
          <w:lang w:val="fr-CA" w:eastAsia="zh-CN"/>
        </w:rPr>
        <w:t xml:space="preserve">Le plan d’action pour la troisième tranche de la phase I a ensuite été révisé afin de centrer l’attention sur la mise en œuvre de ces recommandations et sur des activités supplémentaires visant à remédier aux lacunes restantes soulevées dans le rapport de vérification. En approuvant </w:t>
      </w:r>
      <w:r>
        <w:rPr>
          <w:lang w:val="fr-CA"/>
        </w:rPr>
        <w:t>la troisième tranche de la phase I du PGEH, le Comité exécutif a demandé au PNUE de continuer à aider le Gouvernement à mettre pleinement en œuvre ces recommandations au cours de la phase de mise en œuvre, et de rendre compte des progrès réalisés lors de la soumission de la phase II du PGEH.</w:t>
      </w:r>
      <w:r>
        <w:rPr>
          <w:rStyle w:val="FootnoteReference"/>
        </w:rPr>
        <w:footnoteReference w:id="8"/>
      </w:r>
      <w:r>
        <w:rPr>
          <w:lang w:val="fr-CA"/>
        </w:rPr>
        <w:t xml:space="preserve"> </w:t>
      </w:r>
    </w:p>
    <w:p w14:paraId="70B10728" w14:textId="5D3F2CD7" w:rsidR="00D86EFC" w:rsidRPr="008B3228" w:rsidRDefault="00D86EFC" w:rsidP="00D86EFC">
      <w:pPr>
        <w:pStyle w:val="Heading1"/>
        <w:spacing w:before="240"/>
        <w:rPr>
          <w:lang w:val="fr-CA"/>
        </w:rPr>
      </w:pPr>
      <w:r>
        <w:rPr>
          <w:lang w:val="fr-CA"/>
        </w:rPr>
        <w:t>Dans la soumission pour la phase II, le PNUE a confirmé que toutes les activités recommandées et les mesures correctives identifiées dans le rapport de vérification 2015-2022 avaient été menées à bien. Ces mesures ont permis de renforcer les aspects opérationnels liés à l’attribution des quotas, à la surveillance et à l’application de la réglementation. Depuis l’achèvement de la phase I, la consommation de HCFC s’est limitée à l’entretien des équipements existants.</w:t>
      </w:r>
    </w:p>
    <w:p w14:paraId="04DB3B1D" w14:textId="77777777" w:rsidR="00101F29" w:rsidRPr="008B3228" w:rsidRDefault="00101F29" w:rsidP="00101F29">
      <w:pPr>
        <w:rPr>
          <w:i/>
          <w:iCs/>
          <w:lang w:val="fr-CA"/>
        </w:rPr>
      </w:pPr>
      <w:r>
        <w:rPr>
          <w:i/>
          <w:iCs/>
          <w:lang w:val="fr-CA"/>
        </w:rPr>
        <w:t>Mise en œuvre et suivi du projet</w:t>
      </w:r>
    </w:p>
    <w:p w14:paraId="13FE5A61" w14:textId="35E5B67C" w:rsidR="009F6C27" w:rsidRPr="008B3228" w:rsidRDefault="00101F29" w:rsidP="00101F29">
      <w:pPr>
        <w:pStyle w:val="Heading1"/>
        <w:spacing w:before="240"/>
        <w:rPr>
          <w:lang w:val="fr-CA"/>
        </w:rPr>
      </w:pPr>
      <w:r>
        <w:rPr>
          <w:lang w:val="fr-CA"/>
        </w:rPr>
        <w:t>L'UNO supervise la mise en œuvre du PGEH, évalue les progrès et produit des rapports, tout en veillant au respect des politiques et procédures du Fonds multilatéral et du Gouvernement. L'UNO a élaboré et mis en œuvre un mécanisme visant à garantir que les activités restent sur la bonne voie et que les objectifs d'élimination soient atteints.</w:t>
      </w:r>
    </w:p>
    <w:p w14:paraId="13CD6068" w14:textId="655A6216" w:rsidR="002D1061" w:rsidRPr="00101F29" w:rsidRDefault="002D1061" w:rsidP="00101F29">
      <w:pPr>
        <w:rPr>
          <w:i/>
          <w:iCs/>
        </w:rPr>
      </w:pPr>
      <w:r>
        <w:rPr>
          <w:i/>
          <w:iCs/>
        </w:rPr>
        <w:t>Niveau de décaissement des fonds</w:t>
      </w:r>
    </w:p>
    <w:p w14:paraId="51E9582E" w14:textId="5A7952AA" w:rsidR="002D1061" w:rsidRPr="008B3228" w:rsidRDefault="002D1061" w:rsidP="009B1F27">
      <w:pPr>
        <w:pStyle w:val="Heading1"/>
        <w:spacing w:before="240"/>
        <w:rPr>
          <w:lang w:val="fr-CA"/>
        </w:rPr>
      </w:pPr>
      <w:r>
        <w:rPr>
          <w:lang w:val="fr-CA"/>
        </w:rPr>
        <w:t>En février 2025, la totalité des 164 500 $US approuvés pour la phase I avait été décaissée.</w:t>
      </w:r>
    </w:p>
    <w:p w14:paraId="543B90B7" w14:textId="3B211790" w:rsidR="00563DA8" w:rsidRPr="008B3228" w:rsidRDefault="00563DA8" w:rsidP="001161CD">
      <w:pPr>
        <w:keepNext/>
        <w:autoSpaceDE w:val="0"/>
        <w:autoSpaceDN w:val="0"/>
        <w:adjustRightInd w:val="0"/>
        <w:spacing w:after="240"/>
        <w:rPr>
          <w:b/>
          <w:lang w:val="fr-CA"/>
        </w:rPr>
      </w:pPr>
      <w:r>
        <w:rPr>
          <w:b/>
          <w:lang w:val="fr-CA"/>
        </w:rPr>
        <w:lastRenderedPageBreak/>
        <w:t>Phase II du plan de gestion de l'élimination des HCFC</w:t>
      </w:r>
    </w:p>
    <w:p w14:paraId="0C2BA5FC" w14:textId="77777777" w:rsidR="00563DA8" w:rsidRPr="00996241" w:rsidRDefault="00563DA8" w:rsidP="001161CD">
      <w:pPr>
        <w:keepNext/>
        <w:spacing w:after="240"/>
        <w:outlineLvl w:val="0"/>
        <w:rPr>
          <w:u w:val="single"/>
        </w:rPr>
      </w:pPr>
      <w:r>
        <w:rPr>
          <w:u w:val="single"/>
        </w:rPr>
        <w:t>Consommation restante admissible au financement</w:t>
      </w:r>
    </w:p>
    <w:bookmarkEnd w:id="3"/>
    <w:p w14:paraId="018B5E70" w14:textId="28A29D98" w:rsidR="00563DA8" w:rsidRPr="008B3228" w:rsidRDefault="00563DA8" w:rsidP="001161CD">
      <w:pPr>
        <w:pStyle w:val="Heading1"/>
        <w:rPr>
          <w:lang w:val="fr-CA"/>
        </w:rPr>
      </w:pPr>
      <w:r>
        <w:rPr>
          <w:lang w:val="fr-CA"/>
        </w:rPr>
        <w:t xml:space="preserve">Déduction faite des 0,18 tonne PAO de HCFC associées à la phase I du PGEH, la consommation restante admissible au financement au titre de la phase II s'élèverait à 0,32 tonne PAO de HCFC-22. </w:t>
      </w:r>
    </w:p>
    <w:p w14:paraId="5AB29067" w14:textId="77777777" w:rsidR="00563DA8" w:rsidRDefault="00563DA8" w:rsidP="001161CD">
      <w:pPr>
        <w:keepNext/>
        <w:spacing w:after="240"/>
        <w:outlineLvl w:val="0"/>
        <w:rPr>
          <w:u w:val="single"/>
        </w:rPr>
      </w:pPr>
      <w:bookmarkStart w:id="4" w:name="_Hlk126915728"/>
      <w:r>
        <w:rPr>
          <w:u w:val="single"/>
        </w:rPr>
        <w:t>Répartition sectorielle des HCFC</w:t>
      </w:r>
    </w:p>
    <w:bookmarkEnd w:id="4"/>
    <w:p w14:paraId="25F4E53B" w14:textId="49E3AE13" w:rsidR="00563DA8" w:rsidRPr="008B3228" w:rsidRDefault="00563DA8" w:rsidP="00E22AE1">
      <w:pPr>
        <w:pStyle w:val="Heading1"/>
        <w:rPr>
          <w:lang w:val="fr-CA"/>
        </w:rPr>
      </w:pPr>
      <w:r>
        <w:rPr>
          <w:lang w:val="fr-CA"/>
        </w:rPr>
        <w:t>On dénombre environ 140 techniciens dans le secteur de l’entretien, qui utilisent du HCFC-22 pour entretenir les systèmes de climatisation résidentiels (systèmes split et monoblocs) ; les systèmes de climatisation commerciaux (unités de toit, systèmes multisplit) ; les installations de réfrigération commerciale (supermarchés, secteur de l'hôtellerie) ; ainsi que les applications de réfrigération dans l’industrie légère. Sur ces quelque 140 techniciens, environ 45 sont officiellement enregistrés auprès des autorités compétentes, tandis que les autres exercent de manière informelle ou en tant que prestataires de services indépendants. En 2025, le HCFC-22 représentait 2,5 % des réfrigérants utilisés dans le secteur de l’entretien de l’équipement de réfrigération, aux côtés du HFC-134a (68,8 %), du R-410A (12,2 %), du R-404A (11,9 %) et du HFC-32 (4,5 %), comme le montre le tableau 2.</w:t>
      </w:r>
    </w:p>
    <w:p w14:paraId="1AD77FCF" w14:textId="36298540" w:rsidR="00563DA8" w:rsidRPr="008B3228" w:rsidRDefault="00563DA8" w:rsidP="001161CD">
      <w:pPr>
        <w:keepNext/>
        <w:rPr>
          <w:b/>
          <w:lang w:val="fr-CA"/>
        </w:rPr>
      </w:pPr>
      <w:r>
        <w:rPr>
          <w:b/>
          <w:lang w:val="fr-CA"/>
        </w:rPr>
        <w:t>Tableau 2. Utilisation des réfrigérants dans le secteur de l’entretien des équipements de réfrigération et de climatisation à Saint-Kitts-et-Nevis en 2025 (données du CP)</w:t>
      </w:r>
    </w:p>
    <w:tbl>
      <w:tblPr>
        <w:tblStyle w:val="TableGrid"/>
        <w:tblW w:w="9355" w:type="dxa"/>
        <w:tblLook w:val="04A0" w:firstRow="1" w:lastRow="0" w:firstColumn="1" w:lastColumn="0" w:noHBand="0" w:noVBand="1"/>
      </w:tblPr>
      <w:tblGrid>
        <w:gridCol w:w="3118"/>
        <w:gridCol w:w="3118"/>
        <w:gridCol w:w="3119"/>
      </w:tblGrid>
      <w:tr w:rsidR="00055347" w:rsidRPr="00BE2393" w14:paraId="39C28B92" w14:textId="77777777" w:rsidTr="000355EC">
        <w:trPr>
          <w:trHeight w:val="256"/>
        </w:trPr>
        <w:tc>
          <w:tcPr>
            <w:tcW w:w="3118" w:type="dxa"/>
            <w:vAlign w:val="center"/>
          </w:tcPr>
          <w:p w14:paraId="58EA278B" w14:textId="106CCB74" w:rsidR="00055347" w:rsidRPr="00BE2393" w:rsidRDefault="00055347" w:rsidP="00E06FCA">
            <w:pPr>
              <w:keepNext/>
              <w:jc w:val="left"/>
              <w:rPr>
                <w:b/>
                <w:bCs/>
                <w:sz w:val="20"/>
                <w:szCs w:val="20"/>
              </w:rPr>
            </w:pPr>
            <w:r>
              <w:rPr>
                <w:b/>
                <w:bCs/>
                <w:sz w:val="20"/>
                <w:szCs w:val="20"/>
              </w:rPr>
              <w:t>Réfrigérant</w:t>
            </w:r>
          </w:p>
        </w:tc>
        <w:tc>
          <w:tcPr>
            <w:tcW w:w="3118" w:type="dxa"/>
          </w:tcPr>
          <w:p w14:paraId="416B2045" w14:textId="310450BE" w:rsidR="00055347" w:rsidRPr="00BE2393" w:rsidRDefault="00055347" w:rsidP="00F30178">
            <w:pPr>
              <w:keepNext/>
              <w:jc w:val="center"/>
              <w:rPr>
                <w:b/>
                <w:bCs/>
                <w:sz w:val="20"/>
                <w:szCs w:val="20"/>
              </w:rPr>
            </w:pPr>
            <w:r>
              <w:rPr>
                <w:b/>
                <w:bCs/>
                <w:sz w:val="20"/>
                <w:szCs w:val="20"/>
              </w:rPr>
              <w:t>Données CP 2025 (tm)</w:t>
            </w:r>
          </w:p>
        </w:tc>
        <w:tc>
          <w:tcPr>
            <w:tcW w:w="3119" w:type="dxa"/>
          </w:tcPr>
          <w:p w14:paraId="45C1E031" w14:textId="7DBBB7C9" w:rsidR="00055347" w:rsidRPr="00BE2393" w:rsidRDefault="00055347" w:rsidP="00F30178">
            <w:pPr>
              <w:keepNext/>
              <w:jc w:val="center"/>
              <w:rPr>
                <w:b/>
                <w:bCs/>
                <w:sz w:val="20"/>
                <w:szCs w:val="20"/>
              </w:rPr>
            </w:pPr>
            <w:r>
              <w:rPr>
                <w:b/>
                <w:bCs/>
                <w:sz w:val="20"/>
                <w:szCs w:val="20"/>
              </w:rPr>
              <w:t>Pourcentage du total</w:t>
            </w:r>
          </w:p>
        </w:tc>
      </w:tr>
      <w:tr w:rsidR="00055347" w:rsidRPr="00BE2393" w14:paraId="4444AA71" w14:textId="77777777" w:rsidTr="000355EC">
        <w:trPr>
          <w:trHeight w:val="267"/>
        </w:trPr>
        <w:tc>
          <w:tcPr>
            <w:tcW w:w="3118" w:type="dxa"/>
            <w:vAlign w:val="bottom"/>
          </w:tcPr>
          <w:p w14:paraId="33D8984E" w14:textId="3573AACA" w:rsidR="00055347" w:rsidRPr="00BE2393" w:rsidRDefault="00055347" w:rsidP="00873D97">
            <w:pPr>
              <w:keepNext/>
              <w:rPr>
                <w:sz w:val="20"/>
                <w:szCs w:val="20"/>
              </w:rPr>
            </w:pPr>
            <w:r>
              <w:rPr>
                <w:color w:val="000000"/>
                <w:sz w:val="20"/>
                <w:szCs w:val="20"/>
              </w:rPr>
              <w:t>HFC-32</w:t>
            </w:r>
          </w:p>
        </w:tc>
        <w:tc>
          <w:tcPr>
            <w:tcW w:w="3118" w:type="dxa"/>
          </w:tcPr>
          <w:p w14:paraId="1D6AA264" w14:textId="74243ED8" w:rsidR="00055347" w:rsidRPr="00BE2393" w:rsidRDefault="00055347" w:rsidP="00F30178">
            <w:pPr>
              <w:keepNext/>
              <w:jc w:val="right"/>
              <w:rPr>
                <w:sz w:val="20"/>
                <w:szCs w:val="20"/>
              </w:rPr>
            </w:pPr>
            <w:r>
              <w:rPr>
                <w:color w:val="000000"/>
                <w:sz w:val="20"/>
                <w:szCs w:val="20"/>
              </w:rPr>
              <w:t>1,47</w:t>
            </w:r>
          </w:p>
        </w:tc>
        <w:tc>
          <w:tcPr>
            <w:tcW w:w="3119" w:type="dxa"/>
          </w:tcPr>
          <w:p w14:paraId="1EE4A2C2" w14:textId="3E99F960" w:rsidR="00055347" w:rsidRPr="00BE2393" w:rsidRDefault="00055347" w:rsidP="00F30178">
            <w:pPr>
              <w:keepNext/>
              <w:jc w:val="right"/>
              <w:rPr>
                <w:sz w:val="20"/>
                <w:szCs w:val="20"/>
              </w:rPr>
            </w:pPr>
            <w:r>
              <w:rPr>
                <w:color w:val="000000"/>
                <w:sz w:val="20"/>
                <w:szCs w:val="20"/>
              </w:rPr>
              <w:t>4,5</w:t>
            </w:r>
          </w:p>
        </w:tc>
      </w:tr>
      <w:tr w:rsidR="00055347" w:rsidRPr="00BE2393" w14:paraId="3A1FD0CC" w14:textId="77777777" w:rsidTr="000355EC">
        <w:trPr>
          <w:trHeight w:val="267"/>
        </w:trPr>
        <w:tc>
          <w:tcPr>
            <w:tcW w:w="3118" w:type="dxa"/>
            <w:vAlign w:val="bottom"/>
          </w:tcPr>
          <w:p w14:paraId="194B9336" w14:textId="140DA97A" w:rsidR="00055347" w:rsidRPr="00BE2393" w:rsidRDefault="00055347" w:rsidP="00873D97">
            <w:pPr>
              <w:keepNext/>
              <w:rPr>
                <w:sz w:val="20"/>
                <w:szCs w:val="20"/>
              </w:rPr>
            </w:pPr>
            <w:r>
              <w:rPr>
                <w:color w:val="000000"/>
                <w:sz w:val="20"/>
                <w:szCs w:val="20"/>
              </w:rPr>
              <w:t>HFC-134a</w:t>
            </w:r>
          </w:p>
        </w:tc>
        <w:tc>
          <w:tcPr>
            <w:tcW w:w="3118" w:type="dxa"/>
          </w:tcPr>
          <w:p w14:paraId="5C52D7C0" w14:textId="3400B5FC" w:rsidR="00055347" w:rsidRPr="00BE2393" w:rsidRDefault="00055347" w:rsidP="00F30178">
            <w:pPr>
              <w:keepNext/>
              <w:jc w:val="right"/>
              <w:rPr>
                <w:sz w:val="20"/>
                <w:szCs w:val="20"/>
              </w:rPr>
            </w:pPr>
            <w:r>
              <w:rPr>
                <w:color w:val="000000"/>
                <w:sz w:val="20"/>
                <w:szCs w:val="20"/>
              </w:rPr>
              <w:t>22,26</w:t>
            </w:r>
          </w:p>
        </w:tc>
        <w:tc>
          <w:tcPr>
            <w:tcW w:w="3119" w:type="dxa"/>
          </w:tcPr>
          <w:p w14:paraId="712BD88F" w14:textId="1A5263C9" w:rsidR="00055347" w:rsidRPr="00BE2393" w:rsidRDefault="00055347" w:rsidP="00F30178">
            <w:pPr>
              <w:keepNext/>
              <w:jc w:val="right"/>
              <w:rPr>
                <w:sz w:val="20"/>
                <w:szCs w:val="20"/>
              </w:rPr>
            </w:pPr>
            <w:r>
              <w:rPr>
                <w:color w:val="000000"/>
                <w:sz w:val="20"/>
                <w:szCs w:val="20"/>
              </w:rPr>
              <w:t>68,8</w:t>
            </w:r>
          </w:p>
        </w:tc>
      </w:tr>
      <w:tr w:rsidR="00055347" w:rsidRPr="00BE2393" w14:paraId="3F60B14B" w14:textId="77777777" w:rsidTr="000355EC">
        <w:trPr>
          <w:trHeight w:val="280"/>
        </w:trPr>
        <w:tc>
          <w:tcPr>
            <w:tcW w:w="3118" w:type="dxa"/>
            <w:vAlign w:val="bottom"/>
          </w:tcPr>
          <w:p w14:paraId="7199FCD8" w14:textId="78E2B2A7" w:rsidR="00055347" w:rsidRPr="00BE2393" w:rsidRDefault="00055347" w:rsidP="00873D97">
            <w:pPr>
              <w:keepNext/>
              <w:rPr>
                <w:sz w:val="20"/>
                <w:szCs w:val="20"/>
              </w:rPr>
            </w:pPr>
            <w:r>
              <w:rPr>
                <w:color w:val="000000"/>
                <w:sz w:val="20"/>
                <w:szCs w:val="20"/>
              </w:rPr>
              <w:t>R-404A</w:t>
            </w:r>
          </w:p>
        </w:tc>
        <w:tc>
          <w:tcPr>
            <w:tcW w:w="3118" w:type="dxa"/>
          </w:tcPr>
          <w:p w14:paraId="1B57BC82" w14:textId="65CAC453" w:rsidR="00055347" w:rsidRPr="00BE2393" w:rsidRDefault="00055347" w:rsidP="00F30178">
            <w:pPr>
              <w:keepNext/>
              <w:jc w:val="right"/>
              <w:rPr>
                <w:sz w:val="20"/>
                <w:szCs w:val="20"/>
              </w:rPr>
            </w:pPr>
            <w:r>
              <w:rPr>
                <w:color w:val="000000"/>
                <w:sz w:val="20"/>
                <w:szCs w:val="20"/>
              </w:rPr>
              <w:t>3,85</w:t>
            </w:r>
          </w:p>
        </w:tc>
        <w:tc>
          <w:tcPr>
            <w:tcW w:w="3119" w:type="dxa"/>
          </w:tcPr>
          <w:p w14:paraId="0FE78186" w14:textId="2EDA87BC" w:rsidR="00055347" w:rsidRPr="00BE2393" w:rsidRDefault="00055347" w:rsidP="00F30178">
            <w:pPr>
              <w:keepNext/>
              <w:jc w:val="right"/>
              <w:rPr>
                <w:sz w:val="20"/>
                <w:szCs w:val="20"/>
              </w:rPr>
            </w:pPr>
            <w:r>
              <w:rPr>
                <w:color w:val="000000"/>
                <w:sz w:val="20"/>
                <w:szCs w:val="20"/>
              </w:rPr>
              <w:t>11,9</w:t>
            </w:r>
          </w:p>
        </w:tc>
      </w:tr>
      <w:tr w:rsidR="00055347" w:rsidRPr="00BE2393" w14:paraId="0A596857" w14:textId="77777777" w:rsidTr="000355EC">
        <w:trPr>
          <w:trHeight w:val="267"/>
        </w:trPr>
        <w:tc>
          <w:tcPr>
            <w:tcW w:w="3118" w:type="dxa"/>
            <w:vAlign w:val="bottom"/>
          </w:tcPr>
          <w:p w14:paraId="124A70AC" w14:textId="0C299A3D" w:rsidR="00055347" w:rsidRPr="00BE2393" w:rsidRDefault="00055347" w:rsidP="00873D97">
            <w:pPr>
              <w:keepNext/>
              <w:rPr>
                <w:color w:val="000000"/>
                <w:sz w:val="20"/>
                <w:szCs w:val="20"/>
              </w:rPr>
            </w:pPr>
            <w:r>
              <w:rPr>
                <w:color w:val="000000"/>
                <w:sz w:val="20"/>
                <w:szCs w:val="20"/>
              </w:rPr>
              <w:t>R-407A</w:t>
            </w:r>
          </w:p>
        </w:tc>
        <w:tc>
          <w:tcPr>
            <w:tcW w:w="3118" w:type="dxa"/>
          </w:tcPr>
          <w:p w14:paraId="0EFBB747" w14:textId="3E00A63B" w:rsidR="00055347" w:rsidRPr="00BE2393" w:rsidRDefault="00055347" w:rsidP="00CF10FA">
            <w:pPr>
              <w:keepNext/>
              <w:jc w:val="right"/>
              <w:rPr>
                <w:color w:val="000000"/>
                <w:sz w:val="20"/>
                <w:szCs w:val="20"/>
              </w:rPr>
            </w:pPr>
            <w:r>
              <w:rPr>
                <w:color w:val="000000"/>
                <w:sz w:val="20"/>
                <w:szCs w:val="20"/>
              </w:rPr>
              <w:t>0,01</w:t>
            </w:r>
          </w:p>
        </w:tc>
        <w:tc>
          <w:tcPr>
            <w:tcW w:w="3119" w:type="dxa"/>
          </w:tcPr>
          <w:p w14:paraId="69B2C5C1" w14:textId="4AC11E92" w:rsidR="00055347" w:rsidRPr="00BE2393" w:rsidRDefault="00055347" w:rsidP="00CF10FA">
            <w:pPr>
              <w:keepNext/>
              <w:jc w:val="right"/>
              <w:rPr>
                <w:color w:val="000000"/>
                <w:sz w:val="20"/>
                <w:szCs w:val="20"/>
              </w:rPr>
            </w:pPr>
            <w:r>
              <w:rPr>
                <w:color w:val="000000"/>
                <w:sz w:val="20"/>
                <w:szCs w:val="20"/>
              </w:rPr>
              <w:t>0,0</w:t>
            </w:r>
          </w:p>
        </w:tc>
      </w:tr>
      <w:tr w:rsidR="00055347" w:rsidRPr="00BE2393" w14:paraId="2B4AFBC6" w14:textId="77777777" w:rsidTr="000355EC">
        <w:trPr>
          <w:trHeight w:val="267"/>
        </w:trPr>
        <w:tc>
          <w:tcPr>
            <w:tcW w:w="3118" w:type="dxa"/>
            <w:vAlign w:val="bottom"/>
          </w:tcPr>
          <w:p w14:paraId="7B7E6C40" w14:textId="2E845837" w:rsidR="00055347" w:rsidRPr="00BE2393" w:rsidRDefault="00055347" w:rsidP="00873D97">
            <w:pPr>
              <w:keepNext/>
              <w:rPr>
                <w:sz w:val="20"/>
                <w:szCs w:val="20"/>
              </w:rPr>
            </w:pPr>
            <w:r>
              <w:rPr>
                <w:color w:val="000000"/>
                <w:sz w:val="20"/>
                <w:szCs w:val="20"/>
              </w:rPr>
              <w:t>R-410A</w:t>
            </w:r>
          </w:p>
        </w:tc>
        <w:tc>
          <w:tcPr>
            <w:tcW w:w="3118" w:type="dxa"/>
          </w:tcPr>
          <w:p w14:paraId="2A5A764E" w14:textId="1095FA23" w:rsidR="00055347" w:rsidRPr="00BE2393" w:rsidRDefault="00055347" w:rsidP="00F30178">
            <w:pPr>
              <w:keepNext/>
              <w:jc w:val="right"/>
              <w:rPr>
                <w:sz w:val="20"/>
                <w:szCs w:val="20"/>
              </w:rPr>
            </w:pPr>
            <w:r>
              <w:rPr>
                <w:color w:val="000000"/>
                <w:sz w:val="20"/>
                <w:szCs w:val="20"/>
              </w:rPr>
              <w:t>3,96</w:t>
            </w:r>
          </w:p>
        </w:tc>
        <w:tc>
          <w:tcPr>
            <w:tcW w:w="3119" w:type="dxa"/>
          </w:tcPr>
          <w:p w14:paraId="6B796600" w14:textId="64A9C516" w:rsidR="00055347" w:rsidRPr="00BE2393" w:rsidRDefault="00055347" w:rsidP="00F30178">
            <w:pPr>
              <w:keepNext/>
              <w:jc w:val="right"/>
              <w:rPr>
                <w:sz w:val="20"/>
                <w:szCs w:val="20"/>
              </w:rPr>
            </w:pPr>
            <w:r>
              <w:rPr>
                <w:color w:val="000000"/>
                <w:sz w:val="20"/>
                <w:szCs w:val="20"/>
              </w:rPr>
              <w:t>12,2</w:t>
            </w:r>
          </w:p>
        </w:tc>
      </w:tr>
      <w:tr w:rsidR="00055347" w:rsidRPr="00BE2393" w14:paraId="5FFAD787" w14:textId="77777777" w:rsidTr="000355EC">
        <w:trPr>
          <w:trHeight w:val="267"/>
        </w:trPr>
        <w:tc>
          <w:tcPr>
            <w:tcW w:w="3118" w:type="dxa"/>
            <w:vAlign w:val="bottom"/>
          </w:tcPr>
          <w:p w14:paraId="76A99273" w14:textId="71E50DB7" w:rsidR="00055347" w:rsidRPr="00BE2393" w:rsidRDefault="00055347" w:rsidP="00873D97">
            <w:pPr>
              <w:keepNext/>
              <w:rPr>
                <w:sz w:val="20"/>
                <w:szCs w:val="20"/>
              </w:rPr>
            </w:pPr>
            <w:r>
              <w:rPr>
                <w:color w:val="000000"/>
                <w:sz w:val="20"/>
                <w:szCs w:val="20"/>
              </w:rPr>
              <w:t>HCFC-22</w:t>
            </w:r>
          </w:p>
        </w:tc>
        <w:tc>
          <w:tcPr>
            <w:tcW w:w="3118" w:type="dxa"/>
          </w:tcPr>
          <w:p w14:paraId="398A7AA0" w14:textId="1CA16D0D" w:rsidR="00055347" w:rsidRPr="00BE2393" w:rsidRDefault="00055347" w:rsidP="00F30178">
            <w:pPr>
              <w:keepNext/>
              <w:jc w:val="right"/>
              <w:rPr>
                <w:sz w:val="20"/>
                <w:szCs w:val="20"/>
              </w:rPr>
            </w:pPr>
            <w:r>
              <w:rPr>
                <w:color w:val="000000"/>
                <w:sz w:val="20"/>
                <w:szCs w:val="20"/>
              </w:rPr>
              <w:t>0,82</w:t>
            </w:r>
          </w:p>
        </w:tc>
        <w:tc>
          <w:tcPr>
            <w:tcW w:w="3119" w:type="dxa"/>
          </w:tcPr>
          <w:p w14:paraId="108F2E96" w14:textId="46FA94B8" w:rsidR="00055347" w:rsidRPr="00BE2393" w:rsidRDefault="00055347" w:rsidP="00F30178">
            <w:pPr>
              <w:keepNext/>
              <w:jc w:val="right"/>
              <w:rPr>
                <w:sz w:val="20"/>
                <w:szCs w:val="20"/>
              </w:rPr>
            </w:pPr>
            <w:r>
              <w:rPr>
                <w:color w:val="000000"/>
                <w:sz w:val="20"/>
                <w:szCs w:val="20"/>
              </w:rPr>
              <w:t>2,5</w:t>
            </w:r>
          </w:p>
        </w:tc>
      </w:tr>
      <w:tr w:rsidR="00055347" w:rsidRPr="00BE2393" w14:paraId="704BBF20" w14:textId="77777777" w:rsidTr="000355EC">
        <w:trPr>
          <w:trHeight w:val="256"/>
        </w:trPr>
        <w:tc>
          <w:tcPr>
            <w:tcW w:w="3118" w:type="dxa"/>
            <w:vAlign w:val="center"/>
          </w:tcPr>
          <w:p w14:paraId="546B59DD" w14:textId="77777777" w:rsidR="00055347" w:rsidRPr="00BE2393" w:rsidRDefault="00055347" w:rsidP="00873D97">
            <w:pPr>
              <w:keepNext/>
              <w:jc w:val="right"/>
              <w:rPr>
                <w:b/>
                <w:bCs/>
                <w:sz w:val="20"/>
                <w:szCs w:val="20"/>
              </w:rPr>
            </w:pPr>
            <w:r>
              <w:rPr>
                <w:b/>
                <w:bCs/>
                <w:sz w:val="20"/>
                <w:szCs w:val="20"/>
              </w:rPr>
              <w:t xml:space="preserve">Total </w:t>
            </w:r>
          </w:p>
        </w:tc>
        <w:tc>
          <w:tcPr>
            <w:tcW w:w="3118" w:type="dxa"/>
          </w:tcPr>
          <w:p w14:paraId="1A196DCA" w14:textId="35D3BB09" w:rsidR="00055347" w:rsidRPr="00BE2393" w:rsidRDefault="00055347" w:rsidP="00F30178">
            <w:pPr>
              <w:keepNext/>
              <w:jc w:val="right"/>
              <w:rPr>
                <w:b/>
                <w:bCs/>
                <w:sz w:val="20"/>
                <w:szCs w:val="20"/>
              </w:rPr>
            </w:pPr>
            <w:r>
              <w:rPr>
                <w:b/>
                <w:bCs/>
                <w:sz w:val="20"/>
                <w:szCs w:val="20"/>
              </w:rPr>
              <w:t>32,37</w:t>
            </w:r>
          </w:p>
        </w:tc>
        <w:tc>
          <w:tcPr>
            <w:tcW w:w="3119" w:type="dxa"/>
          </w:tcPr>
          <w:p w14:paraId="5C958CE9" w14:textId="09914591" w:rsidR="00055347" w:rsidRPr="00BE2393" w:rsidRDefault="00055347" w:rsidP="00F30178">
            <w:pPr>
              <w:keepNext/>
              <w:jc w:val="right"/>
              <w:rPr>
                <w:b/>
                <w:bCs/>
                <w:sz w:val="20"/>
                <w:szCs w:val="20"/>
              </w:rPr>
            </w:pPr>
            <w:r>
              <w:rPr>
                <w:b/>
                <w:bCs/>
                <w:sz w:val="20"/>
                <w:szCs w:val="20"/>
              </w:rPr>
              <w:t>100</w:t>
            </w:r>
          </w:p>
        </w:tc>
      </w:tr>
    </w:tbl>
    <w:p w14:paraId="3ED79AE7" w14:textId="77777777" w:rsidR="00563DA8" w:rsidRPr="009931F4" w:rsidRDefault="00563DA8" w:rsidP="001161CD">
      <w:pPr>
        <w:keepNext/>
        <w:spacing w:before="240" w:after="240"/>
        <w:rPr>
          <w:b/>
        </w:rPr>
      </w:pPr>
      <w:bookmarkStart w:id="5" w:name="_Hlk126915738"/>
      <w:r>
        <w:rPr>
          <w:u w:val="single"/>
        </w:rPr>
        <w:t>Stratégie d'élimination</w:t>
      </w:r>
    </w:p>
    <w:p w14:paraId="697B3EBD" w14:textId="2D6AAEE6" w:rsidR="00BB3385" w:rsidRPr="008B3228" w:rsidRDefault="00563DA8" w:rsidP="000500A9">
      <w:pPr>
        <w:pStyle w:val="Heading1"/>
        <w:rPr>
          <w:lang w:val="fr-CA"/>
        </w:rPr>
      </w:pPr>
      <w:bookmarkStart w:id="6" w:name="_Hlk125636542"/>
      <w:bookmarkEnd w:id="5"/>
      <w:r>
        <w:rPr>
          <w:lang w:val="fr-CA"/>
        </w:rPr>
        <w:t xml:space="preserve">La phase II </w:t>
      </w:r>
      <w:bookmarkEnd w:id="6"/>
      <w:r>
        <w:rPr>
          <w:lang w:val="fr-CA"/>
        </w:rPr>
        <w:t xml:space="preserve">du PGEH vise à maintenir les réductions de la consommation de HCFC réalisées ces dernières années et à garantir le respect de l’élimination totale d’ici 2030. La phase II comportera trois tranches et centrera son action sur le renforcement de l’application du système </w:t>
      </w:r>
      <w:r w:rsidR="004C274F">
        <w:rPr>
          <w:lang w:val="fr-CA"/>
        </w:rPr>
        <w:t>de licences</w:t>
      </w:r>
      <w:r>
        <w:rPr>
          <w:lang w:val="fr-CA"/>
        </w:rPr>
        <w:t xml:space="preserve"> et de quotas pour les HCFC ; poursuivre l’amélioration de la coordination institutionnelle entre l’UNO et les autorités douanières ; dispenser des formations aux agents des douanes et aux agents chargés de l’application de la loi et leur fournir des outils d’application ; ainsi que renforcer la coordination institutionnelle pour soutenir la mise en œuvre des normes régionales en matière d’efficacité énergétique et d’étiquetage ; intégrer les compétences en matière d’efficacité énergétique dans le cadre national des certifications professionnelles ; et continuer à promouvoir la transition vers des technologies à faible PRP dans le secteur RAC, tout en renforçant les capacités des techniciens en entretien des équipements </w:t>
      </w:r>
      <w:r w:rsidR="00EA6327">
        <w:rPr>
          <w:lang w:val="fr-CA"/>
        </w:rPr>
        <w:t>RAC</w:t>
      </w:r>
      <w:r>
        <w:rPr>
          <w:lang w:val="fr-CA"/>
        </w:rPr>
        <w:t>.</w:t>
      </w:r>
    </w:p>
    <w:p w14:paraId="6F73DB83" w14:textId="77777777" w:rsidR="00563DA8" w:rsidRDefault="00563DA8" w:rsidP="001161CD">
      <w:pPr>
        <w:keepNext/>
        <w:spacing w:after="240"/>
        <w:rPr>
          <w:i/>
          <w:iCs/>
        </w:rPr>
      </w:pPr>
      <w:r>
        <w:rPr>
          <w:i/>
          <w:iCs/>
        </w:rPr>
        <w:t>Activités proposées</w:t>
      </w:r>
    </w:p>
    <w:p w14:paraId="39365FAC" w14:textId="2CBD3C8D" w:rsidR="00563DA8" w:rsidRPr="008B3228" w:rsidRDefault="00563DA8" w:rsidP="00C30970">
      <w:pPr>
        <w:pStyle w:val="Heading1"/>
        <w:rPr>
          <w:lang w:val="fr-CA"/>
        </w:rPr>
      </w:pPr>
      <w:bookmarkStart w:id="7" w:name="_Hlk190676699"/>
      <w:bookmarkStart w:id="8" w:name="_Hlk126915743"/>
      <w:r>
        <w:rPr>
          <w:lang w:val="fr-CA"/>
        </w:rPr>
        <w:t>Les activités proposées dans le secteur de l’entretien au titre de la phase II</w:t>
      </w:r>
      <w:bookmarkEnd w:id="7"/>
      <w:r>
        <w:rPr>
          <w:lang w:val="fr-CA"/>
        </w:rPr>
        <w:t xml:space="preserve"> et de la première tranche, ainsi que la ventilation de leurs coûts, sont présentées dans le tableau 3.</w:t>
      </w:r>
    </w:p>
    <w:p w14:paraId="03E70CF6" w14:textId="0237A748" w:rsidR="00781A16" w:rsidRPr="008B3228" w:rsidRDefault="00563DA8" w:rsidP="00112C90">
      <w:pPr>
        <w:keepNext/>
        <w:shd w:val="clear" w:color="auto" w:fill="FFFFFF" w:themeFill="background1"/>
        <w:rPr>
          <w:b/>
          <w:bCs/>
          <w:lang w:val="fr-CA"/>
        </w:rPr>
      </w:pPr>
      <w:r>
        <w:rPr>
          <w:b/>
          <w:bCs/>
          <w:lang w:val="fr-CA"/>
        </w:rPr>
        <w:lastRenderedPageBreak/>
        <w:t xml:space="preserve">Tableau 3. Secteur de l’entretien de Saint-Kitts-et-Nevis - activités proposées dans le cadre de la phase </w:t>
      </w:r>
      <w:r>
        <w:rPr>
          <w:b/>
          <w:lang w:val="fr-CA"/>
        </w:rPr>
        <w:t xml:space="preserve">II </w:t>
      </w:r>
      <w:r>
        <w:rPr>
          <w:b/>
          <w:bCs/>
          <w:lang w:val="fr-CA"/>
        </w:rPr>
        <w:t xml:space="preserve">du PGEH et leurs coûts, telles qu’elles ont été soumises </w:t>
      </w:r>
    </w:p>
    <w:tbl>
      <w:tblPr>
        <w:tblStyle w:val="TableGrid"/>
        <w:tblW w:w="5000" w:type="pct"/>
        <w:tblLayout w:type="fixed"/>
        <w:tblCellMar>
          <w:left w:w="57" w:type="dxa"/>
          <w:right w:w="57" w:type="dxa"/>
        </w:tblCellMar>
        <w:tblLook w:val="04A0" w:firstRow="1" w:lastRow="0" w:firstColumn="1" w:lastColumn="0" w:noHBand="0" w:noVBand="1"/>
      </w:tblPr>
      <w:tblGrid>
        <w:gridCol w:w="1525"/>
        <w:gridCol w:w="4681"/>
        <w:gridCol w:w="1171"/>
        <w:gridCol w:w="989"/>
        <w:gridCol w:w="984"/>
      </w:tblGrid>
      <w:tr w:rsidR="00AC3AEF" w:rsidRPr="008B52AA" w14:paraId="383E2CF0" w14:textId="77777777" w:rsidTr="006B6DB9">
        <w:trPr>
          <w:trHeight w:val="53"/>
          <w:tblHeader/>
        </w:trPr>
        <w:tc>
          <w:tcPr>
            <w:tcW w:w="816" w:type="pct"/>
            <w:vMerge w:val="restart"/>
          </w:tcPr>
          <w:p w14:paraId="761F6A66" w14:textId="4D3F903E" w:rsidR="00AC3AEF" w:rsidRPr="008B52AA" w:rsidRDefault="005C3B15" w:rsidP="00112C90">
            <w:pPr>
              <w:keepNext/>
              <w:shd w:val="clear" w:color="auto" w:fill="FFFFFF" w:themeFill="background1"/>
              <w:spacing w:before="20" w:after="20"/>
              <w:jc w:val="center"/>
              <w:rPr>
                <w:b/>
                <w:bCs/>
                <w:color w:val="000000" w:themeColor="text1"/>
                <w:sz w:val="20"/>
                <w:szCs w:val="20"/>
              </w:rPr>
            </w:pPr>
            <w:r>
              <w:rPr>
                <w:b/>
                <w:bCs/>
                <w:color w:val="000000" w:themeColor="text1"/>
                <w:sz w:val="20"/>
                <w:szCs w:val="20"/>
              </w:rPr>
              <w:t>Composante</w:t>
            </w:r>
          </w:p>
        </w:tc>
        <w:tc>
          <w:tcPr>
            <w:tcW w:w="2503" w:type="pct"/>
            <w:vMerge w:val="restart"/>
            <w:vAlign w:val="center"/>
          </w:tcPr>
          <w:p w14:paraId="23D7A2C9" w14:textId="3E4EF525" w:rsidR="00AC3AEF" w:rsidRPr="008B52AA" w:rsidRDefault="00AC3AEF" w:rsidP="00112C90">
            <w:pPr>
              <w:keepNext/>
              <w:shd w:val="clear" w:color="auto" w:fill="FFFFFF" w:themeFill="background1"/>
              <w:spacing w:before="20" w:after="20"/>
              <w:jc w:val="center"/>
              <w:rPr>
                <w:b/>
                <w:bCs/>
                <w:color w:val="000000" w:themeColor="text1"/>
                <w:sz w:val="20"/>
                <w:szCs w:val="20"/>
              </w:rPr>
            </w:pPr>
            <w:r>
              <w:rPr>
                <w:b/>
                <w:bCs/>
                <w:color w:val="000000" w:themeColor="text1"/>
                <w:sz w:val="20"/>
                <w:szCs w:val="20"/>
              </w:rPr>
              <w:t>Activité</w:t>
            </w:r>
          </w:p>
        </w:tc>
        <w:tc>
          <w:tcPr>
            <w:tcW w:w="626" w:type="pct"/>
            <w:vMerge w:val="restart"/>
            <w:vAlign w:val="center"/>
          </w:tcPr>
          <w:p w14:paraId="228CB68A" w14:textId="77777777" w:rsidR="00AC3AEF" w:rsidRPr="008B52AA" w:rsidRDefault="00AC3AEF" w:rsidP="00834B55">
            <w:pPr>
              <w:spacing w:before="20" w:after="20"/>
              <w:jc w:val="center"/>
              <w:rPr>
                <w:b/>
                <w:bCs/>
                <w:color w:val="000000" w:themeColor="text1"/>
                <w:sz w:val="20"/>
                <w:szCs w:val="20"/>
              </w:rPr>
            </w:pPr>
            <w:r>
              <w:rPr>
                <w:b/>
                <w:bCs/>
                <w:color w:val="000000" w:themeColor="text1"/>
                <w:sz w:val="20"/>
                <w:szCs w:val="20"/>
              </w:rPr>
              <w:t>Agence</w:t>
            </w:r>
          </w:p>
        </w:tc>
        <w:tc>
          <w:tcPr>
            <w:tcW w:w="1056" w:type="pct"/>
            <w:gridSpan w:val="2"/>
            <w:vAlign w:val="center"/>
          </w:tcPr>
          <w:p w14:paraId="0B43847C" w14:textId="77777777" w:rsidR="00AC3AEF" w:rsidRPr="008B52AA" w:rsidRDefault="00AC3AEF" w:rsidP="0011168B">
            <w:pPr>
              <w:shd w:val="clear" w:color="auto" w:fill="FFFFFF" w:themeFill="background1"/>
              <w:spacing w:before="20" w:after="20"/>
              <w:jc w:val="center"/>
              <w:rPr>
                <w:b/>
                <w:bCs/>
                <w:color w:val="000000" w:themeColor="text1"/>
                <w:sz w:val="20"/>
                <w:szCs w:val="20"/>
              </w:rPr>
            </w:pPr>
            <w:r>
              <w:rPr>
                <w:b/>
                <w:bCs/>
                <w:color w:val="000000" w:themeColor="text1"/>
                <w:sz w:val="20"/>
                <w:szCs w:val="20"/>
              </w:rPr>
              <w:t>Coût ($US)</w:t>
            </w:r>
          </w:p>
        </w:tc>
      </w:tr>
      <w:tr w:rsidR="00AC3AEF" w:rsidRPr="008B52AA" w14:paraId="796A0884" w14:textId="77777777" w:rsidTr="006B6DB9">
        <w:trPr>
          <w:trHeight w:val="98"/>
          <w:tblHeader/>
        </w:trPr>
        <w:tc>
          <w:tcPr>
            <w:tcW w:w="816" w:type="pct"/>
            <w:vMerge/>
          </w:tcPr>
          <w:p w14:paraId="39F276AA" w14:textId="77777777"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2503" w:type="pct"/>
            <w:vMerge/>
            <w:vAlign w:val="center"/>
          </w:tcPr>
          <w:p w14:paraId="444ECD40" w14:textId="0F729608"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626" w:type="pct"/>
            <w:vMerge/>
            <w:vAlign w:val="center"/>
          </w:tcPr>
          <w:p w14:paraId="1E24F6D4" w14:textId="77777777" w:rsidR="00AC3AEF" w:rsidRPr="008B52AA" w:rsidRDefault="00AC3AEF" w:rsidP="0011168B">
            <w:pPr>
              <w:shd w:val="clear" w:color="auto" w:fill="FFFFFF" w:themeFill="background1"/>
              <w:spacing w:before="20" w:after="20"/>
              <w:jc w:val="center"/>
              <w:rPr>
                <w:b/>
                <w:bCs/>
                <w:color w:val="000000" w:themeColor="text1"/>
                <w:sz w:val="20"/>
                <w:szCs w:val="20"/>
              </w:rPr>
            </w:pPr>
          </w:p>
        </w:tc>
        <w:tc>
          <w:tcPr>
            <w:tcW w:w="529" w:type="pct"/>
            <w:vAlign w:val="center"/>
          </w:tcPr>
          <w:p w14:paraId="0B1DF00C" w14:textId="593C5CE8" w:rsidR="00AC3AEF" w:rsidRPr="008B52AA" w:rsidRDefault="00AC3AEF" w:rsidP="0011168B">
            <w:pPr>
              <w:shd w:val="clear" w:color="auto" w:fill="FFFFFF" w:themeFill="background1"/>
              <w:spacing w:before="20" w:after="20"/>
              <w:jc w:val="center"/>
              <w:rPr>
                <w:b/>
                <w:bCs/>
                <w:color w:val="000000" w:themeColor="text1"/>
                <w:sz w:val="20"/>
                <w:szCs w:val="20"/>
              </w:rPr>
            </w:pPr>
            <w:r>
              <w:rPr>
                <w:b/>
                <w:bCs/>
                <w:color w:val="000000" w:themeColor="text1"/>
                <w:sz w:val="20"/>
                <w:szCs w:val="20"/>
              </w:rPr>
              <w:t>Phase II</w:t>
            </w:r>
          </w:p>
        </w:tc>
        <w:tc>
          <w:tcPr>
            <w:tcW w:w="527" w:type="pct"/>
            <w:vAlign w:val="center"/>
          </w:tcPr>
          <w:p w14:paraId="168EA559" w14:textId="77777777" w:rsidR="00AC3AEF" w:rsidRPr="008B52AA" w:rsidRDefault="00AC3AEF" w:rsidP="0011168B">
            <w:pPr>
              <w:shd w:val="clear" w:color="auto" w:fill="FFFFFF" w:themeFill="background1"/>
              <w:spacing w:before="20" w:after="20"/>
              <w:jc w:val="center"/>
              <w:rPr>
                <w:b/>
                <w:bCs/>
                <w:color w:val="000000" w:themeColor="text1"/>
                <w:sz w:val="20"/>
                <w:szCs w:val="20"/>
              </w:rPr>
            </w:pPr>
            <w:r>
              <w:rPr>
                <w:b/>
                <w:bCs/>
                <w:color w:val="000000" w:themeColor="text1"/>
                <w:sz w:val="20"/>
                <w:szCs w:val="20"/>
              </w:rPr>
              <w:t>Première tranche</w:t>
            </w:r>
          </w:p>
        </w:tc>
      </w:tr>
      <w:tr w:rsidR="001214A1" w:rsidRPr="008B52AA" w14:paraId="5307B89D" w14:textId="77777777" w:rsidTr="006B6DB9">
        <w:trPr>
          <w:trHeight w:val="217"/>
        </w:trPr>
        <w:tc>
          <w:tcPr>
            <w:tcW w:w="816" w:type="pct"/>
            <w:vMerge w:val="restart"/>
          </w:tcPr>
          <w:p w14:paraId="3428F6BE" w14:textId="38AC0793" w:rsidR="001214A1" w:rsidRPr="008B3228" w:rsidRDefault="001214A1" w:rsidP="003211A3">
            <w:pPr>
              <w:shd w:val="clear" w:color="auto" w:fill="FFFFFF" w:themeFill="background1"/>
              <w:spacing w:before="20" w:after="20"/>
              <w:jc w:val="left"/>
              <w:rPr>
                <w:i/>
                <w:iCs/>
                <w:color w:val="000000" w:themeColor="text1"/>
                <w:sz w:val="20"/>
                <w:szCs w:val="20"/>
                <w:lang w:val="fr-CA"/>
              </w:rPr>
            </w:pPr>
            <w:r>
              <w:rPr>
                <w:color w:val="000000" w:themeColor="text1"/>
                <w:sz w:val="20"/>
                <w:szCs w:val="20"/>
                <w:lang w:val="fr-CA"/>
              </w:rPr>
              <w:t>Renforcement du cadre politique, réglementaire et institutionnel</w:t>
            </w:r>
          </w:p>
        </w:tc>
        <w:tc>
          <w:tcPr>
            <w:tcW w:w="2503" w:type="pct"/>
          </w:tcPr>
          <w:p w14:paraId="45BA45D2" w14:textId="4FD832FD" w:rsidR="001214A1" w:rsidRPr="008B3228" w:rsidRDefault="001214A1" w:rsidP="003211A3">
            <w:pPr>
              <w:shd w:val="clear" w:color="auto" w:fill="FFFFFF" w:themeFill="background1"/>
              <w:spacing w:before="20" w:after="20"/>
              <w:jc w:val="left"/>
              <w:rPr>
                <w:color w:val="000000" w:themeColor="text1"/>
                <w:sz w:val="20"/>
                <w:szCs w:val="20"/>
                <w:lang w:val="fr-CA"/>
              </w:rPr>
            </w:pPr>
            <w:r>
              <w:rPr>
                <w:i/>
                <w:iCs/>
                <w:color w:val="000000" w:themeColor="text1"/>
                <w:sz w:val="20"/>
                <w:szCs w:val="20"/>
                <w:lang w:val="fr-CA"/>
              </w:rPr>
              <w:t xml:space="preserve">Renforcement des politiques et de la réglementation </w:t>
            </w:r>
            <w:r>
              <w:rPr>
                <w:color w:val="000000" w:themeColor="text1"/>
                <w:sz w:val="20"/>
                <w:szCs w:val="20"/>
                <w:lang w:val="fr-CA"/>
              </w:rPr>
              <w:t xml:space="preserve">: </w:t>
            </w:r>
          </w:p>
          <w:p w14:paraId="35CC0D67" w14:textId="57BAC63D" w:rsidR="001214A1" w:rsidRPr="008B3228" w:rsidRDefault="001214A1" w:rsidP="00822C58">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Modifications réglementaires ou administratives ciblées, à commencer par l'élaboration et l'adoption d'une interdiction d'importation des équipements fonctionnant aux HCFC, à mettre en œuvre d'ici 2027 ;</w:t>
            </w:r>
          </w:p>
          <w:p w14:paraId="2FCB3226" w14:textId="51704304" w:rsidR="001214A1" w:rsidRPr="008B3228" w:rsidRDefault="001214A1" w:rsidP="00822C58">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Mise en place de contrôles liés à la certification sur les ventes de réfrigérants, y compris la rédaction de règlements et la création d’un registre des techniciens intégré aux systèmes de vérification des ventes ; et</w:t>
            </w:r>
          </w:p>
          <w:p w14:paraId="73D5B134" w14:textId="5AC7CE30" w:rsidR="001214A1" w:rsidRPr="008B3228" w:rsidRDefault="001214A1" w:rsidP="00AB7CC5">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Adoption de procédures opérationnelles standard (SOP) pour renforcer la coordination entre l'UNO, les douanes et les autorités maritimes ; et renforcement de la documentation pour la surveillance et le rapprochement des quotas.</w:t>
            </w:r>
          </w:p>
        </w:tc>
        <w:tc>
          <w:tcPr>
            <w:tcW w:w="626" w:type="pct"/>
          </w:tcPr>
          <w:p w14:paraId="67FBFE77" w14:textId="142FF49A" w:rsidR="001214A1" w:rsidRPr="008B52AA" w:rsidRDefault="001214A1" w:rsidP="005B0CCA">
            <w:pPr>
              <w:spacing w:before="20" w:after="20"/>
              <w:jc w:val="center"/>
              <w:rPr>
                <w:color w:val="000000" w:themeColor="text1"/>
                <w:sz w:val="20"/>
                <w:szCs w:val="20"/>
                <w:highlight w:val="cyan"/>
              </w:rPr>
            </w:pPr>
            <w:r>
              <w:rPr>
                <w:color w:val="000000" w:themeColor="text1"/>
                <w:sz w:val="20"/>
                <w:szCs w:val="20"/>
              </w:rPr>
              <w:t>PNUE</w:t>
            </w:r>
          </w:p>
        </w:tc>
        <w:tc>
          <w:tcPr>
            <w:tcW w:w="529" w:type="pct"/>
          </w:tcPr>
          <w:p w14:paraId="495E0EB2" w14:textId="1F7B4695" w:rsidR="001214A1" w:rsidRPr="008B52AA" w:rsidRDefault="001214A1" w:rsidP="0011168B">
            <w:pPr>
              <w:shd w:val="clear" w:color="auto" w:fill="FFFFFF" w:themeFill="background1"/>
              <w:spacing w:before="20" w:after="20"/>
              <w:jc w:val="right"/>
              <w:rPr>
                <w:color w:val="000000" w:themeColor="text1"/>
                <w:sz w:val="20"/>
                <w:szCs w:val="20"/>
              </w:rPr>
            </w:pPr>
            <w:r>
              <w:rPr>
                <w:color w:val="000000" w:themeColor="text1"/>
                <w:sz w:val="20"/>
                <w:szCs w:val="20"/>
              </w:rPr>
              <w:t>20 000</w:t>
            </w:r>
          </w:p>
        </w:tc>
        <w:tc>
          <w:tcPr>
            <w:tcW w:w="527" w:type="pct"/>
          </w:tcPr>
          <w:p w14:paraId="386698FB" w14:textId="4A7930C8" w:rsidR="001214A1" w:rsidRPr="008B52AA" w:rsidRDefault="001214A1" w:rsidP="0011168B">
            <w:pPr>
              <w:shd w:val="clear" w:color="auto" w:fill="FFFFFF" w:themeFill="background1"/>
              <w:spacing w:before="20" w:after="20"/>
              <w:jc w:val="right"/>
              <w:rPr>
                <w:color w:val="000000" w:themeColor="text1"/>
                <w:sz w:val="20"/>
                <w:szCs w:val="20"/>
              </w:rPr>
            </w:pPr>
            <w:r>
              <w:rPr>
                <w:color w:val="000000" w:themeColor="text1"/>
                <w:sz w:val="20"/>
                <w:szCs w:val="20"/>
              </w:rPr>
              <w:t>20 000</w:t>
            </w:r>
          </w:p>
        </w:tc>
      </w:tr>
      <w:tr w:rsidR="001214A1" w:rsidRPr="008B52AA" w14:paraId="05294716" w14:textId="77777777" w:rsidTr="006B6DB9">
        <w:trPr>
          <w:trHeight w:val="225"/>
        </w:trPr>
        <w:tc>
          <w:tcPr>
            <w:tcW w:w="816" w:type="pct"/>
            <w:vMerge/>
          </w:tcPr>
          <w:p w14:paraId="17B0E1CA" w14:textId="77777777" w:rsidR="001214A1" w:rsidRPr="008B52AA" w:rsidRDefault="001214A1" w:rsidP="00A224E8">
            <w:pPr>
              <w:shd w:val="clear" w:color="auto" w:fill="FFFFFF" w:themeFill="background1"/>
              <w:spacing w:before="20" w:after="20"/>
              <w:jc w:val="left"/>
              <w:rPr>
                <w:i/>
                <w:iCs/>
                <w:color w:val="000000" w:themeColor="text1"/>
                <w:sz w:val="20"/>
                <w:szCs w:val="20"/>
              </w:rPr>
            </w:pPr>
          </w:p>
        </w:tc>
        <w:tc>
          <w:tcPr>
            <w:tcW w:w="2503" w:type="pct"/>
          </w:tcPr>
          <w:p w14:paraId="004D695D" w14:textId="1CB3E410" w:rsidR="001214A1" w:rsidRPr="008B3228" w:rsidRDefault="001214A1" w:rsidP="00A224E8">
            <w:pPr>
              <w:shd w:val="clear" w:color="auto" w:fill="FFFFFF" w:themeFill="background1"/>
              <w:spacing w:before="20" w:after="20"/>
              <w:jc w:val="left"/>
              <w:rPr>
                <w:color w:val="000000" w:themeColor="text1"/>
                <w:sz w:val="20"/>
                <w:szCs w:val="20"/>
                <w:lang w:val="fr-CA"/>
              </w:rPr>
            </w:pPr>
            <w:r>
              <w:rPr>
                <w:i/>
                <w:iCs/>
                <w:color w:val="000000" w:themeColor="text1"/>
                <w:sz w:val="20"/>
                <w:szCs w:val="20"/>
                <w:lang w:val="fr-CA"/>
              </w:rPr>
              <w:t xml:space="preserve">Mise en œuvre du système </w:t>
            </w:r>
            <w:r w:rsidR="00BF2871">
              <w:rPr>
                <w:i/>
                <w:iCs/>
                <w:color w:val="000000" w:themeColor="text1"/>
                <w:sz w:val="20"/>
                <w:szCs w:val="20"/>
                <w:lang w:val="fr-CA"/>
              </w:rPr>
              <w:t>de licences</w:t>
            </w:r>
            <w:r>
              <w:rPr>
                <w:i/>
                <w:iCs/>
                <w:color w:val="000000" w:themeColor="text1"/>
                <w:sz w:val="20"/>
                <w:szCs w:val="20"/>
                <w:lang w:val="fr-CA"/>
              </w:rPr>
              <w:t xml:space="preserve"> et de quotas </w:t>
            </w:r>
            <w:r>
              <w:rPr>
                <w:color w:val="000000" w:themeColor="text1"/>
                <w:sz w:val="20"/>
                <w:szCs w:val="20"/>
                <w:lang w:val="fr-CA"/>
              </w:rPr>
              <w:t>:</w:t>
            </w:r>
          </w:p>
          <w:p w14:paraId="4219F939" w14:textId="3AE0C1C1" w:rsidR="001214A1" w:rsidRPr="008B3228" w:rsidRDefault="001214A1" w:rsidP="00003129">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Révision et mise à jour des procédures d'octroi de licences, d'attribution des quotas et de surveillance afin d'améliorer la détection précoce des incohérences et du commerce illicite, et de renforcer la conformité et l'évaluation des risques ; </w:t>
            </w:r>
          </w:p>
          <w:p w14:paraId="05E69A5F" w14:textId="5B75CA4D" w:rsidR="001214A1" w:rsidRPr="008B3228" w:rsidRDefault="001214A1" w:rsidP="00A224E8">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Formation d'un total de 60 agents des douanes et des services chargés de l'application des règlements douaniers (dont 25 % de femmes) à l'identification des substances réglementées et aux procédures d'octroi de licences et de quotas ; </w:t>
            </w:r>
          </w:p>
          <w:p w14:paraId="425F0B57" w14:textId="50DEC6DC" w:rsidR="001214A1" w:rsidRPr="008B3228" w:rsidRDefault="001214A1" w:rsidP="0008467F">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Mettre à jour les codes du système harmonisé (SH) nationaux pour les HCFC, les HFC, les mélanges de HFC et les réfrigérants HC ;</w:t>
            </w:r>
          </w:p>
          <w:p w14:paraId="128ACE77" w14:textId="77777777" w:rsidR="001214A1" w:rsidRPr="008B3228" w:rsidRDefault="001214A1" w:rsidP="0008467F">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Intégration des critères de profilage des risques dans ASYCUDA ;</w:t>
            </w:r>
            <w:r>
              <w:rPr>
                <w:rStyle w:val="FootnoteReference"/>
                <w:color w:val="000000" w:themeColor="text1"/>
                <w:sz w:val="20"/>
                <w:szCs w:val="20"/>
              </w:rPr>
              <w:footnoteReference w:id="9"/>
            </w:r>
            <w:r>
              <w:rPr>
                <w:color w:val="000000" w:themeColor="text1"/>
                <w:sz w:val="20"/>
                <w:szCs w:val="20"/>
                <w:lang w:val="fr-CA"/>
              </w:rPr>
              <w:t xml:space="preserve"> </w:t>
            </w:r>
          </w:p>
          <w:p w14:paraId="3749F902" w14:textId="0D7FCC6D" w:rsidR="001214A1" w:rsidRPr="008B3228" w:rsidRDefault="00ED65A3" w:rsidP="0008467F">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Publication de lignes directrices sur les pratiques de déclaration et organisation d’ateliers de sensibilisation à l’intention de dix courtiers en douane (avec une cible de 25 % de femmes) ; et</w:t>
            </w:r>
          </w:p>
          <w:p w14:paraId="4646139A" w14:textId="06095CD4" w:rsidR="001214A1" w:rsidRPr="008B3228" w:rsidRDefault="001214A1" w:rsidP="0008467F">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Formation de deux à trois agents par île à l’utilisation des identifiants de réfrigérants et coordination des autorités chargées de l’application de la loi entre les îles.</w:t>
            </w:r>
          </w:p>
        </w:tc>
        <w:tc>
          <w:tcPr>
            <w:tcW w:w="626" w:type="pct"/>
          </w:tcPr>
          <w:p w14:paraId="096AD90F" w14:textId="7EABFCD8" w:rsidR="001214A1" w:rsidRPr="008B52AA" w:rsidRDefault="001214A1" w:rsidP="005B0CCA">
            <w:pPr>
              <w:spacing w:before="20" w:after="20"/>
              <w:jc w:val="center"/>
              <w:rPr>
                <w:color w:val="000000" w:themeColor="text1"/>
                <w:sz w:val="20"/>
                <w:szCs w:val="20"/>
                <w:highlight w:val="cyan"/>
              </w:rPr>
            </w:pPr>
            <w:r>
              <w:rPr>
                <w:color w:val="000000" w:themeColor="text1"/>
                <w:sz w:val="20"/>
                <w:szCs w:val="20"/>
              </w:rPr>
              <w:t>PNUE</w:t>
            </w:r>
          </w:p>
        </w:tc>
        <w:tc>
          <w:tcPr>
            <w:tcW w:w="529" w:type="pct"/>
          </w:tcPr>
          <w:p w14:paraId="6315CD51" w14:textId="7CECDEE4" w:rsidR="001214A1" w:rsidRPr="008B52AA" w:rsidRDefault="001214A1" w:rsidP="0011168B">
            <w:pPr>
              <w:shd w:val="clear" w:color="auto" w:fill="FFFFFF" w:themeFill="background1"/>
              <w:spacing w:before="20" w:after="20"/>
              <w:jc w:val="right"/>
              <w:rPr>
                <w:color w:val="000000" w:themeColor="text1"/>
                <w:sz w:val="20"/>
                <w:szCs w:val="20"/>
              </w:rPr>
            </w:pPr>
            <w:r>
              <w:rPr>
                <w:color w:val="000000" w:themeColor="text1"/>
                <w:sz w:val="20"/>
                <w:szCs w:val="20"/>
              </w:rPr>
              <w:t>80 000</w:t>
            </w:r>
          </w:p>
        </w:tc>
        <w:tc>
          <w:tcPr>
            <w:tcW w:w="527" w:type="pct"/>
          </w:tcPr>
          <w:p w14:paraId="56729775" w14:textId="28DCDFA2" w:rsidR="001214A1" w:rsidRPr="008B52AA" w:rsidRDefault="001214A1" w:rsidP="0011168B">
            <w:pPr>
              <w:shd w:val="clear" w:color="auto" w:fill="FFFFFF" w:themeFill="background1"/>
              <w:spacing w:before="20" w:after="20"/>
              <w:jc w:val="right"/>
              <w:rPr>
                <w:color w:val="000000" w:themeColor="text1"/>
                <w:sz w:val="20"/>
                <w:szCs w:val="20"/>
              </w:rPr>
            </w:pPr>
            <w:r>
              <w:rPr>
                <w:color w:val="000000" w:themeColor="text1"/>
                <w:sz w:val="20"/>
                <w:szCs w:val="20"/>
              </w:rPr>
              <w:t>28 000</w:t>
            </w:r>
          </w:p>
        </w:tc>
      </w:tr>
      <w:tr w:rsidR="001214A1" w:rsidRPr="008B52AA" w14:paraId="3B545950" w14:textId="77777777" w:rsidTr="006B6DB9">
        <w:trPr>
          <w:trHeight w:val="221"/>
        </w:trPr>
        <w:tc>
          <w:tcPr>
            <w:tcW w:w="816" w:type="pct"/>
            <w:vMerge w:val="restart"/>
          </w:tcPr>
          <w:p w14:paraId="35E9145D" w14:textId="643CD6D8" w:rsidR="001214A1" w:rsidRPr="008B3228" w:rsidRDefault="001214A1" w:rsidP="007017D2">
            <w:pPr>
              <w:widowControl w:val="0"/>
              <w:spacing w:before="20" w:after="20"/>
              <w:jc w:val="left"/>
              <w:rPr>
                <w:i/>
                <w:iCs/>
                <w:color w:val="000000" w:themeColor="text1"/>
                <w:sz w:val="20"/>
                <w:szCs w:val="20"/>
                <w:lang w:val="fr-CA"/>
              </w:rPr>
            </w:pPr>
            <w:r>
              <w:rPr>
                <w:color w:val="000000" w:themeColor="text1"/>
                <w:sz w:val="20"/>
                <w:szCs w:val="20"/>
                <w:lang w:val="fr-CA"/>
              </w:rPr>
              <w:t>Appui spécialisé pour l'entretien des équipements de réfrigération et de climatisation</w:t>
            </w:r>
          </w:p>
        </w:tc>
        <w:tc>
          <w:tcPr>
            <w:tcW w:w="2503" w:type="pct"/>
          </w:tcPr>
          <w:p w14:paraId="48D3A4B2" w14:textId="17ADFAF5" w:rsidR="00901184" w:rsidRPr="008B3228" w:rsidRDefault="001214A1" w:rsidP="007017D2">
            <w:pPr>
              <w:widowControl w:val="0"/>
              <w:spacing w:before="20" w:after="20"/>
              <w:jc w:val="left"/>
              <w:rPr>
                <w:color w:val="000000" w:themeColor="text1"/>
                <w:sz w:val="20"/>
                <w:szCs w:val="20"/>
                <w:lang w:val="fr-CA"/>
              </w:rPr>
            </w:pPr>
            <w:r>
              <w:rPr>
                <w:i/>
                <w:iCs/>
                <w:color w:val="000000" w:themeColor="text1"/>
                <w:sz w:val="20"/>
                <w:szCs w:val="20"/>
                <w:lang w:val="fr-CA"/>
              </w:rPr>
              <w:t xml:space="preserve">Formation et certification de techniciens </w:t>
            </w:r>
            <w:r w:rsidR="00C9095D">
              <w:rPr>
                <w:i/>
                <w:iCs/>
                <w:color w:val="000000" w:themeColor="text1"/>
                <w:sz w:val="20"/>
                <w:szCs w:val="20"/>
                <w:lang w:val="fr-CA"/>
              </w:rPr>
              <w:t>RAC</w:t>
            </w:r>
            <w:r>
              <w:rPr>
                <w:i/>
                <w:iCs/>
                <w:color w:val="000000" w:themeColor="text1"/>
                <w:sz w:val="20"/>
                <w:szCs w:val="20"/>
                <w:lang w:val="fr-CA"/>
              </w:rPr>
              <w:t xml:space="preserve"> </w:t>
            </w:r>
            <w:r>
              <w:rPr>
                <w:color w:val="000000" w:themeColor="text1"/>
                <w:sz w:val="20"/>
                <w:szCs w:val="20"/>
                <w:lang w:val="fr-CA"/>
              </w:rPr>
              <w:t xml:space="preserve">: </w:t>
            </w:r>
          </w:p>
          <w:p w14:paraId="5A1D840B" w14:textId="6DADFB80" w:rsidR="001B313E" w:rsidRPr="008B3228" w:rsidRDefault="001830D2"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Évaluation de l'intégration des exigences de certification dans le cadre réglementaire et élaboration et formalisation de normes nationales de compétence ; </w:t>
            </w:r>
          </w:p>
          <w:p w14:paraId="7748E520" w14:textId="469644D3" w:rsidR="009A481C" w:rsidRPr="008B3228" w:rsidRDefault="001830D2"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Élaboration de la structure et mise en œuvre d’un système de certification, y compris une formation standardisée ; procédures d’évaluation et autorité de certification ; élaboration de guides de formation et d’outils d’évaluation standardisés ; délivrance de la </w:t>
            </w:r>
            <w:r>
              <w:rPr>
                <w:color w:val="000000" w:themeColor="text1"/>
                <w:sz w:val="20"/>
                <w:szCs w:val="20"/>
                <w:lang w:val="fr-CA"/>
              </w:rPr>
              <w:lastRenderedPageBreak/>
              <w:t xml:space="preserve">certification (cible de 40 à 50 techniciens, dont deux femmes) et mise en place d’un processus de renouvellement ; </w:t>
            </w:r>
          </w:p>
          <w:p w14:paraId="7501CE54" w14:textId="02FC16B1" w:rsidR="00642CE4" w:rsidRPr="008B3228" w:rsidRDefault="001214A1"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Mise en place d’un module de certification HC et d’une formation pilote avec jusqu’à 20 techniciens (avec une cible de 5 % de femmes) ;</w:t>
            </w:r>
          </w:p>
          <w:p w14:paraId="51A7F1F2" w14:textId="1BFF3C5A" w:rsidR="000F41CD" w:rsidRPr="008B3228" w:rsidRDefault="00B70D1C"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Création d’un registre des techniciens comprenant les techniciens qualifiés en hydrocarbures (HC) ;</w:t>
            </w:r>
          </w:p>
          <w:p w14:paraId="43EF28D0" w14:textId="29BAF714" w:rsidR="000F41CD" w:rsidRPr="008B3228" w:rsidRDefault="001830D2" w:rsidP="001B313E">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Mise à jour du programme de formation et orientation des formateurs sur les modules révisés ;</w:t>
            </w:r>
          </w:p>
          <w:p w14:paraId="1B98D9D5" w14:textId="5F635F27" w:rsidR="001214A1" w:rsidRPr="008B3228" w:rsidRDefault="000F41CD" w:rsidP="000574EF">
            <w:pPr>
              <w:pStyle w:val="ListParagraph"/>
              <w:widowControl w:val="0"/>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Un programme de formation des formateurs pour un maximum de deux formateurs certifiés au niveau national, trois à quatre ateliers de formation pour un maximum de 50 techniciens (avec une cible de 2 femmes) et la mise en place d’un module de formation des formateurs en dehors des heures de travail afin d’améliorer l’accès à la certification pour les techniciens en activité.</w:t>
            </w:r>
          </w:p>
        </w:tc>
        <w:tc>
          <w:tcPr>
            <w:tcW w:w="626" w:type="pct"/>
          </w:tcPr>
          <w:p w14:paraId="51E974C1" w14:textId="0471212A" w:rsidR="001214A1" w:rsidRPr="008B52AA" w:rsidRDefault="001214A1" w:rsidP="005B0CCA">
            <w:pPr>
              <w:spacing w:before="20" w:after="20"/>
              <w:jc w:val="center"/>
              <w:rPr>
                <w:color w:val="000000" w:themeColor="text1"/>
                <w:sz w:val="20"/>
                <w:szCs w:val="20"/>
              </w:rPr>
            </w:pPr>
            <w:r>
              <w:rPr>
                <w:color w:val="000000" w:themeColor="text1"/>
                <w:sz w:val="20"/>
                <w:szCs w:val="20"/>
              </w:rPr>
              <w:lastRenderedPageBreak/>
              <w:t>PNUE</w:t>
            </w:r>
          </w:p>
        </w:tc>
        <w:tc>
          <w:tcPr>
            <w:tcW w:w="529" w:type="pct"/>
          </w:tcPr>
          <w:p w14:paraId="0430E8AF" w14:textId="62907AB0" w:rsidR="001214A1" w:rsidRPr="008B52AA" w:rsidRDefault="001214A1" w:rsidP="0011168B">
            <w:pPr>
              <w:spacing w:before="20" w:after="20"/>
              <w:jc w:val="right"/>
              <w:rPr>
                <w:color w:val="000000" w:themeColor="text1"/>
                <w:sz w:val="20"/>
                <w:szCs w:val="20"/>
              </w:rPr>
            </w:pPr>
            <w:r>
              <w:rPr>
                <w:color w:val="000000" w:themeColor="text1"/>
                <w:sz w:val="20"/>
                <w:szCs w:val="20"/>
              </w:rPr>
              <w:t>110 000</w:t>
            </w:r>
          </w:p>
        </w:tc>
        <w:tc>
          <w:tcPr>
            <w:tcW w:w="527" w:type="pct"/>
          </w:tcPr>
          <w:p w14:paraId="635B2982" w14:textId="3D3A0B0C" w:rsidR="001214A1" w:rsidRPr="008B52AA" w:rsidRDefault="001214A1" w:rsidP="0011168B">
            <w:pPr>
              <w:spacing w:before="20" w:after="20"/>
              <w:jc w:val="right"/>
              <w:rPr>
                <w:color w:val="000000" w:themeColor="text1"/>
                <w:sz w:val="20"/>
                <w:szCs w:val="20"/>
              </w:rPr>
            </w:pPr>
            <w:r>
              <w:rPr>
                <w:color w:val="000000" w:themeColor="text1"/>
                <w:sz w:val="20"/>
                <w:szCs w:val="20"/>
              </w:rPr>
              <w:t>55 000</w:t>
            </w:r>
          </w:p>
        </w:tc>
      </w:tr>
      <w:tr w:rsidR="001214A1" w:rsidRPr="008B52AA" w14:paraId="00CFBB6D" w14:textId="77777777" w:rsidTr="006B6DB9">
        <w:trPr>
          <w:trHeight w:val="2630"/>
        </w:trPr>
        <w:tc>
          <w:tcPr>
            <w:tcW w:w="816" w:type="pct"/>
            <w:vMerge/>
          </w:tcPr>
          <w:p w14:paraId="5C970B1E" w14:textId="77777777" w:rsidR="001214A1" w:rsidRPr="008B52AA" w:rsidRDefault="001214A1" w:rsidP="001214A1">
            <w:pPr>
              <w:widowControl w:val="0"/>
              <w:spacing w:before="20" w:after="20"/>
              <w:jc w:val="left"/>
              <w:rPr>
                <w:color w:val="000000" w:themeColor="text1"/>
                <w:sz w:val="20"/>
                <w:szCs w:val="20"/>
              </w:rPr>
            </w:pPr>
          </w:p>
        </w:tc>
        <w:tc>
          <w:tcPr>
            <w:tcW w:w="2503" w:type="pct"/>
          </w:tcPr>
          <w:p w14:paraId="621A0760" w14:textId="68C2B877" w:rsidR="001214A1" w:rsidRPr="008B3228" w:rsidRDefault="001147B4" w:rsidP="001214A1">
            <w:pPr>
              <w:shd w:val="clear" w:color="auto" w:fill="FFFFFF" w:themeFill="background1"/>
              <w:spacing w:before="20" w:after="20"/>
              <w:jc w:val="left"/>
              <w:rPr>
                <w:i/>
                <w:iCs/>
                <w:color w:val="000000" w:themeColor="text1"/>
                <w:sz w:val="20"/>
                <w:szCs w:val="20"/>
                <w:lang w:val="fr-CA"/>
              </w:rPr>
            </w:pPr>
            <w:r>
              <w:rPr>
                <w:i/>
                <w:iCs/>
                <w:color w:val="000000" w:themeColor="text1"/>
                <w:sz w:val="20"/>
                <w:szCs w:val="20"/>
                <w:lang w:val="fr-CA"/>
              </w:rPr>
              <w:t xml:space="preserve">Coordination institutionnelle et association RAC : </w:t>
            </w:r>
          </w:p>
          <w:p w14:paraId="1B99DB59" w14:textId="77777777" w:rsidR="001214A1" w:rsidRPr="008B3228" w:rsidRDefault="001214A1" w:rsidP="001214A1">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fr-CA"/>
              </w:rPr>
            </w:pPr>
            <w:r>
              <w:rPr>
                <w:color w:val="000000" w:themeColor="text1"/>
                <w:sz w:val="20"/>
                <w:szCs w:val="20"/>
                <w:lang w:val="fr-CA"/>
              </w:rPr>
              <w:t>Reconstitution, enregistrement légal et renforcement opérationnel de l'association nationale du RAC ;</w:t>
            </w:r>
          </w:p>
          <w:p w14:paraId="7880A744" w14:textId="3A9904AB" w:rsidR="001214A1" w:rsidRPr="008B3228" w:rsidRDefault="001214A1" w:rsidP="001214A1">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fr-CA"/>
              </w:rPr>
            </w:pPr>
            <w:r>
              <w:rPr>
                <w:color w:val="000000" w:themeColor="text1"/>
                <w:sz w:val="20"/>
                <w:szCs w:val="20"/>
                <w:lang w:val="fr-CA"/>
              </w:rPr>
              <w:t xml:space="preserve">Élaboration de structures de gouvernance et d’adhésion, d’une constitution et d’un règlement intérieur, d’un cadre d’établissement de rapports et d’un modèle de viabilité financière ; </w:t>
            </w:r>
          </w:p>
          <w:p w14:paraId="7A9DD5E8" w14:textId="77777777" w:rsidR="001214A1" w:rsidRPr="008B3228" w:rsidRDefault="001214A1" w:rsidP="001214A1">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fr-CA"/>
              </w:rPr>
            </w:pPr>
            <w:r>
              <w:rPr>
                <w:color w:val="000000" w:themeColor="text1"/>
                <w:sz w:val="20"/>
                <w:szCs w:val="20"/>
                <w:lang w:val="fr-CA"/>
              </w:rPr>
              <w:t>Un atelier de planification stratégique ;</w:t>
            </w:r>
            <w:r>
              <w:rPr>
                <w:color w:val="000000" w:themeColor="text1"/>
                <w:sz w:val="20"/>
                <w:szCs w:val="20"/>
                <w:vertAlign w:val="superscript"/>
              </w:rPr>
              <w:footnoteReference w:id="10"/>
            </w:r>
            <w:r>
              <w:rPr>
                <w:color w:val="000000" w:themeColor="text1"/>
                <w:sz w:val="20"/>
                <w:szCs w:val="20"/>
                <w:lang w:val="fr-CA"/>
              </w:rPr>
              <w:t xml:space="preserve"> </w:t>
            </w:r>
          </w:p>
          <w:p w14:paraId="7C00BC94" w14:textId="55E313CA" w:rsidR="00E65C6B" w:rsidRPr="008B3228" w:rsidRDefault="001214A1" w:rsidP="00E65C6B">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fr-CA"/>
              </w:rPr>
            </w:pPr>
            <w:r>
              <w:rPr>
                <w:color w:val="000000" w:themeColor="text1"/>
                <w:sz w:val="20"/>
                <w:szCs w:val="20"/>
                <w:lang w:val="fr-CA"/>
              </w:rPr>
              <w:t>Mise en place de procédures de sensibilisation des techniciens ; et</w:t>
            </w:r>
          </w:p>
          <w:p w14:paraId="2992733D" w14:textId="4AAA22AA" w:rsidR="001214A1" w:rsidRPr="008B3228" w:rsidRDefault="00E65C6B" w:rsidP="00E65C6B">
            <w:pPr>
              <w:pStyle w:val="ListParagraph"/>
              <w:numPr>
                <w:ilvl w:val="0"/>
                <w:numId w:val="21"/>
              </w:numPr>
              <w:shd w:val="clear" w:color="auto" w:fill="FFFFFF" w:themeFill="background1"/>
              <w:spacing w:before="20" w:after="20"/>
              <w:ind w:left="179" w:hanging="179"/>
              <w:jc w:val="left"/>
              <w:rPr>
                <w:i/>
                <w:iCs/>
                <w:color w:val="000000" w:themeColor="text1"/>
                <w:sz w:val="20"/>
                <w:szCs w:val="20"/>
                <w:lang w:val="fr-CA"/>
              </w:rPr>
            </w:pPr>
            <w:r>
              <w:rPr>
                <w:color w:val="000000" w:themeColor="text1"/>
                <w:sz w:val="20"/>
                <w:szCs w:val="20"/>
                <w:lang w:val="fr-CA"/>
              </w:rPr>
              <w:t>Définition de mécanismes de coordination entre les institutions des deux îles et clarification des rôles institutionnels en matière de certification, d'établissement de rapports et de contrôle de la conformité.</w:t>
            </w:r>
          </w:p>
        </w:tc>
        <w:tc>
          <w:tcPr>
            <w:tcW w:w="626" w:type="pct"/>
          </w:tcPr>
          <w:p w14:paraId="725BAFDE" w14:textId="4EFE9BAD" w:rsidR="001214A1" w:rsidRPr="008B52AA" w:rsidRDefault="001214A1" w:rsidP="001214A1">
            <w:pPr>
              <w:spacing w:before="20" w:after="20"/>
              <w:jc w:val="center"/>
              <w:rPr>
                <w:color w:val="000000" w:themeColor="text1"/>
                <w:sz w:val="20"/>
                <w:szCs w:val="20"/>
              </w:rPr>
            </w:pPr>
            <w:r>
              <w:rPr>
                <w:color w:val="000000" w:themeColor="text1"/>
                <w:sz w:val="20"/>
                <w:szCs w:val="20"/>
              </w:rPr>
              <w:t>PNUE</w:t>
            </w:r>
          </w:p>
        </w:tc>
        <w:tc>
          <w:tcPr>
            <w:tcW w:w="529" w:type="pct"/>
          </w:tcPr>
          <w:p w14:paraId="4276C724" w14:textId="18A729D8" w:rsidR="001214A1" w:rsidRPr="008B52AA" w:rsidRDefault="001214A1" w:rsidP="001214A1">
            <w:pPr>
              <w:spacing w:before="20" w:after="20"/>
              <w:jc w:val="right"/>
              <w:rPr>
                <w:color w:val="000000" w:themeColor="text1"/>
                <w:sz w:val="20"/>
                <w:szCs w:val="20"/>
              </w:rPr>
            </w:pPr>
            <w:r>
              <w:rPr>
                <w:color w:val="000000" w:themeColor="text1"/>
                <w:sz w:val="20"/>
                <w:szCs w:val="20"/>
              </w:rPr>
              <w:t>25 000</w:t>
            </w:r>
          </w:p>
        </w:tc>
        <w:tc>
          <w:tcPr>
            <w:tcW w:w="527" w:type="pct"/>
          </w:tcPr>
          <w:p w14:paraId="61C294B5" w14:textId="5FFD0FD2" w:rsidR="001214A1" w:rsidRPr="008B52AA" w:rsidRDefault="001214A1" w:rsidP="001214A1">
            <w:pPr>
              <w:spacing w:before="20" w:after="20"/>
              <w:jc w:val="right"/>
              <w:rPr>
                <w:color w:val="000000" w:themeColor="text1"/>
                <w:sz w:val="20"/>
                <w:szCs w:val="20"/>
              </w:rPr>
            </w:pPr>
            <w:r>
              <w:rPr>
                <w:color w:val="000000" w:themeColor="text1"/>
                <w:sz w:val="20"/>
                <w:szCs w:val="20"/>
              </w:rPr>
              <w:t>20 000</w:t>
            </w:r>
          </w:p>
        </w:tc>
      </w:tr>
      <w:tr w:rsidR="001214A1" w:rsidRPr="008B52AA" w14:paraId="247F9A12" w14:textId="77777777" w:rsidTr="006B6DB9">
        <w:trPr>
          <w:trHeight w:val="220"/>
        </w:trPr>
        <w:tc>
          <w:tcPr>
            <w:tcW w:w="816" w:type="pct"/>
            <w:vMerge/>
          </w:tcPr>
          <w:p w14:paraId="1D04F5F5" w14:textId="77777777" w:rsidR="001214A1" w:rsidRPr="008B52AA" w:rsidRDefault="001214A1" w:rsidP="00167FCE">
            <w:pPr>
              <w:spacing w:before="20" w:after="20"/>
              <w:jc w:val="left"/>
              <w:rPr>
                <w:i/>
                <w:iCs/>
                <w:color w:val="000000" w:themeColor="text1"/>
                <w:sz w:val="20"/>
                <w:szCs w:val="20"/>
              </w:rPr>
            </w:pPr>
          </w:p>
        </w:tc>
        <w:tc>
          <w:tcPr>
            <w:tcW w:w="2503" w:type="pct"/>
          </w:tcPr>
          <w:p w14:paraId="4D49D241" w14:textId="64EF3A66" w:rsidR="00901184" w:rsidRPr="008B3228" w:rsidRDefault="001214A1" w:rsidP="00167FCE">
            <w:pPr>
              <w:spacing w:before="20" w:after="20"/>
              <w:jc w:val="left"/>
              <w:rPr>
                <w:color w:val="000000" w:themeColor="text1"/>
                <w:sz w:val="20"/>
                <w:szCs w:val="20"/>
                <w:lang w:val="fr-CA"/>
              </w:rPr>
            </w:pPr>
            <w:r>
              <w:rPr>
                <w:i/>
                <w:iCs/>
                <w:color w:val="000000" w:themeColor="text1"/>
                <w:sz w:val="20"/>
                <w:szCs w:val="20"/>
                <w:lang w:val="fr-CA"/>
              </w:rPr>
              <w:t xml:space="preserve">Programme national de récupération et de recyclage (R&amp;R) </w:t>
            </w:r>
            <w:r>
              <w:rPr>
                <w:color w:val="000000" w:themeColor="text1"/>
                <w:sz w:val="20"/>
                <w:szCs w:val="20"/>
                <w:lang w:val="fr-CA"/>
              </w:rPr>
              <w:t>:</w:t>
            </w:r>
          </w:p>
          <w:p w14:paraId="40703012" w14:textId="5ABCDBC7" w:rsidR="00FB2706" w:rsidRPr="008B3228" w:rsidRDefault="001214A1" w:rsidP="00DA222B">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Mise en œuvre de systèmes de récupération grâce à l’élaboration d’un modèle économique sur les deux îles ; évaluation des besoins, y compris un inventaire des </w:t>
            </w:r>
            <w:proofErr w:type="gramStart"/>
            <w:r>
              <w:rPr>
                <w:color w:val="000000" w:themeColor="text1"/>
                <w:sz w:val="20"/>
                <w:szCs w:val="20"/>
                <w:lang w:val="fr-CA"/>
              </w:rPr>
              <w:t xml:space="preserve">équipements </w:t>
            </w:r>
            <w:r>
              <w:rPr>
                <w:bCs/>
                <w:color w:val="000000" w:themeColor="text1"/>
                <w:sz w:val="20"/>
                <w:szCs w:val="20"/>
                <w:lang w:val="fr-CA"/>
              </w:rPr>
              <w:t xml:space="preserve"> </w:t>
            </w:r>
            <w:r>
              <w:rPr>
                <w:color w:val="000000" w:themeColor="text1"/>
                <w:sz w:val="20"/>
                <w:szCs w:val="20"/>
                <w:lang w:val="fr-CA"/>
              </w:rPr>
              <w:t>;</w:t>
            </w:r>
            <w:proofErr w:type="gramEnd"/>
            <w:r>
              <w:rPr>
                <w:color w:val="000000" w:themeColor="text1"/>
                <w:sz w:val="20"/>
                <w:szCs w:val="20"/>
                <w:lang w:val="fr-CA"/>
              </w:rPr>
              <w:t xml:space="preserve"> approvisionnement en équipements</w:t>
            </w:r>
            <w:r>
              <w:rPr>
                <w:color w:val="000000" w:themeColor="text1"/>
                <w:sz w:val="20"/>
                <w:szCs w:val="20"/>
                <w:vertAlign w:val="superscript"/>
              </w:rPr>
              <w:footnoteReference w:id="11"/>
            </w:r>
            <w:r>
              <w:rPr>
                <w:color w:val="000000" w:themeColor="text1"/>
                <w:sz w:val="20"/>
                <w:szCs w:val="20"/>
                <w:lang w:val="fr-CA"/>
              </w:rPr>
              <w:t xml:space="preserve"> et formation des techniciens ;</w:t>
            </w:r>
          </w:p>
          <w:p w14:paraId="3CE88536" w14:textId="77777777" w:rsidR="00663BAD" w:rsidRPr="008B3228" w:rsidRDefault="001214A1" w:rsidP="009B430D">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Intégration des pratiques de récupération dans le cadre national de certification des techniciens ;</w:t>
            </w:r>
          </w:p>
          <w:p w14:paraId="0F712369" w14:textId="649A7F30" w:rsidR="008E7CC8" w:rsidRPr="008B3228" w:rsidRDefault="001214A1" w:rsidP="008E7CC8">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lastRenderedPageBreak/>
              <w:t xml:space="preserve">Mise en place de procédures d'inspection coordonnées ; et mise en place d'un système de suivi et d'étiquetage des équipements ; </w:t>
            </w:r>
          </w:p>
          <w:p w14:paraId="69B4997F" w14:textId="77777777" w:rsidR="008E7CC8" w:rsidRPr="008B3228" w:rsidRDefault="001214A1" w:rsidP="008E7CC8">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Protocoles d’entretien, de stockage, d’utilisation finale et de déclaration ; et </w:t>
            </w:r>
          </w:p>
          <w:p w14:paraId="565908AD" w14:textId="0635D740" w:rsidR="001214A1" w:rsidRPr="008B3228" w:rsidRDefault="001214A1" w:rsidP="008E7CC8">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Formation d’au moins 34 techniciens (avec une cible de 5 % de femmes) à la récupération, à la gestion </w:t>
            </w:r>
            <w:r w:rsidR="00FC6EAC">
              <w:rPr>
                <w:color w:val="000000" w:themeColor="text1"/>
                <w:sz w:val="20"/>
                <w:szCs w:val="20"/>
                <w:lang w:val="fr-CA"/>
              </w:rPr>
              <w:t>des cylindres</w:t>
            </w:r>
            <w:r>
              <w:rPr>
                <w:color w:val="000000" w:themeColor="text1"/>
                <w:sz w:val="20"/>
                <w:szCs w:val="20"/>
                <w:lang w:val="fr-CA"/>
              </w:rPr>
              <w:t>, à la détection et à la prévention des fuites, à la manipulation en toute sécurité des réfrigérants à faible PRP, à la tenue des registres et à l’établissement de rapports.</w:t>
            </w:r>
          </w:p>
        </w:tc>
        <w:tc>
          <w:tcPr>
            <w:tcW w:w="626" w:type="pct"/>
          </w:tcPr>
          <w:p w14:paraId="30AEB309" w14:textId="494CD72B" w:rsidR="001214A1" w:rsidRPr="008B52AA" w:rsidRDefault="001214A1" w:rsidP="005B0CCA">
            <w:pPr>
              <w:spacing w:before="20" w:after="20"/>
              <w:jc w:val="center"/>
              <w:rPr>
                <w:color w:val="000000" w:themeColor="text1"/>
                <w:sz w:val="20"/>
                <w:szCs w:val="20"/>
              </w:rPr>
            </w:pPr>
            <w:r>
              <w:rPr>
                <w:color w:val="000000" w:themeColor="text1"/>
                <w:sz w:val="20"/>
                <w:szCs w:val="20"/>
              </w:rPr>
              <w:lastRenderedPageBreak/>
              <w:t>ONUDI</w:t>
            </w:r>
          </w:p>
        </w:tc>
        <w:tc>
          <w:tcPr>
            <w:tcW w:w="529" w:type="pct"/>
          </w:tcPr>
          <w:p w14:paraId="39172B93" w14:textId="4E812A0C" w:rsidR="001214A1" w:rsidRPr="008B52AA" w:rsidRDefault="001214A1" w:rsidP="0011168B">
            <w:pPr>
              <w:spacing w:before="20" w:after="20"/>
              <w:jc w:val="right"/>
              <w:rPr>
                <w:color w:val="000000" w:themeColor="text1"/>
                <w:sz w:val="20"/>
                <w:szCs w:val="20"/>
              </w:rPr>
            </w:pPr>
            <w:r>
              <w:rPr>
                <w:color w:val="000000" w:themeColor="text1"/>
                <w:sz w:val="20"/>
                <w:szCs w:val="20"/>
              </w:rPr>
              <w:t>126 900</w:t>
            </w:r>
          </w:p>
        </w:tc>
        <w:tc>
          <w:tcPr>
            <w:tcW w:w="527" w:type="pct"/>
          </w:tcPr>
          <w:p w14:paraId="48EF6EEF" w14:textId="46A5672D" w:rsidR="001214A1" w:rsidRPr="008B52AA" w:rsidRDefault="001214A1" w:rsidP="0011168B">
            <w:pPr>
              <w:spacing w:before="20" w:after="20"/>
              <w:jc w:val="right"/>
              <w:rPr>
                <w:color w:val="000000" w:themeColor="text1"/>
                <w:sz w:val="20"/>
                <w:szCs w:val="20"/>
              </w:rPr>
            </w:pPr>
            <w:r>
              <w:rPr>
                <w:color w:val="000000" w:themeColor="text1"/>
                <w:sz w:val="20"/>
                <w:szCs w:val="20"/>
              </w:rPr>
              <w:t>60 000</w:t>
            </w:r>
          </w:p>
        </w:tc>
      </w:tr>
      <w:tr w:rsidR="00AC3AEF" w:rsidRPr="008B52AA" w14:paraId="390C5252" w14:textId="77777777" w:rsidTr="006B6DB9">
        <w:trPr>
          <w:trHeight w:val="368"/>
        </w:trPr>
        <w:tc>
          <w:tcPr>
            <w:tcW w:w="816" w:type="pct"/>
            <w:tcBorders>
              <w:bottom w:val="single" w:sz="4" w:space="0" w:color="auto"/>
            </w:tcBorders>
          </w:tcPr>
          <w:p w14:paraId="6533855F" w14:textId="706749DB" w:rsidR="00AC3AEF" w:rsidRPr="008B3228" w:rsidRDefault="00DD2FF2" w:rsidP="006115EA">
            <w:pPr>
              <w:keepNext/>
              <w:shd w:val="clear" w:color="auto" w:fill="FFFFFF" w:themeFill="background1"/>
              <w:spacing w:before="20" w:after="20"/>
              <w:jc w:val="left"/>
              <w:rPr>
                <w:i/>
                <w:iCs/>
                <w:color w:val="000000" w:themeColor="text1"/>
                <w:sz w:val="20"/>
                <w:szCs w:val="20"/>
                <w:lang w:val="fr-CA"/>
              </w:rPr>
            </w:pPr>
            <w:r>
              <w:rPr>
                <w:rStyle w:val="s1"/>
                <w:rFonts w:eastAsiaTheme="majorEastAsia"/>
                <w:color w:val="000000" w:themeColor="text1"/>
                <w:sz w:val="20"/>
                <w:szCs w:val="20"/>
                <w:lang w:val="fr-CA"/>
              </w:rPr>
              <w:t>Sensibilisation du public et mobilisation des jeunes</w:t>
            </w:r>
          </w:p>
        </w:tc>
        <w:tc>
          <w:tcPr>
            <w:tcW w:w="2503" w:type="pct"/>
            <w:tcBorders>
              <w:bottom w:val="single" w:sz="4" w:space="0" w:color="auto"/>
            </w:tcBorders>
          </w:tcPr>
          <w:p w14:paraId="20DF58D4" w14:textId="77777777" w:rsidR="004159B2" w:rsidRPr="008B3228" w:rsidRDefault="00AC3AEF" w:rsidP="006115EA">
            <w:pPr>
              <w:keepNext/>
              <w:shd w:val="clear" w:color="auto" w:fill="FFFFFF" w:themeFill="background1"/>
              <w:spacing w:before="20" w:after="20"/>
              <w:jc w:val="left"/>
              <w:rPr>
                <w:color w:val="000000" w:themeColor="text1"/>
                <w:sz w:val="20"/>
                <w:szCs w:val="20"/>
                <w:lang w:val="fr-CA"/>
              </w:rPr>
            </w:pPr>
            <w:r>
              <w:rPr>
                <w:i/>
                <w:iCs/>
                <w:color w:val="000000" w:themeColor="text1"/>
                <w:sz w:val="20"/>
                <w:szCs w:val="20"/>
                <w:lang w:val="fr-CA"/>
              </w:rPr>
              <w:t xml:space="preserve">Sensibilisation du public, programme pour les jeunes et campagne ciblée de sensibilisation aux questions de genre : </w:t>
            </w:r>
          </w:p>
          <w:p w14:paraId="76739100" w14:textId="32901671" w:rsidR="00E455D9" w:rsidRPr="008B3228" w:rsidRDefault="00E455D9" w:rsidP="00E455D9">
            <w:pPr>
              <w:pStyle w:val="ListParagraph"/>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 Initiatives de sensibilisation du public à la protection de la couche d'ozone et aux alternatives respectueuses du climat, aux carrières dans le secteur des réfrigérants alternatifs (RAC) et aux technologies à faible PRP, y compris la participation du public à la mise en œuvre de la phase II ; </w:t>
            </w:r>
          </w:p>
          <w:p w14:paraId="4A8EABEE" w14:textId="77777777" w:rsidR="00E455D9" w:rsidRPr="008B3228" w:rsidRDefault="00E455D9" w:rsidP="00E455D9">
            <w:pPr>
              <w:pStyle w:val="ListParagraph"/>
              <w:keepNext/>
              <w:numPr>
                <w:ilvl w:val="0"/>
                <w:numId w:val="21"/>
              </w:numPr>
              <w:shd w:val="clear" w:color="auto" w:fill="FFFFFF" w:themeFill="background1"/>
              <w:spacing w:before="20" w:after="20"/>
              <w:ind w:left="179" w:hanging="179"/>
              <w:jc w:val="left"/>
              <w:rPr>
                <w:color w:val="000000" w:themeColor="text1"/>
                <w:sz w:val="20"/>
                <w:szCs w:val="20"/>
                <w:lang w:val="fr-CA"/>
              </w:rPr>
            </w:pPr>
            <w:r>
              <w:rPr>
                <w:color w:val="000000" w:themeColor="text1"/>
                <w:sz w:val="20"/>
                <w:szCs w:val="20"/>
                <w:lang w:val="fr-CA"/>
              </w:rPr>
              <w:t xml:space="preserve">Programme destiné aux jeunes visant à former des jeunes ambassadeurs sur les thèmes de l'ozone et du climat, comprenant une boîte à outils pédagogique et la production de courtes vidéos ; et </w:t>
            </w:r>
          </w:p>
          <w:p w14:paraId="54A1F630" w14:textId="5E6697E9" w:rsidR="00AC3AEF" w:rsidRPr="008B3228" w:rsidRDefault="00E455D9" w:rsidP="00E455D9">
            <w:pPr>
              <w:pStyle w:val="ListParagraph"/>
              <w:keepNext/>
              <w:numPr>
                <w:ilvl w:val="0"/>
                <w:numId w:val="21"/>
              </w:numPr>
              <w:shd w:val="clear" w:color="auto" w:fill="FFFFFF" w:themeFill="background1"/>
              <w:spacing w:before="20" w:after="20"/>
              <w:ind w:left="179" w:hanging="179"/>
              <w:jc w:val="left"/>
              <w:rPr>
                <w:b/>
                <w:bCs/>
                <w:color w:val="000000" w:themeColor="text1"/>
                <w:sz w:val="20"/>
                <w:szCs w:val="20"/>
                <w:lang w:val="fr-CA"/>
              </w:rPr>
            </w:pPr>
            <w:r>
              <w:rPr>
                <w:color w:val="000000" w:themeColor="text1"/>
                <w:sz w:val="20"/>
                <w:szCs w:val="20"/>
                <w:lang w:val="fr-CA"/>
              </w:rPr>
              <w:t>Campagne visant à promouvoir la participation des femmes dans le secteur RAC et les programmes de formation pertinents, y compris l'élaboration de matériel de sensibilisation.</w:t>
            </w:r>
          </w:p>
        </w:tc>
        <w:tc>
          <w:tcPr>
            <w:tcW w:w="626" w:type="pct"/>
            <w:tcBorders>
              <w:bottom w:val="single" w:sz="4" w:space="0" w:color="auto"/>
            </w:tcBorders>
          </w:tcPr>
          <w:p w14:paraId="646E7B1C" w14:textId="3B98DE64" w:rsidR="00AC3AEF" w:rsidRPr="008B52AA" w:rsidRDefault="00AC3AEF" w:rsidP="005B0CCA">
            <w:pPr>
              <w:spacing w:before="20" w:after="20"/>
              <w:jc w:val="center"/>
              <w:rPr>
                <w:color w:val="000000" w:themeColor="text1"/>
                <w:sz w:val="20"/>
                <w:szCs w:val="20"/>
              </w:rPr>
            </w:pPr>
            <w:r>
              <w:rPr>
                <w:color w:val="000000" w:themeColor="text1"/>
                <w:sz w:val="20"/>
                <w:szCs w:val="20"/>
              </w:rPr>
              <w:t>PNUE</w:t>
            </w:r>
          </w:p>
        </w:tc>
        <w:tc>
          <w:tcPr>
            <w:tcW w:w="529" w:type="pct"/>
          </w:tcPr>
          <w:p w14:paraId="7D75BBAF" w14:textId="6B1E8ACA" w:rsidR="00AC3AEF" w:rsidRPr="008B52AA" w:rsidRDefault="00AC3AEF" w:rsidP="0011168B">
            <w:pPr>
              <w:shd w:val="clear" w:color="auto" w:fill="FFFFFF" w:themeFill="background1"/>
              <w:spacing w:before="20" w:after="20"/>
              <w:jc w:val="right"/>
              <w:rPr>
                <w:color w:val="000000" w:themeColor="text1"/>
                <w:sz w:val="20"/>
                <w:szCs w:val="20"/>
              </w:rPr>
            </w:pPr>
            <w:r>
              <w:rPr>
                <w:color w:val="000000" w:themeColor="text1"/>
                <w:sz w:val="20"/>
                <w:szCs w:val="20"/>
              </w:rPr>
              <w:t>21 100</w:t>
            </w:r>
          </w:p>
        </w:tc>
        <w:tc>
          <w:tcPr>
            <w:tcW w:w="527" w:type="pct"/>
          </w:tcPr>
          <w:p w14:paraId="28AE1299" w14:textId="3F5BA614" w:rsidR="00AC3AEF" w:rsidRPr="008B52AA" w:rsidRDefault="00AC3AEF" w:rsidP="0011168B">
            <w:pPr>
              <w:shd w:val="clear" w:color="auto" w:fill="FFFFFF" w:themeFill="background1"/>
              <w:spacing w:before="20" w:after="20"/>
              <w:jc w:val="right"/>
              <w:rPr>
                <w:color w:val="000000" w:themeColor="text1"/>
                <w:sz w:val="20"/>
                <w:szCs w:val="20"/>
              </w:rPr>
            </w:pPr>
            <w:r>
              <w:rPr>
                <w:color w:val="000000" w:themeColor="text1"/>
                <w:sz w:val="20"/>
                <w:szCs w:val="20"/>
              </w:rPr>
              <w:t>10 000</w:t>
            </w:r>
          </w:p>
        </w:tc>
      </w:tr>
      <w:tr w:rsidR="00AC3AEF" w:rsidRPr="008B52AA" w14:paraId="46C9092D" w14:textId="77777777" w:rsidTr="006B6DB9">
        <w:trPr>
          <w:trHeight w:val="368"/>
        </w:trPr>
        <w:tc>
          <w:tcPr>
            <w:tcW w:w="816" w:type="pct"/>
            <w:tcBorders>
              <w:bottom w:val="single" w:sz="4" w:space="0" w:color="auto"/>
            </w:tcBorders>
          </w:tcPr>
          <w:p w14:paraId="6435BC1E" w14:textId="6603DCDA" w:rsidR="00AC3AEF" w:rsidRPr="008B52AA" w:rsidRDefault="000D4FC9" w:rsidP="006115EA">
            <w:pPr>
              <w:keepNext/>
              <w:shd w:val="clear" w:color="auto" w:fill="FFFFFF" w:themeFill="background1"/>
              <w:spacing w:before="20" w:after="20"/>
              <w:jc w:val="left"/>
              <w:rPr>
                <w:color w:val="000000" w:themeColor="text1"/>
                <w:sz w:val="20"/>
                <w:szCs w:val="20"/>
              </w:rPr>
            </w:pPr>
            <w:r>
              <w:rPr>
                <w:color w:val="000000" w:themeColor="text1"/>
                <w:sz w:val="20"/>
                <w:szCs w:val="20"/>
              </w:rPr>
              <w:t>Efficacité énergétique</w:t>
            </w:r>
          </w:p>
        </w:tc>
        <w:tc>
          <w:tcPr>
            <w:tcW w:w="2503" w:type="pct"/>
            <w:tcBorders>
              <w:bottom w:val="single" w:sz="4" w:space="0" w:color="auto"/>
            </w:tcBorders>
          </w:tcPr>
          <w:p w14:paraId="431267C2" w14:textId="5CB9B581" w:rsidR="00AC3AEF" w:rsidRPr="008B3228" w:rsidRDefault="00AC3AEF" w:rsidP="006115EA">
            <w:pPr>
              <w:keepNext/>
              <w:shd w:val="clear" w:color="auto" w:fill="FFFFFF" w:themeFill="background1"/>
              <w:spacing w:before="20" w:after="20"/>
              <w:jc w:val="left"/>
              <w:rPr>
                <w:color w:val="000000" w:themeColor="text1"/>
                <w:sz w:val="20"/>
                <w:szCs w:val="20"/>
                <w:lang w:val="fr-CA"/>
              </w:rPr>
            </w:pPr>
            <w:r>
              <w:rPr>
                <w:color w:val="000000" w:themeColor="text1"/>
                <w:sz w:val="20"/>
                <w:szCs w:val="20"/>
                <w:lang w:val="fr-CA"/>
              </w:rPr>
              <w:t>Activités visant à maintenir l'efficacité énergétique dans le secteur de l'entretien des équipements de réfrigération et de climatisation (voir paragraphe 19)</w:t>
            </w:r>
          </w:p>
        </w:tc>
        <w:tc>
          <w:tcPr>
            <w:tcW w:w="626" w:type="pct"/>
            <w:tcBorders>
              <w:bottom w:val="single" w:sz="4" w:space="0" w:color="auto"/>
            </w:tcBorders>
          </w:tcPr>
          <w:p w14:paraId="342351C6" w14:textId="20C7C36A" w:rsidR="00AC3AEF" w:rsidRPr="008B52AA" w:rsidRDefault="00AC3AEF" w:rsidP="005B0CCA">
            <w:pPr>
              <w:spacing w:before="20" w:after="20"/>
              <w:jc w:val="center"/>
              <w:rPr>
                <w:color w:val="000000" w:themeColor="text1"/>
                <w:sz w:val="20"/>
                <w:szCs w:val="20"/>
              </w:rPr>
            </w:pPr>
            <w:r>
              <w:rPr>
                <w:color w:val="000000" w:themeColor="text1"/>
                <w:sz w:val="20"/>
                <w:szCs w:val="20"/>
              </w:rPr>
              <w:t>PNUE</w:t>
            </w:r>
          </w:p>
        </w:tc>
        <w:tc>
          <w:tcPr>
            <w:tcW w:w="529" w:type="pct"/>
          </w:tcPr>
          <w:p w14:paraId="4A04D9AB" w14:textId="305A2FFD" w:rsidR="00AC3AEF" w:rsidRPr="008B52AA" w:rsidRDefault="00AC3AEF" w:rsidP="0011168B">
            <w:pPr>
              <w:shd w:val="clear" w:color="auto" w:fill="FFFFFF" w:themeFill="background1"/>
              <w:spacing w:before="20" w:after="20"/>
              <w:jc w:val="right"/>
              <w:rPr>
                <w:color w:val="000000" w:themeColor="text1"/>
                <w:sz w:val="20"/>
                <w:szCs w:val="20"/>
              </w:rPr>
            </w:pPr>
            <w:r>
              <w:rPr>
                <w:color w:val="000000" w:themeColor="text1"/>
                <w:sz w:val="20"/>
                <w:szCs w:val="20"/>
              </w:rPr>
              <w:t>100 000</w:t>
            </w:r>
          </w:p>
        </w:tc>
        <w:tc>
          <w:tcPr>
            <w:tcW w:w="527" w:type="pct"/>
          </w:tcPr>
          <w:p w14:paraId="371F4C90" w14:textId="559AC2AB" w:rsidR="00AC3AEF" w:rsidRPr="008B52AA" w:rsidRDefault="00AC3AEF" w:rsidP="0011168B">
            <w:pPr>
              <w:shd w:val="clear" w:color="auto" w:fill="FFFFFF" w:themeFill="background1"/>
              <w:spacing w:before="20" w:after="20"/>
              <w:jc w:val="right"/>
              <w:rPr>
                <w:color w:val="000000" w:themeColor="text1"/>
                <w:sz w:val="20"/>
                <w:szCs w:val="20"/>
              </w:rPr>
            </w:pPr>
            <w:r>
              <w:rPr>
                <w:color w:val="000000" w:themeColor="text1"/>
                <w:sz w:val="20"/>
                <w:szCs w:val="20"/>
              </w:rPr>
              <w:t>100 000</w:t>
            </w:r>
          </w:p>
        </w:tc>
      </w:tr>
      <w:tr w:rsidR="00AC3AEF" w:rsidRPr="008B52AA" w14:paraId="5C1B2EBA" w14:textId="77777777" w:rsidTr="006B6DB9">
        <w:trPr>
          <w:trHeight w:val="368"/>
        </w:trPr>
        <w:tc>
          <w:tcPr>
            <w:tcW w:w="816" w:type="pct"/>
            <w:tcBorders>
              <w:bottom w:val="single" w:sz="4" w:space="0" w:color="auto"/>
            </w:tcBorders>
          </w:tcPr>
          <w:p w14:paraId="623A9B54" w14:textId="5349B6A1" w:rsidR="00AC3AEF" w:rsidRPr="008B52AA" w:rsidRDefault="00CA03DA" w:rsidP="006115EA">
            <w:pPr>
              <w:keepNext/>
              <w:shd w:val="clear" w:color="auto" w:fill="FFFFFF" w:themeFill="background1"/>
              <w:spacing w:before="20" w:after="20"/>
              <w:jc w:val="left"/>
              <w:rPr>
                <w:color w:val="000000" w:themeColor="text1"/>
                <w:sz w:val="20"/>
                <w:szCs w:val="20"/>
              </w:rPr>
            </w:pPr>
            <w:r>
              <w:rPr>
                <w:color w:val="000000" w:themeColor="text1"/>
                <w:sz w:val="20"/>
                <w:szCs w:val="20"/>
              </w:rPr>
              <w:t>Surveillance et rapports</w:t>
            </w:r>
          </w:p>
        </w:tc>
        <w:tc>
          <w:tcPr>
            <w:tcW w:w="2503" w:type="pct"/>
            <w:tcBorders>
              <w:bottom w:val="single" w:sz="4" w:space="0" w:color="auto"/>
            </w:tcBorders>
          </w:tcPr>
          <w:p w14:paraId="2DF319EC" w14:textId="33D41342" w:rsidR="00AC3AEF" w:rsidRPr="008B3228" w:rsidRDefault="00AC3AEF" w:rsidP="006115EA">
            <w:pPr>
              <w:keepNext/>
              <w:shd w:val="clear" w:color="auto" w:fill="FFFFFF" w:themeFill="background1"/>
              <w:spacing w:before="20" w:after="20"/>
              <w:jc w:val="left"/>
              <w:rPr>
                <w:color w:val="000000" w:themeColor="text1"/>
                <w:sz w:val="20"/>
                <w:szCs w:val="20"/>
                <w:lang w:val="fr-CA"/>
              </w:rPr>
            </w:pPr>
            <w:r>
              <w:rPr>
                <w:color w:val="000000" w:themeColor="text1"/>
                <w:sz w:val="20"/>
                <w:szCs w:val="20"/>
                <w:lang w:val="fr-CA"/>
              </w:rPr>
              <w:t>Activités de suivi du projet (voir paragraphe 20)</w:t>
            </w:r>
          </w:p>
        </w:tc>
        <w:tc>
          <w:tcPr>
            <w:tcW w:w="626" w:type="pct"/>
            <w:tcBorders>
              <w:bottom w:val="single" w:sz="4" w:space="0" w:color="auto"/>
            </w:tcBorders>
          </w:tcPr>
          <w:p w14:paraId="62362DA0" w14:textId="60EC84A6" w:rsidR="00AC3AEF" w:rsidRPr="008B52AA" w:rsidRDefault="00AC3AEF" w:rsidP="005B0CCA">
            <w:pPr>
              <w:spacing w:before="20" w:after="20"/>
              <w:jc w:val="center"/>
              <w:rPr>
                <w:color w:val="000000" w:themeColor="text1"/>
                <w:sz w:val="20"/>
                <w:szCs w:val="20"/>
              </w:rPr>
            </w:pPr>
            <w:r>
              <w:rPr>
                <w:color w:val="000000" w:themeColor="text1"/>
                <w:sz w:val="20"/>
                <w:szCs w:val="20"/>
              </w:rPr>
              <w:t>PNUE</w:t>
            </w:r>
          </w:p>
        </w:tc>
        <w:tc>
          <w:tcPr>
            <w:tcW w:w="529" w:type="pct"/>
          </w:tcPr>
          <w:p w14:paraId="53814A7C" w14:textId="2E1F4CE9" w:rsidR="00AC3AEF" w:rsidRPr="008B52AA" w:rsidRDefault="00AC3AEF" w:rsidP="0011168B">
            <w:pPr>
              <w:shd w:val="clear" w:color="auto" w:fill="FFFFFF" w:themeFill="background1"/>
              <w:spacing w:before="20" w:after="20"/>
              <w:jc w:val="right"/>
              <w:rPr>
                <w:color w:val="000000" w:themeColor="text1"/>
                <w:sz w:val="20"/>
                <w:szCs w:val="20"/>
              </w:rPr>
            </w:pPr>
            <w:r>
              <w:rPr>
                <w:color w:val="000000" w:themeColor="text1"/>
                <w:sz w:val="20"/>
                <w:szCs w:val="20"/>
              </w:rPr>
              <w:t>40 000</w:t>
            </w:r>
          </w:p>
        </w:tc>
        <w:tc>
          <w:tcPr>
            <w:tcW w:w="527" w:type="pct"/>
          </w:tcPr>
          <w:p w14:paraId="22135E73" w14:textId="4FC3B506" w:rsidR="00AC3AEF" w:rsidRPr="008B52AA" w:rsidRDefault="00AC3AEF" w:rsidP="0011168B">
            <w:pPr>
              <w:shd w:val="clear" w:color="auto" w:fill="FFFFFF" w:themeFill="background1"/>
              <w:spacing w:before="20" w:after="20"/>
              <w:jc w:val="right"/>
              <w:rPr>
                <w:color w:val="000000" w:themeColor="text1"/>
                <w:sz w:val="20"/>
                <w:szCs w:val="20"/>
              </w:rPr>
            </w:pPr>
            <w:r>
              <w:rPr>
                <w:color w:val="000000" w:themeColor="text1"/>
                <w:sz w:val="20"/>
                <w:szCs w:val="20"/>
              </w:rPr>
              <w:t>20 000</w:t>
            </w:r>
          </w:p>
        </w:tc>
      </w:tr>
      <w:tr w:rsidR="00AC3AEF" w:rsidRPr="008B52AA" w14:paraId="21093A5F" w14:textId="77777777" w:rsidTr="006B6DB9">
        <w:trPr>
          <w:trHeight w:val="225"/>
        </w:trPr>
        <w:tc>
          <w:tcPr>
            <w:tcW w:w="816" w:type="pct"/>
            <w:tcBorders>
              <w:top w:val="single" w:sz="4" w:space="0" w:color="auto"/>
              <w:left w:val="single" w:sz="4" w:space="0" w:color="auto"/>
              <w:bottom w:val="single" w:sz="4" w:space="0" w:color="auto"/>
              <w:right w:val="nil"/>
            </w:tcBorders>
          </w:tcPr>
          <w:p w14:paraId="1C56BDC3" w14:textId="77777777" w:rsidR="00AC3AEF" w:rsidRPr="008B52AA" w:rsidRDefault="00AC3AEF" w:rsidP="00112C90">
            <w:pPr>
              <w:keepNext/>
              <w:spacing w:before="20" w:after="20"/>
              <w:jc w:val="left"/>
              <w:rPr>
                <w:b/>
                <w:bCs/>
                <w:color w:val="000000" w:themeColor="text1"/>
                <w:sz w:val="20"/>
                <w:szCs w:val="20"/>
              </w:rPr>
            </w:pPr>
          </w:p>
        </w:tc>
        <w:tc>
          <w:tcPr>
            <w:tcW w:w="2503" w:type="pct"/>
            <w:tcBorders>
              <w:top w:val="single" w:sz="4" w:space="0" w:color="auto"/>
              <w:left w:val="single" w:sz="4" w:space="0" w:color="auto"/>
              <w:bottom w:val="single" w:sz="4" w:space="0" w:color="auto"/>
              <w:right w:val="nil"/>
            </w:tcBorders>
          </w:tcPr>
          <w:p w14:paraId="19DC8451" w14:textId="630A471B" w:rsidR="00AC3AEF" w:rsidRPr="008B3228" w:rsidRDefault="00AC3AEF" w:rsidP="00112C90">
            <w:pPr>
              <w:keepNext/>
              <w:spacing w:before="20" w:after="20"/>
              <w:jc w:val="left"/>
              <w:rPr>
                <w:b/>
                <w:bCs/>
                <w:color w:val="000000" w:themeColor="text1"/>
                <w:sz w:val="20"/>
                <w:szCs w:val="20"/>
                <w:lang w:val="fr-CA"/>
              </w:rPr>
            </w:pPr>
            <w:r>
              <w:rPr>
                <w:b/>
                <w:bCs/>
                <w:color w:val="000000" w:themeColor="text1"/>
                <w:sz w:val="20"/>
                <w:szCs w:val="20"/>
                <w:lang w:val="fr-CA"/>
              </w:rPr>
              <w:t>Sous-total pour le PNUE</w:t>
            </w:r>
          </w:p>
        </w:tc>
        <w:tc>
          <w:tcPr>
            <w:tcW w:w="626" w:type="pct"/>
            <w:tcBorders>
              <w:top w:val="single" w:sz="4" w:space="0" w:color="auto"/>
              <w:left w:val="nil"/>
              <w:bottom w:val="single" w:sz="4" w:space="0" w:color="auto"/>
              <w:right w:val="single" w:sz="4" w:space="0" w:color="auto"/>
            </w:tcBorders>
            <w:vAlign w:val="center"/>
          </w:tcPr>
          <w:p w14:paraId="3BCCDCBC" w14:textId="77777777" w:rsidR="00AC3AEF" w:rsidRPr="008B3228" w:rsidRDefault="00AC3AEF" w:rsidP="0011168B">
            <w:pPr>
              <w:spacing w:before="20" w:after="20"/>
              <w:jc w:val="center"/>
              <w:rPr>
                <w:b/>
                <w:bCs/>
                <w:color w:val="000000" w:themeColor="text1"/>
                <w:sz w:val="20"/>
                <w:szCs w:val="20"/>
                <w:lang w:val="fr-CA"/>
              </w:rPr>
            </w:pPr>
          </w:p>
        </w:tc>
        <w:tc>
          <w:tcPr>
            <w:tcW w:w="529" w:type="pct"/>
            <w:tcBorders>
              <w:left w:val="single" w:sz="4" w:space="0" w:color="auto"/>
            </w:tcBorders>
          </w:tcPr>
          <w:p w14:paraId="3D3CF2D0" w14:textId="69F38F02" w:rsidR="00AC3AEF" w:rsidRPr="008B52AA" w:rsidRDefault="00AC3AEF" w:rsidP="0011168B">
            <w:pPr>
              <w:spacing w:before="20" w:after="20"/>
              <w:jc w:val="right"/>
              <w:rPr>
                <w:b/>
                <w:bCs/>
                <w:color w:val="000000" w:themeColor="text1"/>
                <w:sz w:val="20"/>
                <w:szCs w:val="20"/>
              </w:rPr>
            </w:pPr>
            <w:r>
              <w:rPr>
                <w:b/>
                <w:bCs/>
                <w:color w:val="000000" w:themeColor="text1"/>
                <w:sz w:val="20"/>
                <w:szCs w:val="20"/>
              </w:rPr>
              <w:t>396 100</w:t>
            </w:r>
          </w:p>
        </w:tc>
        <w:tc>
          <w:tcPr>
            <w:tcW w:w="527" w:type="pct"/>
          </w:tcPr>
          <w:p w14:paraId="663BD939" w14:textId="19B3E3CB" w:rsidR="00AC3AEF" w:rsidRPr="008B52AA" w:rsidRDefault="00F26C92" w:rsidP="0011168B">
            <w:pPr>
              <w:spacing w:before="20" w:after="20"/>
              <w:jc w:val="right"/>
              <w:rPr>
                <w:b/>
                <w:bCs/>
                <w:color w:val="000000" w:themeColor="text1"/>
                <w:sz w:val="20"/>
                <w:szCs w:val="20"/>
              </w:rPr>
            </w:pPr>
            <w:r>
              <w:rPr>
                <w:b/>
                <w:bCs/>
                <w:color w:val="000000" w:themeColor="text1"/>
                <w:sz w:val="20"/>
                <w:szCs w:val="20"/>
              </w:rPr>
              <w:t>253 000</w:t>
            </w:r>
          </w:p>
        </w:tc>
      </w:tr>
      <w:tr w:rsidR="00AC3AEF" w:rsidRPr="008B52AA" w14:paraId="7EB8CB74" w14:textId="77777777" w:rsidTr="006B6DB9">
        <w:trPr>
          <w:trHeight w:val="225"/>
        </w:trPr>
        <w:tc>
          <w:tcPr>
            <w:tcW w:w="816" w:type="pct"/>
            <w:tcBorders>
              <w:top w:val="single" w:sz="4" w:space="0" w:color="auto"/>
              <w:left w:val="single" w:sz="4" w:space="0" w:color="auto"/>
              <w:bottom w:val="single" w:sz="4" w:space="0" w:color="auto"/>
              <w:right w:val="nil"/>
            </w:tcBorders>
          </w:tcPr>
          <w:p w14:paraId="23E089CD" w14:textId="77777777" w:rsidR="00AC3AEF" w:rsidRPr="008B52AA" w:rsidRDefault="00AC3AEF" w:rsidP="00112C90">
            <w:pPr>
              <w:keepNext/>
              <w:spacing w:before="20" w:after="20"/>
              <w:jc w:val="left"/>
              <w:rPr>
                <w:b/>
                <w:bCs/>
                <w:color w:val="000000" w:themeColor="text1"/>
                <w:sz w:val="20"/>
                <w:szCs w:val="20"/>
              </w:rPr>
            </w:pPr>
          </w:p>
        </w:tc>
        <w:tc>
          <w:tcPr>
            <w:tcW w:w="2503" w:type="pct"/>
            <w:tcBorders>
              <w:top w:val="single" w:sz="4" w:space="0" w:color="auto"/>
              <w:left w:val="single" w:sz="4" w:space="0" w:color="auto"/>
              <w:bottom w:val="single" w:sz="4" w:space="0" w:color="auto"/>
              <w:right w:val="nil"/>
            </w:tcBorders>
          </w:tcPr>
          <w:p w14:paraId="7A11201B" w14:textId="3FDD3254" w:rsidR="00AC3AEF" w:rsidRPr="008B52AA" w:rsidRDefault="00AC3AEF" w:rsidP="00112C90">
            <w:pPr>
              <w:keepNext/>
              <w:spacing w:before="20" w:after="20"/>
              <w:jc w:val="left"/>
              <w:rPr>
                <w:b/>
                <w:bCs/>
                <w:color w:val="000000" w:themeColor="text1"/>
                <w:sz w:val="20"/>
                <w:szCs w:val="20"/>
              </w:rPr>
            </w:pPr>
            <w:r>
              <w:rPr>
                <w:b/>
                <w:bCs/>
                <w:color w:val="000000" w:themeColor="text1"/>
                <w:sz w:val="20"/>
                <w:szCs w:val="20"/>
              </w:rPr>
              <w:t>Sous-total pour l'ONUDI</w:t>
            </w:r>
          </w:p>
        </w:tc>
        <w:tc>
          <w:tcPr>
            <w:tcW w:w="626" w:type="pct"/>
            <w:tcBorders>
              <w:top w:val="single" w:sz="4" w:space="0" w:color="auto"/>
              <w:left w:val="nil"/>
              <w:bottom w:val="single" w:sz="4" w:space="0" w:color="auto"/>
              <w:right w:val="single" w:sz="4" w:space="0" w:color="auto"/>
            </w:tcBorders>
          </w:tcPr>
          <w:p w14:paraId="7E09A497" w14:textId="77777777" w:rsidR="00AC3AEF" w:rsidRPr="008B52AA" w:rsidRDefault="00AC3AEF" w:rsidP="0011168B">
            <w:pPr>
              <w:spacing w:before="20" w:after="20"/>
              <w:jc w:val="center"/>
              <w:rPr>
                <w:b/>
                <w:bCs/>
                <w:color w:val="000000" w:themeColor="text1"/>
                <w:sz w:val="20"/>
                <w:szCs w:val="20"/>
              </w:rPr>
            </w:pPr>
          </w:p>
        </w:tc>
        <w:tc>
          <w:tcPr>
            <w:tcW w:w="529" w:type="pct"/>
            <w:tcBorders>
              <w:left w:val="single" w:sz="4" w:space="0" w:color="auto"/>
            </w:tcBorders>
          </w:tcPr>
          <w:p w14:paraId="52FC2D90" w14:textId="4AD167A5" w:rsidR="00AC3AEF" w:rsidRPr="008B52AA" w:rsidRDefault="00AC3AEF" w:rsidP="0011168B">
            <w:pPr>
              <w:spacing w:before="20" w:after="20"/>
              <w:jc w:val="right"/>
              <w:rPr>
                <w:b/>
                <w:bCs/>
                <w:color w:val="000000" w:themeColor="text1"/>
                <w:sz w:val="20"/>
                <w:szCs w:val="20"/>
              </w:rPr>
            </w:pPr>
            <w:r>
              <w:rPr>
                <w:b/>
                <w:bCs/>
                <w:color w:val="000000" w:themeColor="text1"/>
                <w:sz w:val="20"/>
                <w:szCs w:val="20"/>
              </w:rPr>
              <w:t>126 900</w:t>
            </w:r>
          </w:p>
        </w:tc>
        <w:tc>
          <w:tcPr>
            <w:tcW w:w="527" w:type="pct"/>
          </w:tcPr>
          <w:p w14:paraId="2F6CDF21" w14:textId="5FADA4E3" w:rsidR="00AC3AEF" w:rsidRPr="008B52AA" w:rsidRDefault="00AC3AEF" w:rsidP="0011168B">
            <w:pPr>
              <w:spacing w:before="20" w:after="20"/>
              <w:jc w:val="right"/>
              <w:rPr>
                <w:b/>
                <w:bCs/>
                <w:color w:val="000000" w:themeColor="text1"/>
                <w:sz w:val="20"/>
                <w:szCs w:val="20"/>
              </w:rPr>
            </w:pPr>
            <w:r>
              <w:rPr>
                <w:b/>
                <w:bCs/>
                <w:color w:val="000000" w:themeColor="text1"/>
                <w:sz w:val="20"/>
                <w:szCs w:val="20"/>
              </w:rPr>
              <w:t>60 000</w:t>
            </w:r>
          </w:p>
        </w:tc>
      </w:tr>
      <w:tr w:rsidR="00AC3AEF" w:rsidRPr="008B52AA" w14:paraId="17C1ACB0" w14:textId="77777777" w:rsidTr="006B6DB9">
        <w:trPr>
          <w:trHeight w:val="225"/>
        </w:trPr>
        <w:tc>
          <w:tcPr>
            <w:tcW w:w="816" w:type="pct"/>
            <w:tcBorders>
              <w:top w:val="single" w:sz="4" w:space="0" w:color="auto"/>
              <w:left w:val="single" w:sz="4" w:space="0" w:color="auto"/>
              <w:bottom w:val="single" w:sz="4" w:space="0" w:color="auto"/>
              <w:right w:val="nil"/>
            </w:tcBorders>
          </w:tcPr>
          <w:p w14:paraId="055A1191" w14:textId="77777777" w:rsidR="00AC3AEF" w:rsidRPr="008B52AA" w:rsidRDefault="00AC3AEF" w:rsidP="0011168B">
            <w:pPr>
              <w:spacing w:before="20" w:after="20"/>
              <w:jc w:val="left"/>
              <w:rPr>
                <w:b/>
                <w:bCs/>
                <w:color w:val="000000" w:themeColor="text1"/>
                <w:sz w:val="20"/>
                <w:szCs w:val="20"/>
              </w:rPr>
            </w:pPr>
          </w:p>
        </w:tc>
        <w:tc>
          <w:tcPr>
            <w:tcW w:w="2503" w:type="pct"/>
            <w:tcBorders>
              <w:top w:val="single" w:sz="4" w:space="0" w:color="auto"/>
              <w:left w:val="single" w:sz="4" w:space="0" w:color="auto"/>
              <w:bottom w:val="single" w:sz="4" w:space="0" w:color="auto"/>
              <w:right w:val="nil"/>
            </w:tcBorders>
          </w:tcPr>
          <w:p w14:paraId="12621283" w14:textId="64B81713" w:rsidR="00AC3AEF" w:rsidRPr="008B52AA" w:rsidRDefault="00AC3AEF" w:rsidP="0011168B">
            <w:pPr>
              <w:spacing w:before="20" w:after="20"/>
              <w:jc w:val="left"/>
              <w:rPr>
                <w:b/>
                <w:color w:val="000000" w:themeColor="text1"/>
                <w:sz w:val="20"/>
                <w:szCs w:val="20"/>
              </w:rPr>
            </w:pPr>
            <w:r>
              <w:rPr>
                <w:b/>
                <w:bCs/>
                <w:color w:val="000000" w:themeColor="text1"/>
                <w:sz w:val="20"/>
                <w:szCs w:val="20"/>
              </w:rPr>
              <w:t>Total</w:t>
            </w:r>
          </w:p>
        </w:tc>
        <w:tc>
          <w:tcPr>
            <w:tcW w:w="626" w:type="pct"/>
            <w:tcBorders>
              <w:top w:val="single" w:sz="4" w:space="0" w:color="auto"/>
              <w:left w:val="nil"/>
              <w:bottom w:val="single" w:sz="4" w:space="0" w:color="auto"/>
              <w:right w:val="single" w:sz="4" w:space="0" w:color="auto"/>
            </w:tcBorders>
          </w:tcPr>
          <w:p w14:paraId="576CD852" w14:textId="77777777" w:rsidR="00AC3AEF" w:rsidRPr="008B52AA" w:rsidRDefault="00AC3AEF" w:rsidP="0011168B">
            <w:pPr>
              <w:spacing w:before="20" w:after="20"/>
              <w:jc w:val="center"/>
              <w:rPr>
                <w:b/>
                <w:color w:val="000000" w:themeColor="text1"/>
                <w:sz w:val="20"/>
                <w:szCs w:val="20"/>
              </w:rPr>
            </w:pPr>
          </w:p>
        </w:tc>
        <w:tc>
          <w:tcPr>
            <w:tcW w:w="529" w:type="pct"/>
            <w:tcBorders>
              <w:left w:val="single" w:sz="4" w:space="0" w:color="auto"/>
            </w:tcBorders>
          </w:tcPr>
          <w:p w14:paraId="05B3AC7E" w14:textId="253690AE" w:rsidR="00AC3AEF" w:rsidRPr="008B52AA" w:rsidRDefault="00AC3AEF" w:rsidP="0011168B">
            <w:pPr>
              <w:shd w:val="clear" w:color="auto" w:fill="FFFFFF" w:themeFill="background1"/>
              <w:spacing w:before="20" w:after="20"/>
              <w:jc w:val="right"/>
              <w:rPr>
                <w:b/>
                <w:bCs/>
                <w:color w:val="000000" w:themeColor="text1"/>
                <w:sz w:val="20"/>
                <w:szCs w:val="20"/>
              </w:rPr>
            </w:pPr>
            <w:r>
              <w:rPr>
                <w:b/>
                <w:bCs/>
                <w:color w:val="000000" w:themeColor="text1"/>
                <w:sz w:val="20"/>
                <w:szCs w:val="20"/>
              </w:rPr>
              <w:t>523 000</w:t>
            </w:r>
          </w:p>
        </w:tc>
        <w:tc>
          <w:tcPr>
            <w:tcW w:w="527" w:type="pct"/>
          </w:tcPr>
          <w:p w14:paraId="58ED0410" w14:textId="395923F3" w:rsidR="00AC3AEF" w:rsidRPr="008B52AA" w:rsidRDefault="00AC3AEF" w:rsidP="0011168B">
            <w:pPr>
              <w:shd w:val="clear" w:color="auto" w:fill="FFFFFF" w:themeFill="background1"/>
              <w:spacing w:before="20" w:after="20"/>
              <w:jc w:val="right"/>
              <w:rPr>
                <w:b/>
                <w:bCs/>
                <w:color w:val="000000" w:themeColor="text1"/>
                <w:sz w:val="20"/>
                <w:szCs w:val="20"/>
              </w:rPr>
            </w:pPr>
            <w:r>
              <w:rPr>
                <w:b/>
                <w:bCs/>
                <w:color w:val="000000" w:themeColor="text1"/>
                <w:sz w:val="20"/>
                <w:szCs w:val="20"/>
              </w:rPr>
              <w:t>313 000</w:t>
            </w:r>
          </w:p>
        </w:tc>
      </w:tr>
    </w:tbl>
    <w:p w14:paraId="118ABDBB" w14:textId="0F9DC25A" w:rsidR="00573C20" w:rsidRPr="008B3228" w:rsidRDefault="00573C20" w:rsidP="00573C20">
      <w:pPr>
        <w:keepNext/>
        <w:spacing w:before="240" w:after="240"/>
        <w:rPr>
          <w:i/>
          <w:highlight w:val="yellow"/>
          <w:lang w:val="fr-CA"/>
        </w:rPr>
      </w:pPr>
      <w:bookmarkStart w:id="9" w:name="_Hlk126915749"/>
      <w:bookmarkEnd w:id="8"/>
      <w:r>
        <w:rPr>
          <w:i/>
          <w:lang w:val="fr-CA"/>
        </w:rPr>
        <w:t xml:space="preserve">Activités visant à maintenir l'efficacité énergétique dans le secteur de l’entretien de l’équipement de réfrigération </w:t>
      </w:r>
    </w:p>
    <w:p w14:paraId="129D6F4D" w14:textId="0D658CB3" w:rsidR="00573C20" w:rsidRPr="008B3228" w:rsidRDefault="00573C20" w:rsidP="00CA68A2">
      <w:pPr>
        <w:pStyle w:val="Heading1"/>
        <w:spacing w:before="240"/>
        <w:rPr>
          <w:lang w:val="fr-CA"/>
        </w:rPr>
      </w:pPr>
      <w:r>
        <w:rPr>
          <w:lang w:val="fr-CA"/>
        </w:rPr>
        <w:t>Le projet relatif à l'efficacité énergétique, tel que présenté conformément à la décision 89/6, vise à renforcer la coordination et la coopération institutionnelles nécessaires pour soutenir la mise en œuvre des normes régionales d'efficacité énergétique et d'étiquetage, à intégrer les compétences en matière d'efficacité énergétique dans le cadre national de certification professionnelle des techniciens en équipements de réfrigération et de climatisation, et à sensibiliser le public aux avantages de ces mesures, y compris les systèmes à faible PRP. Les activités suivantes sont proposées par le PNUE pour maintenir l'efficacité énergétique dans le secteur :</w:t>
      </w:r>
    </w:p>
    <w:p w14:paraId="3CC39193" w14:textId="4EAF1818" w:rsidR="00573C20" w:rsidRPr="008B3228" w:rsidRDefault="00910044" w:rsidP="006B6DB9">
      <w:pPr>
        <w:pStyle w:val="Heading2"/>
        <w:rPr>
          <w:lang w:val="fr-CA"/>
        </w:rPr>
      </w:pPr>
      <w:r>
        <w:rPr>
          <w:i/>
          <w:iCs/>
          <w:lang w:val="fr-CA"/>
        </w:rPr>
        <w:t xml:space="preserve">Coordination et coopération institutionnelles </w:t>
      </w:r>
      <w:r>
        <w:rPr>
          <w:lang w:val="fr-CA"/>
        </w:rPr>
        <w:t xml:space="preserve">: mise en place d’un mécanisme national de coordination pour le secteur RAC, organisation de trois ateliers visant à faciliter l’adoption des normes minimales de performance énergétique (NMPE) et de l’étiquetage ; élaboration </w:t>
      </w:r>
      <w:r>
        <w:rPr>
          <w:lang w:val="fr-CA"/>
        </w:rPr>
        <w:lastRenderedPageBreak/>
        <w:t>d’une feuille de route pour l’adoption des NMPE et de l’étiquetage en référence aux normes régionales de la CARICOM, évaluation de la situation de référence concernant les équipements à faible potentiel de réchauffement global (PRP) et à haut rendement énergétique ainsi que de la demande dans le pays, formulation de recommandations pour aligner la transition vers de nouveaux réfrigérants sur l’amélioration de l’efficacité énergétique (40 000 $US) ;</w:t>
      </w:r>
    </w:p>
    <w:p w14:paraId="35B47B83" w14:textId="4C1CFA56" w:rsidR="00573C20" w:rsidRPr="008B3228" w:rsidRDefault="002B230F" w:rsidP="00573C20">
      <w:pPr>
        <w:pStyle w:val="Heading2"/>
        <w:numPr>
          <w:ilvl w:val="1"/>
          <w:numId w:val="1"/>
        </w:numPr>
        <w:rPr>
          <w:lang w:val="fr-CA"/>
        </w:rPr>
      </w:pPr>
      <w:r>
        <w:rPr>
          <w:i/>
          <w:iCs/>
          <w:lang w:val="fr-CA"/>
        </w:rPr>
        <w:t xml:space="preserve">Intégration des compétences en matière d’efficacité énergétique dans les programmes de formation des techniciens en réfrigération et climatisation </w:t>
      </w:r>
      <w:r>
        <w:rPr>
          <w:lang w:val="fr-CA"/>
        </w:rPr>
        <w:t>: coordination entre les autorités compétentes pour la mise à jour des programmes nationaux de formation afin d’y inclure des compétences en matière d’efficacité énergétique et de réfrigérants à faible PRP ; élaboration de modules de formation pour le processus de certification en cours d’introduction ; formation d’un total de 20 techniciens (avec une cible de participation des femmes de 5 à 10 %) (30 000 $US) ; et</w:t>
      </w:r>
    </w:p>
    <w:p w14:paraId="67F31286" w14:textId="04B6050E" w:rsidR="00573C20" w:rsidRPr="008B3228" w:rsidRDefault="00BC5B59" w:rsidP="00573C20">
      <w:pPr>
        <w:pStyle w:val="Heading2"/>
        <w:numPr>
          <w:ilvl w:val="1"/>
          <w:numId w:val="1"/>
        </w:numPr>
        <w:rPr>
          <w:lang w:val="fr-CA"/>
        </w:rPr>
      </w:pPr>
      <w:r>
        <w:rPr>
          <w:i/>
          <w:iCs/>
          <w:lang w:val="fr-CA"/>
        </w:rPr>
        <w:t xml:space="preserve">Campagne de sensibilisation : </w:t>
      </w:r>
      <w:r>
        <w:rPr>
          <w:lang w:val="fr-CA"/>
        </w:rPr>
        <w:t>élaboration de matériel de sensibilisation ; mise en place d’une plateforme/application en ligne destinée aux techniciens en équipements de réfrigération et de climatisation ; et lancement d’une campagne médiatique nationale visant à sensibiliser le public aux avantages et aux économies à long terme des technologies d’efficacité énergétique (30 000 $US).</w:t>
      </w:r>
    </w:p>
    <w:p w14:paraId="37C6BAF9" w14:textId="77777777" w:rsidR="00563DA8" w:rsidRPr="008B3228" w:rsidRDefault="00563DA8" w:rsidP="001161CD">
      <w:pPr>
        <w:keepNext/>
        <w:spacing w:before="240" w:after="240"/>
        <w:rPr>
          <w:i/>
          <w:iCs/>
          <w:lang w:val="fr-CA"/>
        </w:rPr>
      </w:pPr>
      <w:r>
        <w:rPr>
          <w:i/>
          <w:iCs/>
          <w:lang w:val="fr-CA"/>
        </w:rPr>
        <w:t>Mise en œuvre et suivi du projet</w:t>
      </w:r>
    </w:p>
    <w:bookmarkEnd w:id="9"/>
    <w:p w14:paraId="369FA484" w14:textId="4D636252" w:rsidR="00563DA8" w:rsidRPr="008B3228" w:rsidRDefault="00563DA8" w:rsidP="001161CD">
      <w:pPr>
        <w:pStyle w:val="Heading1"/>
        <w:rPr>
          <w:lang w:val="fr-CA"/>
        </w:rPr>
      </w:pPr>
      <w:r>
        <w:rPr>
          <w:lang w:val="fr-CA"/>
        </w:rPr>
        <w:t>Le système mis en place dans le cadre de la phase I du PGEH sera maintenu lors de la phase II, l'UNO assurant la coordination des activités, rendant compte des progrès réalisés au Département de l'environnement et au PNUE, et collaborant avec les parties prenantes pour réaliser l'élimination progressive des HCFC. Le coût de ces activités s'élève à 40 000 $US pour le PNUE, comprenant le personnel de projet et les consultants (20 000 $US), les déplacements nationaux (7 000 $US), les réunions et ateliers</w:t>
      </w:r>
      <w:bookmarkStart w:id="10" w:name="_Hlk190692798"/>
      <w:r>
        <w:rPr>
          <w:lang w:val="fr-CA"/>
        </w:rPr>
        <w:t xml:space="preserve"> (6 000 $US)</w:t>
      </w:r>
      <w:bookmarkEnd w:id="10"/>
      <w:r>
        <w:rPr>
          <w:lang w:val="fr-CA"/>
        </w:rPr>
        <w:t>, et les rapports (7 000 $US).</w:t>
      </w:r>
    </w:p>
    <w:p w14:paraId="6CAA9484" w14:textId="46F06924" w:rsidR="00563DA8" w:rsidRPr="008B3228" w:rsidRDefault="00563DA8" w:rsidP="001161CD">
      <w:pPr>
        <w:keepNext/>
        <w:spacing w:after="240"/>
        <w:outlineLvl w:val="0"/>
        <w:rPr>
          <w:u w:val="single"/>
          <w:lang w:val="fr-CA"/>
        </w:rPr>
      </w:pPr>
      <w:bookmarkStart w:id="11" w:name="_Hlk126915819"/>
      <w:r>
        <w:rPr>
          <w:u w:val="single"/>
          <w:lang w:val="fr-CA"/>
        </w:rPr>
        <w:t>Coût total de la phase II du plan de gestion de l'élimination des HCFC</w:t>
      </w:r>
    </w:p>
    <w:bookmarkEnd w:id="11"/>
    <w:p w14:paraId="14D3A9C2" w14:textId="7F9B53A2" w:rsidR="00094DDE" w:rsidRPr="008B3228" w:rsidRDefault="00563DA8" w:rsidP="00094DDE">
      <w:pPr>
        <w:pStyle w:val="Heading1"/>
        <w:rPr>
          <w:lang w:val="fr-CA"/>
        </w:rPr>
      </w:pPr>
      <w:r>
        <w:rPr>
          <w:lang w:val="fr-CA"/>
        </w:rPr>
        <w:t xml:space="preserve">Le coût total de la phase II du PGEH pour Saint-Kitts-et-Nevis a été estimé à 523 000 $US (plus les coûts d’appui de l’agence), comme initialement soumis, pour parvenir à une réduction de 100 % d’ici 2030 et intégrer des activités supplémentaires visant à maintenir l’efficacité énergétique conformément à la décision 89/6. Les activités proposées et la ventilation des coûts sont résumées dans le tableau 3 ci-dessus. </w:t>
      </w:r>
      <w:bookmarkStart w:id="12" w:name="_Hlk126915832"/>
    </w:p>
    <w:p w14:paraId="5285D646" w14:textId="6799DD82" w:rsidR="00563DA8" w:rsidRPr="008B3228" w:rsidRDefault="00563DA8" w:rsidP="00094DDE">
      <w:pPr>
        <w:pStyle w:val="Heading1"/>
        <w:numPr>
          <w:ilvl w:val="0"/>
          <w:numId w:val="0"/>
        </w:numPr>
        <w:rPr>
          <w:lang w:val="fr-CA"/>
        </w:rPr>
      </w:pPr>
      <w:r>
        <w:rPr>
          <w:u w:val="single"/>
          <w:lang w:val="fr-CA"/>
        </w:rPr>
        <w:t>Plan de mise en œuvre de la première tranche de la phase II du plan de gestion de l'élimination des HCFC</w:t>
      </w:r>
    </w:p>
    <w:bookmarkEnd w:id="12"/>
    <w:p w14:paraId="737A2261" w14:textId="2156C6DA" w:rsidR="00563DA8" w:rsidRPr="008B3228" w:rsidRDefault="00563DA8" w:rsidP="001161CD">
      <w:pPr>
        <w:pStyle w:val="Heading1"/>
        <w:rPr>
          <w:lang w:val="fr-CA"/>
        </w:rPr>
      </w:pPr>
      <w:r>
        <w:rPr>
          <w:lang w:val="fr-CA"/>
        </w:rPr>
        <w:t xml:space="preserve">La première tranche de financement de la phase II du PGEH, d'un montant total de 313 000 $US, comme initialement soumise, sera mise en œuvre entre juillet 2026 et juin 2028. Des informations détaillées sur les activités à inclure dans la première tranche, y compris les ajustements effectués et le niveau de financement convenu, sont présentées au paragraphe 36 ci-dessous. </w:t>
      </w:r>
    </w:p>
    <w:p w14:paraId="2F85D31C" w14:textId="77777777" w:rsidR="00563DA8" w:rsidRPr="008B3228" w:rsidRDefault="00563DA8" w:rsidP="006A77D7">
      <w:pPr>
        <w:keepNext/>
        <w:spacing w:before="360" w:after="240"/>
        <w:jc w:val="center"/>
        <w:rPr>
          <w:b/>
          <w:lang w:val="fr-CA"/>
        </w:rPr>
      </w:pPr>
      <w:bookmarkStart w:id="13" w:name="_Hlk126916095"/>
      <w:r>
        <w:rPr>
          <w:b/>
          <w:lang w:val="fr-CA"/>
        </w:rPr>
        <w:t>OBSERVATIONS ET RECOMMANDATION DU SECRÉTARIAT</w:t>
      </w:r>
    </w:p>
    <w:p w14:paraId="3C0093FE" w14:textId="77777777" w:rsidR="00563DA8" w:rsidRPr="008B3228" w:rsidRDefault="00563DA8" w:rsidP="006A77D7">
      <w:pPr>
        <w:keepNext/>
        <w:spacing w:after="240"/>
        <w:rPr>
          <w:b/>
          <w:lang w:val="fr-CA"/>
        </w:rPr>
      </w:pPr>
      <w:r>
        <w:rPr>
          <w:b/>
          <w:lang w:val="fr-CA"/>
        </w:rPr>
        <w:t>OBSERVATIONS</w:t>
      </w:r>
    </w:p>
    <w:bookmarkEnd w:id="13"/>
    <w:p w14:paraId="7D3A414D" w14:textId="7280BFAC" w:rsidR="00563DA8" w:rsidRPr="008B3228" w:rsidRDefault="00563DA8" w:rsidP="001161CD">
      <w:pPr>
        <w:pStyle w:val="Heading1"/>
        <w:rPr>
          <w:lang w:val="fr-CA"/>
        </w:rPr>
      </w:pPr>
      <w:r>
        <w:rPr>
          <w:lang w:val="fr-CA"/>
        </w:rPr>
        <w:t>Le Secrétariat a examiné la phase II du PGEH à la lumière de la phase I, des politiques et des directives du Fonds multilatéral, incluant les critères régissant le financement de l'élimination de HCFC dans le secteur de la consommation pour la phase II des PGEH (décision 74/50), et le plan d'activités du Fonds multilatéral pour 2026-2028.</w:t>
      </w:r>
    </w:p>
    <w:p w14:paraId="3EE8127F" w14:textId="77777777" w:rsidR="00563DA8" w:rsidRPr="002132EE" w:rsidRDefault="00563DA8" w:rsidP="006A77D7">
      <w:pPr>
        <w:keepNext/>
        <w:spacing w:after="240"/>
        <w:rPr>
          <w:u w:val="single"/>
        </w:rPr>
      </w:pPr>
      <w:bookmarkStart w:id="14" w:name="_Hlk126916105"/>
      <w:r>
        <w:rPr>
          <w:u w:val="single"/>
        </w:rPr>
        <w:lastRenderedPageBreak/>
        <w:t>Stratégie globale</w:t>
      </w:r>
    </w:p>
    <w:bookmarkEnd w:id="14"/>
    <w:p w14:paraId="681A5EC9" w14:textId="539EE583" w:rsidR="00563DA8" w:rsidRPr="008B3228" w:rsidRDefault="00563DA8" w:rsidP="00A44429">
      <w:pPr>
        <w:pStyle w:val="Heading1"/>
        <w:shd w:val="clear" w:color="auto" w:fill="FFFFFF" w:themeFill="background1"/>
        <w:rPr>
          <w:lang w:val="fr-CA"/>
        </w:rPr>
      </w:pPr>
      <w:r>
        <w:rPr>
          <w:lang w:val="fr-CA"/>
        </w:rPr>
        <w:t>Le Gouvernement de Saint-Kitts-et-Nevis propose de réduire de 100 % sa consommation de base en HCFC d'ici 2030 et de maintenir, entre 2030 et 2040, une consommation annuelle maximale de HCFC conforme au paragraphe 8 ter e) i) de l'article 5 du Protocole de Montréal.</w:t>
      </w:r>
      <w:r>
        <w:rPr>
          <w:vertAlign w:val="superscript"/>
        </w:rPr>
        <w:footnoteReference w:id="12"/>
      </w:r>
      <w:r>
        <w:rPr>
          <w:lang w:val="fr-CA"/>
        </w:rPr>
        <w:t xml:space="preserve"> Le Gouvernement s’engage à continuer de mettre en œuvre des méthodes strictes d’importation et de contrôle afin de surveiller les niveaux d’importation et les utilisations des HCFC au cours de cette période, afin de s’assurer qu’ils sont limités aux conditions établies par le Protocole de Montréal.</w:t>
      </w:r>
    </w:p>
    <w:p w14:paraId="56B33E41" w14:textId="2706FF77" w:rsidR="00563DA8" w:rsidRPr="008B3228" w:rsidRDefault="00563DA8" w:rsidP="001161CD">
      <w:pPr>
        <w:pStyle w:val="Heading1"/>
        <w:spacing w:after="0"/>
        <w:rPr>
          <w:lang w:val="fr-CA"/>
        </w:rPr>
      </w:pPr>
      <w:r>
        <w:rPr>
          <w:lang w:val="fr-CA"/>
        </w:rPr>
        <w:t>Conformément à la décision 86/51, pour permettre l'examen de la dernière tranche de son PGEH, le Gouvernement de Saint-Kitts-et-Nevis a accepté de présenter une description détaillée du cadre réglementaire et politique en place destiné à mettre en œuvre des mesures visant à garantir que la consommation de HCFC est conforme à l'alinéa 8 ter e) i) de l'Article 5 du Protocole de Montréal pour la période 2030-2040, ainsi que la consommation annuelle prévue de HCFC à Saint-Kitts-et-Nevis pour la période 2030-2040.</w:t>
      </w:r>
    </w:p>
    <w:p w14:paraId="35681968" w14:textId="77777777" w:rsidR="00563DA8" w:rsidRPr="0077794E" w:rsidRDefault="00563DA8" w:rsidP="006A77D7">
      <w:pPr>
        <w:pStyle w:val="Heading1"/>
        <w:keepNext/>
        <w:numPr>
          <w:ilvl w:val="0"/>
          <w:numId w:val="0"/>
        </w:numPr>
        <w:spacing w:before="240"/>
        <w:rPr>
          <w:highlight w:val="magenta"/>
        </w:rPr>
      </w:pPr>
      <w:bookmarkStart w:id="15" w:name="_Hlk126916111"/>
      <w:r>
        <w:rPr>
          <w:u w:val="single"/>
        </w:rPr>
        <w:t>Cadre juridique</w:t>
      </w:r>
    </w:p>
    <w:p w14:paraId="75A383CB" w14:textId="40D175AB" w:rsidR="00563DA8" w:rsidRPr="008B3228" w:rsidRDefault="006A77D7" w:rsidP="006A77D7">
      <w:pPr>
        <w:numPr>
          <w:ilvl w:val="0"/>
          <w:numId w:val="1"/>
        </w:numPr>
        <w:spacing w:after="240"/>
        <w:outlineLvl w:val="0"/>
        <w:rPr>
          <w:lang w:val="fr-CA"/>
        </w:rPr>
      </w:pPr>
      <w:r>
        <w:rPr>
          <w:lang w:val="fr-CA"/>
        </w:rPr>
        <w:t>Le Gouvernement de Saint-Kitts-et-Nevis a fixé les quotas d’importation de HCFC pour 2026, conformément aux objectifs de contrôle du Protocole de Montréal, à 0,16 tonne PAO.</w:t>
      </w:r>
    </w:p>
    <w:p w14:paraId="1D03FADC" w14:textId="1386EE9A" w:rsidR="00563DA8" w:rsidRPr="008B3228" w:rsidRDefault="00563DA8" w:rsidP="006A77D7">
      <w:pPr>
        <w:keepNext/>
        <w:spacing w:after="240"/>
        <w:rPr>
          <w:lang w:val="fr-CA"/>
        </w:rPr>
      </w:pPr>
      <w:bookmarkStart w:id="16" w:name="_Hlk126916116"/>
      <w:bookmarkEnd w:id="15"/>
      <w:r>
        <w:rPr>
          <w:u w:val="single"/>
          <w:lang w:val="fr-CA"/>
        </w:rPr>
        <w:t xml:space="preserve">Questions techniques et relatives aux coûts </w:t>
      </w:r>
    </w:p>
    <w:p w14:paraId="6C5C153D" w14:textId="74769856" w:rsidR="00897E4B" w:rsidRPr="008B3228" w:rsidRDefault="00547D39" w:rsidP="00897E4B">
      <w:pPr>
        <w:pStyle w:val="Heading1"/>
        <w:rPr>
          <w:lang w:val="fr-CA"/>
        </w:rPr>
      </w:pPr>
      <w:r>
        <w:rPr>
          <w:lang w:val="fr-CA"/>
        </w:rPr>
        <w:t>Le secrétariat a tenu des discussions approfondies avec le PNUE et l’ONUDI sur le coût total de la phase II du PGEH, notant que les coûts proposés étaient basés sur la différence entre les coûts éligibles pour l’élimination complète et le financement net reçu au cours de la phase I, majorée de 100 000 $US pour des activités supplémentaires d’efficacité énergétique conformément à la décision 89/6. Le secrétariat a noté que la phase II du PGEH était soumise en 2026, que les objectifs de 2020 et 2025 avaient été atteints, et que la consommation du pays s’était maintenue en dessous de ce dernier objectif. Le secrétariat a également noté que le pays aurait encore besoin d’une assistance pour soutenir un environnement propice au maintien de l’élimination, prévenir la réapparition de la demande, gérer avec soin la phase d’entretien, et consolider un mécanisme structuré d’engagement inter-îles afin d’assurer une mise en œuvre uniforme et une conformité durable à l’échelle nationale, tout en gardant à l’esprit que le montant total convenu par le Comité exécutif pour atteindre l’objectif de 2025, tel que reflété dans la décision 74/50, ne s’appliquerait pas à ce cas. Le secrétariat a donc recommandé un montant de 191 000 $US pour les coûts de la phase II du PGEH, sur la base de la décision 74/50 c) xii), plus 100 000 $US pour des activités supplémentaires d’efficacité énergétique conformément à la décision 89/6.</w:t>
      </w:r>
    </w:p>
    <w:p w14:paraId="4F6DB2D9" w14:textId="5FDDC21D" w:rsidR="00355EB0" w:rsidRPr="008B3228" w:rsidRDefault="00355EB0" w:rsidP="00D911B8">
      <w:pPr>
        <w:pStyle w:val="Heading1"/>
        <w:spacing w:before="240"/>
        <w:rPr>
          <w:lang w:val="fr-CA"/>
        </w:rPr>
      </w:pPr>
      <w:r>
        <w:rPr>
          <w:lang w:val="fr-CA"/>
        </w:rPr>
        <w:t xml:space="preserve">Le PNUE a indiqué que la recommandation du secrétariat représentait une réduction de 55 % du montant initialement demandé de 523 000 $US, et que, tout en appréciant le principe de base de la réaffectation proposée, il importait de souligner que Saint-Kitts-et-Nevis avait toujours fonctionné avec un soutien financier limité. Le PNUE a souligné que le pays avait reçu 164 500 $US pour la phase I du PGEH, somme à laquelle s’ajoutaient 191 000 $US pour la phase II ; ces montants, encore limités par des chocs externes, ne permettraient pas de réaliser la transformation nécessaire dans le secteur de l’entretien des équipements de réfrigération et de climatisation. Il convient notamment de noter que la pandémie de COVID-19 a considérablement affecté l’économie et les capacités institutionnelles du pays, retardé la mise en œuvre et affaibli la capacité du secteur RAC à opérer la transition comme prévu initialement. En outre, le pays a connu de multiples changements gouvernementaux, qui se sont traduits par une rotation continue des responsables nationaux de l’ozone, entraînant encore une perturbation de la continuité et de la </w:t>
      </w:r>
      <w:r>
        <w:rPr>
          <w:lang w:val="fr-CA"/>
        </w:rPr>
        <w:lastRenderedPageBreak/>
        <w:t>dynamique de mise en œuvre. Ces défis cumulés ont entraîné un retard dans des activités essentielles qui doivent désormais être traitées au cours de la phase II. Le PNUE a notamment fait référence au soutien limité apporté aux investissements à ce jour : au cours de la phase I, la composante « investissements » s’élevait à 40 000 $US, ce qui s’est avéré insuffisant pour mettre en place l’infrastructure de base nécessaire à une gestion durable des réfrigérants. En conséquence, le pays ne dispose toujours pas des équipements, outils et systèmes nécessaires pour mettre en œuvre un système efficace de récupération et de recyclage des réfrigérants. Sans ces infrastructures, les efforts visant à contrôler et à réduire la consommation de HCFC dans le secteur de l’entretien de l’équipement de réfrigération resteront fortement limités. Le PNUE a souligné que la phase finale menant à l'élimination totale et la phase d'entretien qui suivra sont complexes et nécessitent d'importantes ressources, exigeant des cadres réglementaires solides, des mécanismes d'application, le renforcement de la capacité et la certification des techniciens, ainsi que des systèmes opérationnels de récupération et de recyclage. Le PNUE a déclaré qu'il n'y aurait pas d'autre occasion de mettre en place les systèmes et les capacités nécessaires pour assurer la transition vers des alternatives à faible PRP et la durabilité à long terme dans le pays.</w:t>
      </w:r>
    </w:p>
    <w:p w14:paraId="3E731DF3" w14:textId="77777777" w:rsidR="00355EB0" w:rsidRPr="008B3228" w:rsidRDefault="00355EB0" w:rsidP="00355EB0">
      <w:pPr>
        <w:pStyle w:val="Heading1"/>
        <w:rPr>
          <w:lang w:val="fr-CA"/>
        </w:rPr>
      </w:pPr>
      <w:r>
        <w:rPr>
          <w:lang w:val="fr-CA"/>
        </w:rPr>
        <w:t xml:space="preserve">Compte tenu des considérations qui précèdent, le gouvernement de Saint-Kitts-et-Nevis et le PNUE ont proposé, à titre exceptionnel, de demander une allocation supplémentaire de 60 000 $US afin de soutenir les activités essentielles et fondamentales d’élimination des HCFC, dans le but de combler les lacunes critiques au niveau des composantes d’investissement et autres que d’investissement, permettant ainsi au pays de mettre en place l’infrastructure minimale requise pour la gestion des réfrigérants, de renforcer les cadres institutionnels et réglementaires, et d’impliquer efficacement le secteur de l’entretien des équipements de réfrigération et de climatisation. </w:t>
      </w:r>
    </w:p>
    <w:p w14:paraId="64EDDFF4" w14:textId="35416963" w:rsidR="00564A7B" w:rsidRPr="008B3228" w:rsidRDefault="00564A7B" w:rsidP="00A3259E">
      <w:pPr>
        <w:pStyle w:val="Heading1"/>
        <w:rPr>
          <w:lang w:val="fr-CA"/>
        </w:rPr>
      </w:pPr>
      <w:r>
        <w:rPr>
          <w:lang w:val="fr-CA"/>
        </w:rPr>
        <w:t>Le secrétariat a rappelé qu’en vertu de la décision 74/50 c) xii), les pays à faible volume de consommation (PFV) se verraient octroyer un financement correspondant au niveau de consommation dans le secteur de l’entretien des équipements de réfrigération et de climatisation, étant entendu que les propositions de projet devraient néanmoins démontrer que le niveau de financement était nécessaire pour atteindre les objectifs d’élimination. Le montant de 191 000 $US correspond à la différence entre le financement maximal admissible pour atteindre la cible de 2025 et le financement maximal admissible pour l’élimination totale. Comme indiqué dans le document UNEP/OzL.Pro/ExCom/96/16, les pays soumettant leur demande pour la phase II après 2025 ne seront pas en mesure de démontrer que le financement est nécessaire pour atteindre l’objectif de 2025 ; par conséquent, conformément à la décision 74/50, le financement dans ces cas ne serait envisagé que pour réaliser l’élimination totale d’ici 2030. Lors de la même réunion, le Comité a décidé d’encourager les pays PFV qui n’avaient pas encore soumis la phase II de leur plan de gestion de l’élimination des HCFC (PGEH) pour atteindre la réduction de 67,5 % en 2025, à la soumettre lors de la 97</w:t>
      </w:r>
      <w:r>
        <w:rPr>
          <w:vertAlign w:val="superscript"/>
          <w:lang w:val="fr-CA"/>
        </w:rPr>
        <w:t>e</w:t>
      </w:r>
      <w:r>
        <w:rPr>
          <w:lang w:val="fr-CA"/>
        </w:rPr>
        <w:t xml:space="preserve"> réunion.</w:t>
      </w:r>
      <w:r>
        <w:rPr>
          <w:rStyle w:val="FootnoteReference"/>
        </w:rPr>
        <w:footnoteReference w:id="13"/>
      </w:r>
      <w:r>
        <w:rPr>
          <w:lang w:val="fr-CA"/>
        </w:rPr>
        <w:t xml:space="preserve"> Ainsi, les coûts de la phase II du PGEH ont été fixés à 191 000 $US, conformément à la décision 74/50 c) xii), auxquels s’ajoutent 100 000 $US pour des activités supplémentaires d’efficacité énergétique, conformément à la décision 89/6.</w:t>
      </w:r>
    </w:p>
    <w:p w14:paraId="29AABCFE" w14:textId="6ACD69F0" w:rsidR="006A25F1" w:rsidRPr="008B3228" w:rsidRDefault="006A25F1" w:rsidP="008D327F">
      <w:pPr>
        <w:pStyle w:val="Heading1"/>
        <w:numPr>
          <w:ilvl w:val="0"/>
          <w:numId w:val="0"/>
        </w:numPr>
        <w:rPr>
          <w:i/>
          <w:iCs/>
          <w:lang w:val="fr-CA"/>
        </w:rPr>
      </w:pPr>
      <w:r>
        <w:rPr>
          <w:i/>
          <w:iCs/>
          <w:lang w:val="fr-CA"/>
        </w:rPr>
        <w:t>Estimation de la demande en HCFC-22 dans le secteur de l'entretien des systèmes de réfrigération et de climatisation</w:t>
      </w:r>
    </w:p>
    <w:p w14:paraId="66643334" w14:textId="392C357E" w:rsidR="006A25F1" w:rsidRPr="008B3228" w:rsidRDefault="008A31E4" w:rsidP="00F27909">
      <w:pPr>
        <w:numPr>
          <w:ilvl w:val="0"/>
          <w:numId w:val="1"/>
        </w:numPr>
        <w:spacing w:after="240"/>
        <w:outlineLvl w:val="0"/>
        <w:rPr>
          <w:lang w:val="fr-CA"/>
        </w:rPr>
      </w:pPr>
      <w:bookmarkStart w:id="17" w:name="_Hlk126916129"/>
      <w:bookmarkEnd w:id="16"/>
      <w:r>
        <w:rPr>
          <w:lang w:val="fr-CA"/>
        </w:rPr>
        <w:t xml:space="preserve">Le secrétariat a confirmé auprès du PNUE qu'un nombre limité d'équipements fonctionnant aux HCFC restait en service dans certaines installations publiques et commerciales, et que toute demande future en HCFC se limiterait à l'entretien de ces équipements résiduels. Une ventilation a également été demandée afin de mieux cerner la demande en matière d’entretien dans le pays. Le PNUE a indiqué qu’aucune donnée actualisée sur l’inventaire des équipements et la demande d’entretien n’était actuellement disponible pour le pays, et que les données d’inventaire exhaustives les plus récentes dataient de 2014, car lors de la préparation de la phase II, il n’avait pas été possible de mettre à jour ces informations en raison de ressources insuffisantes pour mener une enquête détaillée sur les équipements. Le PNUE a donc proposé d’inclure la réalisation d’une enquête détaillée sur l’inventaire des équipements fonctionnant aux HCFC dans le cadre </w:t>
      </w:r>
      <w:r>
        <w:rPr>
          <w:lang w:val="fr-CA"/>
        </w:rPr>
        <w:lastRenderedPageBreak/>
        <w:t>de l’évaluation technique nationale qui sera menée au titre du programme national de récupération et de recyclage (R&amp;R) que l’ONUDI mettra en œuvre au cours de la phase II. Les données actualisées de l’inventaire des équipements serviront de base à la conception, à l’ampleur et au déploiement du programme national de R&amp;R, y compris les quantités d’équipements à acquérir et leur répartition entre les deux îles. Le PNUE a également indiqué que, dans le cadre du projet visant à établir un inventaire national des stocks de substances réglementées usagées et indésirables ainsi qu’un plan national, l’une des activités de la phase de collecte de données consiste à dresser un inventaire des équipements dans le pays et à estimer les stocks. Ces deux activités, dûment mises en œuvre de manière coordonnée, seraient complémentaires et permettraient de disposer d’un inventaire actualisé des équipements et de la demande d’entretien.</w:t>
      </w:r>
    </w:p>
    <w:p w14:paraId="4DC10100" w14:textId="597CEC46" w:rsidR="00A169FD" w:rsidRPr="008B3228" w:rsidRDefault="00A169FD" w:rsidP="001161CD">
      <w:pPr>
        <w:pStyle w:val="Heading1"/>
        <w:keepNext/>
        <w:numPr>
          <w:ilvl w:val="0"/>
          <w:numId w:val="0"/>
        </w:numPr>
        <w:rPr>
          <w:i/>
          <w:iCs/>
          <w:lang w:val="fr-CA"/>
        </w:rPr>
      </w:pPr>
      <w:r>
        <w:rPr>
          <w:i/>
          <w:iCs/>
          <w:lang w:val="fr-CA"/>
        </w:rPr>
        <w:t>Interdiction des importations d’équipements fonctionnant aux HCFC</w:t>
      </w:r>
    </w:p>
    <w:p w14:paraId="2285AE04" w14:textId="6DFEFECA" w:rsidR="00A169FD" w:rsidRPr="008B3228" w:rsidRDefault="00A169FD" w:rsidP="00F27909">
      <w:pPr>
        <w:numPr>
          <w:ilvl w:val="0"/>
          <w:numId w:val="1"/>
        </w:numPr>
        <w:spacing w:after="240"/>
        <w:outlineLvl w:val="0"/>
        <w:rPr>
          <w:lang w:val="fr-CA"/>
        </w:rPr>
      </w:pPr>
      <w:r>
        <w:rPr>
          <w:lang w:val="fr-CA"/>
        </w:rPr>
        <w:t xml:space="preserve">Le secrétariat a interrogé le PNUE sur l’engagement du Gouvernement à interdire l’importation d’équipements fonctionnant aux HCFC, mesure qui avait été évoquée mais qui ne figurait pas parmi les activités de la première tranche. Le PNUE a précisé que l’élaboration et l’adoption de cette interdiction relevaient de la composante visant à renforcer le cadre juridique et réglementaire du pays, et a confirmé l’engagement du Gouvernement à faire adopter cette interdiction en 2027. </w:t>
      </w:r>
    </w:p>
    <w:p w14:paraId="7B281421" w14:textId="47B117BD" w:rsidR="00047BFE" w:rsidRPr="00981325" w:rsidRDefault="00047BFE" w:rsidP="00A169FD">
      <w:pPr>
        <w:rPr>
          <w:i/>
          <w:iCs/>
          <w:lang w:val="es-PE"/>
        </w:rPr>
      </w:pPr>
      <w:r>
        <w:rPr>
          <w:i/>
          <w:iCs/>
        </w:rPr>
        <w:t>Certification des techniciens</w:t>
      </w:r>
    </w:p>
    <w:p w14:paraId="2885B62A" w14:textId="58D6D06C" w:rsidR="00AF185C" w:rsidRPr="008B3228" w:rsidRDefault="00047BFE" w:rsidP="00C0676B">
      <w:pPr>
        <w:numPr>
          <w:ilvl w:val="0"/>
          <w:numId w:val="1"/>
        </w:numPr>
        <w:spacing w:before="240" w:after="240"/>
        <w:outlineLvl w:val="0"/>
        <w:rPr>
          <w:lang w:val="fr-CA"/>
        </w:rPr>
      </w:pPr>
      <w:r>
        <w:rPr>
          <w:lang w:val="fr-CA"/>
        </w:rPr>
        <w:t>Le secrétariat a demandé comment le programme de certification des techniciens serait conçu et mis en œuvre. Le PNUE a expliqué qu’une approche par étapes avait été élaborée. Les activités débuteront par la mise en place d’un mécanisme de coordination interinstitutionnelle et l’intégration des exigences de certification dans le cadre réglementaire, y compris la reconnaissance de la certification comme norme nationale en matière d’entretien. Cette étape sera suivie de l’élaboration et de la mise en œuvre du programme de certification, c’est-à-dire la préparation de modules de formation et de normes de compétence professionnelle, la rédaction de procédures d’évaluation, la sélection d’une autorité de certification, l’élaboration de guides de formation standardisés, la création d’un registre des techniciens et la mise en place d’une formation standardisée des formateurs et des techniciens. Sur le plan du contenu, la certification évoluera du niveau de base vers des niveaux spécialisés.</w:t>
      </w:r>
    </w:p>
    <w:p w14:paraId="00C3785A" w14:textId="0E46D0B2" w:rsidR="00563DA8" w:rsidRPr="008B3228" w:rsidRDefault="00563DA8" w:rsidP="001161CD">
      <w:pPr>
        <w:pStyle w:val="Heading1"/>
        <w:keepNext/>
        <w:numPr>
          <w:ilvl w:val="0"/>
          <w:numId w:val="0"/>
        </w:numPr>
        <w:rPr>
          <w:lang w:val="fr-CA"/>
        </w:rPr>
      </w:pPr>
      <w:r>
        <w:rPr>
          <w:i/>
          <w:iCs/>
          <w:lang w:val="fr-CA"/>
        </w:rPr>
        <w:t xml:space="preserve">Activités visant à maintenir l'efficacité énergétique dans le secteur de l'entretien de l'équipement de réfrigération </w:t>
      </w:r>
      <w:bookmarkEnd w:id="17"/>
    </w:p>
    <w:p w14:paraId="65ECB656" w14:textId="01B0190A" w:rsidR="00563DA8" w:rsidRPr="008B3228" w:rsidRDefault="00563DA8" w:rsidP="001161CD">
      <w:pPr>
        <w:pStyle w:val="Heading1"/>
        <w:rPr>
          <w:lang w:val="fr-CA"/>
        </w:rPr>
      </w:pPr>
      <w:r>
        <w:rPr>
          <w:lang w:val="fr-CA"/>
        </w:rPr>
        <w:t xml:space="preserve">Conformément à la décision 89/6 d), le PNUE a inclus dans le plan de mise en œuvre de la tranche les mesures spécifiques, les indicateurs d'efficacité et le financement associés aux activités supplémentaires visant à maintenir l’efficacité énergétique, qui ont été intégrés dans le projet d’accord entre le Gouvernement de Saint-Kitts-et-Nevis et le Comité exécutif pour la phase II du PGEH figurant à l’annexe I du présent document. </w:t>
      </w:r>
    </w:p>
    <w:p w14:paraId="5A14F857" w14:textId="64FC2DA0" w:rsidR="00716ADB" w:rsidRPr="008B3228" w:rsidRDefault="003245B8" w:rsidP="00F27909">
      <w:pPr>
        <w:pStyle w:val="Heading1"/>
        <w:rPr>
          <w:lang w:val="fr-CA"/>
        </w:rPr>
      </w:pPr>
      <w:r>
        <w:rPr>
          <w:lang w:val="fr-CA"/>
        </w:rPr>
        <w:t>Bien que des normes régionales de performance énergétique (NMPE) et d’étiquetage soient en place par l’intermédiaire du CROSQ, leur adoption au niveau national dans la législation de Saint-Kitts-et-Nevis et la mise en place de mécanismes d’application sont nécessaires pour améliorer l’efficacité énergétique dans le secteur RAC et en tirer pleinement parti. Les informations sur les technologies disponibles et les pratiques d’installation et d’entretien appropriées pour les équipements à haute efficacité énergétique sont limitées dans le pays, tout comme la sensibilisation des consommateurs, des entreprises, de l’industrie du tourisme et des décideurs politiques aux avantages économiques de l’efficacité énergétique et aux avantages en termes de coût du cycle de vie des équipements efficaces.</w:t>
      </w:r>
    </w:p>
    <w:p w14:paraId="38946236" w14:textId="7AB9F358" w:rsidR="00981325" w:rsidRPr="008B3228" w:rsidRDefault="00785C18" w:rsidP="00F27909">
      <w:pPr>
        <w:pStyle w:val="Heading1"/>
        <w:rPr>
          <w:lang w:val="fr-CA"/>
        </w:rPr>
      </w:pPr>
      <w:r>
        <w:rPr>
          <w:lang w:val="fr-CA"/>
        </w:rPr>
        <w:t xml:space="preserve">La proposition est conforme à la décision 89/6 b) et vise à renforcer la coordination interministérielle ; intégrer les considérations relatives au PRP des réfrigérants et les compétences en matière d'efficacité énergétique dans les programmes de formation du PGEH ; formuler des recommandations concernant le système de certification mis en place dans le cadre du PGEH afin de </w:t>
      </w:r>
      <w:r>
        <w:rPr>
          <w:lang w:val="fr-CA"/>
        </w:rPr>
        <w:lastRenderedPageBreak/>
        <w:t xml:space="preserve">garantir les capacités techniques nationales nécessaires à l'entretien et à l'installation d'équipements à faible PRP et à haute efficacité énergétique pour une performance optimale tout au long de leur durée de vie opérationnelle ; et sensibiliser les consommateurs aux avantages des systèmes de climatisation à haute efficacité énergétique et à faible PRP, aux bonnes pratiques d'entretien et au programme de certification des techniciens en réfrigération et climatisation. </w:t>
      </w:r>
    </w:p>
    <w:p w14:paraId="4D38C06A" w14:textId="60A1C1CB" w:rsidR="00563DA8" w:rsidRPr="007E56E0" w:rsidRDefault="00563DA8" w:rsidP="001161CD">
      <w:pPr>
        <w:keepNext/>
        <w:spacing w:before="240" w:after="240"/>
        <w:outlineLvl w:val="0"/>
        <w:rPr>
          <w:u w:val="single"/>
        </w:rPr>
      </w:pPr>
      <w:r>
        <w:rPr>
          <w:u w:val="single"/>
        </w:rPr>
        <w:t>Coût total du projet</w:t>
      </w:r>
    </w:p>
    <w:p w14:paraId="67987A61" w14:textId="3F24FBBF" w:rsidR="00547D39" w:rsidRPr="008B3228" w:rsidRDefault="00975252" w:rsidP="0095414C">
      <w:pPr>
        <w:pStyle w:val="Heading1"/>
        <w:spacing w:before="240"/>
        <w:rPr>
          <w:lang w:val="fr-CA"/>
        </w:rPr>
      </w:pPr>
      <w:r>
        <w:rPr>
          <w:lang w:val="fr-CA"/>
        </w:rPr>
        <w:t xml:space="preserve"> En réponse aux observations et suggestions du secrétariat, détaillées aux paragraphes 27 à 36 ci-dessus, le PNUE, l’ONUDI et le Gouvernement de Saint-Kitts-et-Nevis ont convenu de réviser les activités et tous les coûts proposés pour la phase II du PGEH, qui sont présentés dans le tableau 4 ci-dessous.</w:t>
      </w:r>
    </w:p>
    <w:p w14:paraId="68D7000D" w14:textId="0D19785F" w:rsidR="00DB62DD" w:rsidRPr="008B3228" w:rsidRDefault="00DB62DD" w:rsidP="00DB62DD">
      <w:pPr>
        <w:pStyle w:val="Heading1"/>
        <w:numPr>
          <w:ilvl w:val="0"/>
          <w:numId w:val="0"/>
        </w:numPr>
        <w:spacing w:before="240" w:after="0"/>
        <w:rPr>
          <w:b/>
          <w:bCs/>
          <w:lang w:val="fr-CA"/>
        </w:rPr>
      </w:pPr>
      <w:r>
        <w:rPr>
          <w:b/>
          <w:bCs/>
          <w:lang w:val="fr-CA"/>
        </w:rPr>
        <w:t>Tableau 4. Activités ajustées et coûts correspondants à mettre en œuvre lors de la phase II du PGEH à Saint-Kitts-et-Nevis</w:t>
      </w:r>
    </w:p>
    <w:tbl>
      <w:tblPr>
        <w:tblStyle w:val="TableGrid"/>
        <w:tblW w:w="5000" w:type="pct"/>
        <w:tblLayout w:type="fixed"/>
        <w:tblCellMar>
          <w:left w:w="57" w:type="dxa"/>
          <w:right w:w="57" w:type="dxa"/>
        </w:tblCellMar>
        <w:tblLook w:val="04A0" w:firstRow="1" w:lastRow="0" w:firstColumn="1" w:lastColumn="0" w:noHBand="0" w:noVBand="1"/>
      </w:tblPr>
      <w:tblGrid>
        <w:gridCol w:w="1705"/>
        <w:gridCol w:w="4593"/>
        <w:gridCol w:w="1079"/>
        <w:gridCol w:w="989"/>
        <w:gridCol w:w="984"/>
      </w:tblGrid>
      <w:tr w:rsidR="006A30FD" w:rsidRPr="00E02B33" w14:paraId="5F2E3AFD" w14:textId="77777777" w:rsidTr="008F7876">
        <w:trPr>
          <w:trHeight w:val="53"/>
          <w:tblHeader/>
        </w:trPr>
        <w:tc>
          <w:tcPr>
            <w:tcW w:w="912" w:type="pct"/>
            <w:vMerge w:val="restart"/>
            <w:vAlign w:val="center"/>
          </w:tcPr>
          <w:p w14:paraId="1068207B" w14:textId="77777777" w:rsidR="006A30FD" w:rsidRPr="00E02B33" w:rsidRDefault="006A30FD" w:rsidP="003411DA">
            <w:pPr>
              <w:keepNext/>
              <w:shd w:val="clear" w:color="auto" w:fill="FFFFFF" w:themeFill="background1"/>
              <w:spacing w:before="20" w:after="20"/>
              <w:jc w:val="center"/>
              <w:rPr>
                <w:b/>
                <w:bCs/>
                <w:sz w:val="20"/>
                <w:szCs w:val="20"/>
              </w:rPr>
            </w:pPr>
            <w:r>
              <w:rPr>
                <w:b/>
                <w:bCs/>
                <w:sz w:val="20"/>
                <w:szCs w:val="20"/>
              </w:rPr>
              <w:t>Composante</w:t>
            </w:r>
          </w:p>
        </w:tc>
        <w:tc>
          <w:tcPr>
            <w:tcW w:w="2456" w:type="pct"/>
            <w:vMerge w:val="restart"/>
            <w:vAlign w:val="center"/>
          </w:tcPr>
          <w:p w14:paraId="05B2CCBA" w14:textId="77777777" w:rsidR="006A30FD" w:rsidRPr="00E02B33" w:rsidRDefault="006A30FD" w:rsidP="003411DA">
            <w:pPr>
              <w:keepNext/>
              <w:shd w:val="clear" w:color="auto" w:fill="FFFFFF" w:themeFill="background1"/>
              <w:spacing w:before="20" w:after="20"/>
              <w:jc w:val="center"/>
              <w:rPr>
                <w:b/>
                <w:bCs/>
                <w:sz w:val="20"/>
                <w:szCs w:val="20"/>
              </w:rPr>
            </w:pPr>
            <w:r>
              <w:rPr>
                <w:b/>
                <w:bCs/>
                <w:sz w:val="20"/>
                <w:szCs w:val="20"/>
              </w:rPr>
              <w:t>Activité</w:t>
            </w:r>
          </w:p>
        </w:tc>
        <w:tc>
          <w:tcPr>
            <w:tcW w:w="577" w:type="pct"/>
            <w:vMerge w:val="restart"/>
            <w:vAlign w:val="center"/>
          </w:tcPr>
          <w:p w14:paraId="3764BE55" w14:textId="77777777" w:rsidR="006A30FD" w:rsidRPr="00E02B33" w:rsidRDefault="006A30FD" w:rsidP="0061482E">
            <w:pPr>
              <w:spacing w:before="20" w:after="20"/>
              <w:jc w:val="center"/>
              <w:rPr>
                <w:b/>
                <w:bCs/>
                <w:sz w:val="20"/>
                <w:szCs w:val="20"/>
              </w:rPr>
            </w:pPr>
            <w:r>
              <w:rPr>
                <w:b/>
                <w:bCs/>
                <w:sz w:val="20"/>
                <w:szCs w:val="20"/>
              </w:rPr>
              <w:t>Agence</w:t>
            </w:r>
          </w:p>
        </w:tc>
        <w:tc>
          <w:tcPr>
            <w:tcW w:w="1056" w:type="pct"/>
            <w:gridSpan w:val="2"/>
            <w:vAlign w:val="center"/>
          </w:tcPr>
          <w:p w14:paraId="2EE696A6" w14:textId="77777777" w:rsidR="006A30FD" w:rsidRPr="00E02B33" w:rsidRDefault="006A30FD" w:rsidP="003411DA">
            <w:pPr>
              <w:shd w:val="clear" w:color="auto" w:fill="FFFFFF" w:themeFill="background1"/>
              <w:spacing w:before="20" w:after="20"/>
              <w:jc w:val="center"/>
              <w:rPr>
                <w:b/>
                <w:bCs/>
                <w:sz w:val="20"/>
                <w:szCs w:val="20"/>
              </w:rPr>
            </w:pPr>
            <w:r>
              <w:rPr>
                <w:b/>
                <w:bCs/>
                <w:sz w:val="20"/>
                <w:szCs w:val="20"/>
              </w:rPr>
              <w:t>Coût ($US)</w:t>
            </w:r>
          </w:p>
        </w:tc>
      </w:tr>
      <w:tr w:rsidR="006A30FD" w:rsidRPr="00E02B33" w14:paraId="714219BA" w14:textId="77777777" w:rsidTr="008F7876">
        <w:trPr>
          <w:trHeight w:val="98"/>
          <w:tblHeader/>
        </w:trPr>
        <w:tc>
          <w:tcPr>
            <w:tcW w:w="912" w:type="pct"/>
            <w:vMerge/>
            <w:vAlign w:val="center"/>
          </w:tcPr>
          <w:p w14:paraId="0B99F034" w14:textId="77777777" w:rsidR="006A30FD" w:rsidRPr="00E02B33" w:rsidRDefault="006A30FD" w:rsidP="003411DA">
            <w:pPr>
              <w:shd w:val="clear" w:color="auto" w:fill="FFFFFF" w:themeFill="background1"/>
              <w:spacing w:before="20" w:after="20"/>
              <w:jc w:val="center"/>
              <w:rPr>
                <w:b/>
                <w:bCs/>
                <w:sz w:val="20"/>
                <w:szCs w:val="20"/>
              </w:rPr>
            </w:pPr>
          </w:p>
        </w:tc>
        <w:tc>
          <w:tcPr>
            <w:tcW w:w="2456" w:type="pct"/>
            <w:vMerge/>
            <w:vAlign w:val="center"/>
          </w:tcPr>
          <w:p w14:paraId="2BA0AAC5" w14:textId="77777777" w:rsidR="006A30FD" w:rsidRPr="00E02B33" w:rsidRDefault="006A30FD" w:rsidP="003411DA">
            <w:pPr>
              <w:shd w:val="clear" w:color="auto" w:fill="FFFFFF" w:themeFill="background1"/>
              <w:spacing w:before="20" w:after="20"/>
              <w:jc w:val="center"/>
              <w:rPr>
                <w:b/>
                <w:bCs/>
                <w:sz w:val="20"/>
                <w:szCs w:val="20"/>
              </w:rPr>
            </w:pPr>
          </w:p>
        </w:tc>
        <w:tc>
          <w:tcPr>
            <w:tcW w:w="577" w:type="pct"/>
            <w:vMerge/>
            <w:vAlign w:val="center"/>
          </w:tcPr>
          <w:p w14:paraId="4DC42407" w14:textId="77777777" w:rsidR="006A30FD" w:rsidRPr="00E02B33" w:rsidRDefault="006A30FD" w:rsidP="003411DA">
            <w:pPr>
              <w:shd w:val="clear" w:color="auto" w:fill="FFFFFF" w:themeFill="background1"/>
              <w:spacing w:before="20" w:after="20"/>
              <w:jc w:val="center"/>
              <w:rPr>
                <w:b/>
                <w:bCs/>
                <w:sz w:val="20"/>
                <w:szCs w:val="20"/>
              </w:rPr>
            </w:pPr>
          </w:p>
        </w:tc>
        <w:tc>
          <w:tcPr>
            <w:tcW w:w="529" w:type="pct"/>
            <w:vAlign w:val="center"/>
          </w:tcPr>
          <w:p w14:paraId="78A6FFEC" w14:textId="77777777" w:rsidR="006A30FD" w:rsidRPr="00E02B33" w:rsidRDefault="006A30FD" w:rsidP="003411DA">
            <w:pPr>
              <w:shd w:val="clear" w:color="auto" w:fill="FFFFFF" w:themeFill="background1"/>
              <w:spacing w:before="20" w:after="20"/>
              <w:jc w:val="center"/>
              <w:rPr>
                <w:b/>
                <w:bCs/>
                <w:sz w:val="20"/>
                <w:szCs w:val="20"/>
              </w:rPr>
            </w:pPr>
            <w:r>
              <w:rPr>
                <w:b/>
                <w:bCs/>
                <w:sz w:val="20"/>
                <w:szCs w:val="20"/>
              </w:rPr>
              <w:t>Phase II</w:t>
            </w:r>
          </w:p>
        </w:tc>
        <w:tc>
          <w:tcPr>
            <w:tcW w:w="527" w:type="pct"/>
            <w:vAlign w:val="center"/>
          </w:tcPr>
          <w:p w14:paraId="39B509B4" w14:textId="77777777" w:rsidR="006A30FD" w:rsidRPr="00E02B33" w:rsidRDefault="006A30FD" w:rsidP="003411DA">
            <w:pPr>
              <w:shd w:val="clear" w:color="auto" w:fill="FFFFFF" w:themeFill="background1"/>
              <w:spacing w:before="20" w:after="20"/>
              <w:jc w:val="center"/>
              <w:rPr>
                <w:b/>
                <w:bCs/>
                <w:sz w:val="20"/>
                <w:szCs w:val="20"/>
              </w:rPr>
            </w:pPr>
            <w:r>
              <w:rPr>
                <w:b/>
                <w:bCs/>
                <w:sz w:val="20"/>
                <w:szCs w:val="20"/>
              </w:rPr>
              <w:t>Première tranche</w:t>
            </w:r>
          </w:p>
        </w:tc>
      </w:tr>
      <w:tr w:rsidR="006A30FD" w:rsidRPr="00E02B33" w14:paraId="76DB84D6" w14:textId="77777777" w:rsidTr="008F7876">
        <w:trPr>
          <w:trHeight w:val="217"/>
        </w:trPr>
        <w:tc>
          <w:tcPr>
            <w:tcW w:w="912" w:type="pct"/>
            <w:vMerge w:val="restart"/>
          </w:tcPr>
          <w:p w14:paraId="0FE1DE86" w14:textId="77777777" w:rsidR="006A30FD" w:rsidRPr="008B3228" w:rsidRDefault="006A30FD" w:rsidP="003411DA">
            <w:pPr>
              <w:shd w:val="clear" w:color="auto" w:fill="FFFFFF" w:themeFill="background1"/>
              <w:spacing w:before="20" w:after="20"/>
              <w:jc w:val="left"/>
              <w:rPr>
                <w:i/>
                <w:iCs/>
                <w:sz w:val="20"/>
                <w:szCs w:val="20"/>
                <w:lang w:val="fr-CA"/>
              </w:rPr>
            </w:pPr>
            <w:r>
              <w:rPr>
                <w:sz w:val="20"/>
                <w:szCs w:val="20"/>
                <w:lang w:val="fr-CA"/>
              </w:rPr>
              <w:t>Renforcement du cadre des politiques générales, réglementaire et institutionnel</w:t>
            </w:r>
          </w:p>
        </w:tc>
        <w:tc>
          <w:tcPr>
            <w:tcW w:w="2456" w:type="pct"/>
          </w:tcPr>
          <w:p w14:paraId="67226829" w14:textId="77777777" w:rsidR="006A30FD" w:rsidRPr="008B3228" w:rsidRDefault="006A30FD" w:rsidP="003411DA">
            <w:pPr>
              <w:shd w:val="clear" w:color="auto" w:fill="FFFFFF" w:themeFill="background1"/>
              <w:spacing w:before="20" w:after="20"/>
              <w:jc w:val="left"/>
              <w:rPr>
                <w:sz w:val="20"/>
                <w:szCs w:val="20"/>
                <w:lang w:val="fr-CA"/>
              </w:rPr>
            </w:pPr>
            <w:r>
              <w:rPr>
                <w:i/>
                <w:iCs/>
                <w:sz w:val="20"/>
                <w:szCs w:val="20"/>
                <w:lang w:val="fr-CA"/>
              </w:rPr>
              <w:t xml:space="preserve">Renforcement des politiques et de la réglementation </w:t>
            </w:r>
            <w:r>
              <w:rPr>
                <w:sz w:val="20"/>
                <w:szCs w:val="20"/>
                <w:lang w:val="fr-CA"/>
              </w:rPr>
              <w:t xml:space="preserve">: </w:t>
            </w:r>
          </w:p>
          <w:p w14:paraId="2E02D08D" w14:textId="252505DE" w:rsidR="006A30FD" w:rsidRPr="008B3228" w:rsidRDefault="005D26F0" w:rsidP="005D26F0">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Révision et modification de la réglementation, ainsi que l'élaboration et l'adoption d'une interdiction d'importation des équipements fonctionnant aux HCFC devant être mise en œuvre d'ici 2027 ; et</w:t>
            </w:r>
          </w:p>
          <w:p w14:paraId="63079229" w14:textId="7721B045" w:rsidR="006A30FD" w:rsidRPr="008B3228" w:rsidRDefault="006A30FD" w:rsidP="00375613">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Mise en place de contrôles liés à la certification sur les ventes de réfrigérants, y compris la rédaction de règlements et la mise au point d’un système de vérification des ventes ainsi que des obligations de déclaration pour les importateurs et les distributeurs de réfrigérants.</w:t>
            </w:r>
          </w:p>
        </w:tc>
        <w:tc>
          <w:tcPr>
            <w:tcW w:w="577" w:type="pct"/>
          </w:tcPr>
          <w:p w14:paraId="347F07D6" w14:textId="77777777" w:rsidR="006A30FD" w:rsidRPr="00E02B33" w:rsidRDefault="006A30FD" w:rsidP="003411DA">
            <w:pPr>
              <w:spacing w:before="20" w:after="20"/>
              <w:jc w:val="center"/>
              <w:rPr>
                <w:sz w:val="20"/>
                <w:szCs w:val="20"/>
                <w:highlight w:val="cyan"/>
              </w:rPr>
            </w:pPr>
            <w:r>
              <w:rPr>
                <w:sz w:val="20"/>
                <w:szCs w:val="20"/>
              </w:rPr>
              <w:t>PNUE</w:t>
            </w:r>
          </w:p>
        </w:tc>
        <w:tc>
          <w:tcPr>
            <w:tcW w:w="529" w:type="pct"/>
          </w:tcPr>
          <w:p w14:paraId="085C6786" w14:textId="443D4A9D" w:rsidR="006A30FD" w:rsidRPr="00E02B33" w:rsidRDefault="006A30FD" w:rsidP="003411DA">
            <w:pPr>
              <w:shd w:val="clear" w:color="auto" w:fill="FFFFFF" w:themeFill="background1"/>
              <w:spacing w:before="20" w:after="20"/>
              <w:jc w:val="right"/>
              <w:rPr>
                <w:sz w:val="20"/>
                <w:szCs w:val="20"/>
              </w:rPr>
            </w:pPr>
            <w:r>
              <w:rPr>
                <w:sz w:val="20"/>
                <w:szCs w:val="20"/>
              </w:rPr>
              <w:t>9 000</w:t>
            </w:r>
          </w:p>
        </w:tc>
        <w:tc>
          <w:tcPr>
            <w:tcW w:w="527" w:type="pct"/>
          </w:tcPr>
          <w:p w14:paraId="5BFC3DCB" w14:textId="1C5353BB" w:rsidR="006A30FD" w:rsidRPr="00E02B33" w:rsidRDefault="006A30FD" w:rsidP="003411DA">
            <w:pPr>
              <w:shd w:val="clear" w:color="auto" w:fill="FFFFFF" w:themeFill="background1"/>
              <w:spacing w:before="20" w:after="20"/>
              <w:jc w:val="right"/>
              <w:rPr>
                <w:sz w:val="20"/>
                <w:szCs w:val="20"/>
              </w:rPr>
            </w:pPr>
            <w:r>
              <w:rPr>
                <w:sz w:val="20"/>
                <w:szCs w:val="20"/>
              </w:rPr>
              <w:t>9 000</w:t>
            </w:r>
          </w:p>
        </w:tc>
      </w:tr>
      <w:tr w:rsidR="006A30FD" w:rsidRPr="00E02B33" w14:paraId="17AFFB64" w14:textId="77777777" w:rsidTr="008F7876">
        <w:trPr>
          <w:trHeight w:val="225"/>
        </w:trPr>
        <w:tc>
          <w:tcPr>
            <w:tcW w:w="912" w:type="pct"/>
            <w:vMerge/>
          </w:tcPr>
          <w:p w14:paraId="5E83FBC1" w14:textId="77777777" w:rsidR="006A30FD" w:rsidRPr="00E02B33" w:rsidRDefault="006A30FD" w:rsidP="003411DA">
            <w:pPr>
              <w:shd w:val="clear" w:color="auto" w:fill="FFFFFF" w:themeFill="background1"/>
              <w:spacing w:before="20" w:after="20"/>
              <w:jc w:val="left"/>
              <w:rPr>
                <w:i/>
                <w:iCs/>
                <w:sz w:val="20"/>
                <w:szCs w:val="20"/>
              </w:rPr>
            </w:pPr>
          </w:p>
        </w:tc>
        <w:tc>
          <w:tcPr>
            <w:tcW w:w="2456" w:type="pct"/>
          </w:tcPr>
          <w:p w14:paraId="085DF841" w14:textId="180F79BC" w:rsidR="006A30FD" w:rsidRPr="008B3228" w:rsidRDefault="006A30FD" w:rsidP="003411DA">
            <w:pPr>
              <w:shd w:val="clear" w:color="auto" w:fill="FFFFFF" w:themeFill="background1"/>
              <w:spacing w:before="20" w:after="20"/>
              <w:jc w:val="left"/>
              <w:rPr>
                <w:sz w:val="20"/>
                <w:szCs w:val="20"/>
                <w:lang w:val="fr-CA"/>
              </w:rPr>
            </w:pPr>
            <w:r>
              <w:rPr>
                <w:i/>
                <w:iCs/>
                <w:sz w:val="20"/>
                <w:szCs w:val="20"/>
                <w:lang w:val="fr-CA"/>
              </w:rPr>
              <w:t xml:space="preserve">Mise en œuvre du </w:t>
            </w:r>
            <w:r w:rsidR="001C1FB7">
              <w:rPr>
                <w:i/>
                <w:iCs/>
                <w:sz w:val="20"/>
                <w:szCs w:val="20"/>
                <w:lang w:val="fr-CA"/>
              </w:rPr>
              <w:t xml:space="preserve">système de licences </w:t>
            </w:r>
            <w:r>
              <w:rPr>
                <w:i/>
                <w:iCs/>
                <w:sz w:val="20"/>
                <w:szCs w:val="20"/>
                <w:lang w:val="fr-CA"/>
              </w:rPr>
              <w:t xml:space="preserve">et de quotas </w:t>
            </w:r>
            <w:r>
              <w:rPr>
                <w:sz w:val="20"/>
                <w:szCs w:val="20"/>
                <w:lang w:val="fr-CA"/>
              </w:rPr>
              <w:t>:</w:t>
            </w:r>
          </w:p>
          <w:p w14:paraId="61E1B2B9" w14:textId="0089D674" w:rsidR="00375613" w:rsidRPr="008B3228" w:rsidRDefault="00B74F49"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Adoption de procédures opérationnelles standard (SOP) pour renforcer la coordination entre l'UNO, les douanes et les autorités maritimes ; et renforcement de la documentation pour la surveillance et le rapprochement des quotas ;</w:t>
            </w:r>
          </w:p>
          <w:p w14:paraId="3F9837A4" w14:textId="4A98CA18"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 xml:space="preserve">Formation d'un total de 30 agents des douanes, des services de contrôle et des autorités maritimes (avec un objectif de 25 % de femmes) à l'identification des substances réglementées et à l'application des procédures d'octroi de licences et de quotas ; </w:t>
            </w:r>
          </w:p>
          <w:p w14:paraId="4D9B6D49" w14:textId="40A26F35"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Mise à jour des codes SH nationaux pour les HCFC, les HFC, les mélanges de HFC et les réfrigérants HC ;</w:t>
            </w:r>
          </w:p>
          <w:p w14:paraId="5EBC7A23" w14:textId="77777777"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Intégration des critères de profilage des risques dans ASYCUDA ;</w:t>
            </w:r>
            <w:r>
              <w:rPr>
                <w:rStyle w:val="FootnoteReference"/>
                <w:sz w:val="20"/>
                <w:szCs w:val="20"/>
              </w:rPr>
              <w:footnoteReference w:id="14"/>
            </w:r>
            <w:r>
              <w:rPr>
                <w:sz w:val="20"/>
                <w:szCs w:val="20"/>
                <w:lang w:val="fr-CA"/>
              </w:rPr>
              <w:t xml:space="preserve"> </w:t>
            </w:r>
          </w:p>
          <w:p w14:paraId="7FA66AC6" w14:textId="46228252"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Publication de lignes directrices sur les pratiques de déclaration et organisation d’ateliers de sensibilisation à l’intention de cinq courtiers en douane (avec une cible de 25 % de femmes) ; et</w:t>
            </w:r>
          </w:p>
          <w:p w14:paraId="2E5B3ADF" w14:textId="42F4E141" w:rsidR="006A30FD" w:rsidRPr="008B3228" w:rsidRDefault="00E0725B"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 xml:space="preserve">Formalisation des mécanismes de coordination au sein de la structure de gouvernance des deux îles, et formation de deux à trois agents par île à l’utilisation des identifiants de réfrigérants et à la coordination </w:t>
            </w:r>
            <w:r>
              <w:rPr>
                <w:sz w:val="20"/>
                <w:szCs w:val="20"/>
                <w:lang w:val="fr-CA"/>
              </w:rPr>
              <w:lastRenderedPageBreak/>
              <w:t>des autorités chargées de l’application de la loi entre les îles.</w:t>
            </w:r>
          </w:p>
        </w:tc>
        <w:tc>
          <w:tcPr>
            <w:tcW w:w="577" w:type="pct"/>
          </w:tcPr>
          <w:p w14:paraId="7CEE4A1C" w14:textId="77777777" w:rsidR="006A30FD" w:rsidRPr="00E02B33" w:rsidRDefault="006A30FD" w:rsidP="003411DA">
            <w:pPr>
              <w:spacing w:before="20" w:after="20"/>
              <w:jc w:val="center"/>
              <w:rPr>
                <w:sz w:val="20"/>
                <w:szCs w:val="20"/>
                <w:highlight w:val="cyan"/>
              </w:rPr>
            </w:pPr>
            <w:r>
              <w:rPr>
                <w:sz w:val="20"/>
                <w:szCs w:val="20"/>
              </w:rPr>
              <w:lastRenderedPageBreak/>
              <w:t>PNUE</w:t>
            </w:r>
          </w:p>
        </w:tc>
        <w:tc>
          <w:tcPr>
            <w:tcW w:w="529" w:type="pct"/>
          </w:tcPr>
          <w:p w14:paraId="5C9E10DA" w14:textId="25FFC195" w:rsidR="006A30FD" w:rsidRPr="00E02B33" w:rsidRDefault="006A30FD" w:rsidP="003411DA">
            <w:pPr>
              <w:shd w:val="clear" w:color="auto" w:fill="FFFFFF" w:themeFill="background1"/>
              <w:spacing w:before="20" w:after="20"/>
              <w:jc w:val="right"/>
              <w:rPr>
                <w:sz w:val="20"/>
                <w:szCs w:val="20"/>
              </w:rPr>
            </w:pPr>
            <w:r>
              <w:rPr>
                <w:sz w:val="20"/>
                <w:szCs w:val="20"/>
              </w:rPr>
              <w:t>33 100</w:t>
            </w:r>
          </w:p>
        </w:tc>
        <w:tc>
          <w:tcPr>
            <w:tcW w:w="527" w:type="pct"/>
          </w:tcPr>
          <w:p w14:paraId="36F95EA0" w14:textId="699E3745" w:rsidR="006A30FD" w:rsidRPr="00E02B33" w:rsidRDefault="00CE3CD9" w:rsidP="003411DA">
            <w:pPr>
              <w:shd w:val="clear" w:color="auto" w:fill="FFFFFF" w:themeFill="background1"/>
              <w:spacing w:before="20" w:after="20"/>
              <w:jc w:val="right"/>
              <w:rPr>
                <w:sz w:val="20"/>
                <w:szCs w:val="20"/>
              </w:rPr>
            </w:pPr>
            <w:r>
              <w:rPr>
                <w:sz w:val="20"/>
                <w:szCs w:val="20"/>
              </w:rPr>
              <w:t>9 600</w:t>
            </w:r>
          </w:p>
        </w:tc>
      </w:tr>
      <w:tr w:rsidR="006A30FD" w:rsidRPr="00E02B33" w14:paraId="6AC3F81C" w14:textId="77777777" w:rsidTr="008F7876">
        <w:trPr>
          <w:trHeight w:val="221"/>
        </w:trPr>
        <w:tc>
          <w:tcPr>
            <w:tcW w:w="912" w:type="pct"/>
            <w:vMerge w:val="restart"/>
          </w:tcPr>
          <w:p w14:paraId="554BE7F2" w14:textId="77777777" w:rsidR="006A30FD" w:rsidRPr="008B3228" w:rsidRDefault="006A30FD" w:rsidP="003411DA">
            <w:pPr>
              <w:widowControl w:val="0"/>
              <w:spacing w:before="20" w:after="20"/>
              <w:jc w:val="left"/>
              <w:rPr>
                <w:i/>
                <w:iCs/>
                <w:sz w:val="20"/>
                <w:szCs w:val="20"/>
                <w:lang w:val="fr-CA"/>
              </w:rPr>
            </w:pPr>
            <w:r>
              <w:rPr>
                <w:sz w:val="20"/>
                <w:szCs w:val="20"/>
                <w:lang w:val="fr-CA"/>
              </w:rPr>
              <w:t>Appui spécialisé pour l'entretien des équipements de réfrigération et de climatisation</w:t>
            </w:r>
          </w:p>
        </w:tc>
        <w:tc>
          <w:tcPr>
            <w:tcW w:w="2456" w:type="pct"/>
          </w:tcPr>
          <w:p w14:paraId="5C0E06BB" w14:textId="77777777" w:rsidR="006A30FD" w:rsidRPr="008B3228" w:rsidRDefault="006A30FD" w:rsidP="003411DA">
            <w:pPr>
              <w:widowControl w:val="0"/>
              <w:spacing w:before="20" w:after="20"/>
              <w:jc w:val="left"/>
              <w:rPr>
                <w:sz w:val="20"/>
                <w:szCs w:val="20"/>
                <w:lang w:val="fr-CA"/>
              </w:rPr>
            </w:pPr>
            <w:r>
              <w:rPr>
                <w:i/>
                <w:iCs/>
                <w:sz w:val="20"/>
                <w:szCs w:val="20"/>
                <w:lang w:val="fr-CA"/>
              </w:rPr>
              <w:t xml:space="preserve">Formation et certification de techniciens en réfrigération et climatisation </w:t>
            </w:r>
            <w:r>
              <w:rPr>
                <w:sz w:val="20"/>
                <w:szCs w:val="20"/>
                <w:lang w:val="fr-CA"/>
              </w:rPr>
              <w:t xml:space="preserve">: </w:t>
            </w:r>
          </w:p>
          <w:p w14:paraId="21250947" w14:textId="47724E89" w:rsidR="006A30FD" w:rsidRPr="008B3228"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 xml:space="preserve">Évaluation de l'intégration des exigences de certification dans le cadre réglementaire, et élaboration et formalisation de normes nationales de compétence ; </w:t>
            </w:r>
          </w:p>
          <w:p w14:paraId="7BE4A7C9" w14:textId="4D62EF69" w:rsidR="00B62645" w:rsidRPr="008B3228" w:rsidRDefault="00E7025F" w:rsidP="003411DA">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Élaboration de la structure et mise en œuvre d’un système de certification, y compris une formation standardisée ; procédures d’évaluation ; élaboration de guides de formation et d’outils d’évaluation standardisés ;</w:t>
            </w:r>
          </w:p>
          <w:p w14:paraId="0350B9E6" w14:textId="0A1F6647" w:rsidR="006A30FD" w:rsidRPr="008B3228"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Lancement d’un module de certification HC et formation pilote avec 8 à 10 techniciens (avec comme cible 1 femme) ;</w:t>
            </w:r>
          </w:p>
          <w:p w14:paraId="4AF8644D" w14:textId="77777777" w:rsidR="006A30FD" w:rsidRPr="008B3228"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Création d'un registre des techniciens comprenant les techniciens qualifiés en HC ;</w:t>
            </w:r>
          </w:p>
          <w:p w14:paraId="362CBD36" w14:textId="43A1BD5A" w:rsidR="006A30FD" w:rsidRPr="008B3228"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Mise à jour du programme de formation pour y inclure les bonnes pratiques d'entretien, la sécurité des fluides à faible PRP/HC et la récupération et la réutilisation ;</w:t>
            </w:r>
          </w:p>
          <w:p w14:paraId="6D6385EC" w14:textId="161AA008" w:rsidR="006A30FD" w:rsidRPr="008B3228" w:rsidRDefault="006A30FD" w:rsidP="003411DA">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Un programme de formation des formateurs destiné à 1 à 2 instructeurs certifiés au niveau national, deux ateliers de formation pouvant accueillir jusqu'à 20 à 25 techniciens (avec une cible de 1 à 2 femmes).</w:t>
            </w:r>
          </w:p>
        </w:tc>
        <w:tc>
          <w:tcPr>
            <w:tcW w:w="577" w:type="pct"/>
          </w:tcPr>
          <w:p w14:paraId="1E15AF9D" w14:textId="77777777" w:rsidR="006A30FD" w:rsidRPr="00E02B33" w:rsidRDefault="006A30FD" w:rsidP="003411DA">
            <w:pPr>
              <w:spacing w:before="20" w:after="20"/>
              <w:jc w:val="center"/>
              <w:rPr>
                <w:sz w:val="20"/>
                <w:szCs w:val="20"/>
              </w:rPr>
            </w:pPr>
            <w:r>
              <w:rPr>
                <w:sz w:val="20"/>
                <w:szCs w:val="20"/>
              </w:rPr>
              <w:t>PNUE</w:t>
            </w:r>
          </w:p>
        </w:tc>
        <w:tc>
          <w:tcPr>
            <w:tcW w:w="529" w:type="pct"/>
          </w:tcPr>
          <w:p w14:paraId="40FEDDB2" w14:textId="6CB156D3" w:rsidR="006A30FD" w:rsidRPr="00E02B33" w:rsidRDefault="00EE62EB" w:rsidP="003411DA">
            <w:pPr>
              <w:spacing w:before="20" w:after="20"/>
              <w:jc w:val="right"/>
              <w:rPr>
                <w:sz w:val="20"/>
                <w:szCs w:val="20"/>
              </w:rPr>
            </w:pPr>
            <w:r>
              <w:rPr>
                <w:sz w:val="20"/>
                <w:szCs w:val="20"/>
              </w:rPr>
              <w:t>52 200</w:t>
            </w:r>
          </w:p>
        </w:tc>
        <w:tc>
          <w:tcPr>
            <w:tcW w:w="527" w:type="pct"/>
          </w:tcPr>
          <w:p w14:paraId="0C8BD055" w14:textId="6BE8C77B" w:rsidR="006A30FD" w:rsidRPr="00E02B33" w:rsidRDefault="00EE62EB" w:rsidP="003411DA">
            <w:pPr>
              <w:spacing w:before="20" w:after="20"/>
              <w:jc w:val="right"/>
              <w:rPr>
                <w:sz w:val="20"/>
                <w:szCs w:val="20"/>
              </w:rPr>
            </w:pPr>
            <w:r>
              <w:rPr>
                <w:sz w:val="20"/>
                <w:szCs w:val="20"/>
              </w:rPr>
              <w:t>27 300</w:t>
            </w:r>
          </w:p>
        </w:tc>
      </w:tr>
      <w:tr w:rsidR="006A30FD" w:rsidRPr="00E02B33" w14:paraId="6C3E6666" w14:textId="77777777" w:rsidTr="008F7876">
        <w:trPr>
          <w:trHeight w:val="2175"/>
        </w:trPr>
        <w:tc>
          <w:tcPr>
            <w:tcW w:w="912" w:type="pct"/>
            <w:vMerge/>
          </w:tcPr>
          <w:p w14:paraId="7B1242F4" w14:textId="77777777" w:rsidR="006A30FD" w:rsidRPr="00E02B33" w:rsidRDefault="006A30FD" w:rsidP="003411DA">
            <w:pPr>
              <w:widowControl w:val="0"/>
              <w:spacing w:before="20" w:after="20"/>
              <w:jc w:val="left"/>
              <w:rPr>
                <w:sz w:val="20"/>
                <w:szCs w:val="20"/>
              </w:rPr>
            </w:pPr>
          </w:p>
        </w:tc>
        <w:tc>
          <w:tcPr>
            <w:tcW w:w="2456" w:type="pct"/>
          </w:tcPr>
          <w:p w14:paraId="069F835B" w14:textId="77777777" w:rsidR="006A30FD" w:rsidRPr="008B3228" w:rsidRDefault="006A30FD" w:rsidP="003411DA">
            <w:pPr>
              <w:shd w:val="clear" w:color="auto" w:fill="FFFFFF" w:themeFill="background1"/>
              <w:spacing w:before="20" w:after="20"/>
              <w:jc w:val="left"/>
              <w:rPr>
                <w:i/>
                <w:iCs/>
                <w:sz w:val="20"/>
                <w:szCs w:val="20"/>
                <w:lang w:val="fr-CA"/>
              </w:rPr>
            </w:pPr>
            <w:r>
              <w:rPr>
                <w:i/>
                <w:iCs/>
                <w:sz w:val="20"/>
                <w:szCs w:val="20"/>
                <w:lang w:val="fr-CA"/>
              </w:rPr>
              <w:t xml:space="preserve">Coordination institutionnelle et association RAC : </w:t>
            </w:r>
          </w:p>
          <w:p w14:paraId="307EDF26" w14:textId="77777777" w:rsidR="006A30FD" w:rsidRPr="008B3228" w:rsidRDefault="006A30FD" w:rsidP="003411DA">
            <w:pPr>
              <w:pStyle w:val="ListParagraph"/>
              <w:numPr>
                <w:ilvl w:val="0"/>
                <w:numId w:val="21"/>
              </w:numPr>
              <w:shd w:val="clear" w:color="auto" w:fill="FFFFFF" w:themeFill="background1"/>
              <w:spacing w:before="20" w:after="20"/>
              <w:ind w:left="179" w:hanging="179"/>
              <w:jc w:val="left"/>
              <w:rPr>
                <w:i/>
                <w:iCs/>
                <w:sz w:val="20"/>
                <w:szCs w:val="20"/>
                <w:lang w:val="fr-CA"/>
              </w:rPr>
            </w:pPr>
            <w:r>
              <w:rPr>
                <w:sz w:val="20"/>
                <w:szCs w:val="20"/>
                <w:lang w:val="fr-CA"/>
              </w:rPr>
              <w:t>Reconstitution, enregistrement légal et renforcement opérationnel de l’association nationale RAC ;</w:t>
            </w:r>
          </w:p>
          <w:p w14:paraId="0E438B46" w14:textId="7F4F3394" w:rsidR="006A30FD" w:rsidRPr="008B3228" w:rsidRDefault="006A30FD" w:rsidP="003411DA">
            <w:pPr>
              <w:pStyle w:val="ListParagraph"/>
              <w:numPr>
                <w:ilvl w:val="0"/>
                <w:numId w:val="21"/>
              </w:numPr>
              <w:shd w:val="clear" w:color="auto" w:fill="FFFFFF" w:themeFill="background1"/>
              <w:spacing w:before="20" w:after="20"/>
              <w:ind w:left="179" w:hanging="179"/>
              <w:jc w:val="left"/>
              <w:rPr>
                <w:i/>
                <w:iCs/>
                <w:sz w:val="20"/>
                <w:szCs w:val="20"/>
                <w:lang w:val="fr-CA"/>
              </w:rPr>
            </w:pPr>
            <w:r>
              <w:rPr>
                <w:sz w:val="20"/>
                <w:szCs w:val="20"/>
                <w:lang w:val="fr-CA"/>
              </w:rPr>
              <w:t xml:space="preserve">Mise en place de structures de gouvernance et d’adhésion, d’une constitution et d’un règlement intérieur, d’un cadre de compte rendu à l’UNO, et d’un modèle de viabilité financière ; </w:t>
            </w:r>
          </w:p>
          <w:p w14:paraId="5042C76F" w14:textId="7C2E00AA" w:rsidR="006A30FD" w:rsidRPr="008B3228" w:rsidRDefault="006A30FD" w:rsidP="003411DA">
            <w:pPr>
              <w:pStyle w:val="ListParagraph"/>
              <w:numPr>
                <w:ilvl w:val="0"/>
                <w:numId w:val="21"/>
              </w:numPr>
              <w:shd w:val="clear" w:color="auto" w:fill="FFFFFF" w:themeFill="background1"/>
              <w:spacing w:before="20" w:after="20"/>
              <w:ind w:left="179" w:hanging="179"/>
              <w:jc w:val="left"/>
              <w:rPr>
                <w:i/>
                <w:iCs/>
                <w:sz w:val="20"/>
                <w:szCs w:val="20"/>
                <w:lang w:val="fr-CA"/>
              </w:rPr>
            </w:pPr>
            <w:r>
              <w:rPr>
                <w:sz w:val="20"/>
                <w:szCs w:val="20"/>
                <w:lang w:val="fr-CA"/>
              </w:rPr>
              <w:t>Un atelier de planification stratégique ;</w:t>
            </w:r>
            <w:r>
              <w:rPr>
                <w:sz w:val="20"/>
                <w:szCs w:val="20"/>
                <w:vertAlign w:val="superscript"/>
              </w:rPr>
              <w:footnoteReference w:id="15"/>
            </w:r>
            <w:r>
              <w:rPr>
                <w:sz w:val="20"/>
                <w:szCs w:val="20"/>
                <w:lang w:val="fr-CA"/>
              </w:rPr>
              <w:t xml:space="preserve"> et</w:t>
            </w:r>
          </w:p>
          <w:p w14:paraId="1E84D3B3" w14:textId="77777777" w:rsidR="006A30FD" w:rsidRPr="008B3228" w:rsidRDefault="006A30FD" w:rsidP="00F30178">
            <w:pPr>
              <w:pStyle w:val="ListParagraph"/>
              <w:numPr>
                <w:ilvl w:val="0"/>
                <w:numId w:val="21"/>
              </w:numPr>
              <w:shd w:val="clear" w:color="auto" w:fill="FFFFFF" w:themeFill="background1"/>
              <w:spacing w:before="20"/>
              <w:ind w:left="179" w:hanging="179"/>
              <w:jc w:val="left"/>
              <w:rPr>
                <w:i/>
                <w:iCs/>
                <w:sz w:val="20"/>
                <w:szCs w:val="20"/>
                <w:lang w:val="fr-CA"/>
              </w:rPr>
            </w:pPr>
            <w:r>
              <w:rPr>
                <w:sz w:val="20"/>
                <w:szCs w:val="20"/>
                <w:lang w:val="fr-CA"/>
              </w:rPr>
              <w:t>Définition de mécanismes de coordination entre les institutions des deux îles et clarification des rôles institutionnels en matière de certification, de rapports et de contrôle de la conformité.</w:t>
            </w:r>
          </w:p>
        </w:tc>
        <w:tc>
          <w:tcPr>
            <w:tcW w:w="577" w:type="pct"/>
          </w:tcPr>
          <w:p w14:paraId="68BA4ACC" w14:textId="77777777" w:rsidR="006A30FD" w:rsidRPr="00E02B33" w:rsidRDefault="006A30FD" w:rsidP="003411DA">
            <w:pPr>
              <w:spacing w:before="20" w:after="20"/>
              <w:jc w:val="center"/>
              <w:rPr>
                <w:sz w:val="20"/>
                <w:szCs w:val="20"/>
              </w:rPr>
            </w:pPr>
            <w:r>
              <w:rPr>
                <w:sz w:val="20"/>
                <w:szCs w:val="20"/>
              </w:rPr>
              <w:t>PNUE</w:t>
            </w:r>
          </w:p>
        </w:tc>
        <w:tc>
          <w:tcPr>
            <w:tcW w:w="529" w:type="pct"/>
          </w:tcPr>
          <w:p w14:paraId="4DD46CF8" w14:textId="58571632" w:rsidR="006A30FD" w:rsidRPr="00E02B33" w:rsidRDefault="00EE62EB" w:rsidP="003411DA">
            <w:pPr>
              <w:spacing w:before="20" w:after="20"/>
              <w:jc w:val="right"/>
              <w:rPr>
                <w:sz w:val="20"/>
                <w:szCs w:val="20"/>
              </w:rPr>
            </w:pPr>
            <w:r>
              <w:rPr>
                <w:sz w:val="20"/>
                <w:szCs w:val="20"/>
              </w:rPr>
              <w:t>11 300</w:t>
            </w:r>
          </w:p>
        </w:tc>
        <w:tc>
          <w:tcPr>
            <w:tcW w:w="527" w:type="pct"/>
          </w:tcPr>
          <w:p w14:paraId="69653F68" w14:textId="294A4431" w:rsidR="006A30FD" w:rsidRPr="00E02B33" w:rsidRDefault="00EE62EB" w:rsidP="003411DA">
            <w:pPr>
              <w:spacing w:before="20" w:after="20"/>
              <w:jc w:val="right"/>
              <w:rPr>
                <w:sz w:val="20"/>
                <w:szCs w:val="20"/>
              </w:rPr>
            </w:pPr>
            <w:r>
              <w:rPr>
                <w:sz w:val="20"/>
                <w:szCs w:val="20"/>
              </w:rPr>
              <w:t>9 000</w:t>
            </w:r>
          </w:p>
        </w:tc>
      </w:tr>
      <w:tr w:rsidR="006A30FD" w:rsidRPr="00E02B33" w14:paraId="3ED0B672" w14:textId="77777777" w:rsidTr="008F7876">
        <w:trPr>
          <w:trHeight w:val="220"/>
        </w:trPr>
        <w:tc>
          <w:tcPr>
            <w:tcW w:w="912" w:type="pct"/>
            <w:vMerge/>
          </w:tcPr>
          <w:p w14:paraId="30EB4D4B" w14:textId="77777777" w:rsidR="006A30FD" w:rsidRPr="00E02B33" w:rsidRDefault="006A30FD" w:rsidP="003411DA">
            <w:pPr>
              <w:spacing w:before="20" w:after="20"/>
              <w:jc w:val="left"/>
              <w:rPr>
                <w:i/>
                <w:iCs/>
                <w:sz w:val="20"/>
                <w:szCs w:val="20"/>
              </w:rPr>
            </w:pPr>
          </w:p>
        </w:tc>
        <w:tc>
          <w:tcPr>
            <w:tcW w:w="2456" w:type="pct"/>
          </w:tcPr>
          <w:p w14:paraId="4E010200" w14:textId="14FB5F13" w:rsidR="006A30FD" w:rsidRPr="008B3228" w:rsidRDefault="006A30FD" w:rsidP="003411DA">
            <w:pPr>
              <w:spacing w:before="20" w:after="20"/>
              <w:jc w:val="left"/>
              <w:rPr>
                <w:sz w:val="20"/>
                <w:szCs w:val="20"/>
                <w:lang w:val="fr-CA"/>
              </w:rPr>
            </w:pPr>
            <w:r>
              <w:rPr>
                <w:i/>
                <w:iCs/>
                <w:sz w:val="20"/>
                <w:szCs w:val="20"/>
                <w:lang w:val="fr-CA"/>
              </w:rPr>
              <w:t xml:space="preserve">Programme national de récupération et de recyclage </w:t>
            </w:r>
            <w:r>
              <w:rPr>
                <w:sz w:val="20"/>
                <w:szCs w:val="20"/>
                <w:lang w:val="fr-CA"/>
              </w:rPr>
              <w:t>:</w:t>
            </w:r>
          </w:p>
          <w:p w14:paraId="61A33961" w14:textId="18B79A47" w:rsidR="00AD2E11" w:rsidRPr="008B3228" w:rsidRDefault="006A30FD" w:rsidP="00F30178">
            <w:pPr>
              <w:pStyle w:val="ListParagraph"/>
              <w:shd w:val="clear" w:color="auto" w:fill="FFFFFF" w:themeFill="background1"/>
              <w:spacing w:before="20" w:after="20"/>
              <w:ind w:left="179"/>
              <w:jc w:val="left"/>
              <w:rPr>
                <w:sz w:val="20"/>
                <w:szCs w:val="20"/>
                <w:lang w:val="fr-CA"/>
              </w:rPr>
            </w:pPr>
            <w:r>
              <w:rPr>
                <w:sz w:val="20"/>
                <w:szCs w:val="20"/>
                <w:lang w:val="fr-CA"/>
              </w:rPr>
              <w:t xml:space="preserve">Mise en œuvre des systèmes de récupération par le biais d’une évaluation des besoins afin d’élaborer un modèle économique et un cadre de durabilité ; et inventaire des équipements contenant des HCFC ; </w:t>
            </w:r>
          </w:p>
          <w:p w14:paraId="17B685FB" w14:textId="609C842D"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Provisionnement progressif d'équipements pour rendre les systèmes de récupération opérationnels ;</w:t>
            </w:r>
            <w:r>
              <w:rPr>
                <w:sz w:val="20"/>
                <w:szCs w:val="20"/>
                <w:vertAlign w:val="superscript"/>
              </w:rPr>
              <w:footnoteReference w:id="16"/>
            </w:r>
            <w:r>
              <w:rPr>
                <w:sz w:val="20"/>
                <w:szCs w:val="20"/>
                <w:lang w:val="fr-CA"/>
              </w:rPr>
              <w:t xml:space="preserve"> </w:t>
            </w:r>
          </w:p>
          <w:p w14:paraId="503EA8B4" w14:textId="5CD025A5"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lastRenderedPageBreak/>
              <w:t>Intégration des pratiques de récupération dans le cadre national de certification des techniciens ;</w:t>
            </w:r>
          </w:p>
          <w:p w14:paraId="0EDAD5EA" w14:textId="77777777"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 xml:space="preserve">Mise en place de procédures d’inspection coordonnées ; et mise en place d’un système de suivi et d’étiquetage des équipements ; </w:t>
            </w:r>
          </w:p>
          <w:p w14:paraId="7C4D2149" w14:textId="77777777"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 xml:space="preserve">Protocoles de maintenance, de stockage, d’utilisation finale et d’établissement de rapports ; et </w:t>
            </w:r>
          </w:p>
          <w:p w14:paraId="3602DEF6" w14:textId="6007F678" w:rsidR="006A30FD" w:rsidRPr="008B3228" w:rsidRDefault="006A30FD" w:rsidP="003411DA">
            <w:pPr>
              <w:pStyle w:val="ListParagraph"/>
              <w:numPr>
                <w:ilvl w:val="0"/>
                <w:numId w:val="21"/>
              </w:numPr>
              <w:shd w:val="clear" w:color="auto" w:fill="FFFFFF" w:themeFill="background1"/>
              <w:spacing w:before="20" w:after="20"/>
              <w:ind w:left="179" w:hanging="179"/>
              <w:jc w:val="left"/>
              <w:rPr>
                <w:sz w:val="20"/>
                <w:szCs w:val="20"/>
                <w:lang w:val="fr-CA"/>
              </w:rPr>
            </w:pPr>
            <w:r>
              <w:rPr>
                <w:sz w:val="20"/>
                <w:szCs w:val="20"/>
                <w:lang w:val="fr-CA"/>
              </w:rPr>
              <w:t xml:space="preserve">Formation d’au moins 15 techniciens (avec une cible de 5 % de femmes) sur la récupération, la gestion des </w:t>
            </w:r>
            <w:r w:rsidR="00301093">
              <w:rPr>
                <w:sz w:val="20"/>
                <w:szCs w:val="20"/>
                <w:lang w:val="fr-CA"/>
              </w:rPr>
              <w:t>cylindres</w:t>
            </w:r>
            <w:r>
              <w:rPr>
                <w:sz w:val="20"/>
                <w:szCs w:val="20"/>
                <w:lang w:val="fr-CA"/>
              </w:rPr>
              <w:t>, la détection et la prévention des fuites, la manipulation en toute sécurité des réfrigérants à faible PRP, la tenue des registres et l’établissement de rapports.</w:t>
            </w:r>
          </w:p>
        </w:tc>
        <w:tc>
          <w:tcPr>
            <w:tcW w:w="577" w:type="pct"/>
          </w:tcPr>
          <w:p w14:paraId="27305D82" w14:textId="77777777" w:rsidR="006A30FD" w:rsidRPr="00E02B33" w:rsidRDefault="006A30FD" w:rsidP="003411DA">
            <w:pPr>
              <w:spacing w:before="20" w:after="20"/>
              <w:jc w:val="center"/>
              <w:rPr>
                <w:sz w:val="20"/>
                <w:szCs w:val="20"/>
              </w:rPr>
            </w:pPr>
            <w:r>
              <w:rPr>
                <w:sz w:val="20"/>
                <w:szCs w:val="20"/>
              </w:rPr>
              <w:lastRenderedPageBreak/>
              <w:t>ONUDI</w:t>
            </w:r>
          </w:p>
        </w:tc>
        <w:tc>
          <w:tcPr>
            <w:tcW w:w="529" w:type="pct"/>
          </w:tcPr>
          <w:p w14:paraId="05800B6A" w14:textId="23FCF2F7" w:rsidR="006A30FD" w:rsidRPr="00E02B33" w:rsidRDefault="0060340A" w:rsidP="003411DA">
            <w:pPr>
              <w:spacing w:before="20" w:after="20"/>
              <w:jc w:val="right"/>
              <w:rPr>
                <w:sz w:val="20"/>
                <w:szCs w:val="20"/>
              </w:rPr>
            </w:pPr>
            <w:r>
              <w:rPr>
                <w:sz w:val="20"/>
                <w:szCs w:val="20"/>
              </w:rPr>
              <w:t>57 300</w:t>
            </w:r>
          </w:p>
        </w:tc>
        <w:tc>
          <w:tcPr>
            <w:tcW w:w="527" w:type="pct"/>
          </w:tcPr>
          <w:p w14:paraId="1C42840D" w14:textId="5C535A4C" w:rsidR="006A30FD" w:rsidRPr="00E02B33" w:rsidRDefault="0060340A" w:rsidP="003411DA">
            <w:pPr>
              <w:spacing w:before="20" w:after="20"/>
              <w:jc w:val="right"/>
              <w:rPr>
                <w:sz w:val="20"/>
                <w:szCs w:val="20"/>
              </w:rPr>
            </w:pPr>
            <w:r>
              <w:rPr>
                <w:sz w:val="20"/>
                <w:szCs w:val="20"/>
              </w:rPr>
              <w:t>35 000</w:t>
            </w:r>
          </w:p>
        </w:tc>
      </w:tr>
      <w:tr w:rsidR="006A30FD" w:rsidRPr="00E02B33" w14:paraId="60770611" w14:textId="77777777" w:rsidTr="008F7876">
        <w:trPr>
          <w:trHeight w:val="368"/>
        </w:trPr>
        <w:tc>
          <w:tcPr>
            <w:tcW w:w="912" w:type="pct"/>
            <w:tcBorders>
              <w:bottom w:val="single" w:sz="4" w:space="0" w:color="auto"/>
            </w:tcBorders>
          </w:tcPr>
          <w:p w14:paraId="67F41771" w14:textId="77777777" w:rsidR="006A30FD" w:rsidRPr="008B3228" w:rsidRDefault="006A30FD" w:rsidP="00F30178">
            <w:pPr>
              <w:widowControl w:val="0"/>
              <w:shd w:val="clear" w:color="auto" w:fill="FFFFFF" w:themeFill="background1"/>
              <w:spacing w:before="20" w:after="20"/>
              <w:jc w:val="left"/>
              <w:rPr>
                <w:i/>
                <w:iCs/>
                <w:sz w:val="20"/>
                <w:szCs w:val="20"/>
                <w:lang w:val="fr-CA"/>
              </w:rPr>
            </w:pPr>
            <w:r>
              <w:rPr>
                <w:rStyle w:val="s1"/>
                <w:rFonts w:eastAsiaTheme="majorEastAsia"/>
                <w:sz w:val="20"/>
                <w:szCs w:val="20"/>
                <w:lang w:val="fr-CA"/>
              </w:rPr>
              <w:t>Sensibilisation du public et mobilisation des jeunes</w:t>
            </w:r>
          </w:p>
        </w:tc>
        <w:tc>
          <w:tcPr>
            <w:tcW w:w="2456" w:type="pct"/>
            <w:tcBorders>
              <w:bottom w:val="single" w:sz="4" w:space="0" w:color="auto"/>
            </w:tcBorders>
          </w:tcPr>
          <w:p w14:paraId="1A3436B3" w14:textId="4FC3EE06" w:rsidR="006A30FD" w:rsidRPr="008B3228" w:rsidRDefault="006A30FD" w:rsidP="00F30178">
            <w:pPr>
              <w:widowControl w:val="0"/>
              <w:shd w:val="clear" w:color="auto" w:fill="FFFFFF" w:themeFill="background1"/>
              <w:spacing w:before="20" w:after="20"/>
              <w:jc w:val="left"/>
              <w:rPr>
                <w:i/>
                <w:iCs/>
                <w:sz w:val="20"/>
                <w:szCs w:val="20"/>
                <w:lang w:val="fr-CA"/>
              </w:rPr>
            </w:pPr>
            <w:r>
              <w:rPr>
                <w:i/>
                <w:iCs/>
                <w:sz w:val="20"/>
                <w:szCs w:val="20"/>
                <w:lang w:val="fr-CA"/>
              </w:rPr>
              <w:t xml:space="preserve">Sensibilisation du public, programme destiné aux jeunes et campagne de sensibilisation ciblant les femmes : </w:t>
            </w:r>
          </w:p>
          <w:p w14:paraId="6023330A" w14:textId="4205D61A" w:rsidR="006A30FD" w:rsidRPr="008B3228" w:rsidRDefault="006A30FD" w:rsidP="00F30178">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 xml:space="preserve">Initiatives de sensibilisation du public sur les deux îles concernant la protection de la couche d'ozone et les alternatives respectueuses du climat, les carrières dans le secteur de la climatisation et des réfrigérateurs (RAC) et les technologies à faible potentiel de réchauffement global (PRP), y compris la participation du public à la mise en œuvre de la phase II, ainsi que l'élaboration et la distribution de matériel de sensibilisation ; </w:t>
            </w:r>
          </w:p>
          <w:p w14:paraId="4D898175" w14:textId="3B93B6E5" w:rsidR="006A30FD" w:rsidRPr="008B3228" w:rsidRDefault="00F94052" w:rsidP="00F30178">
            <w:pPr>
              <w:pStyle w:val="ListParagraph"/>
              <w:widowControl w:val="0"/>
              <w:numPr>
                <w:ilvl w:val="0"/>
                <w:numId w:val="21"/>
              </w:numPr>
              <w:shd w:val="clear" w:color="auto" w:fill="FFFFFF" w:themeFill="background1"/>
              <w:spacing w:before="20" w:after="20"/>
              <w:ind w:left="179" w:hanging="179"/>
              <w:jc w:val="left"/>
              <w:rPr>
                <w:sz w:val="20"/>
                <w:szCs w:val="20"/>
                <w:lang w:val="fr-CA"/>
              </w:rPr>
            </w:pPr>
            <w:r>
              <w:rPr>
                <w:sz w:val="20"/>
                <w:szCs w:val="20"/>
                <w:lang w:val="fr-CA"/>
              </w:rPr>
              <w:t>Activités d'engagement des jeunes</w:t>
            </w:r>
            <w:r>
              <w:rPr>
                <w:sz w:val="20"/>
                <w:szCs w:val="20"/>
              </w:rPr>
              <w:footnoteReference w:id="17"/>
            </w:r>
            <w:r>
              <w:rPr>
                <w:sz w:val="20"/>
                <w:szCs w:val="20"/>
                <w:lang w:val="fr-CA"/>
              </w:rPr>
              <w:t xml:space="preserve"> , programme de formation d'ambassadeurs de la jeunesse sur les thèmes de l'ozone et du climat, comprenant une boîte à outils pédagogique et la production de courtes vidéos ; et activités de vulgarisation ciblées pour promouvoir la participation des femmes dans le secteur du secteur RAC, notamment une session dédiée à la sensibilisation aux carrières s'adressant aux élèves de sexe féminin des écoles secondaires et des établissements professionnels participants, présentant les parcours professionnels techniques dans le secteur RAC.</w:t>
            </w:r>
          </w:p>
        </w:tc>
        <w:tc>
          <w:tcPr>
            <w:tcW w:w="577" w:type="pct"/>
            <w:tcBorders>
              <w:bottom w:val="single" w:sz="4" w:space="0" w:color="auto"/>
            </w:tcBorders>
          </w:tcPr>
          <w:p w14:paraId="2F38389A" w14:textId="77777777" w:rsidR="006A30FD" w:rsidRPr="00E02B33" w:rsidRDefault="006A30FD" w:rsidP="00F30178">
            <w:pPr>
              <w:widowControl w:val="0"/>
              <w:spacing w:before="20" w:after="20"/>
              <w:jc w:val="center"/>
              <w:rPr>
                <w:sz w:val="20"/>
                <w:szCs w:val="20"/>
              </w:rPr>
            </w:pPr>
            <w:r>
              <w:rPr>
                <w:sz w:val="20"/>
                <w:szCs w:val="20"/>
              </w:rPr>
              <w:t>PNUE</w:t>
            </w:r>
          </w:p>
        </w:tc>
        <w:tc>
          <w:tcPr>
            <w:tcW w:w="529" w:type="pct"/>
          </w:tcPr>
          <w:p w14:paraId="1AE03048" w14:textId="352DFF27" w:rsidR="006A30FD" w:rsidRPr="00253FE6" w:rsidRDefault="0060340A" w:rsidP="00F30178">
            <w:pPr>
              <w:widowControl w:val="0"/>
              <w:shd w:val="clear" w:color="auto" w:fill="FFFFFF" w:themeFill="background1"/>
              <w:spacing w:before="20" w:after="20"/>
              <w:jc w:val="right"/>
              <w:rPr>
                <w:sz w:val="20"/>
                <w:szCs w:val="20"/>
              </w:rPr>
            </w:pPr>
            <w:r>
              <w:rPr>
                <w:sz w:val="20"/>
                <w:szCs w:val="20"/>
              </w:rPr>
              <w:t>9 530</w:t>
            </w:r>
          </w:p>
        </w:tc>
        <w:tc>
          <w:tcPr>
            <w:tcW w:w="527" w:type="pct"/>
          </w:tcPr>
          <w:p w14:paraId="25A906CF" w14:textId="300EEA02" w:rsidR="006A30FD" w:rsidRPr="00253FE6" w:rsidRDefault="0060340A" w:rsidP="00F30178">
            <w:pPr>
              <w:widowControl w:val="0"/>
              <w:shd w:val="clear" w:color="auto" w:fill="FFFFFF" w:themeFill="background1"/>
              <w:spacing w:before="20" w:after="20"/>
              <w:jc w:val="right"/>
              <w:rPr>
                <w:sz w:val="20"/>
                <w:szCs w:val="20"/>
              </w:rPr>
            </w:pPr>
            <w:r>
              <w:rPr>
                <w:sz w:val="20"/>
                <w:szCs w:val="20"/>
              </w:rPr>
              <w:t>5 000</w:t>
            </w:r>
          </w:p>
        </w:tc>
      </w:tr>
      <w:tr w:rsidR="006A30FD" w:rsidRPr="00E02B33" w14:paraId="59B39FEE" w14:textId="77777777" w:rsidTr="008F7876">
        <w:trPr>
          <w:trHeight w:val="368"/>
        </w:trPr>
        <w:tc>
          <w:tcPr>
            <w:tcW w:w="912" w:type="pct"/>
            <w:tcBorders>
              <w:bottom w:val="single" w:sz="4" w:space="0" w:color="auto"/>
            </w:tcBorders>
          </w:tcPr>
          <w:p w14:paraId="5130B655" w14:textId="77777777" w:rsidR="006A30FD" w:rsidRPr="00E02B33" w:rsidRDefault="006A30FD" w:rsidP="00F30178">
            <w:pPr>
              <w:widowControl w:val="0"/>
              <w:shd w:val="clear" w:color="auto" w:fill="FFFFFF" w:themeFill="background1"/>
              <w:spacing w:before="20" w:after="20"/>
              <w:jc w:val="left"/>
              <w:rPr>
                <w:sz w:val="20"/>
                <w:szCs w:val="20"/>
              </w:rPr>
            </w:pPr>
            <w:r>
              <w:rPr>
                <w:sz w:val="20"/>
                <w:szCs w:val="20"/>
              </w:rPr>
              <w:t>Efficacité énergétique</w:t>
            </w:r>
          </w:p>
        </w:tc>
        <w:tc>
          <w:tcPr>
            <w:tcW w:w="2456" w:type="pct"/>
            <w:tcBorders>
              <w:bottom w:val="single" w:sz="4" w:space="0" w:color="auto"/>
            </w:tcBorders>
          </w:tcPr>
          <w:p w14:paraId="54CFB3E5" w14:textId="63DB2063" w:rsidR="006A30FD" w:rsidRPr="008B3228" w:rsidRDefault="006A30FD" w:rsidP="00F30178">
            <w:pPr>
              <w:widowControl w:val="0"/>
              <w:shd w:val="clear" w:color="auto" w:fill="FFFFFF" w:themeFill="background1"/>
              <w:spacing w:before="20" w:after="20"/>
              <w:jc w:val="left"/>
              <w:rPr>
                <w:i/>
                <w:iCs/>
                <w:sz w:val="20"/>
                <w:szCs w:val="20"/>
                <w:lang w:val="fr-CA"/>
              </w:rPr>
            </w:pPr>
            <w:r>
              <w:rPr>
                <w:i/>
                <w:iCs/>
                <w:sz w:val="20"/>
                <w:szCs w:val="20"/>
                <w:lang w:val="fr-CA"/>
              </w:rPr>
              <w:t xml:space="preserve">Activités visant à maintenir l'efficacité énergétique dans le secteur de l'entretien des équipements de réfrigération et de climatisation (RAC) : </w:t>
            </w:r>
            <w:r>
              <w:rPr>
                <w:sz w:val="20"/>
                <w:szCs w:val="20"/>
                <w:lang w:val="fr-CA"/>
              </w:rPr>
              <w:t>(voir paragraphe 19 ci-dessus)</w:t>
            </w:r>
          </w:p>
        </w:tc>
        <w:tc>
          <w:tcPr>
            <w:tcW w:w="577" w:type="pct"/>
            <w:tcBorders>
              <w:bottom w:val="single" w:sz="4" w:space="0" w:color="auto"/>
            </w:tcBorders>
          </w:tcPr>
          <w:p w14:paraId="3F3529F0" w14:textId="77777777" w:rsidR="006A30FD" w:rsidRPr="00E02B33" w:rsidRDefault="006A30FD" w:rsidP="00F30178">
            <w:pPr>
              <w:widowControl w:val="0"/>
              <w:spacing w:before="20" w:after="20"/>
              <w:jc w:val="center"/>
              <w:rPr>
                <w:sz w:val="20"/>
                <w:szCs w:val="20"/>
              </w:rPr>
            </w:pPr>
            <w:r>
              <w:rPr>
                <w:sz w:val="20"/>
                <w:szCs w:val="20"/>
              </w:rPr>
              <w:t>PNUE</w:t>
            </w:r>
          </w:p>
        </w:tc>
        <w:tc>
          <w:tcPr>
            <w:tcW w:w="529" w:type="pct"/>
          </w:tcPr>
          <w:p w14:paraId="7596BC8B" w14:textId="0426C8E4" w:rsidR="006A30FD" w:rsidRPr="00E02B33" w:rsidRDefault="006A30FD" w:rsidP="00F30178">
            <w:pPr>
              <w:widowControl w:val="0"/>
              <w:shd w:val="clear" w:color="auto" w:fill="FFFFFF" w:themeFill="background1"/>
              <w:spacing w:before="20" w:after="20"/>
              <w:jc w:val="right"/>
              <w:rPr>
                <w:sz w:val="20"/>
                <w:szCs w:val="20"/>
              </w:rPr>
            </w:pPr>
            <w:r>
              <w:rPr>
                <w:sz w:val="20"/>
                <w:szCs w:val="20"/>
              </w:rPr>
              <w:t>100 000</w:t>
            </w:r>
          </w:p>
        </w:tc>
        <w:tc>
          <w:tcPr>
            <w:tcW w:w="527" w:type="pct"/>
          </w:tcPr>
          <w:p w14:paraId="32CC10F7" w14:textId="6F464A1B" w:rsidR="006A30FD" w:rsidRPr="00E02B33" w:rsidRDefault="006A30FD" w:rsidP="00F30178">
            <w:pPr>
              <w:widowControl w:val="0"/>
              <w:shd w:val="clear" w:color="auto" w:fill="FFFFFF" w:themeFill="background1"/>
              <w:spacing w:before="20" w:after="20"/>
              <w:jc w:val="right"/>
              <w:rPr>
                <w:sz w:val="20"/>
                <w:szCs w:val="20"/>
              </w:rPr>
            </w:pPr>
            <w:r>
              <w:rPr>
                <w:sz w:val="20"/>
                <w:szCs w:val="20"/>
              </w:rPr>
              <w:t>40 000</w:t>
            </w:r>
          </w:p>
        </w:tc>
      </w:tr>
      <w:tr w:rsidR="006A30FD" w:rsidRPr="00E02B33" w14:paraId="6F7EFF64" w14:textId="77777777" w:rsidTr="008F7876">
        <w:trPr>
          <w:trHeight w:val="368"/>
        </w:trPr>
        <w:tc>
          <w:tcPr>
            <w:tcW w:w="912" w:type="pct"/>
            <w:tcBorders>
              <w:bottom w:val="single" w:sz="4" w:space="0" w:color="auto"/>
            </w:tcBorders>
          </w:tcPr>
          <w:p w14:paraId="5B0B633F" w14:textId="77777777" w:rsidR="006A30FD" w:rsidRPr="00E02B33" w:rsidRDefault="006A30FD" w:rsidP="00F30178">
            <w:pPr>
              <w:widowControl w:val="0"/>
              <w:shd w:val="clear" w:color="auto" w:fill="FFFFFF" w:themeFill="background1"/>
              <w:spacing w:before="20" w:after="20"/>
              <w:jc w:val="left"/>
              <w:rPr>
                <w:sz w:val="20"/>
                <w:szCs w:val="20"/>
              </w:rPr>
            </w:pPr>
            <w:r>
              <w:rPr>
                <w:sz w:val="20"/>
                <w:szCs w:val="20"/>
              </w:rPr>
              <w:t>Surveillance et rapports</w:t>
            </w:r>
          </w:p>
        </w:tc>
        <w:tc>
          <w:tcPr>
            <w:tcW w:w="2456" w:type="pct"/>
            <w:tcBorders>
              <w:bottom w:val="single" w:sz="4" w:space="0" w:color="auto"/>
            </w:tcBorders>
          </w:tcPr>
          <w:p w14:paraId="5EEB5668" w14:textId="31AF271F" w:rsidR="006A30FD" w:rsidRPr="008B3228" w:rsidRDefault="006A30FD" w:rsidP="00F30178">
            <w:pPr>
              <w:widowControl w:val="0"/>
              <w:shd w:val="clear" w:color="auto" w:fill="FFFFFF" w:themeFill="background1"/>
              <w:spacing w:before="20" w:after="20"/>
              <w:jc w:val="left"/>
              <w:rPr>
                <w:sz w:val="20"/>
                <w:szCs w:val="20"/>
                <w:lang w:val="fr-CA"/>
              </w:rPr>
            </w:pPr>
            <w:r>
              <w:rPr>
                <w:i/>
                <w:iCs/>
                <w:sz w:val="20"/>
                <w:szCs w:val="20"/>
                <w:lang w:val="fr-CA"/>
              </w:rPr>
              <w:t xml:space="preserve">Activités de suivi du projet </w:t>
            </w:r>
            <w:r>
              <w:rPr>
                <w:sz w:val="20"/>
                <w:szCs w:val="20"/>
                <w:lang w:val="fr-CA"/>
              </w:rPr>
              <w:t xml:space="preserve">: y compris le personnel et les consultants du projet (9 000 $US), les déplacements nationaux (3 200 $US), les réunions et ateliers (2 700 </w:t>
            </w:r>
            <w:r>
              <w:rPr>
                <w:sz w:val="20"/>
                <w:szCs w:val="20"/>
                <w:lang w:val="fr-CA"/>
              </w:rPr>
              <w:lastRenderedPageBreak/>
              <w:t>$US) et les rapports (6 670 $US)</w:t>
            </w:r>
          </w:p>
        </w:tc>
        <w:tc>
          <w:tcPr>
            <w:tcW w:w="577" w:type="pct"/>
            <w:tcBorders>
              <w:bottom w:val="single" w:sz="4" w:space="0" w:color="auto"/>
            </w:tcBorders>
          </w:tcPr>
          <w:p w14:paraId="055EAA8D" w14:textId="77777777" w:rsidR="006A30FD" w:rsidRPr="00E02B33" w:rsidRDefault="006A30FD" w:rsidP="00F30178">
            <w:pPr>
              <w:widowControl w:val="0"/>
              <w:spacing w:before="20" w:after="20"/>
              <w:jc w:val="center"/>
              <w:rPr>
                <w:sz w:val="20"/>
                <w:szCs w:val="20"/>
              </w:rPr>
            </w:pPr>
            <w:r>
              <w:rPr>
                <w:sz w:val="20"/>
                <w:szCs w:val="20"/>
              </w:rPr>
              <w:lastRenderedPageBreak/>
              <w:t>PNUE</w:t>
            </w:r>
          </w:p>
        </w:tc>
        <w:tc>
          <w:tcPr>
            <w:tcW w:w="529" w:type="pct"/>
          </w:tcPr>
          <w:p w14:paraId="1BC1A3BD" w14:textId="5FE65773" w:rsidR="006A30FD" w:rsidRPr="00E02B33" w:rsidRDefault="003062E7" w:rsidP="00F30178">
            <w:pPr>
              <w:widowControl w:val="0"/>
              <w:shd w:val="clear" w:color="auto" w:fill="FFFFFF" w:themeFill="background1"/>
              <w:spacing w:before="20" w:after="20"/>
              <w:jc w:val="right"/>
              <w:rPr>
                <w:sz w:val="20"/>
                <w:szCs w:val="20"/>
              </w:rPr>
            </w:pPr>
            <w:r>
              <w:rPr>
                <w:sz w:val="20"/>
                <w:szCs w:val="20"/>
              </w:rPr>
              <w:t>18 570</w:t>
            </w:r>
          </w:p>
        </w:tc>
        <w:tc>
          <w:tcPr>
            <w:tcW w:w="527" w:type="pct"/>
          </w:tcPr>
          <w:p w14:paraId="6EB34C32" w14:textId="5B10023C" w:rsidR="006A30FD" w:rsidRPr="00E02B33" w:rsidRDefault="003062E7" w:rsidP="00F30178">
            <w:pPr>
              <w:widowControl w:val="0"/>
              <w:shd w:val="clear" w:color="auto" w:fill="FFFFFF" w:themeFill="background1"/>
              <w:spacing w:before="20" w:after="20"/>
              <w:jc w:val="right"/>
              <w:rPr>
                <w:sz w:val="20"/>
                <w:szCs w:val="20"/>
              </w:rPr>
            </w:pPr>
            <w:r>
              <w:rPr>
                <w:sz w:val="20"/>
                <w:szCs w:val="20"/>
              </w:rPr>
              <w:t>9 000</w:t>
            </w:r>
          </w:p>
        </w:tc>
      </w:tr>
      <w:tr w:rsidR="00A87587" w:rsidRPr="00E02B33" w14:paraId="2CA42E4D" w14:textId="77777777" w:rsidTr="008F7876">
        <w:trPr>
          <w:trHeight w:val="225"/>
        </w:trPr>
        <w:tc>
          <w:tcPr>
            <w:tcW w:w="912" w:type="pct"/>
            <w:tcBorders>
              <w:top w:val="single" w:sz="4" w:space="0" w:color="auto"/>
              <w:left w:val="single" w:sz="4" w:space="0" w:color="auto"/>
              <w:bottom w:val="single" w:sz="4" w:space="0" w:color="auto"/>
              <w:right w:val="nil"/>
            </w:tcBorders>
          </w:tcPr>
          <w:p w14:paraId="76188873" w14:textId="77777777" w:rsidR="00A87587" w:rsidRPr="00E02B33" w:rsidRDefault="00A87587" w:rsidP="00F30178">
            <w:pPr>
              <w:widowControl w:val="0"/>
              <w:spacing w:before="20" w:after="20"/>
              <w:jc w:val="left"/>
              <w:rPr>
                <w:b/>
                <w:bCs/>
                <w:sz w:val="20"/>
                <w:szCs w:val="20"/>
              </w:rPr>
            </w:pPr>
          </w:p>
        </w:tc>
        <w:tc>
          <w:tcPr>
            <w:tcW w:w="2456" w:type="pct"/>
            <w:tcBorders>
              <w:top w:val="single" w:sz="4" w:space="0" w:color="auto"/>
              <w:left w:val="single" w:sz="4" w:space="0" w:color="auto"/>
              <w:bottom w:val="single" w:sz="4" w:space="0" w:color="auto"/>
              <w:right w:val="nil"/>
            </w:tcBorders>
          </w:tcPr>
          <w:p w14:paraId="26379DFD" w14:textId="77777777" w:rsidR="00A87587" w:rsidRPr="008B3228" w:rsidRDefault="00A87587" w:rsidP="00F30178">
            <w:pPr>
              <w:widowControl w:val="0"/>
              <w:spacing w:before="20" w:after="20"/>
              <w:jc w:val="left"/>
              <w:rPr>
                <w:b/>
                <w:bCs/>
                <w:sz w:val="20"/>
                <w:szCs w:val="20"/>
                <w:lang w:val="fr-CA"/>
              </w:rPr>
            </w:pPr>
            <w:r>
              <w:rPr>
                <w:b/>
                <w:bCs/>
                <w:sz w:val="20"/>
                <w:szCs w:val="20"/>
                <w:lang w:val="fr-CA"/>
              </w:rPr>
              <w:t>Sous-total pour le PNUE</w:t>
            </w:r>
          </w:p>
        </w:tc>
        <w:tc>
          <w:tcPr>
            <w:tcW w:w="577" w:type="pct"/>
            <w:tcBorders>
              <w:top w:val="single" w:sz="4" w:space="0" w:color="auto"/>
              <w:left w:val="nil"/>
              <w:bottom w:val="single" w:sz="4" w:space="0" w:color="auto"/>
              <w:right w:val="single" w:sz="4" w:space="0" w:color="auto"/>
            </w:tcBorders>
          </w:tcPr>
          <w:p w14:paraId="3EB4B047" w14:textId="77777777" w:rsidR="00A87587" w:rsidRPr="008B3228" w:rsidRDefault="00A87587" w:rsidP="00F30178">
            <w:pPr>
              <w:widowControl w:val="0"/>
              <w:spacing w:before="20" w:after="20"/>
              <w:jc w:val="center"/>
              <w:rPr>
                <w:b/>
                <w:bCs/>
                <w:sz w:val="20"/>
                <w:szCs w:val="20"/>
                <w:lang w:val="fr-CA"/>
              </w:rPr>
            </w:pPr>
          </w:p>
        </w:tc>
        <w:tc>
          <w:tcPr>
            <w:tcW w:w="529" w:type="pct"/>
            <w:tcBorders>
              <w:left w:val="single" w:sz="4" w:space="0" w:color="auto"/>
            </w:tcBorders>
          </w:tcPr>
          <w:p w14:paraId="34DB6491" w14:textId="27EC4B7D" w:rsidR="00A87587" w:rsidRPr="00E02B33" w:rsidRDefault="005F1564" w:rsidP="00F30178">
            <w:pPr>
              <w:widowControl w:val="0"/>
              <w:spacing w:before="20" w:after="20"/>
              <w:jc w:val="right"/>
              <w:rPr>
                <w:b/>
                <w:bCs/>
                <w:sz w:val="20"/>
                <w:szCs w:val="20"/>
              </w:rPr>
            </w:pPr>
            <w:r>
              <w:rPr>
                <w:b/>
                <w:bCs/>
                <w:sz w:val="20"/>
                <w:szCs w:val="20"/>
              </w:rPr>
              <w:t>233 700</w:t>
            </w:r>
          </w:p>
        </w:tc>
        <w:tc>
          <w:tcPr>
            <w:tcW w:w="527" w:type="pct"/>
          </w:tcPr>
          <w:p w14:paraId="5FADE12C" w14:textId="71BF00C7" w:rsidR="00A87587" w:rsidRPr="00E02B33" w:rsidRDefault="00C6479C" w:rsidP="00F30178">
            <w:pPr>
              <w:widowControl w:val="0"/>
              <w:spacing w:before="20" w:after="20"/>
              <w:jc w:val="right"/>
              <w:rPr>
                <w:b/>
                <w:bCs/>
                <w:sz w:val="20"/>
                <w:szCs w:val="20"/>
              </w:rPr>
            </w:pPr>
            <w:r>
              <w:rPr>
                <w:b/>
                <w:bCs/>
                <w:sz w:val="20"/>
                <w:szCs w:val="20"/>
              </w:rPr>
              <w:t>108 900</w:t>
            </w:r>
          </w:p>
        </w:tc>
      </w:tr>
      <w:tr w:rsidR="00A87587" w:rsidRPr="00E02B33" w14:paraId="07F4C9D9" w14:textId="77777777" w:rsidTr="008F7876">
        <w:trPr>
          <w:trHeight w:val="225"/>
        </w:trPr>
        <w:tc>
          <w:tcPr>
            <w:tcW w:w="912" w:type="pct"/>
            <w:tcBorders>
              <w:top w:val="single" w:sz="4" w:space="0" w:color="auto"/>
              <w:left w:val="single" w:sz="4" w:space="0" w:color="auto"/>
              <w:bottom w:val="single" w:sz="4" w:space="0" w:color="auto"/>
              <w:right w:val="nil"/>
            </w:tcBorders>
          </w:tcPr>
          <w:p w14:paraId="3191073B" w14:textId="77777777" w:rsidR="00A87587" w:rsidRPr="00E02B33" w:rsidRDefault="00A87587" w:rsidP="00F30178">
            <w:pPr>
              <w:widowControl w:val="0"/>
              <w:spacing w:before="20" w:after="20"/>
              <w:jc w:val="left"/>
              <w:rPr>
                <w:b/>
                <w:bCs/>
                <w:sz w:val="20"/>
                <w:szCs w:val="20"/>
              </w:rPr>
            </w:pPr>
          </w:p>
        </w:tc>
        <w:tc>
          <w:tcPr>
            <w:tcW w:w="2456" w:type="pct"/>
            <w:tcBorders>
              <w:top w:val="single" w:sz="4" w:space="0" w:color="auto"/>
              <w:left w:val="single" w:sz="4" w:space="0" w:color="auto"/>
              <w:bottom w:val="single" w:sz="4" w:space="0" w:color="auto"/>
              <w:right w:val="nil"/>
            </w:tcBorders>
          </w:tcPr>
          <w:p w14:paraId="23CF324F" w14:textId="77777777" w:rsidR="00A87587" w:rsidRPr="00E02B33" w:rsidRDefault="00A87587" w:rsidP="00F30178">
            <w:pPr>
              <w:widowControl w:val="0"/>
              <w:spacing w:before="20" w:after="20"/>
              <w:jc w:val="left"/>
              <w:rPr>
                <w:b/>
                <w:bCs/>
                <w:sz w:val="20"/>
                <w:szCs w:val="20"/>
              </w:rPr>
            </w:pPr>
            <w:r>
              <w:rPr>
                <w:b/>
                <w:bCs/>
                <w:sz w:val="20"/>
                <w:szCs w:val="20"/>
              </w:rPr>
              <w:t>Sous-total pour l'ONUDI</w:t>
            </w:r>
          </w:p>
        </w:tc>
        <w:tc>
          <w:tcPr>
            <w:tcW w:w="577" w:type="pct"/>
            <w:tcBorders>
              <w:top w:val="single" w:sz="4" w:space="0" w:color="auto"/>
              <w:left w:val="nil"/>
              <w:bottom w:val="single" w:sz="4" w:space="0" w:color="auto"/>
              <w:right w:val="single" w:sz="4" w:space="0" w:color="auto"/>
            </w:tcBorders>
          </w:tcPr>
          <w:p w14:paraId="5EC9CC4D" w14:textId="77777777" w:rsidR="00A87587" w:rsidRPr="00E02B33" w:rsidRDefault="00A87587" w:rsidP="00F30178">
            <w:pPr>
              <w:widowControl w:val="0"/>
              <w:spacing w:before="20" w:after="20"/>
              <w:jc w:val="center"/>
              <w:rPr>
                <w:b/>
                <w:bCs/>
                <w:sz w:val="20"/>
                <w:szCs w:val="20"/>
              </w:rPr>
            </w:pPr>
          </w:p>
        </w:tc>
        <w:tc>
          <w:tcPr>
            <w:tcW w:w="529" w:type="pct"/>
            <w:tcBorders>
              <w:left w:val="single" w:sz="4" w:space="0" w:color="auto"/>
            </w:tcBorders>
          </w:tcPr>
          <w:p w14:paraId="7EAF8A60" w14:textId="541AEC60" w:rsidR="00A87587" w:rsidRPr="00E02B33" w:rsidRDefault="00A87587" w:rsidP="00F30178">
            <w:pPr>
              <w:widowControl w:val="0"/>
              <w:spacing w:before="20" w:after="20"/>
              <w:jc w:val="right"/>
              <w:rPr>
                <w:b/>
                <w:bCs/>
                <w:sz w:val="20"/>
                <w:szCs w:val="20"/>
              </w:rPr>
            </w:pPr>
            <w:r>
              <w:rPr>
                <w:b/>
                <w:bCs/>
                <w:sz w:val="20"/>
                <w:szCs w:val="20"/>
              </w:rPr>
              <w:t>57 300</w:t>
            </w:r>
          </w:p>
        </w:tc>
        <w:tc>
          <w:tcPr>
            <w:tcW w:w="527" w:type="pct"/>
          </w:tcPr>
          <w:p w14:paraId="2F5C6E00" w14:textId="7F6AD296" w:rsidR="00A87587" w:rsidRPr="00E02B33" w:rsidRDefault="00A87587" w:rsidP="00F30178">
            <w:pPr>
              <w:widowControl w:val="0"/>
              <w:spacing w:before="20" w:after="20"/>
              <w:jc w:val="right"/>
              <w:rPr>
                <w:b/>
                <w:bCs/>
                <w:sz w:val="20"/>
                <w:szCs w:val="20"/>
              </w:rPr>
            </w:pPr>
            <w:r>
              <w:rPr>
                <w:b/>
                <w:bCs/>
                <w:sz w:val="20"/>
                <w:szCs w:val="20"/>
              </w:rPr>
              <w:t>35 000</w:t>
            </w:r>
          </w:p>
        </w:tc>
      </w:tr>
      <w:tr w:rsidR="006A30FD" w:rsidRPr="00E02B33" w14:paraId="33D0F7E3" w14:textId="77777777" w:rsidTr="008F7876">
        <w:trPr>
          <w:trHeight w:val="225"/>
        </w:trPr>
        <w:tc>
          <w:tcPr>
            <w:tcW w:w="912" w:type="pct"/>
            <w:tcBorders>
              <w:top w:val="single" w:sz="4" w:space="0" w:color="auto"/>
              <w:left w:val="single" w:sz="4" w:space="0" w:color="auto"/>
              <w:bottom w:val="single" w:sz="4" w:space="0" w:color="auto"/>
              <w:right w:val="nil"/>
            </w:tcBorders>
          </w:tcPr>
          <w:p w14:paraId="54F0471F" w14:textId="77777777" w:rsidR="006A30FD" w:rsidRPr="00E02B33" w:rsidRDefault="006A30FD" w:rsidP="00F30178">
            <w:pPr>
              <w:widowControl w:val="0"/>
              <w:spacing w:before="20" w:after="20"/>
              <w:jc w:val="left"/>
              <w:rPr>
                <w:b/>
                <w:bCs/>
                <w:sz w:val="20"/>
                <w:szCs w:val="20"/>
              </w:rPr>
            </w:pPr>
          </w:p>
        </w:tc>
        <w:tc>
          <w:tcPr>
            <w:tcW w:w="2456" w:type="pct"/>
            <w:tcBorders>
              <w:top w:val="single" w:sz="4" w:space="0" w:color="auto"/>
              <w:left w:val="single" w:sz="4" w:space="0" w:color="auto"/>
              <w:bottom w:val="single" w:sz="4" w:space="0" w:color="auto"/>
              <w:right w:val="nil"/>
            </w:tcBorders>
          </w:tcPr>
          <w:p w14:paraId="20E5606E" w14:textId="77777777" w:rsidR="006A30FD" w:rsidRPr="00E02B33" w:rsidRDefault="006A30FD" w:rsidP="00F30178">
            <w:pPr>
              <w:widowControl w:val="0"/>
              <w:spacing w:before="20" w:after="20"/>
              <w:jc w:val="left"/>
              <w:rPr>
                <w:b/>
                <w:sz w:val="20"/>
                <w:szCs w:val="20"/>
              </w:rPr>
            </w:pPr>
            <w:r>
              <w:rPr>
                <w:b/>
                <w:bCs/>
                <w:sz w:val="20"/>
                <w:szCs w:val="20"/>
              </w:rPr>
              <w:t>Total</w:t>
            </w:r>
          </w:p>
        </w:tc>
        <w:tc>
          <w:tcPr>
            <w:tcW w:w="577" w:type="pct"/>
            <w:tcBorders>
              <w:top w:val="single" w:sz="4" w:space="0" w:color="auto"/>
              <w:left w:val="nil"/>
              <w:bottom w:val="single" w:sz="4" w:space="0" w:color="auto"/>
              <w:right w:val="single" w:sz="4" w:space="0" w:color="auto"/>
            </w:tcBorders>
          </w:tcPr>
          <w:p w14:paraId="1AB13295" w14:textId="77777777" w:rsidR="006A30FD" w:rsidRPr="00E02B33" w:rsidRDefault="006A30FD" w:rsidP="00F30178">
            <w:pPr>
              <w:widowControl w:val="0"/>
              <w:spacing w:before="20" w:after="20"/>
              <w:jc w:val="center"/>
              <w:rPr>
                <w:b/>
                <w:sz w:val="20"/>
                <w:szCs w:val="20"/>
              </w:rPr>
            </w:pPr>
          </w:p>
        </w:tc>
        <w:tc>
          <w:tcPr>
            <w:tcW w:w="529" w:type="pct"/>
            <w:tcBorders>
              <w:left w:val="single" w:sz="4" w:space="0" w:color="auto"/>
            </w:tcBorders>
          </w:tcPr>
          <w:p w14:paraId="1AEE30B5" w14:textId="0648C018" w:rsidR="006A30FD" w:rsidRPr="00E02B33" w:rsidRDefault="003062E7" w:rsidP="00F30178">
            <w:pPr>
              <w:widowControl w:val="0"/>
              <w:shd w:val="clear" w:color="auto" w:fill="FFFFFF" w:themeFill="background1"/>
              <w:spacing w:before="20" w:after="20"/>
              <w:jc w:val="right"/>
              <w:rPr>
                <w:b/>
                <w:bCs/>
                <w:sz w:val="20"/>
                <w:szCs w:val="20"/>
              </w:rPr>
            </w:pPr>
            <w:r>
              <w:rPr>
                <w:b/>
                <w:bCs/>
                <w:sz w:val="20"/>
                <w:szCs w:val="20"/>
              </w:rPr>
              <w:t>291 000</w:t>
            </w:r>
          </w:p>
        </w:tc>
        <w:tc>
          <w:tcPr>
            <w:tcW w:w="527" w:type="pct"/>
          </w:tcPr>
          <w:p w14:paraId="3ECF5A88" w14:textId="68F9E692" w:rsidR="006A30FD" w:rsidRPr="00E02B33" w:rsidRDefault="003062E7" w:rsidP="00F30178">
            <w:pPr>
              <w:widowControl w:val="0"/>
              <w:shd w:val="clear" w:color="auto" w:fill="FFFFFF" w:themeFill="background1"/>
              <w:spacing w:before="20" w:after="20"/>
              <w:jc w:val="right"/>
              <w:rPr>
                <w:b/>
                <w:bCs/>
                <w:sz w:val="20"/>
                <w:szCs w:val="20"/>
              </w:rPr>
            </w:pPr>
            <w:r>
              <w:rPr>
                <w:b/>
                <w:bCs/>
                <w:sz w:val="20"/>
                <w:szCs w:val="20"/>
              </w:rPr>
              <w:t>143 900</w:t>
            </w:r>
          </w:p>
        </w:tc>
      </w:tr>
    </w:tbl>
    <w:p w14:paraId="2A93FCB0" w14:textId="7DA57BB6" w:rsidR="00547D39" w:rsidRPr="008B3228" w:rsidRDefault="00547D39" w:rsidP="00F30178">
      <w:pPr>
        <w:pStyle w:val="Heading1"/>
        <w:spacing w:before="240"/>
        <w:rPr>
          <w:lang w:val="fr-CA"/>
        </w:rPr>
      </w:pPr>
      <w:r>
        <w:rPr>
          <w:lang w:val="fr-CA"/>
        </w:rPr>
        <w:t>Le secrétariat a examiné avec le PNUE la répartition proposée des tranches pour la phase II, en prenant note des ajustements apportés aux activités et aux coûts. À la suite de ces discussions, une répartition révisée des tranches a été approuvée afin de refléter l'équilibre des montants demandés pour chaque tranche.</w:t>
      </w:r>
    </w:p>
    <w:p w14:paraId="00035109" w14:textId="742766AA" w:rsidR="00563DA8" w:rsidRPr="008B3228" w:rsidRDefault="00563DA8" w:rsidP="001161CD">
      <w:pPr>
        <w:keepNext/>
        <w:spacing w:before="240" w:after="240"/>
        <w:rPr>
          <w:lang w:val="fr-CA"/>
        </w:rPr>
      </w:pPr>
      <w:bookmarkStart w:id="18" w:name="_Hlk126916178"/>
      <w:r>
        <w:rPr>
          <w:u w:val="single"/>
          <w:lang w:val="fr-CA"/>
        </w:rPr>
        <w:t>Plan de mise en œuvre convenu de la première tranche de la phase II du plan de gestion de l'élimination des HCFC</w:t>
      </w:r>
    </w:p>
    <w:p w14:paraId="1A48673E" w14:textId="638E9442" w:rsidR="00563DA8" w:rsidRPr="008B3228" w:rsidRDefault="00563DA8" w:rsidP="00C101F7">
      <w:pPr>
        <w:pStyle w:val="Heading1"/>
        <w:rPr>
          <w:lang w:val="fr-CA"/>
        </w:rPr>
      </w:pPr>
      <w:r>
        <w:rPr>
          <w:lang w:val="fr-CA"/>
        </w:rPr>
        <w:t xml:space="preserve">Le plan d'action convenu, qui sera mis en œuvre entre juillet 2026 et juin 2028, comprendra les activités suivantes : </w:t>
      </w:r>
    </w:p>
    <w:p w14:paraId="66AD6600" w14:textId="5B27DB50" w:rsidR="00563DA8" w:rsidRPr="008B3228" w:rsidRDefault="005B0CCA" w:rsidP="0092494A">
      <w:pPr>
        <w:pStyle w:val="Heading2"/>
        <w:rPr>
          <w:lang w:val="fr-CA"/>
        </w:rPr>
      </w:pPr>
      <w:r>
        <w:rPr>
          <w:i/>
          <w:iCs/>
          <w:lang w:val="fr-CA"/>
        </w:rPr>
        <w:t xml:space="preserve">Renforcement des politiques et de la réglementation </w:t>
      </w:r>
      <w:r>
        <w:rPr>
          <w:lang w:val="fr-CA"/>
        </w:rPr>
        <w:t>: mener des consultations avec les parties prenantes et rédiger un projet d’interdiction des importations d’équipements fonctionnant aux HCFC, ainsi que des modifications réglementaires visant à instaurer des contrôles liés à la certification sur les ventes de réfrigérants et à intégrer le registre des techniciens dans les systèmes de vérification des ventes ; examen et modifications réglementaires éventuelles identifiées (PNUE) (9 000 $US) ;</w:t>
      </w:r>
    </w:p>
    <w:p w14:paraId="1892CA6D" w14:textId="6F806980" w:rsidR="00563DA8" w:rsidRPr="008B3228" w:rsidRDefault="005B0CCA" w:rsidP="004E4F96">
      <w:pPr>
        <w:pStyle w:val="Heading2"/>
        <w:widowControl/>
        <w:numPr>
          <w:ilvl w:val="1"/>
          <w:numId w:val="1"/>
        </w:numPr>
        <w:rPr>
          <w:lang w:val="fr-CA"/>
        </w:rPr>
      </w:pPr>
      <w:r>
        <w:rPr>
          <w:i/>
          <w:iCs/>
          <w:lang w:val="fr-CA"/>
        </w:rPr>
        <w:t xml:space="preserve">Application du </w:t>
      </w:r>
      <w:r w:rsidR="001C1FB7">
        <w:rPr>
          <w:i/>
          <w:iCs/>
          <w:lang w:val="fr-CA"/>
        </w:rPr>
        <w:t xml:space="preserve">système de licences </w:t>
      </w:r>
      <w:r>
        <w:rPr>
          <w:i/>
          <w:iCs/>
          <w:lang w:val="fr-CA"/>
        </w:rPr>
        <w:t xml:space="preserve">et de quotas </w:t>
      </w:r>
      <w:r>
        <w:rPr>
          <w:lang w:val="fr-CA"/>
        </w:rPr>
        <w:t>: adoption de procédures opérationnelles standard (SOP) pour renforcer la coordination entre l’UNO, les douanes et les autorités maritimes ; formation d’un total de 8 à 10 agents des douanes et agents d’application de la loi, et mise à jour du manuel d’application de la loi sur l’identification des substances réglementées ; examen des procédures d’autorisation et de quotas ; organisation d’un atelier de mobilisation pour cinq courtiers ; mise à jour des codes SH nationaux pour les HCFC, les HFC, les mélanges et les réfrigérants à base d’hydrocarbures ; intégration des critères de profilage des risques dans ASYCUDA ; et formation initiale d'un à deux agents par île à l'utilisation des identifiants de réfrigérants (PNUE) (9 600 $US) ;</w:t>
      </w:r>
    </w:p>
    <w:p w14:paraId="7B3CEC04" w14:textId="77777777" w:rsidR="00276FC7" w:rsidRPr="008B3228" w:rsidRDefault="00276FC7" w:rsidP="00276FC7">
      <w:pPr>
        <w:pStyle w:val="Heading2"/>
        <w:widowControl/>
        <w:numPr>
          <w:ilvl w:val="1"/>
          <w:numId w:val="1"/>
        </w:numPr>
        <w:rPr>
          <w:lang w:val="fr-CA"/>
        </w:rPr>
      </w:pPr>
      <w:r>
        <w:rPr>
          <w:i/>
          <w:iCs/>
          <w:lang w:val="fr-CA"/>
        </w:rPr>
        <w:t xml:space="preserve">Coordination institutionnelle et association RAC </w:t>
      </w:r>
      <w:r>
        <w:rPr>
          <w:lang w:val="fr-CA"/>
        </w:rPr>
        <w:t xml:space="preserve">: rétablissement, enregistrement légal et renforcement opérationnel de l’association nationale RAC ; mise en place de structures de gouvernance et d’adhésion, d’une constitution et de statuts, d’un cadre d'établissement de rapports et d’un modèle de viabilité financière ; un atelier de planification stratégique pour définir les mécanismes de coordination entre les institutions des deux îles et clarifier les rôles institutionnels en matière de certification, d'établissement de rapports et de contrôle de la conformité (PNUE) (9 000 $US) ; </w:t>
      </w:r>
    </w:p>
    <w:p w14:paraId="12A1ECE7" w14:textId="3F7738C6" w:rsidR="005B0CCA" w:rsidRPr="008B3228" w:rsidRDefault="005B0CCA" w:rsidP="00355EB0">
      <w:pPr>
        <w:pStyle w:val="Heading2"/>
        <w:widowControl/>
        <w:numPr>
          <w:ilvl w:val="1"/>
          <w:numId w:val="1"/>
        </w:numPr>
        <w:rPr>
          <w:i/>
          <w:iCs/>
          <w:lang w:val="fr-CA"/>
        </w:rPr>
      </w:pPr>
      <w:r>
        <w:rPr>
          <w:i/>
          <w:iCs/>
          <w:lang w:val="fr-CA"/>
        </w:rPr>
        <w:t xml:space="preserve">Formation et certification de techniciens en réfrigération et climatisation : </w:t>
      </w:r>
      <w:r>
        <w:rPr>
          <w:lang w:val="fr-CA"/>
        </w:rPr>
        <w:t xml:space="preserve">Deux ateliers de formation destinés à 15 à 20 techniciens ; élaboration de normes nationales de compétences professionnelles, de guides de formation standardisés, mise à jour des modules de formation pour tenir compte des pratiques de récupération et des fluides à faible PRP, et outils d’évaluation pour la certification ; programme de formation des formateurs destiné à 1 ou 2 instructeurs certifiés au niveau national ; mise à jour du programme de formation et orientation des instructeurs sur les modules révisés </w:t>
      </w:r>
      <w:r>
        <w:rPr>
          <w:i/>
          <w:iCs/>
          <w:lang w:val="fr-CA"/>
        </w:rPr>
        <w:t>(</w:t>
      </w:r>
      <w:r>
        <w:rPr>
          <w:lang w:val="fr-CA"/>
        </w:rPr>
        <w:t>PNUE) (27 300 $US) ;</w:t>
      </w:r>
    </w:p>
    <w:p w14:paraId="33AD71E4" w14:textId="6C8D61DA" w:rsidR="005B0CCA" w:rsidRPr="008B3228" w:rsidRDefault="005B0CCA" w:rsidP="00D1603E">
      <w:pPr>
        <w:pStyle w:val="Heading2"/>
        <w:widowControl/>
        <w:numPr>
          <w:ilvl w:val="1"/>
          <w:numId w:val="1"/>
        </w:numPr>
        <w:rPr>
          <w:lang w:val="fr-CA"/>
        </w:rPr>
      </w:pPr>
      <w:r>
        <w:rPr>
          <w:i/>
          <w:iCs/>
          <w:lang w:val="fr-CA"/>
        </w:rPr>
        <w:lastRenderedPageBreak/>
        <w:t xml:space="preserve">Programme national de récupération et de recyclage </w:t>
      </w:r>
      <w:r>
        <w:rPr>
          <w:lang w:val="fr-CA"/>
        </w:rPr>
        <w:t>: mise en place de systèmes de récupération à travers une évaluation des besoins visant à élaborer un modèle économique et un inventaire des équipements ; provisionnement d’un premier lot d’équipements sur la base des résultats de l’évaluation et de l’inventaire ; formation de base des opérateurs (formation d’une première cohorte de techniciens à l’utilisation des équipements) ; mise en place d’un système de suivi et d’étiquetage des équipements ; protocoles de maintenance, de stockage, d’utilisation finale et d’établissement de rapports ; (ONUDI) (35 000 $US) ;</w:t>
      </w:r>
    </w:p>
    <w:p w14:paraId="4448FFC8" w14:textId="5B7A386B" w:rsidR="00355EB0" w:rsidRPr="008B3228" w:rsidRDefault="005B0CCA" w:rsidP="005B0CCA">
      <w:pPr>
        <w:pStyle w:val="Heading2"/>
        <w:widowControl/>
        <w:numPr>
          <w:ilvl w:val="1"/>
          <w:numId w:val="1"/>
        </w:numPr>
        <w:rPr>
          <w:lang w:val="fr-CA"/>
        </w:rPr>
      </w:pPr>
      <w:r>
        <w:rPr>
          <w:i/>
          <w:iCs/>
          <w:lang w:val="fr-CA"/>
        </w:rPr>
        <w:t xml:space="preserve">Programme de sensibilisation du public et programme </w:t>
      </w:r>
      <w:r>
        <w:rPr>
          <w:lang w:val="fr-CA"/>
        </w:rPr>
        <w:t>pour</w:t>
      </w:r>
      <w:r>
        <w:rPr>
          <w:i/>
          <w:iCs/>
          <w:lang w:val="fr-CA"/>
        </w:rPr>
        <w:t xml:space="preserve"> la jeunesse </w:t>
      </w:r>
      <w:r>
        <w:rPr>
          <w:lang w:val="fr-CA"/>
        </w:rPr>
        <w:t xml:space="preserve">: formation des jeunes ambassadeurs ; élaboration et diffusion de matériel de sensibilisation ; campagne sur les réseaux sociaux autour du </w:t>
      </w:r>
      <w:r w:rsidR="001C1FB7">
        <w:rPr>
          <w:lang w:val="fr-CA"/>
        </w:rPr>
        <w:t xml:space="preserve">système de licences </w:t>
      </w:r>
      <w:r>
        <w:rPr>
          <w:lang w:val="fr-CA"/>
        </w:rPr>
        <w:t>et de quotas et de la transition vers des produits à faible PRP, y compris des activités de vulgarisation visant à promouvoir le secteur RAC auprès des jeunes, et à encourager les femmes à embrasser des carrières techniques dans ce secteur (PNUE) (5 000 $US) ;</w:t>
      </w:r>
    </w:p>
    <w:p w14:paraId="0584B69C" w14:textId="2D539CCE" w:rsidR="005B0CCA" w:rsidRPr="008B3228" w:rsidRDefault="00355EB0" w:rsidP="005B0CCA">
      <w:pPr>
        <w:pStyle w:val="Heading2"/>
        <w:widowControl/>
        <w:numPr>
          <w:ilvl w:val="1"/>
          <w:numId w:val="1"/>
        </w:numPr>
        <w:rPr>
          <w:lang w:val="fr-CA"/>
        </w:rPr>
      </w:pPr>
      <w:r>
        <w:rPr>
          <w:i/>
          <w:iCs/>
          <w:lang w:val="fr-CA"/>
        </w:rPr>
        <w:t>Activités visant à maintenir l'efficacité énergétique dans le secteur de l'entretien des équipements de réfrigération et de climatisation :</w:t>
      </w:r>
      <w:r>
        <w:rPr>
          <w:lang w:val="fr-CA"/>
        </w:rPr>
        <w:t xml:space="preserve"> Mise en place d’un mécanisme national de coordination pour le secteur RAC, organisation de trois ateliers pour faciliter l’adoption des NMPE et de l’étiquetage ; élaboration d’une feuille de route pour l’adoption des NMPE et de l’étiquetage en référence aux normes régionales de la CARICOM, évaluation de la situation de référence concernant les équipements à faible PRP et à haut rendement énergétique ainsi que de la demande dans le pays, élaboration de recommandations pour aligner la transition des réfrigérants sur les améliorations en matière d’efficacité énergétique (40 000 $US) ; et</w:t>
      </w:r>
    </w:p>
    <w:p w14:paraId="05B1A02B" w14:textId="387A936E" w:rsidR="005B0CCA" w:rsidRPr="008B3228" w:rsidRDefault="005B0CCA" w:rsidP="005B0CCA">
      <w:pPr>
        <w:pStyle w:val="Heading2"/>
        <w:widowControl/>
        <w:numPr>
          <w:ilvl w:val="1"/>
          <w:numId w:val="1"/>
        </w:numPr>
        <w:rPr>
          <w:lang w:val="fr-CA"/>
        </w:rPr>
      </w:pPr>
      <w:r>
        <w:rPr>
          <w:i/>
          <w:iCs/>
          <w:lang w:val="fr-CA"/>
        </w:rPr>
        <w:t xml:space="preserve">Activités de suivi du projet </w:t>
      </w:r>
      <w:r>
        <w:rPr>
          <w:lang w:val="fr-CA"/>
        </w:rPr>
        <w:t>(PNUE) (9 000 $US) : y compris le plan de travail annuel, les rapports périodiques, le suivi financier, la collecte de données ventilées par sexe ; le soutien à la vérification et l'établissement de rapports (4 900 $US) ; les déplacements nationaux (1 500 $US) ; les réunions de coordination (1 400 $US) ; l'établissement de rapports, la documentation et l'administration (1 200 $US).</w:t>
      </w:r>
    </w:p>
    <w:p w14:paraId="5B99156D" w14:textId="575DB22C" w:rsidR="00563DA8" w:rsidRPr="00981325" w:rsidRDefault="00563DA8" w:rsidP="001161CD">
      <w:pPr>
        <w:keepNext/>
        <w:shd w:val="clear" w:color="auto" w:fill="FFFFFF" w:themeFill="background1"/>
        <w:spacing w:after="240"/>
        <w:outlineLvl w:val="0"/>
        <w:rPr>
          <w:bCs/>
          <w:u w:val="single"/>
        </w:rPr>
      </w:pPr>
      <w:r>
        <w:rPr>
          <w:bCs/>
          <w:u w:val="single"/>
        </w:rPr>
        <w:t>Cofinancement</w:t>
      </w:r>
    </w:p>
    <w:p w14:paraId="4E569384" w14:textId="56ADB1A6" w:rsidR="000D2501" w:rsidRPr="008B3228" w:rsidRDefault="000D2501" w:rsidP="000D2501">
      <w:pPr>
        <w:pStyle w:val="Heading1"/>
        <w:rPr>
          <w:lang w:val="fr-CA"/>
        </w:rPr>
      </w:pPr>
      <w:r>
        <w:rPr>
          <w:lang w:val="fr-CA"/>
        </w:rPr>
        <w:t>Au cours de la mise en œuvre de la phase II, le Gouvernement de Saint-Kitts-et-Nevis fournira un soutien en nature, notamment des locaux, des services publics et un appui administratif à l’UNO, ainsi que l’utilisation de salles de réunion et de lieux de réunion gouvernementaux ; un soutien logistique, tel que le transport, le cas échéant, et le temps de travail du personnel des ministères concernés participant à la coordination et à la supervision du projet. En outre, au cours de la phase II, le Gouvernement explorera les possibilités de mobiliser des ressources complémentaires, lorsque cela est possible, afin de renforcer l’impact et la durabilité des activités du projet, et cherchera à coordonner les activités du PGEH, le cas échéant, avec les politiques et programmes nationaux liés aux changements climatiques, à l’énergie durable, à l’enseignement technique et professionnel, et à la gestion de l’environnement.</w:t>
      </w:r>
    </w:p>
    <w:p w14:paraId="67C5636E" w14:textId="77777777" w:rsidR="00563DA8" w:rsidRPr="008B3228" w:rsidRDefault="00563DA8" w:rsidP="001161CD">
      <w:pPr>
        <w:keepNext/>
        <w:spacing w:after="240"/>
        <w:outlineLvl w:val="0"/>
        <w:rPr>
          <w:bCs/>
          <w:u w:val="single"/>
          <w:lang w:val="fr-CA"/>
        </w:rPr>
      </w:pPr>
      <w:r>
        <w:rPr>
          <w:bCs/>
          <w:u w:val="single"/>
          <w:lang w:val="fr-CA"/>
        </w:rPr>
        <w:t>Projet de plan d'activités du Fonds multilatéral pour 2026-2028</w:t>
      </w:r>
    </w:p>
    <w:p w14:paraId="1A8465E7" w14:textId="02C765D3" w:rsidR="00563DA8" w:rsidRPr="008B3228" w:rsidRDefault="00697CB1" w:rsidP="001161CD">
      <w:pPr>
        <w:pStyle w:val="Heading1"/>
        <w:rPr>
          <w:lang w:val="fr-CA"/>
        </w:rPr>
      </w:pPr>
      <w:r>
        <w:rPr>
          <w:lang w:val="fr-CA"/>
        </w:rPr>
        <w:t>Le PNUE et l'ONUDI demandent 291 000 $US, plus les coûts d’appui des agences, pour la mise en œuvre de la phase II du PGEH pour Saint-Kitts-et-Nevis. Le montant total demandé de 305 167 $US, y compris les coûts d’appui des agences pour la période 2026-2028, est supérieur de 170 490 $US au montant figurant dans le plan d'activités.</w:t>
      </w:r>
    </w:p>
    <w:p w14:paraId="64461AD2" w14:textId="77777777" w:rsidR="00563DA8" w:rsidRPr="008B3228" w:rsidRDefault="00563DA8" w:rsidP="001161CD">
      <w:pPr>
        <w:keepNext/>
        <w:spacing w:after="240"/>
        <w:rPr>
          <w:iCs/>
          <w:u w:val="single"/>
          <w:lang w:val="fr-CA"/>
        </w:rPr>
      </w:pPr>
      <w:r>
        <w:rPr>
          <w:iCs/>
          <w:u w:val="single"/>
          <w:lang w:val="fr-CA"/>
        </w:rPr>
        <w:lastRenderedPageBreak/>
        <w:t>Mise en œuvre de la politique d'égalité des sexes</w:t>
      </w:r>
    </w:p>
    <w:p w14:paraId="29799A2A" w14:textId="3160BC33" w:rsidR="001147B4" w:rsidRPr="008B3228" w:rsidRDefault="000C4D07" w:rsidP="008D327F">
      <w:pPr>
        <w:pStyle w:val="Heading1"/>
        <w:rPr>
          <w:lang w:val="fr-CA"/>
        </w:rPr>
      </w:pPr>
      <w:r>
        <w:rPr>
          <w:lang w:val="fr-CA"/>
        </w:rPr>
        <w:t xml:space="preserve">Conformément aux décisions 84/92, 90/48 et 92/40, le Gouvernement de Saint-Kitts-et-Nevis a intégré cette politique dans la préparation et la formulation du projet pour la phase II du PGEH. Au cours de la mise en œuvre de la phase précédente, l’UNO a rendu compte de la participation des femmes à la formation des agents des douanes et des agents chargés de l’application des règlements douaniers. Au cours de la préparation du projet, une évaluation des obstacles à la participation des femmes dans le secteur RAC a été réalisée et les recommandations issues de cette évaluation ont été intégrées dans les activités du projet au titre de la phase II. L'objectif global de participation des femmes dans l'ensemble des activités de la phase II est de 20 %, à l'exception des activités de formation </w:t>
      </w:r>
      <w:r>
        <w:rPr>
          <w:rFonts w:eastAsiaTheme="minorHAnsi"/>
          <w:lang w:val="fr-CA"/>
        </w:rPr>
        <w:t>RAC</w:t>
      </w:r>
      <w:r>
        <w:rPr>
          <w:lang w:val="fr-CA"/>
        </w:rPr>
        <w:t>, où les taux actuels de participation des femmes restent faibles. L'UNO mènera des activités de sensibilisation pour encourager les femmes à rejoindre le secteur de la réfrigération et de la climatisation et à participer aux sessions de formation et aux consultations ; elle continuera également à suivre le nombre de femmes et d'hommes impliqués dans la mise en œuvre du projet. Afin d'encourager la participation des femmes aux activités du PGEH, la planification, le choix des lieux et les méthodes de communication tiendront compte de l'accessibilité pour les femmes. Les campagnes de communication mettront en avant les femmes dans les domaines techniques et environnementaux et promouvront les carrières techniques pour les femmes dans les technologies de réfrigération et respectueuses du climat. Des efforts seront également déployés au cours de la phase II pour identifier et soutenir les candidates susceptibles d'assumer de futurs rôles de formatrices.</w:t>
      </w:r>
    </w:p>
    <w:p w14:paraId="7096D787" w14:textId="77777777" w:rsidR="00563DA8" w:rsidRPr="008B3228" w:rsidRDefault="00563DA8" w:rsidP="001161CD">
      <w:pPr>
        <w:keepNext/>
        <w:spacing w:after="240"/>
        <w:rPr>
          <w:u w:val="single"/>
          <w:lang w:val="fr-CA"/>
        </w:rPr>
      </w:pPr>
      <w:r>
        <w:rPr>
          <w:u w:val="single"/>
          <w:lang w:val="fr-CA"/>
        </w:rPr>
        <w:t>Durabilité de l'élimination des HCFC et évaluation des risques</w:t>
      </w:r>
    </w:p>
    <w:p w14:paraId="4D16ACDE" w14:textId="68D31D47" w:rsidR="00AC3F18" w:rsidRPr="008B3228" w:rsidRDefault="00AC3F18" w:rsidP="00AF4DE1">
      <w:pPr>
        <w:pStyle w:val="Heading1"/>
        <w:rPr>
          <w:lang w:val="fr-CA"/>
        </w:rPr>
      </w:pPr>
      <w:r>
        <w:rPr>
          <w:lang w:val="fr-CA"/>
        </w:rPr>
        <w:t>Les dispositifs institutionnels mis en place et renforcés au cours de la phase II, notamment les mécanismes de certification, la mise à jour des programmes de formation, la coopération en matière d’application de la réglementation et la coordination des parties prenantes, seront intégrés dans les fonctions gouvernementales et sectorielles courantes afin de soutenir la durabilité à long terme. La combinaison de contrôles réglementaires renforcés, du renforcement de la capacité institutionnelle, de l’engagement du secteur de l’entretien et d’un suivi structuré fournira une base solide pour l’élimination durable de la consommation de HCFC à Saint-Kitts-et-Nevis.</w:t>
      </w:r>
    </w:p>
    <w:p w14:paraId="73501284" w14:textId="6DCA810E" w:rsidR="00BF12BF" w:rsidRPr="008B3228" w:rsidRDefault="00BF12BF" w:rsidP="00AF4DE1">
      <w:pPr>
        <w:pStyle w:val="Heading1"/>
        <w:rPr>
          <w:lang w:val="fr-CA"/>
        </w:rPr>
      </w:pPr>
      <w:r>
        <w:rPr>
          <w:lang w:val="fr-CA"/>
        </w:rPr>
        <w:t>Le PNUE a en outre souligné que la structure de gestion de la phase II s’appuie sur les institutions nationales existantes et ne crée pas d’organismes de mise en œuvre parallèles, ce qui minimise la dépendance à long terme vis-à-vis des structures de projet externes et favorise la viabilité institutionnelle. Les capacités renforcées au sein des douanes, des établissements de formation et de l’association RAC au cours de la phase II resteront intégrées dans les systèmes nationaux au-delà de l’achèvement du PGEH. Les fonctions de surveillance assumées par l’UNO se poursuivront dans le cadre de son mandat principal après l’achèvement du PGEH, garantissant ainsi la durabilité des acquis et le respect des obligations.</w:t>
      </w:r>
    </w:p>
    <w:p w14:paraId="2884BA9F" w14:textId="5BBDB87C" w:rsidR="00474DF5" w:rsidRPr="008B3228" w:rsidRDefault="00474DF5" w:rsidP="00AF4DE1">
      <w:pPr>
        <w:pStyle w:val="Heading1"/>
        <w:rPr>
          <w:lang w:val="fr-CA"/>
        </w:rPr>
      </w:pPr>
      <w:r>
        <w:rPr>
          <w:lang w:val="fr-CA"/>
        </w:rPr>
        <w:t>Afin d’assurer la pérennité de la certification au-delà du financement du projet, le dispositif de certification évoluera vers un modèle de recouvrement des coûts, et les dépenses récurrentes (par exemple, les honoraires des examinateurs, les frais liés aux locaux, la gestion du registre, la mise à jour des programmes) seront intégrées dans les structures opérationnelles des établissements. La pérennité des pratiques de récupération et de recyclage sera garantie par l’intégration d’exigences pertinentes dans la certification des techniciens.</w:t>
      </w:r>
    </w:p>
    <w:p w14:paraId="70026009" w14:textId="576C358E" w:rsidR="00474DF5" w:rsidRPr="008B3228" w:rsidRDefault="00474DF5" w:rsidP="00AF4DE1">
      <w:pPr>
        <w:pStyle w:val="Heading1"/>
        <w:rPr>
          <w:lang w:val="fr-CA"/>
        </w:rPr>
      </w:pPr>
      <w:r>
        <w:rPr>
          <w:lang w:val="fr-CA"/>
        </w:rPr>
        <w:t xml:space="preserve">Les risques liés aux défis logistiques entre l'île de Saint-Kitts et l'île de Nevis seront traités en instaurant une exigence institutionnelle selon laquelle toutes les activités au niveau national doivent inclure la participation des deux îles, et que des consultations et une coordination doivent avoir lieu pour la planification et l'organisation des activités. </w:t>
      </w:r>
    </w:p>
    <w:p w14:paraId="2DCEE733" w14:textId="398C9DC3" w:rsidR="00563DA8" w:rsidRPr="00981325" w:rsidRDefault="00563DA8" w:rsidP="001161CD">
      <w:pPr>
        <w:keepNext/>
        <w:spacing w:after="240"/>
        <w:rPr>
          <w:u w:val="single"/>
        </w:rPr>
      </w:pPr>
      <w:r>
        <w:rPr>
          <w:u w:val="single"/>
        </w:rPr>
        <w:lastRenderedPageBreak/>
        <w:t>Incidence sur le climat</w:t>
      </w:r>
    </w:p>
    <w:bookmarkEnd w:id="18"/>
    <w:p w14:paraId="75885150" w14:textId="44EEF664" w:rsidR="00563DA8" w:rsidRPr="008B3228" w:rsidRDefault="00563DA8" w:rsidP="001161CD">
      <w:pPr>
        <w:pStyle w:val="Heading1"/>
        <w:rPr>
          <w:lang w:val="fr-CA"/>
        </w:rPr>
      </w:pPr>
      <w:r>
        <w:rPr>
          <w:lang w:val="fr-CA"/>
        </w:rPr>
        <w:t>Les activités proposées dans le secteur de l’entretien de l’équipement de réfrigération, notamment un meilleur confinement des réfrigérants grâce à la formation et à la fourniture d’équipements, permettront de réduire l’utilisation du HCFC-22 dans l’entretien. Chaque kilogramme de HCFC-22 non émis grâce à de meilleures pratiques de réfrigération se traduit par une économie d’environ 1,8 tonne éq-CO</w:t>
      </w:r>
      <w:proofErr w:type="gramStart"/>
      <w:r>
        <w:rPr>
          <w:lang w:val="fr-CA"/>
        </w:rPr>
        <w:t>₂</w:t>
      </w:r>
      <w:r>
        <w:rPr>
          <w:vertAlign w:val="subscript"/>
          <w:lang w:val="fr-CA"/>
        </w:rPr>
        <w:t xml:space="preserve"> </w:t>
      </w:r>
      <w:r>
        <w:rPr>
          <w:lang w:val="fr-CA"/>
        </w:rPr>
        <w:t>.</w:t>
      </w:r>
      <w:proofErr w:type="gramEnd"/>
      <w:r>
        <w:rPr>
          <w:lang w:val="fr-CA"/>
        </w:rPr>
        <w:t xml:space="preserve"> Bien qu’aucun calcul de l’impact climatique n’ait été inclus dans le PGEH, les activités prévues par Saint-Kitts-et-Nevis, notamment ses efforts pour renforcer la capacité d’application des systèmes d</w:t>
      </w:r>
      <w:r w:rsidR="00AA3300">
        <w:rPr>
          <w:lang w:val="fr-CA"/>
        </w:rPr>
        <w:t>e licences</w:t>
      </w:r>
      <w:r>
        <w:rPr>
          <w:lang w:val="fr-CA"/>
        </w:rPr>
        <w:t xml:space="preserve"> et de quotas, promouvoir les alternatives à faible PRP ainsi que la récupération et la réutilisation des réfrigérants, et continuer à renforcer les capacités des techniciens de maintenance afin de réduire les fuites et d’assurer la sécurité lors de l’utilisation d’alternatives aux HCFC, indiquent que la mise en œuvre du PGEH réduira les émissions de réfrigérants dans l’atmosphère, ce qui aura des avantages pour le climat. </w:t>
      </w:r>
    </w:p>
    <w:p w14:paraId="09A45656" w14:textId="77777777" w:rsidR="00563DA8" w:rsidRPr="00DC2B3A" w:rsidRDefault="00563DA8" w:rsidP="00E02B33">
      <w:pPr>
        <w:keepNext/>
        <w:spacing w:after="240"/>
        <w:outlineLvl w:val="0"/>
        <w:rPr>
          <w:bCs/>
          <w:u w:val="single"/>
        </w:rPr>
      </w:pPr>
      <w:bookmarkStart w:id="19" w:name="_Hlk126916245"/>
      <w:r>
        <w:rPr>
          <w:bCs/>
          <w:u w:val="single"/>
        </w:rPr>
        <w:t>Projet d'accord</w:t>
      </w:r>
    </w:p>
    <w:bookmarkEnd w:id="19"/>
    <w:p w14:paraId="0090E6DB" w14:textId="02BCAE50" w:rsidR="00563DA8" w:rsidRPr="008B3228" w:rsidRDefault="00563DA8" w:rsidP="001161CD">
      <w:pPr>
        <w:pStyle w:val="Heading1"/>
        <w:rPr>
          <w:lang w:val="fr-CA"/>
        </w:rPr>
      </w:pPr>
      <w:r>
        <w:rPr>
          <w:lang w:val="fr-CA"/>
        </w:rPr>
        <w:t>Un projet d'accord entre le Gouvernement de Saint-Kitts-et-Nevis et le Comité exécutif pour la phase II du PGEH est présenté dans l'annexe I du présent document.</w:t>
      </w:r>
    </w:p>
    <w:p w14:paraId="51F50938" w14:textId="77777777" w:rsidR="00563DA8" w:rsidRPr="00996241" w:rsidRDefault="00563DA8" w:rsidP="001161CD">
      <w:pPr>
        <w:keepNext/>
        <w:autoSpaceDE w:val="0"/>
        <w:autoSpaceDN w:val="0"/>
        <w:adjustRightInd w:val="0"/>
        <w:spacing w:before="360" w:after="240"/>
        <w:outlineLvl w:val="0"/>
        <w:rPr>
          <w:b/>
        </w:rPr>
      </w:pPr>
      <w:bookmarkStart w:id="20" w:name="_Hlk126916251"/>
      <w:r>
        <w:rPr>
          <w:b/>
        </w:rPr>
        <w:t>RECOMMANDATION</w:t>
      </w:r>
    </w:p>
    <w:bookmarkEnd w:id="20"/>
    <w:p w14:paraId="69B210A2" w14:textId="3442FE39" w:rsidR="00563DA8" w:rsidRPr="008B3228" w:rsidRDefault="00043897" w:rsidP="001161CD">
      <w:pPr>
        <w:pStyle w:val="Heading1"/>
        <w:keepNext/>
        <w:rPr>
          <w:lang w:val="fr-CA"/>
        </w:rPr>
      </w:pPr>
      <w:r>
        <w:rPr>
          <w:lang w:val="fr-CA"/>
        </w:rPr>
        <w:t xml:space="preserve">  Le Comité exécutif souhaitera peut-être :</w:t>
      </w:r>
    </w:p>
    <w:p w14:paraId="0B8C0A57" w14:textId="3C8F38F9" w:rsidR="00D25930" w:rsidRPr="008B3228" w:rsidRDefault="00563DA8" w:rsidP="00F30178">
      <w:pPr>
        <w:numPr>
          <w:ilvl w:val="1"/>
          <w:numId w:val="1"/>
        </w:numPr>
        <w:spacing w:before="240" w:after="240"/>
        <w:outlineLvl w:val="1"/>
        <w:rPr>
          <w:lang w:val="fr-CA"/>
        </w:rPr>
      </w:pPr>
      <w:r>
        <w:rPr>
          <w:lang w:val="fr-CA"/>
        </w:rPr>
        <w:t>d'approuver, en principe, la phase II du Plan de gestion de l'élimination des HCFC (PGEH) pour Saint-Kitts-et-Nevis pour la période allant de 2026 à 2030 en vue de l'élimination complète de la consommation de HCFC, pour un montant de 326 538 $US, dont 233 700 $US, auxquels s’ajoutent des coûts d’appui pour les agences de 30 381 $US pour le PNUE et de 57 300 $US, auxquels s’ajoutent des coûts d’appui pour les agences de 5 157 $US pour l’ONUDI, étant entendu qu’aucun autre financement du Fonds multilatéral ne sera accordé pour l’élimination des HCFC ;</w:t>
      </w:r>
    </w:p>
    <w:p w14:paraId="24F6D91C" w14:textId="77777777" w:rsidR="00B91613" w:rsidRPr="008B3228" w:rsidRDefault="00563DA8" w:rsidP="00F30178">
      <w:pPr>
        <w:numPr>
          <w:ilvl w:val="1"/>
          <w:numId w:val="1"/>
        </w:numPr>
        <w:spacing w:after="240"/>
        <w:outlineLvl w:val="1"/>
        <w:rPr>
          <w:lang w:val="fr-CA"/>
        </w:rPr>
      </w:pPr>
      <w:r>
        <w:rPr>
          <w:lang w:val="fr-CA"/>
        </w:rPr>
        <w:t>Prenant note de l'engagement du Gouvernement de Saint-Kitts-et-Nevis :</w:t>
      </w:r>
    </w:p>
    <w:p w14:paraId="08AA4B52" w14:textId="3F1044D8" w:rsidR="00371F3E" w:rsidRPr="008B3228" w:rsidRDefault="00563DA8" w:rsidP="00457665">
      <w:pPr>
        <w:pStyle w:val="Heading3"/>
        <w:rPr>
          <w:lang w:val="fr-CA"/>
        </w:rPr>
      </w:pPr>
      <w:r>
        <w:rPr>
          <w:lang w:val="fr-CA"/>
        </w:rPr>
        <w:t>D'éliminer complètement les HCFC d'ici au 1</w:t>
      </w:r>
      <w:r>
        <w:rPr>
          <w:vertAlign w:val="superscript"/>
          <w:lang w:val="fr-CA"/>
        </w:rPr>
        <w:t>er</w:t>
      </w:r>
      <w:r>
        <w:rPr>
          <w:lang w:val="fr-CA"/>
        </w:rPr>
        <w:t xml:space="preserve"> janvier 2030, en précisant que les HCFC ne seront plus importés après cette date, à l’exception de ceux qui sont autorisés au titre d’un reliquat pour l’entretien entre 2030 et 2040, lorsque cela est nécessaire, conformément aux dispositions du Protocole de Montréal ;</w:t>
      </w:r>
    </w:p>
    <w:p w14:paraId="62237D39" w14:textId="3AC22F72" w:rsidR="00397983" w:rsidRPr="008B3228" w:rsidRDefault="00397983" w:rsidP="00A3259E">
      <w:pPr>
        <w:pStyle w:val="Heading3"/>
        <w:rPr>
          <w:lang w:val="fr-CA"/>
        </w:rPr>
      </w:pPr>
      <w:proofErr w:type="gramStart"/>
      <w:r>
        <w:rPr>
          <w:lang w:val="fr-CA"/>
        </w:rPr>
        <w:t>d'adopter</w:t>
      </w:r>
      <w:proofErr w:type="gramEnd"/>
      <w:r>
        <w:rPr>
          <w:lang w:val="fr-CA"/>
        </w:rPr>
        <w:t xml:space="preserve"> une interdiction d'importer des équipements fonctionnant aux HCFC d'ici décembre 2027 ;</w:t>
      </w:r>
    </w:p>
    <w:p w14:paraId="7750FA3A" w14:textId="134BE317" w:rsidR="00BF589C" w:rsidRPr="008B3228" w:rsidRDefault="00BF589C" w:rsidP="00BF589C">
      <w:pPr>
        <w:pStyle w:val="Heading2"/>
        <w:numPr>
          <w:ilvl w:val="1"/>
          <w:numId w:val="1"/>
        </w:numPr>
        <w:rPr>
          <w:lang w:val="fr-CA"/>
        </w:rPr>
      </w:pPr>
      <w:r>
        <w:rPr>
          <w:lang w:val="fr-CA"/>
        </w:rPr>
        <w:t>Notant également que la phase II du PGEH prévoit un financement de 100 000 $US pour des activités supplémentaires visant à maintenir l’efficacité énergétique dans le secteur de l’entretien de l’équipement de réfrigération, ainsi que des coûts d’appui de 13 000 $US pour le PNUE ;</w:t>
      </w:r>
    </w:p>
    <w:p w14:paraId="454CA187" w14:textId="10F100C8" w:rsidR="00563DA8" w:rsidRPr="008B3228" w:rsidRDefault="00563DA8" w:rsidP="001161CD">
      <w:pPr>
        <w:numPr>
          <w:ilvl w:val="1"/>
          <w:numId w:val="1"/>
        </w:numPr>
        <w:spacing w:after="240"/>
        <w:outlineLvl w:val="1"/>
        <w:rPr>
          <w:lang w:val="fr-CA"/>
        </w:rPr>
      </w:pPr>
      <w:r>
        <w:rPr>
          <w:lang w:val="fr-CA"/>
        </w:rPr>
        <w:t>De déduire 0,32 tonne PAO de HCFC de la consommation restante de HCFC admissible au financement ;</w:t>
      </w:r>
    </w:p>
    <w:p w14:paraId="27DD91BC" w14:textId="5A164D49" w:rsidR="00563DA8" w:rsidRPr="008B3228" w:rsidRDefault="00563DA8" w:rsidP="001161CD">
      <w:pPr>
        <w:numPr>
          <w:ilvl w:val="1"/>
          <w:numId w:val="1"/>
        </w:numPr>
        <w:spacing w:after="240"/>
        <w:outlineLvl w:val="1"/>
        <w:rPr>
          <w:lang w:val="fr-CA"/>
        </w:rPr>
      </w:pPr>
      <w:r>
        <w:rPr>
          <w:lang w:val="fr-CA"/>
        </w:rPr>
        <w:t>D'approuver le projet d'accord entre le Gouvernement de Saint-Kitts-et-Nevis et le Comité exécutif visant la réduction de la consommation de HCFC, en accord avec la phase II du PGEH se trouvant en annexe I du présent document ;</w:t>
      </w:r>
    </w:p>
    <w:p w14:paraId="7A2C9D07" w14:textId="31A7D47C" w:rsidR="00563DA8" w:rsidRPr="008B3228" w:rsidRDefault="00563DA8" w:rsidP="001161CD">
      <w:pPr>
        <w:pStyle w:val="Heading2"/>
        <w:widowControl/>
        <w:numPr>
          <w:ilvl w:val="1"/>
          <w:numId w:val="1"/>
        </w:numPr>
        <w:rPr>
          <w:lang w:val="fr-CA"/>
        </w:rPr>
      </w:pPr>
      <w:r>
        <w:rPr>
          <w:lang w:val="fr-CA"/>
        </w:rPr>
        <w:lastRenderedPageBreak/>
        <w:t>Que, aux fins de l'examen de la demande de tranche finale pour le PGEH, le Gouvernement de Saint-Kitts-et-Nevis présente :</w:t>
      </w:r>
    </w:p>
    <w:p w14:paraId="1C911D8A" w14:textId="51E51C6A" w:rsidR="00563DA8" w:rsidRPr="008B3228" w:rsidRDefault="00563DA8" w:rsidP="00A45068">
      <w:pPr>
        <w:numPr>
          <w:ilvl w:val="2"/>
          <w:numId w:val="1"/>
        </w:numPr>
        <w:spacing w:after="240"/>
        <w:outlineLvl w:val="2"/>
        <w:rPr>
          <w:lang w:val="fr-CA"/>
        </w:rPr>
      </w:pPr>
      <w:r>
        <w:rPr>
          <w:lang w:val="fr-CA"/>
        </w:rPr>
        <w:t>Une description détaillée des cadres réglementaire et politique en place pour mettre en œuvre les mesures visant à assurer la conformité de la consommation de HCFC avec l’article 5, paragraphe 8 ter, alinéa e), sous-alinéa i), du Protocole de Montréal pour la période 2030-2040 ;</w:t>
      </w:r>
    </w:p>
    <w:p w14:paraId="062704B0" w14:textId="2AC6CA0E" w:rsidR="00563DA8" w:rsidRPr="008B3228" w:rsidRDefault="00563DA8" w:rsidP="001161CD">
      <w:pPr>
        <w:pStyle w:val="Heading3"/>
        <w:widowControl/>
        <w:numPr>
          <w:ilvl w:val="2"/>
          <w:numId w:val="1"/>
        </w:numPr>
        <w:rPr>
          <w:lang w:val="fr-CA"/>
        </w:rPr>
      </w:pPr>
      <w:r>
        <w:rPr>
          <w:lang w:val="fr-CA"/>
        </w:rPr>
        <w:t>La consommation annuelle prévue de HCFC à Saint-Kitts-et-Nevis pour la période 2030-2040 ; et</w:t>
      </w:r>
    </w:p>
    <w:p w14:paraId="21EB8757" w14:textId="74800ED5" w:rsidR="00563DA8" w:rsidRPr="008B3228" w:rsidRDefault="00563DA8" w:rsidP="001161CD">
      <w:pPr>
        <w:numPr>
          <w:ilvl w:val="1"/>
          <w:numId w:val="1"/>
        </w:numPr>
        <w:spacing w:after="240"/>
        <w:outlineLvl w:val="1"/>
        <w:rPr>
          <w:lang w:val="fr-CA"/>
        </w:rPr>
      </w:pPr>
      <w:proofErr w:type="gramStart"/>
      <w:r>
        <w:rPr>
          <w:lang w:val="fr-CA"/>
        </w:rPr>
        <w:t>d'approuver</w:t>
      </w:r>
      <w:proofErr w:type="gramEnd"/>
      <w:r>
        <w:rPr>
          <w:lang w:val="fr-CA"/>
        </w:rPr>
        <w:t xml:space="preserve"> la première tranche de la phase II du PGEH pour Saint-Kitts-et-Nevis, ainsi que le plan de mise en œuvre de la tranche, pour un montant de 161 207 $US, comprenant 108 900 $US, plus des coûts d’appui de l’agence d’exécution de 14 157 $US, pour le PNUE, et 35 000 $US, auxquels s’ajoutent les coûts d’appui des agences de 3 150 $US, pour l’ONUDI.</w:t>
      </w:r>
    </w:p>
    <w:p w14:paraId="00DC782B" w14:textId="77777777" w:rsidR="00563DA8" w:rsidRPr="008B3228" w:rsidRDefault="00563DA8" w:rsidP="001161CD">
      <w:pPr>
        <w:rPr>
          <w:lang w:val="fr-CA"/>
        </w:rPr>
      </w:pPr>
    </w:p>
    <w:p w14:paraId="43D04743" w14:textId="77777777" w:rsidR="006E6CA2" w:rsidRPr="008B3228" w:rsidRDefault="006E6CA2" w:rsidP="001161CD">
      <w:pPr>
        <w:rPr>
          <w:lang w:val="fr-CA"/>
        </w:rPr>
      </w:pPr>
    </w:p>
    <w:p w14:paraId="12A36079" w14:textId="730D199C" w:rsidR="006E6CA2" w:rsidRPr="008B3228" w:rsidRDefault="006E6CA2" w:rsidP="001161CD">
      <w:pPr>
        <w:rPr>
          <w:lang w:val="fr-CA"/>
        </w:rPr>
        <w:sectPr w:rsidR="006E6CA2" w:rsidRPr="008B3228" w:rsidSect="00563DA8">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20B8AADF" w14:textId="77777777" w:rsidR="00563DA8" w:rsidRPr="008B3228" w:rsidRDefault="00563DA8" w:rsidP="001161CD">
      <w:pPr>
        <w:spacing w:after="240"/>
        <w:jc w:val="center"/>
        <w:rPr>
          <w:b/>
          <w:bCs/>
          <w:lang w:val="fr-CA"/>
        </w:rPr>
      </w:pPr>
      <w:r>
        <w:rPr>
          <w:b/>
          <w:bCs/>
          <w:lang w:val="fr-CA"/>
        </w:rPr>
        <w:lastRenderedPageBreak/>
        <w:t>Annexe I</w:t>
      </w:r>
    </w:p>
    <w:p w14:paraId="677FE73B" w14:textId="6DD045B9" w:rsidR="00563DA8" w:rsidRPr="008B3228" w:rsidRDefault="00563DA8" w:rsidP="001161CD">
      <w:pPr>
        <w:jc w:val="center"/>
        <w:rPr>
          <w:b/>
          <w:lang w:val="fr-CA"/>
        </w:rPr>
      </w:pPr>
      <w:r>
        <w:rPr>
          <w:b/>
          <w:lang w:val="fr-CA"/>
        </w:rPr>
        <w:t>PROJET D'ACCORD ENTRE LE GOUVERNEMENT DE SAINT-</w:t>
      </w:r>
      <w:r w:rsidR="005A30E3">
        <w:rPr>
          <w:b/>
          <w:lang w:val="fr-CA"/>
        </w:rPr>
        <w:t>KITTS</w:t>
      </w:r>
      <w:r>
        <w:rPr>
          <w:b/>
          <w:lang w:val="fr-CA"/>
        </w:rPr>
        <w:t>-ET-NEVIS</w:t>
      </w:r>
      <w:r>
        <w:rPr>
          <w:b/>
          <w:lang w:val="fr-CA"/>
        </w:rPr>
        <w:br/>
        <w:t>ET LE COMITÉ EXÉCUTIF DU FONDS MULTILATÉRAL</w:t>
      </w:r>
      <w:r>
        <w:rPr>
          <w:b/>
          <w:lang w:val="fr-CA"/>
        </w:rPr>
        <w:br/>
        <w:t>EN VUE DE LA RÉDUCTION DE LA CONSOMMATION D'HYDROCHLOROFLUOROCARBURES</w:t>
      </w:r>
      <w:r>
        <w:rPr>
          <w:b/>
          <w:lang w:val="fr-CA"/>
        </w:rPr>
        <w:br/>
        <w:t>CONFORMÉMENT À LA PHASE II DU PLAN DE GESTION DE L'ÉLIMINATION PROGRESSIVE DES HCFC</w:t>
      </w:r>
    </w:p>
    <w:p w14:paraId="30D6A172" w14:textId="77777777" w:rsidR="00563DA8" w:rsidRPr="00B375EA" w:rsidRDefault="00563DA8" w:rsidP="001161CD">
      <w:pPr>
        <w:keepNext/>
        <w:spacing w:before="240" w:after="240"/>
        <w:rPr>
          <w:b/>
        </w:rPr>
      </w:pPr>
      <w:r>
        <w:rPr>
          <w:b/>
        </w:rPr>
        <w:t>Objet</w:t>
      </w:r>
    </w:p>
    <w:p w14:paraId="34FC522E" w14:textId="5EB9F378" w:rsidR="00563DA8" w:rsidRPr="008B3228" w:rsidRDefault="00563DA8" w:rsidP="001161CD">
      <w:pPr>
        <w:pStyle w:val="Heading1"/>
        <w:numPr>
          <w:ilvl w:val="0"/>
          <w:numId w:val="40"/>
        </w:numPr>
        <w:rPr>
          <w:lang w:val="fr-CA"/>
        </w:rPr>
      </w:pPr>
      <w:r>
        <w:rPr>
          <w:lang w:val="fr-CA"/>
        </w:rPr>
        <w:t>Le présent Accord représente l'entente conclue entre le Gouvernement de Saint-Kitts-et-Nevis (le « Pays ») et le Comité exécutif concernant la réduction de l'usage réglementé des substances appauvrissant la couche d'ozone (SAO) indiquées à l'Appendice 1-A (les « Substances ») à un niveau durable de 0 tonne PAO d'ici au 1</w:t>
      </w:r>
      <w:r>
        <w:rPr>
          <w:vertAlign w:val="superscript"/>
          <w:lang w:val="fr-CA"/>
        </w:rPr>
        <w:t>er</w:t>
      </w:r>
      <w:r>
        <w:rPr>
          <w:lang w:val="fr-CA"/>
        </w:rPr>
        <w:t xml:space="preserve"> janvier 2030, conformément au calendrier de réduction du Protocole de Montréal.</w:t>
      </w:r>
    </w:p>
    <w:p w14:paraId="4EE9784A" w14:textId="2FE873CD" w:rsidR="00563DA8" w:rsidRPr="008B3228" w:rsidRDefault="00563DA8" w:rsidP="001161CD">
      <w:pPr>
        <w:pStyle w:val="Heading1"/>
        <w:rPr>
          <w:lang w:val="fr-CA"/>
        </w:rPr>
      </w:pPr>
      <w:r>
        <w:rPr>
          <w:lang w:val="fr-CA"/>
        </w:rPr>
        <w:t>Le Pays s'engage à respecter les limites de consommation annuelles des Substances telles que définies à la ligne 1.2 de l'annexe 2-A (« Les Cibles et le Financement ») du présent Accord ainsi que dans le calendrier de réduction du Protocole de Montréal pour toutes les Substances mentionnées à l'annexe 1-A. Le Pays accepte que, par son acceptation du présent Accord et l'exécution par le Comité exécutif de ses obligations de financement décrites au paragraphe 3, il ne peut solliciter ni recevoir de financement supplémentaire du Fonds multilatéral au titre de toute consommation des substances dépassant le niveau défini à la ligne 1.2 de l’appendice 2-A en tant qu’étape de réduction finale au titre du présent accord pour l’ensemble des substances spécifiées à l’appendice 1-A, ni au titre de toute consommation de chacune des substances dépassant le niveau défini à la ligne 4.1.3 (consommation restante admissible au financement).</w:t>
      </w:r>
    </w:p>
    <w:p w14:paraId="6DB896F5" w14:textId="77777777" w:rsidR="00563DA8" w:rsidRPr="008B3228" w:rsidRDefault="00563DA8" w:rsidP="001161CD">
      <w:pPr>
        <w:pStyle w:val="Heading1"/>
        <w:rPr>
          <w:lang w:val="fr-CA"/>
        </w:rPr>
      </w:pPr>
      <w:r>
        <w:rPr>
          <w:lang w:val="fr-CA"/>
        </w:rP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 Calendrier d'approbation du financement »).</w:t>
      </w:r>
    </w:p>
    <w:p w14:paraId="5D841A4E" w14:textId="261702F3" w:rsidR="00563DA8" w:rsidRPr="008B3228" w:rsidRDefault="00563DA8" w:rsidP="001161CD">
      <w:pPr>
        <w:pStyle w:val="Heading1"/>
        <w:rPr>
          <w:lang w:val="fr-CA"/>
        </w:rPr>
      </w:pPr>
      <w:r>
        <w:rPr>
          <w:lang w:val="fr-CA"/>
        </w:rPr>
        <w:t>Le Pays accepte de mettre en œuvre cet Accord conformément à la phase II 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2FF2125B" w14:textId="77777777" w:rsidR="00563DA8" w:rsidRPr="00B375EA" w:rsidRDefault="00563DA8" w:rsidP="001161CD">
      <w:pPr>
        <w:keepNext/>
        <w:spacing w:after="240"/>
        <w:rPr>
          <w:b/>
        </w:rPr>
      </w:pPr>
      <w:r>
        <w:rPr>
          <w:b/>
        </w:rPr>
        <w:t>Conditions de décaissement du financement</w:t>
      </w:r>
    </w:p>
    <w:p w14:paraId="74B6F5BC" w14:textId="1D3241CE" w:rsidR="00563DA8" w:rsidRPr="008B3228" w:rsidRDefault="00043897" w:rsidP="001161CD">
      <w:pPr>
        <w:pStyle w:val="Heading1"/>
        <w:rPr>
          <w:lang w:val="fr-CA"/>
        </w:rPr>
      </w:pPr>
      <w:r>
        <w:rPr>
          <w:lang w:val="fr-CA"/>
        </w:rPr>
        <w:t xml:space="preserve">  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29FE34D8"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183E0C93"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Le respect de ces Objectifs a été vérifié de manière indépendante pour toutes les années concernées, à moins que le Comité exécutif n'ait décidé que cette vérification n'était pas nécessaire ;</w:t>
      </w:r>
    </w:p>
    <w:p w14:paraId="1F752F88" w14:textId="08E32C7F" w:rsidR="00563DA8" w:rsidRPr="008B3228" w:rsidRDefault="00563DA8" w:rsidP="001161CD">
      <w:pPr>
        <w:pStyle w:val="Heading2"/>
        <w:widowControl/>
        <w:numPr>
          <w:ilvl w:val="1"/>
          <w:numId w:val="1"/>
        </w:numPr>
        <w:tabs>
          <w:tab w:val="clear" w:pos="0"/>
          <w:tab w:val="num" w:pos="-720"/>
        </w:tabs>
        <w:rPr>
          <w:lang w:val="fr-CA"/>
        </w:rPr>
      </w:pPr>
      <w:r>
        <w:rPr>
          <w:lang w:val="fr-CA"/>
        </w:rPr>
        <w:lastRenderedPageBreak/>
        <w:t>Le Pays a présenté un rapport de mise en œuvre de tranche, selon le format défini à l'Appendice 4-A (« Format des rapports et plans de mise en œuvre de la tranche ») pour chaque année civile précédente, indiquant qu'il avait achevé une part importante de la mise en œuvre des activités amorcées lors des tranches précédentes approuvées ; et que le taux de décaissement du financement disponible provenant de la tranche précédente approuvée était supérieur à 20 pour cent ; et</w:t>
      </w:r>
    </w:p>
    <w:p w14:paraId="6DAD3CDC"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2A04B690" w14:textId="77777777" w:rsidR="00563DA8" w:rsidRPr="005D03A9" w:rsidRDefault="00563DA8" w:rsidP="001161CD">
      <w:pPr>
        <w:keepNext/>
        <w:spacing w:before="240" w:after="240"/>
        <w:rPr>
          <w:b/>
        </w:rPr>
      </w:pPr>
      <w:r>
        <w:rPr>
          <w:b/>
        </w:rPr>
        <w:t>Suivi</w:t>
      </w:r>
    </w:p>
    <w:p w14:paraId="11DC88DC" w14:textId="04AD7CF3" w:rsidR="00563DA8" w:rsidRPr="008B3228" w:rsidRDefault="00563DA8" w:rsidP="001161CD">
      <w:pPr>
        <w:pStyle w:val="Heading1"/>
        <w:rPr>
          <w:lang w:val="fr-CA"/>
        </w:rPr>
      </w:pPr>
      <w:r>
        <w:rPr>
          <w:lang w:val="fr-CA"/>
        </w:rPr>
        <w:t>Le pays veillera à effectuer un suivi précis de ses activités dans le cadre du présent Accord. Les institutions spécifiées à l'appendice 5-A (« Les institutions de suivi et leur rôle ») feront le suivi et soumettront un rapport sur la mise en œuvre des activités des plans précédents de mise en œuvre de la tranche, conformément à leurs rôle et responsabilités précisés dans le même appendice.</w:t>
      </w:r>
    </w:p>
    <w:p w14:paraId="547B0B87" w14:textId="77777777" w:rsidR="00563DA8" w:rsidRPr="008B3228" w:rsidRDefault="00563DA8" w:rsidP="001161CD">
      <w:pPr>
        <w:keepNext/>
        <w:spacing w:before="240" w:after="240"/>
        <w:rPr>
          <w:b/>
          <w:lang w:val="fr-CA"/>
        </w:rPr>
      </w:pPr>
      <w:r>
        <w:rPr>
          <w:b/>
          <w:lang w:val="fr-CA"/>
        </w:rPr>
        <w:t>Souplesse dans la réaffectation des fonds</w:t>
      </w:r>
    </w:p>
    <w:p w14:paraId="0F762F4F" w14:textId="77777777" w:rsidR="00563DA8" w:rsidRPr="008B3228" w:rsidRDefault="00563DA8" w:rsidP="001161CD">
      <w:pPr>
        <w:pStyle w:val="Heading1"/>
        <w:rPr>
          <w:lang w:val="fr-CA"/>
        </w:rPr>
      </w:pPr>
      <w:r>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4401A771" w14:textId="77777777" w:rsidR="00563DA8" w:rsidRPr="00D423D4" w:rsidRDefault="00563DA8" w:rsidP="001161CD">
      <w:pPr>
        <w:pStyle w:val="Heading2"/>
        <w:widowControl/>
        <w:numPr>
          <w:ilvl w:val="1"/>
          <w:numId w:val="1"/>
        </w:numPr>
        <w:tabs>
          <w:tab w:val="clear" w:pos="0"/>
          <w:tab w:val="num" w:pos="-720"/>
        </w:tabs>
      </w:pPr>
      <w:r>
        <w:rPr>
          <w:lang w:val="fr-CA"/>
        </w:rPr>
        <w:t xml:space="preserve">Les réaffectations classées comme changements majeurs doivent être documentées à l'avance, soit dans un plan de mise en œuvre de tranche, tel que prévu au sous-alinéa 5 d) ci-dessus, soit dans une révision du plan de mise en œuvre de la tranche existant, à remettre huit semaines avant toute réunion du Comité exécutif, pour approbation. </w:t>
      </w:r>
      <w:r>
        <w:t xml:space="preserve">Les changements majeurs </w:t>
      </w:r>
      <w:proofErr w:type="gramStart"/>
      <w:r>
        <w:t>concernent :</w:t>
      </w:r>
      <w:proofErr w:type="gramEnd"/>
    </w:p>
    <w:p w14:paraId="0E81674E" w14:textId="095CB672" w:rsidR="00563DA8" w:rsidRPr="008B3228" w:rsidRDefault="00563DA8" w:rsidP="001161CD">
      <w:pPr>
        <w:pStyle w:val="Heading3"/>
        <w:widowControl/>
        <w:numPr>
          <w:ilvl w:val="2"/>
          <w:numId w:val="1"/>
        </w:numPr>
        <w:rPr>
          <w:lang w:val="fr-CA"/>
        </w:rPr>
      </w:pPr>
      <w:r>
        <w:rPr>
          <w:lang w:val="fr-CA"/>
        </w:rPr>
        <w:t>Des enjeux qui pourraient concerner les règles et politiques du Fonds multilatéral ;</w:t>
      </w:r>
    </w:p>
    <w:p w14:paraId="1564D93B" w14:textId="77777777" w:rsidR="00563DA8" w:rsidRPr="008B3228" w:rsidRDefault="00563DA8" w:rsidP="001161CD">
      <w:pPr>
        <w:pStyle w:val="Heading3"/>
        <w:widowControl/>
        <w:numPr>
          <w:ilvl w:val="2"/>
          <w:numId w:val="1"/>
        </w:numPr>
        <w:rPr>
          <w:lang w:val="fr-CA"/>
        </w:rPr>
      </w:pPr>
      <w:r>
        <w:rPr>
          <w:lang w:val="fr-CA"/>
        </w:rPr>
        <w:t>Des changements qui modifieraient une clause quelconque du présent Accord ;</w:t>
      </w:r>
    </w:p>
    <w:p w14:paraId="58EE6142" w14:textId="77777777" w:rsidR="00563DA8" w:rsidRPr="008B3228" w:rsidRDefault="00563DA8" w:rsidP="001161CD">
      <w:pPr>
        <w:pStyle w:val="Heading3"/>
        <w:widowControl/>
        <w:numPr>
          <w:ilvl w:val="2"/>
          <w:numId w:val="1"/>
        </w:numPr>
        <w:rPr>
          <w:lang w:val="fr-CA"/>
        </w:rPr>
      </w:pPr>
      <w:r>
        <w:rPr>
          <w:lang w:val="fr-CA"/>
        </w:rPr>
        <w:t>Des changements dans les montants annuels du financement alloué à des agences individuelles bilatérales ou d'exécution pour les différentes tranches ;</w:t>
      </w:r>
    </w:p>
    <w:p w14:paraId="4C15FCFD" w14:textId="77777777" w:rsidR="00563DA8" w:rsidRPr="008B3228" w:rsidRDefault="00563DA8" w:rsidP="001161CD">
      <w:pPr>
        <w:pStyle w:val="Heading3"/>
        <w:widowControl/>
        <w:numPr>
          <w:ilvl w:val="2"/>
          <w:numId w:val="1"/>
        </w:numPr>
        <w:rPr>
          <w:lang w:val="fr-CA"/>
        </w:rPr>
      </w:pPr>
      <w:r>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029751DA" w14:textId="77777777" w:rsidR="00563DA8" w:rsidRPr="008B3228" w:rsidRDefault="00563DA8" w:rsidP="001161CD">
      <w:pPr>
        <w:pStyle w:val="Heading3"/>
        <w:widowControl/>
        <w:numPr>
          <w:ilvl w:val="2"/>
          <w:numId w:val="1"/>
        </w:numPr>
        <w:rPr>
          <w:lang w:val="fr-CA"/>
        </w:rPr>
      </w:pPr>
      <w:r>
        <w:rPr>
          <w:lang w:val="fr-CA"/>
        </w:rPr>
        <w:t>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022BC6CE"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 xml:space="preserve">Les réaffectations qui ne sont pas classées comme changements importants peuvent être intégrées </w:t>
      </w:r>
      <w:proofErr w:type="gramStart"/>
      <w:r>
        <w:rPr>
          <w:lang w:val="fr-CA"/>
        </w:rPr>
        <w:t>au</w:t>
      </w:r>
      <w:proofErr w:type="gramEnd"/>
      <w:r>
        <w:rPr>
          <w:lang w:val="fr-CA"/>
        </w:rPr>
        <w:t xml:space="preserve"> plan annuel de mise en œuvre de tranche approuvée, en cours d'application à </w:t>
      </w:r>
      <w:r>
        <w:rPr>
          <w:lang w:val="fr-CA"/>
        </w:rPr>
        <w:lastRenderedPageBreak/>
        <w:t>ce moment, et communiquées au Comité exécutif dans le rapport de mise en œuvre de la tranche suivante ;</w:t>
      </w:r>
    </w:p>
    <w:p w14:paraId="793D26F9"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Tous les fonds restants, détenus par les agences bilatérales ou d'exécution ou par le Pays dans le cadre du Plan, seront restitués au Fonds multilatéral à l'achèvement de la dernière tranche prévue dans le cadre du présent Accord.</w:t>
      </w:r>
    </w:p>
    <w:p w14:paraId="3A0D0BB4" w14:textId="77777777" w:rsidR="00563DA8" w:rsidRPr="008B3228" w:rsidRDefault="00563DA8" w:rsidP="001161CD">
      <w:pPr>
        <w:keepNext/>
        <w:spacing w:before="240" w:after="240"/>
        <w:rPr>
          <w:b/>
          <w:lang w:val="fr-CA"/>
        </w:rPr>
      </w:pPr>
      <w:r>
        <w:rPr>
          <w:b/>
          <w:lang w:val="fr-CA"/>
        </w:rPr>
        <w:t>Considérations sur le secteur de l'entretien de l'équipement de réfrigération</w:t>
      </w:r>
    </w:p>
    <w:p w14:paraId="2186CBF0" w14:textId="7702421F" w:rsidR="00563DA8" w:rsidRPr="008B3228" w:rsidRDefault="00043897" w:rsidP="001161CD">
      <w:pPr>
        <w:pStyle w:val="Heading1"/>
        <w:rPr>
          <w:lang w:val="fr-CA"/>
        </w:rPr>
      </w:pPr>
      <w:r>
        <w:rPr>
          <w:lang w:val="fr-CA"/>
        </w:rPr>
        <w:t xml:space="preserve">  Une attention particulière sera accordée à l'exécution des activités dans le secteur de l'entretien de l'équipement de réfrigération, incluses dans le Plan, notamment :</w:t>
      </w:r>
    </w:p>
    <w:p w14:paraId="4B4A7DF8"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Le Pays utilisera la souplesse prévue dans le cadre du présent Accord pour répondre aux besoins spécifiques qui pourraient survenir durant la mise en œuvre du projet ; et</w:t>
      </w:r>
    </w:p>
    <w:p w14:paraId="03CF6D63"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Le Pays et les agences bilatérales et/ou d'exécution concernées tiendront compte des décisions pertinentes concernant le secteur de l'entretien de l'équipement de réfrigération pendant la mise en œuvre du Plan.</w:t>
      </w:r>
    </w:p>
    <w:p w14:paraId="47A41DB8" w14:textId="77777777" w:rsidR="00563DA8" w:rsidRPr="00F61D55" w:rsidRDefault="00563DA8" w:rsidP="001161CD">
      <w:pPr>
        <w:keepNext/>
        <w:spacing w:before="240" w:after="240"/>
        <w:rPr>
          <w:b/>
        </w:rPr>
      </w:pPr>
      <w:r>
        <w:rPr>
          <w:b/>
        </w:rPr>
        <w:t>Agences bilatérales et d'exécution</w:t>
      </w:r>
    </w:p>
    <w:p w14:paraId="7E1502DE" w14:textId="3BD89F0E" w:rsidR="00563DA8" w:rsidRPr="008B3228" w:rsidRDefault="00563DA8" w:rsidP="001161CD">
      <w:pPr>
        <w:pStyle w:val="Heading1"/>
        <w:rPr>
          <w:lang w:val="fr-CA"/>
        </w:rPr>
      </w:pPr>
      <w:r>
        <w:rPr>
          <w:lang w:val="fr-CA"/>
        </w:rPr>
        <w:t>Le Pays accepte d’assumer la responsabilité globale de la gestion et de la mise en œuvre du présent Accord ainsi que de toutes les activités qu’il entreprend ou qui sont menées en son nom pour s’acquitter des obligations découlant du présent Accord. Le PNUE a accepté d’être l’agence d’exécution principale (l</w:t>
      </w:r>
      <w:proofErr w:type="gramStart"/>
      <w:r>
        <w:rPr>
          <w:lang w:val="fr-CA"/>
        </w:rPr>
        <w:t>’«</w:t>
      </w:r>
      <w:proofErr w:type="gramEnd"/>
      <w:r>
        <w:rPr>
          <w:lang w:val="fr-CA"/>
        </w:rPr>
        <w:t xml:space="preserve"> Agence d’exécution principale ») et l’ONUDI a accepté d’être l’agence de coopération (l</w:t>
      </w:r>
      <w:proofErr w:type="gramStart"/>
      <w:r>
        <w:rPr>
          <w:lang w:val="fr-CA"/>
        </w:rPr>
        <w:t>’«</w:t>
      </w:r>
      <w:proofErr w:type="gramEnd"/>
      <w:r>
        <w:rPr>
          <w:lang w:val="fr-CA"/>
        </w:rPr>
        <w:t xml:space="preserve"> Agence de coopération ») sous la direction de l’Agence d’exécution principale en ce qui concerne les activités du Pays au titre du présent Accord. Le pays accepte les évaluations qui pourraient être menées dans le cadre des programmes de travail de suivi et d’évaluation du Fonds multilatéral ou dans le cadre du programme d’évaluation de l’agence principale et/ou de l’agence de coopération participant au présent accord.</w:t>
      </w:r>
    </w:p>
    <w:p w14:paraId="071BF57D" w14:textId="20F08C8C" w:rsidR="00563DA8" w:rsidRPr="008B3228" w:rsidRDefault="00563DA8" w:rsidP="001161CD">
      <w:pPr>
        <w:pStyle w:val="Heading1"/>
        <w:rPr>
          <w:lang w:val="fr-CA"/>
        </w:rPr>
      </w:pPr>
      <w:r>
        <w:rPr>
          <w:lang w:val="fr-CA"/>
        </w:rPr>
        <w:t>L'agence principale sera chargée d'assurer la coordination de la planification, de la mise en œuvre et de l'établissement des rapports pour toutes les activités prévues dans le cadre du présent accord, y compris, mais sans s'y limiter, la vérification indépendante visée au sous-paragraphe 5 b). L'agence de coopération appuiera l'agence principale en mettant en œuvre le plan sous la coordination globale de l'agence principale. Les rôles de l'agence principale et de l'agence de coopération figurent respectivement à l'appendice 6-A et à l'appendice 6-B. Le Comité exécutif accepte, en principe, de verser à l'agence principale et à l'agence de coopération les honoraires indiqués aux lignes 2.2 et 2.4 de l'appendice 2-A.</w:t>
      </w:r>
    </w:p>
    <w:p w14:paraId="56A5732F" w14:textId="77777777" w:rsidR="00563DA8" w:rsidRPr="00F61D55" w:rsidRDefault="00563DA8" w:rsidP="001161CD">
      <w:pPr>
        <w:keepNext/>
        <w:spacing w:before="240" w:after="240"/>
        <w:rPr>
          <w:b/>
        </w:rPr>
      </w:pPr>
      <w:r>
        <w:rPr>
          <w:b/>
        </w:rPr>
        <w:t>Non-respect de l'Accord</w:t>
      </w:r>
    </w:p>
    <w:p w14:paraId="2440A373" w14:textId="77777777" w:rsidR="00563DA8" w:rsidRPr="008B3228" w:rsidRDefault="00563DA8" w:rsidP="001161CD">
      <w:pPr>
        <w:pStyle w:val="Heading1"/>
        <w:spacing w:before="240"/>
        <w:rPr>
          <w:lang w:val="fr-CA"/>
        </w:rPr>
      </w:pPr>
      <w:r>
        <w:rPr>
          <w:lang w:val="fr-CA"/>
        </w:rPr>
        <w:t>Si, pour quelque raison que ce soit, le pays ne respectait pas les objectifs d'élimination des substances fixés à la ligne 1.2 de l'annexe 2-A ou ne se conformait pas au présent accord, il accepte alors de ne pas pouvoir prétendre au financement prévu dans le calendrier d'approbation des financements.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dans le calendrier d’approbation du financement. Le pays reconnaît que le Comité exécutif peut réduire le montant du financement du montant indiqué à l’appendice 7-A (« Réductions du financement en cas de non-respect ») pour chaque kg de PAO 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constituera pas un obstacle à l’octroi du financement pour les tranches futures, conformément au paragraphe 5 ci-dessus.</w:t>
      </w:r>
    </w:p>
    <w:p w14:paraId="5ECB304B" w14:textId="710478EF" w:rsidR="00563DA8" w:rsidRPr="008B3228" w:rsidRDefault="00043897" w:rsidP="001161CD">
      <w:pPr>
        <w:pStyle w:val="Heading1"/>
        <w:rPr>
          <w:lang w:val="fr-CA"/>
        </w:rPr>
      </w:pPr>
      <w:r>
        <w:rPr>
          <w:lang w:val="fr-CA"/>
        </w:rPr>
        <w:lastRenderedPageBreak/>
        <w:t xml:space="preserve">  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4088BF5" w14:textId="4743F8D5" w:rsidR="00563DA8" w:rsidRPr="008B3228" w:rsidRDefault="00043897" w:rsidP="001161CD">
      <w:pPr>
        <w:pStyle w:val="Heading1"/>
        <w:rPr>
          <w:lang w:val="fr-CA"/>
        </w:rPr>
      </w:pPr>
      <w:r>
        <w:rPr>
          <w:lang w:val="fr-CA"/>
        </w:rPr>
        <w:t xml:space="preserve">  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6EE0042" w14:textId="77777777" w:rsidR="00563DA8" w:rsidRPr="00F61D55" w:rsidRDefault="00563DA8" w:rsidP="001161CD">
      <w:pPr>
        <w:keepNext/>
        <w:spacing w:before="240" w:after="240"/>
        <w:rPr>
          <w:b/>
        </w:rPr>
      </w:pPr>
      <w:r>
        <w:rPr>
          <w:b/>
        </w:rPr>
        <w:t>Date d'achèvement</w:t>
      </w:r>
    </w:p>
    <w:p w14:paraId="338CBE0B" w14:textId="460A224F" w:rsidR="00563DA8" w:rsidRPr="008B3228" w:rsidRDefault="00563DA8" w:rsidP="001161CD">
      <w:pPr>
        <w:pStyle w:val="Heading1"/>
        <w:spacing w:before="240"/>
        <w:rPr>
          <w:lang w:val="fr-CA"/>
        </w:rPr>
      </w:pPr>
      <w:r>
        <w:rPr>
          <w:lang w:val="fr-CA"/>
        </w:rPr>
        <w:t>L'achèvement du plan et de l'accord associé aura lieu à la fin de l'année suivant la dernière année pour laquelle un montant maximal autorisé de consommation a été spécifié à l'appendice 2-A. Si, à ce moment-là, il reste encore des activités en suspens qui étaient prévues dans le dernier plan de mise en œuvre de la tranche et ses révisions ultérieures conformément au sous-paragraphe 5 d) et au paragraphe 7, l'achèvement du plan sera reporté jusqu'à la fin de l'année suivant la mise en œuvre des activités restantes. Les obligations de rapport prévues aux alinéas 1 a), 1 b), 1 d) et 1 e) de l'appendice 4-A resteront en vigueur jusqu'à l'achèvement du plan, sauf indication contraire du Comité exécutif.</w:t>
      </w:r>
    </w:p>
    <w:p w14:paraId="39636C36" w14:textId="77777777" w:rsidR="00563DA8" w:rsidRPr="00B375EA" w:rsidRDefault="00563DA8" w:rsidP="001161CD">
      <w:pPr>
        <w:keepNext/>
        <w:spacing w:before="240" w:after="240"/>
      </w:pPr>
      <w:r>
        <w:rPr>
          <w:b/>
        </w:rPr>
        <w:t>Validité</w:t>
      </w:r>
    </w:p>
    <w:p w14:paraId="363B20A5" w14:textId="47FE76AF" w:rsidR="00563DA8" w:rsidRPr="008B3228" w:rsidRDefault="00043897" w:rsidP="001161CD">
      <w:pPr>
        <w:pStyle w:val="Heading1"/>
        <w:spacing w:before="240"/>
        <w:rPr>
          <w:lang w:val="fr-CA"/>
        </w:rPr>
      </w:pPr>
      <w:r>
        <w:rPr>
          <w:lang w:val="fr-CA"/>
        </w:rPr>
        <w:t xml:space="preserve">  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1560294B" w14:textId="3100F897" w:rsidR="00563DA8" w:rsidRPr="008B3228" w:rsidRDefault="00043897" w:rsidP="001161CD">
      <w:pPr>
        <w:pStyle w:val="Heading1"/>
        <w:rPr>
          <w:lang w:val="fr-CA"/>
        </w:rPr>
      </w:pPr>
      <w:r>
        <w:rPr>
          <w:lang w:val="fr-CA"/>
        </w:rPr>
        <w:t xml:space="preserve">  Le présent Accord peut être modifié ou résilié uniquement par consentement mutuel écrit du Pays et du Comité exécutif du Fonds multilatéral.</w:t>
      </w:r>
    </w:p>
    <w:p w14:paraId="251CE370" w14:textId="77777777" w:rsidR="00563DA8" w:rsidRPr="00FB39AB" w:rsidRDefault="00563DA8" w:rsidP="001161CD">
      <w:pPr>
        <w:pStyle w:val="Heading1"/>
        <w:keepNext/>
        <w:numPr>
          <w:ilvl w:val="0"/>
          <w:numId w:val="0"/>
        </w:numPr>
        <w:spacing w:before="360" w:after="360"/>
        <w:rPr>
          <w:b/>
        </w:rPr>
      </w:pPr>
      <w:r>
        <w:rPr>
          <w:b/>
        </w:rPr>
        <w:t>APPENDICES</w:t>
      </w:r>
    </w:p>
    <w:p w14:paraId="604DF436" w14:textId="77777777" w:rsidR="00563DA8" w:rsidRPr="00B375EA" w:rsidRDefault="00563DA8" w:rsidP="001161CD">
      <w:pPr>
        <w:pStyle w:val="Heading1"/>
        <w:keepNext/>
        <w:numPr>
          <w:ilvl w:val="0"/>
          <w:numId w:val="0"/>
        </w:numPr>
        <w:spacing w:before="360"/>
        <w:rPr>
          <w:b/>
        </w:rPr>
      </w:pPr>
      <w:r>
        <w:rPr>
          <w:b/>
        </w:rPr>
        <w:t>APPENDICE 1-</w:t>
      </w:r>
      <w:proofErr w:type="gramStart"/>
      <w:r>
        <w:rPr>
          <w:b/>
        </w:rPr>
        <w:t>A :</w:t>
      </w:r>
      <w:proofErr w:type="gramEnd"/>
      <w:r>
        <w:rPr>
          <w:b/>
        </w:rPr>
        <w:t xml:space="preserve">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1470"/>
        <w:gridCol w:w="1470"/>
        <w:gridCol w:w="4942"/>
      </w:tblGrid>
      <w:tr w:rsidR="00563DA8" w:rsidRPr="009B44EF" w14:paraId="2A3C9394" w14:textId="77777777" w:rsidTr="00457665">
        <w:trPr>
          <w:trHeight w:val="413"/>
          <w:tblHeader/>
        </w:trPr>
        <w:tc>
          <w:tcPr>
            <w:tcW w:w="785" w:type="pct"/>
            <w:vAlign w:val="center"/>
          </w:tcPr>
          <w:p w14:paraId="299EA21F" w14:textId="77777777" w:rsidR="00563DA8" w:rsidRPr="00B375EA" w:rsidRDefault="00563DA8" w:rsidP="001161CD">
            <w:pPr>
              <w:keepNext/>
              <w:jc w:val="center"/>
              <w:rPr>
                <w:sz w:val="20"/>
                <w:szCs w:val="20"/>
              </w:rPr>
            </w:pPr>
            <w:r>
              <w:rPr>
                <w:sz w:val="20"/>
                <w:szCs w:val="20"/>
              </w:rPr>
              <w:t>Substance</w:t>
            </w:r>
          </w:p>
        </w:tc>
        <w:tc>
          <w:tcPr>
            <w:tcW w:w="786" w:type="pct"/>
            <w:vAlign w:val="center"/>
          </w:tcPr>
          <w:p w14:paraId="45BE4552" w14:textId="77777777" w:rsidR="00563DA8" w:rsidRPr="00B375EA" w:rsidRDefault="00563DA8" w:rsidP="001161CD">
            <w:pPr>
              <w:keepNext/>
              <w:jc w:val="center"/>
              <w:rPr>
                <w:sz w:val="20"/>
                <w:szCs w:val="20"/>
              </w:rPr>
            </w:pPr>
            <w:r>
              <w:rPr>
                <w:sz w:val="20"/>
                <w:szCs w:val="20"/>
              </w:rPr>
              <w:t>Annexe</w:t>
            </w:r>
          </w:p>
        </w:tc>
        <w:tc>
          <w:tcPr>
            <w:tcW w:w="786" w:type="pct"/>
            <w:vAlign w:val="center"/>
          </w:tcPr>
          <w:p w14:paraId="2F762E43" w14:textId="77777777" w:rsidR="00563DA8" w:rsidRPr="00B375EA" w:rsidRDefault="00563DA8" w:rsidP="001161CD">
            <w:pPr>
              <w:keepNext/>
              <w:jc w:val="center"/>
              <w:rPr>
                <w:sz w:val="20"/>
                <w:szCs w:val="20"/>
              </w:rPr>
            </w:pPr>
            <w:r>
              <w:rPr>
                <w:sz w:val="20"/>
                <w:szCs w:val="20"/>
              </w:rPr>
              <w:t>Groupe</w:t>
            </w:r>
          </w:p>
        </w:tc>
        <w:tc>
          <w:tcPr>
            <w:tcW w:w="2644" w:type="pct"/>
            <w:vAlign w:val="center"/>
          </w:tcPr>
          <w:p w14:paraId="63D98127" w14:textId="77777777" w:rsidR="00563DA8" w:rsidRPr="008B3228" w:rsidRDefault="00563DA8" w:rsidP="001161CD">
            <w:pPr>
              <w:keepNext/>
              <w:jc w:val="center"/>
              <w:rPr>
                <w:sz w:val="20"/>
                <w:szCs w:val="20"/>
                <w:lang w:val="fr-CA"/>
              </w:rPr>
            </w:pPr>
            <w:r>
              <w:rPr>
                <w:sz w:val="20"/>
                <w:szCs w:val="20"/>
                <w:lang w:val="fr-CA"/>
              </w:rPr>
              <w:t>Point de départ des réductions globales de consommation (tonnes PAO)</w:t>
            </w:r>
          </w:p>
        </w:tc>
      </w:tr>
      <w:tr w:rsidR="00563DA8" w:rsidRPr="00B375EA" w14:paraId="42B896EE" w14:textId="77777777" w:rsidTr="00457665">
        <w:tc>
          <w:tcPr>
            <w:tcW w:w="785" w:type="pct"/>
          </w:tcPr>
          <w:p w14:paraId="70F66982" w14:textId="77777777" w:rsidR="00563DA8" w:rsidRPr="00B375EA" w:rsidRDefault="00563DA8" w:rsidP="001161CD">
            <w:pPr>
              <w:keepNext/>
              <w:rPr>
                <w:sz w:val="20"/>
                <w:szCs w:val="20"/>
              </w:rPr>
            </w:pPr>
            <w:r>
              <w:rPr>
                <w:sz w:val="20"/>
                <w:szCs w:val="20"/>
              </w:rPr>
              <w:t>HCFC-22</w:t>
            </w:r>
          </w:p>
        </w:tc>
        <w:tc>
          <w:tcPr>
            <w:tcW w:w="786" w:type="pct"/>
            <w:vAlign w:val="center"/>
          </w:tcPr>
          <w:p w14:paraId="383A8AC7" w14:textId="77777777" w:rsidR="00563DA8" w:rsidRPr="00B375EA" w:rsidRDefault="00563DA8" w:rsidP="001161CD">
            <w:pPr>
              <w:keepNext/>
              <w:jc w:val="center"/>
              <w:rPr>
                <w:sz w:val="20"/>
                <w:szCs w:val="20"/>
              </w:rPr>
            </w:pPr>
            <w:r>
              <w:rPr>
                <w:sz w:val="20"/>
                <w:szCs w:val="20"/>
              </w:rPr>
              <w:t>C</w:t>
            </w:r>
          </w:p>
        </w:tc>
        <w:tc>
          <w:tcPr>
            <w:tcW w:w="786" w:type="pct"/>
            <w:vAlign w:val="center"/>
          </w:tcPr>
          <w:p w14:paraId="38EAB329" w14:textId="77777777" w:rsidR="00563DA8" w:rsidRPr="00B375EA" w:rsidRDefault="00563DA8" w:rsidP="001161CD">
            <w:pPr>
              <w:keepNext/>
              <w:jc w:val="center"/>
              <w:rPr>
                <w:sz w:val="20"/>
                <w:szCs w:val="20"/>
              </w:rPr>
            </w:pPr>
            <w:r>
              <w:rPr>
                <w:sz w:val="20"/>
                <w:szCs w:val="20"/>
              </w:rPr>
              <w:t>I</w:t>
            </w:r>
          </w:p>
        </w:tc>
        <w:tc>
          <w:tcPr>
            <w:tcW w:w="2644" w:type="pct"/>
            <w:shd w:val="clear" w:color="auto" w:fill="FFFFFF" w:themeFill="background1"/>
          </w:tcPr>
          <w:p w14:paraId="1EE7EE95" w14:textId="10E063FB" w:rsidR="00563DA8" w:rsidRPr="00AB6689" w:rsidRDefault="00BF589C" w:rsidP="001161CD">
            <w:pPr>
              <w:keepNext/>
              <w:jc w:val="right"/>
              <w:rPr>
                <w:sz w:val="20"/>
                <w:szCs w:val="20"/>
                <w:highlight w:val="cyan"/>
              </w:rPr>
            </w:pPr>
            <w:r>
              <w:rPr>
                <w:sz w:val="20"/>
                <w:szCs w:val="20"/>
              </w:rPr>
              <w:t>0,50</w:t>
            </w:r>
          </w:p>
        </w:tc>
      </w:tr>
    </w:tbl>
    <w:p w14:paraId="0401E667" w14:textId="77777777" w:rsidR="00563DA8" w:rsidRPr="008B3228" w:rsidRDefault="00563DA8" w:rsidP="001161CD">
      <w:pPr>
        <w:pStyle w:val="Heading1"/>
        <w:keepNext/>
        <w:numPr>
          <w:ilvl w:val="0"/>
          <w:numId w:val="0"/>
        </w:numPr>
        <w:spacing w:before="360"/>
        <w:rPr>
          <w:b/>
          <w:lang w:val="fr-CA"/>
        </w:rPr>
      </w:pPr>
      <w:r>
        <w:rPr>
          <w:b/>
          <w:lang w:val="fr-CA"/>
        </w:rPr>
        <w:t>APPENDICE 2-A : LES OBJECTIFS ET LE FINANCEMENT</w:t>
      </w:r>
    </w:p>
    <w:tbl>
      <w:tblPr>
        <w:tblW w:w="5012" w:type="pct"/>
        <w:jc w:val="center"/>
        <w:tblCellMar>
          <w:left w:w="85" w:type="dxa"/>
          <w:right w:w="85" w:type="dxa"/>
        </w:tblCellMar>
        <w:tblLook w:val="04A0" w:firstRow="1" w:lastRow="0" w:firstColumn="1" w:lastColumn="0" w:noHBand="0" w:noVBand="1"/>
      </w:tblPr>
      <w:tblGrid>
        <w:gridCol w:w="659"/>
        <w:gridCol w:w="3191"/>
        <w:gridCol w:w="921"/>
        <w:gridCol w:w="921"/>
        <w:gridCol w:w="921"/>
        <w:gridCol w:w="921"/>
        <w:gridCol w:w="981"/>
        <w:gridCol w:w="857"/>
      </w:tblGrid>
      <w:tr w:rsidR="00563DA8" w:rsidRPr="00846ED3" w14:paraId="0B85EFF5" w14:textId="77777777" w:rsidTr="004F3F9F">
        <w:trPr>
          <w:cantSplit/>
          <w:trHeight w:val="116"/>
          <w:tblHeader/>
          <w:jc w:val="center"/>
        </w:trPr>
        <w:tc>
          <w:tcPr>
            <w:tcW w:w="307" w:type="pct"/>
            <w:tcBorders>
              <w:top w:val="single" w:sz="4" w:space="0" w:color="auto"/>
              <w:left w:val="single" w:sz="4" w:space="0" w:color="auto"/>
              <w:bottom w:val="single" w:sz="4" w:space="0" w:color="auto"/>
              <w:right w:val="single" w:sz="4" w:space="0" w:color="auto"/>
            </w:tcBorders>
            <w:hideMark/>
          </w:tcPr>
          <w:p w14:paraId="57F0B40A" w14:textId="77777777" w:rsidR="00563DA8" w:rsidRPr="00846ED3" w:rsidRDefault="00563DA8" w:rsidP="001161CD">
            <w:pPr>
              <w:keepNext/>
              <w:keepLines/>
              <w:jc w:val="center"/>
              <w:rPr>
                <w:b/>
                <w:bCs/>
                <w:color w:val="000000"/>
                <w:sz w:val="20"/>
                <w:szCs w:val="20"/>
                <w:lang w:eastAsia="en-CA"/>
              </w:rPr>
            </w:pPr>
            <w:r>
              <w:rPr>
                <w:b/>
                <w:bCs/>
                <w:color w:val="000000"/>
                <w:sz w:val="20"/>
                <w:szCs w:val="20"/>
                <w:lang w:eastAsia="en-CA"/>
              </w:rPr>
              <w:t>Ligne</w:t>
            </w:r>
          </w:p>
        </w:tc>
        <w:tc>
          <w:tcPr>
            <w:tcW w:w="1709" w:type="pct"/>
            <w:tcBorders>
              <w:top w:val="single" w:sz="4" w:space="0" w:color="auto"/>
              <w:left w:val="nil"/>
              <w:bottom w:val="single" w:sz="4" w:space="0" w:color="auto"/>
              <w:right w:val="single" w:sz="4" w:space="0" w:color="auto"/>
            </w:tcBorders>
            <w:hideMark/>
          </w:tcPr>
          <w:p w14:paraId="4837CD6E" w14:textId="77777777" w:rsidR="00563DA8" w:rsidRPr="00846ED3" w:rsidRDefault="00563DA8" w:rsidP="001161CD">
            <w:pPr>
              <w:keepNext/>
              <w:keepLines/>
              <w:jc w:val="center"/>
              <w:rPr>
                <w:b/>
                <w:bCs/>
                <w:color w:val="000000"/>
                <w:sz w:val="20"/>
                <w:szCs w:val="20"/>
                <w:lang w:eastAsia="en-CA"/>
              </w:rPr>
            </w:pPr>
            <w:r>
              <w:rPr>
                <w:b/>
                <w:bCs/>
                <w:color w:val="000000"/>
                <w:sz w:val="20"/>
                <w:szCs w:val="20"/>
                <w:lang w:eastAsia="en-CA"/>
              </w:rPr>
              <w:t>Détails</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1FD0E116" w14:textId="77777777" w:rsidR="00563DA8" w:rsidRPr="00846ED3" w:rsidRDefault="00D423D4" w:rsidP="001161CD">
            <w:pPr>
              <w:keepNext/>
              <w:keepLines/>
              <w:jc w:val="center"/>
              <w:rPr>
                <w:b/>
                <w:bCs/>
                <w:color w:val="000000"/>
                <w:sz w:val="20"/>
                <w:szCs w:val="20"/>
                <w:lang w:eastAsia="en-CA"/>
              </w:rPr>
            </w:pPr>
            <w:r>
              <w:rPr>
                <w:b/>
                <w:bCs/>
                <w:color w:val="000000"/>
                <w:sz w:val="20"/>
                <w:szCs w:val="20"/>
                <w:lang w:eastAsia="en-CA"/>
              </w:rPr>
              <w:t>2026</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2B57C097" w14:textId="77777777" w:rsidR="00563DA8" w:rsidRPr="00846ED3" w:rsidRDefault="00D423D4" w:rsidP="001161CD">
            <w:pPr>
              <w:keepNext/>
              <w:keepLines/>
              <w:jc w:val="center"/>
              <w:rPr>
                <w:b/>
                <w:bCs/>
                <w:color w:val="000000"/>
                <w:sz w:val="20"/>
                <w:szCs w:val="20"/>
                <w:lang w:eastAsia="en-CA"/>
              </w:rPr>
            </w:pPr>
            <w:r>
              <w:rPr>
                <w:b/>
                <w:bCs/>
                <w:color w:val="000000"/>
                <w:sz w:val="20"/>
                <w:szCs w:val="20"/>
                <w:lang w:eastAsia="en-CA"/>
              </w:rPr>
              <w:t>2027</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60843227" w14:textId="77777777" w:rsidR="00563DA8" w:rsidRPr="00846ED3" w:rsidRDefault="00D423D4" w:rsidP="001161CD">
            <w:pPr>
              <w:keepNext/>
              <w:keepLines/>
              <w:jc w:val="center"/>
              <w:rPr>
                <w:b/>
                <w:bCs/>
                <w:color w:val="000000"/>
                <w:sz w:val="20"/>
                <w:szCs w:val="20"/>
                <w:lang w:eastAsia="en-CA"/>
              </w:rPr>
            </w:pPr>
            <w:r>
              <w:rPr>
                <w:b/>
                <w:bCs/>
                <w:color w:val="000000"/>
                <w:sz w:val="20"/>
                <w:szCs w:val="20"/>
                <w:lang w:eastAsia="en-CA"/>
              </w:rPr>
              <w:t>2028</w:t>
            </w:r>
          </w:p>
        </w:tc>
        <w:tc>
          <w:tcPr>
            <w:tcW w:w="498" w:type="pct"/>
            <w:tcBorders>
              <w:top w:val="single" w:sz="4" w:space="0" w:color="auto"/>
              <w:left w:val="nil"/>
              <w:bottom w:val="single" w:sz="4" w:space="0" w:color="auto"/>
              <w:right w:val="single" w:sz="4" w:space="0" w:color="auto"/>
            </w:tcBorders>
            <w:shd w:val="clear" w:color="auto" w:fill="FFFFFF" w:themeFill="background1"/>
            <w:hideMark/>
          </w:tcPr>
          <w:p w14:paraId="4A84DF14" w14:textId="77777777" w:rsidR="00563DA8" w:rsidRPr="00846ED3" w:rsidRDefault="00D423D4" w:rsidP="001161CD">
            <w:pPr>
              <w:keepNext/>
              <w:keepLines/>
              <w:jc w:val="center"/>
              <w:rPr>
                <w:b/>
                <w:bCs/>
                <w:color w:val="000000"/>
                <w:sz w:val="20"/>
                <w:szCs w:val="20"/>
                <w:lang w:eastAsia="en-CA"/>
              </w:rPr>
            </w:pPr>
            <w:r>
              <w:rPr>
                <w:b/>
                <w:bCs/>
                <w:color w:val="000000"/>
                <w:sz w:val="20"/>
                <w:szCs w:val="20"/>
                <w:lang w:eastAsia="en-CA"/>
              </w:rPr>
              <w:t>2029</w:t>
            </w:r>
          </w:p>
        </w:tc>
        <w:tc>
          <w:tcPr>
            <w:tcW w:w="529" w:type="pct"/>
            <w:tcBorders>
              <w:top w:val="single" w:sz="4" w:space="0" w:color="auto"/>
              <w:left w:val="nil"/>
              <w:bottom w:val="single" w:sz="4" w:space="0" w:color="auto"/>
              <w:right w:val="single" w:sz="4" w:space="0" w:color="auto"/>
            </w:tcBorders>
            <w:shd w:val="clear" w:color="auto" w:fill="FFFFFF" w:themeFill="background1"/>
            <w:hideMark/>
          </w:tcPr>
          <w:p w14:paraId="666EE518" w14:textId="77777777" w:rsidR="00563DA8" w:rsidRPr="00846ED3" w:rsidRDefault="00563DA8" w:rsidP="001161CD">
            <w:pPr>
              <w:keepNext/>
              <w:keepLines/>
              <w:jc w:val="center"/>
              <w:rPr>
                <w:b/>
                <w:bCs/>
                <w:color w:val="000000"/>
                <w:sz w:val="20"/>
                <w:szCs w:val="20"/>
                <w:lang w:eastAsia="en-CA"/>
              </w:rPr>
            </w:pPr>
            <w:r>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shd w:val="clear" w:color="auto" w:fill="FFFFFF" w:themeFill="background1"/>
            <w:hideMark/>
          </w:tcPr>
          <w:p w14:paraId="4757B9F6" w14:textId="77777777" w:rsidR="00563DA8" w:rsidRPr="00846ED3" w:rsidRDefault="00563DA8" w:rsidP="001161CD">
            <w:pPr>
              <w:keepNext/>
              <w:keepLines/>
              <w:jc w:val="center"/>
              <w:rPr>
                <w:b/>
                <w:bCs/>
                <w:color w:val="000000"/>
                <w:sz w:val="20"/>
                <w:szCs w:val="20"/>
                <w:lang w:eastAsia="en-CA"/>
              </w:rPr>
            </w:pPr>
            <w:r>
              <w:rPr>
                <w:b/>
                <w:bCs/>
                <w:color w:val="000000"/>
                <w:sz w:val="20"/>
                <w:szCs w:val="20"/>
                <w:lang w:eastAsia="en-CA"/>
              </w:rPr>
              <w:t>Total</w:t>
            </w:r>
          </w:p>
        </w:tc>
      </w:tr>
      <w:tr w:rsidR="007A2308" w:rsidRPr="00846ED3" w14:paraId="67530159" w14:textId="77777777" w:rsidTr="004F3F9F">
        <w:trPr>
          <w:trHeight w:val="489"/>
          <w:jc w:val="center"/>
        </w:trPr>
        <w:tc>
          <w:tcPr>
            <w:tcW w:w="307" w:type="pct"/>
            <w:tcBorders>
              <w:top w:val="nil"/>
              <w:left w:val="single" w:sz="4" w:space="0" w:color="auto"/>
              <w:bottom w:val="single" w:sz="4" w:space="0" w:color="auto"/>
              <w:right w:val="single" w:sz="4" w:space="0" w:color="auto"/>
            </w:tcBorders>
            <w:hideMark/>
          </w:tcPr>
          <w:p w14:paraId="2C533876" w14:textId="77777777" w:rsidR="007A2308" w:rsidRPr="00846ED3" w:rsidRDefault="007A2308" w:rsidP="007A2308">
            <w:pPr>
              <w:keepNext/>
              <w:keepLines/>
              <w:jc w:val="left"/>
              <w:rPr>
                <w:color w:val="000000"/>
                <w:sz w:val="20"/>
                <w:szCs w:val="20"/>
                <w:lang w:eastAsia="en-CA"/>
              </w:rPr>
            </w:pPr>
            <w:r>
              <w:rPr>
                <w:color w:val="000000"/>
                <w:sz w:val="20"/>
                <w:szCs w:val="20"/>
                <w:lang w:eastAsia="en-CA"/>
              </w:rPr>
              <w:t>1.1</w:t>
            </w:r>
          </w:p>
        </w:tc>
        <w:tc>
          <w:tcPr>
            <w:tcW w:w="1709" w:type="pct"/>
            <w:tcBorders>
              <w:top w:val="nil"/>
              <w:left w:val="nil"/>
              <w:bottom w:val="single" w:sz="4" w:space="0" w:color="auto"/>
              <w:right w:val="single" w:sz="4" w:space="0" w:color="auto"/>
            </w:tcBorders>
            <w:hideMark/>
          </w:tcPr>
          <w:p w14:paraId="0FA9D206" w14:textId="77777777" w:rsidR="007A2308" w:rsidRPr="008B3228" w:rsidRDefault="007A2308" w:rsidP="007A2308">
            <w:pPr>
              <w:keepNext/>
              <w:keepLines/>
              <w:jc w:val="left"/>
              <w:rPr>
                <w:color w:val="000000"/>
                <w:sz w:val="20"/>
                <w:szCs w:val="20"/>
                <w:lang w:val="fr-CA" w:eastAsia="en-CA"/>
              </w:rPr>
            </w:pPr>
            <w:r>
              <w:rPr>
                <w:color w:val="000000"/>
                <w:sz w:val="20"/>
                <w:szCs w:val="20"/>
                <w:lang w:val="fr-CA" w:eastAsia="en-CA"/>
              </w:rPr>
              <w:t>Calendrier de réduction des substances du groupe I de l'annexe C du Protocole de Montréal (tonnes PAO)</w:t>
            </w:r>
          </w:p>
        </w:tc>
        <w:tc>
          <w:tcPr>
            <w:tcW w:w="498" w:type="pct"/>
            <w:tcBorders>
              <w:top w:val="nil"/>
              <w:left w:val="nil"/>
              <w:bottom w:val="single" w:sz="4" w:space="0" w:color="auto"/>
              <w:right w:val="single" w:sz="4" w:space="0" w:color="auto"/>
            </w:tcBorders>
            <w:shd w:val="clear" w:color="auto" w:fill="FFFFFF" w:themeFill="background1"/>
          </w:tcPr>
          <w:p w14:paraId="00EAEAC7" w14:textId="10256956" w:rsidR="007A2308" w:rsidRPr="00846ED3" w:rsidRDefault="007A2308" w:rsidP="007A2308">
            <w:pPr>
              <w:keepNext/>
              <w:keepLines/>
              <w:jc w:val="right"/>
              <w:rPr>
                <w:color w:val="000000"/>
                <w:sz w:val="20"/>
                <w:szCs w:val="20"/>
                <w:lang w:eastAsia="en-CA"/>
              </w:rPr>
            </w:pPr>
            <w:r>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4F3D896B" w14:textId="0646B7D3" w:rsidR="007A2308" w:rsidRPr="00846ED3" w:rsidRDefault="007A2308" w:rsidP="007A2308">
            <w:pPr>
              <w:keepNext/>
              <w:keepLines/>
              <w:jc w:val="right"/>
              <w:rPr>
                <w:color w:val="000000"/>
                <w:sz w:val="20"/>
                <w:szCs w:val="20"/>
                <w:lang w:eastAsia="en-CA"/>
              </w:rPr>
            </w:pPr>
            <w:r>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06CD9F66" w14:textId="6206DA3D" w:rsidR="007A2308" w:rsidRPr="00846ED3" w:rsidRDefault="007A2308" w:rsidP="007A2308">
            <w:pPr>
              <w:keepNext/>
              <w:keepLines/>
              <w:jc w:val="right"/>
              <w:rPr>
                <w:color w:val="000000"/>
                <w:sz w:val="20"/>
                <w:szCs w:val="20"/>
                <w:lang w:eastAsia="en-CA"/>
              </w:rPr>
            </w:pPr>
            <w:r>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1968BC9C" w14:textId="3BEF4607" w:rsidR="007A2308" w:rsidRPr="00846ED3" w:rsidRDefault="007A2308" w:rsidP="007A2308">
            <w:pPr>
              <w:keepNext/>
              <w:keepLines/>
              <w:jc w:val="right"/>
              <w:rPr>
                <w:color w:val="000000"/>
                <w:sz w:val="20"/>
                <w:szCs w:val="20"/>
                <w:lang w:eastAsia="en-CA"/>
              </w:rPr>
            </w:pPr>
            <w:r>
              <w:rPr>
                <w:sz w:val="20"/>
                <w:szCs w:val="20"/>
              </w:rPr>
              <w:t>0,16</w:t>
            </w:r>
          </w:p>
        </w:tc>
        <w:tc>
          <w:tcPr>
            <w:tcW w:w="529" w:type="pct"/>
            <w:tcBorders>
              <w:top w:val="nil"/>
              <w:left w:val="nil"/>
              <w:bottom w:val="single" w:sz="4" w:space="0" w:color="auto"/>
              <w:right w:val="single" w:sz="4" w:space="0" w:color="auto"/>
            </w:tcBorders>
            <w:shd w:val="clear" w:color="auto" w:fill="FFFFFF" w:themeFill="background1"/>
          </w:tcPr>
          <w:p w14:paraId="62187B1F" w14:textId="655E5BA6" w:rsidR="007A2308" w:rsidRPr="00846ED3" w:rsidRDefault="007A2308" w:rsidP="007A2308">
            <w:pPr>
              <w:keepNext/>
              <w:keepLines/>
              <w:jc w:val="right"/>
              <w:rPr>
                <w:color w:val="000000"/>
                <w:sz w:val="20"/>
                <w:szCs w:val="20"/>
                <w:lang w:eastAsia="en-CA"/>
              </w:rPr>
            </w:pPr>
            <w:r>
              <w:rPr>
                <w:sz w:val="20"/>
                <w:szCs w:val="20"/>
              </w:rPr>
              <w:t>0</w:t>
            </w:r>
          </w:p>
        </w:tc>
        <w:tc>
          <w:tcPr>
            <w:tcW w:w="463" w:type="pct"/>
            <w:tcBorders>
              <w:top w:val="nil"/>
              <w:left w:val="nil"/>
              <w:bottom w:val="single" w:sz="4" w:space="0" w:color="auto"/>
              <w:right w:val="single" w:sz="4" w:space="0" w:color="auto"/>
            </w:tcBorders>
            <w:shd w:val="clear" w:color="auto" w:fill="FFFFFF" w:themeFill="background1"/>
          </w:tcPr>
          <w:p w14:paraId="603834EB" w14:textId="77777777" w:rsidR="007A2308" w:rsidRPr="00846ED3" w:rsidRDefault="007A2308" w:rsidP="007A2308">
            <w:pPr>
              <w:keepNext/>
              <w:keepLines/>
              <w:jc w:val="right"/>
              <w:rPr>
                <w:color w:val="000000"/>
                <w:sz w:val="20"/>
                <w:szCs w:val="20"/>
                <w:lang w:eastAsia="en-CA"/>
              </w:rPr>
            </w:pPr>
            <w:r>
              <w:rPr>
                <w:color w:val="000000"/>
                <w:sz w:val="20"/>
                <w:szCs w:val="20"/>
                <w:lang w:eastAsia="en-CA"/>
              </w:rPr>
              <w:t>s.o.</w:t>
            </w:r>
          </w:p>
        </w:tc>
      </w:tr>
      <w:tr w:rsidR="007A2308" w:rsidRPr="00846ED3" w14:paraId="4F9C881F" w14:textId="77777777" w:rsidTr="004F3F9F">
        <w:trPr>
          <w:trHeight w:val="489"/>
          <w:jc w:val="center"/>
        </w:trPr>
        <w:tc>
          <w:tcPr>
            <w:tcW w:w="307" w:type="pct"/>
            <w:tcBorders>
              <w:top w:val="nil"/>
              <w:left w:val="single" w:sz="4" w:space="0" w:color="auto"/>
              <w:bottom w:val="single" w:sz="4" w:space="0" w:color="auto"/>
              <w:right w:val="single" w:sz="4" w:space="0" w:color="auto"/>
            </w:tcBorders>
            <w:hideMark/>
          </w:tcPr>
          <w:p w14:paraId="76679556" w14:textId="77777777" w:rsidR="007A2308" w:rsidRPr="00846ED3" w:rsidRDefault="007A2308" w:rsidP="007A2308">
            <w:pPr>
              <w:jc w:val="left"/>
              <w:rPr>
                <w:color w:val="000000"/>
                <w:sz w:val="20"/>
                <w:szCs w:val="20"/>
                <w:lang w:eastAsia="en-CA"/>
              </w:rPr>
            </w:pPr>
            <w:r>
              <w:rPr>
                <w:color w:val="000000"/>
                <w:sz w:val="20"/>
                <w:szCs w:val="20"/>
                <w:lang w:eastAsia="en-CA"/>
              </w:rPr>
              <w:t>1.2</w:t>
            </w:r>
          </w:p>
        </w:tc>
        <w:tc>
          <w:tcPr>
            <w:tcW w:w="1709" w:type="pct"/>
            <w:tcBorders>
              <w:top w:val="nil"/>
              <w:left w:val="nil"/>
              <w:bottom w:val="single" w:sz="4" w:space="0" w:color="auto"/>
              <w:right w:val="single" w:sz="4" w:space="0" w:color="auto"/>
            </w:tcBorders>
            <w:hideMark/>
          </w:tcPr>
          <w:p w14:paraId="7ED8F48E" w14:textId="77777777" w:rsidR="007A2308" w:rsidRPr="008B3228" w:rsidRDefault="007A2308" w:rsidP="007A2308">
            <w:pPr>
              <w:jc w:val="left"/>
              <w:rPr>
                <w:color w:val="000000"/>
                <w:sz w:val="20"/>
                <w:szCs w:val="20"/>
                <w:lang w:val="fr-CA" w:eastAsia="en-CA"/>
              </w:rPr>
            </w:pPr>
            <w:r>
              <w:rPr>
                <w:color w:val="000000"/>
                <w:sz w:val="20"/>
                <w:szCs w:val="20"/>
                <w:lang w:val="fr-CA" w:eastAsia="en-CA"/>
              </w:rPr>
              <w:t>Consommation totale maximum autorisée des substances du groupe I de l'annexe C (tonnes PAO)</w:t>
            </w:r>
          </w:p>
        </w:tc>
        <w:tc>
          <w:tcPr>
            <w:tcW w:w="498" w:type="pct"/>
            <w:tcBorders>
              <w:top w:val="nil"/>
              <w:left w:val="nil"/>
              <w:bottom w:val="single" w:sz="4" w:space="0" w:color="auto"/>
              <w:right w:val="single" w:sz="4" w:space="0" w:color="auto"/>
            </w:tcBorders>
            <w:shd w:val="clear" w:color="auto" w:fill="FFFFFF" w:themeFill="background1"/>
          </w:tcPr>
          <w:p w14:paraId="642AF693" w14:textId="6FEED8BA" w:rsidR="007A2308" w:rsidRPr="00846ED3" w:rsidRDefault="007A2308" w:rsidP="007A2308">
            <w:pPr>
              <w:jc w:val="right"/>
              <w:rPr>
                <w:color w:val="000000"/>
                <w:sz w:val="20"/>
                <w:szCs w:val="20"/>
                <w:lang w:eastAsia="en-CA"/>
              </w:rPr>
            </w:pPr>
            <w:r>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5F426381" w14:textId="38FD4737" w:rsidR="007A2308" w:rsidRPr="00846ED3" w:rsidRDefault="007A2308" w:rsidP="007A2308">
            <w:pPr>
              <w:jc w:val="right"/>
              <w:rPr>
                <w:color w:val="000000"/>
                <w:sz w:val="20"/>
                <w:szCs w:val="20"/>
                <w:lang w:eastAsia="en-CA"/>
              </w:rPr>
            </w:pPr>
            <w:r>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10F0409B" w14:textId="67A1D555" w:rsidR="007A2308" w:rsidRPr="00846ED3" w:rsidRDefault="007A2308" w:rsidP="007A2308">
            <w:pPr>
              <w:jc w:val="right"/>
              <w:rPr>
                <w:color w:val="000000"/>
                <w:sz w:val="20"/>
                <w:szCs w:val="20"/>
                <w:lang w:eastAsia="en-CA"/>
              </w:rPr>
            </w:pPr>
            <w:r>
              <w:rPr>
                <w:sz w:val="20"/>
                <w:szCs w:val="20"/>
              </w:rPr>
              <w:t>0,16</w:t>
            </w:r>
          </w:p>
        </w:tc>
        <w:tc>
          <w:tcPr>
            <w:tcW w:w="498" w:type="pct"/>
            <w:tcBorders>
              <w:top w:val="nil"/>
              <w:left w:val="nil"/>
              <w:bottom w:val="single" w:sz="4" w:space="0" w:color="auto"/>
              <w:right w:val="single" w:sz="4" w:space="0" w:color="auto"/>
            </w:tcBorders>
            <w:shd w:val="clear" w:color="auto" w:fill="FFFFFF" w:themeFill="background1"/>
          </w:tcPr>
          <w:p w14:paraId="6BEB2DA2" w14:textId="4681FB3D" w:rsidR="007A2308" w:rsidRPr="00846ED3" w:rsidRDefault="007A2308" w:rsidP="007A2308">
            <w:pPr>
              <w:jc w:val="right"/>
              <w:rPr>
                <w:color w:val="000000"/>
                <w:sz w:val="20"/>
                <w:szCs w:val="20"/>
                <w:lang w:eastAsia="en-CA"/>
              </w:rPr>
            </w:pPr>
            <w:r>
              <w:rPr>
                <w:sz w:val="20"/>
                <w:szCs w:val="20"/>
              </w:rPr>
              <w:t>0,16</w:t>
            </w:r>
          </w:p>
        </w:tc>
        <w:tc>
          <w:tcPr>
            <w:tcW w:w="529" w:type="pct"/>
            <w:tcBorders>
              <w:top w:val="nil"/>
              <w:left w:val="nil"/>
              <w:bottom w:val="single" w:sz="4" w:space="0" w:color="auto"/>
              <w:right w:val="single" w:sz="4" w:space="0" w:color="auto"/>
            </w:tcBorders>
            <w:shd w:val="clear" w:color="auto" w:fill="FFFFFF" w:themeFill="background1"/>
          </w:tcPr>
          <w:p w14:paraId="384289F3" w14:textId="03903971" w:rsidR="007A2308" w:rsidRPr="00846ED3" w:rsidRDefault="007A2308" w:rsidP="007A2308">
            <w:pPr>
              <w:jc w:val="right"/>
              <w:rPr>
                <w:color w:val="000000"/>
                <w:sz w:val="20"/>
                <w:szCs w:val="20"/>
                <w:lang w:eastAsia="en-CA"/>
              </w:rPr>
            </w:pPr>
            <w:r>
              <w:rPr>
                <w:sz w:val="20"/>
                <w:szCs w:val="20"/>
              </w:rPr>
              <w:t>0</w:t>
            </w:r>
          </w:p>
        </w:tc>
        <w:tc>
          <w:tcPr>
            <w:tcW w:w="463" w:type="pct"/>
            <w:tcBorders>
              <w:top w:val="nil"/>
              <w:left w:val="nil"/>
              <w:bottom w:val="single" w:sz="4" w:space="0" w:color="auto"/>
              <w:right w:val="single" w:sz="4" w:space="0" w:color="auto"/>
            </w:tcBorders>
            <w:shd w:val="clear" w:color="auto" w:fill="FFFFFF" w:themeFill="background1"/>
          </w:tcPr>
          <w:p w14:paraId="6BB310E8" w14:textId="77777777" w:rsidR="007A2308" w:rsidRPr="00846ED3" w:rsidRDefault="007A2308" w:rsidP="007A2308">
            <w:pPr>
              <w:jc w:val="right"/>
              <w:rPr>
                <w:color w:val="000000"/>
                <w:sz w:val="20"/>
                <w:szCs w:val="20"/>
                <w:lang w:eastAsia="en-CA"/>
              </w:rPr>
            </w:pPr>
            <w:r>
              <w:rPr>
                <w:color w:val="000000"/>
                <w:sz w:val="20"/>
                <w:szCs w:val="20"/>
                <w:lang w:eastAsia="en-CA"/>
              </w:rPr>
              <w:t>s.o.</w:t>
            </w:r>
          </w:p>
        </w:tc>
      </w:tr>
      <w:tr w:rsidR="004F3F9F" w:rsidRPr="00846ED3" w14:paraId="741F765F" w14:textId="77777777" w:rsidTr="004F3F9F">
        <w:trPr>
          <w:trHeight w:val="139"/>
          <w:jc w:val="center"/>
        </w:trPr>
        <w:tc>
          <w:tcPr>
            <w:tcW w:w="307" w:type="pct"/>
            <w:tcBorders>
              <w:top w:val="nil"/>
              <w:left w:val="single" w:sz="4" w:space="0" w:color="auto"/>
              <w:bottom w:val="single" w:sz="4" w:space="0" w:color="auto"/>
              <w:right w:val="single" w:sz="4" w:space="0" w:color="auto"/>
            </w:tcBorders>
            <w:hideMark/>
          </w:tcPr>
          <w:p w14:paraId="431EE035" w14:textId="77777777" w:rsidR="004F3F9F" w:rsidRPr="00846ED3" w:rsidRDefault="004F3F9F" w:rsidP="004F3F9F">
            <w:pPr>
              <w:jc w:val="left"/>
              <w:rPr>
                <w:color w:val="000000"/>
                <w:sz w:val="20"/>
                <w:szCs w:val="20"/>
                <w:lang w:eastAsia="en-CA"/>
              </w:rPr>
            </w:pPr>
            <w:r>
              <w:rPr>
                <w:color w:val="000000"/>
                <w:sz w:val="20"/>
                <w:szCs w:val="20"/>
                <w:lang w:eastAsia="en-CA"/>
              </w:rPr>
              <w:t>2.1</w:t>
            </w:r>
          </w:p>
        </w:tc>
        <w:tc>
          <w:tcPr>
            <w:tcW w:w="1709" w:type="pct"/>
            <w:tcBorders>
              <w:top w:val="nil"/>
              <w:left w:val="nil"/>
              <w:bottom w:val="single" w:sz="4" w:space="0" w:color="auto"/>
              <w:right w:val="single" w:sz="4" w:space="0" w:color="auto"/>
            </w:tcBorders>
            <w:hideMark/>
          </w:tcPr>
          <w:p w14:paraId="128C2E05" w14:textId="64BD476B" w:rsidR="004F3F9F" w:rsidRPr="008B3228" w:rsidRDefault="004F3F9F" w:rsidP="004F3F9F">
            <w:pPr>
              <w:jc w:val="left"/>
              <w:rPr>
                <w:color w:val="000000"/>
                <w:sz w:val="20"/>
                <w:szCs w:val="20"/>
                <w:lang w:val="fr-CA" w:eastAsia="en-CA"/>
              </w:rPr>
            </w:pPr>
            <w:r>
              <w:rPr>
                <w:color w:val="000000"/>
                <w:sz w:val="20"/>
                <w:szCs w:val="20"/>
                <w:lang w:val="fr-CA" w:eastAsia="en-CA"/>
              </w:rPr>
              <w:t>Financement convenu pour l'agence principale (PNUE) ($</w:t>
            </w:r>
            <w:proofErr w:type="gramStart"/>
            <w:r>
              <w:rPr>
                <w:color w:val="000000"/>
                <w:sz w:val="20"/>
                <w:szCs w:val="20"/>
                <w:lang w:val="fr-CA" w:eastAsia="en-CA"/>
              </w:rPr>
              <w:t>US)*</w:t>
            </w:r>
            <w:proofErr w:type="gramEnd"/>
          </w:p>
        </w:tc>
        <w:tc>
          <w:tcPr>
            <w:tcW w:w="498" w:type="pct"/>
            <w:tcBorders>
              <w:top w:val="nil"/>
              <w:left w:val="nil"/>
              <w:bottom w:val="single" w:sz="4" w:space="0" w:color="auto"/>
              <w:right w:val="single" w:sz="4" w:space="0" w:color="auto"/>
            </w:tcBorders>
            <w:shd w:val="clear" w:color="auto" w:fill="FFFFFF" w:themeFill="background1"/>
          </w:tcPr>
          <w:p w14:paraId="26CE2459" w14:textId="6FC5E841" w:rsidR="004F3F9F" w:rsidRPr="004F3F9F" w:rsidRDefault="004F3F9F" w:rsidP="004F3F9F">
            <w:pPr>
              <w:jc w:val="right"/>
              <w:rPr>
                <w:color w:val="000000"/>
                <w:sz w:val="20"/>
                <w:szCs w:val="20"/>
                <w:lang w:eastAsia="en-CA"/>
              </w:rPr>
            </w:pPr>
            <w:r>
              <w:rPr>
                <w:color w:val="000000"/>
                <w:sz w:val="20"/>
                <w:szCs w:val="20"/>
              </w:rPr>
              <w:t>108 900</w:t>
            </w:r>
          </w:p>
        </w:tc>
        <w:tc>
          <w:tcPr>
            <w:tcW w:w="498" w:type="pct"/>
            <w:tcBorders>
              <w:top w:val="nil"/>
              <w:left w:val="nil"/>
              <w:bottom w:val="single" w:sz="4" w:space="0" w:color="auto"/>
              <w:right w:val="single" w:sz="4" w:space="0" w:color="auto"/>
            </w:tcBorders>
            <w:shd w:val="clear" w:color="auto" w:fill="FFFFFF" w:themeFill="background1"/>
          </w:tcPr>
          <w:p w14:paraId="4D553C74" w14:textId="485EDC02" w:rsidR="004F3F9F" w:rsidRPr="004F3F9F" w:rsidRDefault="004F3F9F" w:rsidP="004F3F9F">
            <w:pPr>
              <w:jc w:val="right"/>
              <w:rPr>
                <w:color w:val="000000"/>
                <w:sz w:val="20"/>
                <w:szCs w:val="20"/>
                <w:lang w:eastAsia="en-CA"/>
              </w:rPr>
            </w:pPr>
            <w:r>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59FD0AFA" w14:textId="166BEE97" w:rsidR="004F3F9F" w:rsidRPr="004F3F9F" w:rsidRDefault="004F3F9F" w:rsidP="004F3F9F">
            <w:pPr>
              <w:jc w:val="right"/>
              <w:rPr>
                <w:color w:val="000000"/>
                <w:sz w:val="20"/>
                <w:szCs w:val="20"/>
                <w:lang w:eastAsia="en-CA"/>
              </w:rPr>
            </w:pPr>
            <w:r>
              <w:rPr>
                <w:sz w:val="20"/>
                <w:szCs w:val="20"/>
              </w:rPr>
              <w:t>111 000</w:t>
            </w:r>
          </w:p>
        </w:tc>
        <w:tc>
          <w:tcPr>
            <w:tcW w:w="498" w:type="pct"/>
            <w:tcBorders>
              <w:top w:val="nil"/>
              <w:left w:val="nil"/>
              <w:bottom w:val="single" w:sz="4" w:space="0" w:color="auto"/>
              <w:right w:val="single" w:sz="4" w:space="0" w:color="auto"/>
            </w:tcBorders>
            <w:shd w:val="clear" w:color="auto" w:fill="FFFFFF" w:themeFill="background1"/>
          </w:tcPr>
          <w:p w14:paraId="5B9AF4AE" w14:textId="614EB807" w:rsidR="004F3F9F" w:rsidRPr="004F3F9F" w:rsidRDefault="004F3F9F" w:rsidP="004F3F9F">
            <w:pPr>
              <w:jc w:val="right"/>
              <w:rPr>
                <w:color w:val="000000"/>
                <w:sz w:val="20"/>
                <w:szCs w:val="20"/>
                <w:lang w:eastAsia="en-CA"/>
              </w:rPr>
            </w:pPr>
            <w:r>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62A9AB93" w14:textId="23F6CD38" w:rsidR="004F3F9F" w:rsidRPr="004F3F9F" w:rsidRDefault="004F3F9F" w:rsidP="004F3F9F">
            <w:pPr>
              <w:jc w:val="right"/>
              <w:rPr>
                <w:color w:val="000000"/>
                <w:sz w:val="20"/>
                <w:szCs w:val="20"/>
                <w:lang w:eastAsia="en-CA"/>
              </w:rPr>
            </w:pPr>
            <w:r>
              <w:rPr>
                <w:sz w:val="20"/>
                <w:szCs w:val="20"/>
              </w:rPr>
              <w:t>13 800</w:t>
            </w:r>
          </w:p>
        </w:tc>
        <w:tc>
          <w:tcPr>
            <w:tcW w:w="463" w:type="pct"/>
            <w:tcBorders>
              <w:top w:val="nil"/>
              <w:left w:val="nil"/>
              <w:bottom w:val="single" w:sz="4" w:space="0" w:color="auto"/>
              <w:right w:val="single" w:sz="4" w:space="0" w:color="auto"/>
            </w:tcBorders>
            <w:shd w:val="clear" w:color="auto" w:fill="FFFFFF" w:themeFill="background1"/>
          </w:tcPr>
          <w:p w14:paraId="2228039E" w14:textId="4E2BADAB" w:rsidR="004F3F9F" w:rsidRPr="004F3F9F" w:rsidRDefault="004F3F9F" w:rsidP="004F3F9F">
            <w:pPr>
              <w:jc w:val="right"/>
              <w:rPr>
                <w:color w:val="000000"/>
                <w:sz w:val="20"/>
                <w:szCs w:val="20"/>
                <w:lang w:eastAsia="en-CA"/>
              </w:rPr>
            </w:pPr>
            <w:r>
              <w:rPr>
                <w:sz w:val="20"/>
                <w:szCs w:val="20"/>
              </w:rPr>
              <w:t>233 700</w:t>
            </w:r>
          </w:p>
        </w:tc>
      </w:tr>
      <w:tr w:rsidR="004F3F9F" w:rsidRPr="00846ED3" w14:paraId="0BB74074" w14:textId="77777777" w:rsidTr="004F3F9F">
        <w:trPr>
          <w:trHeight w:val="66"/>
          <w:jc w:val="center"/>
        </w:trPr>
        <w:tc>
          <w:tcPr>
            <w:tcW w:w="307" w:type="pct"/>
            <w:tcBorders>
              <w:top w:val="nil"/>
              <w:left w:val="single" w:sz="4" w:space="0" w:color="auto"/>
              <w:bottom w:val="single" w:sz="4" w:space="0" w:color="auto"/>
              <w:right w:val="single" w:sz="4" w:space="0" w:color="auto"/>
            </w:tcBorders>
            <w:hideMark/>
          </w:tcPr>
          <w:p w14:paraId="760D20A1" w14:textId="5B52E030" w:rsidR="004F3F9F" w:rsidRPr="00846ED3" w:rsidRDefault="004F3F9F" w:rsidP="004F3F9F">
            <w:pPr>
              <w:jc w:val="left"/>
              <w:rPr>
                <w:color w:val="000000"/>
                <w:sz w:val="20"/>
                <w:szCs w:val="20"/>
                <w:lang w:eastAsia="en-CA"/>
              </w:rPr>
            </w:pPr>
            <w:r>
              <w:rPr>
                <w:color w:val="000000"/>
                <w:sz w:val="20"/>
                <w:szCs w:val="20"/>
                <w:lang w:eastAsia="en-CA"/>
              </w:rPr>
              <w:t>2.2</w:t>
            </w:r>
          </w:p>
        </w:tc>
        <w:tc>
          <w:tcPr>
            <w:tcW w:w="1709" w:type="pct"/>
            <w:tcBorders>
              <w:top w:val="nil"/>
              <w:left w:val="nil"/>
              <w:bottom w:val="single" w:sz="4" w:space="0" w:color="auto"/>
              <w:right w:val="single" w:sz="4" w:space="0" w:color="auto"/>
            </w:tcBorders>
            <w:hideMark/>
          </w:tcPr>
          <w:p w14:paraId="70A9C615" w14:textId="77777777" w:rsidR="004F3F9F" w:rsidRPr="008B3228" w:rsidRDefault="004F3F9F" w:rsidP="004F3F9F">
            <w:pPr>
              <w:jc w:val="left"/>
              <w:rPr>
                <w:color w:val="000000"/>
                <w:sz w:val="20"/>
                <w:szCs w:val="20"/>
                <w:lang w:val="fr-CA" w:eastAsia="en-CA"/>
              </w:rPr>
            </w:pPr>
            <w:r>
              <w:rPr>
                <w:color w:val="000000"/>
                <w:sz w:val="20"/>
                <w:szCs w:val="20"/>
                <w:lang w:val="fr-CA" w:eastAsia="en-CA"/>
              </w:rPr>
              <w:t>Coûts d'appui pour l'Agence d'exécution principale ($US)</w:t>
            </w:r>
          </w:p>
        </w:tc>
        <w:tc>
          <w:tcPr>
            <w:tcW w:w="498" w:type="pct"/>
            <w:tcBorders>
              <w:top w:val="nil"/>
              <w:left w:val="nil"/>
              <w:bottom w:val="single" w:sz="4" w:space="0" w:color="auto"/>
              <w:right w:val="single" w:sz="4" w:space="0" w:color="auto"/>
            </w:tcBorders>
            <w:shd w:val="clear" w:color="auto" w:fill="FFFFFF" w:themeFill="background1"/>
          </w:tcPr>
          <w:p w14:paraId="3C210EBD" w14:textId="7E31808A" w:rsidR="004F3F9F" w:rsidRPr="004F3F9F" w:rsidRDefault="004F3F9F" w:rsidP="004F3F9F">
            <w:pPr>
              <w:jc w:val="right"/>
              <w:rPr>
                <w:color w:val="000000"/>
                <w:sz w:val="20"/>
                <w:szCs w:val="20"/>
                <w:lang w:eastAsia="en-CA"/>
              </w:rPr>
            </w:pPr>
            <w:r>
              <w:rPr>
                <w:color w:val="000000"/>
                <w:sz w:val="20"/>
                <w:szCs w:val="20"/>
              </w:rPr>
              <w:t>14 157</w:t>
            </w:r>
          </w:p>
        </w:tc>
        <w:tc>
          <w:tcPr>
            <w:tcW w:w="498" w:type="pct"/>
            <w:tcBorders>
              <w:top w:val="nil"/>
              <w:left w:val="nil"/>
              <w:bottom w:val="single" w:sz="4" w:space="0" w:color="auto"/>
              <w:right w:val="single" w:sz="4" w:space="0" w:color="auto"/>
            </w:tcBorders>
            <w:shd w:val="clear" w:color="auto" w:fill="FFFFFF" w:themeFill="background1"/>
          </w:tcPr>
          <w:p w14:paraId="5B3F2CEB" w14:textId="5E878BA9" w:rsidR="004F3F9F" w:rsidRPr="004F3F9F" w:rsidRDefault="004F3F9F" w:rsidP="004F3F9F">
            <w:pPr>
              <w:jc w:val="right"/>
              <w:rPr>
                <w:color w:val="000000"/>
                <w:sz w:val="20"/>
                <w:szCs w:val="20"/>
                <w:lang w:eastAsia="en-CA"/>
              </w:rPr>
            </w:pPr>
            <w:r>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21AB1F6B" w14:textId="4C1D2C89" w:rsidR="004F3F9F" w:rsidRPr="004F3F9F" w:rsidRDefault="004F3F9F" w:rsidP="004F3F9F">
            <w:pPr>
              <w:jc w:val="right"/>
              <w:rPr>
                <w:color w:val="000000"/>
                <w:sz w:val="20"/>
                <w:szCs w:val="20"/>
                <w:lang w:eastAsia="en-CA"/>
              </w:rPr>
            </w:pPr>
            <w:r>
              <w:rPr>
                <w:sz w:val="20"/>
                <w:szCs w:val="20"/>
              </w:rPr>
              <w:t>14 430</w:t>
            </w:r>
          </w:p>
        </w:tc>
        <w:tc>
          <w:tcPr>
            <w:tcW w:w="498" w:type="pct"/>
            <w:tcBorders>
              <w:top w:val="nil"/>
              <w:left w:val="nil"/>
              <w:bottom w:val="single" w:sz="4" w:space="0" w:color="auto"/>
              <w:right w:val="single" w:sz="4" w:space="0" w:color="auto"/>
            </w:tcBorders>
            <w:shd w:val="clear" w:color="auto" w:fill="FFFFFF" w:themeFill="background1"/>
          </w:tcPr>
          <w:p w14:paraId="3CE122DD" w14:textId="2453ACF3" w:rsidR="004F3F9F" w:rsidRPr="004F3F9F" w:rsidRDefault="004F3F9F" w:rsidP="004F3F9F">
            <w:pPr>
              <w:jc w:val="right"/>
              <w:rPr>
                <w:color w:val="000000"/>
                <w:sz w:val="20"/>
                <w:szCs w:val="20"/>
                <w:lang w:eastAsia="en-CA"/>
              </w:rPr>
            </w:pPr>
            <w:r>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24034DB5" w14:textId="391EB22E" w:rsidR="004F3F9F" w:rsidRPr="004F3F9F" w:rsidRDefault="004F3F9F" w:rsidP="004F3F9F">
            <w:pPr>
              <w:jc w:val="right"/>
              <w:rPr>
                <w:color w:val="000000"/>
                <w:sz w:val="20"/>
                <w:szCs w:val="20"/>
                <w:lang w:eastAsia="en-CA"/>
              </w:rPr>
            </w:pPr>
            <w:r>
              <w:rPr>
                <w:sz w:val="20"/>
                <w:szCs w:val="20"/>
              </w:rPr>
              <w:t>1 794</w:t>
            </w:r>
          </w:p>
        </w:tc>
        <w:tc>
          <w:tcPr>
            <w:tcW w:w="463" w:type="pct"/>
            <w:tcBorders>
              <w:top w:val="nil"/>
              <w:left w:val="nil"/>
              <w:bottom w:val="single" w:sz="4" w:space="0" w:color="auto"/>
              <w:right w:val="single" w:sz="4" w:space="0" w:color="auto"/>
            </w:tcBorders>
            <w:shd w:val="clear" w:color="auto" w:fill="FFFFFF" w:themeFill="background1"/>
          </w:tcPr>
          <w:p w14:paraId="2DC8CEEE" w14:textId="69A6689F" w:rsidR="004F3F9F" w:rsidRPr="004F3F9F" w:rsidRDefault="004F3F9F" w:rsidP="004F3F9F">
            <w:pPr>
              <w:jc w:val="right"/>
              <w:rPr>
                <w:color w:val="000000"/>
                <w:sz w:val="20"/>
                <w:szCs w:val="20"/>
                <w:lang w:eastAsia="en-CA"/>
              </w:rPr>
            </w:pPr>
            <w:r>
              <w:rPr>
                <w:sz w:val="20"/>
                <w:szCs w:val="20"/>
              </w:rPr>
              <w:t>30 381</w:t>
            </w:r>
          </w:p>
        </w:tc>
      </w:tr>
      <w:tr w:rsidR="004F3F9F" w:rsidRPr="00846ED3" w14:paraId="311B9442" w14:textId="77777777" w:rsidTr="004F3F9F">
        <w:trPr>
          <w:trHeight w:val="192"/>
          <w:jc w:val="center"/>
        </w:trPr>
        <w:tc>
          <w:tcPr>
            <w:tcW w:w="307" w:type="pct"/>
            <w:tcBorders>
              <w:top w:val="nil"/>
              <w:left w:val="single" w:sz="4" w:space="0" w:color="auto"/>
              <w:bottom w:val="single" w:sz="4" w:space="0" w:color="auto"/>
              <w:right w:val="single" w:sz="4" w:space="0" w:color="auto"/>
            </w:tcBorders>
            <w:hideMark/>
          </w:tcPr>
          <w:p w14:paraId="10305A44" w14:textId="71A0CFDD" w:rsidR="004F3F9F" w:rsidRPr="00846ED3" w:rsidRDefault="004F3F9F" w:rsidP="004F3F9F">
            <w:pPr>
              <w:jc w:val="left"/>
              <w:rPr>
                <w:color w:val="000000"/>
                <w:sz w:val="20"/>
                <w:szCs w:val="20"/>
                <w:lang w:eastAsia="en-CA"/>
              </w:rPr>
            </w:pPr>
            <w:r>
              <w:rPr>
                <w:color w:val="000000"/>
                <w:sz w:val="20"/>
                <w:szCs w:val="20"/>
                <w:lang w:eastAsia="en-CA"/>
              </w:rPr>
              <w:t>2.3</w:t>
            </w:r>
          </w:p>
        </w:tc>
        <w:tc>
          <w:tcPr>
            <w:tcW w:w="1709" w:type="pct"/>
            <w:tcBorders>
              <w:top w:val="nil"/>
              <w:left w:val="nil"/>
              <w:bottom w:val="single" w:sz="4" w:space="0" w:color="auto"/>
              <w:right w:val="single" w:sz="4" w:space="0" w:color="auto"/>
            </w:tcBorders>
            <w:hideMark/>
          </w:tcPr>
          <w:p w14:paraId="2A03980E" w14:textId="4296AD33" w:rsidR="004F3F9F" w:rsidRPr="008B3228" w:rsidRDefault="004F3F9F" w:rsidP="004F3F9F">
            <w:pPr>
              <w:jc w:val="left"/>
              <w:rPr>
                <w:color w:val="000000"/>
                <w:sz w:val="20"/>
                <w:szCs w:val="20"/>
                <w:lang w:val="fr-CA" w:eastAsia="en-CA"/>
              </w:rPr>
            </w:pPr>
            <w:r>
              <w:rPr>
                <w:color w:val="000000"/>
                <w:sz w:val="20"/>
                <w:szCs w:val="20"/>
                <w:lang w:val="fr-CA" w:eastAsia="en-CA"/>
              </w:rPr>
              <w:t>Financement convenu pour l'Agence de coopération (ONUDI) ($US)</w:t>
            </w:r>
          </w:p>
        </w:tc>
        <w:tc>
          <w:tcPr>
            <w:tcW w:w="498" w:type="pct"/>
            <w:tcBorders>
              <w:top w:val="nil"/>
              <w:left w:val="nil"/>
              <w:bottom w:val="single" w:sz="4" w:space="0" w:color="auto"/>
              <w:right w:val="single" w:sz="4" w:space="0" w:color="auto"/>
            </w:tcBorders>
          </w:tcPr>
          <w:p w14:paraId="66ED1126" w14:textId="5D2695C2" w:rsidR="004F3F9F" w:rsidRPr="004F3F9F" w:rsidRDefault="004F3F9F" w:rsidP="004F3F9F">
            <w:pPr>
              <w:jc w:val="right"/>
              <w:rPr>
                <w:color w:val="000000"/>
                <w:sz w:val="20"/>
                <w:szCs w:val="20"/>
                <w:lang w:eastAsia="en-CA"/>
              </w:rPr>
            </w:pPr>
            <w:r>
              <w:rPr>
                <w:color w:val="000000"/>
                <w:sz w:val="20"/>
                <w:szCs w:val="20"/>
              </w:rPr>
              <w:t>35 000</w:t>
            </w:r>
          </w:p>
        </w:tc>
        <w:tc>
          <w:tcPr>
            <w:tcW w:w="498" w:type="pct"/>
            <w:tcBorders>
              <w:top w:val="nil"/>
              <w:left w:val="nil"/>
              <w:bottom w:val="single" w:sz="4" w:space="0" w:color="auto"/>
              <w:right w:val="single" w:sz="4" w:space="0" w:color="auto"/>
            </w:tcBorders>
          </w:tcPr>
          <w:p w14:paraId="2FB7C442" w14:textId="55262678" w:rsidR="004F3F9F" w:rsidRPr="004F3F9F" w:rsidRDefault="004F3F9F" w:rsidP="004F3F9F">
            <w:pPr>
              <w:jc w:val="right"/>
              <w:rPr>
                <w:color w:val="000000"/>
                <w:sz w:val="20"/>
                <w:szCs w:val="20"/>
                <w:lang w:eastAsia="en-CA"/>
              </w:rPr>
            </w:pPr>
            <w:r>
              <w:rPr>
                <w:color w:val="000000"/>
                <w:sz w:val="20"/>
                <w:szCs w:val="20"/>
              </w:rPr>
              <w:t>0</w:t>
            </w:r>
          </w:p>
        </w:tc>
        <w:tc>
          <w:tcPr>
            <w:tcW w:w="498" w:type="pct"/>
            <w:tcBorders>
              <w:top w:val="nil"/>
              <w:left w:val="nil"/>
              <w:bottom w:val="single" w:sz="4" w:space="0" w:color="auto"/>
              <w:right w:val="single" w:sz="4" w:space="0" w:color="auto"/>
            </w:tcBorders>
          </w:tcPr>
          <w:p w14:paraId="37F0EF92" w14:textId="29CA2CA1" w:rsidR="004F3F9F" w:rsidRPr="004F3F9F" w:rsidRDefault="004F3F9F" w:rsidP="004F3F9F">
            <w:pPr>
              <w:jc w:val="right"/>
              <w:rPr>
                <w:color w:val="000000"/>
                <w:sz w:val="20"/>
                <w:szCs w:val="20"/>
                <w:lang w:eastAsia="en-CA"/>
              </w:rPr>
            </w:pPr>
            <w:r>
              <w:rPr>
                <w:sz w:val="20"/>
                <w:szCs w:val="20"/>
              </w:rPr>
              <w:t>17 000</w:t>
            </w:r>
          </w:p>
        </w:tc>
        <w:tc>
          <w:tcPr>
            <w:tcW w:w="498" w:type="pct"/>
            <w:tcBorders>
              <w:top w:val="nil"/>
              <w:left w:val="nil"/>
              <w:bottom w:val="single" w:sz="4" w:space="0" w:color="auto"/>
              <w:right w:val="single" w:sz="4" w:space="0" w:color="auto"/>
            </w:tcBorders>
          </w:tcPr>
          <w:p w14:paraId="3123747B" w14:textId="6C013C2D" w:rsidR="004F3F9F" w:rsidRPr="004F3F9F" w:rsidRDefault="004F3F9F" w:rsidP="004F3F9F">
            <w:pPr>
              <w:jc w:val="right"/>
              <w:rPr>
                <w:color w:val="000000"/>
                <w:sz w:val="20"/>
                <w:szCs w:val="20"/>
                <w:lang w:eastAsia="en-CA"/>
              </w:rPr>
            </w:pPr>
            <w:r>
              <w:rPr>
                <w:color w:val="000000"/>
                <w:sz w:val="20"/>
                <w:szCs w:val="20"/>
              </w:rPr>
              <w:t>0</w:t>
            </w:r>
          </w:p>
        </w:tc>
        <w:tc>
          <w:tcPr>
            <w:tcW w:w="529" w:type="pct"/>
            <w:tcBorders>
              <w:top w:val="nil"/>
              <w:left w:val="nil"/>
              <w:bottom w:val="single" w:sz="4" w:space="0" w:color="auto"/>
              <w:right w:val="single" w:sz="4" w:space="0" w:color="auto"/>
            </w:tcBorders>
          </w:tcPr>
          <w:p w14:paraId="38384E41" w14:textId="066E8E73" w:rsidR="004F3F9F" w:rsidRPr="004F3F9F" w:rsidRDefault="004F3F9F" w:rsidP="004F3F9F">
            <w:pPr>
              <w:jc w:val="right"/>
              <w:rPr>
                <w:color w:val="000000"/>
                <w:sz w:val="20"/>
                <w:szCs w:val="20"/>
                <w:lang w:eastAsia="en-CA"/>
              </w:rPr>
            </w:pPr>
            <w:r>
              <w:rPr>
                <w:sz w:val="20"/>
                <w:szCs w:val="20"/>
              </w:rPr>
              <w:t>5 300</w:t>
            </w:r>
          </w:p>
        </w:tc>
        <w:tc>
          <w:tcPr>
            <w:tcW w:w="463" w:type="pct"/>
            <w:tcBorders>
              <w:top w:val="nil"/>
              <w:left w:val="nil"/>
              <w:bottom w:val="single" w:sz="4" w:space="0" w:color="auto"/>
              <w:right w:val="single" w:sz="4" w:space="0" w:color="auto"/>
            </w:tcBorders>
          </w:tcPr>
          <w:p w14:paraId="631ED699" w14:textId="5A5B8E3E" w:rsidR="004F3F9F" w:rsidRPr="004F3F9F" w:rsidRDefault="004F3F9F" w:rsidP="004F3F9F">
            <w:pPr>
              <w:jc w:val="right"/>
              <w:rPr>
                <w:color w:val="000000"/>
                <w:sz w:val="20"/>
                <w:szCs w:val="20"/>
                <w:lang w:eastAsia="en-CA"/>
              </w:rPr>
            </w:pPr>
            <w:r>
              <w:rPr>
                <w:sz w:val="20"/>
                <w:szCs w:val="20"/>
              </w:rPr>
              <w:t>57 300</w:t>
            </w:r>
          </w:p>
        </w:tc>
      </w:tr>
      <w:tr w:rsidR="004F3F9F" w:rsidRPr="00846ED3" w14:paraId="146AC09F" w14:textId="77777777" w:rsidTr="004F3F9F">
        <w:trPr>
          <w:trHeight w:val="71"/>
          <w:jc w:val="center"/>
        </w:trPr>
        <w:tc>
          <w:tcPr>
            <w:tcW w:w="307" w:type="pct"/>
            <w:tcBorders>
              <w:top w:val="nil"/>
              <w:left w:val="single" w:sz="4" w:space="0" w:color="auto"/>
              <w:bottom w:val="single" w:sz="4" w:space="0" w:color="auto"/>
              <w:right w:val="single" w:sz="4" w:space="0" w:color="auto"/>
            </w:tcBorders>
            <w:hideMark/>
          </w:tcPr>
          <w:p w14:paraId="0A13784E" w14:textId="2D48ADC2" w:rsidR="004F3F9F" w:rsidRPr="00846ED3" w:rsidRDefault="004F3F9F" w:rsidP="004F3F9F">
            <w:pPr>
              <w:jc w:val="left"/>
              <w:rPr>
                <w:color w:val="000000"/>
                <w:sz w:val="20"/>
                <w:szCs w:val="20"/>
                <w:lang w:eastAsia="en-CA"/>
              </w:rPr>
            </w:pPr>
            <w:r>
              <w:rPr>
                <w:color w:val="000000"/>
                <w:sz w:val="20"/>
                <w:szCs w:val="20"/>
                <w:lang w:eastAsia="en-CA"/>
              </w:rPr>
              <w:lastRenderedPageBreak/>
              <w:t>2.4</w:t>
            </w:r>
          </w:p>
        </w:tc>
        <w:tc>
          <w:tcPr>
            <w:tcW w:w="1709" w:type="pct"/>
            <w:tcBorders>
              <w:top w:val="nil"/>
              <w:left w:val="nil"/>
              <w:bottom w:val="single" w:sz="4" w:space="0" w:color="auto"/>
              <w:right w:val="single" w:sz="4" w:space="0" w:color="auto"/>
            </w:tcBorders>
            <w:hideMark/>
          </w:tcPr>
          <w:p w14:paraId="27FAF106" w14:textId="77777777" w:rsidR="004F3F9F" w:rsidRPr="008B3228" w:rsidRDefault="004F3F9F" w:rsidP="004F3F9F">
            <w:pPr>
              <w:jc w:val="left"/>
              <w:rPr>
                <w:color w:val="000000"/>
                <w:sz w:val="20"/>
                <w:szCs w:val="20"/>
                <w:lang w:val="fr-CA" w:eastAsia="en-CA"/>
              </w:rPr>
            </w:pPr>
            <w:r>
              <w:rPr>
                <w:color w:val="000000"/>
                <w:sz w:val="20"/>
                <w:szCs w:val="20"/>
                <w:lang w:val="fr-CA" w:eastAsia="en-CA"/>
              </w:rPr>
              <w:t>Coûts d'appui pour l'Agence de coopération ($US)</w:t>
            </w:r>
          </w:p>
        </w:tc>
        <w:tc>
          <w:tcPr>
            <w:tcW w:w="498" w:type="pct"/>
            <w:tcBorders>
              <w:top w:val="nil"/>
              <w:left w:val="nil"/>
              <w:bottom w:val="single" w:sz="4" w:space="0" w:color="auto"/>
              <w:right w:val="single" w:sz="4" w:space="0" w:color="auto"/>
            </w:tcBorders>
          </w:tcPr>
          <w:p w14:paraId="60FD3EDB" w14:textId="0050C3F1" w:rsidR="004F3F9F" w:rsidRPr="004F3F9F" w:rsidRDefault="004F3F9F" w:rsidP="004F3F9F">
            <w:pPr>
              <w:jc w:val="right"/>
              <w:rPr>
                <w:color w:val="000000"/>
                <w:sz w:val="20"/>
                <w:szCs w:val="20"/>
                <w:lang w:eastAsia="en-CA"/>
              </w:rPr>
            </w:pPr>
            <w:r>
              <w:rPr>
                <w:color w:val="000000"/>
                <w:sz w:val="20"/>
                <w:szCs w:val="20"/>
              </w:rPr>
              <w:t>3 150</w:t>
            </w:r>
          </w:p>
        </w:tc>
        <w:tc>
          <w:tcPr>
            <w:tcW w:w="498" w:type="pct"/>
            <w:tcBorders>
              <w:top w:val="nil"/>
              <w:left w:val="nil"/>
              <w:bottom w:val="single" w:sz="4" w:space="0" w:color="auto"/>
              <w:right w:val="single" w:sz="4" w:space="0" w:color="auto"/>
            </w:tcBorders>
          </w:tcPr>
          <w:p w14:paraId="6E6142EE" w14:textId="3A91CCCA" w:rsidR="004F3F9F" w:rsidRPr="004F3F9F" w:rsidRDefault="004F3F9F" w:rsidP="004F3F9F">
            <w:pPr>
              <w:jc w:val="right"/>
              <w:rPr>
                <w:color w:val="000000"/>
                <w:sz w:val="20"/>
                <w:szCs w:val="20"/>
                <w:lang w:eastAsia="en-CA"/>
              </w:rPr>
            </w:pPr>
            <w:r>
              <w:rPr>
                <w:color w:val="000000"/>
                <w:sz w:val="20"/>
                <w:szCs w:val="20"/>
              </w:rPr>
              <w:t>0</w:t>
            </w:r>
          </w:p>
        </w:tc>
        <w:tc>
          <w:tcPr>
            <w:tcW w:w="498" w:type="pct"/>
            <w:tcBorders>
              <w:top w:val="nil"/>
              <w:left w:val="nil"/>
              <w:bottom w:val="single" w:sz="4" w:space="0" w:color="auto"/>
              <w:right w:val="single" w:sz="4" w:space="0" w:color="auto"/>
            </w:tcBorders>
          </w:tcPr>
          <w:p w14:paraId="24518977" w14:textId="59643721" w:rsidR="004F3F9F" w:rsidRPr="004F3F9F" w:rsidRDefault="004F3F9F" w:rsidP="004F3F9F">
            <w:pPr>
              <w:jc w:val="right"/>
              <w:rPr>
                <w:color w:val="000000"/>
                <w:sz w:val="20"/>
                <w:szCs w:val="20"/>
                <w:lang w:eastAsia="en-CA"/>
              </w:rPr>
            </w:pPr>
            <w:r>
              <w:rPr>
                <w:sz w:val="20"/>
                <w:szCs w:val="20"/>
              </w:rPr>
              <w:t>1 530</w:t>
            </w:r>
          </w:p>
        </w:tc>
        <w:tc>
          <w:tcPr>
            <w:tcW w:w="498" w:type="pct"/>
            <w:tcBorders>
              <w:top w:val="nil"/>
              <w:left w:val="nil"/>
              <w:bottom w:val="single" w:sz="4" w:space="0" w:color="auto"/>
              <w:right w:val="single" w:sz="4" w:space="0" w:color="auto"/>
            </w:tcBorders>
          </w:tcPr>
          <w:p w14:paraId="67136E5F" w14:textId="6F3A28E0" w:rsidR="004F3F9F" w:rsidRPr="004F3F9F" w:rsidRDefault="004F3F9F" w:rsidP="004F3F9F">
            <w:pPr>
              <w:jc w:val="right"/>
              <w:rPr>
                <w:color w:val="000000"/>
                <w:sz w:val="20"/>
                <w:szCs w:val="20"/>
                <w:lang w:eastAsia="en-CA"/>
              </w:rPr>
            </w:pPr>
            <w:r>
              <w:rPr>
                <w:color w:val="000000"/>
                <w:sz w:val="20"/>
                <w:szCs w:val="20"/>
              </w:rPr>
              <w:t>0</w:t>
            </w:r>
          </w:p>
        </w:tc>
        <w:tc>
          <w:tcPr>
            <w:tcW w:w="529" w:type="pct"/>
            <w:tcBorders>
              <w:top w:val="nil"/>
              <w:left w:val="nil"/>
              <w:bottom w:val="single" w:sz="4" w:space="0" w:color="auto"/>
              <w:right w:val="single" w:sz="4" w:space="0" w:color="auto"/>
            </w:tcBorders>
          </w:tcPr>
          <w:p w14:paraId="6F7E3209" w14:textId="3D0F6AF4" w:rsidR="004F3F9F" w:rsidRPr="004F3F9F" w:rsidRDefault="004F3F9F" w:rsidP="004F3F9F">
            <w:pPr>
              <w:jc w:val="right"/>
              <w:rPr>
                <w:color w:val="000000"/>
                <w:sz w:val="20"/>
                <w:szCs w:val="20"/>
                <w:lang w:eastAsia="en-CA"/>
              </w:rPr>
            </w:pPr>
            <w:r>
              <w:rPr>
                <w:sz w:val="20"/>
                <w:szCs w:val="20"/>
              </w:rPr>
              <w:t>477</w:t>
            </w:r>
          </w:p>
        </w:tc>
        <w:tc>
          <w:tcPr>
            <w:tcW w:w="463" w:type="pct"/>
            <w:tcBorders>
              <w:top w:val="nil"/>
              <w:left w:val="nil"/>
              <w:bottom w:val="single" w:sz="4" w:space="0" w:color="auto"/>
              <w:right w:val="single" w:sz="4" w:space="0" w:color="auto"/>
            </w:tcBorders>
          </w:tcPr>
          <w:p w14:paraId="57528951" w14:textId="1386EE22" w:rsidR="004F3F9F" w:rsidRPr="004F3F9F" w:rsidRDefault="004F3F9F" w:rsidP="004F3F9F">
            <w:pPr>
              <w:jc w:val="right"/>
              <w:rPr>
                <w:color w:val="000000"/>
                <w:sz w:val="20"/>
                <w:szCs w:val="20"/>
                <w:lang w:eastAsia="en-CA"/>
              </w:rPr>
            </w:pPr>
            <w:r>
              <w:rPr>
                <w:sz w:val="20"/>
                <w:szCs w:val="20"/>
              </w:rPr>
              <w:t>5 157</w:t>
            </w:r>
          </w:p>
        </w:tc>
      </w:tr>
      <w:tr w:rsidR="004F3F9F" w:rsidRPr="00846ED3" w14:paraId="3C0523A4" w14:textId="77777777" w:rsidTr="004F3F9F">
        <w:trPr>
          <w:trHeight w:val="73"/>
          <w:jc w:val="center"/>
        </w:trPr>
        <w:tc>
          <w:tcPr>
            <w:tcW w:w="307" w:type="pct"/>
            <w:tcBorders>
              <w:top w:val="nil"/>
              <w:left w:val="single" w:sz="4" w:space="0" w:color="auto"/>
              <w:bottom w:val="single" w:sz="4" w:space="0" w:color="auto"/>
              <w:right w:val="single" w:sz="4" w:space="0" w:color="auto"/>
            </w:tcBorders>
            <w:hideMark/>
          </w:tcPr>
          <w:p w14:paraId="5E6C3F38" w14:textId="77777777" w:rsidR="004F3F9F" w:rsidRPr="00846ED3" w:rsidRDefault="004F3F9F" w:rsidP="004F3F9F">
            <w:pPr>
              <w:jc w:val="left"/>
              <w:rPr>
                <w:color w:val="000000"/>
                <w:sz w:val="20"/>
                <w:szCs w:val="20"/>
                <w:lang w:eastAsia="en-CA"/>
              </w:rPr>
            </w:pPr>
            <w:r>
              <w:rPr>
                <w:color w:val="000000"/>
                <w:sz w:val="20"/>
                <w:szCs w:val="20"/>
                <w:lang w:eastAsia="en-CA"/>
              </w:rPr>
              <w:t>3.1</w:t>
            </w:r>
          </w:p>
        </w:tc>
        <w:tc>
          <w:tcPr>
            <w:tcW w:w="1709" w:type="pct"/>
            <w:tcBorders>
              <w:top w:val="nil"/>
              <w:left w:val="nil"/>
              <w:bottom w:val="single" w:sz="4" w:space="0" w:color="auto"/>
              <w:right w:val="single" w:sz="4" w:space="0" w:color="auto"/>
            </w:tcBorders>
            <w:hideMark/>
          </w:tcPr>
          <w:p w14:paraId="79C22EAB" w14:textId="77777777" w:rsidR="004F3F9F" w:rsidRPr="00846ED3" w:rsidRDefault="004F3F9F" w:rsidP="004F3F9F">
            <w:pPr>
              <w:jc w:val="left"/>
              <w:rPr>
                <w:color w:val="000000"/>
                <w:sz w:val="20"/>
                <w:szCs w:val="20"/>
                <w:lang w:eastAsia="en-CA"/>
              </w:rPr>
            </w:pPr>
            <w:r>
              <w:rPr>
                <w:color w:val="000000"/>
                <w:sz w:val="20"/>
                <w:szCs w:val="20"/>
                <w:lang w:eastAsia="en-CA"/>
              </w:rPr>
              <w:t>Financement total convenu ($US)</w:t>
            </w:r>
          </w:p>
        </w:tc>
        <w:tc>
          <w:tcPr>
            <w:tcW w:w="498" w:type="pct"/>
            <w:tcBorders>
              <w:top w:val="nil"/>
              <w:left w:val="nil"/>
              <w:bottom w:val="single" w:sz="4" w:space="0" w:color="auto"/>
              <w:right w:val="single" w:sz="4" w:space="0" w:color="auto"/>
            </w:tcBorders>
          </w:tcPr>
          <w:p w14:paraId="29854278" w14:textId="16426E18" w:rsidR="004F3F9F" w:rsidRPr="004F3F9F" w:rsidRDefault="004F3F9F" w:rsidP="004F3F9F">
            <w:pPr>
              <w:jc w:val="right"/>
              <w:rPr>
                <w:color w:val="000000"/>
                <w:sz w:val="20"/>
                <w:szCs w:val="20"/>
                <w:lang w:eastAsia="en-CA"/>
              </w:rPr>
            </w:pPr>
            <w:r>
              <w:rPr>
                <w:color w:val="000000"/>
                <w:sz w:val="20"/>
                <w:szCs w:val="20"/>
              </w:rPr>
              <w:t>143 900</w:t>
            </w:r>
          </w:p>
        </w:tc>
        <w:tc>
          <w:tcPr>
            <w:tcW w:w="498" w:type="pct"/>
            <w:tcBorders>
              <w:top w:val="nil"/>
              <w:left w:val="nil"/>
              <w:bottom w:val="single" w:sz="4" w:space="0" w:color="auto"/>
              <w:right w:val="single" w:sz="4" w:space="0" w:color="auto"/>
            </w:tcBorders>
          </w:tcPr>
          <w:p w14:paraId="7853C23E" w14:textId="182D220C" w:rsidR="004F3F9F" w:rsidRPr="004F3F9F" w:rsidRDefault="004F3F9F" w:rsidP="004F3F9F">
            <w:pPr>
              <w:jc w:val="right"/>
              <w:rPr>
                <w:color w:val="000000"/>
                <w:sz w:val="20"/>
                <w:szCs w:val="20"/>
                <w:lang w:eastAsia="en-CA"/>
              </w:rPr>
            </w:pPr>
            <w:r>
              <w:rPr>
                <w:color w:val="000000"/>
                <w:sz w:val="20"/>
                <w:szCs w:val="20"/>
              </w:rPr>
              <w:t>0</w:t>
            </w:r>
          </w:p>
        </w:tc>
        <w:tc>
          <w:tcPr>
            <w:tcW w:w="498" w:type="pct"/>
            <w:tcBorders>
              <w:top w:val="nil"/>
              <w:left w:val="nil"/>
              <w:bottom w:val="single" w:sz="4" w:space="0" w:color="auto"/>
              <w:right w:val="single" w:sz="4" w:space="0" w:color="auto"/>
            </w:tcBorders>
          </w:tcPr>
          <w:p w14:paraId="404FBDC2" w14:textId="0D865EE5" w:rsidR="004F3F9F" w:rsidRPr="004F3F9F" w:rsidRDefault="004F3F9F" w:rsidP="004F3F9F">
            <w:pPr>
              <w:jc w:val="right"/>
              <w:rPr>
                <w:color w:val="000000"/>
                <w:sz w:val="20"/>
                <w:szCs w:val="20"/>
                <w:lang w:eastAsia="en-CA"/>
              </w:rPr>
            </w:pPr>
            <w:r>
              <w:rPr>
                <w:sz w:val="20"/>
                <w:szCs w:val="20"/>
              </w:rPr>
              <w:t>128 000</w:t>
            </w:r>
          </w:p>
        </w:tc>
        <w:tc>
          <w:tcPr>
            <w:tcW w:w="498" w:type="pct"/>
            <w:tcBorders>
              <w:top w:val="nil"/>
              <w:left w:val="nil"/>
              <w:bottom w:val="single" w:sz="4" w:space="0" w:color="auto"/>
              <w:right w:val="single" w:sz="4" w:space="0" w:color="auto"/>
            </w:tcBorders>
          </w:tcPr>
          <w:p w14:paraId="4E2F916B" w14:textId="41535E3C" w:rsidR="004F3F9F" w:rsidRPr="004F3F9F" w:rsidRDefault="004F3F9F" w:rsidP="004F3F9F">
            <w:pPr>
              <w:jc w:val="right"/>
              <w:rPr>
                <w:color w:val="000000"/>
                <w:sz w:val="20"/>
                <w:szCs w:val="20"/>
                <w:lang w:eastAsia="en-CA"/>
              </w:rPr>
            </w:pPr>
            <w:r>
              <w:rPr>
                <w:color w:val="000000"/>
                <w:sz w:val="20"/>
                <w:szCs w:val="20"/>
              </w:rPr>
              <w:t>0</w:t>
            </w:r>
          </w:p>
        </w:tc>
        <w:tc>
          <w:tcPr>
            <w:tcW w:w="529" w:type="pct"/>
            <w:tcBorders>
              <w:top w:val="nil"/>
              <w:left w:val="nil"/>
              <w:bottom w:val="single" w:sz="4" w:space="0" w:color="auto"/>
              <w:right w:val="single" w:sz="4" w:space="0" w:color="auto"/>
            </w:tcBorders>
          </w:tcPr>
          <w:p w14:paraId="11EA9CD3" w14:textId="3652F6D1" w:rsidR="004F3F9F" w:rsidRPr="004F3F9F" w:rsidRDefault="004F3F9F" w:rsidP="004F3F9F">
            <w:pPr>
              <w:jc w:val="right"/>
              <w:rPr>
                <w:color w:val="000000"/>
                <w:sz w:val="20"/>
                <w:szCs w:val="20"/>
                <w:lang w:eastAsia="en-CA"/>
              </w:rPr>
            </w:pPr>
            <w:r>
              <w:rPr>
                <w:sz w:val="20"/>
                <w:szCs w:val="20"/>
              </w:rPr>
              <w:t>19 100</w:t>
            </w:r>
          </w:p>
        </w:tc>
        <w:tc>
          <w:tcPr>
            <w:tcW w:w="463" w:type="pct"/>
            <w:tcBorders>
              <w:top w:val="nil"/>
              <w:left w:val="nil"/>
              <w:bottom w:val="single" w:sz="4" w:space="0" w:color="auto"/>
              <w:right w:val="single" w:sz="4" w:space="0" w:color="auto"/>
            </w:tcBorders>
          </w:tcPr>
          <w:p w14:paraId="708F1428" w14:textId="27D393A8" w:rsidR="004F3F9F" w:rsidRPr="004F3F9F" w:rsidRDefault="004F3F9F" w:rsidP="004F3F9F">
            <w:pPr>
              <w:jc w:val="right"/>
              <w:rPr>
                <w:color w:val="000000"/>
                <w:sz w:val="20"/>
                <w:szCs w:val="20"/>
                <w:lang w:eastAsia="en-CA"/>
              </w:rPr>
            </w:pPr>
            <w:r>
              <w:rPr>
                <w:sz w:val="20"/>
                <w:szCs w:val="20"/>
              </w:rPr>
              <w:t>291 000</w:t>
            </w:r>
          </w:p>
        </w:tc>
      </w:tr>
      <w:tr w:rsidR="004F3F9F" w:rsidRPr="00846ED3" w14:paraId="4213112D" w14:textId="77777777" w:rsidTr="004F3F9F">
        <w:trPr>
          <w:trHeight w:val="73"/>
          <w:jc w:val="center"/>
        </w:trPr>
        <w:tc>
          <w:tcPr>
            <w:tcW w:w="307" w:type="pct"/>
            <w:tcBorders>
              <w:top w:val="nil"/>
              <w:left w:val="single" w:sz="4" w:space="0" w:color="auto"/>
              <w:bottom w:val="single" w:sz="4" w:space="0" w:color="auto"/>
              <w:right w:val="single" w:sz="4" w:space="0" w:color="auto"/>
            </w:tcBorders>
            <w:hideMark/>
          </w:tcPr>
          <w:p w14:paraId="2C350DA4" w14:textId="77777777" w:rsidR="004F3F9F" w:rsidRPr="00846ED3" w:rsidRDefault="004F3F9F" w:rsidP="004F3F9F">
            <w:pPr>
              <w:jc w:val="left"/>
              <w:rPr>
                <w:color w:val="000000"/>
                <w:sz w:val="20"/>
                <w:szCs w:val="20"/>
                <w:lang w:eastAsia="en-CA"/>
              </w:rPr>
            </w:pPr>
            <w:r>
              <w:rPr>
                <w:color w:val="000000"/>
                <w:sz w:val="20"/>
                <w:szCs w:val="20"/>
                <w:lang w:eastAsia="en-CA"/>
              </w:rPr>
              <w:t>3.2</w:t>
            </w:r>
          </w:p>
        </w:tc>
        <w:tc>
          <w:tcPr>
            <w:tcW w:w="1709" w:type="pct"/>
            <w:tcBorders>
              <w:top w:val="nil"/>
              <w:left w:val="nil"/>
              <w:bottom w:val="single" w:sz="4" w:space="0" w:color="auto"/>
              <w:right w:val="single" w:sz="4" w:space="0" w:color="auto"/>
            </w:tcBorders>
            <w:hideMark/>
          </w:tcPr>
          <w:p w14:paraId="0A5915DD" w14:textId="77777777" w:rsidR="004F3F9F" w:rsidRPr="008B3228" w:rsidRDefault="004F3F9F" w:rsidP="004F3F9F">
            <w:pPr>
              <w:jc w:val="left"/>
              <w:rPr>
                <w:color w:val="000000"/>
                <w:sz w:val="20"/>
                <w:szCs w:val="20"/>
                <w:lang w:val="fr-CA" w:eastAsia="en-CA"/>
              </w:rPr>
            </w:pPr>
            <w:r>
              <w:rPr>
                <w:color w:val="000000"/>
                <w:sz w:val="20"/>
                <w:szCs w:val="20"/>
                <w:lang w:val="fr-CA" w:eastAsia="en-CA"/>
              </w:rPr>
              <w:t>Total des coûts d'appui ($US)</w:t>
            </w:r>
          </w:p>
        </w:tc>
        <w:tc>
          <w:tcPr>
            <w:tcW w:w="498" w:type="pct"/>
            <w:tcBorders>
              <w:top w:val="nil"/>
              <w:left w:val="nil"/>
              <w:bottom w:val="single" w:sz="4" w:space="0" w:color="auto"/>
              <w:right w:val="single" w:sz="4" w:space="0" w:color="auto"/>
            </w:tcBorders>
            <w:shd w:val="clear" w:color="auto" w:fill="FFFFFF" w:themeFill="background1"/>
          </w:tcPr>
          <w:p w14:paraId="16A86520" w14:textId="76F3384D" w:rsidR="004F3F9F" w:rsidRPr="004F3F9F" w:rsidRDefault="004F3F9F" w:rsidP="004F3F9F">
            <w:pPr>
              <w:jc w:val="right"/>
              <w:rPr>
                <w:color w:val="000000"/>
                <w:sz w:val="20"/>
                <w:szCs w:val="20"/>
                <w:lang w:eastAsia="en-CA"/>
              </w:rPr>
            </w:pPr>
            <w:r>
              <w:rPr>
                <w:color w:val="000000"/>
                <w:sz w:val="20"/>
                <w:szCs w:val="20"/>
              </w:rPr>
              <w:t>17 307</w:t>
            </w:r>
          </w:p>
        </w:tc>
        <w:tc>
          <w:tcPr>
            <w:tcW w:w="498" w:type="pct"/>
            <w:tcBorders>
              <w:top w:val="nil"/>
              <w:left w:val="nil"/>
              <w:bottom w:val="single" w:sz="4" w:space="0" w:color="auto"/>
              <w:right w:val="single" w:sz="4" w:space="0" w:color="auto"/>
            </w:tcBorders>
            <w:shd w:val="clear" w:color="auto" w:fill="FFFFFF" w:themeFill="background1"/>
          </w:tcPr>
          <w:p w14:paraId="553C4C0C" w14:textId="412C0555" w:rsidR="004F3F9F" w:rsidRPr="004F3F9F" w:rsidRDefault="004F3F9F" w:rsidP="004F3F9F">
            <w:pPr>
              <w:jc w:val="right"/>
              <w:rPr>
                <w:color w:val="000000"/>
                <w:sz w:val="20"/>
                <w:szCs w:val="20"/>
                <w:lang w:eastAsia="en-CA"/>
              </w:rPr>
            </w:pPr>
            <w:r>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053E56E2" w14:textId="6BC3DC41" w:rsidR="004F3F9F" w:rsidRPr="004F3F9F" w:rsidRDefault="004F3F9F" w:rsidP="004F3F9F">
            <w:pPr>
              <w:jc w:val="right"/>
              <w:rPr>
                <w:color w:val="000000"/>
                <w:sz w:val="20"/>
                <w:szCs w:val="20"/>
                <w:lang w:eastAsia="en-CA"/>
              </w:rPr>
            </w:pPr>
            <w:r>
              <w:rPr>
                <w:sz w:val="20"/>
                <w:szCs w:val="20"/>
              </w:rPr>
              <w:t>15 960</w:t>
            </w:r>
          </w:p>
        </w:tc>
        <w:tc>
          <w:tcPr>
            <w:tcW w:w="498" w:type="pct"/>
            <w:tcBorders>
              <w:top w:val="nil"/>
              <w:left w:val="nil"/>
              <w:bottom w:val="single" w:sz="4" w:space="0" w:color="auto"/>
              <w:right w:val="single" w:sz="4" w:space="0" w:color="auto"/>
            </w:tcBorders>
            <w:shd w:val="clear" w:color="auto" w:fill="FFFFFF" w:themeFill="background1"/>
          </w:tcPr>
          <w:p w14:paraId="4397CC81" w14:textId="25E7904B" w:rsidR="004F3F9F" w:rsidRPr="004F3F9F" w:rsidRDefault="004F3F9F" w:rsidP="004F3F9F">
            <w:pPr>
              <w:jc w:val="right"/>
              <w:rPr>
                <w:color w:val="000000"/>
                <w:sz w:val="20"/>
                <w:szCs w:val="20"/>
                <w:lang w:eastAsia="en-CA"/>
              </w:rPr>
            </w:pPr>
            <w:r>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318D57BE" w14:textId="3F975900" w:rsidR="004F3F9F" w:rsidRPr="004F3F9F" w:rsidRDefault="004F3F9F" w:rsidP="004F3F9F">
            <w:pPr>
              <w:jc w:val="right"/>
              <w:rPr>
                <w:color w:val="000000"/>
                <w:sz w:val="20"/>
                <w:szCs w:val="20"/>
                <w:lang w:eastAsia="en-CA"/>
              </w:rPr>
            </w:pPr>
            <w:r>
              <w:rPr>
                <w:sz w:val="20"/>
                <w:szCs w:val="20"/>
              </w:rPr>
              <w:t>2 271</w:t>
            </w:r>
          </w:p>
        </w:tc>
        <w:tc>
          <w:tcPr>
            <w:tcW w:w="463" w:type="pct"/>
            <w:tcBorders>
              <w:top w:val="nil"/>
              <w:left w:val="nil"/>
              <w:bottom w:val="single" w:sz="4" w:space="0" w:color="auto"/>
              <w:right w:val="single" w:sz="4" w:space="0" w:color="auto"/>
            </w:tcBorders>
            <w:shd w:val="clear" w:color="auto" w:fill="FFFFFF" w:themeFill="background1"/>
          </w:tcPr>
          <w:p w14:paraId="166BD690" w14:textId="2C3E20FB" w:rsidR="004F3F9F" w:rsidRPr="004F3F9F" w:rsidRDefault="004F3F9F" w:rsidP="004F3F9F">
            <w:pPr>
              <w:jc w:val="right"/>
              <w:rPr>
                <w:color w:val="000000"/>
                <w:sz w:val="20"/>
                <w:szCs w:val="20"/>
                <w:lang w:eastAsia="en-CA"/>
              </w:rPr>
            </w:pPr>
            <w:r>
              <w:rPr>
                <w:sz w:val="20"/>
                <w:szCs w:val="20"/>
              </w:rPr>
              <w:t>35 538</w:t>
            </w:r>
          </w:p>
        </w:tc>
      </w:tr>
      <w:tr w:rsidR="004F3F9F" w:rsidRPr="00846ED3" w14:paraId="5C0283B5" w14:textId="77777777" w:rsidTr="004F3F9F">
        <w:trPr>
          <w:trHeight w:val="63"/>
          <w:jc w:val="center"/>
        </w:trPr>
        <w:tc>
          <w:tcPr>
            <w:tcW w:w="307" w:type="pct"/>
            <w:tcBorders>
              <w:top w:val="nil"/>
              <w:left w:val="single" w:sz="4" w:space="0" w:color="auto"/>
              <w:bottom w:val="single" w:sz="4" w:space="0" w:color="auto"/>
              <w:right w:val="single" w:sz="4" w:space="0" w:color="auto"/>
            </w:tcBorders>
            <w:hideMark/>
          </w:tcPr>
          <w:p w14:paraId="7086D465" w14:textId="782DA83D" w:rsidR="004F3F9F" w:rsidRPr="00846ED3" w:rsidRDefault="004F3F9F" w:rsidP="004F3F9F">
            <w:pPr>
              <w:jc w:val="left"/>
              <w:rPr>
                <w:color w:val="000000"/>
                <w:sz w:val="20"/>
                <w:szCs w:val="20"/>
                <w:lang w:eastAsia="en-CA"/>
              </w:rPr>
            </w:pPr>
            <w:r>
              <w:rPr>
                <w:color w:val="000000"/>
                <w:sz w:val="20"/>
                <w:szCs w:val="20"/>
                <w:lang w:eastAsia="en-CA"/>
              </w:rPr>
              <w:t>3.3</w:t>
            </w:r>
          </w:p>
        </w:tc>
        <w:tc>
          <w:tcPr>
            <w:tcW w:w="1709" w:type="pct"/>
            <w:tcBorders>
              <w:top w:val="nil"/>
              <w:left w:val="nil"/>
              <w:bottom w:val="single" w:sz="4" w:space="0" w:color="auto"/>
              <w:right w:val="single" w:sz="4" w:space="0" w:color="auto"/>
            </w:tcBorders>
            <w:hideMark/>
          </w:tcPr>
          <w:p w14:paraId="7F8F19DA" w14:textId="77777777" w:rsidR="004F3F9F" w:rsidRPr="008B3228" w:rsidRDefault="004F3F9F" w:rsidP="004F3F9F">
            <w:pPr>
              <w:jc w:val="left"/>
              <w:rPr>
                <w:color w:val="000000"/>
                <w:sz w:val="20"/>
                <w:szCs w:val="20"/>
                <w:lang w:val="fr-CA" w:eastAsia="en-CA"/>
              </w:rPr>
            </w:pPr>
            <w:r>
              <w:rPr>
                <w:color w:val="000000"/>
                <w:sz w:val="20"/>
                <w:szCs w:val="20"/>
                <w:lang w:val="fr-CA" w:eastAsia="en-CA"/>
              </w:rPr>
              <w:t>Total des coûts convenus ($US)</w:t>
            </w:r>
          </w:p>
        </w:tc>
        <w:tc>
          <w:tcPr>
            <w:tcW w:w="498" w:type="pct"/>
            <w:tcBorders>
              <w:top w:val="nil"/>
              <w:left w:val="nil"/>
              <w:bottom w:val="single" w:sz="4" w:space="0" w:color="auto"/>
              <w:right w:val="single" w:sz="4" w:space="0" w:color="auto"/>
            </w:tcBorders>
            <w:shd w:val="clear" w:color="auto" w:fill="FFFFFF" w:themeFill="background1"/>
          </w:tcPr>
          <w:p w14:paraId="2FDFC771" w14:textId="53E5943C" w:rsidR="004F3F9F" w:rsidRPr="004F3F9F" w:rsidRDefault="004F3F9F" w:rsidP="004F3F9F">
            <w:pPr>
              <w:jc w:val="right"/>
              <w:rPr>
                <w:color w:val="000000"/>
                <w:sz w:val="20"/>
                <w:szCs w:val="20"/>
                <w:lang w:eastAsia="en-CA"/>
              </w:rPr>
            </w:pPr>
            <w:r>
              <w:rPr>
                <w:color w:val="000000"/>
                <w:sz w:val="20"/>
                <w:szCs w:val="20"/>
              </w:rPr>
              <w:t>161 207</w:t>
            </w:r>
          </w:p>
        </w:tc>
        <w:tc>
          <w:tcPr>
            <w:tcW w:w="498" w:type="pct"/>
            <w:tcBorders>
              <w:top w:val="nil"/>
              <w:left w:val="nil"/>
              <w:bottom w:val="single" w:sz="4" w:space="0" w:color="auto"/>
              <w:right w:val="single" w:sz="4" w:space="0" w:color="auto"/>
            </w:tcBorders>
            <w:shd w:val="clear" w:color="auto" w:fill="FFFFFF" w:themeFill="background1"/>
          </w:tcPr>
          <w:p w14:paraId="36F30EA5" w14:textId="6FC288E8" w:rsidR="004F3F9F" w:rsidRPr="004F3F9F" w:rsidRDefault="004F3F9F" w:rsidP="004F3F9F">
            <w:pPr>
              <w:jc w:val="right"/>
              <w:rPr>
                <w:color w:val="000000"/>
                <w:sz w:val="20"/>
                <w:szCs w:val="20"/>
                <w:lang w:eastAsia="en-CA"/>
              </w:rPr>
            </w:pPr>
            <w:r>
              <w:rPr>
                <w:color w:val="000000"/>
                <w:sz w:val="20"/>
                <w:szCs w:val="20"/>
              </w:rPr>
              <w:t>0</w:t>
            </w:r>
          </w:p>
        </w:tc>
        <w:tc>
          <w:tcPr>
            <w:tcW w:w="498" w:type="pct"/>
            <w:tcBorders>
              <w:top w:val="nil"/>
              <w:left w:val="nil"/>
              <w:bottom w:val="single" w:sz="4" w:space="0" w:color="auto"/>
              <w:right w:val="single" w:sz="4" w:space="0" w:color="auto"/>
            </w:tcBorders>
            <w:shd w:val="clear" w:color="auto" w:fill="FFFFFF" w:themeFill="background1"/>
          </w:tcPr>
          <w:p w14:paraId="2585AC8E" w14:textId="2974ADEC" w:rsidR="004F3F9F" w:rsidRPr="004F3F9F" w:rsidRDefault="004F3F9F" w:rsidP="004F3F9F">
            <w:pPr>
              <w:jc w:val="right"/>
              <w:rPr>
                <w:color w:val="000000"/>
                <w:sz w:val="20"/>
                <w:szCs w:val="20"/>
                <w:lang w:eastAsia="en-CA"/>
              </w:rPr>
            </w:pPr>
            <w:r>
              <w:rPr>
                <w:sz w:val="20"/>
                <w:szCs w:val="20"/>
              </w:rPr>
              <w:t>143 960</w:t>
            </w:r>
          </w:p>
        </w:tc>
        <w:tc>
          <w:tcPr>
            <w:tcW w:w="498" w:type="pct"/>
            <w:tcBorders>
              <w:top w:val="nil"/>
              <w:left w:val="nil"/>
              <w:bottom w:val="single" w:sz="4" w:space="0" w:color="auto"/>
              <w:right w:val="single" w:sz="4" w:space="0" w:color="auto"/>
            </w:tcBorders>
            <w:shd w:val="clear" w:color="auto" w:fill="FFFFFF" w:themeFill="background1"/>
          </w:tcPr>
          <w:p w14:paraId="14398A8C" w14:textId="68156A09" w:rsidR="004F3F9F" w:rsidRPr="004F3F9F" w:rsidRDefault="004F3F9F" w:rsidP="004F3F9F">
            <w:pPr>
              <w:jc w:val="right"/>
              <w:rPr>
                <w:color w:val="000000"/>
                <w:sz w:val="20"/>
                <w:szCs w:val="20"/>
                <w:lang w:eastAsia="en-CA"/>
              </w:rPr>
            </w:pPr>
            <w:r>
              <w:rPr>
                <w:color w:val="000000"/>
                <w:sz w:val="20"/>
                <w:szCs w:val="20"/>
              </w:rPr>
              <w:t>0</w:t>
            </w:r>
          </w:p>
        </w:tc>
        <w:tc>
          <w:tcPr>
            <w:tcW w:w="529" w:type="pct"/>
            <w:tcBorders>
              <w:top w:val="nil"/>
              <w:left w:val="nil"/>
              <w:bottom w:val="single" w:sz="4" w:space="0" w:color="auto"/>
              <w:right w:val="single" w:sz="4" w:space="0" w:color="auto"/>
            </w:tcBorders>
            <w:shd w:val="clear" w:color="auto" w:fill="FFFFFF" w:themeFill="background1"/>
          </w:tcPr>
          <w:p w14:paraId="7E84D0DB" w14:textId="1891BC3B" w:rsidR="004F3F9F" w:rsidRPr="004F3F9F" w:rsidRDefault="004F3F9F" w:rsidP="004F3F9F">
            <w:pPr>
              <w:jc w:val="right"/>
              <w:rPr>
                <w:color w:val="000000"/>
                <w:sz w:val="20"/>
                <w:szCs w:val="20"/>
                <w:lang w:eastAsia="en-CA"/>
              </w:rPr>
            </w:pPr>
            <w:r>
              <w:rPr>
                <w:sz w:val="20"/>
                <w:szCs w:val="20"/>
              </w:rPr>
              <w:t>21 371</w:t>
            </w:r>
          </w:p>
        </w:tc>
        <w:tc>
          <w:tcPr>
            <w:tcW w:w="463" w:type="pct"/>
            <w:tcBorders>
              <w:top w:val="nil"/>
              <w:left w:val="nil"/>
              <w:bottom w:val="single" w:sz="4" w:space="0" w:color="auto"/>
              <w:right w:val="single" w:sz="4" w:space="0" w:color="auto"/>
            </w:tcBorders>
            <w:shd w:val="clear" w:color="auto" w:fill="FFFFFF" w:themeFill="background1"/>
          </w:tcPr>
          <w:p w14:paraId="484D6402" w14:textId="29EED88F" w:rsidR="004F3F9F" w:rsidRPr="004F3F9F" w:rsidRDefault="004F3F9F" w:rsidP="004F3F9F">
            <w:pPr>
              <w:jc w:val="right"/>
              <w:rPr>
                <w:color w:val="000000"/>
                <w:sz w:val="20"/>
                <w:szCs w:val="20"/>
                <w:lang w:eastAsia="en-CA"/>
              </w:rPr>
            </w:pPr>
            <w:r>
              <w:rPr>
                <w:sz w:val="20"/>
                <w:szCs w:val="20"/>
              </w:rPr>
              <w:t>326 538</w:t>
            </w:r>
          </w:p>
        </w:tc>
      </w:tr>
      <w:tr w:rsidR="00563DA8" w:rsidRPr="00846ED3" w14:paraId="18F15919" w14:textId="77777777" w:rsidTr="004F3F9F">
        <w:trPr>
          <w:trHeight w:val="63"/>
          <w:jc w:val="center"/>
        </w:trPr>
        <w:tc>
          <w:tcPr>
            <w:tcW w:w="307" w:type="pct"/>
            <w:tcBorders>
              <w:top w:val="single" w:sz="4" w:space="0" w:color="auto"/>
              <w:left w:val="single" w:sz="4" w:space="0" w:color="auto"/>
              <w:bottom w:val="single" w:sz="4" w:space="0" w:color="auto"/>
              <w:right w:val="single" w:sz="4" w:space="0" w:color="auto"/>
            </w:tcBorders>
            <w:hideMark/>
          </w:tcPr>
          <w:p w14:paraId="67838E91" w14:textId="2AB19DF8" w:rsidR="00563DA8" w:rsidRPr="00846ED3" w:rsidRDefault="00563DA8" w:rsidP="001161CD">
            <w:pPr>
              <w:jc w:val="left"/>
              <w:rPr>
                <w:color w:val="000000"/>
                <w:sz w:val="20"/>
                <w:szCs w:val="20"/>
                <w:lang w:eastAsia="en-CA"/>
              </w:rPr>
            </w:pPr>
            <w:r>
              <w:rPr>
                <w:color w:val="000000"/>
                <w:sz w:val="20"/>
                <w:szCs w:val="20"/>
                <w:lang w:eastAsia="en-CA"/>
              </w:rPr>
              <w:t>4.1.1</w:t>
            </w:r>
          </w:p>
        </w:tc>
        <w:tc>
          <w:tcPr>
            <w:tcW w:w="4230" w:type="pct"/>
            <w:gridSpan w:val="6"/>
            <w:tcBorders>
              <w:top w:val="single" w:sz="4" w:space="0" w:color="auto"/>
              <w:left w:val="nil"/>
              <w:bottom w:val="single" w:sz="4" w:space="0" w:color="auto"/>
              <w:right w:val="single" w:sz="4" w:space="0" w:color="000000"/>
            </w:tcBorders>
            <w:hideMark/>
          </w:tcPr>
          <w:p w14:paraId="3D014C62" w14:textId="2F937E24" w:rsidR="00563DA8" w:rsidRPr="008B3228" w:rsidRDefault="00563DA8" w:rsidP="001161CD">
            <w:pPr>
              <w:jc w:val="left"/>
              <w:rPr>
                <w:color w:val="000000"/>
                <w:sz w:val="20"/>
                <w:szCs w:val="20"/>
                <w:lang w:val="fr-CA" w:eastAsia="en-CA"/>
              </w:rPr>
            </w:pPr>
            <w:r>
              <w:rPr>
                <w:color w:val="000000"/>
                <w:sz w:val="20"/>
                <w:szCs w:val="20"/>
                <w:lang w:val="fr-CA" w:eastAsia="en-CA"/>
              </w:rPr>
              <w:t>Élimination totale de HCFC-22 convenue de réaliser en vertu du présent Accord (tonnes PAO)</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75DC212B" w14:textId="3A039074" w:rsidR="00563DA8" w:rsidRPr="00846ED3" w:rsidRDefault="00BF589C" w:rsidP="001161CD">
            <w:pPr>
              <w:jc w:val="right"/>
              <w:rPr>
                <w:color w:val="000000"/>
                <w:sz w:val="20"/>
                <w:szCs w:val="20"/>
                <w:lang w:eastAsia="en-CA"/>
              </w:rPr>
            </w:pPr>
            <w:r>
              <w:rPr>
                <w:color w:val="000000"/>
                <w:sz w:val="20"/>
                <w:szCs w:val="20"/>
                <w:lang w:eastAsia="en-CA"/>
              </w:rPr>
              <w:t>0,32</w:t>
            </w:r>
          </w:p>
        </w:tc>
      </w:tr>
      <w:tr w:rsidR="00563DA8" w:rsidRPr="00846ED3" w14:paraId="2DFF0528" w14:textId="77777777" w:rsidTr="004F3F9F">
        <w:trPr>
          <w:trHeight w:val="139"/>
          <w:jc w:val="center"/>
        </w:trPr>
        <w:tc>
          <w:tcPr>
            <w:tcW w:w="307" w:type="pct"/>
            <w:tcBorders>
              <w:top w:val="nil"/>
              <w:left w:val="single" w:sz="4" w:space="0" w:color="auto"/>
              <w:bottom w:val="single" w:sz="4" w:space="0" w:color="auto"/>
              <w:right w:val="single" w:sz="4" w:space="0" w:color="auto"/>
            </w:tcBorders>
            <w:hideMark/>
          </w:tcPr>
          <w:p w14:paraId="7DF3CBE6" w14:textId="77777777" w:rsidR="00563DA8" w:rsidRPr="00846ED3" w:rsidRDefault="00563DA8" w:rsidP="001161CD">
            <w:pPr>
              <w:jc w:val="left"/>
              <w:rPr>
                <w:color w:val="000000"/>
                <w:sz w:val="20"/>
                <w:szCs w:val="20"/>
                <w:lang w:eastAsia="en-CA"/>
              </w:rPr>
            </w:pPr>
            <w:r>
              <w:rPr>
                <w:color w:val="000000"/>
                <w:sz w:val="20"/>
                <w:szCs w:val="20"/>
                <w:lang w:eastAsia="en-CA"/>
              </w:rPr>
              <w:t>4.1.2</w:t>
            </w:r>
          </w:p>
        </w:tc>
        <w:tc>
          <w:tcPr>
            <w:tcW w:w="4230" w:type="pct"/>
            <w:gridSpan w:val="6"/>
            <w:tcBorders>
              <w:top w:val="single" w:sz="4" w:space="0" w:color="auto"/>
              <w:left w:val="nil"/>
              <w:bottom w:val="single" w:sz="4" w:space="0" w:color="auto"/>
              <w:right w:val="single" w:sz="4" w:space="0" w:color="000000"/>
            </w:tcBorders>
            <w:hideMark/>
          </w:tcPr>
          <w:p w14:paraId="0CE24320" w14:textId="18D093AB" w:rsidR="00563DA8" w:rsidRPr="008B3228" w:rsidRDefault="00563DA8" w:rsidP="001161CD">
            <w:pPr>
              <w:jc w:val="left"/>
              <w:rPr>
                <w:color w:val="000000"/>
                <w:sz w:val="20"/>
                <w:szCs w:val="20"/>
                <w:lang w:val="fr-CA" w:eastAsia="en-CA"/>
              </w:rPr>
            </w:pPr>
            <w:r>
              <w:rPr>
                <w:color w:val="000000"/>
                <w:sz w:val="20"/>
                <w:szCs w:val="20"/>
                <w:lang w:val="fr-CA" w:eastAsia="en-CA"/>
              </w:rPr>
              <w:t>Élimination du HCFC-22 réalisée lors de la phase précédente (tonnes PAO)</w:t>
            </w:r>
          </w:p>
        </w:tc>
        <w:tc>
          <w:tcPr>
            <w:tcW w:w="463" w:type="pct"/>
            <w:tcBorders>
              <w:top w:val="nil"/>
              <w:left w:val="nil"/>
              <w:bottom w:val="single" w:sz="4" w:space="0" w:color="auto"/>
              <w:right w:val="single" w:sz="4" w:space="0" w:color="auto"/>
            </w:tcBorders>
            <w:shd w:val="clear" w:color="auto" w:fill="FFFFFF" w:themeFill="background1"/>
          </w:tcPr>
          <w:p w14:paraId="5F35CCCF" w14:textId="3E7B8C39" w:rsidR="00563DA8" w:rsidRPr="00846ED3" w:rsidRDefault="00BF589C" w:rsidP="001161CD">
            <w:pPr>
              <w:jc w:val="right"/>
              <w:rPr>
                <w:color w:val="000000"/>
                <w:sz w:val="20"/>
                <w:szCs w:val="20"/>
                <w:lang w:eastAsia="en-CA"/>
              </w:rPr>
            </w:pPr>
            <w:r>
              <w:rPr>
                <w:color w:val="000000"/>
                <w:sz w:val="20"/>
                <w:szCs w:val="20"/>
                <w:lang w:eastAsia="en-CA"/>
              </w:rPr>
              <w:t>0,18</w:t>
            </w:r>
          </w:p>
        </w:tc>
      </w:tr>
      <w:tr w:rsidR="00563DA8" w:rsidRPr="00846ED3" w14:paraId="1991DAAE" w14:textId="77777777" w:rsidTr="004F3F9F">
        <w:trPr>
          <w:trHeight w:val="116"/>
          <w:jc w:val="center"/>
        </w:trPr>
        <w:tc>
          <w:tcPr>
            <w:tcW w:w="307" w:type="pct"/>
            <w:tcBorders>
              <w:top w:val="nil"/>
              <w:left w:val="single" w:sz="4" w:space="0" w:color="auto"/>
              <w:bottom w:val="single" w:sz="4" w:space="0" w:color="auto"/>
              <w:right w:val="single" w:sz="4" w:space="0" w:color="auto"/>
            </w:tcBorders>
            <w:hideMark/>
          </w:tcPr>
          <w:p w14:paraId="2B758ED9" w14:textId="77777777" w:rsidR="00563DA8" w:rsidRPr="00846ED3" w:rsidRDefault="00563DA8" w:rsidP="001161CD">
            <w:pPr>
              <w:jc w:val="left"/>
              <w:rPr>
                <w:color w:val="000000"/>
                <w:sz w:val="20"/>
                <w:szCs w:val="20"/>
                <w:lang w:eastAsia="en-CA"/>
              </w:rPr>
            </w:pPr>
            <w:r>
              <w:rPr>
                <w:color w:val="000000"/>
                <w:sz w:val="20"/>
                <w:szCs w:val="20"/>
                <w:lang w:eastAsia="en-CA"/>
              </w:rPr>
              <w:t>4.1.3</w:t>
            </w:r>
          </w:p>
        </w:tc>
        <w:tc>
          <w:tcPr>
            <w:tcW w:w="4230" w:type="pct"/>
            <w:gridSpan w:val="6"/>
            <w:tcBorders>
              <w:top w:val="single" w:sz="4" w:space="0" w:color="auto"/>
              <w:left w:val="nil"/>
              <w:bottom w:val="single" w:sz="4" w:space="0" w:color="auto"/>
              <w:right w:val="single" w:sz="4" w:space="0" w:color="000000"/>
            </w:tcBorders>
            <w:hideMark/>
          </w:tcPr>
          <w:p w14:paraId="57F5E0F7" w14:textId="329CD28A" w:rsidR="00563DA8" w:rsidRPr="008B3228" w:rsidRDefault="00563DA8" w:rsidP="001161CD">
            <w:pPr>
              <w:jc w:val="left"/>
              <w:rPr>
                <w:color w:val="000000"/>
                <w:sz w:val="20"/>
                <w:szCs w:val="20"/>
                <w:lang w:val="fr-CA" w:eastAsia="en-CA"/>
              </w:rPr>
            </w:pPr>
            <w:r>
              <w:rPr>
                <w:color w:val="000000"/>
                <w:sz w:val="20"/>
                <w:szCs w:val="20"/>
                <w:lang w:val="fr-CA" w:eastAsia="en-CA"/>
              </w:rPr>
              <w:t>Consommation restante admissible pour le HCFC-22 (tonnes PAO)</w:t>
            </w:r>
          </w:p>
        </w:tc>
        <w:tc>
          <w:tcPr>
            <w:tcW w:w="463" w:type="pct"/>
            <w:tcBorders>
              <w:top w:val="nil"/>
              <w:left w:val="nil"/>
              <w:bottom w:val="single" w:sz="4" w:space="0" w:color="auto"/>
              <w:right w:val="single" w:sz="4" w:space="0" w:color="auto"/>
            </w:tcBorders>
            <w:shd w:val="clear" w:color="auto" w:fill="FFFFFF" w:themeFill="background1"/>
          </w:tcPr>
          <w:p w14:paraId="0EC43E2C" w14:textId="21839561" w:rsidR="00563DA8" w:rsidRPr="00846ED3" w:rsidRDefault="00BF589C" w:rsidP="001161CD">
            <w:pPr>
              <w:jc w:val="right"/>
              <w:rPr>
                <w:color w:val="000000"/>
                <w:sz w:val="20"/>
                <w:szCs w:val="20"/>
                <w:lang w:eastAsia="en-CA"/>
              </w:rPr>
            </w:pPr>
            <w:r>
              <w:rPr>
                <w:color w:val="000000"/>
                <w:sz w:val="20"/>
                <w:szCs w:val="20"/>
                <w:lang w:eastAsia="en-CA"/>
              </w:rPr>
              <w:t>0,00</w:t>
            </w:r>
          </w:p>
        </w:tc>
      </w:tr>
    </w:tbl>
    <w:p w14:paraId="7A1D7883" w14:textId="6EEF7688" w:rsidR="00563DA8" w:rsidRPr="008B3228" w:rsidRDefault="00563DA8" w:rsidP="001161CD">
      <w:pPr>
        <w:pStyle w:val="Heading1"/>
        <w:numPr>
          <w:ilvl w:val="0"/>
          <w:numId w:val="0"/>
        </w:numPr>
        <w:rPr>
          <w:sz w:val="18"/>
          <w:szCs w:val="16"/>
          <w:lang w:val="fr-CA"/>
        </w:rPr>
      </w:pPr>
      <w:r>
        <w:rPr>
          <w:sz w:val="18"/>
          <w:szCs w:val="16"/>
          <w:lang w:val="fr-CA"/>
        </w:rPr>
        <w:t>*Date d'achèvement de la phase I telle que prolongée par le Comité exécutif lors de sa 93</w:t>
      </w:r>
      <w:r>
        <w:rPr>
          <w:sz w:val="18"/>
          <w:szCs w:val="16"/>
          <w:vertAlign w:val="superscript"/>
          <w:lang w:val="fr-CA"/>
        </w:rPr>
        <w:t>e</w:t>
      </w:r>
      <w:r>
        <w:rPr>
          <w:sz w:val="18"/>
          <w:szCs w:val="16"/>
          <w:lang w:val="fr-CA"/>
        </w:rPr>
        <w:t xml:space="preserve"> réunion : 30 juin 2024</w:t>
      </w:r>
    </w:p>
    <w:p w14:paraId="57A53EF6" w14:textId="77777777" w:rsidR="00563DA8" w:rsidRPr="008B3228" w:rsidRDefault="00563DA8" w:rsidP="001161CD">
      <w:pPr>
        <w:keepNext/>
        <w:spacing w:before="360" w:after="240"/>
        <w:rPr>
          <w:b/>
          <w:lang w:val="fr-CA"/>
        </w:rPr>
      </w:pPr>
      <w:r>
        <w:rPr>
          <w:b/>
          <w:lang w:val="fr-CA"/>
        </w:rPr>
        <w:t>APPENDICE 3-A : CALENDRIER DE FINANCEMENT APPROUVÉ</w:t>
      </w:r>
    </w:p>
    <w:p w14:paraId="796D497E" w14:textId="243939D8" w:rsidR="00563DA8" w:rsidRPr="008B3228" w:rsidRDefault="00563DA8" w:rsidP="001161CD">
      <w:pPr>
        <w:pStyle w:val="Heading1"/>
        <w:numPr>
          <w:ilvl w:val="0"/>
          <w:numId w:val="33"/>
        </w:numPr>
        <w:rPr>
          <w:lang w:val="fr-CA"/>
        </w:rPr>
      </w:pPr>
      <w:r>
        <w:rPr>
          <w:lang w:val="fr-CA"/>
        </w:rPr>
        <w:t>Le financement des futures tranches sera examiné pour approbation à la première réunion de l'année spécifiée à l'Appendice 2-A.</w:t>
      </w:r>
    </w:p>
    <w:p w14:paraId="70A956B7" w14:textId="77777777" w:rsidR="00563DA8" w:rsidRPr="008B3228" w:rsidRDefault="00563DA8" w:rsidP="001161CD">
      <w:pPr>
        <w:keepNext/>
        <w:spacing w:before="360" w:after="240"/>
        <w:rPr>
          <w:b/>
          <w:lang w:val="fr-CA"/>
        </w:rPr>
      </w:pPr>
      <w:r>
        <w:rPr>
          <w:b/>
          <w:lang w:val="fr-CA"/>
        </w:rPr>
        <w:t>APPENDICE 4-A : MODÈLE DE RAPPORTS ET PLANS DE MISE EN ŒUVRE DES TRANCHES</w:t>
      </w:r>
    </w:p>
    <w:p w14:paraId="2B7092B5" w14:textId="77777777" w:rsidR="00563DA8" w:rsidRPr="008B3228" w:rsidRDefault="00563DA8" w:rsidP="001161CD">
      <w:pPr>
        <w:pStyle w:val="Heading1"/>
        <w:numPr>
          <w:ilvl w:val="0"/>
          <w:numId w:val="34"/>
        </w:numPr>
        <w:rPr>
          <w:lang w:val="fr-CA"/>
        </w:rPr>
      </w:pPr>
      <w:r>
        <w:rPr>
          <w:lang w:val="fr-CA"/>
        </w:rPr>
        <w:t>La présentation du plan et du rapport de mise en œuvre de tranche pour chaque demande de tranche comprendra cinq parties :</w:t>
      </w:r>
    </w:p>
    <w:p w14:paraId="18B8F6B5" w14:textId="77777777" w:rsidR="00563DA8" w:rsidRPr="008B3228" w:rsidRDefault="00563DA8" w:rsidP="001161CD">
      <w:pPr>
        <w:pStyle w:val="Heading2"/>
        <w:widowControl/>
        <w:numPr>
          <w:ilvl w:val="1"/>
          <w:numId w:val="1"/>
        </w:numPr>
        <w:rPr>
          <w:lang w:val="fr-CA"/>
        </w:rPr>
      </w:pPr>
      <w:r>
        <w:rPr>
          <w:lang w:val="fr-CA"/>
        </w:rPr>
        <w:t>Un exposé narratif, contenant des données fournies par tranche, décrivant les progrès réalisés depuis le rapport précédent, reflétant la situation du pays en ce qui concerne l’élimination progressive des substances, la manière dont les différentes activités y contribuent et leurs liens entre elles. Le rapport doit inclure la quantité de SAO éliminée en conséquence directe de la mise en œuvre des activités, par substance, ainsi que la technologie de remplacement utilisée et l’introduction progressive des solutions de remplacement, afin de permettre au secrétariat de fournir au Comité exécutif des informations sur l’évolution des émissions ayant une incidence sur le climat qui en résulte. Le rapport doit en outre mettre en évidence les réussites, les expériences et les défis liés aux différentes activités incluses dans le plan, refléter tout changement dans la situation du pays et fournir d’autres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de la tranche, comme prévu au paragraphe 7 du présent accord, ou d’autres changements ;</w:t>
      </w:r>
    </w:p>
    <w:p w14:paraId="0ADD4623"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pris en compte par le Comité;</w:t>
      </w:r>
    </w:p>
    <w:p w14:paraId="65D87206"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 xml:space="preserve">Un descriptif écrit des activités à entreprendre pendant la période couverte par la tranche demandée,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également inclure une référence </w:t>
      </w:r>
      <w:proofErr w:type="gramStart"/>
      <w:r>
        <w:rPr>
          <w:lang w:val="fr-CA"/>
        </w:rPr>
        <w:t>au</w:t>
      </w:r>
      <w:proofErr w:type="gramEnd"/>
      <w:r>
        <w:rPr>
          <w:lang w:val="fr-CA"/>
        </w:rPr>
        <w:t xml:space="preserve"> plan global et aux progrès réalisés, ainsi qu'à toute modification éventuelle du plan global qui est prévue. La description doit également préciser et expliquer en détail ces modifications </w:t>
      </w:r>
      <w:r>
        <w:rPr>
          <w:lang w:val="fr-CA"/>
        </w:rPr>
        <w:lastRenderedPageBreak/>
        <w:t>du plan global. Ce descriptif des activités futures peut être soumis dans le même document que le rapport narratif visé au sous-paragraphe a) ci-dessus ;</w:t>
      </w:r>
    </w:p>
    <w:p w14:paraId="3B9B2AB2"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Une série d'informations quantitatives pour tous les Rapports et les Plans de mise en œuvre de tranche doit être transmise via une banque de données en ligne ; et</w:t>
      </w:r>
    </w:p>
    <w:p w14:paraId="4AC1B253"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Un sommaire analytique d’environ cinq paragraphes, résumant les informations des sous-alinéas 1 a) à 1 d) ci-dessus.</w:t>
      </w:r>
    </w:p>
    <w:p w14:paraId="03E2F4D2" w14:textId="70BD0DF8" w:rsidR="00563DA8" w:rsidRPr="008B3228" w:rsidRDefault="00043897" w:rsidP="001161CD">
      <w:pPr>
        <w:pStyle w:val="Heading1"/>
        <w:rPr>
          <w:lang w:val="fr-CA"/>
        </w:rPr>
      </w:pPr>
      <w:r>
        <w:rPr>
          <w:lang w:val="fr-CA"/>
        </w:rPr>
        <w:t xml:space="preserve">  Si deux phases du Plan sont mises en œuvre en parallèle au cours d'une année donnée, il faudra tenir compte des considérations suivantes pour la préparation des Rapports et Plans de mise en œuvre de la tranche :</w:t>
      </w:r>
    </w:p>
    <w:p w14:paraId="34D6C786"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Les rapports de mise en œuvre de tranche et les plans dont il est question dans le présent Accord ne porteront que sur les activités et les sommes prévues dans cet Accord ; et</w:t>
      </w:r>
    </w:p>
    <w:p w14:paraId="2EB1321A"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5EDBE1CA" w14:textId="77777777" w:rsidR="00563DA8" w:rsidRPr="008B3228" w:rsidRDefault="00563DA8" w:rsidP="001161CD">
      <w:pPr>
        <w:keepNext/>
        <w:spacing w:before="360" w:after="240"/>
        <w:rPr>
          <w:b/>
          <w:lang w:val="fr-CA"/>
        </w:rPr>
      </w:pPr>
      <w:r>
        <w:rPr>
          <w:b/>
          <w:lang w:val="fr-CA"/>
        </w:rPr>
        <w:t>APPENDICE 5-A : LES INSTITUTIONS DE SUIVI ET LEUR RÔLE</w:t>
      </w:r>
    </w:p>
    <w:p w14:paraId="2DFFE0E5" w14:textId="04651293" w:rsidR="007A2308" w:rsidRPr="008B3228" w:rsidRDefault="007A2308" w:rsidP="007A2308">
      <w:pPr>
        <w:pStyle w:val="Heading1"/>
        <w:numPr>
          <w:ilvl w:val="0"/>
          <w:numId w:val="35"/>
        </w:numPr>
        <w:rPr>
          <w:lang w:val="fr-CA"/>
        </w:rPr>
      </w:pPr>
      <w:r>
        <w:rPr>
          <w:lang w:val="fr-CA"/>
        </w:rPr>
        <w:t>La responsabilité de la mise en œuvre du plan incombe au ministère de l’Environnement, de l’Action climatique et de l’Autonomisation des circonscriptions, au sein duquel se trouve l’Unité nationale de l’ozone (UNO). Le secrétaire permanent du ministère, sous la direction du directeur, assumera la responsabilité globale du projet. L'exécution quotidienne du projet sera assurée par le responsable national de l'ozone, qui sera assisté par un assistant national de l'ozone recruté à cet effet. La conception des activités du projet sera menée en consultation avec les parties prenantes identifiées.</w:t>
      </w:r>
    </w:p>
    <w:p w14:paraId="4C638EED" w14:textId="2E891A31" w:rsidR="007A2308" w:rsidRPr="008B3228" w:rsidRDefault="007A2308" w:rsidP="007A2308">
      <w:pPr>
        <w:pStyle w:val="Heading1"/>
        <w:numPr>
          <w:ilvl w:val="0"/>
          <w:numId w:val="35"/>
        </w:numPr>
        <w:rPr>
          <w:lang w:val="fr-CA"/>
        </w:rPr>
      </w:pPr>
      <w:r>
        <w:rPr>
          <w:lang w:val="fr-CA"/>
        </w:rPr>
        <w:t>La mise en œuvre mettra en jeu l’Agence d’exécution principale tout au long du projet. Cela comprendra la réception des orientations de l’Agence d’exécution principale, la soumission de rapports périodiques, y compris les rapports financiers, ainsi que la coordination des demandes de tranche conformément à l’accord. L’UNO et l’Agence d’exécution principale coordonneront leurs efforts avec l’Agence de coopération pour mettre en œuvre le volet investissement du projet. Ces agences appliqueront les procédures établies régissant les marchés publics, la gestion financière, l’établissement de rapports et le suivi de l’agence d’exécution concernée et des mécanismes de financement internationaux, en particulier le Fonds multilatéral. La mise en œuvre sera en outre soutenue par divers organes administratifs et de service au sein du gouvernement, des consultants internationaux et nationaux, des fournisseurs d’équipements et de services, ainsi que par les entreprises bénéficiaires.</w:t>
      </w:r>
    </w:p>
    <w:p w14:paraId="12AF3F21" w14:textId="77777777" w:rsidR="00563DA8" w:rsidRPr="008B3228" w:rsidRDefault="00563DA8" w:rsidP="001161CD">
      <w:pPr>
        <w:keepNext/>
        <w:spacing w:before="360" w:after="240"/>
        <w:rPr>
          <w:b/>
          <w:lang w:val="fr-CA"/>
        </w:rPr>
      </w:pPr>
      <w:r>
        <w:rPr>
          <w:b/>
          <w:lang w:val="fr-CA"/>
        </w:rPr>
        <w:t>APPENDICE 6-A : RÔLE DE L'AGENCE D'EXÉCUTION PRINCIPALE</w:t>
      </w:r>
    </w:p>
    <w:p w14:paraId="68157DBF" w14:textId="77777777" w:rsidR="00563DA8" w:rsidRPr="008B3228" w:rsidRDefault="00563DA8" w:rsidP="001161CD">
      <w:pPr>
        <w:pStyle w:val="Heading1"/>
        <w:numPr>
          <w:ilvl w:val="0"/>
          <w:numId w:val="36"/>
        </w:numPr>
        <w:rPr>
          <w:lang w:val="fr-CA"/>
        </w:rPr>
      </w:pPr>
      <w:r>
        <w:rPr>
          <w:lang w:val="fr-CA"/>
        </w:rPr>
        <w:t>L'Agence d'exécution principale sera responsable d'une série d'activités, incluant au moins :</w:t>
      </w:r>
    </w:p>
    <w:p w14:paraId="1B860166" w14:textId="77777777" w:rsidR="00563DA8" w:rsidRPr="008B3228" w:rsidRDefault="00563DA8" w:rsidP="001161CD">
      <w:pPr>
        <w:pStyle w:val="Heading2"/>
        <w:widowControl/>
        <w:numPr>
          <w:ilvl w:val="1"/>
          <w:numId w:val="1"/>
        </w:numPr>
        <w:rPr>
          <w:lang w:val="fr-CA"/>
        </w:rPr>
      </w:pPr>
      <w:r>
        <w:rPr>
          <w:lang w:val="fr-CA"/>
        </w:rPr>
        <w:t>S'assurer du rendement et de la vérification financière conformément au présent Accord et à ses procédures internes et exigences spécifiques, définies dans le Plan du Pays ;</w:t>
      </w:r>
    </w:p>
    <w:p w14:paraId="7EF066F0"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Aider le Pays à préparer les Rapports et Plans de mise en œuvre de la tranche, conformément à l’Appendice 4-A ;</w:t>
      </w:r>
    </w:p>
    <w:p w14:paraId="67AA10ED"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lastRenderedPageBreak/>
        <w:t>Remettre au Comité exécutif la vérification indépendante confirmant que les objectifs ont été atteints et que les activités correspondantes de la tranche ont été réalisées, tel qu'indiqué dans le plan de mise en œuvre de tranche, conformément à l'Appendice 4-A ;</w:t>
      </w:r>
    </w:p>
    <w:p w14:paraId="02584B2A"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Veiller à ce que les expériences et progrès soient reflétés dans les mises à jour du plan global et dans les Plans futurs de mise en œuvre de la tranche, conformément aux alinéas 1 c) et 1 d) de l'appendice 4-A ;</w:t>
      </w:r>
    </w:p>
    <w:p w14:paraId="10482F6D" w14:textId="163E6AFC" w:rsidR="00563DA8" w:rsidRPr="008B3228" w:rsidRDefault="00563DA8" w:rsidP="001161CD">
      <w:pPr>
        <w:pStyle w:val="Heading2"/>
        <w:widowControl/>
        <w:numPr>
          <w:ilvl w:val="1"/>
          <w:numId w:val="1"/>
        </w:numPr>
        <w:tabs>
          <w:tab w:val="clear" w:pos="0"/>
          <w:tab w:val="num" w:pos="-720"/>
        </w:tabs>
        <w:rPr>
          <w:lang w:val="fr-CA"/>
        </w:rPr>
      </w:pPr>
      <w:r>
        <w:rPr>
          <w:lang w:val="fr-CA"/>
        </w:rPr>
        <w:t>Satisfaire aux exigences de rapport pour les rapports et plans de mise en œuvre de la tranche et le plan global, selon les spécifications de l'appendice 4-A aux fins de présentation au Comité exécutif, ce qui doit comprendre les activités mises en œuvre par l'Agence de coopération ;</w:t>
      </w:r>
    </w:p>
    <w:p w14:paraId="3C501FAC" w14:textId="292E3EA6" w:rsidR="00563DA8" w:rsidRPr="008B3228" w:rsidRDefault="00563DA8" w:rsidP="001161CD">
      <w:pPr>
        <w:pStyle w:val="Heading2"/>
        <w:widowControl/>
        <w:numPr>
          <w:ilvl w:val="1"/>
          <w:numId w:val="1"/>
        </w:numPr>
        <w:tabs>
          <w:tab w:val="clear" w:pos="0"/>
          <w:tab w:val="num" w:pos="-720"/>
        </w:tabs>
        <w:rPr>
          <w:lang w:val="fr-CA"/>
        </w:rPr>
      </w:pPr>
      <w:r>
        <w:rPr>
          <w:lang w:val="fr-CA"/>
        </w:rP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68DBE75E"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Veiller à ce que des experts techniques indépendants et qualifiés réalisent les examens techniques ;</w:t>
      </w:r>
    </w:p>
    <w:p w14:paraId="5747F1D7" w14:textId="77777777" w:rsidR="00563DA8" w:rsidRPr="008B3228" w:rsidRDefault="00563DA8" w:rsidP="001161CD">
      <w:pPr>
        <w:pStyle w:val="Heading2"/>
        <w:widowControl/>
        <w:numPr>
          <w:ilvl w:val="1"/>
          <w:numId w:val="1"/>
        </w:numPr>
        <w:tabs>
          <w:tab w:val="clear" w:pos="0"/>
          <w:tab w:val="num" w:pos="-720"/>
        </w:tabs>
        <w:rPr>
          <w:lang w:val="fr-CA"/>
        </w:rPr>
      </w:pPr>
      <w:proofErr w:type="gramStart"/>
      <w:r>
        <w:rPr>
          <w:lang w:val="fr-CA"/>
        </w:rPr>
        <w:t>exécuter</w:t>
      </w:r>
      <w:proofErr w:type="gramEnd"/>
      <w:r>
        <w:rPr>
          <w:lang w:val="fr-CA"/>
        </w:rPr>
        <w:t xml:space="preserve"> les missions de supervision requises ;</w:t>
      </w:r>
    </w:p>
    <w:p w14:paraId="7E15A622" w14:textId="77777777" w:rsidR="00563DA8" w:rsidRPr="008B3228" w:rsidRDefault="00563DA8" w:rsidP="001161CD">
      <w:pPr>
        <w:pStyle w:val="Heading2"/>
        <w:widowControl/>
        <w:numPr>
          <w:ilvl w:val="1"/>
          <w:numId w:val="1"/>
        </w:numPr>
        <w:tabs>
          <w:tab w:val="clear" w:pos="0"/>
          <w:tab w:val="num" w:pos="-720"/>
        </w:tabs>
        <w:rPr>
          <w:lang w:val="fr-CA"/>
        </w:rPr>
      </w:pPr>
      <w:proofErr w:type="gramStart"/>
      <w:r>
        <w:rPr>
          <w:lang w:val="fr-CA"/>
        </w:rPr>
        <w:t>s'assurer</w:t>
      </w:r>
      <w:proofErr w:type="gramEnd"/>
      <w:r>
        <w:rPr>
          <w:lang w:val="fr-CA"/>
        </w:rPr>
        <w:t xml:space="preserve"> qu'il existe un mécanisme opérationnel permettant la mise en œuvre efficace et transparente du plan de mise en œuvre de la tranche et la communication de données exactes ;</w:t>
      </w:r>
    </w:p>
    <w:p w14:paraId="1F936F2C" w14:textId="2B24D0B4" w:rsidR="00563DA8" w:rsidRPr="008B3228" w:rsidRDefault="00563DA8" w:rsidP="001161CD">
      <w:pPr>
        <w:pStyle w:val="Heading2"/>
        <w:widowControl/>
        <w:numPr>
          <w:ilvl w:val="1"/>
          <w:numId w:val="1"/>
        </w:numPr>
        <w:tabs>
          <w:tab w:val="clear" w:pos="0"/>
          <w:tab w:val="num" w:pos="-720"/>
        </w:tabs>
        <w:rPr>
          <w:lang w:val="fr-CA"/>
        </w:rPr>
      </w:pPr>
      <w:r>
        <w:rPr>
          <w:lang w:val="fr-CA"/>
        </w:rPr>
        <w:t>Coordonner les activités de l'Agence de coopération et veiller au déroulement des activités dans l'ordre établi ;</w:t>
      </w:r>
    </w:p>
    <w:p w14:paraId="761CB888" w14:textId="45084482" w:rsidR="00563DA8" w:rsidRPr="008B3228" w:rsidRDefault="00563DA8" w:rsidP="001161CD">
      <w:pPr>
        <w:pStyle w:val="Heading2"/>
        <w:widowControl/>
        <w:numPr>
          <w:ilvl w:val="1"/>
          <w:numId w:val="1"/>
        </w:numPr>
        <w:tabs>
          <w:tab w:val="clear" w:pos="0"/>
          <w:tab w:val="num" w:pos="-720"/>
        </w:tabs>
        <w:rPr>
          <w:lang w:val="fr-CA"/>
        </w:rPr>
      </w:pPr>
      <w:r>
        <w:rPr>
          <w:lang w:val="fr-CA"/>
        </w:rPr>
        <w:t>En cas de réduction du financement pour non-conformité selon le paragraphe 11 du présent Accord, déterminer, en consultation avec le Pays et l'Agence de coopération, la répartition des réductions entre les différents postes budgétaires et le financement de l'Agence principale et de chaque Agence de coopération ;</w:t>
      </w:r>
    </w:p>
    <w:p w14:paraId="46E03989"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Veiller à ce que les versements effectués au Pays reposent sur l'utilisation des indicateurs ;</w:t>
      </w:r>
    </w:p>
    <w:p w14:paraId="230C07A0"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Fournir, s'il y a lieu, une assistance en matière de politique, de gestion et de soutien technique;</w:t>
      </w:r>
    </w:p>
    <w:p w14:paraId="1F8D4A36" w14:textId="0E037BE1" w:rsidR="00563DA8" w:rsidRPr="008B3228" w:rsidRDefault="00563DA8" w:rsidP="007D01F2">
      <w:pPr>
        <w:pStyle w:val="Heading2"/>
        <w:widowControl/>
        <w:numPr>
          <w:ilvl w:val="1"/>
          <w:numId w:val="1"/>
        </w:numPr>
        <w:tabs>
          <w:tab w:val="clear" w:pos="0"/>
          <w:tab w:val="num" w:pos="-720"/>
        </w:tabs>
        <w:rPr>
          <w:lang w:val="fr-CA"/>
        </w:rPr>
      </w:pPr>
      <w:r>
        <w:rPr>
          <w:lang w:val="fr-CA"/>
        </w:rPr>
        <w:t xml:space="preserve">Parvenir à un consensus avec l'Agence de coopération sur toutes les mesures de planification, de coordination et d'établissement de rapports nécessaires pour faciliter la mise en œuvre du Plan ; </w:t>
      </w:r>
      <w:r>
        <w:rPr>
          <w:shd w:val="clear" w:color="auto" w:fill="FFFFFF" w:themeFill="background1"/>
          <w:lang w:val="fr-CA"/>
        </w:rPr>
        <w:t>et</w:t>
      </w:r>
    </w:p>
    <w:p w14:paraId="0A64BF3B" w14:textId="77777777" w:rsidR="00563DA8" w:rsidRPr="008B3228" w:rsidRDefault="00563DA8" w:rsidP="001161CD">
      <w:pPr>
        <w:pStyle w:val="Heading2"/>
        <w:widowControl/>
        <w:numPr>
          <w:ilvl w:val="1"/>
          <w:numId w:val="1"/>
        </w:numPr>
        <w:tabs>
          <w:tab w:val="clear" w:pos="0"/>
          <w:tab w:val="num" w:pos="-720"/>
        </w:tabs>
        <w:rPr>
          <w:lang w:val="fr-CA"/>
        </w:rPr>
      </w:pPr>
      <w:r>
        <w:rPr>
          <w:lang w:val="fr-CA"/>
        </w:rPr>
        <w:t>Décaisser les sommes au Pays/aux entreprises participantes dans les délais nécessaires pour achever les activités reliées au projet.</w:t>
      </w:r>
    </w:p>
    <w:p w14:paraId="5608E418" w14:textId="77777777" w:rsidR="00563DA8" w:rsidRPr="008B3228" w:rsidRDefault="00563DA8" w:rsidP="001161CD">
      <w:pPr>
        <w:pStyle w:val="Heading1"/>
        <w:rPr>
          <w:lang w:val="fr-CA"/>
        </w:rPr>
      </w:pPr>
      <w:r>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sous-alinéa 5 b) de l'Accord et au sous-alinéa 1 b) de l'Appendice 4-A.</w:t>
      </w:r>
    </w:p>
    <w:p w14:paraId="2E234642" w14:textId="77777777" w:rsidR="00563DA8" w:rsidRPr="008B3228" w:rsidRDefault="00563DA8" w:rsidP="00B85B61">
      <w:pPr>
        <w:keepNext/>
        <w:spacing w:before="360" w:after="240"/>
        <w:rPr>
          <w:b/>
          <w:lang w:val="fr-CA"/>
        </w:rPr>
      </w:pPr>
      <w:r>
        <w:rPr>
          <w:b/>
          <w:lang w:val="fr-CA"/>
        </w:rPr>
        <w:lastRenderedPageBreak/>
        <w:t>APPENDICE 6-B : RÔLE DE L'AGENCE DE COOPÉRATION</w:t>
      </w:r>
    </w:p>
    <w:p w14:paraId="1A4B2E24" w14:textId="074F8FAA" w:rsidR="00563DA8" w:rsidRPr="008B3228" w:rsidRDefault="00563DA8" w:rsidP="00B85B61">
      <w:pPr>
        <w:pStyle w:val="Heading1"/>
        <w:numPr>
          <w:ilvl w:val="0"/>
          <w:numId w:val="30"/>
        </w:numPr>
        <w:rPr>
          <w:lang w:val="fr-CA"/>
        </w:rPr>
      </w:pPr>
      <w:r>
        <w:rPr>
          <w:lang w:val="fr-CA"/>
        </w:rPr>
        <w:t xml:space="preserve">L'Agence de coopération sera responsable d'une série d'activités. Ces activités sont précisées dans le Plan, et comprennent au moins les suivantes : </w:t>
      </w:r>
    </w:p>
    <w:p w14:paraId="5135DE96" w14:textId="77777777" w:rsidR="00563DA8" w:rsidRPr="008B3228" w:rsidRDefault="00563DA8" w:rsidP="00B85B61">
      <w:pPr>
        <w:pStyle w:val="Heading2"/>
        <w:widowControl/>
        <w:numPr>
          <w:ilvl w:val="1"/>
          <w:numId w:val="1"/>
        </w:numPr>
        <w:tabs>
          <w:tab w:val="clear" w:pos="0"/>
          <w:tab w:val="num" w:pos="-720"/>
        </w:tabs>
        <w:rPr>
          <w:lang w:val="fr-CA"/>
        </w:rPr>
      </w:pPr>
      <w:r>
        <w:rPr>
          <w:lang w:val="fr-CA"/>
        </w:rPr>
        <w:t xml:space="preserve">Offrir de l'assistance pour l'élaboration de politiques, au besoin ; </w:t>
      </w:r>
    </w:p>
    <w:p w14:paraId="1AA91396" w14:textId="340A647C" w:rsidR="00563DA8" w:rsidRPr="008B3228" w:rsidRDefault="00563DA8" w:rsidP="00B85B61">
      <w:pPr>
        <w:pStyle w:val="Heading2"/>
        <w:widowControl/>
        <w:numPr>
          <w:ilvl w:val="1"/>
          <w:numId w:val="1"/>
        </w:numPr>
        <w:tabs>
          <w:tab w:val="clear" w:pos="0"/>
          <w:tab w:val="num" w:pos="-720"/>
        </w:tabs>
        <w:rPr>
          <w:lang w:val="fr-CA"/>
        </w:rPr>
      </w:pPr>
      <w:r>
        <w:rPr>
          <w:lang w:val="fr-CA"/>
        </w:rPr>
        <w:t>Aider le Pays à mettre en œuvre et à évaluer les activités financées par l'Agence de coopération et consulter l'Agence principale afin de coordonner le déroulement des activités dans l'ordre ;</w:t>
      </w:r>
    </w:p>
    <w:p w14:paraId="636114F7" w14:textId="77777777" w:rsidR="00563DA8" w:rsidRPr="008B3228" w:rsidRDefault="00563DA8" w:rsidP="00B85B61">
      <w:pPr>
        <w:pStyle w:val="Heading2"/>
        <w:widowControl/>
        <w:numPr>
          <w:ilvl w:val="1"/>
          <w:numId w:val="1"/>
        </w:numPr>
        <w:tabs>
          <w:tab w:val="clear" w:pos="0"/>
          <w:tab w:val="num" w:pos="-720"/>
        </w:tabs>
        <w:rPr>
          <w:lang w:val="fr-CA"/>
        </w:rPr>
      </w:pPr>
      <w:r>
        <w:rPr>
          <w:lang w:val="fr-CA"/>
        </w:rPr>
        <w:t>Remettre des rapports à l'Agence principale sur ces activités, afin de les inclure dans les rapports globaux, conformément à l'appendice 4-A ; et</w:t>
      </w:r>
    </w:p>
    <w:p w14:paraId="1E6E3FC5" w14:textId="77777777" w:rsidR="00563DA8" w:rsidRPr="008B3228" w:rsidRDefault="00563DA8" w:rsidP="00B85B61">
      <w:pPr>
        <w:pStyle w:val="Heading2"/>
        <w:widowControl/>
        <w:numPr>
          <w:ilvl w:val="1"/>
          <w:numId w:val="1"/>
        </w:numPr>
        <w:tabs>
          <w:tab w:val="clear" w:pos="0"/>
          <w:tab w:val="num" w:pos="-720"/>
        </w:tabs>
        <w:rPr>
          <w:lang w:val="fr-CA"/>
        </w:rPr>
      </w:pPr>
      <w:r>
        <w:rPr>
          <w:lang w:val="fr-CA"/>
        </w:rPr>
        <w:t>Parvenir à un consensus avec l'Agence principale concernant toute mesure de planification, de coordination et de remise de rapports requise pour faciliter la mise en œuvre du Plan.</w:t>
      </w:r>
    </w:p>
    <w:p w14:paraId="06911B99" w14:textId="77777777" w:rsidR="00563DA8" w:rsidRPr="008B3228" w:rsidRDefault="00563DA8" w:rsidP="001161CD">
      <w:pPr>
        <w:keepNext/>
        <w:spacing w:before="360" w:after="240"/>
        <w:rPr>
          <w:b/>
          <w:lang w:val="fr-CA"/>
        </w:rPr>
      </w:pPr>
      <w:r>
        <w:rPr>
          <w:b/>
          <w:lang w:val="fr-CA"/>
        </w:rPr>
        <w:t>APPENDICE 7-A : RÉDUCTIONS DU FINANCEMENT EN CAS DE NON-CONFORMITÉ</w:t>
      </w:r>
    </w:p>
    <w:p w14:paraId="07DC6473" w14:textId="02C37D11" w:rsidR="00563DA8" w:rsidRPr="008B3228" w:rsidRDefault="00563DA8" w:rsidP="001161CD">
      <w:pPr>
        <w:pStyle w:val="Heading1"/>
        <w:numPr>
          <w:ilvl w:val="0"/>
          <w:numId w:val="26"/>
        </w:numPr>
        <w:rPr>
          <w:lang w:val="fr-CA"/>
        </w:rPr>
      </w:pPr>
      <w:r>
        <w:rPr>
          <w:lang w:val="fr-CA"/>
        </w:rPr>
        <w:t>Conformément à l'alinéa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 pendant deux années consécutives.</w:t>
      </w:r>
    </w:p>
    <w:p w14:paraId="2D06352B" w14:textId="77777777" w:rsidR="00563DA8" w:rsidRPr="008B3228" w:rsidRDefault="00563DA8" w:rsidP="001161CD">
      <w:pPr>
        <w:pStyle w:val="Heading1"/>
        <w:rPr>
          <w:lang w:val="fr-CA"/>
        </w:rPr>
      </w:pPr>
      <w:r>
        <w:rPr>
          <w:lang w:val="fr-CA"/>
        </w:rP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serait le plus élevé.</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9B44EF" w14:paraId="641A2650" w14:textId="77777777" w:rsidTr="00222D4D">
        <w:tc>
          <w:tcPr>
            <w:tcW w:w="999" w:type="pct"/>
          </w:tcPr>
          <w:p w14:paraId="2A5F6DC0" w14:textId="77777777" w:rsidR="00563DA8" w:rsidRPr="008B3228" w:rsidRDefault="00563DA8" w:rsidP="001161CD">
            <w:pPr>
              <w:rPr>
                <w:lang w:val="fr-CA"/>
              </w:rPr>
            </w:pPr>
          </w:p>
        </w:tc>
        <w:tc>
          <w:tcPr>
            <w:tcW w:w="1000" w:type="pct"/>
          </w:tcPr>
          <w:p w14:paraId="2A023465" w14:textId="77777777" w:rsidR="00563DA8" w:rsidRPr="008B3228" w:rsidRDefault="00563DA8" w:rsidP="001161CD">
            <w:pPr>
              <w:rPr>
                <w:lang w:val="fr-CA"/>
              </w:rPr>
            </w:pPr>
          </w:p>
        </w:tc>
        <w:tc>
          <w:tcPr>
            <w:tcW w:w="1000" w:type="pct"/>
            <w:tcBorders>
              <w:bottom w:val="single" w:sz="4" w:space="0" w:color="auto"/>
            </w:tcBorders>
          </w:tcPr>
          <w:p w14:paraId="31A0D1C5" w14:textId="77777777" w:rsidR="00563DA8" w:rsidRPr="008B3228" w:rsidRDefault="00563DA8" w:rsidP="001161CD">
            <w:pPr>
              <w:rPr>
                <w:lang w:val="fr-CA"/>
              </w:rPr>
            </w:pPr>
          </w:p>
        </w:tc>
        <w:tc>
          <w:tcPr>
            <w:tcW w:w="1000" w:type="pct"/>
          </w:tcPr>
          <w:p w14:paraId="019C4C8F" w14:textId="77777777" w:rsidR="00563DA8" w:rsidRPr="008B3228" w:rsidRDefault="00563DA8" w:rsidP="001161CD">
            <w:pPr>
              <w:rPr>
                <w:lang w:val="fr-CA"/>
              </w:rPr>
            </w:pPr>
          </w:p>
        </w:tc>
        <w:tc>
          <w:tcPr>
            <w:tcW w:w="1001" w:type="pct"/>
          </w:tcPr>
          <w:p w14:paraId="6431C331" w14:textId="77777777" w:rsidR="00563DA8" w:rsidRPr="008B3228" w:rsidRDefault="00563DA8" w:rsidP="001161CD">
            <w:pPr>
              <w:rPr>
                <w:lang w:val="fr-CA"/>
              </w:rPr>
            </w:pPr>
          </w:p>
        </w:tc>
      </w:tr>
    </w:tbl>
    <w:p w14:paraId="5A3CA580" w14:textId="77777777" w:rsidR="00563DA8" w:rsidRPr="008B3228" w:rsidRDefault="00563DA8" w:rsidP="001161CD">
      <w:pPr>
        <w:jc w:val="center"/>
        <w:rPr>
          <w:sz w:val="16"/>
          <w:lang w:val="fr-CA"/>
        </w:rPr>
      </w:pPr>
    </w:p>
    <w:sectPr w:rsidR="00563DA8" w:rsidRPr="008B3228" w:rsidSect="00563DA8">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45E56" w14:textId="77777777" w:rsidR="003D6392" w:rsidRDefault="003D6392" w:rsidP="004A504B">
      <w:r>
        <w:separator/>
      </w:r>
    </w:p>
  </w:endnote>
  <w:endnote w:type="continuationSeparator" w:id="0">
    <w:p w14:paraId="527F61E2" w14:textId="77777777" w:rsidR="003D6392" w:rsidRDefault="003D6392" w:rsidP="004A504B">
      <w:r>
        <w:continuationSeparator/>
      </w:r>
    </w:p>
  </w:endnote>
  <w:endnote w:type="continuationNotice" w:id="1">
    <w:p w14:paraId="1DD6267A" w14:textId="77777777" w:rsidR="003D6392" w:rsidRDefault="003D63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9641"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5A63"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B9C7"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031BE1E3" w14:textId="77777777" w:rsidR="00563DA8" w:rsidRPr="008B3228" w:rsidRDefault="00563DA8"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B3228">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5FB565BB" w14:textId="77777777" w:rsidR="00563DA8" w:rsidRPr="008B3228" w:rsidRDefault="00563DA8"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035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981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7B16" w14:textId="77777777" w:rsidR="004E7F9C" w:rsidRPr="008B3228"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B3228">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6E84E144" w14:textId="77777777" w:rsidR="004E7F9C" w:rsidRPr="008B3228" w:rsidRDefault="004E7F9C" w:rsidP="00D85651">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11BF0" w14:textId="77777777" w:rsidR="003D6392" w:rsidRDefault="003D6392" w:rsidP="004A504B">
      <w:r>
        <w:separator/>
      </w:r>
    </w:p>
  </w:footnote>
  <w:footnote w:type="continuationSeparator" w:id="0">
    <w:p w14:paraId="2ABCE343" w14:textId="77777777" w:rsidR="003D6392" w:rsidRDefault="003D6392" w:rsidP="004A504B">
      <w:r>
        <w:continuationSeparator/>
      </w:r>
    </w:p>
  </w:footnote>
  <w:footnote w:type="continuationNotice" w:id="1">
    <w:p w14:paraId="326A7BB3" w14:textId="77777777" w:rsidR="003D6392" w:rsidRDefault="003D6392"/>
  </w:footnote>
  <w:footnote w:id="2">
    <w:p w14:paraId="6CA6248D" w14:textId="77777777" w:rsidR="008B3228" w:rsidRPr="0024643C" w:rsidRDefault="008B3228" w:rsidP="008B3228">
      <w:pPr>
        <w:pStyle w:val="FootnoteText"/>
        <w:rPr>
          <w:noProof/>
          <w:lang w:val="fr-CA"/>
        </w:rPr>
      </w:pPr>
      <w:r w:rsidRPr="0024643C">
        <w:rPr>
          <w:rStyle w:val="FootnoteReference"/>
          <w:noProof/>
          <w:lang w:val="fr-CA"/>
        </w:rPr>
        <w:footnoteRef/>
      </w:r>
      <w:r w:rsidRPr="0024643C">
        <w:rPr>
          <w:noProof/>
          <w:lang w:val="fr-CA"/>
        </w:rPr>
        <w:t>UNEP/OzL.Pro/ExCom/98/1</w:t>
      </w:r>
    </w:p>
  </w:footnote>
  <w:footnote w:id="3">
    <w:p w14:paraId="15D64AB8" w14:textId="58EBB46D" w:rsidR="00563DA8" w:rsidRPr="008B3228" w:rsidRDefault="00563DA8" w:rsidP="00BE2DAA">
      <w:pPr>
        <w:pStyle w:val="FootnoteText"/>
        <w:rPr>
          <w:lang w:val="fr-CA"/>
        </w:rPr>
      </w:pPr>
      <w:r w:rsidRPr="00FE3307">
        <w:rPr>
          <w:rStyle w:val="FootnoteReference"/>
        </w:rPr>
        <w:footnoteRef/>
      </w:r>
      <w:r w:rsidRPr="008B3228">
        <w:rPr>
          <w:lang w:val="fr-CA"/>
        </w:rPr>
        <w:t xml:space="preserve"> Conformément à la lettre du</w:t>
      </w:r>
      <w:r w:rsidR="00D7261A" w:rsidRPr="008B3228">
        <w:rPr>
          <w:lang w:val="fr-CA"/>
        </w:rPr>
        <w:t xml:space="preserve"> 13 février</w:t>
      </w:r>
      <w:r w:rsidR="009C7DD7" w:rsidRPr="008B3228">
        <w:rPr>
          <w:lang w:val="fr-CA"/>
        </w:rPr>
        <w:t xml:space="preserve"> 2026 </w:t>
      </w:r>
      <w:r w:rsidRPr="008B3228">
        <w:rPr>
          <w:lang w:val="fr-CA"/>
        </w:rPr>
        <w:t xml:space="preserve">adressée au secrétariat par le ministère de </w:t>
      </w:r>
      <w:r w:rsidR="00266CDA" w:rsidRPr="008B3228">
        <w:rPr>
          <w:lang w:val="fr-CA"/>
        </w:rPr>
        <w:t xml:space="preserve">l'Environnement, </w:t>
      </w:r>
      <w:r w:rsidRPr="008B3228">
        <w:rPr>
          <w:lang w:val="fr-CA"/>
        </w:rPr>
        <w:t xml:space="preserve">de </w:t>
      </w:r>
      <w:r w:rsidR="00266CDA" w:rsidRPr="008B3228">
        <w:rPr>
          <w:lang w:val="fr-CA"/>
        </w:rPr>
        <w:t xml:space="preserve">l'Action climatique et </w:t>
      </w:r>
      <w:r w:rsidRPr="008B3228">
        <w:rPr>
          <w:lang w:val="fr-CA"/>
        </w:rPr>
        <w:t xml:space="preserve">de </w:t>
      </w:r>
      <w:r w:rsidR="00A33F2E" w:rsidRPr="008B3228">
        <w:rPr>
          <w:lang w:val="fr-CA"/>
        </w:rPr>
        <w:t>l'Autonomisation</w:t>
      </w:r>
      <w:r w:rsidR="00266CDA" w:rsidRPr="008B3228">
        <w:rPr>
          <w:lang w:val="fr-CA"/>
        </w:rPr>
        <w:t xml:space="preserve"> des communautés </w:t>
      </w:r>
      <w:r w:rsidRPr="008B3228">
        <w:rPr>
          <w:lang w:val="fr-CA"/>
        </w:rPr>
        <w:t xml:space="preserve">de </w:t>
      </w:r>
      <w:r w:rsidR="00A33F2E" w:rsidRPr="008B3228">
        <w:rPr>
          <w:lang w:val="fr-CA"/>
        </w:rPr>
        <w:t>Saint-Kitts-et-Nevis</w:t>
      </w:r>
      <w:r w:rsidRPr="008B3228">
        <w:rPr>
          <w:lang w:val="fr-CA"/>
        </w:rPr>
        <w:t>.</w:t>
      </w:r>
    </w:p>
  </w:footnote>
  <w:footnote w:id="4">
    <w:p w14:paraId="58FD368E" w14:textId="77777777" w:rsidR="00563DA8" w:rsidRPr="008B3228" w:rsidRDefault="00563DA8" w:rsidP="00BE2DAA">
      <w:pPr>
        <w:pStyle w:val="FootnoteText"/>
        <w:rPr>
          <w:lang w:val="fr-CA"/>
        </w:rPr>
      </w:pPr>
      <w:r>
        <w:rPr>
          <w:rStyle w:val="FootnoteReference"/>
        </w:rPr>
        <w:footnoteRef/>
      </w:r>
      <w:r w:rsidRPr="008B3228">
        <w:rPr>
          <w:lang w:val="fr-CA"/>
        </w:rPr>
        <w:t xml:space="preserve"> Conformément à la décision 89/6, les pays à faible volume de consommation peuvent inclure dans leurs plans de gestion de l’élimination des HCFC (PGEH) des activités supplémentaires visant à introduire des solutions de remplacement des HCFC présentant un potentiel de réchauffement de la planète faible ou nul et à maintenir l’efficacité énergétique dans le secteur de l’entretien des équipements de réfrigération.</w:t>
      </w:r>
    </w:p>
  </w:footnote>
  <w:footnote w:id="5">
    <w:p w14:paraId="0522CAE5" w14:textId="081D6710" w:rsidR="00563DA8" w:rsidRPr="008B3228" w:rsidRDefault="00563DA8" w:rsidP="00BE2DAA">
      <w:pPr>
        <w:pStyle w:val="FootnoteText"/>
        <w:rPr>
          <w:lang w:val="fr-CA"/>
        </w:rPr>
      </w:pPr>
      <w:r>
        <w:rPr>
          <w:rStyle w:val="FootnoteReference"/>
        </w:rPr>
        <w:footnoteRef/>
      </w:r>
      <w:r w:rsidRPr="008B3228">
        <w:rPr>
          <w:lang w:val="fr-CA"/>
        </w:rPr>
        <w:t xml:space="preserve"> Décision</w:t>
      </w:r>
      <w:r w:rsidR="00C71D4A" w:rsidRPr="008B3228">
        <w:rPr>
          <w:lang w:val="fr-CA"/>
        </w:rPr>
        <w:t xml:space="preserve"> 64/36</w:t>
      </w:r>
    </w:p>
  </w:footnote>
  <w:footnote w:id="6">
    <w:p w14:paraId="0B2E73FD" w14:textId="2421CDB7" w:rsidR="00155447" w:rsidRPr="008B3228" w:rsidRDefault="00155447">
      <w:pPr>
        <w:pStyle w:val="FootnoteText"/>
        <w:rPr>
          <w:lang w:val="fr-CA"/>
        </w:rPr>
      </w:pPr>
      <w:r>
        <w:rPr>
          <w:rStyle w:val="FootnoteReference"/>
        </w:rPr>
        <w:footnoteRef/>
      </w:r>
      <w:r w:rsidRPr="008B3228">
        <w:rPr>
          <w:lang w:val="fr-CA"/>
        </w:rPr>
        <w:t xml:space="preserve"> </w:t>
      </w:r>
      <w:r w:rsidR="0089366C" w:rsidRPr="008B3228">
        <w:rPr>
          <w:lang w:val="fr-CA"/>
        </w:rPr>
        <w:t xml:space="preserve">Conformément à l’annexe XIV </w:t>
      </w:r>
      <w:r w:rsidR="00960F67" w:rsidRPr="008B3228">
        <w:rPr>
          <w:lang w:val="fr-CA"/>
        </w:rPr>
        <w:t>du document UNEP/</w:t>
      </w:r>
      <w:proofErr w:type="spellStart"/>
      <w:r w:rsidR="00960F67" w:rsidRPr="008B3228">
        <w:rPr>
          <w:lang w:val="fr-CA"/>
        </w:rPr>
        <w:t>OzL.Pro</w:t>
      </w:r>
      <w:proofErr w:type="spellEnd"/>
      <w:r w:rsidR="00960F67" w:rsidRPr="008B3228">
        <w:rPr>
          <w:lang w:val="fr-CA"/>
        </w:rPr>
        <w:t>/</w:t>
      </w:r>
      <w:proofErr w:type="spellStart"/>
      <w:r w:rsidR="00960F67" w:rsidRPr="008B3228">
        <w:rPr>
          <w:lang w:val="fr-CA"/>
        </w:rPr>
        <w:t>ExCom</w:t>
      </w:r>
      <w:proofErr w:type="spellEnd"/>
      <w:r w:rsidR="00960F67" w:rsidRPr="008B3228">
        <w:rPr>
          <w:lang w:val="fr-CA"/>
        </w:rPr>
        <w:t>/93/105</w:t>
      </w:r>
    </w:p>
  </w:footnote>
  <w:footnote w:id="7">
    <w:p w14:paraId="7ECF415B" w14:textId="3D4F2869" w:rsidR="00F83214" w:rsidRPr="008B3228" w:rsidRDefault="00F83214" w:rsidP="00F30178">
      <w:pPr>
        <w:pStyle w:val="FootnoteText"/>
        <w:keepLines/>
        <w:widowControl w:val="0"/>
        <w:rPr>
          <w:lang w:val="fr-CA"/>
        </w:rPr>
      </w:pPr>
      <w:r w:rsidRPr="00F30178">
        <w:rPr>
          <w:rStyle w:val="FootnoteReference"/>
          <w:sz w:val="19"/>
          <w:szCs w:val="19"/>
        </w:rPr>
        <w:footnoteRef/>
      </w:r>
      <w:r w:rsidRPr="008B3228">
        <w:rPr>
          <w:sz w:val="19"/>
          <w:szCs w:val="19"/>
          <w:lang w:val="fr-CA"/>
        </w:rPr>
        <w:t xml:space="preserve"> </w:t>
      </w:r>
      <w:r w:rsidR="00422F2E" w:rsidRPr="008B3228">
        <w:rPr>
          <w:lang w:val="fr-CA"/>
        </w:rPr>
        <w:t xml:space="preserve">Y compris un kit de formation chacun pour la réfrigération, la réfrigération domestique, la réfrigération commerciale et la climatisation résidentielle ; deux kits chacun d’outils et d’équipements spécialisés sélectionnés, comprenant entre autres des balances électroniques pour réfrigérants, des vacuomètres numériques, des balances de chargement, des machines de récupération et des analyseurs de compresseurs ; six </w:t>
      </w:r>
      <w:r w:rsidR="00FF5C9A">
        <w:rPr>
          <w:lang w:val="fr-CA"/>
        </w:rPr>
        <w:t>cylindres</w:t>
      </w:r>
      <w:r w:rsidR="00422F2E" w:rsidRPr="008B3228">
        <w:rPr>
          <w:lang w:val="fr-CA"/>
        </w:rPr>
        <w:t xml:space="preserve"> de réfrigérant et des unités de vide/chargement ; et huit kits chacun d’outils d’entretien de base.</w:t>
      </w:r>
    </w:p>
  </w:footnote>
  <w:footnote w:id="8">
    <w:p w14:paraId="526C773A" w14:textId="77777777" w:rsidR="00D86EFC" w:rsidRPr="008B3228" w:rsidRDefault="00D86EFC" w:rsidP="00D86EFC">
      <w:pPr>
        <w:pStyle w:val="FootnoteText"/>
        <w:rPr>
          <w:lang w:val="fr-CA"/>
        </w:rPr>
      </w:pPr>
      <w:r>
        <w:rPr>
          <w:rStyle w:val="FootnoteReference"/>
        </w:rPr>
        <w:footnoteRef/>
      </w:r>
      <w:r w:rsidRPr="008B3228">
        <w:rPr>
          <w:lang w:val="fr-CA"/>
        </w:rPr>
        <w:t xml:space="preserve"> Décision 93/36</w:t>
      </w:r>
    </w:p>
  </w:footnote>
  <w:footnote w:id="9">
    <w:p w14:paraId="6E15DDFB" w14:textId="577C3915" w:rsidR="001214A1" w:rsidRPr="008B3228" w:rsidRDefault="001214A1">
      <w:pPr>
        <w:pStyle w:val="FootnoteText"/>
        <w:rPr>
          <w:lang w:val="fr-CA"/>
        </w:rPr>
      </w:pPr>
      <w:r>
        <w:rPr>
          <w:rStyle w:val="FootnoteReference"/>
        </w:rPr>
        <w:footnoteRef/>
      </w:r>
      <w:r w:rsidRPr="008B3228">
        <w:rPr>
          <w:lang w:val="fr-CA"/>
        </w:rPr>
        <w:t xml:space="preserve"> Le Système automatisé de données douanières (ASYCUDA) est un système informatisé conçu par la Conférence des Nations Unies sur le commerce et le développement pour gérer les douanes d'un pays.</w:t>
      </w:r>
    </w:p>
  </w:footnote>
  <w:footnote w:id="10">
    <w:p w14:paraId="15B800AD" w14:textId="4DDF5F71" w:rsidR="001214A1" w:rsidRPr="008B3228" w:rsidRDefault="001214A1">
      <w:pPr>
        <w:pStyle w:val="FootnoteText"/>
        <w:rPr>
          <w:lang w:val="fr-CA"/>
        </w:rPr>
      </w:pPr>
      <w:r>
        <w:rPr>
          <w:rStyle w:val="FootnoteReference"/>
        </w:rPr>
        <w:footnoteRef/>
      </w:r>
      <w:r w:rsidRPr="008B3228">
        <w:rPr>
          <w:lang w:val="fr-CA"/>
        </w:rPr>
        <w:t xml:space="preserve"> Le processus de planification stratégique met en jeu les principales parties prenantes, notamment des représentants du secteur de l’entretien des équipements de réfrigération et de climatisation et des principales institutions gouvernementales (</w:t>
      </w:r>
      <w:r w:rsidR="00AE022A" w:rsidRPr="008B3228">
        <w:rPr>
          <w:lang w:val="fr-CA"/>
        </w:rPr>
        <w:t xml:space="preserve">autorités </w:t>
      </w:r>
      <w:r w:rsidRPr="008B3228">
        <w:rPr>
          <w:lang w:val="fr-CA"/>
        </w:rPr>
        <w:t xml:space="preserve">douanières, Bureau des normes, </w:t>
      </w:r>
      <w:r w:rsidR="00C42D56" w:rsidRPr="008B3228">
        <w:rPr>
          <w:lang w:val="fr-CA"/>
        </w:rPr>
        <w:t xml:space="preserve">ministère de </w:t>
      </w:r>
      <w:r w:rsidRPr="008B3228">
        <w:rPr>
          <w:lang w:val="fr-CA"/>
        </w:rPr>
        <w:t xml:space="preserve">l’Industrie </w:t>
      </w:r>
      <w:r w:rsidR="00C42D56" w:rsidRPr="008B3228">
        <w:rPr>
          <w:lang w:val="fr-CA"/>
        </w:rPr>
        <w:t xml:space="preserve">et </w:t>
      </w:r>
      <w:r w:rsidRPr="008B3228">
        <w:rPr>
          <w:lang w:val="fr-CA"/>
        </w:rPr>
        <w:t>du Commerce, ministère du Commerce, ministère chargé des questions relatives aux femmes et ministère de l’Environnement).</w:t>
      </w:r>
    </w:p>
  </w:footnote>
  <w:footnote w:id="11">
    <w:p w14:paraId="429A67CF" w14:textId="253812C7" w:rsidR="001214A1" w:rsidRPr="008B3228" w:rsidRDefault="001214A1" w:rsidP="00AA7EDD">
      <w:pPr>
        <w:spacing w:after="100" w:afterAutospacing="1"/>
        <w:jc w:val="left"/>
        <w:rPr>
          <w:sz w:val="20"/>
          <w:szCs w:val="20"/>
          <w:lang w:val="fr-CA"/>
        </w:rPr>
      </w:pPr>
      <w:r w:rsidRPr="00D12F37">
        <w:rPr>
          <w:rStyle w:val="FootnoteReference"/>
          <w:sz w:val="20"/>
          <w:szCs w:val="20"/>
        </w:rPr>
        <w:footnoteRef/>
      </w:r>
      <w:r w:rsidRPr="008B3228">
        <w:rPr>
          <w:sz w:val="20"/>
          <w:szCs w:val="20"/>
          <w:lang w:val="fr-CA"/>
        </w:rPr>
        <w:t xml:space="preserve"> Tels qu'au moins huit machines de récupération pour les HCFC et les HFC et des balances de chargement numériques (six pour Saint-Kitts ; deux pour Nevis) ; 40 </w:t>
      </w:r>
      <w:r w:rsidR="00FF5C9A">
        <w:rPr>
          <w:sz w:val="20"/>
          <w:szCs w:val="20"/>
          <w:lang w:val="fr-CA"/>
        </w:rPr>
        <w:t>cylindres</w:t>
      </w:r>
      <w:r w:rsidRPr="008B3228">
        <w:rPr>
          <w:sz w:val="20"/>
          <w:szCs w:val="20"/>
          <w:lang w:val="fr-CA"/>
        </w:rPr>
        <w:t xml:space="preserve"> de récupération rechargeables (petites et grandes tailles) ; </w:t>
      </w:r>
      <w:r w:rsidR="000B6664" w:rsidRPr="008B3228">
        <w:rPr>
          <w:sz w:val="20"/>
          <w:szCs w:val="20"/>
          <w:lang w:val="fr-CA"/>
        </w:rPr>
        <w:t xml:space="preserve">trois </w:t>
      </w:r>
      <w:r w:rsidRPr="008B3228">
        <w:rPr>
          <w:sz w:val="20"/>
          <w:szCs w:val="20"/>
          <w:lang w:val="fr-CA"/>
        </w:rPr>
        <w:t xml:space="preserve">identifiants de réfrigérants et des rayonnages de stockage de </w:t>
      </w:r>
      <w:r w:rsidR="00FF5C9A">
        <w:rPr>
          <w:sz w:val="20"/>
          <w:szCs w:val="20"/>
          <w:lang w:val="fr-CA"/>
        </w:rPr>
        <w:t>cylindres</w:t>
      </w:r>
      <w:r w:rsidRPr="008B3228">
        <w:rPr>
          <w:sz w:val="20"/>
          <w:szCs w:val="20"/>
          <w:lang w:val="fr-CA"/>
        </w:rPr>
        <w:t xml:space="preserve"> ; du matériel d'étiquetage et d'enregistrement ; </w:t>
      </w:r>
      <w:r w:rsidR="00A806B8" w:rsidRPr="008B3228">
        <w:rPr>
          <w:sz w:val="20"/>
          <w:szCs w:val="20"/>
          <w:lang w:val="fr-CA"/>
        </w:rPr>
        <w:t xml:space="preserve">ainsi que </w:t>
      </w:r>
      <w:r w:rsidRPr="008B3228">
        <w:rPr>
          <w:sz w:val="20"/>
          <w:szCs w:val="20"/>
          <w:lang w:val="fr-CA"/>
        </w:rPr>
        <w:t>des tuyaux, des adaptateurs et des kits d'entretien de base indispensables.</w:t>
      </w:r>
    </w:p>
  </w:footnote>
  <w:footnote w:id="12">
    <w:p w14:paraId="60D89BBA" w14:textId="77777777" w:rsidR="00563DA8" w:rsidRPr="008B3228" w:rsidRDefault="00563DA8" w:rsidP="00BE2DAA">
      <w:pPr>
        <w:pStyle w:val="FootnoteText"/>
        <w:rPr>
          <w:lang w:val="fr-CA"/>
        </w:rPr>
      </w:pPr>
      <w:r>
        <w:rPr>
          <w:rStyle w:val="FootnoteReference"/>
        </w:rPr>
        <w:footnoteRef/>
      </w:r>
      <w:r w:rsidRPr="008B3228">
        <w:rPr>
          <w:lang w:val="fr-CA"/>
        </w:rPr>
        <w:t xml:space="preserve"> La consommation de HCFC peut être supérieure à zéro au cours d’une année donnée, pour autant que la somme de ses niveaux calculés de consommation sur la période de dix ans allant du 1</w:t>
      </w:r>
      <w:r w:rsidRPr="009C06B4">
        <w:rPr>
          <w:vertAlign w:val="superscript"/>
          <w:lang w:val="fr-CA"/>
        </w:rPr>
        <w:t>er</w:t>
      </w:r>
      <w:r w:rsidRPr="008B3228">
        <w:rPr>
          <w:lang w:val="fr-CA"/>
        </w:rPr>
        <w:t xml:space="preserve"> janvier 2030 au 1</w:t>
      </w:r>
      <w:r w:rsidRPr="009C06B4">
        <w:rPr>
          <w:vertAlign w:val="superscript"/>
          <w:lang w:val="fr-CA"/>
        </w:rPr>
        <w:t>er</w:t>
      </w:r>
      <w:r w:rsidRPr="008B3228">
        <w:rPr>
          <w:lang w:val="fr-CA"/>
        </w:rPr>
        <w:t xml:space="preserve"> janvier 2040, divisée par 10, ne dépasse pas 2,5 % du niveau de référence des HCFC.</w:t>
      </w:r>
    </w:p>
  </w:footnote>
  <w:footnote w:id="13">
    <w:p w14:paraId="0B94428D" w14:textId="77777777" w:rsidR="00854D45" w:rsidRPr="008B3228" w:rsidRDefault="00854D45" w:rsidP="00854D45">
      <w:pPr>
        <w:pStyle w:val="FootnoteText"/>
        <w:rPr>
          <w:lang w:val="fr-CA"/>
        </w:rPr>
      </w:pPr>
      <w:r>
        <w:rPr>
          <w:rStyle w:val="FootnoteReference"/>
        </w:rPr>
        <w:footnoteRef/>
      </w:r>
      <w:r w:rsidRPr="008B3228">
        <w:rPr>
          <w:lang w:val="fr-CA"/>
        </w:rPr>
        <w:t xml:space="preserve"> Décision 96/23</w:t>
      </w:r>
    </w:p>
  </w:footnote>
  <w:footnote w:id="14">
    <w:p w14:paraId="2C1612D0" w14:textId="3751146C" w:rsidR="006A30FD" w:rsidRPr="008B3228" w:rsidRDefault="006A30FD" w:rsidP="006A30FD">
      <w:pPr>
        <w:pStyle w:val="FootnoteText"/>
        <w:rPr>
          <w:lang w:val="fr-CA"/>
        </w:rPr>
      </w:pPr>
      <w:r>
        <w:rPr>
          <w:rStyle w:val="FootnoteReference"/>
        </w:rPr>
        <w:footnoteRef/>
      </w:r>
      <w:r w:rsidRPr="008B3228">
        <w:rPr>
          <w:lang w:val="fr-CA"/>
        </w:rPr>
        <w:t xml:space="preserve"> Le Système douanier automatisé (ASYCUDA) est un système informatisé conçu par la Conférence des Nations Unies sur le commerce et le développement pour gérer les douanes d’un pays</w:t>
      </w:r>
      <w:r w:rsidR="009201E3" w:rsidRPr="008B3228">
        <w:rPr>
          <w:lang w:val="fr-CA"/>
        </w:rPr>
        <w:t>, qui est utilisé à Saint-Kitts-et-Nevis</w:t>
      </w:r>
      <w:r w:rsidRPr="008B3228">
        <w:rPr>
          <w:lang w:val="fr-CA"/>
        </w:rPr>
        <w:t>.</w:t>
      </w:r>
    </w:p>
  </w:footnote>
  <w:footnote w:id="15">
    <w:p w14:paraId="65DC92B2" w14:textId="77777777" w:rsidR="006A30FD" w:rsidRPr="008B3228" w:rsidRDefault="006A30FD" w:rsidP="006A30FD">
      <w:pPr>
        <w:pStyle w:val="FootnoteText"/>
        <w:rPr>
          <w:lang w:val="fr-CA"/>
        </w:rPr>
      </w:pPr>
      <w:r>
        <w:rPr>
          <w:rStyle w:val="FootnoteReference"/>
        </w:rPr>
        <w:footnoteRef/>
      </w:r>
      <w:r w:rsidRPr="008B3228">
        <w:rPr>
          <w:lang w:val="fr-CA"/>
        </w:rPr>
        <w:t xml:space="preserve"> Le processus de planification stratégique met en jeu les principales parties prenantes, notamment des représentants du secteur de l’entretien des équipements de réfrigération et de climatisation et des principales institutions du Gouvernement (autorités douanières, Bureau des normes, ministère de l’Industrie et du Commerce, ministère du Commerce, ministère chargé des questions relatives aux femmes et ministère de l’Environnement).</w:t>
      </w:r>
    </w:p>
  </w:footnote>
  <w:footnote w:id="16">
    <w:p w14:paraId="59F4AE66" w14:textId="1629EE36" w:rsidR="006A30FD" w:rsidRPr="008B3228" w:rsidRDefault="006A30FD" w:rsidP="004D287F">
      <w:pPr>
        <w:pStyle w:val="font-claude-response-body"/>
        <w:spacing w:before="0" w:beforeAutospacing="0" w:after="0" w:afterAutospacing="0"/>
        <w:jc w:val="both"/>
        <w:rPr>
          <w:strike/>
          <w:sz w:val="20"/>
          <w:szCs w:val="20"/>
          <w:lang w:val="fr-CA"/>
        </w:rPr>
      </w:pPr>
      <w:r w:rsidRPr="00D12F37">
        <w:rPr>
          <w:rStyle w:val="FootnoteReference"/>
          <w:sz w:val="20"/>
          <w:szCs w:val="20"/>
        </w:rPr>
        <w:footnoteRef/>
      </w:r>
      <w:r w:rsidRPr="008B3228">
        <w:rPr>
          <w:sz w:val="20"/>
          <w:szCs w:val="20"/>
          <w:lang w:val="fr-CA"/>
        </w:rPr>
        <w:t xml:space="preserve"> Tels que des machines de récupération pour les HCFC et les HFC et des balances de chargement numériques (</w:t>
      </w:r>
      <w:r w:rsidR="003750D1" w:rsidRPr="008B3228">
        <w:rPr>
          <w:sz w:val="20"/>
          <w:szCs w:val="20"/>
          <w:lang w:val="fr-CA"/>
        </w:rPr>
        <w:t xml:space="preserve">3 </w:t>
      </w:r>
      <w:r w:rsidRPr="008B3228">
        <w:rPr>
          <w:sz w:val="20"/>
          <w:szCs w:val="20"/>
          <w:lang w:val="fr-CA"/>
        </w:rPr>
        <w:t>pour Saint-Kitts ;</w:t>
      </w:r>
      <w:r w:rsidR="003750D1" w:rsidRPr="008B3228">
        <w:rPr>
          <w:sz w:val="20"/>
          <w:szCs w:val="20"/>
          <w:lang w:val="fr-CA"/>
        </w:rPr>
        <w:t xml:space="preserve"> 1 </w:t>
      </w:r>
      <w:r w:rsidRPr="008B3228">
        <w:rPr>
          <w:sz w:val="20"/>
          <w:szCs w:val="20"/>
          <w:lang w:val="fr-CA"/>
        </w:rPr>
        <w:t>pour Nevis) ;</w:t>
      </w:r>
      <w:r w:rsidR="00D75576" w:rsidRPr="008B3228">
        <w:rPr>
          <w:sz w:val="20"/>
          <w:szCs w:val="20"/>
          <w:lang w:val="fr-CA"/>
        </w:rPr>
        <w:t xml:space="preserve"> 20 </w:t>
      </w:r>
      <w:r w:rsidR="00FF5C9A">
        <w:rPr>
          <w:sz w:val="20"/>
          <w:szCs w:val="20"/>
          <w:lang w:val="fr-CA"/>
        </w:rPr>
        <w:t>cylindres</w:t>
      </w:r>
      <w:r w:rsidRPr="008B3228">
        <w:rPr>
          <w:sz w:val="20"/>
          <w:szCs w:val="20"/>
          <w:lang w:val="fr-CA"/>
        </w:rPr>
        <w:t xml:space="preserve"> de récupération rechargeables (petites et grandes tailles) ; des identifiants de réfrigérants et des rayonnages de stockage pour </w:t>
      </w:r>
      <w:r w:rsidR="00FF5C9A">
        <w:rPr>
          <w:sz w:val="20"/>
          <w:szCs w:val="20"/>
          <w:lang w:val="fr-CA"/>
        </w:rPr>
        <w:t>cylindres</w:t>
      </w:r>
      <w:r w:rsidRPr="008B3228">
        <w:rPr>
          <w:sz w:val="20"/>
          <w:szCs w:val="20"/>
          <w:lang w:val="fr-CA"/>
        </w:rPr>
        <w:t xml:space="preserve"> (un par île) ; du matériel d'étiquetage et d'enregistrement ; ainsi que des tuyaux, des adaptateurs et des lots d'entretien de base indispensables.</w:t>
      </w:r>
    </w:p>
  </w:footnote>
  <w:footnote w:id="17">
    <w:p w14:paraId="08593512" w14:textId="59C882B2" w:rsidR="00EB0D32" w:rsidRPr="008B3228" w:rsidRDefault="00EB0D32" w:rsidP="00A3259E">
      <w:pPr>
        <w:pStyle w:val="font-claude-response-body"/>
        <w:jc w:val="both"/>
        <w:rPr>
          <w:sz w:val="20"/>
          <w:szCs w:val="20"/>
          <w:lang w:val="fr-CA"/>
        </w:rPr>
      </w:pPr>
      <w:r>
        <w:rPr>
          <w:rStyle w:val="FootnoteReference"/>
        </w:rPr>
        <w:footnoteRef/>
      </w:r>
      <w:r w:rsidRPr="008B3228">
        <w:rPr>
          <w:lang w:val="fr-CA"/>
        </w:rPr>
        <w:t xml:space="preserve"> </w:t>
      </w:r>
      <w:r w:rsidRPr="008B3228">
        <w:rPr>
          <w:sz w:val="20"/>
          <w:szCs w:val="20"/>
          <w:lang w:val="fr-CA"/>
        </w:rPr>
        <w:t>La mise en œuvre de ces activités s'inscrit dans le cadre de la « Feuille de route régionale pour accroître la participation des jeunes dans le secteur de l'entretien des équipements de réfrigération et de climatisation » du PAC du PNUE, adoptée en juin 2025, qui cible spécifiquement les jeunes et les techniciennes.</w:t>
      </w:r>
    </w:p>
    <w:p w14:paraId="4EEF854A" w14:textId="6155999A" w:rsidR="00EB0D32" w:rsidRPr="008B3228" w:rsidRDefault="00EB0D32">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0234" w14:textId="348E5B80" w:rsidR="00563DA8" w:rsidRPr="009B0D30" w:rsidRDefault="006A7CDA" w:rsidP="00BE2DAA">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35104C73" w14:textId="77777777" w:rsidR="00563DA8" w:rsidRPr="0033525D" w:rsidRDefault="00563DA8"/>
  <w:p w14:paraId="4D519D29"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BC7" w14:textId="70DBDC3E" w:rsidR="00563DA8" w:rsidRPr="009B0D30" w:rsidRDefault="00981325"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74619C54" w14:textId="77777777" w:rsidR="00563DA8" w:rsidRPr="0033525D" w:rsidRDefault="00563DA8" w:rsidP="00630F36">
    <w:pPr>
      <w:jc w:val="right"/>
    </w:pPr>
  </w:p>
  <w:p w14:paraId="5FB736F4"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6A4B" w14:textId="0199143A" w:rsidR="00DC6A10" w:rsidRPr="0033525D" w:rsidRDefault="00981325">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0CA6AB72" w14:textId="77777777" w:rsidR="00DC6A10" w:rsidRPr="0033525D" w:rsidRDefault="00563DA8">
    <w:r>
      <w:t>Annexe I</w:t>
    </w:r>
  </w:p>
  <w:p w14:paraId="710BF2F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2ADC" w14:textId="55CB2DB4" w:rsidR="00DC6A10" w:rsidRPr="0033525D" w:rsidRDefault="00981325" w:rsidP="00563DA8">
    <w:pPr>
      <w:jc w:val="right"/>
    </w:pPr>
    <w:r>
      <w:fldChar w:fldCharType="begin"/>
    </w:r>
    <w:r>
      <w:instrText xml:space="preserve"> DOCPROPERTY "Document number"  \* MERGEFORMAT </w:instrText>
    </w:r>
    <w:r>
      <w:fldChar w:fldCharType="separate"/>
    </w:r>
    <w:r>
      <w:t>UNEP/</w:t>
    </w:r>
    <w:proofErr w:type="spellStart"/>
    <w:r>
      <w:t>OzL.Pro</w:t>
    </w:r>
    <w:proofErr w:type="spellEnd"/>
    <w:r>
      <w:t>/ExCom/98/46</w:t>
    </w:r>
    <w:r>
      <w:fldChar w:fldCharType="end"/>
    </w:r>
  </w:p>
  <w:p w14:paraId="11A300E2" w14:textId="77777777" w:rsidR="00DC6A10" w:rsidRPr="0033525D" w:rsidRDefault="00563DA8" w:rsidP="00563DA8">
    <w:pPr>
      <w:jc w:val="right"/>
    </w:pPr>
    <w:r>
      <w:t>Annexe I</w:t>
    </w:r>
  </w:p>
  <w:p w14:paraId="3565921A"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C0C7"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898154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i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D3C03"/>
    <w:multiLevelType w:val="multilevel"/>
    <w:tmpl w:val="FF24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893F59"/>
    <w:multiLevelType w:val="hybridMultilevel"/>
    <w:tmpl w:val="CF2A23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CE0E3F"/>
    <w:multiLevelType w:val="multilevel"/>
    <w:tmpl w:val="55FA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B1847"/>
    <w:multiLevelType w:val="hybridMultilevel"/>
    <w:tmpl w:val="03C019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C55E56"/>
    <w:multiLevelType w:val="multilevel"/>
    <w:tmpl w:val="2B1648DA"/>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B02280"/>
    <w:multiLevelType w:val="hybridMultilevel"/>
    <w:tmpl w:val="62F6CBBA"/>
    <w:lvl w:ilvl="0" w:tplc="10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380B4E91"/>
    <w:multiLevelType w:val="multilevel"/>
    <w:tmpl w:val="26EC99B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96054E3"/>
    <w:multiLevelType w:val="hybridMultilevel"/>
    <w:tmpl w:val="B15CB9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605AC"/>
    <w:multiLevelType w:val="multilevel"/>
    <w:tmpl w:val="A6A6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B21661"/>
    <w:multiLevelType w:val="hybridMultilevel"/>
    <w:tmpl w:val="89503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E856D74"/>
    <w:multiLevelType w:val="multilevel"/>
    <w:tmpl w:val="86E4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D4054B"/>
    <w:multiLevelType w:val="hybridMultilevel"/>
    <w:tmpl w:val="464AD9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950B77"/>
    <w:multiLevelType w:val="hybridMultilevel"/>
    <w:tmpl w:val="252693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6FE77DA"/>
    <w:multiLevelType w:val="hybridMultilevel"/>
    <w:tmpl w:val="58AC4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3A4DA2"/>
    <w:multiLevelType w:val="hybridMultilevel"/>
    <w:tmpl w:val="F4D651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A30471"/>
    <w:multiLevelType w:val="hybridMultilevel"/>
    <w:tmpl w:val="92400546"/>
    <w:lvl w:ilvl="0" w:tplc="0809000F">
      <w:start w:val="1"/>
      <w:numFmt w:val="decimal"/>
      <w:lvlText w:val="%1."/>
      <w:lvlJc w:val="left"/>
      <w:pPr>
        <w:ind w:left="360" w:hanging="360"/>
      </w:pPr>
      <w:rPr>
        <w:rFonts w:hint="default"/>
      </w:rPr>
    </w:lvl>
    <w:lvl w:ilvl="1" w:tplc="C4127F10">
      <w:start w:val="1"/>
      <w:numFmt w:val="decimal"/>
      <w:lvlText w:val="%2."/>
      <w:lvlJc w:val="left"/>
      <w:pPr>
        <w:ind w:left="1080" w:hanging="360"/>
      </w:pPr>
      <w:rPr>
        <w:rFonts w:ascii="Times New Roman" w:eastAsiaTheme="minorHAnsi" w:hAnsi="Times New Roman" w:cs="Times New Roman"/>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C4D6726"/>
    <w:multiLevelType w:val="multilevel"/>
    <w:tmpl w:val="F21C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4"/>
  </w:num>
  <w:num w:numId="18" w16cid:durableId="559828470">
    <w:abstractNumId w:val="26"/>
  </w:num>
  <w:num w:numId="19" w16cid:durableId="1488010068">
    <w:abstractNumId w:val="34"/>
  </w:num>
  <w:num w:numId="20" w16cid:durableId="444007775">
    <w:abstractNumId w:val="18"/>
  </w:num>
  <w:num w:numId="21" w16cid:durableId="2081637436">
    <w:abstractNumId w:val="28"/>
  </w:num>
  <w:num w:numId="22" w16cid:durableId="1708261730">
    <w:abstractNumId w:val="22"/>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3"/>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44162217">
    <w:abstractNumId w:val="10"/>
  </w:num>
  <w:num w:numId="43" w16cid:durableId="2012248256">
    <w:abstractNumId w:val="10"/>
  </w:num>
  <w:num w:numId="44" w16cid:durableId="246621520">
    <w:abstractNumId w:val="10"/>
  </w:num>
  <w:num w:numId="45" w16cid:durableId="767509102">
    <w:abstractNumId w:val="10"/>
  </w:num>
  <w:num w:numId="46" w16cid:durableId="676734516">
    <w:abstractNumId w:val="10"/>
  </w:num>
  <w:num w:numId="47" w16cid:durableId="283124736">
    <w:abstractNumId w:val="10"/>
  </w:num>
  <w:num w:numId="48" w16cid:durableId="416102292">
    <w:abstractNumId w:val="10"/>
  </w:num>
  <w:num w:numId="49" w16cid:durableId="1459952958">
    <w:abstractNumId w:val="10"/>
  </w:num>
  <w:num w:numId="50" w16cid:durableId="1309896210">
    <w:abstractNumId w:val="10"/>
  </w:num>
  <w:num w:numId="51" w16cid:durableId="1663241010">
    <w:abstractNumId w:val="10"/>
  </w:num>
  <w:num w:numId="52" w16cid:durableId="638606613">
    <w:abstractNumId w:val="10"/>
  </w:num>
  <w:num w:numId="53" w16cid:durableId="234508652">
    <w:abstractNumId w:val="10"/>
  </w:num>
  <w:num w:numId="54" w16cid:durableId="866062229">
    <w:abstractNumId w:val="30"/>
  </w:num>
  <w:num w:numId="55" w16cid:durableId="1633093260">
    <w:abstractNumId w:val="10"/>
  </w:num>
  <w:num w:numId="56" w16cid:durableId="51511558">
    <w:abstractNumId w:val="10"/>
  </w:num>
  <w:num w:numId="57" w16cid:durableId="730156286">
    <w:abstractNumId w:val="10"/>
  </w:num>
  <w:num w:numId="58" w16cid:durableId="414741927">
    <w:abstractNumId w:val="10"/>
  </w:num>
  <w:num w:numId="59" w16cid:durableId="1152600813">
    <w:abstractNumId w:val="27"/>
  </w:num>
  <w:num w:numId="60" w16cid:durableId="373046290">
    <w:abstractNumId w:val="10"/>
  </w:num>
  <w:num w:numId="61" w16cid:durableId="460536695">
    <w:abstractNumId w:val="10"/>
  </w:num>
  <w:num w:numId="62" w16cid:durableId="254676995">
    <w:abstractNumId w:val="10"/>
  </w:num>
  <w:num w:numId="63" w16cid:durableId="1705213423">
    <w:abstractNumId w:val="10"/>
  </w:num>
  <w:num w:numId="64" w16cid:durableId="864055144">
    <w:abstractNumId w:val="15"/>
  </w:num>
  <w:num w:numId="65" w16cid:durableId="1509834260">
    <w:abstractNumId w:val="25"/>
  </w:num>
  <w:num w:numId="66" w16cid:durableId="740180458">
    <w:abstractNumId w:val="11"/>
  </w:num>
  <w:num w:numId="67" w16cid:durableId="850487416">
    <w:abstractNumId w:val="23"/>
  </w:num>
  <w:num w:numId="68" w16cid:durableId="133425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7671825">
    <w:abstractNumId w:val="10"/>
    <w:lvlOverride w:ilvl="0">
      <w:startOverride w:val="1"/>
    </w:lvlOverride>
    <w:lvlOverride w:ilvl="1">
      <w:startOverride w:val="1"/>
    </w:lvlOverride>
    <w:lvlOverride w:ilvl="2">
      <w:startOverride w:val="1"/>
    </w:lvlOverride>
    <w:lvlOverride w:ilvl="3">
      <w:startOverride w:val="3"/>
    </w:lvlOverride>
  </w:num>
  <w:num w:numId="70" w16cid:durableId="892693952">
    <w:abstractNumId w:val="21"/>
  </w:num>
  <w:num w:numId="71" w16cid:durableId="983239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15173201">
    <w:abstractNumId w:val="14"/>
  </w:num>
  <w:num w:numId="73" w16cid:durableId="856312513">
    <w:abstractNumId w:val="32"/>
  </w:num>
  <w:num w:numId="74" w16cid:durableId="12357065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167777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02448907">
    <w:abstractNumId w:val="31"/>
  </w:num>
  <w:num w:numId="77" w16cid:durableId="1453136690">
    <w:abstractNumId w:val="12"/>
  </w:num>
  <w:num w:numId="78" w16cid:durableId="1915431813">
    <w:abstractNumId w:val="10"/>
  </w:num>
  <w:num w:numId="79" w16cid:durableId="473565093">
    <w:abstractNumId w:val="10"/>
  </w:num>
  <w:num w:numId="80" w16cid:durableId="1462654610">
    <w:abstractNumId w:val="10"/>
  </w:num>
  <w:num w:numId="81" w16cid:durableId="1040085255">
    <w:abstractNumId w:val="10"/>
  </w:num>
  <w:num w:numId="82" w16cid:durableId="1216161647">
    <w:abstractNumId w:val="10"/>
  </w:num>
  <w:num w:numId="83" w16cid:durableId="178471697">
    <w:abstractNumId w:val="10"/>
  </w:num>
  <w:num w:numId="84" w16cid:durableId="602766408">
    <w:abstractNumId w:val="10"/>
  </w:num>
  <w:num w:numId="85" w16cid:durableId="1558395426">
    <w:abstractNumId w:val="10"/>
  </w:num>
  <w:num w:numId="86" w16cid:durableId="1838307812">
    <w:abstractNumId w:val="10"/>
  </w:num>
  <w:num w:numId="87" w16cid:durableId="1226142594">
    <w:abstractNumId w:val="10"/>
  </w:num>
  <w:num w:numId="88" w16cid:durableId="455685631">
    <w:abstractNumId w:val="10"/>
  </w:num>
  <w:num w:numId="89" w16cid:durableId="1946693346">
    <w:abstractNumId w:val="10"/>
  </w:num>
  <w:num w:numId="90" w16cid:durableId="1391271741">
    <w:abstractNumId w:val="10"/>
  </w:num>
  <w:num w:numId="91" w16cid:durableId="1002658257">
    <w:abstractNumId w:val="10"/>
  </w:num>
  <w:num w:numId="92" w16cid:durableId="310408928">
    <w:abstractNumId w:val="10"/>
  </w:num>
  <w:num w:numId="93" w16cid:durableId="2015498546">
    <w:abstractNumId w:val="10"/>
  </w:num>
  <w:num w:numId="94" w16cid:durableId="608313715">
    <w:abstractNumId w:val="10"/>
  </w:num>
  <w:num w:numId="95" w16cid:durableId="603617620">
    <w:abstractNumId w:val="10"/>
  </w:num>
  <w:num w:numId="96" w16cid:durableId="2085830995">
    <w:abstractNumId w:val="20"/>
  </w:num>
  <w:num w:numId="97" w16cid:durableId="385107536">
    <w:abstractNumId w:val="16"/>
  </w:num>
  <w:num w:numId="98" w16cid:durableId="1379743269">
    <w:abstractNumId w:val="33"/>
  </w:num>
  <w:num w:numId="99" w16cid:durableId="2115976505">
    <w:abstractNumId w:val="10"/>
  </w:num>
  <w:num w:numId="100" w16cid:durableId="2065062538">
    <w:abstractNumId w:val="10"/>
  </w:num>
  <w:num w:numId="101" w16cid:durableId="1469401211">
    <w:abstractNumId w:val="1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E17DB"/>
    <w:rsid w:val="0000025F"/>
    <w:rsid w:val="000003C1"/>
    <w:rsid w:val="00000FED"/>
    <w:rsid w:val="00002259"/>
    <w:rsid w:val="000023CF"/>
    <w:rsid w:val="00003129"/>
    <w:rsid w:val="000033EA"/>
    <w:rsid w:val="000038F6"/>
    <w:rsid w:val="0000391A"/>
    <w:rsid w:val="00003926"/>
    <w:rsid w:val="00003C43"/>
    <w:rsid w:val="0000434E"/>
    <w:rsid w:val="00004627"/>
    <w:rsid w:val="00012670"/>
    <w:rsid w:val="00012A3D"/>
    <w:rsid w:val="00015737"/>
    <w:rsid w:val="000172E9"/>
    <w:rsid w:val="0001790E"/>
    <w:rsid w:val="00017F67"/>
    <w:rsid w:val="000211A9"/>
    <w:rsid w:val="00021238"/>
    <w:rsid w:val="00022071"/>
    <w:rsid w:val="00022A14"/>
    <w:rsid w:val="00022B68"/>
    <w:rsid w:val="00022F94"/>
    <w:rsid w:val="00023100"/>
    <w:rsid w:val="000253B7"/>
    <w:rsid w:val="00025CB6"/>
    <w:rsid w:val="000275B3"/>
    <w:rsid w:val="00027AAC"/>
    <w:rsid w:val="00031260"/>
    <w:rsid w:val="000319BF"/>
    <w:rsid w:val="00034F18"/>
    <w:rsid w:val="000351D8"/>
    <w:rsid w:val="00035533"/>
    <w:rsid w:val="000355EC"/>
    <w:rsid w:val="00035759"/>
    <w:rsid w:val="0003681A"/>
    <w:rsid w:val="00036C9A"/>
    <w:rsid w:val="000372B7"/>
    <w:rsid w:val="00040058"/>
    <w:rsid w:val="00041F11"/>
    <w:rsid w:val="00042CB8"/>
    <w:rsid w:val="00043897"/>
    <w:rsid w:val="00046239"/>
    <w:rsid w:val="00046C62"/>
    <w:rsid w:val="00047BFE"/>
    <w:rsid w:val="0005048D"/>
    <w:rsid w:val="00050F6E"/>
    <w:rsid w:val="000519A7"/>
    <w:rsid w:val="00051CA0"/>
    <w:rsid w:val="0005318D"/>
    <w:rsid w:val="00055347"/>
    <w:rsid w:val="000561A0"/>
    <w:rsid w:val="00056E1A"/>
    <w:rsid w:val="00056F74"/>
    <w:rsid w:val="00057067"/>
    <w:rsid w:val="000574EF"/>
    <w:rsid w:val="00057543"/>
    <w:rsid w:val="000611D2"/>
    <w:rsid w:val="00061DDB"/>
    <w:rsid w:val="00061EC2"/>
    <w:rsid w:val="0006256D"/>
    <w:rsid w:val="00062FEB"/>
    <w:rsid w:val="000630D5"/>
    <w:rsid w:val="000633D6"/>
    <w:rsid w:val="000647A1"/>
    <w:rsid w:val="00064B69"/>
    <w:rsid w:val="000651FA"/>
    <w:rsid w:val="0006616F"/>
    <w:rsid w:val="00066CE8"/>
    <w:rsid w:val="000705B2"/>
    <w:rsid w:val="00071A22"/>
    <w:rsid w:val="0007201A"/>
    <w:rsid w:val="000731F8"/>
    <w:rsid w:val="00075B40"/>
    <w:rsid w:val="00075C9A"/>
    <w:rsid w:val="00080ED0"/>
    <w:rsid w:val="00081C87"/>
    <w:rsid w:val="0008451D"/>
    <w:rsid w:val="0008467F"/>
    <w:rsid w:val="00085411"/>
    <w:rsid w:val="00085B8F"/>
    <w:rsid w:val="00090481"/>
    <w:rsid w:val="000947BC"/>
    <w:rsid w:val="00094BD1"/>
    <w:rsid w:val="00094DDE"/>
    <w:rsid w:val="00096447"/>
    <w:rsid w:val="00096B10"/>
    <w:rsid w:val="0009794E"/>
    <w:rsid w:val="00097D0E"/>
    <w:rsid w:val="000A0552"/>
    <w:rsid w:val="000A066C"/>
    <w:rsid w:val="000A254B"/>
    <w:rsid w:val="000A3826"/>
    <w:rsid w:val="000A4AA0"/>
    <w:rsid w:val="000A4E6B"/>
    <w:rsid w:val="000A6C26"/>
    <w:rsid w:val="000A7043"/>
    <w:rsid w:val="000B10DA"/>
    <w:rsid w:val="000B1457"/>
    <w:rsid w:val="000B266C"/>
    <w:rsid w:val="000B36C8"/>
    <w:rsid w:val="000B3DFF"/>
    <w:rsid w:val="000B4280"/>
    <w:rsid w:val="000B5532"/>
    <w:rsid w:val="000B5C50"/>
    <w:rsid w:val="000B6189"/>
    <w:rsid w:val="000B6664"/>
    <w:rsid w:val="000B7B25"/>
    <w:rsid w:val="000B7CBF"/>
    <w:rsid w:val="000C2E8E"/>
    <w:rsid w:val="000C45A2"/>
    <w:rsid w:val="000C4D07"/>
    <w:rsid w:val="000C4E63"/>
    <w:rsid w:val="000C547B"/>
    <w:rsid w:val="000C54F0"/>
    <w:rsid w:val="000C6E2A"/>
    <w:rsid w:val="000C7B59"/>
    <w:rsid w:val="000D0968"/>
    <w:rsid w:val="000D0AF8"/>
    <w:rsid w:val="000D2501"/>
    <w:rsid w:val="000D2902"/>
    <w:rsid w:val="000D330B"/>
    <w:rsid w:val="000D35AD"/>
    <w:rsid w:val="000D4B5C"/>
    <w:rsid w:val="000D4D72"/>
    <w:rsid w:val="000D4FC9"/>
    <w:rsid w:val="000D52A4"/>
    <w:rsid w:val="000D586F"/>
    <w:rsid w:val="000D5E93"/>
    <w:rsid w:val="000D70AC"/>
    <w:rsid w:val="000E07BC"/>
    <w:rsid w:val="000E2E21"/>
    <w:rsid w:val="000E41DE"/>
    <w:rsid w:val="000E5238"/>
    <w:rsid w:val="000F1CD4"/>
    <w:rsid w:val="000F2FF8"/>
    <w:rsid w:val="000F367F"/>
    <w:rsid w:val="000F3C51"/>
    <w:rsid w:val="000F4103"/>
    <w:rsid w:val="000F41CD"/>
    <w:rsid w:val="000F65BE"/>
    <w:rsid w:val="000F70A7"/>
    <w:rsid w:val="000F7764"/>
    <w:rsid w:val="00101613"/>
    <w:rsid w:val="00101F29"/>
    <w:rsid w:val="00102EBD"/>
    <w:rsid w:val="00103C3D"/>
    <w:rsid w:val="001040FE"/>
    <w:rsid w:val="00104D57"/>
    <w:rsid w:val="00107739"/>
    <w:rsid w:val="0011004C"/>
    <w:rsid w:val="001105B0"/>
    <w:rsid w:val="0011168B"/>
    <w:rsid w:val="001118FB"/>
    <w:rsid w:val="00112C90"/>
    <w:rsid w:val="0011335E"/>
    <w:rsid w:val="00113911"/>
    <w:rsid w:val="00113CCA"/>
    <w:rsid w:val="001147B4"/>
    <w:rsid w:val="00115D26"/>
    <w:rsid w:val="001161CD"/>
    <w:rsid w:val="0011648A"/>
    <w:rsid w:val="001164D9"/>
    <w:rsid w:val="00116A81"/>
    <w:rsid w:val="001214A1"/>
    <w:rsid w:val="00122F25"/>
    <w:rsid w:val="00123E9C"/>
    <w:rsid w:val="00124499"/>
    <w:rsid w:val="001260FE"/>
    <w:rsid w:val="001263DC"/>
    <w:rsid w:val="00126D25"/>
    <w:rsid w:val="00127C86"/>
    <w:rsid w:val="00130D12"/>
    <w:rsid w:val="001324D5"/>
    <w:rsid w:val="001332B0"/>
    <w:rsid w:val="00133C48"/>
    <w:rsid w:val="00134274"/>
    <w:rsid w:val="00134759"/>
    <w:rsid w:val="00134CD8"/>
    <w:rsid w:val="00135102"/>
    <w:rsid w:val="00135980"/>
    <w:rsid w:val="0013786F"/>
    <w:rsid w:val="00140007"/>
    <w:rsid w:val="00146825"/>
    <w:rsid w:val="00147DC9"/>
    <w:rsid w:val="00151533"/>
    <w:rsid w:val="0015444A"/>
    <w:rsid w:val="001549CA"/>
    <w:rsid w:val="00154B57"/>
    <w:rsid w:val="00155447"/>
    <w:rsid w:val="00155608"/>
    <w:rsid w:val="00160768"/>
    <w:rsid w:val="0016093B"/>
    <w:rsid w:val="0016152A"/>
    <w:rsid w:val="001624E1"/>
    <w:rsid w:val="00162E9F"/>
    <w:rsid w:val="00164719"/>
    <w:rsid w:val="00165F55"/>
    <w:rsid w:val="00166085"/>
    <w:rsid w:val="00166FC4"/>
    <w:rsid w:val="001677AC"/>
    <w:rsid w:val="00167FCE"/>
    <w:rsid w:val="0017066C"/>
    <w:rsid w:val="00170C58"/>
    <w:rsid w:val="00171925"/>
    <w:rsid w:val="00171BF6"/>
    <w:rsid w:val="00173261"/>
    <w:rsid w:val="001762AB"/>
    <w:rsid w:val="00176656"/>
    <w:rsid w:val="00176B46"/>
    <w:rsid w:val="001776D3"/>
    <w:rsid w:val="001804EA"/>
    <w:rsid w:val="00180E25"/>
    <w:rsid w:val="0018252E"/>
    <w:rsid w:val="001830D2"/>
    <w:rsid w:val="001858DB"/>
    <w:rsid w:val="00186682"/>
    <w:rsid w:val="001874AC"/>
    <w:rsid w:val="00190A61"/>
    <w:rsid w:val="00191B35"/>
    <w:rsid w:val="0019219B"/>
    <w:rsid w:val="0019374D"/>
    <w:rsid w:val="001943AB"/>
    <w:rsid w:val="00195D6F"/>
    <w:rsid w:val="00196904"/>
    <w:rsid w:val="00197179"/>
    <w:rsid w:val="00197F39"/>
    <w:rsid w:val="001A2215"/>
    <w:rsid w:val="001A2246"/>
    <w:rsid w:val="001A25EE"/>
    <w:rsid w:val="001A3342"/>
    <w:rsid w:val="001A35BD"/>
    <w:rsid w:val="001A3E3D"/>
    <w:rsid w:val="001A6D7D"/>
    <w:rsid w:val="001A7049"/>
    <w:rsid w:val="001A71CA"/>
    <w:rsid w:val="001A73C7"/>
    <w:rsid w:val="001A7BF7"/>
    <w:rsid w:val="001B0F6B"/>
    <w:rsid w:val="001B1E40"/>
    <w:rsid w:val="001B2A51"/>
    <w:rsid w:val="001B313E"/>
    <w:rsid w:val="001B47D0"/>
    <w:rsid w:val="001C04E4"/>
    <w:rsid w:val="001C0F09"/>
    <w:rsid w:val="001C1FB7"/>
    <w:rsid w:val="001C4416"/>
    <w:rsid w:val="001C466A"/>
    <w:rsid w:val="001C5BE7"/>
    <w:rsid w:val="001C70D4"/>
    <w:rsid w:val="001C764E"/>
    <w:rsid w:val="001D0097"/>
    <w:rsid w:val="001D11FA"/>
    <w:rsid w:val="001D2935"/>
    <w:rsid w:val="001D3E36"/>
    <w:rsid w:val="001D50E5"/>
    <w:rsid w:val="001D5255"/>
    <w:rsid w:val="001D5633"/>
    <w:rsid w:val="001D668A"/>
    <w:rsid w:val="001D6719"/>
    <w:rsid w:val="001E1052"/>
    <w:rsid w:val="001E1126"/>
    <w:rsid w:val="001E2072"/>
    <w:rsid w:val="001E21B1"/>
    <w:rsid w:val="001E2F93"/>
    <w:rsid w:val="001E31F4"/>
    <w:rsid w:val="001E32C1"/>
    <w:rsid w:val="001E43B5"/>
    <w:rsid w:val="001E4554"/>
    <w:rsid w:val="001E4F21"/>
    <w:rsid w:val="001E5A91"/>
    <w:rsid w:val="001E5EC1"/>
    <w:rsid w:val="001E5FC0"/>
    <w:rsid w:val="001E61E5"/>
    <w:rsid w:val="001E64D7"/>
    <w:rsid w:val="001E6E48"/>
    <w:rsid w:val="001F0016"/>
    <w:rsid w:val="001F0070"/>
    <w:rsid w:val="001F00D4"/>
    <w:rsid w:val="001F04EE"/>
    <w:rsid w:val="001F2159"/>
    <w:rsid w:val="001F2CC3"/>
    <w:rsid w:val="001F3278"/>
    <w:rsid w:val="001F4F65"/>
    <w:rsid w:val="001F53FD"/>
    <w:rsid w:val="001F5E2A"/>
    <w:rsid w:val="001F7727"/>
    <w:rsid w:val="001F7B0F"/>
    <w:rsid w:val="001F7C5B"/>
    <w:rsid w:val="0020107A"/>
    <w:rsid w:val="002034D9"/>
    <w:rsid w:val="00206355"/>
    <w:rsid w:val="00206ADB"/>
    <w:rsid w:val="0021011C"/>
    <w:rsid w:val="00210B48"/>
    <w:rsid w:val="00210B8B"/>
    <w:rsid w:val="00210D7D"/>
    <w:rsid w:val="00211E0E"/>
    <w:rsid w:val="002132EE"/>
    <w:rsid w:val="00214863"/>
    <w:rsid w:val="002156B4"/>
    <w:rsid w:val="00220496"/>
    <w:rsid w:val="0022102C"/>
    <w:rsid w:val="0022176B"/>
    <w:rsid w:val="002229C4"/>
    <w:rsid w:val="00222D4D"/>
    <w:rsid w:val="002233A9"/>
    <w:rsid w:val="00223844"/>
    <w:rsid w:val="00224808"/>
    <w:rsid w:val="00224FCD"/>
    <w:rsid w:val="0022502D"/>
    <w:rsid w:val="00225F1C"/>
    <w:rsid w:val="00232A8F"/>
    <w:rsid w:val="00234966"/>
    <w:rsid w:val="00234E04"/>
    <w:rsid w:val="00234E64"/>
    <w:rsid w:val="0023597B"/>
    <w:rsid w:val="00236260"/>
    <w:rsid w:val="002362DC"/>
    <w:rsid w:val="00237902"/>
    <w:rsid w:val="00240999"/>
    <w:rsid w:val="00241C5E"/>
    <w:rsid w:val="0024268A"/>
    <w:rsid w:val="00242D5A"/>
    <w:rsid w:val="00244AD2"/>
    <w:rsid w:val="002452C6"/>
    <w:rsid w:val="00246B94"/>
    <w:rsid w:val="00250DFA"/>
    <w:rsid w:val="0025181E"/>
    <w:rsid w:val="00253222"/>
    <w:rsid w:val="00253B61"/>
    <w:rsid w:val="00253FE6"/>
    <w:rsid w:val="00256CAF"/>
    <w:rsid w:val="002614FE"/>
    <w:rsid w:val="00261C13"/>
    <w:rsid w:val="00262847"/>
    <w:rsid w:val="00262E48"/>
    <w:rsid w:val="0026334B"/>
    <w:rsid w:val="00263959"/>
    <w:rsid w:val="00266CDA"/>
    <w:rsid w:val="002700C0"/>
    <w:rsid w:val="00272559"/>
    <w:rsid w:val="00274128"/>
    <w:rsid w:val="0027476C"/>
    <w:rsid w:val="002748AF"/>
    <w:rsid w:val="00274AC4"/>
    <w:rsid w:val="00276DF7"/>
    <w:rsid w:val="00276FC7"/>
    <w:rsid w:val="00277424"/>
    <w:rsid w:val="00281395"/>
    <w:rsid w:val="00281BB2"/>
    <w:rsid w:val="00283A7C"/>
    <w:rsid w:val="00284BB8"/>
    <w:rsid w:val="00284C01"/>
    <w:rsid w:val="0028670C"/>
    <w:rsid w:val="00290B0F"/>
    <w:rsid w:val="002921C3"/>
    <w:rsid w:val="00292416"/>
    <w:rsid w:val="00294709"/>
    <w:rsid w:val="00295AFE"/>
    <w:rsid w:val="00296847"/>
    <w:rsid w:val="002A03C3"/>
    <w:rsid w:val="002A0D9B"/>
    <w:rsid w:val="002A15DA"/>
    <w:rsid w:val="002A45E0"/>
    <w:rsid w:val="002A5522"/>
    <w:rsid w:val="002A5C8A"/>
    <w:rsid w:val="002A60BF"/>
    <w:rsid w:val="002A69C7"/>
    <w:rsid w:val="002A6D12"/>
    <w:rsid w:val="002A7B18"/>
    <w:rsid w:val="002B112F"/>
    <w:rsid w:val="002B1A84"/>
    <w:rsid w:val="002B1D08"/>
    <w:rsid w:val="002B1F7B"/>
    <w:rsid w:val="002B230F"/>
    <w:rsid w:val="002B254E"/>
    <w:rsid w:val="002B418B"/>
    <w:rsid w:val="002B4A7F"/>
    <w:rsid w:val="002B4CE8"/>
    <w:rsid w:val="002B4D52"/>
    <w:rsid w:val="002B72E9"/>
    <w:rsid w:val="002C02A3"/>
    <w:rsid w:val="002C1B61"/>
    <w:rsid w:val="002C1E1A"/>
    <w:rsid w:val="002C2995"/>
    <w:rsid w:val="002C32FC"/>
    <w:rsid w:val="002C3D58"/>
    <w:rsid w:val="002C5491"/>
    <w:rsid w:val="002C5A11"/>
    <w:rsid w:val="002C62B6"/>
    <w:rsid w:val="002C6787"/>
    <w:rsid w:val="002C747E"/>
    <w:rsid w:val="002C7768"/>
    <w:rsid w:val="002C7849"/>
    <w:rsid w:val="002C7998"/>
    <w:rsid w:val="002D1061"/>
    <w:rsid w:val="002D1882"/>
    <w:rsid w:val="002D6BF2"/>
    <w:rsid w:val="002D7075"/>
    <w:rsid w:val="002D723B"/>
    <w:rsid w:val="002D733D"/>
    <w:rsid w:val="002E1842"/>
    <w:rsid w:val="002E1DC0"/>
    <w:rsid w:val="002E25F0"/>
    <w:rsid w:val="002E38C6"/>
    <w:rsid w:val="002E3A0C"/>
    <w:rsid w:val="002E6DDE"/>
    <w:rsid w:val="002E79B8"/>
    <w:rsid w:val="002F09D3"/>
    <w:rsid w:val="002F19B9"/>
    <w:rsid w:val="002F1D93"/>
    <w:rsid w:val="002F1E53"/>
    <w:rsid w:val="002F2CAA"/>
    <w:rsid w:val="002F2E97"/>
    <w:rsid w:val="002F4584"/>
    <w:rsid w:val="002F6C3D"/>
    <w:rsid w:val="0030052C"/>
    <w:rsid w:val="003009AB"/>
    <w:rsid w:val="00300D98"/>
    <w:rsid w:val="00301093"/>
    <w:rsid w:val="00305495"/>
    <w:rsid w:val="003062E7"/>
    <w:rsid w:val="003070BB"/>
    <w:rsid w:val="00307395"/>
    <w:rsid w:val="00307B68"/>
    <w:rsid w:val="0031018E"/>
    <w:rsid w:val="00311E25"/>
    <w:rsid w:val="00314173"/>
    <w:rsid w:val="00316805"/>
    <w:rsid w:val="00316947"/>
    <w:rsid w:val="00317657"/>
    <w:rsid w:val="0031786A"/>
    <w:rsid w:val="003211A3"/>
    <w:rsid w:val="00324543"/>
    <w:rsid w:val="003245B8"/>
    <w:rsid w:val="00326529"/>
    <w:rsid w:val="00327122"/>
    <w:rsid w:val="0032744E"/>
    <w:rsid w:val="00327F84"/>
    <w:rsid w:val="00330395"/>
    <w:rsid w:val="003306D9"/>
    <w:rsid w:val="003306E1"/>
    <w:rsid w:val="00330EEE"/>
    <w:rsid w:val="003310ED"/>
    <w:rsid w:val="003320E4"/>
    <w:rsid w:val="00332148"/>
    <w:rsid w:val="00334FA0"/>
    <w:rsid w:val="0033525D"/>
    <w:rsid w:val="00336436"/>
    <w:rsid w:val="003414F3"/>
    <w:rsid w:val="00341B14"/>
    <w:rsid w:val="00341D26"/>
    <w:rsid w:val="00344F7A"/>
    <w:rsid w:val="00346453"/>
    <w:rsid w:val="00346624"/>
    <w:rsid w:val="0034775E"/>
    <w:rsid w:val="0035008A"/>
    <w:rsid w:val="0035028B"/>
    <w:rsid w:val="003502EB"/>
    <w:rsid w:val="00350BD6"/>
    <w:rsid w:val="00351C38"/>
    <w:rsid w:val="003540B0"/>
    <w:rsid w:val="003549A9"/>
    <w:rsid w:val="00355562"/>
    <w:rsid w:val="00355EB0"/>
    <w:rsid w:val="0035613E"/>
    <w:rsid w:val="00357E79"/>
    <w:rsid w:val="00360E70"/>
    <w:rsid w:val="00360E9D"/>
    <w:rsid w:val="003614D8"/>
    <w:rsid w:val="00363524"/>
    <w:rsid w:val="0036358B"/>
    <w:rsid w:val="00363EE9"/>
    <w:rsid w:val="00367214"/>
    <w:rsid w:val="0036762A"/>
    <w:rsid w:val="0036770B"/>
    <w:rsid w:val="0036793B"/>
    <w:rsid w:val="0037032E"/>
    <w:rsid w:val="00371252"/>
    <w:rsid w:val="00371F3E"/>
    <w:rsid w:val="00372AD4"/>
    <w:rsid w:val="00373029"/>
    <w:rsid w:val="00373796"/>
    <w:rsid w:val="003750D1"/>
    <w:rsid w:val="00375613"/>
    <w:rsid w:val="00376128"/>
    <w:rsid w:val="0037626C"/>
    <w:rsid w:val="0037742E"/>
    <w:rsid w:val="00377D56"/>
    <w:rsid w:val="00381BBE"/>
    <w:rsid w:val="00381DC3"/>
    <w:rsid w:val="0038245A"/>
    <w:rsid w:val="003840E6"/>
    <w:rsid w:val="00384FBD"/>
    <w:rsid w:val="00385CFC"/>
    <w:rsid w:val="00385E98"/>
    <w:rsid w:val="00387F60"/>
    <w:rsid w:val="0039337A"/>
    <w:rsid w:val="00394078"/>
    <w:rsid w:val="00394751"/>
    <w:rsid w:val="00395036"/>
    <w:rsid w:val="00395932"/>
    <w:rsid w:val="00396665"/>
    <w:rsid w:val="0039764E"/>
    <w:rsid w:val="00397983"/>
    <w:rsid w:val="003A175A"/>
    <w:rsid w:val="003A1FAB"/>
    <w:rsid w:val="003A255F"/>
    <w:rsid w:val="003A2C92"/>
    <w:rsid w:val="003A3189"/>
    <w:rsid w:val="003A3CA7"/>
    <w:rsid w:val="003A44FB"/>
    <w:rsid w:val="003A673E"/>
    <w:rsid w:val="003A6DAD"/>
    <w:rsid w:val="003B0D5D"/>
    <w:rsid w:val="003B2F7C"/>
    <w:rsid w:val="003B33BD"/>
    <w:rsid w:val="003B45E9"/>
    <w:rsid w:val="003B569D"/>
    <w:rsid w:val="003B6C36"/>
    <w:rsid w:val="003B717D"/>
    <w:rsid w:val="003B7326"/>
    <w:rsid w:val="003B7F79"/>
    <w:rsid w:val="003C16A5"/>
    <w:rsid w:val="003C1D00"/>
    <w:rsid w:val="003C2AFA"/>
    <w:rsid w:val="003C2C80"/>
    <w:rsid w:val="003C3107"/>
    <w:rsid w:val="003C3C0E"/>
    <w:rsid w:val="003C5415"/>
    <w:rsid w:val="003C5774"/>
    <w:rsid w:val="003C6A89"/>
    <w:rsid w:val="003C77FC"/>
    <w:rsid w:val="003C7AE3"/>
    <w:rsid w:val="003D01D8"/>
    <w:rsid w:val="003D09C0"/>
    <w:rsid w:val="003D17EA"/>
    <w:rsid w:val="003D17F8"/>
    <w:rsid w:val="003D2E72"/>
    <w:rsid w:val="003D37C3"/>
    <w:rsid w:val="003D42A6"/>
    <w:rsid w:val="003D47B1"/>
    <w:rsid w:val="003D4F21"/>
    <w:rsid w:val="003D4FAC"/>
    <w:rsid w:val="003D5F5C"/>
    <w:rsid w:val="003D6392"/>
    <w:rsid w:val="003E0388"/>
    <w:rsid w:val="003E0E2B"/>
    <w:rsid w:val="003E17DB"/>
    <w:rsid w:val="003E1885"/>
    <w:rsid w:val="003E55E6"/>
    <w:rsid w:val="003E65C8"/>
    <w:rsid w:val="003E7800"/>
    <w:rsid w:val="003E7906"/>
    <w:rsid w:val="003F000F"/>
    <w:rsid w:val="003F17E1"/>
    <w:rsid w:val="003F1C9F"/>
    <w:rsid w:val="003F286A"/>
    <w:rsid w:val="003F2ADC"/>
    <w:rsid w:val="003F3C50"/>
    <w:rsid w:val="003F4018"/>
    <w:rsid w:val="003F5696"/>
    <w:rsid w:val="003F5AB0"/>
    <w:rsid w:val="003F6BF8"/>
    <w:rsid w:val="003F7CB0"/>
    <w:rsid w:val="004001AC"/>
    <w:rsid w:val="00405327"/>
    <w:rsid w:val="00406202"/>
    <w:rsid w:val="00406A6A"/>
    <w:rsid w:val="00406B22"/>
    <w:rsid w:val="00407147"/>
    <w:rsid w:val="004078FA"/>
    <w:rsid w:val="00411E4F"/>
    <w:rsid w:val="004126DC"/>
    <w:rsid w:val="00412DA4"/>
    <w:rsid w:val="00413472"/>
    <w:rsid w:val="00413EAA"/>
    <w:rsid w:val="004149CF"/>
    <w:rsid w:val="004159B2"/>
    <w:rsid w:val="00417AD6"/>
    <w:rsid w:val="00417C92"/>
    <w:rsid w:val="004227A7"/>
    <w:rsid w:val="00422F2E"/>
    <w:rsid w:val="00423A65"/>
    <w:rsid w:val="004263AD"/>
    <w:rsid w:val="00427BB9"/>
    <w:rsid w:val="00430701"/>
    <w:rsid w:val="00430E99"/>
    <w:rsid w:val="00431E08"/>
    <w:rsid w:val="004328A7"/>
    <w:rsid w:val="00434C74"/>
    <w:rsid w:val="00434E36"/>
    <w:rsid w:val="00435D7C"/>
    <w:rsid w:val="00442E0A"/>
    <w:rsid w:val="00443EE8"/>
    <w:rsid w:val="00443FE4"/>
    <w:rsid w:val="00445875"/>
    <w:rsid w:val="00450271"/>
    <w:rsid w:val="004515D3"/>
    <w:rsid w:val="00451808"/>
    <w:rsid w:val="00451CAF"/>
    <w:rsid w:val="00451F21"/>
    <w:rsid w:val="00454CAB"/>
    <w:rsid w:val="00456EB4"/>
    <w:rsid w:val="00457665"/>
    <w:rsid w:val="00457827"/>
    <w:rsid w:val="00457AF8"/>
    <w:rsid w:val="004619DE"/>
    <w:rsid w:val="00463D28"/>
    <w:rsid w:val="004640D3"/>
    <w:rsid w:val="00467CD8"/>
    <w:rsid w:val="004718F3"/>
    <w:rsid w:val="00471F62"/>
    <w:rsid w:val="004724DF"/>
    <w:rsid w:val="00473044"/>
    <w:rsid w:val="00474BD8"/>
    <w:rsid w:val="00474DF5"/>
    <w:rsid w:val="00475040"/>
    <w:rsid w:val="0047515D"/>
    <w:rsid w:val="00475165"/>
    <w:rsid w:val="00476518"/>
    <w:rsid w:val="004765DB"/>
    <w:rsid w:val="0047776F"/>
    <w:rsid w:val="00480355"/>
    <w:rsid w:val="0048132B"/>
    <w:rsid w:val="004816A6"/>
    <w:rsid w:val="0048235B"/>
    <w:rsid w:val="00483714"/>
    <w:rsid w:val="004855D5"/>
    <w:rsid w:val="00485827"/>
    <w:rsid w:val="00490C06"/>
    <w:rsid w:val="0049304B"/>
    <w:rsid w:val="00493D40"/>
    <w:rsid w:val="00493EE3"/>
    <w:rsid w:val="00494186"/>
    <w:rsid w:val="004943CA"/>
    <w:rsid w:val="004967B6"/>
    <w:rsid w:val="00497EC5"/>
    <w:rsid w:val="004A352E"/>
    <w:rsid w:val="004A4122"/>
    <w:rsid w:val="004A504B"/>
    <w:rsid w:val="004A568C"/>
    <w:rsid w:val="004A6911"/>
    <w:rsid w:val="004A7B65"/>
    <w:rsid w:val="004B03FD"/>
    <w:rsid w:val="004B1C71"/>
    <w:rsid w:val="004B2214"/>
    <w:rsid w:val="004B3652"/>
    <w:rsid w:val="004B5470"/>
    <w:rsid w:val="004B54E0"/>
    <w:rsid w:val="004B6F95"/>
    <w:rsid w:val="004B7384"/>
    <w:rsid w:val="004B7E18"/>
    <w:rsid w:val="004C26EB"/>
    <w:rsid w:val="004C274F"/>
    <w:rsid w:val="004C27CE"/>
    <w:rsid w:val="004C4269"/>
    <w:rsid w:val="004C4778"/>
    <w:rsid w:val="004C5F0F"/>
    <w:rsid w:val="004C7595"/>
    <w:rsid w:val="004C7CFB"/>
    <w:rsid w:val="004D287F"/>
    <w:rsid w:val="004D2A84"/>
    <w:rsid w:val="004D322A"/>
    <w:rsid w:val="004D5607"/>
    <w:rsid w:val="004D6236"/>
    <w:rsid w:val="004D6B7B"/>
    <w:rsid w:val="004D7F27"/>
    <w:rsid w:val="004D7F90"/>
    <w:rsid w:val="004E0D88"/>
    <w:rsid w:val="004E0E70"/>
    <w:rsid w:val="004E4DBB"/>
    <w:rsid w:val="004E4E41"/>
    <w:rsid w:val="004E5301"/>
    <w:rsid w:val="004E54D7"/>
    <w:rsid w:val="004E690C"/>
    <w:rsid w:val="004E73DB"/>
    <w:rsid w:val="004E7F9C"/>
    <w:rsid w:val="004F0247"/>
    <w:rsid w:val="004F33BC"/>
    <w:rsid w:val="004F3493"/>
    <w:rsid w:val="004F3F9F"/>
    <w:rsid w:val="004F5143"/>
    <w:rsid w:val="004F5296"/>
    <w:rsid w:val="004F5F54"/>
    <w:rsid w:val="004F650F"/>
    <w:rsid w:val="004F68FA"/>
    <w:rsid w:val="004F7917"/>
    <w:rsid w:val="00502A6F"/>
    <w:rsid w:val="00502E00"/>
    <w:rsid w:val="005031A2"/>
    <w:rsid w:val="00504624"/>
    <w:rsid w:val="005064C9"/>
    <w:rsid w:val="00510A2C"/>
    <w:rsid w:val="00511B67"/>
    <w:rsid w:val="00512B09"/>
    <w:rsid w:val="00514469"/>
    <w:rsid w:val="005146CD"/>
    <w:rsid w:val="00515035"/>
    <w:rsid w:val="005151F4"/>
    <w:rsid w:val="00515680"/>
    <w:rsid w:val="005166C8"/>
    <w:rsid w:val="005167C1"/>
    <w:rsid w:val="0051759B"/>
    <w:rsid w:val="00521FD0"/>
    <w:rsid w:val="005220ED"/>
    <w:rsid w:val="005234E0"/>
    <w:rsid w:val="00524894"/>
    <w:rsid w:val="00524B46"/>
    <w:rsid w:val="00524CCC"/>
    <w:rsid w:val="00524DFF"/>
    <w:rsid w:val="00525B46"/>
    <w:rsid w:val="00526CEB"/>
    <w:rsid w:val="005273A6"/>
    <w:rsid w:val="00527CD2"/>
    <w:rsid w:val="00530950"/>
    <w:rsid w:val="00530FCF"/>
    <w:rsid w:val="00532AEC"/>
    <w:rsid w:val="00533796"/>
    <w:rsid w:val="00533BB4"/>
    <w:rsid w:val="00536BF6"/>
    <w:rsid w:val="00537343"/>
    <w:rsid w:val="005409C5"/>
    <w:rsid w:val="0054129A"/>
    <w:rsid w:val="00541AAD"/>
    <w:rsid w:val="00541CD4"/>
    <w:rsid w:val="00542658"/>
    <w:rsid w:val="00543356"/>
    <w:rsid w:val="00543DCF"/>
    <w:rsid w:val="005463E0"/>
    <w:rsid w:val="00547B37"/>
    <w:rsid w:val="00547D39"/>
    <w:rsid w:val="00547EEB"/>
    <w:rsid w:val="00550C9F"/>
    <w:rsid w:val="005510E5"/>
    <w:rsid w:val="005516F3"/>
    <w:rsid w:val="005517B4"/>
    <w:rsid w:val="00553B40"/>
    <w:rsid w:val="00553C5A"/>
    <w:rsid w:val="0055409E"/>
    <w:rsid w:val="00555D75"/>
    <w:rsid w:val="005564E2"/>
    <w:rsid w:val="00556662"/>
    <w:rsid w:val="00557170"/>
    <w:rsid w:val="00560DF0"/>
    <w:rsid w:val="00561720"/>
    <w:rsid w:val="00562B8C"/>
    <w:rsid w:val="00562EBF"/>
    <w:rsid w:val="0056376B"/>
    <w:rsid w:val="00563A43"/>
    <w:rsid w:val="00563DA8"/>
    <w:rsid w:val="00564A7B"/>
    <w:rsid w:val="00565A94"/>
    <w:rsid w:val="0056694B"/>
    <w:rsid w:val="00566A56"/>
    <w:rsid w:val="0056759C"/>
    <w:rsid w:val="00570BEE"/>
    <w:rsid w:val="00570D04"/>
    <w:rsid w:val="005720BB"/>
    <w:rsid w:val="00573C20"/>
    <w:rsid w:val="00574D74"/>
    <w:rsid w:val="00575CAC"/>
    <w:rsid w:val="0057623C"/>
    <w:rsid w:val="00577075"/>
    <w:rsid w:val="00581C99"/>
    <w:rsid w:val="00581E30"/>
    <w:rsid w:val="00582A8B"/>
    <w:rsid w:val="00582F1A"/>
    <w:rsid w:val="005833CC"/>
    <w:rsid w:val="00583F23"/>
    <w:rsid w:val="00584990"/>
    <w:rsid w:val="00584BF9"/>
    <w:rsid w:val="00585081"/>
    <w:rsid w:val="00585ADC"/>
    <w:rsid w:val="00587249"/>
    <w:rsid w:val="00587B5C"/>
    <w:rsid w:val="005902E2"/>
    <w:rsid w:val="00591CF1"/>
    <w:rsid w:val="005924EC"/>
    <w:rsid w:val="0059513E"/>
    <w:rsid w:val="005963E5"/>
    <w:rsid w:val="0059716E"/>
    <w:rsid w:val="005A0157"/>
    <w:rsid w:val="005A1A66"/>
    <w:rsid w:val="005A1CDC"/>
    <w:rsid w:val="005A2A68"/>
    <w:rsid w:val="005A30E3"/>
    <w:rsid w:val="005A316F"/>
    <w:rsid w:val="005A4B75"/>
    <w:rsid w:val="005A645C"/>
    <w:rsid w:val="005A6AA4"/>
    <w:rsid w:val="005A6C31"/>
    <w:rsid w:val="005A6D9F"/>
    <w:rsid w:val="005B0CCA"/>
    <w:rsid w:val="005B1A57"/>
    <w:rsid w:val="005B2D3D"/>
    <w:rsid w:val="005B355A"/>
    <w:rsid w:val="005B48FF"/>
    <w:rsid w:val="005B5F0B"/>
    <w:rsid w:val="005B630C"/>
    <w:rsid w:val="005B6998"/>
    <w:rsid w:val="005B7166"/>
    <w:rsid w:val="005B7802"/>
    <w:rsid w:val="005C13C5"/>
    <w:rsid w:val="005C1E32"/>
    <w:rsid w:val="005C2ABD"/>
    <w:rsid w:val="005C3B15"/>
    <w:rsid w:val="005C3D4F"/>
    <w:rsid w:val="005C3F76"/>
    <w:rsid w:val="005C5ACB"/>
    <w:rsid w:val="005C6014"/>
    <w:rsid w:val="005C670D"/>
    <w:rsid w:val="005C6894"/>
    <w:rsid w:val="005C79C5"/>
    <w:rsid w:val="005D0079"/>
    <w:rsid w:val="005D26F0"/>
    <w:rsid w:val="005D33AB"/>
    <w:rsid w:val="005D363F"/>
    <w:rsid w:val="005D36CA"/>
    <w:rsid w:val="005D55B2"/>
    <w:rsid w:val="005D56BB"/>
    <w:rsid w:val="005D753A"/>
    <w:rsid w:val="005E0E3D"/>
    <w:rsid w:val="005E21ED"/>
    <w:rsid w:val="005E2529"/>
    <w:rsid w:val="005E3548"/>
    <w:rsid w:val="005E3E14"/>
    <w:rsid w:val="005E5953"/>
    <w:rsid w:val="005E6811"/>
    <w:rsid w:val="005E7A15"/>
    <w:rsid w:val="005F0426"/>
    <w:rsid w:val="005F110D"/>
    <w:rsid w:val="005F1564"/>
    <w:rsid w:val="005F1E75"/>
    <w:rsid w:val="005F2561"/>
    <w:rsid w:val="005F528C"/>
    <w:rsid w:val="005F6049"/>
    <w:rsid w:val="005F797A"/>
    <w:rsid w:val="0060065D"/>
    <w:rsid w:val="00600B32"/>
    <w:rsid w:val="00602B1E"/>
    <w:rsid w:val="00602B77"/>
    <w:rsid w:val="006031CA"/>
    <w:rsid w:val="0060340A"/>
    <w:rsid w:val="00604C15"/>
    <w:rsid w:val="00604EFE"/>
    <w:rsid w:val="00605C61"/>
    <w:rsid w:val="00607E3A"/>
    <w:rsid w:val="006115EA"/>
    <w:rsid w:val="006118BA"/>
    <w:rsid w:val="00611EBE"/>
    <w:rsid w:val="006128D8"/>
    <w:rsid w:val="006129B7"/>
    <w:rsid w:val="006145FB"/>
    <w:rsid w:val="0061482E"/>
    <w:rsid w:val="006158D5"/>
    <w:rsid w:val="00615B95"/>
    <w:rsid w:val="006204F1"/>
    <w:rsid w:val="00620EC1"/>
    <w:rsid w:val="006211E3"/>
    <w:rsid w:val="00625D83"/>
    <w:rsid w:val="00631E92"/>
    <w:rsid w:val="006357B6"/>
    <w:rsid w:val="00635EBF"/>
    <w:rsid w:val="006361FA"/>
    <w:rsid w:val="006428F0"/>
    <w:rsid w:val="00642CE4"/>
    <w:rsid w:val="00642D5D"/>
    <w:rsid w:val="0064373E"/>
    <w:rsid w:val="00644E5D"/>
    <w:rsid w:val="0064573D"/>
    <w:rsid w:val="0064683D"/>
    <w:rsid w:val="00647168"/>
    <w:rsid w:val="006500B2"/>
    <w:rsid w:val="00651984"/>
    <w:rsid w:val="00651F9B"/>
    <w:rsid w:val="006522C4"/>
    <w:rsid w:val="00652C11"/>
    <w:rsid w:val="00656D96"/>
    <w:rsid w:val="006572E1"/>
    <w:rsid w:val="00661783"/>
    <w:rsid w:val="006623E7"/>
    <w:rsid w:val="00662B80"/>
    <w:rsid w:val="00662BAB"/>
    <w:rsid w:val="00663BAD"/>
    <w:rsid w:val="00664B1B"/>
    <w:rsid w:val="00665448"/>
    <w:rsid w:val="006656E2"/>
    <w:rsid w:val="00665801"/>
    <w:rsid w:val="00666E98"/>
    <w:rsid w:val="00667227"/>
    <w:rsid w:val="0066768F"/>
    <w:rsid w:val="00670F6C"/>
    <w:rsid w:val="00670FF8"/>
    <w:rsid w:val="00674540"/>
    <w:rsid w:val="006749C9"/>
    <w:rsid w:val="00676755"/>
    <w:rsid w:val="00676E58"/>
    <w:rsid w:val="00677011"/>
    <w:rsid w:val="0067704A"/>
    <w:rsid w:val="00677A2B"/>
    <w:rsid w:val="00681B02"/>
    <w:rsid w:val="00681B3E"/>
    <w:rsid w:val="00681BD9"/>
    <w:rsid w:val="006852C7"/>
    <w:rsid w:val="006852CE"/>
    <w:rsid w:val="00691E39"/>
    <w:rsid w:val="006928BD"/>
    <w:rsid w:val="00692D14"/>
    <w:rsid w:val="00694A84"/>
    <w:rsid w:val="00694D0E"/>
    <w:rsid w:val="00697920"/>
    <w:rsid w:val="00697CB1"/>
    <w:rsid w:val="006A08F4"/>
    <w:rsid w:val="006A25F1"/>
    <w:rsid w:val="006A30FD"/>
    <w:rsid w:val="006A3CD9"/>
    <w:rsid w:val="006A5802"/>
    <w:rsid w:val="006A77D7"/>
    <w:rsid w:val="006A7A3B"/>
    <w:rsid w:val="006A7AD6"/>
    <w:rsid w:val="006A7CDA"/>
    <w:rsid w:val="006B3DE0"/>
    <w:rsid w:val="006B57FD"/>
    <w:rsid w:val="006B65C7"/>
    <w:rsid w:val="006B6DB9"/>
    <w:rsid w:val="006C07F5"/>
    <w:rsid w:val="006C1727"/>
    <w:rsid w:val="006C2A82"/>
    <w:rsid w:val="006C32FD"/>
    <w:rsid w:val="006C3919"/>
    <w:rsid w:val="006C39CE"/>
    <w:rsid w:val="006C3A83"/>
    <w:rsid w:val="006C41CB"/>
    <w:rsid w:val="006C617B"/>
    <w:rsid w:val="006C61A9"/>
    <w:rsid w:val="006D03D1"/>
    <w:rsid w:val="006D0FCC"/>
    <w:rsid w:val="006D21F5"/>
    <w:rsid w:val="006D2448"/>
    <w:rsid w:val="006D3089"/>
    <w:rsid w:val="006D64F8"/>
    <w:rsid w:val="006E126D"/>
    <w:rsid w:val="006E1FC3"/>
    <w:rsid w:val="006E3935"/>
    <w:rsid w:val="006E39AE"/>
    <w:rsid w:val="006E4411"/>
    <w:rsid w:val="006E4769"/>
    <w:rsid w:val="006E4891"/>
    <w:rsid w:val="006E6CA2"/>
    <w:rsid w:val="006E73B2"/>
    <w:rsid w:val="006E7A72"/>
    <w:rsid w:val="006F043C"/>
    <w:rsid w:val="006F083A"/>
    <w:rsid w:val="006F4670"/>
    <w:rsid w:val="006F4C91"/>
    <w:rsid w:val="006F4DA9"/>
    <w:rsid w:val="006F50D8"/>
    <w:rsid w:val="007017D2"/>
    <w:rsid w:val="00701BC5"/>
    <w:rsid w:val="00703F8A"/>
    <w:rsid w:val="00704CE9"/>
    <w:rsid w:val="0070575E"/>
    <w:rsid w:val="00705848"/>
    <w:rsid w:val="0070616B"/>
    <w:rsid w:val="00706295"/>
    <w:rsid w:val="00706FDA"/>
    <w:rsid w:val="0071018F"/>
    <w:rsid w:val="00710ED2"/>
    <w:rsid w:val="00711F9A"/>
    <w:rsid w:val="00712EFB"/>
    <w:rsid w:val="00713810"/>
    <w:rsid w:val="007143ED"/>
    <w:rsid w:val="00714D17"/>
    <w:rsid w:val="00716544"/>
    <w:rsid w:val="00716ADB"/>
    <w:rsid w:val="0072006B"/>
    <w:rsid w:val="0072403E"/>
    <w:rsid w:val="00724181"/>
    <w:rsid w:val="007242C5"/>
    <w:rsid w:val="00724701"/>
    <w:rsid w:val="00725D04"/>
    <w:rsid w:val="007266FD"/>
    <w:rsid w:val="00727093"/>
    <w:rsid w:val="007303A5"/>
    <w:rsid w:val="00730763"/>
    <w:rsid w:val="00730B3E"/>
    <w:rsid w:val="00731F8D"/>
    <w:rsid w:val="007332A3"/>
    <w:rsid w:val="00733E38"/>
    <w:rsid w:val="0073420B"/>
    <w:rsid w:val="007358BA"/>
    <w:rsid w:val="00736367"/>
    <w:rsid w:val="00736BA5"/>
    <w:rsid w:val="00740863"/>
    <w:rsid w:val="007413AA"/>
    <w:rsid w:val="00742867"/>
    <w:rsid w:val="007448BE"/>
    <w:rsid w:val="00745C41"/>
    <w:rsid w:val="0074702D"/>
    <w:rsid w:val="0074760E"/>
    <w:rsid w:val="00747658"/>
    <w:rsid w:val="00747BFA"/>
    <w:rsid w:val="00750387"/>
    <w:rsid w:val="007548C4"/>
    <w:rsid w:val="00754ABA"/>
    <w:rsid w:val="007571B7"/>
    <w:rsid w:val="007572BC"/>
    <w:rsid w:val="0076244C"/>
    <w:rsid w:val="007624A2"/>
    <w:rsid w:val="007635C2"/>
    <w:rsid w:val="00765E49"/>
    <w:rsid w:val="0077030B"/>
    <w:rsid w:val="007717BF"/>
    <w:rsid w:val="0077289D"/>
    <w:rsid w:val="007734D6"/>
    <w:rsid w:val="00774084"/>
    <w:rsid w:val="00776E6F"/>
    <w:rsid w:val="0077727D"/>
    <w:rsid w:val="0077794E"/>
    <w:rsid w:val="0078189C"/>
    <w:rsid w:val="00781A16"/>
    <w:rsid w:val="0078218A"/>
    <w:rsid w:val="0078218C"/>
    <w:rsid w:val="00782B0D"/>
    <w:rsid w:val="00785C18"/>
    <w:rsid w:val="00786B53"/>
    <w:rsid w:val="007873A7"/>
    <w:rsid w:val="00787924"/>
    <w:rsid w:val="00790F8E"/>
    <w:rsid w:val="00794048"/>
    <w:rsid w:val="00795AD9"/>
    <w:rsid w:val="007976F4"/>
    <w:rsid w:val="0079781A"/>
    <w:rsid w:val="007A1546"/>
    <w:rsid w:val="007A228C"/>
    <w:rsid w:val="007A2308"/>
    <w:rsid w:val="007A368E"/>
    <w:rsid w:val="007A5868"/>
    <w:rsid w:val="007A5991"/>
    <w:rsid w:val="007A7F97"/>
    <w:rsid w:val="007B04CE"/>
    <w:rsid w:val="007B1535"/>
    <w:rsid w:val="007B2497"/>
    <w:rsid w:val="007B2D0E"/>
    <w:rsid w:val="007B3F54"/>
    <w:rsid w:val="007B5F67"/>
    <w:rsid w:val="007B6871"/>
    <w:rsid w:val="007B7A2F"/>
    <w:rsid w:val="007C0EEF"/>
    <w:rsid w:val="007C2B69"/>
    <w:rsid w:val="007C32EE"/>
    <w:rsid w:val="007C3D33"/>
    <w:rsid w:val="007C488C"/>
    <w:rsid w:val="007C5D2E"/>
    <w:rsid w:val="007C61BC"/>
    <w:rsid w:val="007C643B"/>
    <w:rsid w:val="007C6EA4"/>
    <w:rsid w:val="007D01F2"/>
    <w:rsid w:val="007D294A"/>
    <w:rsid w:val="007D3399"/>
    <w:rsid w:val="007D3E48"/>
    <w:rsid w:val="007D47D2"/>
    <w:rsid w:val="007D5984"/>
    <w:rsid w:val="007D6EC0"/>
    <w:rsid w:val="007D7E1D"/>
    <w:rsid w:val="007E1D1A"/>
    <w:rsid w:val="007E2D2F"/>
    <w:rsid w:val="007E31A9"/>
    <w:rsid w:val="007E3504"/>
    <w:rsid w:val="007E503C"/>
    <w:rsid w:val="007E56E0"/>
    <w:rsid w:val="007E5D72"/>
    <w:rsid w:val="007E6BD7"/>
    <w:rsid w:val="007F00BD"/>
    <w:rsid w:val="007F0A10"/>
    <w:rsid w:val="007F0C33"/>
    <w:rsid w:val="007F42D2"/>
    <w:rsid w:val="007F4478"/>
    <w:rsid w:val="007F48A4"/>
    <w:rsid w:val="007F4FCA"/>
    <w:rsid w:val="007F5E9E"/>
    <w:rsid w:val="007F643E"/>
    <w:rsid w:val="007F6853"/>
    <w:rsid w:val="007F7282"/>
    <w:rsid w:val="007F7394"/>
    <w:rsid w:val="00801924"/>
    <w:rsid w:val="00802802"/>
    <w:rsid w:val="0080345C"/>
    <w:rsid w:val="00804250"/>
    <w:rsid w:val="00805306"/>
    <w:rsid w:val="00805E47"/>
    <w:rsid w:val="00807903"/>
    <w:rsid w:val="00807D6B"/>
    <w:rsid w:val="008113EB"/>
    <w:rsid w:val="008118C5"/>
    <w:rsid w:val="008156D7"/>
    <w:rsid w:val="00815D36"/>
    <w:rsid w:val="0081728A"/>
    <w:rsid w:val="0081784C"/>
    <w:rsid w:val="00822174"/>
    <w:rsid w:val="00822C58"/>
    <w:rsid w:val="00823C9D"/>
    <w:rsid w:val="00824722"/>
    <w:rsid w:val="0082522F"/>
    <w:rsid w:val="00825F75"/>
    <w:rsid w:val="00826C64"/>
    <w:rsid w:val="008317E3"/>
    <w:rsid w:val="00831979"/>
    <w:rsid w:val="00831AD1"/>
    <w:rsid w:val="00831CFF"/>
    <w:rsid w:val="00834896"/>
    <w:rsid w:val="00834B55"/>
    <w:rsid w:val="008350BF"/>
    <w:rsid w:val="008357A7"/>
    <w:rsid w:val="008359CD"/>
    <w:rsid w:val="008365D2"/>
    <w:rsid w:val="00836B88"/>
    <w:rsid w:val="00840046"/>
    <w:rsid w:val="008405AF"/>
    <w:rsid w:val="00844785"/>
    <w:rsid w:val="008458F0"/>
    <w:rsid w:val="00846A08"/>
    <w:rsid w:val="00846ED3"/>
    <w:rsid w:val="00847385"/>
    <w:rsid w:val="00847EA8"/>
    <w:rsid w:val="00851060"/>
    <w:rsid w:val="008511BC"/>
    <w:rsid w:val="00851352"/>
    <w:rsid w:val="00851EE8"/>
    <w:rsid w:val="00852EA1"/>
    <w:rsid w:val="008534CE"/>
    <w:rsid w:val="008549C4"/>
    <w:rsid w:val="00854D45"/>
    <w:rsid w:val="00857077"/>
    <w:rsid w:val="008573D6"/>
    <w:rsid w:val="00857D13"/>
    <w:rsid w:val="00860E6B"/>
    <w:rsid w:val="0086165F"/>
    <w:rsid w:val="00861829"/>
    <w:rsid w:val="00863230"/>
    <w:rsid w:val="00863F66"/>
    <w:rsid w:val="00864C62"/>
    <w:rsid w:val="00865BD0"/>
    <w:rsid w:val="0086617F"/>
    <w:rsid w:val="008675B7"/>
    <w:rsid w:val="00870FAB"/>
    <w:rsid w:val="008717D8"/>
    <w:rsid w:val="00871C0F"/>
    <w:rsid w:val="00871F8F"/>
    <w:rsid w:val="0087215C"/>
    <w:rsid w:val="00873AF6"/>
    <w:rsid w:val="00873D97"/>
    <w:rsid w:val="00874F1A"/>
    <w:rsid w:val="00875D25"/>
    <w:rsid w:val="00875E29"/>
    <w:rsid w:val="0087787E"/>
    <w:rsid w:val="00880256"/>
    <w:rsid w:val="00880E35"/>
    <w:rsid w:val="00882597"/>
    <w:rsid w:val="00884603"/>
    <w:rsid w:val="008851B7"/>
    <w:rsid w:val="00885A17"/>
    <w:rsid w:val="0088698D"/>
    <w:rsid w:val="00886C3F"/>
    <w:rsid w:val="00886E80"/>
    <w:rsid w:val="00887003"/>
    <w:rsid w:val="008875FE"/>
    <w:rsid w:val="00887F8E"/>
    <w:rsid w:val="008902BD"/>
    <w:rsid w:val="008902D4"/>
    <w:rsid w:val="00892040"/>
    <w:rsid w:val="00893626"/>
    <w:rsid w:val="0089366C"/>
    <w:rsid w:val="0089527B"/>
    <w:rsid w:val="00896234"/>
    <w:rsid w:val="00897870"/>
    <w:rsid w:val="00897E43"/>
    <w:rsid w:val="00897E4B"/>
    <w:rsid w:val="008A0BBA"/>
    <w:rsid w:val="008A24EF"/>
    <w:rsid w:val="008A31E4"/>
    <w:rsid w:val="008A32F0"/>
    <w:rsid w:val="008A368E"/>
    <w:rsid w:val="008A4572"/>
    <w:rsid w:val="008A4B99"/>
    <w:rsid w:val="008A4CF1"/>
    <w:rsid w:val="008A4FD0"/>
    <w:rsid w:val="008A5A1B"/>
    <w:rsid w:val="008A5F93"/>
    <w:rsid w:val="008A61F5"/>
    <w:rsid w:val="008A675E"/>
    <w:rsid w:val="008A6DFC"/>
    <w:rsid w:val="008B3228"/>
    <w:rsid w:val="008B43C5"/>
    <w:rsid w:val="008B5142"/>
    <w:rsid w:val="008B52AA"/>
    <w:rsid w:val="008B5714"/>
    <w:rsid w:val="008B692B"/>
    <w:rsid w:val="008C01D4"/>
    <w:rsid w:val="008C0AC4"/>
    <w:rsid w:val="008C14F0"/>
    <w:rsid w:val="008C1524"/>
    <w:rsid w:val="008C222B"/>
    <w:rsid w:val="008C278D"/>
    <w:rsid w:val="008C42C0"/>
    <w:rsid w:val="008C5260"/>
    <w:rsid w:val="008C5738"/>
    <w:rsid w:val="008C63C6"/>
    <w:rsid w:val="008C7103"/>
    <w:rsid w:val="008C7B67"/>
    <w:rsid w:val="008C7EAD"/>
    <w:rsid w:val="008D0CFE"/>
    <w:rsid w:val="008D0F25"/>
    <w:rsid w:val="008D2041"/>
    <w:rsid w:val="008D327F"/>
    <w:rsid w:val="008D4325"/>
    <w:rsid w:val="008D45FF"/>
    <w:rsid w:val="008D5C60"/>
    <w:rsid w:val="008D5E05"/>
    <w:rsid w:val="008D6152"/>
    <w:rsid w:val="008D6F9E"/>
    <w:rsid w:val="008D7173"/>
    <w:rsid w:val="008E156E"/>
    <w:rsid w:val="008E1D5B"/>
    <w:rsid w:val="008E1E68"/>
    <w:rsid w:val="008E389E"/>
    <w:rsid w:val="008E3BEB"/>
    <w:rsid w:val="008E3E09"/>
    <w:rsid w:val="008E472B"/>
    <w:rsid w:val="008E4905"/>
    <w:rsid w:val="008E6D76"/>
    <w:rsid w:val="008E7BA9"/>
    <w:rsid w:val="008E7CC8"/>
    <w:rsid w:val="008F010E"/>
    <w:rsid w:val="008F0D4E"/>
    <w:rsid w:val="008F0F81"/>
    <w:rsid w:val="008F1103"/>
    <w:rsid w:val="008F27BF"/>
    <w:rsid w:val="008F2E64"/>
    <w:rsid w:val="008F4744"/>
    <w:rsid w:val="008F5AF2"/>
    <w:rsid w:val="008F5EC3"/>
    <w:rsid w:val="008F6332"/>
    <w:rsid w:val="008F747A"/>
    <w:rsid w:val="008F75F4"/>
    <w:rsid w:val="008F7876"/>
    <w:rsid w:val="00901184"/>
    <w:rsid w:val="00901451"/>
    <w:rsid w:val="0090285A"/>
    <w:rsid w:val="009041D3"/>
    <w:rsid w:val="00904896"/>
    <w:rsid w:val="00905148"/>
    <w:rsid w:val="00905A5C"/>
    <w:rsid w:val="00910044"/>
    <w:rsid w:val="009111F7"/>
    <w:rsid w:val="009130EB"/>
    <w:rsid w:val="00913B98"/>
    <w:rsid w:val="009140FE"/>
    <w:rsid w:val="009142EC"/>
    <w:rsid w:val="009145E4"/>
    <w:rsid w:val="0091461D"/>
    <w:rsid w:val="00914D61"/>
    <w:rsid w:val="00915071"/>
    <w:rsid w:val="009154C3"/>
    <w:rsid w:val="00915AB0"/>
    <w:rsid w:val="00915AF1"/>
    <w:rsid w:val="009201E3"/>
    <w:rsid w:val="009216F9"/>
    <w:rsid w:val="00922FA9"/>
    <w:rsid w:val="00923540"/>
    <w:rsid w:val="00924AEB"/>
    <w:rsid w:val="00926619"/>
    <w:rsid w:val="00926767"/>
    <w:rsid w:val="00927E77"/>
    <w:rsid w:val="009302AE"/>
    <w:rsid w:val="0093112C"/>
    <w:rsid w:val="009361D5"/>
    <w:rsid w:val="00936D2B"/>
    <w:rsid w:val="00937781"/>
    <w:rsid w:val="00937F59"/>
    <w:rsid w:val="00940CBA"/>
    <w:rsid w:val="009420C0"/>
    <w:rsid w:val="009421CD"/>
    <w:rsid w:val="009428A4"/>
    <w:rsid w:val="00942B1F"/>
    <w:rsid w:val="00944DB4"/>
    <w:rsid w:val="00944E38"/>
    <w:rsid w:val="00950076"/>
    <w:rsid w:val="0095029D"/>
    <w:rsid w:val="009504B6"/>
    <w:rsid w:val="00951F2F"/>
    <w:rsid w:val="00951FBF"/>
    <w:rsid w:val="00954370"/>
    <w:rsid w:val="00954896"/>
    <w:rsid w:val="00954C2A"/>
    <w:rsid w:val="00955E60"/>
    <w:rsid w:val="00957554"/>
    <w:rsid w:val="00957706"/>
    <w:rsid w:val="00960F67"/>
    <w:rsid w:val="00962B00"/>
    <w:rsid w:val="009637C4"/>
    <w:rsid w:val="00964B1D"/>
    <w:rsid w:val="0096565D"/>
    <w:rsid w:val="009659F4"/>
    <w:rsid w:val="00966AE1"/>
    <w:rsid w:val="00966AF1"/>
    <w:rsid w:val="00970171"/>
    <w:rsid w:val="00970D60"/>
    <w:rsid w:val="009710C6"/>
    <w:rsid w:val="00971DA6"/>
    <w:rsid w:val="00972790"/>
    <w:rsid w:val="00974102"/>
    <w:rsid w:val="00974F64"/>
    <w:rsid w:val="00975252"/>
    <w:rsid w:val="00975B4D"/>
    <w:rsid w:val="009778FE"/>
    <w:rsid w:val="00977B34"/>
    <w:rsid w:val="00981325"/>
    <w:rsid w:val="009842C4"/>
    <w:rsid w:val="00984463"/>
    <w:rsid w:val="009846FA"/>
    <w:rsid w:val="009854AA"/>
    <w:rsid w:val="00986EE1"/>
    <w:rsid w:val="009874D0"/>
    <w:rsid w:val="0098778F"/>
    <w:rsid w:val="00987B90"/>
    <w:rsid w:val="00987CA4"/>
    <w:rsid w:val="00990092"/>
    <w:rsid w:val="00990934"/>
    <w:rsid w:val="00990F96"/>
    <w:rsid w:val="00992BE9"/>
    <w:rsid w:val="0099390E"/>
    <w:rsid w:val="009946D5"/>
    <w:rsid w:val="00995485"/>
    <w:rsid w:val="00995BBC"/>
    <w:rsid w:val="00995F6E"/>
    <w:rsid w:val="009960E5"/>
    <w:rsid w:val="00997D6F"/>
    <w:rsid w:val="009A383D"/>
    <w:rsid w:val="009A40F2"/>
    <w:rsid w:val="009A481C"/>
    <w:rsid w:val="009A6121"/>
    <w:rsid w:val="009A6D6E"/>
    <w:rsid w:val="009A77BF"/>
    <w:rsid w:val="009A7ADC"/>
    <w:rsid w:val="009B0D30"/>
    <w:rsid w:val="009B44EF"/>
    <w:rsid w:val="009B4590"/>
    <w:rsid w:val="009B4BF5"/>
    <w:rsid w:val="009B5013"/>
    <w:rsid w:val="009C06B4"/>
    <w:rsid w:val="009C19B7"/>
    <w:rsid w:val="009C59FF"/>
    <w:rsid w:val="009C5ABB"/>
    <w:rsid w:val="009C6EBC"/>
    <w:rsid w:val="009C7005"/>
    <w:rsid w:val="009C793E"/>
    <w:rsid w:val="009C7DD7"/>
    <w:rsid w:val="009D4649"/>
    <w:rsid w:val="009D52E6"/>
    <w:rsid w:val="009D57BD"/>
    <w:rsid w:val="009D69A1"/>
    <w:rsid w:val="009D7C51"/>
    <w:rsid w:val="009E0205"/>
    <w:rsid w:val="009E07C8"/>
    <w:rsid w:val="009E0CE2"/>
    <w:rsid w:val="009E196C"/>
    <w:rsid w:val="009E2EB0"/>
    <w:rsid w:val="009E3D96"/>
    <w:rsid w:val="009E4CE6"/>
    <w:rsid w:val="009E5648"/>
    <w:rsid w:val="009E5AE5"/>
    <w:rsid w:val="009E6A0A"/>
    <w:rsid w:val="009F0332"/>
    <w:rsid w:val="009F112C"/>
    <w:rsid w:val="009F26AB"/>
    <w:rsid w:val="009F2B0C"/>
    <w:rsid w:val="009F3322"/>
    <w:rsid w:val="009F36BF"/>
    <w:rsid w:val="009F48B6"/>
    <w:rsid w:val="009F6581"/>
    <w:rsid w:val="009F6C27"/>
    <w:rsid w:val="009F6DF8"/>
    <w:rsid w:val="009F752A"/>
    <w:rsid w:val="009F786B"/>
    <w:rsid w:val="009F7888"/>
    <w:rsid w:val="00A00C57"/>
    <w:rsid w:val="00A0127C"/>
    <w:rsid w:val="00A0222C"/>
    <w:rsid w:val="00A02C19"/>
    <w:rsid w:val="00A036E4"/>
    <w:rsid w:val="00A07500"/>
    <w:rsid w:val="00A07F1D"/>
    <w:rsid w:val="00A111B6"/>
    <w:rsid w:val="00A14E26"/>
    <w:rsid w:val="00A169FD"/>
    <w:rsid w:val="00A16AF2"/>
    <w:rsid w:val="00A16EAF"/>
    <w:rsid w:val="00A17A8F"/>
    <w:rsid w:val="00A20453"/>
    <w:rsid w:val="00A2203C"/>
    <w:rsid w:val="00A22184"/>
    <w:rsid w:val="00A224E8"/>
    <w:rsid w:val="00A247FD"/>
    <w:rsid w:val="00A2663A"/>
    <w:rsid w:val="00A26D27"/>
    <w:rsid w:val="00A2786A"/>
    <w:rsid w:val="00A30950"/>
    <w:rsid w:val="00A30A3D"/>
    <w:rsid w:val="00A30E53"/>
    <w:rsid w:val="00A314A5"/>
    <w:rsid w:val="00A31ACE"/>
    <w:rsid w:val="00A31BA2"/>
    <w:rsid w:val="00A324B6"/>
    <w:rsid w:val="00A3259E"/>
    <w:rsid w:val="00A32E2B"/>
    <w:rsid w:val="00A335E5"/>
    <w:rsid w:val="00A33F2E"/>
    <w:rsid w:val="00A3425F"/>
    <w:rsid w:val="00A36B22"/>
    <w:rsid w:val="00A376EE"/>
    <w:rsid w:val="00A40AF3"/>
    <w:rsid w:val="00A42A42"/>
    <w:rsid w:val="00A42A99"/>
    <w:rsid w:val="00A43905"/>
    <w:rsid w:val="00A44429"/>
    <w:rsid w:val="00A45068"/>
    <w:rsid w:val="00A4525F"/>
    <w:rsid w:val="00A47BE7"/>
    <w:rsid w:val="00A47DB5"/>
    <w:rsid w:val="00A50B8E"/>
    <w:rsid w:val="00A5151A"/>
    <w:rsid w:val="00A53CF9"/>
    <w:rsid w:val="00A55913"/>
    <w:rsid w:val="00A56725"/>
    <w:rsid w:val="00A57E0A"/>
    <w:rsid w:val="00A60624"/>
    <w:rsid w:val="00A64942"/>
    <w:rsid w:val="00A64978"/>
    <w:rsid w:val="00A65168"/>
    <w:rsid w:val="00A65F24"/>
    <w:rsid w:val="00A7061E"/>
    <w:rsid w:val="00A735BE"/>
    <w:rsid w:val="00A7369E"/>
    <w:rsid w:val="00A7663C"/>
    <w:rsid w:val="00A770C6"/>
    <w:rsid w:val="00A77919"/>
    <w:rsid w:val="00A806B8"/>
    <w:rsid w:val="00A80CE5"/>
    <w:rsid w:val="00A823F6"/>
    <w:rsid w:val="00A82770"/>
    <w:rsid w:val="00A8432D"/>
    <w:rsid w:val="00A85592"/>
    <w:rsid w:val="00A86CCB"/>
    <w:rsid w:val="00A8719E"/>
    <w:rsid w:val="00A87587"/>
    <w:rsid w:val="00A9184B"/>
    <w:rsid w:val="00A94EB9"/>
    <w:rsid w:val="00A96B59"/>
    <w:rsid w:val="00A97208"/>
    <w:rsid w:val="00AA07A3"/>
    <w:rsid w:val="00AA0A89"/>
    <w:rsid w:val="00AA1C42"/>
    <w:rsid w:val="00AA2391"/>
    <w:rsid w:val="00AA23AA"/>
    <w:rsid w:val="00AA3300"/>
    <w:rsid w:val="00AA5368"/>
    <w:rsid w:val="00AA6429"/>
    <w:rsid w:val="00AA76FB"/>
    <w:rsid w:val="00AA7961"/>
    <w:rsid w:val="00AA7EDD"/>
    <w:rsid w:val="00AB002E"/>
    <w:rsid w:val="00AB0100"/>
    <w:rsid w:val="00AB0E38"/>
    <w:rsid w:val="00AB1FE0"/>
    <w:rsid w:val="00AB42F1"/>
    <w:rsid w:val="00AB478D"/>
    <w:rsid w:val="00AB4C67"/>
    <w:rsid w:val="00AB6689"/>
    <w:rsid w:val="00AB7CC5"/>
    <w:rsid w:val="00AC01AA"/>
    <w:rsid w:val="00AC22AC"/>
    <w:rsid w:val="00AC29BE"/>
    <w:rsid w:val="00AC3AEF"/>
    <w:rsid w:val="00AC3EE9"/>
    <w:rsid w:val="00AC3F18"/>
    <w:rsid w:val="00AC433E"/>
    <w:rsid w:val="00AC4F72"/>
    <w:rsid w:val="00AC5041"/>
    <w:rsid w:val="00AC615F"/>
    <w:rsid w:val="00AC734A"/>
    <w:rsid w:val="00AD0205"/>
    <w:rsid w:val="00AD113B"/>
    <w:rsid w:val="00AD1F4B"/>
    <w:rsid w:val="00AD2D4A"/>
    <w:rsid w:val="00AD2E11"/>
    <w:rsid w:val="00AD410B"/>
    <w:rsid w:val="00AD5DE1"/>
    <w:rsid w:val="00AD5E0C"/>
    <w:rsid w:val="00AD633D"/>
    <w:rsid w:val="00AD6F9A"/>
    <w:rsid w:val="00AD7AA9"/>
    <w:rsid w:val="00AD7C00"/>
    <w:rsid w:val="00AE022A"/>
    <w:rsid w:val="00AE1848"/>
    <w:rsid w:val="00AE39C6"/>
    <w:rsid w:val="00AE482E"/>
    <w:rsid w:val="00AE5322"/>
    <w:rsid w:val="00AE71C2"/>
    <w:rsid w:val="00AE7D18"/>
    <w:rsid w:val="00AF15D7"/>
    <w:rsid w:val="00AF185C"/>
    <w:rsid w:val="00AF1B39"/>
    <w:rsid w:val="00AF2E13"/>
    <w:rsid w:val="00AF4466"/>
    <w:rsid w:val="00AF46D7"/>
    <w:rsid w:val="00AF4DE1"/>
    <w:rsid w:val="00AF5E52"/>
    <w:rsid w:val="00AF741A"/>
    <w:rsid w:val="00B00233"/>
    <w:rsid w:val="00B01ADB"/>
    <w:rsid w:val="00B03035"/>
    <w:rsid w:val="00B04161"/>
    <w:rsid w:val="00B04BDA"/>
    <w:rsid w:val="00B056F9"/>
    <w:rsid w:val="00B0724B"/>
    <w:rsid w:val="00B10597"/>
    <w:rsid w:val="00B116D7"/>
    <w:rsid w:val="00B11886"/>
    <w:rsid w:val="00B11A05"/>
    <w:rsid w:val="00B11B30"/>
    <w:rsid w:val="00B11E3D"/>
    <w:rsid w:val="00B11F27"/>
    <w:rsid w:val="00B12711"/>
    <w:rsid w:val="00B128E2"/>
    <w:rsid w:val="00B133B5"/>
    <w:rsid w:val="00B13C0F"/>
    <w:rsid w:val="00B14681"/>
    <w:rsid w:val="00B14D2C"/>
    <w:rsid w:val="00B16F27"/>
    <w:rsid w:val="00B17E82"/>
    <w:rsid w:val="00B223F7"/>
    <w:rsid w:val="00B22661"/>
    <w:rsid w:val="00B242DE"/>
    <w:rsid w:val="00B254D9"/>
    <w:rsid w:val="00B26A6C"/>
    <w:rsid w:val="00B27394"/>
    <w:rsid w:val="00B317CE"/>
    <w:rsid w:val="00B32F2F"/>
    <w:rsid w:val="00B35FCB"/>
    <w:rsid w:val="00B371D3"/>
    <w:rsid w:val="00B407A0"/>
    <w:rsid w:val="00B40A23"/>
    <w:rsid w:val="00B42E6D"/>
    <w:rsid w:val="00B44F43"/>
    <w:rsid w:val="00B45088"/>
    <w:rsid w:val="00B4575A"/>
    <w:rsid w:val="00B46F5B"/>
    <w:rsid w:val="00B47A77"/>
    <w:rsid w:val="00B50B08"/>
    <w:rsid w:val="00B51D38"/>
    <w:rsid w:val="00B51EEA"/>
    <w:rsid w:val="00B55EC1"/>
    <w:rsid w:val="00B575BA"/>
    <w:rsid w:val="00B57A6D"/>
    <w:rsid w:val="00B57AD8"/>
    <w:rsid w:val="00B60056"/>
    <w:rsid w:val="00B617D5"/>
    <w:rsid w:val="00B61DF5"/>
    <w:rsid w:val="00B62645"/>
    <w:rsid w:val="00B645A2"/>
    <w:rsid w:val="00B64C2D"/>
    <w:rsid w:val="00B65204"/>
    <w:rsid w:val="00B65A18"/>
    <w:rsid w:val="00B6601B"/>
    <w:rsid w:val="00B676D4"/>
    <w:rsid w:val="00B678A9"/>
    <w:rsid w:val="00B701A0"/>
    <w:rsid w:val="00B7095A"/>
    <w:rsid w:val="00B70D1C"/>
    <w:rsid w:val="00B70EFE"/>
    <w:rsid w:val="00B71608"/>
    <w:rsid w:val="00B71C4A"/>
    <w:rsid w:val="00B7296D"/>
    <w:rsid w:val="00B74F49"/>
    <w:rsid w:val="00B75EA6"/>
    <w:rsid w:val="00B75F5B"/>
    <w:rsid w:val="00B76429"/>
    <w:rsid w:val="00B770C6"/>
    <w:rsid w:val="00B80CF9"/>
    <w:rsid w:val="00B813C9"/>
    <w:rsid w:val="00B8143E"/>
    <w:rsid w:val="00B8181E"/>
    <w:rsid w:val="00B81CE3"/>
    <w:rsid w:val="00B83107"/>
    <w:rsid w:val="00B849EC"/>
    <w:rsid w:val="00B85776"/>
    <w:rsid w:val="00B85AA6"/>
    <w:rsid w:val="00B85B61"/>
    <w:rsid w:val="00B86471"/>
    <w:rsid w:val="00B87334"/>
    <w:rsid w:val="00B90536"/>
    <w:rsid w:val="00B90FF1"/>
    <w:rsid w:val="00B91237"/>
    <w:rsid w:val="00B91613"/>
    <w:rsid w:val="00B918D0"/>
    <w:rsid w:val="00B9246D"/>
    <w:rsid w:val="00B92EF4"/>
    <w:rsid w:val="00B956D4"/>
    <w:rsid w:val="00B972F9"/>
    <w:rsid w:val="00B97446"/>
    <w:rsid w:val="00BA030D"/>
    <w:rsid w:val="00BA0838"/>
    <w:rsid w:val="00BA1354"/>
    <w:rsid w:val="00BA15A0"/>
    <w:rsid w:val="00BA1A91"/>
    <w:rsid w:val="00BA2B55"/>
    <w:rsid w:val="00BA4CA3"/>
    <w:rsid w:val="00BA5262"/>
    <w:rsid w:val="00BA7432"/>
    <w:rsid w:val="00BA782F"/>
    <w:rsid w:val="00BB201B"/>
    <w:rsid w:val="00BB2764"/>
    <w:rsid w:val="00BB315D"/>
    <w:rsid w:val="00BB3385"/>
    <w:rsid w:val="00BB3649"/>
    <w:rsid w:val="00BB504F"/>
    <w:rsid w:val="00BB6880"/>
    <w:rsid w:val="00BB6C8B"/>
    <w:rsid w:val="00BC0AF0"/>
    <w:rsid w:val="00BC0BCE"/>
    <w:rsid w:val="00BC10D7"/>
    <w:rsid w:val="00BC1AA0"/>
    <w:rsid w:val="00BC1BC6"/>
    <w:rsid w:val="00BC2495"/>
    <w:rsid w:val="00BC30BF"/>
    <w:rsid w:val="00BC314A"/>
    <w:rsid w:val="00BC4F39"/>
    <w:rsid w:val="00BC5B59"/>
    <w:rsid w:val="00BC7D11"/>
    <w:rsid w:val="00BC7EB9"/>
    <w:rsid w:val="00BD2643"/>
    <w:rsid w:val="00BD304B"/>
    <w:rsid w:val="00BD370F"/>
    <w:rsid w:val="00BD45AB"/>
    <w:rsid w:val="00BD56B1"/>
    <w:rsid w:val="00BD56C2"/>
    <w:rsid w:val="00BD6558"/>
    <w:rsid w:val="00BE0629"/>
    <w:rsid w:val="00BE0F4E"/>
    <w:rsid w:val="00BE1120"/>
    <w:rsid w:val="00BE126C"/>
    <w:rsid w:val="00BE190D"/>
    <w:rsid w:val="00BE2393"/>
    <w:rsid w:val="00BE24E8"/>
    <w:rsid w:val="00BE2DAA"/>
    <w:rsid w:val="00BE3640"/>
    <w:rsid w:val="00BE4184"/>
    <w:rsid w:val="00BE433D"/>
    <w:rsid w:val="00BE46D7"/>
    <w:rsid w:val="00BE58BA"/>
    <w:rsid w:val="00BF0BEA"/>
    <w:rsid w:val="00BF0E0C"/>
    <w:rsid w:val="00BF0EAF"/>
    <w:rsid w:val="00BF12BF"/>
    <w:rsid w:val="00BF22F3"/>
    <w:rsid w:val="00BF2871"/>
    <w:rsid w:val="00BF2AD7"/>
    <w:rsid w:val="00BF2F76"/>
    <w:rsid w:val="00BF3022"/>
    <w:rsid w:val="00BF3214"/>
    <w:rsid w:val="00BF49A5"/>
    <w:rsid w:val="00BF4C95"/>
    <w:rsid w:val="00BF4E5B"/>
    <w:rsid w:val="00BF4FA1"/>
    <w:rsid w:val="00BF5230"/>
    <w:rsid w:val="00BF5573"/>
    <w:rsid w:val="00BF589C"/>
    <w:rsid w:val="00BF6359"/>
    <w:rsid w:val="00C00021"/>
    <w:rsid w:val="00C00FEA"/>
    <w:rsid w:val="00C03595"/>
    <w:rsid w:val="00C03742"/>
    <w:rsid w:val="00C03A44"/>
    <w:rsid w:val="00C05DE3"/>
    <w:rsid w:val="00C0676B"/>
    <w:rsid w:val="00C07127"/>
    <w:rsid w:val="00C101F7"/>
    <w:rsid w:val="00C10243"/>
    <w:rsid w:val="00C12658"/>
    <w:rsid w:val="00C1434F"/>
    <w:rsid w:val="00C14D21"/>
    <w:rsid w:val="00C15867"/>
    <w:rsid w:val="00C1689C"/>
    <w:rsid w:val="00C17667"/>
    <w:rsid w:val="00C20D41"/>
    <w:rsid w:val="00C22398"/>
    <w:rsid w:val="00C2296D"/>
    <w:rsid w:val="00C23155"/>
    <w:rsid w:val="00C23DA2"/>
    <w:rsid w:val="00C2416F"/>
    <w:rsid w:val="00C255E4"/>
    <w:rsid w:val="00C25CC3"/>
    <w:rsid w:val="00C25CC4"/>
    <w:rsid w:val="00C25EA1"/>
    <w:rsid w:val="00C2663D"/>
    <w:rsid w:val="00C30283"/>
    <w:rsid w:val="00C30970"/>
    <w:rsid w:val="00C30C33"/>
    <w:rsid w:val="00C31AFF"/>
    <w:rsid w:val="00C31F5B"/>
    <w:rsid w:val="00C32829"/>
    <w:rsid w:val="00C3306A"/>
    <w:rsid w:val="00C33528"/>
    <w:rsid w:val="00C33AB0"/>
    <w:rsid w:val="00C34E19"/>
    <w:rsid w:val="00C3673E"/>
    <w:rsid w:val="00C367A7"/>
    <w:rsid w:val="00C40C41"/>
    <w:rsid w:val="00C41B4F"/>
    <w:rsid w:val="00C42D56"/>
    <w:rsid w:val="00C43111"/>
    <w:rsid w:val="00C448A4"/>
    <w:rsid w:val="00C44CFB"/>
    <w:rsid w:val="00C45885"/>
    <w:rsid w:val="00C461FA"/>
    <w:rsid w:val="00C47538"/>
    <w:rsid w:val="00C50F22"/>
    <w:rsid w:val="00C51522"/>
    <w:rsid w:val="00C51D19"/>
    <w:rsid w:val="00C547F4"/>
    <w:rsid w:val="00C54FA6"/>
    <w:rsid w:val="00C56812"/>
    <w:rsid w:val="00C57971"/>
    <w:rsid w:val="00C57BB0"/>
    <w:rsid w:val="00C57C02"/>
    <w:rsid w:val="00C62B4B"/>
    <w:rsid w:val="00C62F4E"/>
    <w:rsid w:val="00C63024"/>
    <w:rsid w:val="00C6315D"/>
    <w:rsid w:val="00C63398"/>
    <w:rsid w:val="00C636A6"/>
    <w:rsid w:val="00C6479C"/>
    <w:rsid w:val="00C65BD7"/>
    <w:rsid w:val="00C67752"/>
    <w:rsid w:val="00C7063F"/>
    <w:rsid w:val="00C71D4A"/>
    <w:rsid w:val="00C76BA4"/>
    <w:rsid w:val="00C774F2"/>
    <w:rsid w:val="00C77616"/>
    <w:rsid w:val="00C77EBC"/>
    <w:rsid w:val="00C80541"/>
    <w:rsid w:val="00C82924"/>
    <w:rsid w:val="00C82A3E"/>
    <w:rsid w:val="00C8340E"/>
    <w:rsid w:val="00C83A48"/>
    <w:rsid w:val="00C84121"/>
    <w:rsid w:val="00C85865"/>
    <w:rsid w:val="00C85E85"/>
    <w:rsid w:val="00C86A5D"/>
    <w:rsid w:val="00C908FD"/>
    <w:rsid w:val="00C9095D"/>
    <w:rsid w:val="00C926C8"/>
    <w:rsid w:val="00C92FCB"/>
    <w:rsid w:val="00C93DFE"/>
    <w:rsid w:val="00C953BF"/>
    <w:rsid w:val="00C97E18"/>
    <w:rsid w:val="00CA03DA"/>
    <w:rsid w:val="00CA13D5"/>
    <w:rsid w:val="00CA2EAE"/>
    <w:rsid w:val="00CA30DC"/>
    <w:rsid w:val="00CA319B"/>
    <w:rsid w:val="00CA3933"/>
    <w:rsid w:val="00CA3BA1"/>
    <w:rsid w:val="00CA4AC1"/>
    <w:rsid w:val="00CA5784"/>
    <w:rsid w:val="00CA5833"/>
    <w:rsid w:val="00CA59FB"/>
    <w:rsid w:val="00CA6055"/>
    <w:rsid w:val="00CA68A2"/>
    <w:rsid w:val="00CA6A2B"/>
    <w:rsid w:val="00CB0316"/>
    <w:rsid w:val="00CB049E"/>
    <w:rsid w:val="00CB0B11"/>
    <w:rsid w:val="00CB1DBA"/>
    <w:rsid w:val="00CB26A4"/>
    <w:rsid w:val="00CB26C4"/>
    <w:rsid w:val="00CB426A"/>
    <w:rsid w:val="00CB4A66"/>
    <w:rsid w:val="00CB5354"/>
    <w:rsid w:val="00CB5AF6"/>
    <w:rsid w:val="00CB5C8F"/>
    <w:rsid w:val="00CB5E6F"/>
    <w:rsid w:val="00CB67A2"/>
    <w:rsid w:val="00CB6963"/>
    <w:rsid w:val="00CC12C0"/>
    <w:rsid w:val="00CC1FE7"/>
    <w:rsid w:val="00CC2435"/>
    <w:rsid w:val="00CC3243"/>
    <w:rsid w:val="00CC3C9E"/>
    <w:rsid w:val="00CC6A14"/>
    <w:rsid w:val="00CC70A3"/>
    <w:rsid w:val="00CD2029"/>
    <w:rsid w:val="00CD2612"/>
    <w:rsid w:val="00CD33F3"/>
    <w:rsid w:val="00CD43F3"/>
    <w:rsid w:val="00CD4442"/>
    <w:rsid w:val="00CD53C3"/>
    <w:rsid w:val="00CD574E"/>
    <w:rsid w:val="00CD6907"/>
    <w:rsid w:val="00CE0951"/>
    <w:rsid w:val="00CE0A0A"/>
    <w:rsid w:val="00CE3CD9"/>
    <w:rsid w:val="00CE4C22"/>
    <w:rsid w:val="00CE5FDD"/>
    <w:rsid w:val="00CE6038"/>
    <w:rsid w:val="00CE76E5"/>
    <w:rsid w:val="00CF0036"/>
    <w:rsid w:val="00CF10FA"/>
    <w:rsid w:val="00CF41EC"/>
    <w:rsid w:val="00CF5AC2"/>
    <w:rsid w:val="00CF5D04"/>
    <w:rsid w:val="00CF6F75"/>
    <w:rsid w:val="00CF735C"/>
    <w:rsid w:val="00CF7813"/>
    <w:rsid w:val="00D0016E"/>
    <w:rsid w:val="00D00FE3"/>
    <w:rsid w:val="00D01735"/>
    <w:rsid w:val="00D01CD5"/>
    <w:rsid w:val="00D021E0"/>
    <w:rsid w:val="00D0273D"/>
    <w:rsid w:val="00D02E66"/>
    <w:rsid w:val="00D030C9"/>
    <w:rsid w:val="00D03591"/>
    <w:rsid w:val="00D03817"/>
    <w:rsid w:val="00D03915"/>
    <w:rsid w:val="00D04187"/>
    <w:rsid w:val="00D04DE4"/>
    <w:rsid w:val="00D05819"/>
    <w:rsid w:val="00D063F1"/>
    <w:rsid w:val="00D06EC8"/>
    <w:rsid w:val="00D07FBE"/>
    <w:rsid w:val="00D109F4"/>
    <w:rsid w:val="00D11735"/>
    <w:rsid w:val="00D121C9"/>
    <w:rsid w:val="00D127C9"/>
    <w:rsid w:val="00D1290A"/>
    <w:rsid w:val="00D12E19"/>
    <w:rsid w:val="00D12F37"/>
    <w:rsid w:val="00D14531"/>
    <w:rsid w:val="00D14CCA"/>
    <w:rsid w:val="00D14F22"/>
    <w:rsid w:val="00D15E4D"/>
    <w:rsid w:val="00D16038"/>
    <w:rsid w:val="00D20F1F"/>
    <w:rsid w:val="00D21945"/>
    <w:rsid w:val="00D2194B"/>
    <w:rsid w:val="00D22D07"/>
    <w:rsid w:val="00D25930"/>
    <w:rsid w:val="00D26D68"/>
    <w:rsid w:val="00D31317"/>
    <w:rsid w:val="00D31B56"/>
    <w:rsid w:val="00D35178"/>
    <w:rsid w:val="00D35BEE"/>
    <w:rsid w:val="00D35D49"/>
    <w:rsid w:val="00D35DF2"/>
    <w:rsid w:val="00D37F01"/>
    <w:rsid w:val="00D423D4"/>
    <w:rsid w:val="00D44B53"/>
    <w:rsid w:val="00D4741C"/>
    <w:rsid w:val="00D4744F"/>
    <w:rsid w:val="00D50C41"/>
    <w:rsid w:val="00D5187B"/>
    <w:rsid w:val="00D527EF"/>
    <w:rsid w:val="00D52B1D"/>
    <w:rsid w:val="00D540AF"/>
    <w:rsid w:val="00D544F0"/>
    <w:rsid w:val="00D551A4"/>
    <w:rsid w:val="00D55C76"/>
    <w:rsid w:val="00D56108"/>
    <w:rsid w:val="00D565D9"/>
    <w:rsid w:val="00D57918"/>
    <w:rsid w:val="00D60618"/>
    <w:rsid w:val="00D63FE2"/>
    <w:rsid w:val="00D65CA1"/>
    <w:rsid w:val="00D664DC"/>
    <w:rsid w:val="00D66A78"/>
    <w:rsid w:val="00D72014"/>
    <w:rsid w:val="00D722CC"/>
    <w:rsid w:val="00D7257C"/>
    <w:rsid w:val="00D7261A"/>
    <w:rsid w:val="00D72BC7"/>
    <w:rsid w:val="00D72DFE"/>
    <w:rsid w:val="00D73302"/>
    <w:rsid w:val="00D7379B"/>
    <w:rsid w:val="00D73DC6"/>
    <w:rsid w:val="00D74C1A"/>
    <w:rsid w:val="00D754C0"/>
    <w:rsid w:val="00D754C1"/>
    <w:rsid w:val="00D75576"/>
    <w:rsid w:val="00D77393"/>
    <w:rsid w:val="00D77A35"/>
    <w:rsid w:val="00D80EA8"/>
    <w:rsid w:val="00D81B3E"/>
    <w:rsid w:val="00D85651"/>
    <w:rsid w:val="00D86EFC"/>
    <w:rsid w:val="00D87BA4"/>
    <w:rsid w:val="00D87DB4"/>
    <w:rsid w:val="00D90C70"/>
    <w:rsid w:val="00D90E49"/>
    <w:rsid w:val="00D92FE9"/>
    <w:rsid w:val="00D934B4"/>
    <w:rsid w:val="00D945F1"/>
    <w:rsid w:val="00D947DD"/>
    <w:rsid w:val="00D969DC"/>
    <w:rsid w:val="00D96ADE"/>
    <w:rsid w:val="00D97D6D"/>
    <w:rsid w:val="00DA0179"/>
    <w:rsid w:val="00DA0CE2"/>
    <w:rsid w:val="00DA222B"/>
    <w:rsid w:val="00DA2387"/>
    <w:rsid w:val="00DA4BCA"/>
    <w:rsid w:val="00DB62DD"/>
    <w:rsid w:val="00DB6E60"/>
    <w:rsid w:val="00DB7F3B"/>
    <w:rsid w:val="00DC07D6"/>
    <w:rsid w:val="00DC2877"/>
    <w:rsid w:val="00DC2B9B"/>
    <w:rsid w:val="00DC4F8A"/>
    <w:rsid w:val="00DC521B"/>
    <w:rsid w:val="00DC561D"/>
    <w:rsid w:val="00DC6196"/>
    <w:rsid w:val="00DC636D"/>
    <w:rsid w:val="00DC6A10"/>
    <w:rsid w:val="00DC7A50"/>
    <w:rsid w:val="00DC7DB8"/>
    <w:rsid w:val="00DD192B"/>
    <w:rsid w:val="00DD28FD"/>
    <w:rsid w:val="00DD2FF2"/>
    <w:rsid w:val="00DD32BB"/>
    <w:rsid w:val="00DD3444"/>
    <w:rsid w:val="00DD3B9F"/>
    <w:rsid w:val="00DD3E31"/>
    <w:rsid w:val="00DE0106"/>
    <w:rsid w:val="00DE0A64"/>
    <w:rsid w:val="00DE4286"/>
    <w:rsid w:val="00DE4AD9"/>
    <w:rsid w:val="00DE589C"/>
    <w:rsid w:val="00DE657E"/>
    <w:rsid w:val="00DE6850"/>
    <w:rsid w:val="00DE6E58"/>
    <w:rsid w:val="00DF19E9"/>
    <w:rsid w:val="00DF3C6E"/>
    <w:rsid w:val="00DF4704"/>
    <w:rsid w:val="00DF48A0"/>
    <w:rsid w:val="00E01ED5"/>
    <w:rsid w:val="00E01F5A"/>
    <w:rsid w:val="00E024AA"/>
    <w:rsid w:val="00E02960"/>
    <w:rsid w:val="00E02A64"/>
    <w:rsid w:val="00E02B33"/>
    <w:rsid w:val="00E03100"/>
    <w:rsid w:val="00E06739"/>
    <w:rsid w:val="00E06FCA"/>
    <w:rsid w:val="00E0725B"/>
    <w:rsid w:val="00E072D9"/>
    <w:rsid w:val="00E103CE"/>
    <w:rsid w:val="00E11385"/>
    <w:rsid w:val="00E13F9A"/>
    <w:rsid w:val="00E140D7"/>
    <w:rsid w:val="00E14B1B"/>
    <w:rsid w:val="00E15C77"/>
    <w:rsid w:val="00E15FCA"/>
    <w:rsid w:val="00E16882"/>
    <w:rsid w:val="00E1693E"/>
    <w:rsid w:val="00E16A9B"/>
    <w:rsid w:val="00E201D2"/>
    <w:rsid w:val="00E2184F"/>
    <w:rsid w:val="00E22614"/>
    <w:rsid w:val="00E22AE1"/>
    <w:rsid w:val="00E24D70"/>
    <w:rsid w:val="00E24E3F"/>
    <w:rsid w:val="00E250F1"/>
    <w:rsid w:val="00E2524B"/>
    <w:rsid w:val="00E25A51"/>
    <w:rsid w:val="00E26BD1"/>
    <w:rsid w:val="00E304ED"/>
    <w:rsid w:val="00E32EE3"/>
    <w:rsid w:val="00E33422"/>
    <w:rsid w:val="00E33CEC"/>
    <w:rsid w:val="00E35155"/>
    <w:rsid w:val="00E35170"/>
    <w:rsid w:val="00E3550D"/>
    <w:rsid w:val="00E3730D"/>
    <w:rsid w:val="00E404A1"/>
    <w:rsid w:val="00E417B4"/>
    <w:rsid w:val="00E42C8B"/>
    <w:rsid w:val="00E440E8"/>
    <w:rsid w:val="00E44AA7"/>
    <w:rsid w:val="00E455D9"/>
    <w:rsid w:val="00E45940"/>
    <w:rsid w:val="00E52838"/>
    <w:rsid w:val="00E53D3A"/>
    <w:rsid w:val="00E57087"/>
    <w:rsid w:val="00E5713A"/>
    <w:rsid w:val="00E5754F"/>
    <w:rsid w:val="00E60BB5"/>
    <w:rsid w:val="00E612B1"/>
    <w:rsid w:val="00E614E0"/>
    <w:rsid w:val="00E65C6B"/>
    <w:rsid w:val="00E65DFA"/>
    <w:rsid w:val="00E70154"/>
    <w:rsid w:val="00E7025F"/>
    <w:rsid w:val="00E7181A"/>
    <w:rsid w:val="00E73F7F"/>
    <w:rsid w:val="00E743C4"/>
    <w:rsid w:val="00E753C6"/>
    <w:rsid w:val="00E753E8"/>
    <w:rsid w:val="00E757FF"/>
    <w:rsid w:val="00E76ABD"/>
    <w:rsid w:val="00E811A7"/>
    <w:rsid w:val="00E84DC3"/>
    <w:rsid w:val="00E85409"/>
    <w:rsid w:val="00E86928"/>
    <w:rsid w:val="00E91712"/>
    <w:rsid w:val="00E9339B"/>
    <w:rsid w:val="00E97ADF"/>
    <w:rsid w:val="00EA1817"/>
    <w:rsid w:val="00EA2052"/>
    <w:rsid w:val="00EA220E"/>
    <w:rsid w:val="00EA429F"/>
    <w:rsid w:val="00EA4F9E"/>
    <w:rsid w:val="00EA5366"/>
    <w:rsid w:val="00EA6327"/>
    <w:rsid w:val="00EA63CA"/>
    <w:rsid w:val="00EA6D3B"/>
    <w:rsid w:val="00EA7A29"/>
    <w:rsid w:val="00EA7FC2"/>
    <w:rsid w:val="00EB00AD"/>
    <w:rsid w:val="00EB0D32"/>
    <w:rsid w:val="00EB136C"/>
    <w:rsid w:val="00EB17C3"/>
    <w:rsid w:val="00EB1E8D"/>
    <w:rsid w:val="00EB31CD"/>
    <w:rsid w:val="00EB480E"/>
    <w:rsid w:val="00EB4EBD"/>
    <w:rsid w:val="00EB5EC6"/>
    <w:rsid w:val="00EB5F41"/>
    <w:rsid w:val="00EB66A4"/>
    <w:rsid w:val="00EB6BAD"/>
    <w:rsid w:val="00EB7FC9"/>
    <w:rsid w:val="00EC1ABD"/>
    <w:rsid w:val="00EC2FD6"/>
    <w:rsid w:val="00EC488E"/>
    <w:rsid w:val="00EC5146"/>
    <w:rsid w:val="00EC5B8C"/>
    <w:rsid w:val="00EC5D7A"/>
    <w:rsid w:val="00EC6025"/>
    <w:rsid w:val="00EC682D"/>
    <w:rsid w:val="00ED0FE4"/>
    <w:rsid w:val="00ED27E8"/>
    <w:rsid w:val="00ED4604"/>
    <w:rsid w:val="00ED4D52"/>
    <w:rsid w:val="00ED5772"/>
    <w:rsid w:val="00ED65A3"/>
    <w:rsid w:val="00ED7137"/>
    <w:rsid w:val="00ED758B"/>
    <w:rsid w:val="00ED7A2E"/>
    <w:rsid w:val="00ED7F16"/>
    <w:rsid w:val="00EE2FA2"/>
    <w:rsid w:val="00EE3762"/>
    <w:rsid w:val="00EE3A14"/>
    <w:rsid w:val="00EE5744"/>
    <w:rsid w:val="00EE62EB"/>
    <w:rsid w:val="00EE73B1"/>
    <w:rsid w:val="00EE7E63"/>
    <w:rsid w:val="00EF05BF"/>
    <w:rsid w:val="00EF06EA"/>
    <w:rsid w:val="00EF21FB"/>
    <w:rsid w:val="00EF37E5"/>
    <w:rsid w:val="00EF3D91"/>
    <w:rsid w:val="00F0034E"/>
    <w:rsid w:val="00F01798"/>
    <w:rsid w:val="00F02A1A"/>
    <w:rsid w:val="00F02CB2"/>
    <w:rsid w:val="00F03635"/>
    <w:rsid w:val="00F04904"/>
    <w:rsid w:val="00F064B3"/>
    <w:rsid w:val="00F07604"/>
    <w:rsid w:val="00F10333"/>
    <w:rsid w:val="00F10452"/>
    <w:rsid w:val="00F1273B"/>
    <w:rsid w:val="00F1527E"/>
    <w:rsid w:val="00F15ADD"/>
    <w:rsid w:val="00F165B4"/>
    <w:rsid w:val="00F17FB4"/>
    <w:rsid w:val="00F205C9"/>
    <w:rsid w:val="00F21088"/>
    <w:rsid w:val="00F21354"/>
    <w:rsid w:val="00F219C0"/>
    <w:rsid w:val="00F21ACD"/>
    <w:rsid w:val="00F249D7"/>
    <w:rsid w:val="00F25CAD"/>
    <w:rsid w:val="00F26491"/>
    <w:rsid w:val="00F26C92"/>
    <w:rsid w:val="00F27909"/>
    <w:rsid w:val="00F30178"/>
    <w:rsid w:val="00F3031A"/>
    <w:rsid w:val="00F31148"/>
    <w:rsid w:val="00F313F2"/>
    <w:rsid w:val="00F326BF"/>
    <w:rsid w:val="00F327E7"/>
    <w:rsid w:val="00F345C8"/>
    <w:rsid w:val="00F34D65"/>
    <w:rsid w:val="00F35746"/>
    <w:rsid w:val="00F3651E"/>
    <w:rsid w:val="00F378C3"/>
    <w:rsid w:val="00F43680"/>
    <w:rsid w:val="00F447C7"/>
    <w:rsid w:val="00F4562F"/>
    <w:rsid w:val="00F45773"/>
    <w:rsid w:val="00F459B4"/>
    <w:rsid w:val="00F45A38"/>
    <w:rsid w:val="00F45C02"/>
    <w:rsid w:val="00F47BDE"/>
    <w:rsid w:val="00F5211B"/>
    <w:rsid w:val="00F52227"/>
    <w:rsid w:val="00F53374"/>
    <w:rsid w:val="00F53A78"/>
    <w:rsid w:val="00F53B12"/>
    <w:rsid w:val="00F554A9"/>
    <w:rsid w:val="00F56A3E"/>
    <w:rsid w:val="00F56E1D"/>
    <w:rsid w:val="00F573D1"/>
    <w:rsid w:val="00F646D1"/>
    <w:rsid w:val="00F653FD"/>
    <w:rsid w:val="00F65492"/>
    <w:rsid w:val="00F65FA4"/>
    <w:rsid w:val="00F66E93"/>
    <w:rsid w:val="00F70F1B"/>
    <w:rsid w:val="00F710D2"/>
    <w:rsid w:val="00F71519"/>
    <w:rsid w:val="00F716FD"/>
    <w:rsid w:val="00F71812"/>
    <w:rsid w:val="00F73F82"/>
    <w:rsid w:val="00F742D4"/>
    <w:rsid w:val="00F7435E"/>
    <w:rsid w:val="00F7503B"/>
    <w:rsid w:val="00F75254"/>
    <w:rsid w:val="00F75C4B"/>
    <w:rsid w:val="00F75E15"/>
    <w:rsid w:val="00F77397"/>
    <w:rsid w:val="00F80355"/>
    <w:rsid w:val="00F83214"/>
    <w:rsid w:val="00F8733D"/>
    <w:rsid w:val="00F873D1"/>
    <w:rsid w:val="00F873E0"/>
    <w:rsid w:val="00F87487"/>
    <w:rsid w:val="00F87C43"/>
    <w:rsid w:val="00F901EC"/>
    <w:rsid w:val="00F9054E"/>
    <w:rsid w:val="00F9166F"/>
    <w:rsid w:val="00F92A95"/>
    <w:rsid w:val="00F93AF6"/>
    <w:rsid w:val="00F94052"/>
    <w:rsid w:val="00F940F6"/>
    <w:rsid w:val="00F94AC6"/>
    <w:rsid w:val="00F95FA5"/>
    <w:rsid w:val="00F9712F"/>
    <w:rsid w:val="00FA0460"/>
    <w:rsid w:val="00FA0E78"/>
    <w:rsid w:val="00FA26CD"/>
    <w:rsid w:val="00FA2896"/>
    <w:rsid w:val="00FA2D0C"/>
    <w:rsid w:val="00FA2DE4"/>
    <w:rsid w:val="00FA5722"/>
    <w:rsid w:val="00FA7A26"/>
    <w:rsid w:val="00FA7C67"/>
    <w:rsid w:val="00FB0C81"/>
    <w:rsid w:val="00FB1184"/>
    <w:rsid w:val="00FB2706"/>
    <w:rsid w:val="00FB3964"/>
    <w:rsid w:val="00FB39AB"/>
    <w:rsid w:val="00FB3F0A"/>
    <w:rsid w:val="00FB4160"/>
    <w:rsid w:val="00FB4188"/>
    <w:rsid w:val="00FB58F8"/>
    <w:rsid w:val="00FB5AEC"/>
    <w:rsid w:val="00FB6852"/>
    <w:rsid w:val="00FB73CA"/>
    <w:rsid w:val="00FC0A65"/>
    <w:rsid w:val="00FC1252"/>
    <w:rsid w:val="00FC1487"/>
    <w:rsid w:val="00FC1726"/>
    <w:rsid w:val="00FC2200"/>
    <w:rsid w:val="00FC2540"/>
    <w:rsid w:val="00FC29D6"/>
    <w:rsid w:val="00FC307F"/>
    <w:rsid w:val="00FC4680"/>
    <w:rsid w:val="00FC4D76"/>
    <w:rsid w:val="00FC4F2F"/>
    <w:rsid w:val="00FC572E"/>
    <w:rsid w:val="00FC5919"/>
    <w:rsid w:val="00FC69FF"/>
    <w:rsid w:val="00FC6DA5"/>
    <w:rsid w:val="00FC6EAC"/>
    <w:rsid w:val="00FC7182"/>
    <w:rsid w:val="00FD3131"/>
    <w:rsid w:val="00FD3268"/>
    <w:rsid w:val="00FD395B"/>
    <w:rsid w:val="00FE08A1"/>
    <w:rsid w:val="00FE0D37"/>
    <w:rsid w:val="00FE1572"/>
    <w:rsid w:val="00FE3F45"/>
    <w:rsid w:val="00FE436E"/>
    <w:rsid w:val="00FE5055"/>
    <w:rsid w:val="00FE6B05"/>
    <w:rsid w:val="00FE7D26"/>
    <w:rsid w:val="00FF0204"/>
    <w:rsid w:val="00FF0669"/>
    <w:rsid w:val="00FF180A"/>
    <w:rsid w:val="00FF2427"/>
    <w:rsid w:val="00FF2BAB"/>
    <w:rsid w:val="00FF3AED"/>
    <w:rsid w:val="00FF4125"/>
    <w:rsid w:val="00FF5C9A"/>
    <w:rsid w:val="00FF6A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F359A"/>
  <w15:docId w15:val="{053D2ADD-8DA7-4702-B263-06231A53F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NORMAL,Bullets,Heading,b1,l"/>
    <w:basedOn w:val="Normal"/>
    <w:link w:val="ListParagraphChar"/>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paragraph" w:customStyle="1" w:styleId="p1">
    <w:name w:val="p1"/>
    <w:basedOn w:val="Normal"/>
    <w:rsid w:val="00E16A9B"/>
    <w:pPr>
      <w:spacing w:before="100" w:beforeAutospacing="1" w:after="100" w:afterAutospacing="1"/>
      <w:jc w:val="left"/>
    </w:pPr>
    <w:rPr>
      <w:sz w:val="24"/>
      <w:szCs w:val="24"/>
      <w:lang w:eastAsia="zh-CN"/>
    </w:rPr>
  </w:style>
  <w:style w:type="character" w:customStyle="1" w:styleId="s1">
    <w:name w:val="s1"/>
    <w:basedOn w:val="DefaultParagraphFont"/>
    <w:rsid w:val="00DD2FF2"/>
  </w:style>
  <w:style w:type="paragraph" w:customStyle="1" w:styleId="p3">
    <w:name w:val="p3"/>
    <w:basedOn w:val="Normal"/>
    <w:rsid w:val="00AC3F18"/>
    <w:pPr>
      <w:spacing w:before="100" w:beforeAutospacing="1" w:after="100" w:afterAutospacing="1"/>
      <w:jc w:val="left"/>
    </w:pPr>
    <w:rPr>
      <w:sz w:val="24"/>
      <w:szCs w:val="24"/>
      <w:lang w:eastAsia="zh-CN"/>
    </w:rPr>
  </w:style>
  <w:style w:type="character" w:customStyle="1" w:styleId="cf01">
    <w:name w:val="cf01"/>
    <w:basedOn w:val="DefaultParagraphFont"/>
    <w:rsid w:val="005463E0"/>
    <w:rPr>
      <w:rFonts w:ascii="Segoe UI" w:hAnsi="Segoe UI" w:cs="Segoe UI" w:hint="default"/>
      <w:sz w:val="18"/>
      <w:szCs w:val="18"/>
    </w:rPr>
  </w:style>
  <w:style w:type="paragraph" w:customStyle="1" w:styleId="p2">
    <w:name w:val="p2"/>
    <w:basedOn w:val="Normal"/>
    <w:rsid w:val="005463E0"/>
    <w:pPr>
      <w:spacing w:before="100" w:beforeAutospacing="1" w:after="100" w:afterAutospacing="1"/>
      <w:jc w:val="left"/>
    </w:pPr>
    <w:rPr>
      <w:sz w:val="24"/>
      <w:szCs w:val="24"/>
      <w:lang w:eastAsia="zh-CN"/>
    </w:rPr>
  </w:style>
  <w:style w:type="paragraph" w:customStyle="1" w:styleId="font-claude-response-body">
    <w:name w:val="font-claude-response-body"/>
    <w:basedOn w:val="Normal"/>
    <w:rsid w:val="00B71C4A"/>
    <w:pPr>
      <w:spacing w:before="100" w:beforeAutospacing="1" w:after="100" w:afterAutospacing="1"/>
      <w:jc w:val="left"/>
    </w:pPr>
    <w:rPr>
      <w:sz w:val="24"/>
      <w:szCs w:val="24"/>
      <w:lang w:val="en-029"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B322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ABB66E7B-7746-4513-B5D8-BBCD6E8DF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1468</TotalTime>
  <Pages>30</Pages>
  <Words>12859</Words>
  <Characters>73300</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Project proposal: Saint Kitts and Nevis</vt:lpstr>
    </vt:vector>
  </TitlesOfParts>
  <Company>UNMFS</Company>
  <LinksUpToDate>false</LinksUpToDate>
  <CharactersWithSpaces>85988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Kitts and Nevis</dc:title>
  <dc:creator>RSR KM</dc:creator>
  <cp:keywords>98th ExCom, docId:BA9235BE29C74C256E2A0919B055205E</cp:keywords>
  <dc:description>HPMP stage request template + Agreement annex</dc:description>
  <cp:lastModifiedBy>Angela Xue He Yan</cp:lastModifiedBy>
  <cp:revision>25</cp:revision>
  <cp:lastPrinted>2026-06-11T18:34:00Z</cp:lastPrinted>
  <dcterms:created xsi:type="dcterms:W3CDTF">2026-06-09T14:25:00Z</dcterms:created>
  <dcterms:modified xsi:type="dcterms:W3CDTF">2026-06-11T18:34:00Z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UNEP/OzL.Pro/ExCom/98/46</vt:lpwstr>
  </property>
  <property fmtid="{D5CDD505-2E9C-101B-9397-08002B2CF9AE}" pid="3" name="Revision date">
    <vt:lpwstr>05/31/2026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417e921d-e63f-4b83-86be-e25cd094e934</vt:lpwstr>
  </property>
</Properties>
</file>