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FF1C6E" w:rsidRPr="003B5DEA" w14:paraId="580B18AD" w14:textId="77777777" w:rsidTr="00192B68">
        <w:trPr>
          <w:trHeight w:val="720"/>
        </w:trPr>
        <w:tc>
          <w:tcPr>
            <w:tcW w:w="6494" w:type="dxa"/>
            <w:gridSpan w:val="2"/>
            <w:tcBorders>
              <w:bottom w:val="single" w:sz="18" w:space="0" w:color="auto"/>
            </w:tcBorders>
          </w:tcPr>
          <w:p w14:paraId="223E30A9" w14:textId="77777777" w:rsidR="00FF1C6E" w:rsidRPr="003B5DEA" w:rsidRDefault="00FF1C6E" w:rsidP="00192B68">
            <w:pPr>
              <w:rPr>
                <w:rFonts w:ascii="Univers" w:hAnsi="Univers"/>
                <w:b/>
                <w:sz w:val="28"/>
                <w:szCs w:val="28"/>
                <w:lang w:val="es-MX"/>
              </w:rPr>
            </w:pPr>
            <w:r w:rsidRPr="003B5DEA">
              <w:rPr>
                <w:rFonts w:ascii="Univers" w:hAnsi="Univers"/>
                <w:b/>
                <w:sz w:val="28"/>
                <w:szCs w:val="28"/>
                <w:lang w:val="es-MX"/>
              </w:rPr>
              <w:t>NACIONES</w:t>
            </w:r>
          </w:p>
          <w:p w14:paraId="46DD8BA0" w14:textId="77777777" w:rsidR="00FF1C6E" w:rsidRPr="003B5DEA" w:rsidRDefault="00FF1C6E" w:rsidP="00192B68">
            <w:pPr>
              <w:rPr>
                <w:rFonts w:ascii="Univers" w:hAnsi="Univers"/>
                <w:b/>
                <w:sz w:val="28"/>
                <w:szCs w:val="28"/>
                <w:lang w:val="es-MX"/>
              </w:rPr>
            </w:pPr>
            <w:r w:rsidRPr="003B5DEA">
              <w:rPr>
                <w:rFonts w:ascii="Univers" w:hAnsi="Univers"/>
                <w:b/>
                <w:sz w:val="28"/>
                <w:szCs w:val="28"/>
                <w:lang w:val="es-MX"/>
              </w:rPr>
              <w:t>UNIDAS</w:t>
            </w:r>
          </w:p>
        </w:tc>
        <w:tc>
          <w:tcPr>
            <w:tcW w:w="3586" w:type="dxa"/>
            <w:tcBorders>
              <w:bottom w:val="single" w:sz="18" w:space="0" w:color="auto"/>
            </w:tcBorders>
          </w:tcPr>
          <w:p w14:paraId="3C4256DC" w14:textId="77777777" w:rsidR="00FF1C6E" w:rsidRPr="003B5DEA" w:rsidRDefault="00FF1C6E" w:rsidP="00192B68">
            <w:pPr>
              <w:jc w:val="right"/>
              <w:rPr>
                <w:rFonts w:asciiTheme="minorBidi" w:hAnsiTheme="minorBidi" w:cs="Arial"/>
                <w:sz w:val="52"/>
                <w:szCs w:val="52"/>
              </w:rPr>
            </w:pPr>
            <w:r w:rsidRPr="003B5DEA">
              <w:rPr>
                <w:rFonts w:asciiTheme="minorBidi" w:hAnsiTheme="minorBidi" w:cs="Arial"/>
                <w:b/>
                <w:sz w:val="72"/>
              </w:rPr>
              <w:t>EP</w:t>
            </w:r>
          </w:p>
        </w:tc>
      </w:tr>
      <w:tr w:rsidR="00FF1C6E" w:rsidRPr="003B5DEA" w14:paraId="56113D3B" w14:textId="77777777" w:rsidTr="00192B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BE8E1F" w14:textId="77777777" w:rsidR="00FF1C6E" w:rsidRPr="003B5DEA" w:rsidRDefault="00FF1C6E" w:rsidP="00192B68">
            <w:pPr>
              <w:spacing w:before="120"/>
            </w:pPr>
            <w:r w:rsidRPr="003B5DEA">
              <w:rPr>
                <w:noProof/>
              </w:rPr>
              <w:drawing>
                <wp:anchor distT="0" distB="0" distL="114300" distR="114300" simplePos="0" relativeHeight="251659264" behindDoc="0" locked="0" layoutInCell="1" allowOverlap="1" wp14:anchorId="40DCF97D" wp14:editId="19ECD361">
                  <wp:simplePos x="0" y="0"/>
                  <wp:positionH relativeFrom="column">
                    <wp:posOffset>74295</wp:posOffset>
                  </wp:positionH>
                  <wp:positionV relativeFrom="paragraph">
                    <wp:posOffset>845820</wp:posOffset>
                  </wp:positionV>
                  <wp:extent cx="781050" cy="704850"/>
                  <wp:effectExtent l="0" t="0" r="0" b="0"/>
                  <wp:wrapNone/>
                  <wp:docPr id="52584148" name="Picture 6" descr="P5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4148" name="Picture 6" descr="P5C3T1#y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3B5DEA">
              <w:rPr>
                <w:noProof/>
              </w:rPr>
              <w:drawing>
                <wp:anchor distT="0" distB="0" distL="114300" distR="114300" simplePos="0" relativeHeight="251660288" behindDoc="1" locked="0" layoutInCell="0" allowOverlap="1" wp14:anchorId="7AC6302A" wp14:editId="408DC5DF">
                  <wp:simplePos x="0" y="0"/>
                  <wp:positionH relativeFrom="column">
                    <wp:posOffset>64135</wp:posOffset>
                  </wp:positionH>
                  <wp:positionV relativeFrom="paragraph">
                    <wp:posOffset>93345</wp:posOffset>
                  </wp:positionV>
                  <wp:extent cx="790575" cy="731520"/>
                  <wp:effectExtent l="0" t="0" r="9525" b="0"/>
                  <wp:wrapNone/>
                  <wp:docPr id="945283686" name="Picture 5" descr="P5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83686" name="Picture 5" descr="P5C3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0575" cy="731520"/>
                          </a:xfrm>
                          <a:prstGeom prst="rect">
                            <a:avLst/>
                          </a:prstGeom>
                          <a:noFill/>
                          <a:ln>
                            <a:noFill/>
                          </a:ln>
                        </pic:spPr>
                      </pic:pic>
                    </a:graphicData>
                  </a:graphic>
                  <wp14:sizeRelH relativeFrom="margin">
                    <wp14:pctWidth>0</wp14:pctWidth>
                  </wp14:sizeRelH>
                  <wp14:sizeRelV relativeFrom="page">
                    <wp14:pctHeight>0</wp14:pctHeight>
                  </wp14:sizeRelV>
                </wp:anchor>
              </w:drawing>
            </w:r>
          </w:p>
        </w:tc>
        <w:tc>
          <w:tcPr>
            <w:tcW w:w="4424" w:type="dxa"/>
            <w:tcBorders>
              <w:top w:val="nil"/>
              <w:left w:val="nil"/>
              <w:bottom w:val="single" w:sz="36" w:space="0" w:color="auto"/>
              <w:right w:val="nil"/>
            </w:tcBorders>
          </w:tcPr>
          <w:p w14:paraId="755F1CF7" w14:textId="77777777" w:rsidR="00FF1C6E" w:rsidRPr="003B5DEA" w:rsidRDefault="00FF1C6E" w:rsidP="00192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CE72A89" w14:textId="77777777" w:rsidR="00FF1C6E" w:rsidRPr="003B5DEA" w:rsidRDefault="00FF1C6E" w:rsidP="00192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B5DEA">
              <w:rPr>
                <w:rFonts w:ascii="Univers" w:hAnsi="Univers"/>
                <w:b/>
                <w:sz w:val="32"/>
                <w:lang w:val="es-MX"/>
              </w:rPr>
              <w:t>Programa de las</w:t>
            </w:r>
          </w:p>
          <w:p w14:paraId="2B57BEE2" w14:textId="77777777" w:rsidR="00FF1C6E" w:rsidRPr="003B5DEA" w:rsidRDefault="00FF1C6E" w:rsidP="00192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B5DEA">
              <w:rPr>
                <w:rFonts w:ascii="Univers" w:hAnsi="Univers"/>
                <w:b/>
                <w:sz w:val="32"/>
                <w:lang w:val="es-MX"/>
              </w:rPr>
              <w:t>Naciones Unidas</w:t>
            </w:r>
          </w:p>
          <w:p w14:paraId="6042BA44" w14:textId="77777777" w:rsidR="00FF1C6E" w:rsidRPr="003B5DEA" w:rsidRDefault="00FF1C6E" w:rsidP="00192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B5DEA">
              <w:rPr>
                <w:rFonts w:ascii="Univers" w:hAnsi="Univers"/>
                <w:b/>
                <w:sz w:val="32"/>
                <w:lang w:val="es-MX"/>
              </w:rPr>
              <w:t>para el Medio Ambiente</w:t>
            </w:r>
          </w:p>
          <w:p w14:paraId="7AF0BE8E" w14:textId="77777777" w:rsidR="00FF1C6E" w:rsidRPr="003B5DEA" w:rsidRDefault="00FF1C6E" w:rsidP="00192B68">
            <w:pPr>
              <w:spacing w:before="720"/>
            </w:pPr>
          </w:p>
        </w:tc>
        <w:tc>
          <w:tcPr>
            <w:tcW w:w="3586" w:type="dxa"/>
            <w:tcBorders>
              <w:top w:val="nil"/>
              <w:left w:val="nil"/>
              <w:bottom w:val="single" w:sz="36" w:space="0" w:color="auto"/>
              <w:right w:val="nil"/>
            </w:tcBorders>
          </w:tcPr>
          <w:p w14:paraId="00CB5775" w14:textId="77777777" w:rsidR="00FF1C6E" w:rsidRPr="003B5DEA" w:rsidRDefault="00FF1C6E" w:rsidP="00192B68"/>
          <w:p w14:paraId="13E6DF60" w14:textId="77777777" w:rsidR="00FF1C6E" w:rsidRPr="003B5DEA" w:rsidRDefault="00FF1C6E" w:rsidP="00192B68">
            <w:r w:rsidRPr="003B5DEA">
              <w:t>Distr.</w:t>
            </w:r>
          </w:p>
          <w:p w14:paraId="1B141E60" w14:textId="77777777" w:rsidR="00FF1C6E" w:rsidRPr="003B5DEA" w:rsidRDefault="00FF1C6E" w:rsidP="00192B68">
            <w:r w:rsidRPr="003B5DEA">
              <w:t>GENERAL</w:t>
            </w:r>
          </w:p>
          <w:p w14:paraId="6DDE0634" w14:textId="77777777" w:rsidR="00FF1C6E" w:rsidRPr="003B5DEA" w:rsidRDefault="00FF1C6E" w:rsidP="00192B68"/>
          <w:p w14:paraId="79A0D95C" w14:textId="69E0CEF5" w:rsidR="00FF1C6E" w:rsidRPr="003B5DEA" w:rsidRDefault="00FF1C6E" w:rsidP="00192B68">
            <w:pPr>
              <w:rPr>
                <w:lang w:val="es-AR"/>
              </w:rPr>
            </w:pPr>
            <w:r w:rsidRPr="003B5DEA">
              <w:rPr>
                <w:lang w:val="es-AR"/>
              </w:rPr>
              <w:fldChar w:fldCharType="begin"/>
            </w:r>
            <w:r w:rsidRPr="003B5DEA">
              <w:rPr>
                <w:lang w:val="es-AR"/>
              </w:rPr>
              <w:instrText xml:space="preserve"> DOCPROPERTY "Document number"  \* MERGEFORMAT </w:instrText>
            </w:r>
            <w:r w:rsidRPr="003B5DEA">
              <w:rPr>
                <w:lang w:val="es-AR"/>
              </w:rPr>
              <w:fldChar w:fldCharType="separate"/>
            </w:r>
            <w:r>
              <w:rPr>
                <w:lang w:val="es-AR"/>
              </w:rPr>
              <w:t>UNEP/OzL.Pro/ExCom/97/47</w:t>
            </w:r>
            <w:r w:rsidRPr="003B5DEA">
              <w:rPr>
                <w:lang w:val="es-AR"/>
              </w:rPr>
              <w:fldChar w:fldCharType="end"/>
            </w:r>
          </w:p>
          <w:p w14:paraId="2ABF8633" w14:textId="77777777" w:rsidR="00FF1C6E" w:rsidRPr="003B5DEA" w:rsidRDefault="00FF1C6E" w:rsidP="00192B68">
            <w:pPr>
              <w:rPr>
                <w:lang w:val="es-ES_tradnl"/>
              </w:rPr>
            </w:pPr>
            <w:r w:rsidRPr="003B5DEA">
              <w:rPr>
                <w:lang w:val="fr-CA"/>
              </w:rPr>
              <w:fldChar w:fldCharType="begin"/>
            </w:r>
            <w:r w:rsidRPr="003B5DEA">
              <w:rPr>
                <w:lang w:val="fr-CA"/>
              </w:rPr>
              <w:instrText xml:space="preserve"> DOCPROPERTY "Revision date" \@ "d MMMM YYYY"  \* MERGEFORMAT </w:instrText>
            </w:r>
            <w:r w:rsidRPr="003B5DEA">
              <w:rPr>
                <w:lang w:val="fr-CA"/>
              </w:rPr>
              <w:fldChar w:fldCharType="separate"/>
            </w:r>
            <w:r>
              <w:rPr>
                <w:lang w:val="es-ES_tradnl"/>
              </w:rPr>
              <w:t>21</w:t>
            </w:r>
            <w:r w:rsidRPr="003B5DEA">
              <w:rPr>
                <w:lang w:val="es-ES_tradnl"/>
              </w:rPr>
              <w:t xml:space="preserve"> </w:t>
            </w:r>
            <w:r w:rsidRPr="00B65AD4">
              <w:rPr>
                <w:lang w:val="es-ES_tradnl"/>
              </w:rPr>
              <w:t>de octubre de</w:t>
            </w:r>
            <w:r w:rsidRPr="003B5DEA">
              <w:rPr>
                <w:lang w:val="es-ES_tradnl"/>
              </w:rPr>
              <w:t xml:space="preserve"> 2025</w:t>
            </w:r>
            <w:r w:rsidRPr="003B5DEA">
              <w:rPr>
                <w:lang w:val="fr-CA"/>
              </w:rPr>
              <w:fldChar w:fldCharType="end"/>
            </w:r>
          </w:p>
          <w:p w14:paraId="108C1C09" w14:textId="77777777" w:rsidR="00FF1C6E" w:rsidRPr="003B5DEA" w:rsidRDefault="00FF1C6E" w:rsidP="00192B68">
            <w:pPr>
              <w:rPr>
                <w:caps/>
                <w:lang w:val="es-ES_tradnl"/>
              </w:rPr>
            </w:pPr>
          </w:p>
          <w:p w14:paraId="6A1C4003" w14:textId="77777777" w:rsidR="00FF1C6E" w:rsidRPr="003B5DEA" w:rsidRDefault="00FF1C6E" w:rsidP="00192B68">
            <w:pPr>
              <w:rPr>
                <w:lang w:val="es-MX"/>
              </w:rPr>
            </w:pPr>
            <w:r w:rsidRPr="003B5DEA">
              <w:rPr>
                <w:lang w:val="es-MX"/>
              </w:rPr>
              <w:t xml:space="preserve">ESPAÑOL </w:t>
            </w:r>
          </w:p>
          <w:p w14:paraId="58D09C83" w14:textId="77777777" w:rsidR="00FF1C6E" w:rsidRPr="003B5DEA" w:rsidRDefault="00FF1C6E" w:rsidP="00192B68">
            <w:r w:rsidRPr="003B5DEA">
              <w:t xml:space="preserve">ORIGINAL: </w:t>
            </w:r>
            <w:r w:rsidRPr="003B5DEA">
              <w:rPr>
                <w:lang w:val="es-MX"/>
              </w:rPr>
              <w:t>INGLÉS</w:t>
            </w:r>
          </w:p>
        </w:tc>
      </w:tr>
    </w:tbl>
    <w:p w14:paraId="6E66F2FF" w14:textId="77777777" w:rsidR="00FF1C6E" w:rsidRPr="003B5DEA" w:rsidRDefault="00FF1C6E" w:rsidP="00FF1C6E">
      <w:pPr>
        <w:jc w:val="left"/>
        <w:rPr>
          <w:lang w:val="fr-CA"/>
        </w:rPr>
      </w:pPr>
      <w:r w:rsidRPr="003B5DEA">
        <w:rPr>
          <w:lang w:val="es-ES_tradnl"/>
        </w:rPr>
        <w:t>COMITÉ EJECUTIVO DEL FONDO MULTILATERAL</w:t>
      </w:r>
      <w:r w:rsidRPr="003B5DEA">
        <w:rPr>
          <w:lang w:val="es-ES_tradnl"/>
        </w:rPr>
        <w:br/>
        <w:t xml:space="preserve"> PARA LA APLICACIÓN DEL</w:t>
      </w:r>
      <w:r w:rsidRPr="003B5DEA">
        <w:rPr>
          <w:lang w:val="es-ES_tradnl"/>
        </w:rPr>
        <w:br/>
        <w:t xml:space="preserve"> PROTOCOLO DE MONTREAL</w:t>
      </w:r>
      <w:r w:rsidRPr="003B5DEA">
        <w:rPr>
          <w:lang w:val="es-ES_tradnl"/>
        </w:rPr>
        <w:br/>
      </w:r>
      <w:r w:rsidRPr="003B5DEA">
        <w:rPr>
          <w:lang w:val="fr-CA"/>
        </w:rPr>
        <w:t xml:space="preserve">Nonagésima séptima reunión </w:t>
      </w:r>
    </w:p>
    <w:p w14:paraId="7E85166C" w14:textId="77777777" w:rsidR="00FF1C6E" w:rsidRPr="003B5DEA" w:rsidRDefault="00FF1C6E" w:rsidP="00FF1C6E">
      <w:pPr>
        <w:jc w:val="left"/>
        <w:rPr>
          <w:lang w:val="fr-CA"/>
        </w:rPr>
      </w:pPr>
      <w:r w:rsidRPr="003B5DEA">
        <w:rPr>
          <w:lang w:val="fr-CA"/>
        </w:rPr>
        <w:t>Montreal, 1-5 de diciembre de 2025</w:t>
      </w:r>
    </w:p>
    <w:p w14:paraId="52BA1BC1" w14:textId="2312C99C" w:rsidR="00FF1C6E" w:rsidRPr="007833D4" w:rsidRDefault="00FF1C6E" w:rsidP="00FF1C6E">
      <w:pPr>
        <w:jc w:val="left"/>
        <w:rPr>
          <w:lang w:val="fr-CA"/>
        </w:rPr>
      </w:pPr>
      <w:r w:rsidRPr="003B5DEA">
        <w:t>Punto</w:t>
      </w:r>
      <w:r w:rsidRPr="007833D4">
        <w:rPr>
          <w:lang w:val="fr-CA"/>
        </w:rPr>
        <w:t xml:space="preserve"> </w:t>
      </w:r>
      <w:r w:rsidRPr="003B5DEA">
        <w:rPr>
          <w:lang w:val="es-ES_tradnl"/>
        </w:rPr>
        <w:t xml:space="preserve">9 </w:t>
      </w:r>
      <w:r>
        <w:rPr>
          <w:lang w:val="es-ES_tradnl"/>
        </w:rPr>
        <w:t>d</w:t>
      </w:r>
      <w:r w:rsidRPr="003B5DEA">
        <w:rPr>
          <w:lang w:val="es-ES_tradnl"/>
        </w:rPr>
        <w:t>)</w:t>
      </w:r>
      <w:r w:rsidRPr="003B5DEA">
        <w:rPr>
          <w:b/>
          <w:bCs/>
          <w:lang w:val="es-ES_tradnl"/>
        </w:rPr>
        <w:t xml:space="preserve"> </w:t>
      </w:r>
      <w:r w:rsidRPr="007833D4">
        <w:rPr>
          <w:lang w:val="fr-CA"/>
        </w:rPr>
        <w:t>del orden del día provisional</w:t>
      </w:r>
      <w:r w:rsidR="009A463A" w:rsidRPr="007833D4">
        <w:rPr>
          <w:rFonts w:ascii="ZWAdobeF" w:hAnsi="ZWAdobeF" w:cs="ZWAdobeF"/>
          <w:sz w:val="2"/>
          <w:szCs w:val="2"/>
          <w:lang w:val="fr-CA"/>
        </w:rPr>
        <w:t>0F</w:t>
      </w:r>
      <w:r w:rsidR="008923DA" w:rsidRPr="007833D4">
        <w:rPr>
          <w:rFonts w:ascii="ZWAdobeF" w:hAnsi="ZWAdobeF" w:cs="ZWAdobeF"/>
          <w:sz w:val="2"/>
          <w:szCs w:val="2"/>
          <w:lang w:val="fr-CA"/>
        </w:rPr>
        <w:t>0F</w:t>
      </w:r>
      <w:r w:rsidRPr="003B5DEA">
        <w:rPr>
          <w:vertAlign w:val="superscript"/>
        </w:rPr>
        <w:footnoteReference w:id="2"/>
      </w:r>
    </w:p>
    <w:p w14:paraId="48C791F4" w14:textId="77777777" w:rsidR="00FF1C6E" w:rsidRPr="007833D4" w:rsidRDefault="00FF1C6E" w:rsidP="00FF1C6E">
      <w:pPr>
        <w:jc w:val="left"/>
        <w:rPr>
          <w:lang w:val="fr-CA"/>
        </w:rPr>
      </w:pPr>
    </w:p>
    <w:p w14:paraId="2B372B7D" w14:textId="77777777" w:rsidR="00FF1C6E" w:rsidRPr="007833D4" w:rsidRDefault="00FF1C6E" w:rsidP="00FF1C6E">
      <w:pPr>
        <w:jc w:val="left"/>
        <w:rPr>
          <w:lang w:val="fr-CA"/>
        </w:rPr>
      </w:pPr>
    </w:p>
    <w:p w14:paraId="7E8C18D2" w14:textId="77777777" w:rsidR="00FF1C6E" w:rsidRPr="007833D4" w:rsidRDefault="00FF1C6E" w:rsidP="00FF1C6E">
      <w:pPr>
        <w:jc w:val="left"/>
        <w:rPr>
          <w:lang w:val="fr-CA"/>
        </w:rPr>
      </w:pPr>
    </w:p>
    <w:p w14:paraId="5FA13C41" w14:textId="77777777" w:rsidR="00FF1C6E" w:rsidRPr="007833D4" w:rsidRDefault="00FF1C6E" w:rsidP="00FF1C6E">
      <w:pPr>
        <w:tabs>
          <w:tab w:val="left" w:pos="7590"/>
        </w:tabs>
        <w:jc w:val="left"/>
        <w:rPr>
          <w:lang w:val="fr-CA"/>
        </w:rPr>
      </w:pPr>
    </w:p>
    <w:p w14:paraId="47916F24" w14:textId="77777777" w:rsidR="00FF1C6E" w:rsidRPr="007833D4" w:rsidRDefault="00FF1C6E" w:rsidP="00FF1C6E">
      <w:pPr>
        <w:rPr>
          <w:lang w:val="fr-CA"/>
        </w:rPr>
      </w:pPr>
    </w:p>
    <w:p w14:paraId="316196A4" w14:textId="77777777" w:rsidR="00FF1C6E" w:rsidRPr="0068318B" w:rsidRDefault="00FF1C6E" w:rsidP="00FF1C6E">
      <w:pPr>
        <w:jc w:val="center"/>
        <w:rPr>
          <w:b/>
          <w:lang w:val="fr-CA"/>
        </w:rPr>
      </w:pPr>
      <w:r w:rsidRPr="0068318B">
        <w:rPr>
          <w:b/>
          <w:lang w:val="fr-CA"/>
        </w:rPr>
        <w:t xml:space="preserve">PROPUESTA DE PROYECTO: </w:t>
      </w:r>
      <w:r>
        <w:rPr>
          <w:b/>
          <w:lang w:val="fr-CA"/>
        </w:rPr>
        <w:t>DJIBOUTI</w:t>
      </w:r>
    </w:p>
    <w:p w14:paraId="07DCCDE6" w14:textId="77777777" w:rsidR="00FF1C6E" w:rsidRPr="0068318B" w:rsidRDefault="00FF1C6E" w:rsidP="00FF1C6E">
      <w:pPr>
        <w:rPr>
          <w:lang w:val="fr-CA"/>
        </w:rPr>
      </w:pPr>
    </w:p>
    <w:p w14:paraId="3CD3AC7F" w14:textId="77777777" w:rsidR="00FF1C6E" w:rsidRPr="0068318B" w:rsidRDefault="00FF1C6E" w:rsidP="00FF1C6E">
      <w:pPr>
        <w:rPr>
          <w:lang w:val="fr-CA"/>
        </w:rPr>
      </w:pPr>
    </w:p>
    <w:p w14:paraId="1F8D69F7" w14:textId="77777777" w:rsidR="00FF1C6E" w:rsidRPr="0068318B" w:rsidRDefault="00FF1C6E" w:rsidP="00FF1C6E">
      <w:pPr>
        <w:ind w:firstLine="720"/>
        <w:rPr>
          <w:lang w:val="fr-CA"/>
        </w:rPr>
      </w:pPr>
      <w:r w:rsidRPr="0068318B">
        <w:rPr>
          <w:lang w:val="fr-CA"/>
        </w:rPr>
        <w:t>El presente documento contiene las observaciones y la recomendación de la Secretaría sobre la siguiente propuesta de proyecto:</w:t>
      </w:r>
    </w:p>
    <w:p w14:paraId="0F26FCCE" w14:textId="77777777" w:rsidR="00FF1C6E" w:rsidRPr="0087317C" w:rsidRDefault="00FF1C6E" w:rsidP="00FF1C6E">
      <w:pPr>
        <w:spacing w:before="240" w:after="240"/>
        <w:rPr>
          <w:u w:val="single"/>
        </w:rPr>
      </w:pPr>
      <w:r>
        <w:rPr>
          <w:u w:val="single"/>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FF1C6E" w:rsidRPr="0087317C" w14:paraId="7E155E7A" w14:textId="77777777" w:rsidTr="00192B68">
        <w:tc>
          <w:tcPr>
            <w:tcW w:w="2904" w:type="pct"/>
          </w:tcPr>
          <w:p w14:paraId="65BD16AB" w14:textId="77777777" w:rsidR="00FF1C6E" w:rsidRPr="00CC0816" w:rsidRDefault="00FF1C6E" w:rsidP="00FF1C6E">
            <w:pPr>
              <w:pStyle w:val="ListParagraph"/>
              <w:numPr>
                <w:ilvl w:val="0"/>
                <w:numId w:val="10"/>
              </w:numPr>
              <w:ind w:hanging="830"/>
              <w:jc w:val="left"/>
            </w:pPr>
            <w:r w:rsidRPr="00CC0816">
              <w:t>Plan de gestión para la eliminación de HCFC (e</w:t>
            </w:r>
            <w:r>
              <w:t>tapa</w:t>
            </w:r>
            <w:r w:rsidRPr="00CC0816">
              <w:t> </w:t>
            </w:r>
            <w:r>
              <w:t>I</w:t>
            </w:r>
            <w:r w:rsidRPr="00CC0816">
              <w:t xml:space="preserve">I, </w:t>
            </w:r>
            <w:r>
              <w:t>primer tramo</w:t>
            </w:r>
            <w:r w:rsidRPr="00CC0816">
              <w:t>)</w:t>
            </w:r>
          </w:p>
        </w:tc>
        <w:tc>
          <w:tcPr>
            <w:tcW w:w="943" w:type="pct"/>
          </w:tcPr>
          <w:p w14:paraId="221B81ED" w14:textId="77777777" w:rsidR="00FF1C6E" w:rsidRPr="0087317C" w:rsidRDefault="00FF1C6E" w:rsidP="00192B68">
            <w:pPr>
              <w:ind w:right="220"/>
              <w:jc w:val="right"/>
              <w:rPr>
                <w:highlight w:val="cyan"/>
              </w:rPr>
            </w:pPr>
            <w:r w:rsidRPr="00622BED">
              <w:t>PNUMA</w:t>
            </w:r>
          </w:p>
        </w:tc>
        <w:tc>
          <w:tcPr>
            <w:tcW w:w="1153" w:type="pct"/>
          </w:tcPr>
          <w:p w14:paraId="145438D7" w14:textId="77777777" w:rsidR="00FF1C6E" w:rsidRPr="0087317C" w:rsidRDefault="00FF1C6E" w:rsidP="00192B68">
            <w:pPr>
              <w:jc w:val="right"/>
              <w:rPr>
                <w:highlight w:val="cyan"/>
              </w:rPr>
            </w:pPr>
            <w:r>
              <w:t>Consideración in</w:t>
            </w:r>
            <w:r w:rsidRPr="0087317C">
              <w:t>dividual</w:t>
            </w:r>
          </w:p>
        </w:tc>
      </w:tr>
    </w:tbl>
    <w:p w14:paraId="14D66E60" w14:textId="77777777" w:rsidR="00FF1C6E" w:rsidRPr="00122AA3" w:rsidRDefault="00FF1C6E" w:rsidP="00FF1C6E"/>
    <w:p w14:paraId="01551CB0" w14:textId="77777777" w:rsidR="00FF1C6E" w:rsidRPr="00122AA3" w:rsidRDefault="00FF1C6E" w:rsidP="00FF1C6E"/>
    <w:p w14:paraId="393A4E2D" w14:textId="77777777" w:rsidR="00FF1C6E" w:rsidRPr="00122AA3" w:rsidRDefault="00FF1C6E" w:rsidP="00FF1C6E"/>
    <w:p w14:paraId="0CD5DDB5" w14:textId="77777777" w:rsidR="00FF1C6E" w:rsidRPr="00122AA3" w:rsidRDefault="00FF1C6E" w:rsidP="00FF1C6E">
      <w:pPr>
        <w:jc w:val="left"/>
      </w:pPr>
    </w:p>
    <w:p w14:paraId="03A72107" w14:textId="77777777" w:rsidR="00FF1C6E" w:rsidRPr="00122AA3" w:rsidRDefault="00FF1C6E" w:rsidP="00FF1C6E">
      <w:pPr>
        <w:jc w:val="left"/>
      </w:pPr>
      <w:r w:rsidRPr="00122AA3">
        <w:br w:type="page"/>
      </w:r>
    </w:p>
    <w:p w14:paraId="3DAACCD4" w14:textId="77777777" w:rsidR="00FF1C6E" w:rsidRPr="007948D7" w:rsidRDefault="00FF1C6E" w:rsidP="00FF1C6E">
      <w:pPr>
        <w:spacing w:after="120"/>
        <w:jc w:val="center"/>
        <w:rPr>
          <w:b/>
        </w:rPr>
      </w:pPr>
      <w:r w:rsidRPr="007948D7">
        <w:rPr>
          <w:b/>
        </w:rPr>
        <w:lastRenderedPageBreak/>
        <w:t>HOJA DE EVALUACIÓN – PROYECTOS PLURIANUALES</w:t>
      </w:r>
    </w:p>
    <w:p w14:paraId="5C80BF33" w14:textId="77777777" w:rsidR="00FF1C6E" w:rsidRPr="007948D7" w:rsidRDefault="00FF1C6E" w:rsidP="00FF1C6E">
      <w:pPr>
        <w:spacing w:after="200"/>
        <w:jc w:val="center"/>
        <w:rPr>
          <w:b/>
        </w:rPr>
      </w:pPr>
      <w:r>
        <w:rPr>
          <w:b/>
        </w:rPr>
        <w:t>Djibouti</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FF1C6E" w:rsidRPr="00122AA3" w14:paraId="3C7725A3" w14:textId="77777777" w:rsidTr="00192B68">
        <w:trPr>
          <w:trHeight w:val="139"/>
        </w:trPr>
        <w:tc>
          <w:tcPr>
            <w:tcW w:w="2386" w:type="pct"/>
          </w:tcPr>
          <w:p w14:paraId="5233EDBB" w14:textId="77777777" w:rsidR="00FF1C6E" w:rsidRPr="00122AA3" w:rsidRDefault="00FF1C6E" w:rsidP="00192B68">
            <w:pPr>
              <w:rPr>
                <w:b/>
                <w:sz w:val="20"/>
              </w:rPr>
            </w:pPr>
            <w:r w:rsidRPr="007948D7">
              <w:rPr>
                <w:b/>
                <w:sz w:val="20"/>
              </w:rPr>
              <w:t>I) TÍTULO DEL PROYECTO</w:t>
            </w:r>
          </w:p>
        </w:tc>
        <w:tc>
          <w:tcPr>
            <w:tcW w:w="2614" w:type="pct"/>
          </w:tcPr>
          <w:p w14:paraId="2D33EF7C" w14:textId="77777777" w:rsidR="00FF1C6E" w:rsidRPr="00122AA3" w:rsidRDefault="00FF1C6E" w:rsidP="00192B68">
            <w:pPr>
              <w:jc w:val="center"/>
              <w:rPr>
                <w:b/>
                <w:sz w:val="20"/>
              </w:rPr>
            </w:pPr>
            <w:r w:rsidRPr="007948D7">
              <w:rPr>
                <w:b/>
                <w:sz w:val="20"/>
              </w:rPr>
              <w:t>ORGANISMO</w:t>
            </w:r>
          </w:p>
        </w:tc>
      </w:tr>
      <w:tr w:rsidR="00FF1C6E" w:rsidRPr="00122AA3" w14:paraId="46B1C097" w14:textId="77777777" w:rsidTr="00192B68">
        <w:trPr>
          <w:trHeight w:val="40"/>
        </w:trPr>
        <w:tc>
          <w:tcPr>
            <w:tcW w:w="2386" w:type="pct"/>
            <w:vAlign w:val="center"/>
          </w:tcPr>
          <w:p w14:paraId="41EBC3E5" w14:textId="77777777" w:rsidR="00FF1C6E" w:rsidRPr="0068318B" w:rsidRDefault="00FF1C6E" w:rsidP="00192B68">
            <w:pPr>
              <w:jc w:val="center"/>
              <w:rPr>
                <w:sz w:val="20"/>
                <w:lang w:val="fr-CA"/>
              </w:rPr>
            </w:pPr>
            <w:r w:rsidRPr="0068318B">
              <w:rPr>
                <w:color w:val="000000" w:themeColor="text1"/>
                <w:sz w:val="20"/>
                <w:lang w:val="fr-CA"/>
              </w:rPr>
              <w:t>Plan para la eliminación de los HCFC (etapa I</w:t>
            </w:r>
            <w:r>
              <w:rPr>
                <w:color w:val="000000" w:themeColor="text1"/>
                <w:sz w:val="20"/>
                <w:lang w:val="fr-CA"/>
              </w:rPr>
              <w:t>I</w:t>
            </w:r>
            <w:r w:rsidRPr="0068318B">
              <w:rPr>
                <w:color w:val="000000" w:themeColor="text1"/>
                <w:sz w:val="20"/>
                <w:lang w:val="fr-CA"/>
              </w:rPr>
              <w:t xml:space="preserve">) </w:t>
            </w:r>
          </w:p>
        </w:tc>
        <w:tc>
          <w:tcPr>
            <w:tcW w:w="2614" w:type="pct"/>
            <w:vAlign w:val="center"/>
          </w:tcPr>
          <w:p w14:paraId="0CC6EE54" w14:textId="77777777" w:rsidR="00FF1C6E" w:rsidRPr="00122AA3" w:rsidRDefault="00FF1C6E" w:rsidP="00192B68">
            <w:pPr>
              <w:jc w:val="center"/>
              <w:rPr>
                <w:sz w:val="20"/>
              </w:rPr>
            </w:pPr>
            <w:r>
              <w:rPr>
                <w:color w:val="000000" w:themeColor="text1"/>
                <w:sz w:val="20"/>
              </w:rPr>
              <w:t>PNUMA</w:t>
            </w:r>
          </w:p>
        </w:tc>
      </w:tr>
    </w:tbl>
    <w:p w14:paraId="2C3643EA" w14:textId="77777777" w:rsidR="00FF1C6E" w:rsidRPr="00122AA3" w:rsidRDefault="00FF1C6E" w:rsidP="00FF1C6E">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5058"/>
        <w:gridCol w:w="2008"/>
        <w:gridCol w:w="2965"/>
      </w:tblGrid>
      <w:tr w:rsidR="00FF1C6E" w:rsidRPr="00122AA3" w14:paraId="18BF5268" w14:textId="77777777" w:rsidTr="00192B68">
        <w:trPr>
          <w:trHeight w:val="77"/>
        </w:trPr>
        <w:tc>
          <w:tcPr>
            <w:tcW w:w="2521" w:type="pct"/>
          </w:tcPr>
          <w:p w14:paraId="38D8206E" w14:textId="77777777" w:rsidR="00FF1C6E" w:rsidRPr="00122AA3" w:rsidRDefault="00FF1C6E" w:rsidP="00192B68">
            <w:pPr>
              <w:jc w:val="left"/>
              <w:rPr>
                <w:b/>
                <w:sz w:val="20"/>
              </w:rPr>
            </w:pPr>
            <w:r w:rsidRPr="007948D7">
              <w:rPr>
                <w:b/>
                <w:sz w:val="20"/>
              </w:rPr>
              <w:t>II) DATOS MÁS RECIENTES DEL ARTÍCULO 7 (Anexo C, Grupo I)</w:t>
            </w:r>
          </w:p>
        </w:tc>
        <w:tc>
          <w:tcPr>
            <w:tcW w:w="1001" w:type="pct"/>
          </w:tcPr>
          <w:p w14:paraId="5660ED2F" w14:textId="77777777" w:rsidR="00FF1C6E" w:rsidRPr="00122AA3" w:rsidRDefault="00FF1C6E" w:rsidP="00192B68">
            <w:pPr>
              <w:jc w:val="center"/>
              <w:rPr>
                <w:sz w:val="20"/>
              </w:rPr>
            </w:pPr>
            <w:r w:rsidRPr="007948D7">
              <w:rPr>
                <w:sz w:val="20"/>
              </w:rPr>
              <w:t>Año:</w:t>
            </w:r>
            <w:r w:rsidRPr="00122AA3" w:rsidDel="00027AAC">
              <w:rPr>
                <w:sz w:val="20"/>
              </w:rPr>
              <w:t xml:space="preserve"> </w:t>
            </w:r>
            <w:r w:rsidRPr="00122AA3">
              <w:rPr>
                <w:sz w:val="20"/>
              </w:rPr>
              <w:t>2024</w:t>
            </w:r>
          </w:p>
        </w:tc>
        <w:tc>
          <w:tcPr>
            <w:tcW w:w="1478" w:type="pct"/>
          </w:tcPr>
          <w:p w14:paraId="5F77FA04" w14:textId="77777777" w:rsidR="00FF1C6E" w:rsidRPr="00122AA3" w:rsidRDefault="00FF1C6E" w:rsidP="00192B68">
            <w:pPr>
              <w:jc w:val="right"/>
              <w:rPr>
                <w:sz w:val="20"/>
              </w:rPr>
            </w:pPr>
            <w:r>
              <w:rPr>
                <w:sz w:val="20"/>
              </w:rPr>
              <w:t>0,23</w:t>
            </w:r>
            <w:r w:rsidRPr="00122AA3">
              <w:rPr>
                <w:sz w:val="20"/>
              </w:rPr>
              <w:t xml:space="preserve"> </w:t>
            </w:r>
            <w:r w:rsidRPr="007948D7">
              <w:rPr>
                <w:sz w:val="20"/>
              </w:rPr>
              <w:t>toneladas PAO</w:t>
            </w:r>
          </w:p>
        </w:tc>
      </w:tr>
    </w:tbl>
    <w:p w14:paraId="7EC92948" w14:textId="77777777" w:rsidR="00FF1C6E" w:rsidRPr="00122AA3" w:rsidRDefault="00FF1C6E" w:rsidP="00FF1C6E">
      <w:pPr>
        <w:jc w:val="center"/>
        <w:rPr>
          <w:sz w:val="18"/>
        </w:rPr>
      </w:pPr>
    </w:p>
    <w:tbl>
      <w:tblPr>
        <w:tblStyle w:val="TableGrid"/>
        <w:tblW w:w="5364" w:type="pct"/>
        <w:tblInd w:w="-113" w:type="dxa"/>
        <w:tblLayout w:type="fixed"/>
        <w:tblLook w:val="04A0" w:firstRow="1" w:lastRow="0" w:firstColumn="1" w:lastColumn="0" w:noHBand="0" w:noVBand="1"/>
      </w:tblPr>
      <w:tblGrid>
        <w:gridCol w:w="1098"/>
        <w:gridCol w:w="719"/>
        <w:gridCol w:w="987"/>
        <w:gridCol w:w="1081"/>
        <w:gridCol w:w="1438"/>
        <w:gridCol w:w="991"/>
        <w:gridCol w:w="811"/>
        <w:gridCol w:w="995"/>
        <w:gridCol w:w="808"/>
        <w:gridCol w:w="1103"/>
      </w:tblGrid>
      <w:tr w:rsidR="00FF1C6E" w:rsidRPr="00122AA3" w14:paraId="28304781" w14:textId="77777777" w:rsidTr="00192B68">
        <w:trPr>
          <w:trHeight w:val="128"/>
        </w:trPr>
        <w:tc>
          <w:tcPr>
            <w:tcW w:w="4047" w:type="pct"/>
            <w:gridSpan w:val="8"/>
          </w:tcPr>
          <w:p w14:paraId="0641B6A1" w14:textId="77777777" w:rsidR="00FF1C6E" w:rsidRPr="0068318B" w:rsidRDefault="00FF1C6E" w:rsidP="00192B68">
            <w:pPr>
              <w:jc w:val="left"/>
              <w:rPr>
                <w:b/>
                <w:sz w:val="20"/>
                <w:lang w:val="fr-CA"/>
              </w:rPr>
            </w:pPr>
            <w:r w:rsidRPr="0068318B">
              <w:rPr>
                <w:b/>
                <w:sz w:val="20"/>
                <w:lang w:val="fr-CA"/>
              </w:rPr>
              <w:t>III) DATOS SECTORIALES MÁS RECIENTES DEL PROGRAMA PAÍS (tons. PAO)</w:t>
            </w:r>
          </w:p>
        </w:tc>
        <w:tc>
          <w:tcPr>
            <w:tcW w:w="953" w:type="pct"/>
            <w:gridSpan w:val="2"/>
          </w:tcPr>
          <w:p w14:paraId="2208018D" w14:textId="77777777" w:rsidR="00FF1C6E" w:rsidRPr="00122AA3" w:rsidRDefault="00FF1C6E" w:rsidP="00192B68">
            <w:pPr>
              <w:spacing w:after="60"/>
              <w:jc w:val="right"/>
              <w:rPr>
                <w:b/>
                <w:sz w:val="20"/>
              </w:rPr>
            </w:pPr>
            <w:r w:rsidRPr="007948D7">
              <w:rPr>
                <w:b/>
                <w:sz w:val="20"/>
              </w:rPr>
              <w:t xml:space="preserve">Año: </w:t>
            </w:r>
            <w:r w:rsidRPr="007948D7">
              <w:rPr>
                <w:b/>
                <w:color w:val="000000" w:themeColor="text1"/>
                <w:sz w:val="20"/>
              </w:rPr>
              <w:t>2024</w:t>
            </w:r>
          </w:p>
        </w:tc>
      </w:tr>
      <w:tr w:rsidR="00FF1C6E" w:rsidRPr="00122AA3" w14:paraId="1E3AC30B" w14:textId="77777777" w:rsidTr="00192B68">
        <w:trPr>
          <w:trHeight w:val="250"/>
        </w:trPr>
        <w:tc>
          <w:tcPr>
            <w:tcW w:w="547" w:type="pct"/>
            <w:vAlign w:val="center"/>
          </w:tcPr>
          <w:p w14:paraId="5F33EC10" w14:textId="77777777" w:rsidR="00FF1C6E" w:rsidRPr="00122AA3" w:rsidRDefault="00FF1C6E" w:rsidP="00192B68">
            <w:pPr>
              <w:spacing w:after="60"/>
              <w:jc w:val="center"/>
              <w:rPr>
                <w:sz w:val="20"/>
              </w:rPr>
            </w:pPr>
            <w:r w:rsidRPr="007948D7">
              <w:rPr>
                <w:sz w:val="20"/>
              </w:rPr>
              <w:t>Producto químico</w:t>
            </w:r>
          </w:p>
        </w:tc>
        <w:tc>
          <w:tcPr>
            <w:tcW w:w="358" w:type="pct"/>
            <w:vAlign w:val="center"/>
          </w:tcPr>
          <w:p w14:paraId="65F41799" w14:textId="77777777" w:rsidR="00FF1C6E" w:rsidRPr="00122AA3" w:rsidRDefault="00FF1C6E" w:rsidP="00192B68">
            <w:pPr>
              <w:spacing w:after="60"/>
              <w:ind w:left="-106" w:right="-97"/>
              <w:jc w:val="center"/>
              <w:rPr>
                <w:sz w:val="20"/>
              </w:rPr>
            </w:pPr>
            <w:r w:rsidRPr="007948D7">
              <w:rPr>
                <w:sz w:val="20"/>
              </w:rPr>
              <w:t>Aerosol</w:t>
            </w:r>
          </w:p>
        </w:tc>
        <w:tc>
          <w:tcPr>
            <w:tcW w:w="492" w:type="pct"/>
            <w:vAlign w:val="center"/>
          </w:tcPr>
          <w:p w14:paraId="603A371A" w14:textId="77777777" w:rsidR="00FF1C6E" w:rsidRPr="00122AA3" w:rsidRDefault="00FF1C6E" w:rsidP="00192B68">
            <w:pPr>
              <w:spacing w:after="60"/>
              <w:jc w:val="center"/>
              <w:rPr>
                <w:sz w:val="20"/>
              </w:rPr>
            </w:pPr>
            <w:r w:rsidRPr="007948D7">
              <w:rPr>
                <w:sz w:val="20"/>
              </w:rPr>
              <w:t>Espuma</w:t>
            </w:r>
          </w:p>
        </w:tc>
        <w:tc>
          <w:tcPr>
            <w:tcW w:w="539" w:type="pct"/>
            <w:vAlign w:val="center"/>
          </w:tcPr>
          <w:p w14:paraId="3460B737" w14:textId="77777777" w:rsidR="00FF1C6E" w:rsidRPr="00122AA3" w:rsidRDefault="00FF1C6E" w:rsidP="00192B68">
            <w:pPr>
              <w:spacing w:after="60"/>
              <w:ind w:left="-106" w:right="-112"/>
              <w:jc w:val="center"/>
              <w:rPr>
                <w:sz w:val="20"/>
              </w:rPr>
            </w:pPr>
            <w:r w:rsidRPr="007948D7">
              <w:rPr>
                <w:sz w:val="20"/>
              </w:rPr>
              <w:t>Extinción de incendios</w:t>
            </w:r>
          </w:p>
        </w:tc>
        <w:tc>
          <w:tcPr>
            <w:tcW w:w="1211" w:type="pct"/>
            <w:gridSpan w:val="2"/>
            <w:vAlign w:val="center"/>
          </w:tcPr>
          <w:p w14:paraId="7D61797E" w14:textId="77777777" w:rsidR="00FF1C6E" w:rsidRPr="00122AA3" w:rsidRDefault="00FF1C6E" w:rsidP="00192B68">
            <w:pPr>
              <w:spacing w:after="60"/>
              <w:jc w:val="center"/>
              <w:rPr>
                <w:sz w:val="20"/>
              </w:rPr>
            </w:pPr>
            <w:r w:rsidRPr="007948D7">
              <w:rPr>
                <w:sz w:val="20"/>
              </w:rPr>
              <w:t>Refrigeración</w:t>
            </w:r>
          </w:p>
        </w:tc>
        <w:tc>
          <w:tcPr>
            <w:tcW w:w="404" w:type="pct"/>
            <w:vAlign w:val="center"/>
          </w:tcPr>
          <w:p w14:paraId="1F7EBFAD" w14:textId="77777777" w:rsidR="00FF1C6E" w:rsidRPr="00122AA3" w:rsidRDefault="00FF1C6E" w:rsidP="00192B68">
            <w:pPr>
              <w:spacing w:after="60"/>
              <w:ind w:left="-106" w:right="-105"/>
              <w:jc w:val="center"/>
              <w:rPr>
                <w:sz w:val="20"/>
              </w:rPr>
            </w:pPr>
            <w:r w:rsidRPr="007948D7">
              <w:rPr>
                <w:sz w:val="20"/>
              </w:rPr>
              <w:t>Solvente</w:t>
            </w:r>
          </w:p>
        </w:tc>
        <w:tc>
          <w:tcPr>
            <w:tcW w:w="496" w:type="pct"/>
            <w:vAlign w:val="center"/>
          </w:tcPr>
          <w:p w14:paraId="5C8C0EB6" w14:textId="77777777" w:rsidR="00FF1C6E" w:rsidRPr="00122AA3" w:rsidRDefault="00FF1C6E" w:rsidP="00192B68">
            <w:pPr>
              <w:spacing w:after="60"/>
              <w:jc w:val="center"/>
              <w:rPr>
                <w:sz w:val="20"/>
              </w:rPr>
            </w:pPr>
            <w:r w:rsidRPr="007948D7">
              <w:rPr>
                <w:sz w:val="20"/>
              </w:rPr>
              <w:t>Agente de procesos</w:t>
            </w:r>
          </w:p>
        </w:tc>
        <w:tc>
          <w:tcPr>
            <w:tcW w:w="403" w:type="pct"/>
            <w:vAlign w:val="center"/>
          </w:tcPr>
          <w:p w14:paraId="041D452C" w14:textId="77777777" w:rsidR="00FF1C6E" w:rsidRPr="00122AA3" w:rsidRDefault="00FF1C6E" w:rsidP="00192B68">
            <w:pPr>
              <w:spacing w:after="60"/>
              <w:jc w:val="center"/>
              <w:rPr>
                <w:sz w:val="20"/>
              </w:rPr>
            </w:pPr>
            <w:r w:rsidRPr="007948D7">
              <w:rPr>
                <w:sz w:val="20"/>
              </w:rPr>
              <w:t>Uso en lab.</w:t>
            </w:r>
          </w:p>
        </w:tc>
        <w:tc>
          <w:tcPr>
            <w:tcW w:w="550" w:type="pct"/>
            <w:vAlign w:val="center"/>
          </w:tcPr>
          <w:p w14:paraId="71F34F6B" w14:textId="77777777" w:rsidR="00FF1C6E" w:rsidRPr="00122AA3" w:rsidRDefault="00FF1C6E" w:rsidP="00192B68">
            <w:pPr>
              <w:spacing w:after="60"/>
              <w:jc w:val="center"/>
              <w:rPr>
                <w:sz w:val="20"/>
              </w:rPr>
            </w:pPr>
            <w:r w:rsidRPr="007948D7">
              <w:rPr>
                <w:sz w:val="20"/>
              </w:rPr>
              <w:t>Consumo total del sector</w:t>
            </w:r>
          </w:p>
        </w:tc>
      </w:tr>
      <w:tr w:rsidR="00FF1C6E" w:rsidRPr="00122AA3" w14:paraId="70EA54E4" w14:textId="77777777" w:rsidTr="00192B68">
        <w:trPr>
          <w:trHeight w:val="154"/>
        </w:trPr>
        <w:tc>
          <w:tcPr>
            <w:tcW w:w="1936" w:type="pct"/>
            <w:gridSpan w:val="4"/>
            <w:vAlign w:val="center"/>
          </w:tcPr>
          <w:p w14:paraId="4F594A8C" w14:textId="77777777" w:rsidR="00FF1C6E" w:rsidRPr="00122AA3" w:rsidRDefault="00FF1C6E" w:rsidP="00192B68">
            <w:pPr>
              <w:spacing w:after="60"/>
              <w:jc w:val="center"/>
              <w:rPr>
                <w:sz w:val="20"/>
              </w:rPr>
            </w:pPr>
          </w:p>
        </w:tc>
        <w:tc>
          <w:tcPr>
            <w:tcW w:w="717" w:type="pct"/>
            <w:vAlign w:val="center"/>
          </w:tcPr>
          <w:p w14:paraId="2F8DB6A0" w14:textId="77777777" w:rsidR="00FF1C6E" w:rsidRPr="00122AA3" w:rsidRDefault="00FF1C6E" w:rsidP="00192B68">
            <w:pPr>
              <w:spacing w:after="60"/>
              <w:ind w:left="-83" w:right="-68"/>
              <w:jc w:val="center"/>
              <w:rPr>
                <w:sz w:val="20"/>
              </w:rPr>
            </w:pPr>
            <w:r w:rsidRPr="007948D7">
              <w:rPr>
                <w:sz w:val="20"/>
              </w:rPr>
              <w:t>Fabricación</w:t>
            </w:r>
          </w:p>
        </w:tc>
        <w:tc>
          <w:tcPr>
            <w:tcW w:w="494" w:type="pct"/>
            <w:vAlign w:val="center"/>
          </w:tcPr>
          <w:p w14:paraId="6AA3E2D4" w14:textId="77777777" w:rsidR="00FF1C6E" w:rsidRPr="00122AA3" w:rsidRDefault="00FF1C6E" w:rsidP="00192B68">
            <w:pPr>
              <w:spacing w:after="60"/>
              <w:jc w:val="center"/>
              <w:rPr>
                <w:sz w:val="20"/>
              </w:rPr>
            </w:pPr>
            <w:r w:rsidRPr="007948D7">
              <w:rPr>
                <w:sz w:val="20"/>
              </w:rPr>
              <w:t>Servicio técnico</w:t>
            </w:r>
          </w:p>
        </w:tc>
        <w:tc>
          <w:tcPr>
            <w:tcW w:w="1853" w:type="pct"/>
            <w:gridSpan w:val="4"/>
            <w:vAlign w:val="center"/>
          </w:tcPr>
          <w:p w14:paraId="2C41BC87" w14:textId="77777777" w:rsidR="00FF1C6E" w:rsidRPr="00122AA3" w:rsidRDefault="00FF1C6E" w:rsidP="00192B68">
            <w:pPr>
              <w:spacing w:after="60"/>
              <w:jc w:val="center"/>
              <w:rPr>
                <w:sz w:val="20"/>
              </w:rPr>
            </w:pPr>
          </w:p>
        </w:tc>
      </w:tr>
      <w:tr w:rsidR="00FF1C6E" w:rsidRPr="00122AA3" w14:paraId="36DE4034" w14:textId="77777777" w:rsidTr="00192B68">
        <w:trPr>
          <w:trHeight w:val="250"/>
        </w:trPr>
        <w:tc>
          <w:tcPr>
            <w:tcW w:w="547" w:type="pct"/>
          </w:tcPr>
          <w:p w14:paraId="68C7A477" w14:textId="77777777" w:rsidR="00FF1C6E" w:rsidRPr="00122AA3" w:rsidRDefault="00FF1C6E" w:rsidP="00192B68">
            <w:pPr>
              <w:spacing w:after="60"/>
              <w:jc w:val="left"/>
              <w:rPr>
                <w:sz w:val="20"/>
              </w:rPr>
            </w:pPr>
            <w:r w:rsidRPr="00122AA3">
              <w:rPr>
                <w:sz w:val="20"/>
              </w:rPr>
              <w:t>HCFC-22</w:t>
            </w:r>
          </w:p>
        </w:tc>
        <w:tc>
          <w:tcPr>
            <w:tcW w:w="358" w:type="pct"/>
          </w:tcPr>
          <w:p w14:paraId="4DFD49F6" w14:textId="77777777" w:rsidR="00FF1C6E" w:rsidRPr="00122AA3" w:rsidRDefault="00FF1C6E" w:rsidP="00192B68">
            <w:pPr>
              <w:spacing w:after="60"/>
              <w:jc w:val="right"/>
              <w:rPr>
                <w:sz w:val="20"/>
              </w:rPr>
            </w:pPr>
          </w:p>
        </w:tc>
        <w:tc>
          <w:tcPr>
            <w:tcW w:w="492" w:type="pct"/>
          </w:tcPr>
          <w:p w14:paraId="090B4F51" w14:textId="77777777" w:rsidR="00FF1C6E" w:rsidRPr="00122AA3" w:rsidRDefault="00FF1C6E" w:rsidP="00192B68">
            <w:pPr>
              <w:spacing w:after="60"/>
              <w:jc w:val="right"/>
              <w:rPr>
                <w:sz w:val="20"/>
              </w:rPr>
            </w:pPr>
          </w:p>
        </w:tc>
        <w:tc>
          <w:tcPr>
            <w:tcW w:w="539" w:type="pct"/>
          </w:tcPr>
          <w:p w14:paraId="11EE8DF3" w14:textId="77777777" w:rsidR="00FF1C6E" w:rsidRPr="00122AA3" w:rsidRDefault="00FF1C6E" w:rsidP="00192B68">
            <w:pPr>
              <w:spacing w:after="60"/>
              <w:jc w:val="right"/>
              <w:rPr>
                <w:sz w:val="20"/>
              </w:rPr>
            </w:pPr>
          </w:p>
        </w:tc>
        <w:tc>
          <w:tcPr>
            <w:tcW w:w="717" w:type="pct"/>
          </w:tcPr>
          <w:p w14:paraId="07C86D9C" w14:textId="77777777" w:rsidR="00FF1C6E" w:rsidRPr="00122AA3" w:rsidRDefault="00FF1C6E" w:rsidP="00192B68">
            <w:pPr>
              <w:spacing w:after="60"/>
              <w:jc w:val="right"/>
              <w:rPr>
                <w:sz w:val="20"/>
              </w:rPr>
            </w:pPr>
          </w:p>
        </w:tc>
        <w:tc>
          <w:tcPr>
            <w:tcW w:w="494" w:type="pct"/>
          </w:tcPr>
          <w:p w14:paraId="2F21B458" w14:textId="77777777" w:rsidR="00FF1C6E" w:rsidRPr="00122AA3" w:rsidRDefault="00FF1C6E" w:rsidP="00192B68">
            <w:pPr>
              <w:spacing w:after="60"/>
              <w:jc w:val="right"/>
              <w:rPr>
                <w:sz w:val="20"/>
              </w:rPr>
            </w:pPr>
            <w:r>
              <w:rPr>
                <w:sz w:val="20"/>
              </w:rPr>
              <w:t>0,23</w:t>
            </w:r>
          </w:p>
        </w:tc>
        <w:tc>
          <w:tcPr>
            <w:tcW w:w="404" w:type="pct"/>
          </w:tcPr>
          <w:p w14:paraId="3B105010" w14:textId="77777777" w:rsidR="00FF1C6E" w:rsidRPr="00122AA3" w:rsidRDefault="00FF1C6E" w:rsidP="00192B68">
            <w:pPr>
              <w:spacing w:after="60"/>
              <w:jc w:val="right"/>
              <w:rPr>
                <w:sz w:val="20"/>
              </w:rPr>
            </w:pPr>
          </w:p>
        </w:tc>
        <w:tc>
          <w:tcPr>
            <w:tcW w:w="496" w:type="pct"/>
          </w:tcPr>
          <w:p w14:paraId="7BDC4336" w14:textId="77777777" w:rsidR="00FF1C6E" w:rsidRPr="00122AA3" w:rsidRDefault="00FF1C6E" w:rsidP="00192B68">
            <w:pPr>
              <w:spacing w:after="60"/>
              <w:jc w:val="right"/>
              <w:rPr>
                <w:sz w:val="20"/>
              </w:rPr>
            </w:pPr>
          </w:p>
        </w:tc>
        <w:tc>
          <w:tcPr>
            <w:tcW w:w="403" w:type="pct"/>
          </w:tcPr>
          <w:p w14:paraId="4C0B60CF" w14:textId="77777777" w:rsidR="00FF1C6E" w:rsidRPr="00122AA3" w:rsidRDefault="00FF1C6E" w:rsidP="00192B68">
            <w:pPr>
              <w:spacing w:after="60"/>
              <w:jc w:val="right"/>
              <w:rPr>
                <w:sz w:val="20"/>
              </w:rPr>
            </w:pPr>
          </w:p>
        </w:tc>
        <w:tc>
          <w:tcPr>
            <w:tcW w:w="550" w:type="pct"/>
          </w:tcPr>
          <w:p w14:paraId="6B8DB824" w14:textId="77777777" w:rsidR="00FF1C6E" w:rsidRPr="00122AA3" w:rsidRDefault="00FF1C6E" w:rsidP="00192B68">
            <w:pPr>
              <w:spacing w:after="60"/>
              <w:jc w:val="right"/>
              <w:rPr>
                <w:sz w:val="20"/>
              </w:rPr>
            </w:pPr>
            <w:r>
              <w:rPr>
                <w:sz w:val="20"/>
              </w:rPr>
              <w:t>0,23</w:t>
            </w:r>
          </w:p>
        </w:tc>
      </w:tr>
    </w:tbl>
    <w:p w14:paraId="0751DFF0" w14:textId="77777777" w:rsidR="00FF1C6E" w:rsidRPr="00122AA3" w:rsidRDefault="00FF1C6E" w:rsidP="00FF1C6E">
      <w:pPr>
        <w:jc w:val="center"/>
        <w:rPr>
          <w:sz w:val="18"/>
          <w:szCs w:val="18"/>
        </w:rPr>
      </w:pPr>
    </w:p>
    <w:tbl>
      <w:tblPr>
        <w:tblStyle w:val="TableGrid"/>
        <w:tblW w:w="5364" w:type="pct"/>
        <w:tblInd w:w="-113" w:type="dxa"/>
        <w:tblLook w:val="04A0" w:firstRow="1" w:lastRow="0" w:firstColumn="1" w:lastColumn="0" w:noHBand="0" w:noVBand="1"/>
      </w:tblPr>
      <w:tblGrid>
        <w:gridCol w:w="2447"/>
        <w:gridCol w:w="1232"/>
        <w:gridCol w:w="5068"/>
        <w:gridCol w:w="1284"/>
      </w:tblGrid>
      <w:tr w:rsidR="00FF1C6E" w:rsidRPr="00122AA3" w14:paraId="47E9B9B2" w14:textId="77777777" w:rsidTr="00192B68">
        <w:trPr>
          <w:trHeight w:val="272"/>
        </w:trPr>
        <w:tc>
          <w:tcPr>
            <w:tcW w:w="5000" w:type="pct"/>
            <w:gridSpan w:val="4"/>
          </w:tcPr>
          <w:p w14:paraId="6B08B3E1" w14:textId="77777777" w:rsidR="00FF1C6E" w:rsidRPr="00122AA3" w:rsidRDefault="00FF1C6E" w:rsidP="00192B68">
            <w:pPr>
              <w:jc w:val="left"/>
              <w:rPr>
                <w:b/>
                <w:sz w:val="20"/>
              </w:rPr>
            </w:pPr>
            <w:r w:rsidRPr="0068318B">
              <w:rPr>
                <w:b/>
                <w:sz w:val="20"/>
                <w:lang w:val="fr-CA"/>
              </w:rPr>
              <w:t xml:space="preserve">IV) DATOS DE CONSUMO (tons. </w:t>
            </w:r>
            <w:r w:rsidRPr="007948D7">
              <w:rPr>
                <w:b/>
                <w:sz w:val="20"/>
              </w:rPr>
              <w:t>PAO)</w:t>
            </w:r>
            <w:r w:rsidRPr="007948D7">
              <w:t xml:space="preserve"> </w:t>
            </w:r>
          </w:p>
        </w:tc>
      </w:tr>
      <w:tr w:rsidR="00FF1C6E" w:rsidRPr="00122AA3" w14:paraId="4C734209" w14:textId="77777777" w:rsidTr="00192B68">
        <w:trPr>
          <w:trHeight w:val="272"/>
        </w:trPr>
        <w:tc>
          <w:tcPr>
            <w:tcW w:w="1220" w:type="pct"/>
          </w:tcPr>
          <w:p w14:paraId="6C85BE59" w14:textId="77777777" w:rsidR="00FF1C6E" w:rsidRPr="00122AA3" w:rsidRDefault="00FF1C6E" w:rsidP="00192B68">
            <w:pPr>
              <w:spacing w:after="60"/>
              <w:jc w:val="center"/>
              <w:rPr>
                <w:sz w:val="20"/>
              </w:rPr>
            </w:pPr>
            <w:r w:rsidRPr="00CB7791">
              <w:rPr>
                <w:sz w:val="20"/>
                <w:szCs w:val="20"/>
              </w:rPr>
              <w:t xml:space="preserve">Nivel básico en </w:t>
            </w:r>
            <w:r w:rsidRPr="00CB7791">
              <w:rPr>
                <w:sz w:val="20"/>
                <w:szCs w:val="20"/>
                <w:lang w:val="en-US"/>
              </w:rPr>
              <w:t>2009-2010</w:t>
            </w:r>
            <w:r>
              <w:rPr>
                <w:sz w:val="20"/>
                <w:szCs w:val="20"/>
                <w:lang w:val="en-US"/>
              </w:rPr>
              <w:t>:</w:t>
            </w:r>
          </w:p>
        </w:tc>
        <w:tc>
          <w:tcPr>
            <w:tcW w:w="614" w:type="pct"/>
          </w:tcPr>
          <w:p w14:paraId="61E4509E" w14:textId="77777777" w:rsidR="00FF1C6E" w:rsidRPr="00122AA3" w:rsidRDefault="00FF1C6E" w:rsidP="00192B68">
            <w:pPr>
              <w:spacing w:after="60"/>
              <w:jc w:val="right"/>
              <w:rPr>
                <w:sz w:val="20"/>
              </w:rPr>
            </w:pPr>
            <w:r>
              <w:rPr>
                <w:sz w:val="20"/>
              </w:rPr>
              <w:t>0,70</w:t>
            </w:r>
          </w:p>
        </w:tc>
        <w:tc>
          <w:tcPr>
            <w:tcW w:w="2526" w:type="pct"/>
          </w:tcPr>
          <w:p w14:paraId="0EF5BA02" w14:textId="77777777" w:rsidR="00FF1C6E" w:rsidRPr="0068318B" w:rsidRDefault="00FF1C6E" w:rsidP="00192B68">
            <w:pPr>
              <w:spacing w:after="60"/>
              <w:jc w:val="center"/>
              <w:rPr>
                <w:sz w:val="20"/>
                <w:lang w:val="fr-CA"/>
              </w:rPr>
            </w:pPr>
            <w:r w:rsidRPr="0068318B">
              <w:rPr>
                <w:sz w:val="20"/>
                <w:lang w:val="fr-CA"/>
              </w:rPr>
              <w:t>Punto de partida para reducciones acumulativas sostenidas:</w:t>
            </w:r>
          </w:p>
        </w:tc>
        <w:tc>
          <w:tcPr>
            <w:tcW w:w="640" w:type="pct"/>
          </w:tcPr>
          <w:p w14:paraId="03ED94D4" w14:textId="77777777" w:rsidR="00FF1C6E" w:rsidRPr="00122AA3" w:rsidRDefault="00FF1C6E" w:rsidP="00192B68">
            <w:pPr>
              <w:spacing w:after="60"/>
              <w:jc w:val="right"/>
              <w:rPr>
                <w:sz w:val="20"/>
              </w:rPr>
            </w:pPr>
            <w:r>
              <w:rPr>
                <w:sz w:val="20"/>
              </w:rPr>
              <w:t>0,70</w:t>
            </w:r>
          </w:p>
        </w:tc>
      </w:tr>
      <w:tr w:rsidR="00FF1C6E" w:rsidRPr="00122AA3" w14:paraId="6854ADB6" w14:textId="77777777" w:rsidTr="00192B68">
        <w:trPr>
          <w:trHeight w:val="163"/>
        </w:trPr>
        <w:tc>
          <w:tcPr>
            <w:tcW w:w="5000" w:type="pct"/>
            <w:gridSpan w:val="4"/>
          </w:tcPr>
          <w:p w14:paraId="7CB935DF" w14:textId="77777777" w:rsidR="00FF1C6E" w:rsidRPr="00122AA3" w:rsidRDefault="00FF1C6E" w:rsidP="00192B68">
            <w:pPr>
              <w:tabs>
                <w:tab w:val="left" w:pos="993"/>
              </w:tabs>
              <w:jc w:val="left"/>
              <w:rPr>
                <w:b/>
                <w:sz w:val="20"/>
              </w:rPr>
            </w:pPr>
            <w:r>
              <w:rPr>
                <w:b/>
                <w:sz w:val="20"/>
              </w:rPr>
              <w:t xml:space="preserve">       </w:t>
            </w:r>
            <w:r w:rsidRPr="007948D7">
              <w:rPr>
                <w:b/>
                <w:sz w:val="20"/>
              </w:rPr>
              <w:t>CONSUMO ADMISIBLE PARA FINANCIAMIENTO</w:t>
            </w:r>
          </w:p>
        </w:tc>
      </w:tr>
      <w:tr w:rsidR="00FF1C6E" w:rsidRPr="00122AA3" w14:paraId="553AB94A" w14:textId="77777777" w:rsidTr="00192B68">
        <w:trPr>
          <w:trHeight w:val="272"/>
        </w:trPr>
        <w:tc>
          <w:tcPr>
            <w:tcW w:w="1220" w:type="pct"/>
          </w:tcPr>
          <w:p w14:paraId="13990925" w14:textId="77777777" w:rsidR="00FF1C6E" w:rsidRPr="00122AA3" w:rsidRDefault="00FF1C6E" w:rsidP="00192B68">
            <w:pPr>
              <w:spacing w:after="60"/>
              <w:jc w:val="center"/>
              <w:rPr>
                <w:sz w:val="20"/>
              </w:rPr>
            </w:pPr>
            <w:r w:rsidRPr="007948D7">
              <w:rPr>
                <w:sz w:val="20"/>
              </w:rPr>
              <w:t>Ya aprobado:</w:t>
            </w:r>
          </w:p>
        </w:tc>
        <w:tc>
          <w:tcPr>
            <w:tcW w:w="614" w:type="pct"/>
          </w:tcPr>
          <w:p w14:paraId="710084BD" w14:textId="77777777" w:rsidR="00FF1C6E" w:rsidRPr="00122AA3" w:rsidRDefault="00FF1C6E" w:rsidP="00192B68">
            <w:pPr>
              <w:spacing w:after="60"/>
              <w:jc w:val="right"/>
              <w:rPr>
                <w:sz w:val="20"/>
              </w:rPr>
            </w:pPr>
            <w:r>
              <w:rPr>
                <w:sz w:val="20"/>
              </w:rPr>
              <w:t>0,24</w:t>
            </w:r>
          </w:p>
        </w:tc>
        <w:tc>
          <w:tcPr>
            <w:tcW w:w="2526" w:type="pct"/>
          </w:tcPr>
          <w:p w14:paraId="3BF13E9F" w14:textId="77777777" w:rsidR="00FF1C6E" w:rsidRPr="00122AA3" w:rsidRDefault="00FF1C6E" w:rsidP="00192B68">
            <w:pPr>
              <w:spacing w:after="60"/>
              <w:jc w:val="center"/>
              <w:rPr>
                <w:sz w:val="20"/>
              </w:rPr>
            </w:pPr>
            <w:r w:rsidRPr="007948D7">
              <w:rPr>
                <w:sz w:val="20"/>
              </w:rPr>
              <w:t>Remanente:</w:t>
            </w:r>
          </w:p>
        </w:tc>
        <w:tc>
          <w:tcPr>
            <w:tcW w:w="640" w:type="pct"/>
          </w:tcPr>
          <w:p w14:paraId="30FC2C42" w14:textId="77777777" w:rsidR="00FF1C6E" w:rsidRPr="00122AA3" w:rsidRDefault="00FF1C6E" w:rsidP="00192B68">
            <w:pPr>
              <w:spacing w:after="60"/>
              <w:jc w:val="right"/>
              <w:rPr>
                <w:sz w:val="20"/>
              </w:rPr>
            </w:pPr>
            <w:r>
              <w:rPr>
                <w:sz w:val="20"/>
              </w:rPr>
              <w:t>0,46</w:t>
            </w:r>
          </w:p>
        </w:tc>
      </w:tr>
    </w:tbl>
    <w:p w14:paraId="48E33981" w14:textId="77777777" w:rsidR="00FF1C6E" w:rsidRPr="00122AA3" w:rsidRDefault="00FF1C6E" w:rsidP="00FF1C6E">
      <w:pPr>
        <w:jc w:val="center"/>
        <w:rPr>
          <w:sz w:val="18"/>
        </w:rPr>
      </w:pPr>
    </w:p>
    <w:tbl>
      <w:tblPr>
        <w:tblStyle w:val="TableGrid"/>
        <w:tblW w:w="5364" w:type="pct"/>
        <w:tblInd w:w="-113" w:type="dxa"/>
        <w:tblLook w:val="04A0" w:firstRow="1" w:lastRow="0" w:firstColumn="1" w:lastColumn="0" w:noHBand="0" w:noVBand="1"/>
      </w:tblPr>
      <w:tblGrid>
        <w:gridCol w:w="939"/>
        <w:gridCol w:w="3005"/>
        <w:gridCol w:w="1523"/>
        <w:gridCol w:w="1523"/>
        <w:gridCol w:w="1523"/>
        <w:gridCol w:w="1518"/>
      </w:tblGrid>
      <w:tr w:rsidR="00FF1C6E" w:rsidRPr="00122AA3" w14:paraId="4B2B3017" w14:textId="77777777" w:rsidTr="00192B68">
        <w:trPr>
          <w:trHeight w:val="258"/>
        </w:trPr>
        <w:tc>
          <w:tcPr>
            <w:tcW w:w="1935" w:type="pct"/>
            <w:gridSpan w:val="2"/>
            <w:vAlign w:val="center"/>
          </w:tcPr>
          <w:p w14:paraId="5021D9BC" w14:textId="77777777" w:rsidR="00FF1C6E" w:rsidRPr="00122AA3" w:rsidRDefault="00FF1C6E" w:rsidP="00192B68">
            <w:pPr>
              <w:spacing w:after="60"/>
              <w:jc w:val="left"/>
              <w:rPr>
                <w:b/>
                <w:sz w:val="20"/>
              </w:rPr>
            </w:pPr>
            <w:r w:rsidRPr="00122AA3">
              <w:rPr>
                <w:b/>
                <w:sz w:val="20"/>
              </w:rPr>
              <w:t>V) ENDORSED BUSINESS PLAN</w:t>
            </w:r>
          </w:p>
        </w:tc>
        <w:tc>
          <w:tcPr>
            <w:tcW w:w="767" w:type="pct"/>
            <w:vAlign w:val="center"/>
          </w:tcPr>
          <w:p w14:paraId="3DAAF343" w14:textId="77777777" w:rsidR="00FF1C6E" w:rsidRPr="00122AA3" w:rsidRDefault="00FF1C6E" w:rsidP="00192B68">
            <w:pPr>
              <w:spacing w:after="60"/>
              <w:jc w:val="center"/>
              <w:rPr>
                <w:b/>
                <w:sz w:val="20"/>
              </w:rPr>
            </w:pPr>
            <w:r w:rsidRPr="00122AA3">
              <w:rPr>
                <w:b/>
                <w:sz w:val="20"/>
              </w:rPr>
              <w:t>2025</w:t>
            </w:r>
          </w:p>
        </w:tc>
        <w:tc>
          <w:tcPr>
            <w:tcW w:w="767" w:type="pct"/>
            <w:vAlign w:val="center"/>
          </w:tcPr>
          <w:p w14:paraId="624335BE" w14:textId="77777777" w:rsidR="00FF1C6E" w:rsidRPr="00122AA3" w:rsidRDefault="00FF1C6E" w:rsidP="00192B68">
            <w:pPr>
              <w:spacing w:after="60"/>
              <w:jc w:val="center"/>
              <w:rPr>
                <w:b/>
                <w:sz w:val="20"/>
              </w:rPr>
            </w:pPr>
            <w:r w:rsidRPr="00122AA3">
              <w:rPr>
                <w:b/>
                <w:sz w:val="20"/>
              </w:rPr>
              <w:t>2026</w:t>
            </w:r>
          </w:p>
        </w:tc>
        <w:tc>
          <w:tcPr>
            <w:tcW w:w="767" w:type="pct"/>
            <w:vAlign w:val="center"/>
          </w:tcPr>
          <w:p w14:paraId="4771A326" w14:textId="77777777" w:rsidR="00FF1C6E" w:rsidRPr="00122AA3" w:rsidRDefault="00FF1C6E" w:rsidP="00192B68">
            <w:pPr>
              <w:spacing w:after="60"/>
              <w:jc w:val="center"/>
              <w:rPr>
                <w:b/>
                <w:sz w:val="20"/>
              </w:rPr>
            </w:pPr>
            <w:r w:rsidRPr="00122AA3">
              <w:rPr>
                <w:b/>
                <w:sz w:val="20"/>
              </w:rPr>
              <w:t>2027</w:t>
            </w:r>
          </w:p>
        </w:tc>
        <w:tc>
          <w:tcPr>
            <w:tcW w:w="764" w:type="pct"/>
            <w:vAlign w:val="center"/>
          </w:tcPr>
          <w:p w14:paraId="6D8CBC92" w14:textId="77777777" w:rsidR="00FF1C6E" w:rsidRPr="00122AA3" w:rsidRDefault="00FF1C6E" w:rsidP="00192B68">
            <w:pPr>
              <w:spacing w:after="60"/>
              <w:jc w:val="center"/>
              <w:rPr>
                <w:b/>
                <w:sz w:val="20"/>
              </w:rPr>
            </w:pPr>
            <w:r w:rsidRPr="00122AA3">
              <w:rPr>
                <w:b/>
                <w:sz w:val="20"/>
              </w:rPr>
              <w:t>Total</w:t>
            </w:r>
          </w:p>
        </w:tc>
      </w:tr>
      <w:tr w:rsidR="00FF1C6E" w:rsidRPr="00122AA3" w14:paraId="03DC50AC" w14:textId="77777777" w:rsidTr="00192B68">
        <w:trPr>
          <w:trHeight w:val="258"/>
        </w:trPr>
        <w:tc>
          <w:tcPr>
            <w:tcW w:w="429" w:type="pct"/>
            <w:vMerge w:val="restart"/>
            <w:vAlign w:val="center"/>
          </w:tcPr>
          <w:p w14:paraId="52E0B05B" w14:textId="5A3EC7CD" w:rsidR="00FF1C6E" w:rsidRPr="00122AA3" w:rsidRDefault="0012399D" w:rsidP="00FF1C6E">
            <w:pPr>
              <w:spacing w:after="60"/>
              <w:jc w:val="center"/>
              <w:rPr>
                <w:sz w:val="20"/>
              </w:rPr>
            </w:pPr>
            <w:r>
              <w:rPr>
                <w:color w:val="000000" w:themeColor="text1"/>
                <w:sz w:val="20"/>
              </w:rPr>
              <w:t>PNUMA</w:t>
            </w:r>
          </w:p>
        </w:tc>
        <w:tc>
          <w:tcPr>
            <w:tcW w:w="1505" w:type="pct"/>
          </w:tcPr>
          <w:p w14:paraId="10DA7046" w14:textId="77777777" w:rsidR="00FF1C6E" w:rsidRPr="008752EB" w:rsidRDefault="00FF1C6E" w:rsidP="00FF1C6E">
            <w:pPr>
              <w:spacing w:after="60"/>
              <w:jc w:val="left"/>
              <w:rPr>
                <w:sz w:val="20"/>
                <w:lang w:val="fr-CA"/>
              </w:rPr>
            </w:pPr>
            <w:r w:rsidRPr="008752EB">
              <w:rPr>
                <w:sz w:val="20"/>
                <w:lang w:val="fr-CA"/>
              </w:rPr>
              <w:t>Eliminación de SAO (tons. PAO)</w:t>
            </w:r>
          </w:p>
        </w:tc>
        <w:tc>
          <w:tcPr>
            <w:tcW w:w="767" w:type="pct"/>
          </w:tcPr>
          <w:p w14:paraId="2711DF69" w14:textId="77777777" w:rsidR="00FF1C6E" w:rsidRPr="00122AA3" w:rsidRDefault="00FF1C6E" w:rsidP="00FF1C6E">
            <w:pPr>
              <w:spacing w:after="60"/>
              <w:jc w:val="right"/>
              <w:rPr>
                <w:sz w:val="20"/>
              </w:rPr>
            </w:pPr>
            <w:r>
              <w:rPr>
                <w:sz w:val="20"/>
              </w:rPr>
              <w:t>0,00</w:t>
            </w:r>
          </w:p>
        </w:tc>
        <w:tc>
          <w:tcPr>
            <w:tcW w:w="767" w:type="pct"/>
          </w:tcPr>
          <w:p w14:paraId="73B47889" w14:textId="452A30C3" w:rsidR="00FF1C6E" w:rsidRPr="00122AA3" w:rsidRDefault="00FF1C6E" w:rsidP="00FF1C6E">
            <w:pPr>
              <w:spacing w:after="60"/>
              <w:jc w:val="right"/>
              <w:rPr>
                <w:sz w:val="20"/>
              </w:rPr>
            </w:pPr>
            <w:r>
              <w:rPr>
                <w:sz w:val="20"/>
              </w:rPr>
              <w:t>0,00</w:t>
            </w:r>
          </w:p>
        </w:tc>
        <w:tc>
          <w:tcPr>
            <w:tcW w:w="767" w:type="pct"/>
          </w:tcPr>
          <w:p w14:paraId="6D812537" w14:textId="7E9D80CD" w:rsidR="00FF1C6E" w:rsidRPr="00122AA3" w:rsidRDefault="00FF1C6E" w:rsidP="00FF1C6E">
            <w:pPr>
              <w:spacing w:after="60"/>
              <w:jc w:val="right"/>
              <w:rPr>
                <w:sz w:val="20"/>
              </w:rPr>
            </w:pPr>
            <w:r>
              <w:rPr>
                <w:sz w:val="20"/>
              </w:rPr>
              <w:t>0,00</w:t>
            </w:r>
          </w:p>
        </w:tc>
        <w:tc>
          <w:tcPr>
            <w:tcW w:w="764" w:type="pct"/>
          </w:tcPr>
          <w:p w14:paraId="0E7D9C28" w14:textId="77777777" w:rsidR="00FF1C6E" w:rsidRPr="00122AA3" w:rsidRDefault="00FF1C6E" w:rsidP="00FF1C6E">
            <w:pPr>
              <w:spacing w:after="60"/>
              <w:jc w:val="right"/>
              <w:rPr>
                <w:sz w:val="20"/>
              </w:rPr>
            </w:pPr>
            <w:r w:rsidRPr="00820DCB">
              <w:rPr>
                <w:sz w:val="20"/>
              </w:rPr>
              <w:t>0</w:t>
            </w:r>
            <w:r>
              <w:rPr>
                <w:sz w:val="20"/>
              </w:rPr>
              <w:t>,</w:t>
            </w:r>
            <w:r w:rsidRPr="00820DCB">
              <w:rPr>
                <w:sz w:val="20"/>
              </w:rPr>
              <w:t>00</w:t>
            </w:r>
          </w:p>
        </w:tc>
      </w:tr>
      <w:tr w:rsidR="00FF1C6E" w:rsidRPr="00122AA3" w14:paraId="4E204542" w14:textId="77777777" w:rsidTr="00192B68">
        <w:trPr>
          <w:trHeight w:val="258"/>
        </w:trPr>
        <w:tc>
          <w:tcPr>
            <w:tcW w:w="429" w:type="pct"/>
            <w:vMerge/>
          </w:tcPr>
          <w:p w14:paraId="360F9B6B" w14:textId="77777777" w:rsidR="00FF1C6E" w:rsidRPr="00122AA3" w:rsidRDefault="00FF1C6E" w:rsidP="00192B68">
            <w:pPr>
              <w:spacing w:after="60"/>
              <w:jc w:val="center"/>
              <w:rPr>
                <w:sz w:val="20"/>
              </w:rPr>
            </w:pPr>
          </w:p>
        </w:tc>
        <w:tc>
          <w:tcPr>
            <w:tcW w:w="1505" w:type="pct"/>
          </w:tcPr>
          <w:p w14:paraId="0FCA35E9" w14:textId="77777777" w:rsidR="00FF1C6E" w:rsidRPr="00122AA3" w:rsidRDefault="00FF1C6E" w:rsidP="00192B68">
            <w:pPr>
              <w:spacing w:after="60"/>
              <w:jc w:val="left"/>
              <w:rPr>
                <w:sz w:val="20"/>
              </w:rPr>
            </w:pPr>
            <w:r w:rsidRPr="007948D7">
              <w:rPr>
                <w:sz w:val="20"/>
              </w:rPr>
              <w:t>Financiamiento (USD)</w:t>
            </w:r>
          </w:p>
        </w:tc>
        <w:tc>
          <w:tcPr>
            <w:tcW w:w="767" w:type="pct"/>
          </w:tcPr>
          <w:p w14:paraId="5B82DD8C" w14:textId="77777777" w:rsidR="00FF1C6E" w:rsidRPr="00122AA3" w:rsidRDefault="00FF1C6E" w:rsidP="00192B68">
            <w:pPr>
              <w:spacing w:after="60"/>
              <w:jc w:val="right"/>
              <w:rPr>
                <w:sz w:val="20"/>
              </w:rPr>
            </w:pPr>
            <w:r w:rsidRPr="001832CF">
              <w:rPr>
                <w:sz w:val="20"/>
              </w:rPr>
              <w:t>214</w:t>
            </w:r>
            <w:r>
              <w:rPr>
                <w:sz w:val="20"/>
              </w:rPr>
              <w:t>.</w:t>
            </w:r>
            <w:r w:rsidRPr="001832CF">
              <w:rPr>
                <w:sz w:val="20"/>
              </w:rPr>
              <w:t>700*</w:t>
            </w:r>
          </w:p>
        </w:tc>
        <w:tc>
          <w:tcPr>
            <w:tcW w:w="767" w:type="pct"/>
          </w:tcPr>
          <w:p w14:paraId="467A1CA6" w14:textId="7B63421D" w:rsidR="00FF1C6E" w:rsidRPr="00122AA3" w:rsidRDefault="00FF1C6E" w:rsidP="00192B68">
            <w:pPr>
              <w:spacing w:after="60"/>
              <w:jc w:val="right"/>
              <w:rPr>
                <w:sz w:val="20"/>
              </w:rPr>
            </w:pPr>
            <w:r>
              <w:rPr>
                <w:sz w:val="20"/>
              </w:rPr>
              <w:t>0</w:t>
            </w:r>
          </w:p>
        </w:tc>
        <w:tc>
          <w:tcPr>
            <w:tcW w:w="767" w:type="pct"/>
          </w:tcPr>
          <w:p w14:paraId="55A9EF82" w14:textId="29EC464D" w:rsidR="00FF1C6E" w:rsidRPr="00122AA3" w:rsidRDefault="00FF1C6E" w:rsidP="00192B68">
            <w:pPr>
              <w:spacing w:after="60"/>
              <w:jc w:val="right"/>
              <w:rPr>
                <w:sz w:val="20"/>
              </w:rPr>
            </w:pPr>
            <w:r>
              <w:rPr>
                <w:sz w:val="20"/>
              </w:rPr>
              <w:t>0</w:t>
            </w:r>
          </w:p>
        </w:tc>
        <w:tc>
          <w:tcPr>
            <w:tcW w:w="764" w:type="pct"/>
          </w:tcPr>
          <w:p w14:paraId="73563AF2" w14:textId="77777777" w:rsidR="00FF1C6E" w:rsidRPr="00122AA3" w:rsidRDefault="00FF1C6E" w:rsidP="00192B68">
            <w:pPr>
              <w:spacing w:after="60"/>
              <w:jc w:val="right"/>
              <w:rPr>
                <w:sz w:val="20"/>
              </w:rPr>
            </w:pPr>
            <w:r>
              <w:rPr>
                <w:sz w:val="20"/>
              </w:rPr>
              <w:t>214.700</w:t>
            </w:r>
          </w:p>
        </w:tc>
      </w:tr>
    </w:tbl>
    <w:p w14:paraId="470DCBD1" w14:textId="77777777" w:rsidR="00FF1C6E" w:rsidRPr="00122AA3" w:rsidRDefault="00FF1C6E" w:rsidP="00FF1C6E">
      <w:pPr>
        <w:spacing w:after="120"/>
        <w:ind w:left="-112" w:right="-563"/>
        <w:rPr>
          <w:sz w:val="18"/>
          <w:szCs w:val="18"/>
        </w:rPr>
      </w:pPr>
      <w:r w:rsidRPr="00622BED">
        <w:rPr>
          <w:sz w:val="18"/>
          <w:szCs w:val="18"/>
        </w:rPr>
        <w:t>* Incluyendo US</w:t>
      </w:r>
      <w:r>
        <w:rPr>
          <w:sz w:val="18"/>
          <w:szCs w:val="18"/>
        </w:rPr>
        <w:t>D</w:t>
      </w:r>
      <w:r w:rsidRPr="00622BED">
        <w:rPr>
          <w:sz w:val="18"/>
          <w:szCs w:val="18"/>
        </w:rPr>
        <w:t xml:space="preserve"> 79,100 para el PNUMA por actividades adicionales para mantener la eficiencia energética de acuerdo con la decisión 89/6</w:t>
      </w:r>
    </w:p>
    <w:tbl>
      <w:tblPr>
        <w:tblStyle w:val="TableGrid"/>
        <w:tblW w:w="5364" w:type="pct"/>
        <w:tblInd w:w="-113" w:type="dxa"/>
        <w:tblLayout w:type="fixed"/>
        <w:tblLook w:val="04A0" w:firstRow="1" w:lastRow="0" w:firstColumn="1" w:lastColumn="0" w:noHBand="0" w:noVBand="1"/>
      </w:tblPr>
      <w:tblGrid>
        <w:gridCol w:w="1526"/>
        <w:gridCol w:w="848"/>
        <w:gridCol w:w="1278"/>
        <w:gridCol w:w="991"/>
        <w:gridCol w:w="831"/>
        <w:gridCol w:w="913"/>
        <w:gridCol w:w="808"/>
        <w:gridCol w:w="851"/>
        <w:gridCol w:w="851"/>
        <w:gridCol w:w="1134"/>
      </w:tblGrid>
      <w:tr w:rsidR="00FF1C6E" w:rsidRPr="00122AA3" w14:paraId="752EA7FA" w14:textId="77777777" w:rsidTr="00192B68">
        <w:trPr>
          <w:trHeight w:val="217"/>
        </w:trPr>
        <w:tc>
          <w:tcPr>
            <w:tcW w:w="1820" w:type="pct"/>
            <w:gridSpan w:val="3"/>
            <w:tcMar>
              <w:left w:w="28" w:type="dxa"/>
              <w:right w:w="28" w:type="dxa"/>
            </w:tcMar>
          </w:tcPr>
          <w:p w14:paraId="7750FEC5" w14:textId="77777777" w:rsidR="00FF1C6E" w:rsidRPr="00122AA3" w:rsidRDefault="00FF1C6E" w:rsidP="00192B68">
            <w:pPr>
              <w:spacing w:before="20" w:after="20"/>
              <w:jc w:val="left"/>
              <w:rPr>
                <w:b/>
                <w:sz w:val="20"/>
              </w:rPr>
            </w:pPr>
            <w:r>
              <w:rPr>
                <w:b/>
                <w:sz w:val="20"/>
              </w:rPr>
              <w:t xml:space="preserve"> </w:t>
            </w:r>
            <w:r w:rsidRPr="007948D7">
              <w:rPr>
                <w:b/>
                <w:sz w:val="20"/>
              </w:rPr>
              <w:t>VI) DATOS DEL PROYECTO</w:t>
            </w:r>
          </w:p>
        </w:tc>
        <w:tc>
          <w:tcPr>
            <w:tcW w:w="494" w:type="pct"/>
            <w:vAlign w:val="center"/>
          </w:tcPr>
          <w:p w14:paraId="794AB057" w14:textId="77777777" w:rsidR="00FF1C6E" w:rsidRPr="00122AA3" w:rsidRDefault="00FF1C6E" w:rsidP="00192B68">
            <w:pPr>
              <w:spacing w:before="20" w:after="20"/>
              <w:jc w:val="center"/>
              <w:rPr>
                <w:b/>
                <w:sz w:val="20"/>
              </w:rPr>
            </w:pPr>
            <w:r w:rsidRPr="00122AA3">
              <w:rPr>
                <w:b/>
                <w:sz w:val="20"/>
              </w:rPr>
              <w:t>2025</w:t>
            </w:r>
          </w:p>
        </w:tc>
        <w:tc>
          <w:tcPr>
            <w:tcW w:w="414" w:type="pct"/>
            <w:vAlign w:val="center"/>
          </w:tcPr>
          <w:p w14:paraId="415C05A6" w14:textId="77777777" w:rsidR="00FF1C6E" w:rsidRPr="00122AA3" w:rsidRDefault="00FF1C6E" w:rsidP="00192B68">
            <w:pPr>
              <w:spacing w:before="20" w:after="20"/>
              <w:jc w:val="center"/>
              <w:rPr>
                <w:b/>
                <w:sz w:val="20"/>
              </w:rPr>
            </w:pPr>
            <w:r w:rsidRPr="00122AA3">
              <w:rPr>
                <w:b/>
                <w:sz w:val="20"/>
              </w:rPr>
              <w:t>2026</w:t>
            </w:r>
          </w:p>
        </w:tc>
        <w:tc>
          <w:tcPr>
            <w:tcW w:w="455" w:type="pct"/>
            <w:vAlign w:val="center"/>
          </w:tcPr>
          <w:p w14:paraId="02517784" w14:textId="77777777" w:rsidR="00FF1C6E" w:rsidRPr="00122AA3" w:rsidRDefault="00FF1C6E" w:rsidP="00192B68">
            <w:pPr>
              <w:spacing w:before="20" w:after="20"/>
              <w:jc w:val="center"/>
              <w:rPr>
                <w:b/>
                <w:sz w:val="20"/>
              </w:rPr>
            </w:pPr>
            <w:r w:rsidRPr="00122AA3">
              <w:rPr>
                <w:b/>
                <w:sz w:val="20"/>
              </w:rPr>
              <w:t>2027</w:t>
            </w:r>
          </w:p>
        </w:tc>
        <w:tc>
          <w:tcPr>
            <w:tcW w:w="403" w:type="pct"/>
            <w:vAlign w:val="center"/>
          </w:tcPr>
          <w:p w14:paraId="0A62BE00" w14:textId="77777777" w:rsidR="00FF1C6E" w:rsidRPr="00122AA3" w:rsidRDefault="00FF1C6E" w:rsidP="00192B68">
            <w:pPr>
              <w:spacing w:before="20" w:after="20"/>
              <w:jc w:val="center"/>
              <w:rPr>
                <w:b/>
                <w:sz w:val="20"/>
              </w:rPr>
            </w:pPr>
            <w:r w:rsidRPr="00122AA3">
              <w:rPr>
                <w:b/>
                <w:sz w:val="20"/>
              </w:rPr>
              <w:t>2028</w:t>
            </w:r>
          </w:p>
        </w:tc>
        <w:tc>
          <w:tcPr>
            <w:tcW w:w="424" w:type="pct"/>
            <w:vAlign w:val="center"/>
          </w:tcPr>
          <w:p w14:paraId="091FBE94" w14:textId="77777777" w:rsidR="00FF1C6E" w:rsidRPr="00122AA3" w:rsidRDefault="00FF1C6E" w:rsidP="00192B68">
            <w:pPr>
              <w:spacing w:before="20" w:after="20"/>
              <w:jc w:val="center"/>
              <w:rPr>
                <w:b/>
                <w:sz w:val="20"/>
              </w:rPr>
            </w:pPr>
            <w:r w:rsidRPr="00122AA3">
              <w:rPr>
                <w:b/>
                <w:sz w:val="20"/>
              </w:rPr>
              <w:t>2029</w:t>
            </w:r>
          </w:p>
        </w:tc>
        <w:tc>
          <w:tcPr>
            <w:tcW w:w="424" w:type="pct"/>
            <w:vAlign w:val="center"/>
          </w:tcPr>
          <w:p w14:paraId="21DEDD32" w14:textId="77777777" w:rsidR="00FF1C6E" w:rsidRPr="00122AA3" w:rsidRDefault="00FF1C6E" w:rsidP="00192B68">
            <w:pPr>
              <w:spacing w:before="20" w:after="20"/>
              <w:jc w:val="center"/>
              <w:rPr>
                <w:b/>
                <w:sz w:val="20"/>
              </w:rPr>
            </w:pPr>
            <w:r w:rsidRPr="00122AA3">
              <w:rPr>
                <w:b/>
                <w:sz w:val="20"/>
              </w:rPr>
              <w:t>2030</w:t>
            </w:r>
          </w:p>
        </w:tc>
        <w:tc>
          <w:tcPr>
            <w:tcW w:w="565" w:type="pct"/>
            <w:vAlign w:val="center"/>
          </w:tcPr>
          <w:p w14:paraId="7DD87C8A" w14:textId="77777777" w:rsidR="00FF1C6E" w:rsidRPr="00122AA3" w:rsidRDefault="00FF1C6E" w:rsidP="00192B68">
            <w:pPr>
              <w:spacing w:before="20" w:after="20"/>
              <w:jc w:val="center"/>
              <w:rPr>
                <w:b/>
                <w:sz w:val="20"/>
              </w:rPr>
            </w:pPr>
            <w:r w:rsidRPr="00122AA3">
              <w:rPr>
                <w:b/>
                <w:sz w:val="20"/>
              </w:rPr>
              <w:t>Total</w:t>
            </w:r>
          </w:p>
        </w:tc>
      </w:tr>
      <w:tr w:rsidR="00FF1C6E" w:rsidRPr="00122AA3" w14:paraId="06A242EE" w14:textId="77777777" w:rsidTr="00192B68">
        <w:trPr>
          <w:trHeight w:val="380"/>
        </w:trPr>
        <w:tc>
          <w:tcPr>
            <w:tcW w:w="1820" w:type="pct"/>
            <w:gridSpan w:val="3"/>
            <w:tcMar>
              <w:left w:w="28" w:type="dxa"/>
              <w:right w:w="28" w:type="dxa"/>
            </w:tcMar>
          </w:tcPr>
          <w:p w14:paraId="19EF06C0" w14:textId="77777777" w:rsidR="00FF1C6E" w:rsidRPr="00122AA3" w:rsidRDefault="00FF1C6E" w:rsidP="00192B68">
            <w:pPr>
              <w:tabs>
                <w:tab w:val="left" w:pos="8280"/>
              </w:tabs>
              <w:spacing w:before="20" w:after="20"/>
              <w:ind w:right="-8"/>
              <w:jc w:val="left"/>
              <w:rPr>
                <w:sz w:val="20"/>
              </w:rPr>
            </w:pPr>
            <w:r w:rsidRPr="008752EB">
              <w:rPr>
                <w:sz w:val="20"/>
                <w:szCs w:val="20"/>
                <w:lang w:val="fr-CA"/>
              </w:rPr>
              <w:t xml:space="preserve">Límites de consumo del Protocolo de Montreal (tons. </w:t>
            </w:r>
            <w:r w:rsidRPr="007948D7">
              <w:rPr>
                <w:sz w:val="20"/>
                <w:szCs w:val="20"/>
              </w:rPr>
              <w:t>PAO)</w:t>
            </w:r>
          </w:p>
        </w:tc>
        <w:tc>
          <w:tcPr>
            <w:tcW w:w="494" w:type="pct"/>
            <w:tcMar>
              <w:left w:w="57" w:type="dxa"/>
              <w:right w:w="57" w:type="dxa"/>
            </w:tcMar>
          </w:tcPr>
          <w:p w14:paraId="01E2C101"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14" w:type="pct"/>
            <w:tcMar>
              <w:left w:w="57" w:type="dxa"/>
              <w:right w:w="57" w:type="dxa"/>
            </w:tcMar>
          </w:tcPr>
          <w:p w14:paraId="73130140"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55" w:type="pct"/>
            <w:tcMar>
              <w:left w:w="57" w:type="dxa"/>
              <w:right w:w="57" w:type="dxa"/>
            </w:tcMar>
          </w:tcPr>
          <w:p w14:paraId="3B23F5CE"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03" w:type="pct"/>
            <w:tcMar>
              <w:left w:w="57" w:type="dxa"/>
              <w:right w:w="57" w:type="dxa"/>
            </w:tcMar>
          </w:tcPr>
          <w:p w14:paraId="6D99AC7C"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24" w:type="pct"/>
            <w:tcMar>
              <w:left w:w="57" w:type="dxa"/>
              <w:right w:w="57" w:type="dxa"/>
            </w:tcMar>
          </w:tcPr>
          <w:p w14:paraId="3B7B0A48"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24" w:type="pct"/>
            <w:tcMar>
              <w:left w:w="57" w:type="dxa"/>
              <w:right w:w="57" w:type="dxa"/>
            </w:tcMar>
          </w:tcPr>
          <w:p w14:paraId="7A464219" w14:textId="77777777" w:rsidR="00FF1C6E" w:rsidRPr="00122AA3" w:rsidRDefault="00FF1C6E" w:rsidP="00192B68">
            <w:pPr>
              <w:tabs>
                <w:tab w:val="left" w:pos="8280"/>
              </w:tabs>
              <w:spacing w:before="20" w:after="20"/>
              <w:jc w:val="right"/>
              <w:rPr>
                <w:sz w:val="20"/>
              </w:rPr>
            </w:pPr>
            <w:r w:rsidRPr="006B7AD8">
              <w:rPr>
                <w:sz w:val="20"/>
                <w:szCs w:val="20"/>
              </w:rPr>
              <w:t>0</w:t>
            </w:r>
            <w:r>
              <w:rPr>
                <w:sz w:val="20"/>
                <w:szCs w:val="20"/>
              </w:rPr>
              <w:t>,</w:t>
            </w:r>
            <w:r w:rsidRPr="006B7AD8">
              <w:rPr>
                <w:sz w:val="20"/>
                <w:szCs w:val="20"/>
              </w:rPr>
              <w:t>00</w:t>
            </w:r>
          </w:p>
        </w:tc>
        <w:tc>
          <w:tcPr>
            <w:tcW w:w="565" w:type="pct"/>
            <w:tcMar>
              <w:left w:w="57" w:type="dxa"/>
              <w:right w:w="57" w:type="dxa"/>
            </w:tcMar>
          </w:tcPr>
          <w:p w14:paraId="7462A008" w14:textId="77777777" w:rsidR="00FF1C6E" w:rsidRPr="00122AA3" w:rsidRDefault="00FF1C6E" w:rsidP="00192B68">
            <w:pPr>
              <w:tabs>
                <w:tab w:val="left" w:pos="8280"/>
              </w:tabs>
              <w:spacing w:before="20" w:after="20"/>
              <w:jc w:val="right"/>
              <w:rPr>
                <w:sz w:val="20"/>
              </w:rPr>
            </w:pPr>
            <w:r w:rsidRPr="007948D7">
              <w:rPr>
                <w:sz w:val="20"/>
                <w:szCs w:val="20"/>
              </w:rPr>
              <w:t>n. a.</w:t>
            </w:r>
          </w:p>
        </w:tc>
      </w:tr>
      <w:tr w:rsidR="00FF1C6E" w:rsidRPr="00122AA3" w14:paraId="46D5E875" w14:textId="77777777" w:rsidTr="00192B68">
        <w:trPr>
          <w:trHeight w:val="190"/>
        </w:trPr>
        <w:tc>
          <w:tcPr>
            <w:tcW w:w="1820" w:type="pct"/>
            <w:gridSpan w:val="3"/>
            <w:tcMar>
              <w:left w:w="28" w:type="dxa"/>
              <w:right w:w="28" w:type="dxa"/>
            </w:tcMar>
          </w:tcPr>
          <w:p w14:paraId="19EE46DB" w14:textId="77777777" w:rsidR="00FF1C6E" w:rsidRPr="00122AA3" w:rsidRDefault="00FF1C6E" w:rsidP="00192B68">
            <w:pPr>
              <w:tabs>
                <w:tab w:val="left" w:pos="8280"/>
              </w:tabs>
              <w:spacing w:before="20" w:after="20"/>
              <w:jc w:val="left"/>
              <w:rPr>
                <w:sz w:val="20"/>
              </w:rPr>
            </w:pPr>
            <w:r w:rsidRPr="007948D7">
              <w:rPr>
                <w:sz w:val="20"/>
                <w:szCs w:val="20"/>
              </w:rPr>
              <w:t>Consumo máximo permitido (tons. PAO)</w:t>
            </w:r>
          </w:p>
        </w:tc>
        <w:tc>
          <w:tcPr>
            <w:tcW w:w="494" w:type="pct"/>
            <w:tcMar>
              <w:left w:w="57" w:type="dxa"/>
              <w:right w:w="57" w:type="dxa"/>
            </w:tcMar>
          </w:tcPr>
          <w:p w14:paraId="65210158"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14" w:type="pct"/>
            <w:tcMar>
              <w:left w:w="57" w:type="dxa"/>
              <w:right w:w="57" w:type="dxa"/>
            </w:tcMar>
          </w:tcPr>
          <w:p w14:paraId="3E3D793E"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55" w:type="pct"/>
            <w:tcMar>
              <w:left w:w="57" w:type="dxa"/>
              <w:right w:w="57" w:type="dxa"/>
            </w:tcMar>
          </w:tcPr>
          <w:p w14:paraId="5761050E"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03" w:type="pct"/>
            <w:tcMar>
              <w:left w:w="57" w:type="dxa"/>
              <w:right w:w="57" w:type="dxa"/>
            </w:tcMar>
          </w:tcPr>
          <w:p w14:paraId="400BD981"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24" w:type="pct"/>
            <w:tcMar>
              <w:left w:w="57" w:type="dxa"/>
              <w:right w:w="57" w:type="dxa"/>
            </w:tcMar>
          </w:tcPr>
          <w:p w14:paraId="21A40787" w14:textId="77777777" w:rsidR="00FF1C6E" w:rsidRPr="00122AA3" w:rsidRDefault="00FF1C6E" w:rsidP="00192B68">
            <w:pPr>
              <w:tabs>
                <w:tab w:val="left" w:pos="8280"/>
              </w:tabs>
              <w:spacing w:before="20" w:after="20"/>
              <w:jc w:val="right"/>
              <w:rPr>
                <w:sz w:val="20"/>
              </w:rPr>
            </w:pPr>
            <w:r w:rsidRPr="00480F74">
              <w:rPr>
                <w:sz w:val="20"/>
                <w:szCs w:val="20"/>
              </w:rPr>
              <w:t>0,23</w:t>
            </w:r>
          </w:p>
        </w:tc>
        <w:tc>
          <w:tcPr>
            <w:tcW w:w="424" w:type="pct"/>
            <w:tcMar>
              <w:left w:w="57" w:type="dxa"/>
              <w:right w:w="57" w:type="dxa"/>
            </w:tcMar>
          </w:tcPr>
          <w:p w14:paraId="2CC17B78" w14:textId="77777777" w:rsidR="00FF1C6E" w:rsidRPr="00122AA3" w:rsidRDefault="00FF1C6E" w:rsidP="00192B68">
            <w:pPr>
              <w:tabs>
                <w:tab w:val="left" w:pos="8280"/>
              </w:tabs>
              <w:spacing w:before="20" w:after="20"/>
              <w:jc w:val="right"/>
              <w:rPr>
                <w:sz w:val="20"/>
              </w:rPr>
            </w:pPr>
            <w:r w:rsidRPr="006B7AD8">
              <w:rPr>
                <w:sz w:val="20"/>
                <w:szCs w:val="20"/>
              </w:rPr>
              <w:t>0</w:t>
            </w:r>
            <w:r>
              <w:rPr>
                <w:sz w:val="20"/>
                <w:szCs w:val="20"/>
              </w:rPr>
              <w:t>,</w:t>
            </w:r>
            <w:r w:rsidRPr="006B7AD8">
              <w:rPr>
                <w:sz w:val="20"/>
                <w:szCs w:val="20"/>
              </w:rPr>
              <w:t>00</w:t>
            </w:r>
          </w:p>
        </w:tc>
        <w:tc>
          <w:tcPr>
            <w:tcW w:w="565" w:type="pct"/>
            <w:tcMar>
              <w:left w:w="57" w:type="dxa"/>
              <w:right w:w="57" w:type="dxa"/>
            </w:tcMar>
          </w:tcPr>
          <w:p w14:paraId="15AA71A1" w14:textId="77777777" w:rsidR="00FF1C6E" w:rsidRPr="00122AA3" w:rsidRDefault="00FF1C6E" w:rsidP="00192B68">
            <w:pPr>
              <w:tabs>
                <w:tab w:val="left" w:pos="8280"/>
              </w:tabs>
              <w:spacing w:before="20" w:after="20"/>
              <w:jc w:val="right"/>
              <w:rPr>
                <w:sz w:val="20"/>
              </w:rPr>
            </w:pPr>
            <w:r w:rsidRPr="007948D7">
              <w:rPr>
                <w:sz w:val="20"/>
                <w:szCs w:val="20"/>
              </w:rPr>
              <w:t>n. a.</w:t>
            </w:r>
          </w:p>
        </w:tc>
      </w:tr>
      <w:tr w:rsidR="00FF1C6E" w:rsidRPr="00122AA3" w14:paraId="5A51FFC7" w14:textId="77777777" w:rsidTr="00192B68">
        <w:trPr>
          <w:trHeight w:val="360"/>
        </w:trPr>
        <w:tc>
          <w:tcPr>
            <w:tcW w:w="761" w:type="pct"/>
            <w:vMerge w:val="restart"/>
            <w:tcMar>
              <w:left w:w="28" w:type="dxa"/>
              <w:right w:w="28" w:type="dxa"/>
            </w:tcMar>
            <w:vAlign w:val="center"/>
          </w:tcPr>
          <w:p w14:paraId="1743A879" w14:textId="77777777" w:rsidR="00FF1C6E" w:rsidRPr="008752EB" w:rsidRDefault="00FF1C6E" w:rsidP="00192B68">
            <w:pPr>
              <w:tabs>
                <w:tab w:val="left" w:pos="8280"/>
              </w:tabs>
              <w:spacing w:before="20" w:after="20"/>
              <w:jc w:val="left"/>
              <w:rPr>
                <w:sz w:val="20"/>
                <w:lang w:val="fr-CA"/>
              </w:rPr>
            </w:pPr>
            <w:r w:rsidRPr="008752EB">
              <w:rPr>
                <w:sz w:val="20"/>
                <w:szCs w:val="20"/>
                <w:lang w:val="fr-CA"/>
              </w:rPr>
              <w:t>Costos del proyecto solicitados en principio (USD)</w:t>
            </w:r>
          </w:p>
        </w:tc>
        <w:tc>
          <w:tcPr>
            <w:tcW w:w="423" w:type="pct"/>
            <w:vMerge w:val="restart"/>
            <w:tcMar>
              <w:left w:w="28" w:type="dxa"/>
              <w:right w:w="28" w:type="dxa"/>
            </w:tcMar>
            <w:vAlign w:val="center"/>
          </w:tcPr>
          <w:p w14:paraId="19A2E6E0" w14:textId="77777777" w:rsidR="00FF1C6E" w:rsidRPr="00122AA3" w:rsidRDefault="00FF1C6E" w:rsidP="00192B68">
            <w:pPr>
              <w:tabs>
                <w:tab w:val="left" w:pos="8280"/>
              </w:tabs>
              <w:spacing w:before="20" w:after="20"/>
              <w:jc w:val="center"/>
              <w:rPr>
                <w:sz w:val="20"/>
              </w:rPr>
            </w:pPr>
            <w:r>
              <w:rPr>
                <w:color w:val="000000" w:themeColor="text1"/>
                <w:sz w:val="20"/>
                <w:szCs w:val="20"/>
              </w:rPr>
              <w:t>PNUMA</w:t>
            </w:r>
          </w:p>
        </w:tc>
        <w:tc>
          <w:tcPr>
            <w:tcW w:w="637" w:type="pct"/>
            <w:tcMar>
              <w:left w:w="28" w:type="dxa"/>
              <w:right w:w="28" w:type="dxa"/>
            </w:tcMar>
          </w:tcPr>
          <w:p w14:paraId="197FECB4" w14:textId="77777777" w:rsidR="00FF1C6E" w:rsidRPr="00122AA3" w:rsidRDefault="00FF1C6E" w:rsidP="00192B68">
            <w:pPr>
              <w:tabs>
                <w:tab w:val="left" w:pos="8280"/>
              </w:tabs>
              <w:spacing w:before="20" w:after="20"/>
              <w:jc w:val="left"/>
              <w:rPr>
                <w:sz w:val="20"/>
              </w:rPr>
            </w:pPr>
            <w:r w:rsidRPr="007948D7">
              <w:rPr>
                <w:sz w:val="20"/>
                <w:szCs w:val="20"/>
              </w:rPr>
              <w:t>Costos del proyecto</w:t>
            </w:r>
          </w:p>
        </w:tc>
        <w:tc>
          <w:tcPr>
            <w:tcW w:w="494" w:type="pct"/>
            <w:tcMar>
              <w:left w:w="57" w:type="dxa"/>
              <w:right w:w="57" w:type="dxa"/>
            </w:tcMar>
          </w:tcPr>
          <w:p w14:paraId="5BA87A40" w14:textId="77777777" w:rsidR="00FF1C6E" w:rsidRPr="00122AA3" w:rsidRDefault="00FF1C6E" w:rsidP="00192B68">
            <w:pPr>
              <w:tabs>
                <w:tab w:val="left" w:pos="8280"/>
              </w:tabs>
              <w:spacing w:before="20" w:after="20"/>
              <w:jc w:val="right"/>
              <w:rPr>
                <w:sz w:val="20"/>
              </w:rPr>
            </w:pPr>
            <w:r w:rsidRPr="00576C61">
              <w:rPr>
                <w:color w:val="000000"/>
                <w:sz w:val="20"/>
                <w:szCs w:val="20"/>
              </w:rPr>
              <w:t>239</w:t>
            </w:r>
            <w:r>
              <w:rPr>
                <w:color w:val="000000"/>
                <w:sz w:val="20"/>
                <w:szCs w:val="20"/>
              </w:rPr>
              <w:t>.</w:t>
            </w:r>
            <w:r w:rsidRPr="00576C61">
              <w:rPr>
                <w:color w:val="000000"/>
                <w:sz w:val="20"/>
                <w:szCs w:val="20"/>
              </w:rPr>
              <w:t>000</w:t>
            </w:r>
          </w:p>
        </w:tc>
        <w:tc>
          <w:tcPr>
            <w:tcW w:w="414" w:type="pct"/>
            <w:tcMar>
              <w:left w:w="57" w:type="dxa"/>
              <w:right w:w="57" w:type="dxa"/>
            </w:tcMar>
          </w:tcPr>
          <w:p w14:paraId="6966C051"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55" w:type="pct"/>
            <w:tcMar>
              <w:left w:w="57" w:type="dxa"/>
              <w:right w:w="57" w:type="dxa"/>
            </w:tcMar>
          </w:tcPr>
          <w:p w14:paraId="25ECBFD0"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03" w:type="pct"/>
            <w:tcMar>
              <w:left w:w="57" w:type="dxa"/>
              <w:right w:w="57" w:type="dxa"/>
            </w:tcMar>
          </w:tcPr>
          <w:p w14:paraId="068766FB" w14:textId="77777777" w:rsidR="00FF1C6E" w:rsidRPr="00122AA3" w:rsidRDefault="00FF1C6E" w:rsidP="00192B68">
            <w:pPr>
              <w:tabs>
                <w:tab w:val="left" w:pos="8280"/>
              </w:tabs>
              <w:spacing w:before="20" w:after="20"/>
              <w:jc w:val="right"/>
              <w:rPr>
                <w:sz w:val="20"/>
              </w:rPr>
            </w:pPr>
            <w:r w:rsidRPr="00576C61">
              <w:rPr>
                <w:sz w:val="20"/>
                <w:szCs w:val="20"/>
              </w:rPr>
              <w:t>139</w:t>
            </w:r>
            <w:r>
              <w:rPr>
                <w:sz w:val="20"/>
                <w:szCs w:val="20"/>
              </w:rPr>
              <w:t>.</w:t>
            </w:r>
            <w:r w:rsidRPr="00576C61">
              <w:rPr>
                <w:sz w:val="20"/>
                <w:szCs w:val="20"/>
              </w:rPr>
              <w:t>000</w:t>
            </w:r>
          </w:p>
        </w:tc>
        <w:tc>
          <w:tcPr>
            <w:tcW w:w="424" w:type="pct"/>
            <w:tcMar>
              <w:left w:w="57" w:type="dxa"/>
              <w:right w:w="57" w:type="dxa"/>
            </w:tcMar>
          </w:tcPr>
          <w:p w14:paraId="13866B8D"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24" w:type="pct"/>
            <w:tcMar>
              <w:left w:w="57" w:type="dxa"/>
              <w:right w:w="57" w:type="dxa"/>
            </w:tcMar>
          </w:tcPr>
          <w:p w14:paraId="26D8B4D3" w14:textId="77777777" w:rsidR="00FF1C6E" w:rsidRPr="00122AA3" w:rsidRDefault="00FF1C6E" w:rsidP="00192B68">
            <w:pPr>
              <w:tabs>
                <w:tab w:val="left" w:pos="8280"/>
              </w:tabs>
              <w:spacing w:before="20" w:after="20"/>
              <w:jc w:val="right"/>
              <w:rPr>
                <w:sz w:val="20"/>
              </w:rPr>
            </w:pPr>
            <w:r w:rsidRPr="006B7AD8">
              <w:rPr>
                <w:color w:val="000000"/>
                <w:sz w:val="20"/>
                <w:szCs w:val="20"/>
              </w:rPr>
              <w:t>45</w:t>
            </w:r>
            <w:r>
              <w:rPr>
                <w:color w:val="000000"/>
                <w:sz w:val="20"/>
                <w:szCs w:val="20"/>
              </w:rPr>
              <w:t>.</w:t>
            </w:r>
            <w:r w:rsidRPr="006B7AD8">
              <w:rPr>
                <w:color w:val="000000"/>
                <w:sz w:val="20"/>
                <w:szCs w:val="20"/>
              </w:rPr>
              <w:t>000</w:t>
            </w:r>
          </w:p>
        </w:tc>
        <w:tc>
          <w:tcPr>
            <w:tcW w:w="565" w:type="pct"/>
            <w:tcMar>
              <w:left w:w="57" w:type="dxa"/>
              <w:right w:w="57" w:type="dxa"/>
            </w:tcMar>
          </w:tcPr>
          <w:p w14:paraId="629DC9C2" w14:textId="77777777" w:rsidR="00FF1C6E" w:rsidRPr="00122AA3" w:rsidRDefault="00FF1C6E" w:rsidP="00192B68">
            <w:pPr>
              <w:tabs>
                <w:tab w:val="left" w:pos="8280"/>
              </w:tabs>
              <w:spacing w:before="20" w:after="20"/>
              <w:jc w:val="right"/>
              <w:rPr>
                <w:sz w:val="20"/>
              </w:rPr>
            </w:pPr>
            <w:r w:rsidRPr="006B7AD8">
              <w:rPr>
                <w:sz w:val="20"/>
                <w:szCs w:val="20"/>
              </w:rPr>
              <w:t>423</w:t>
            </w:r>
            <w:r>
              <w:rPr>
                <w:sz w:val="20"/>
                <w:szCs w:val="20"/>
              </w:rPr>
              <w:t>.</w:t>
            </w:r>
            <w:r w:rsidRPr="006B7AD8">
              <w:rPr>
                <w:sz w:val="20"/>
                <w:szCs w:val="20"/>
              </w:rPr>
              <w:t>000</w:t>
            </w:r>
          </w:p>
        </w:tc>
      </w:tr>
      <w:tr w:rsidR="00FF1C6E" w:rsidRPr="00122AA3" w14:paraId="33D81D02" w14:textId="77777777" w:rsidTr="00192B68">
        <w:trPr>
          <w:trHeight w:val="360"/>
        </w:trPr>
        <w:tc>
          <w:tcPr>
            <w:tcW w:w="761" w:type="pct"/>
            <w:vMerge/>
            <w:tcMar>
              <w:left w:w="28" w:type="dxa"/>
              <w:right w:w="28" w:type="dxa"/>
            </w:tcMar>
          </w:tcPr>
          <w:p w14:paraId="16CE4924" w14:textId="77777777" w:rsidR="00FF1C6E" w:rsidRPr="00122AA3" w:rsidRDefault="00FF1C6E" w:rsidP="00192B68">
            <w:pPr>
              <w:tabs>
                <w:tab w:val="left" w:pos="8280"/>
              </w:tabs>
              <w:spacing w:before="20" w:after="20"/>
              <w:jc w:val="left"/>
              <w:rPr>
                <w:sz w:val="20"/>
              </w:rPr>
            </w:pPr>
          </w:p>
        </w:tc>
        <w:tc>
          <w:tcPr>
            <w:tcW w:w="423" w:type="pct"/>
            <w:vMerge/>
            <w:tcMar>
              <w:left w:w="28" w:type="dxa"/>
              <w:right w:w="28" w:type="dxa"/>
            </w:tcMar>
          </w:tcPr>
          <w:p w14:paraId="02D8A760" w14:textId="77777777" w:rsidR="00FF1C6E" w:rsidRPr="00122AA3" w:rsidRDefault="00FF1C6E" w:rsidP="00192B68">
            <w:pPr>
              <w:tabs>
                <w:tab w:val="left" w:pos="8280"/>
              </w:tabs>
              <w:spacing w:before="20" w:after="20"/>
              <w:jc w:val="left"/>
              <w:rPr>
                <w:sz w:val="20"/>
              </w:rPr>
            </w:pPr>
          </w:p>
        </w:tc>
        <w:tc>
          <w:tcPr>
            <w:tcW w:w="637" w:type="pct"/>
            <w:tcMar>
              <w:left w:w="28" w:type="dxa"/>
              <w:right w:w="28" w:type="dxa"/>
            </w:tcMar>
          </w:tcPr>
          <w:p w14:paraId="4C99B151" w14:textId="77777777" w:rsidR="00FF1C6E" w:rsidRPr="00122AA3" w:rsidRDefault="00FF1C6E" w:rsidP="00192B68">
            <w:pPr>
              <w:tabs>
                <w:tab w:val="left" w:pos="8280"/>
              </w:tabs>
              <w:spacing w:before="20" w:after="20"/>
              <w:jc w:val="left"/>
              <w:rPr>
                <w:sz w:val="20"/>
              </w:rPr>
            </w:pPr>
            <w:r w:rsidRPr="007948D7">
              <w:rPr>
                <w:sz w:val="20"/>
                <w:szCs w:val="20"/>
              </w:rPr>
              <w:t>Gastos de apoyo</w:t>
            </w:r>
          </w:p>
        </w:tc>
        <w:tc>
          <w:tcPr>
            <w:tcW w:w="494" w:type="pct"/>
            <w:tcMar>
              <w:left w:w="57" w:type="dxa"/>
              <w:right w:w="57" w:type="dxa"/>
            </w:tcMar>
          </w:tcPr>
          <w:p w14:paraId="3F34470C" w14:textId="77777777" w:rsidR="00FF1C6E" w:rsidRPr="00122AA3" w:rsidRDefault="00FF1C6E" w:rsidP="00192B68">
            <w:pPr>
              <w:tabs>
                <w:tab w:val="left" w:pos="8280"/>
              </w:tabs>
              <w:spacing w:before="20" w:after="20"/>
              <w:jc w:val="right"/>
              <w:rPr>
                <w:sz w:val="20"/>
              </w:rPr>
            </w:pPr>
            <w:r w:rsidRPr="00576C61">
              <w:rPr>
                <w:color w:val="000000"/>
                <w:sz w:val="20"/>
                <w:szCs w:val="20"/>
              </w:rPr>
              <w:t>31</w:t>
            </w:r>
            <w:r>
              <w:rPr>
                <w:color w:val="000000"/>
                <w:sz w:val="20"/>
                <w:szCs w:val="20"/>
              </w:rPr>
              <w:t>.</w:t>
            </w:r>
            <w:r w:rsidRPr="00576C61">
              <w:rPr>
                <w:color w:val="000000"/>
                <w:sz w:val="20"/>
                <w:szCs w:val="20"/>
              </w:rPr>
              <w:t>070</w:t>
            </w:r>
          </w:p>
        </w:tc>
        <w:tc>
          <w:tcPr>
            <w:tcW w:w="414" w:type="pct"/>
            <w:tcMar>
              <w:left w:w="57" w:type="dxa"/>
              <w:right w:w="57" w:type="dxa"/>
            </w:tcMar>
          </w:tcPr>
          <w:p w14:paraId="539660F0"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55" w:type="pct"/>
            <w:tcMar>
              <w:left w:w="57" w:type="dxa"/>
              <w:right w:w="57" w:type="dxa"/>
            </w:tcMar>
          </w:tcPr>
          <w:p w14:paraId="4B11BF43"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03" w:type="pct"/>
            <w:tcMar>
              <w:left w:w="57" w:type="dxa"/>
              <w:right w:w="57" w:type="dxa"/>
            </w:tcMar>
          </w:tcPr>
          <w:p w14:paraId="02E352A6" w14:textId="77777777" w:rsidR="00FF1C6E" w:rsidRPr="00122AA3" w:rsidRDefault="00FF1C6E" w:rsidP="00192B68">
            <w:pPr>
              <w:tabs>
                <w:tab w:val="left" w:pos="8280"/>
              </w:tabs>
              <w:spacing w:before="20" w:after="20"/>
              <w:jc w:val="right"/>
              <w:rPr>
                <w:sz w:val="20"/>
              </w:rPr>
            </w:pPr>
            <w:r w:rsidRPr="00576C61">
              <w:rPr>
                <w:sz w:val="20"/>
                <w:szCs w:val="20"/>
              </w:rPr>
              <w:t>18</w:t>
            </w:r>
            <w:r>
              <w:rPr>
                <w:sz w:val="20"/>
                <w:szCs w:val="20"/>
              </w:rPr>
              <w:t>.</w:t>
            </w:r>
            <w:r w:rsidRPr="00576C61">
              <w:rPr>
                <w:sz w:val="20"/>
                <w:szCs w:val="20"/>
              </w:rPr>
              <w:t>070</w:t>
            </w:r>
          </w:p>
        </w:tc>
        <w:tc>
          <w:tcPr>
            <w:tcW w:w="424" w:type="pct"/>
            <w:tcMar>
              <w:left w:w="57" w:type="dxa"/>
              <w:right w:w="57" w:type="dxa"/>
            </w:tcMar>
          </w:tcPr>
          <w:p w14:paraId="65E64D98"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24" w:type="pct"/>
            <w:tcMar>
              <w:left w:w="57" w:type="dxa"/>
              <w:right w:w="57" w:type="dxa"/>
            </w:tcMar>
          </w:tcPr>
          <w:p w14:paraId="4F3BAF44" w14:textId="77777777" w:rsidR="00FF1C6E" w:rsidRPr="00122AA3" w:rsidRDefault="00FF1C6E" w:rsidP="00192B68">
            <w:pPr>
              <w:tabs>
                <w:tab w:val="left" w:pos="8280"/>
              </w:tabs>
              <w:spacing w:before="20" w:after="20"/>
              <w:jc w:val="right"/>
              <w:rPr>
                <w:sz w:val="20"/>
              </w:rPr>
            </w:pPr>
            <w:r w:rsidRPr="006B7AD8">
              <w:rPr>
                <w:color w:val="000000"/>
                <w:sz w:val="20"/>
                <w:szCs w:val="20"/>
              </w:rPr>
              <w:t>5</w:t>
            </w:r>
            <w:r>
              <w:rPr>
                <w:color w:val="000000"/>
                <w:sz w:val="20"/>
                <w:szCs w:val="20"/>
              </w:rPr>
              <w:t>.</w:t>
            </w:r>
            <w:r w:rsidRPr="006B7AD8">
              <w:rPr>
                <w:color w:val="000000"/>
                <w:sz w:val="20"/>
                <w:szCs w:val="20"/>
              </w:rPr>
              <w:t>850</w:t>
            </w:r>
          </w:p>
        </w:tc>
        <w:tc>
          <w:tcPr>
            <w:tcW w:w="565" w:type="pct"/>
            <w:tcMar>
              <w:left w:w="57" w:type="dxa"/>
              <w:right w:w="57" w:type="dxa"/>
            </w:tcMar>
          </w:tcPr>
          <w:p w14:paraId="3FBF9586" w14:textId="77777777" w:rsidR="00FF1C6E" w:rsidRPr="00122AA3" w:rsidRDefault="00FF1C6E" w:rsidP="00192B68">
            <w:pPr>
              <w:tabs>
                <w:tab w:val="left" w:pos="8280"/>
              </w:tabs>
              <w:spacing w:before="20" w:after="20"/>
              <w:jc w:val="right"/>
              <w:rPr>
                <w:sz w:val="20"/>
              </w:rPr>
            </w:pPr>
            <w:r w:rsidRPr="006B7AD8">
              <w:rPr>
                <w:color w:val="000000"/>
                <w:sz w:val="20"/>
                <w:szCs w:val="20"/>
              </w:rPr>
              <w:t>54</w:t>
            </w:r>
            <w:r>
              <w:rPr>
                <w:color w:val="000000"/>
                <w:sz w:val="20"/>
                <w:szCs w:val="20"/>
              </w:rPr>
              <w:t>.</w:t>
            </w:r>
            <w:r w:rsidRPr="006B7AD8">
              <w:rPr>
                <w:color w:val="000000"/>
                <w:sz w:val="20"/>
                <w:szCs w:val="20"/>
              </w:rPr>
              <w:t>990</w:t>
            </w:r>
          </w:p>
        </w:tc>
      </w:tr>
      <w:tr w:rsidR="00FF1C6E" w:rsidRPr="00122AA3" w14:paraId="5975BF79" w14:textId="77777777" w:rsidTr="00192B68">
        <w:trPr>
          <w:trHeight w:val="270"/>
        </w:trPr>
        <w:tc>
          <w:tcPr>
            <w:tcW w:w="761" w:type="pct"/>
            <w:vMerge w:val="restart"/>
            <w:tcMar>
              <w:left w:w="28" w:type="dxa"/>
              <w:right w:w="28" w:type="dxa"/>
            </w:tcMar>
            <w:vAlign w:val="center"/>
          </w:tcPr>
          <w:p w14:paraId="04DD9BB7" w14:textId="77777777" w:rsidR="00FF1C6E" w:rsidRPr="008752EB" w:rsidRDefault="00FF1C6E" w:rsidP="00192B68">
            <w:pPr>
              <w:tabs>
                <w:tab w:val="left" w:pos="8280"/>
              </w:tabs>
              <w:spacing w:before="20" w:after="20"/>
              <w:jc w:val="left"/>
              <w:rPr>
                <w:sz w:val="20"/>
                <w:lang w:val="fr-CA"/>
              </w:rPr>
            </w:pPr>
            <w:r w:rsidRPr="008752EB">
              <w:rPr>
                <w:sz w:val="20"/>
                <w:szCs w:val="20"/>
                <w:lang w:val="fr-CA"/>
              </w:rPr>
              <w:t>Montos totales recomendados en principio (USD)</w:t>
            </w:r>
          </w:p>
        </w:tc>
        <w:tc>
          <w:tcPr>
            <w:tcW w:w="1060" w:type="pct"/>
            <w:gridSpan w:val="2"/>
            <w:tcMar>
              <w:left w:w="28" w:type="dxa"/>
              <w:right w:w="28" w:type="dxa"/>
            </w:tcMar>
          </w:tcPr>
          <w:p w14:paraId="44AB619E" w14:textId="77777777" w:rsidR="00FF1C6E" w:rsidRPr="00122AA3" w:rsidRDefault="00FF1C6E" w:rsidP="00192B68">
            <w:pPr>
              <w:tabs>
                <w:tab w:val="left" w:pos="8280"/>
              </w:tabs>
              <w:spacing w:before="20" w:after="20"/>
              <w:jc w:val="left"/>
              <w:rPr>
                <w:sz w:val="20"/>
              </w:rPr>
            </w:pPr>
            <w:r w:rsidRPr="007948D7">
              <w:rPr>
                <w:sz w:val="20"/>
                <w:szCs w:val="20"/>
              </w:rPr>
              <w:t>Costos del proyecto</w:t>
            </w:r>
          </w:p>
        </w:tc>
        <w:tc>
          <w:tcPr>
            <w:tcW w:w="494" w:type="pct"/>
            <w:tcMar>
              <w:left w:w="57" w:type="dxa"/>
              <w:right w:w="57" w:type="dxa"/>
            </w:tcMar>
            <w:vAlign w:val="center"/>
          </w:tcPr>
          <w:p w14:paraId="7DCCD5B1" w14:textId="77777777" w:rsidR="00FF1C6E" w:rsidRPr="00122AA3" w:rsidRDefault="00FF1C6E" w:rsidP="00192B68">
            <w:pPr>
              <w:tabs>
                <w:tab w:val="left" w:pos="8280"/>
              </w:tabs>
              <w:spacing w:before="20" w:after="20"/>
              <w:jc w:val="right"/>
              <w:rPr>
                <w:sz w:val="20"/>
              </w:rPr>
            </w:pPr>
            <w:r w:rsidRPr="00576C61">
              <w:rPr>
                <w:color w:val="000000"/>
                <w:sz w:val="20"/>
                <w:szCs w:val="20"/>
              </w:rPr>
              <w:t>239</w:t>
            </w:r>
            <w:r>
              <w:rPr>
                <w:color w:val="000000"/>
                <w:sz w:val="20"/>
                <w:szCs w:val="20"/>
              </w:rPr>
              <w:t>.</w:t>
            </w:r>
            <w:r w:rsidRPr="00576C61">
              <w:rPr>
                <w:color w:val="000000"/>
                <w:sz w:val="20"/>
                <w:szCs w:val="20"/>
              </w:rPr>
              <w:t>000</w:t>
            </w:r>
          </w:p>
        </w:tc>
        <w:tc>
          <w:tcPr>
            <w:tcW w:w="414" w:type="pct"/>
            <w:tcMar>
              <w:left w:w="57" w:type="dxa"/>
              <w:right w:w="57" w:type="dxa"/>
            </w:tcMar>
          </w:tcPr>
          <w:p w14:paraId="362EEBB3"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55" w:type="pct"/>
            <w:tcMar>
              <w:left w:w="57" w:type="dxa"/>
              <w:right w:w="57" w:type="dxa"/>
            </w:tcMar>
          </w:tcPr>
          <w:p w14:paraId="41150A5E"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03" w:type="pct"/>
            <w:tcMar>
              <w:left w:w="57" w:type="dxa"/>
              <w:right w:w="57" w:type="dxa"/>
            </w:tcMar>
            <w:vAlign w:val="center"/>
          </w:tcPr>
          <w:p w14:paraId="5F3B97E8" w14:textId="77777777" w:rsidR="00FF1C6E" w:rsidRPr="00122AA3" w:rsidRDefault="00FF1C6E" w:rsidP="00192B68">
            <w:pPr>
              <w:tabs>
                <w:tab w:val="left" w:pos="8280"/>
              </w:tabs>
              <w:spacing w:before="20" w:after="20"/>
              <w:jc w:val="right"/>
              <w:rPr>
                <w:sz w:val="20"/>
              </w:rPr>
            </w:pPr>
            <w:r w:rsidRPr="00576C61">
              <w:rPr>
                <w:color w:val="000000"/>
                <w:sz w:val="20"/>
                <w:szCs w:val="20"/>
              </w:rPr>
              <w:t>139</w:t>
            </w:r>
            <w:r>
              <w:rPr>
                <w:color w:val="000000"/>
                <w:sz w:val="20"/>
                <w:szCs w:val="20"/>
              </w:rPr>
              <w:t>.</w:t>
            </w:r>
            <w:r w:rsidRPr="00576C61">
              <w:rPr>
                <w:color w:val="000000"/>
                <w:sz w:val="20"/>
                <w:szCs w:val="20"/>
              </w:rPr>
              <w:t>000</w:t>
            </w:r>
          </w:p>
        </w:tc>
        <w:tc>
          <w:tcPr>
            <w:tcW w:w="424" w:type="pct"/>
            <w:tcMar>
              <w:left w:w="57" w:type="dxa"/>
              <w:right w:w="57" w:type="dxa"/>
            </w:tcMar>
          </w:tcPr>
          <w:p w14:paraId="0C3F7E5E"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24" w:type="pct"/>
            <w:tcMar>
              <w:left w:w="57" w:type="dxa"/>
              <w:right w:w="57" w:type="dxa"/>
            </w:tcMar>
          </w:tcPr>
          <w:p w14:paraId="7ADFA2E1" w14:textId="77777777" w:rsidR="00FF1C6E" w:rsidRPr="00122AA3" w:rsidRDefault="00FF1C6E" w:rsidP="00192B68">
            <w:pPr>
              <w:tabs>
                <w:tab w:val="left" w:pos="8280"/>
              </w:tabs>
              <w:spacing w:before="20" w:after="20"/>
              <w:jc w:val="right"/>
              <w:rPr>
                <w:sz w:val="20"/>
              </w:rPr>
            </w:pPr>
            <w:r w:rsidRPr="006B7AD8">
              <w:rPr>
                <w:color w:val="000000"/>
                <w:sz w:val="20"/>
                <w:szCs w:val="20"/>
              </w:rPr>
              <w:t>45</w:t>
            </w:r>
            <w:r>
              <w:rPr>
                <w:color w:val="000000"/>
                <w:sz w:val="20"/>
                <w:szCs w:val="20"/>
              </w:rPr>
              <w:t>.</w:t>
            </w:r>
            <w:r w:rsidRPr="006B7AD8">
              <w:rPr>
                <w:color w:val="000000"/>
                <w:sz w:val="20"/>
                <w:szCs w:val="20"/>
              </w:rPr>
              <w:t>000</w:t>
            </w:r>
          </w:p>
        </w:tc>
        <w:tc>
          <w:tcPr>
            <w:tcW w:w="565" w:type="pct"/>
            <w:tcMar>
              <w:left w:w="57" w:type="dxa"/>
              <w:right w:w="57" w:type="dxa"/>
            </w:tcMar>
          </w:tcPr>
          <w:p w14:paraId="70787D8F" w14:textId="77777777" w:rsidR="00FF1C6E" w:rsidRPr="00122AA3" w:rsidRDefault="00FF1C6E" w:rsidP="00192B68">
            <w:pPr>
              <w:tabs>
                <w:tab w:val="left" w:pos="8280"/>
              </w:tabs>
              <w:spacing w:before="20" w:after="20"/>
              <w:jc w:val="right"/>
              <w:rPr>
                <w:sz w:val="20"/>
              </w:rPr>
            </w:pPr>
            <w:r w:rsidRPr="006B7AD8">
              <w:rPr>
                <w:sz w:val="20"/>
                <w:szCs w:val="20"/>
              </w:rPr>
              <w:t>423</w:t>
            </w:r>
            <w:r>
              <w:rPr>
                <w:sz w:val="20"/>
                <w:szCs w:val="20"/>
              </w:rPr>
              <w:t>.</w:t>
            </w:r>
            <w:r w:rsidRPr="006B7AD8">
              <w:rPr>
                <w:sz w:val="20"/>
                <w:szCs w:val="20"/>
              </w:rPr>
              <w:t>000</w:t>
            </w:r>
          </w:p>
        </w:tc>
      </w:tr>
      <w:tr w:rsidR="00FF1C6E" w:rsidRPr="00122AA3" w14:paraId="49D47D5E" w14:textId="77777777" w:rsidTr="00192B68">
        <w:trPr>
          <w:trHeight w:val="270"/>
        </w:trPr>
        <w:tc>
          <w:tcPr>
            <w:tcW w:w="761" w:type="pct"/>
            <w:vMerge/>
            <w:tcMar>
              <w:left w:w="28" w:type="dxa"/>
              <w:right w:w="28" w:type="dxa"/>
            </w:tcMar>
          </w:tcPr>
          <w:p w14:paraId="153F6DC9" w14:textId="77777777" w:rsidR="00FF1C6E" w:rsidRPr="00122AA3" w:rsidRDefault="00FF1C6E" w:rsidP="00192B68">
            <w:pPr>
              <w:tabs>
                <w:tab w:val="left" w:pos="8280"/>
              </w:tabs>
              <w:spacing w:before="20" w:after="20"/>
              <w:jc w:val="left"/>
              <w:rPr>
                <w:sz w:val="20"/>
              </w:rPr>
            </w:pPr>
          </w:p>
        </w:tc>
        <w:tc>
          <w:tcPr>
            <w:tcW w:w="1060" w:type="pct"/>
            <w:gridSpan w:val="2"/>
            <w:tcMar>
              <w:left w:w="28" w:type="dxa"/>
              <w:right w:w="28" w:type="dxa"/>
            </w:tcMar>
          </w:tcPr>
          <w:p w14:paraId="3D636FEB" w14:textId="77777777" w:rsidR="00FF1C6E" w:rsidRPr="00122AA3" w:rsidRDefault="00FF1C6E" w:rsidP="00192B68">
            <w:pPr>
              <w:tabs>
                <w:tab w:val="left" w:pos="8280"/>
              </w:tabs>
              <w:spacing w:before="20" w:after="20"/>
              <w:jc w:val="left"/>
              <w:rPr>
                <w:sz w:val="20"/>
              </w:rPr>
            </w:pPr>
            <w:r w:rsidRPr="007948D7">
              <w:rPr>
                <w:sz w:val="20"/>
                <w:szCs w:val="20"/>
              </w:rPr>
              <w:t>Gastos de apoyo</w:t>
            </w:r>
          </w:p>
        </w:tc>
        <w:tc>
          <w:tcPr>
            <w:tcW w:w="494" w:type="pct"/>
            <w:tcMar>
              <w:left w:w="57" w:type="dxa"/>
              <w:right w:w="57" w:type="dxa"/>
            </w:tcMar>
            <w:vAlign w:val="center"/>
          </w:tcPr>
          <w:p w14:paraId="2AC9512E" w14:textId="77777777" w:rsidR="00FF1C6E" w:rsidRPr="00122AA3" w:rsidRDefault="00FF1C6E" w:rsidP="00192B68">
            <w:pPr>
              <w:tabs>
                <w:tab w:val="left" w:pos="8280"/>
              </w:tabs>
              <w:spacing w:before="20" w:after="20"/>
              <w:jc w:val="right"/>
              <w:rPr>
                <w:sz w:val="20"/>
              </w:rPr>
            </w:pPr>
            <w:r w:rsidRPr="00576C61">
              <w:rPr>
                <w:color w:val="000000"/>
                <w:sz w:val="20"/>
                <w:szCs w:val="20"/>
              </w:rPr>
              <w:t>31</w:t>
            </w:r>
            <w:r>
              <w:rPr>
                <w:color w:val="000000"/>
                <w:sz w:val="20"/>
                <w:szCs w:val="20"/>
              </w:rPr>
              <w:t>.</w:t>
            </w:r>
            <w:r w:rsidRPr="00576C61">
              <w:rPr>
                <w:color w:val="000000"/>
                <w:sz w:val="20"/>
                <w:szCs w:val="20"/>
              </w:rPr>
              <w:t>070</w:t>
            </w:r>
          </w:p>
        </w:tc>
        <w:tc>
          <w:tcPr>
            <w:tcW w:w="414" w:type="pct"/>
            <w:tcMar>
              <w:left w:w="57" w:type="dxa"/>
              <w:right w:w="57" w:type="dxa"/>
            </w:tcMar>
          </w:tcPr>
          <w:p w14:paraId="083C1E24"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55" w:type="pct"/>
            <w:tcMar>
              <w:left w:w="57" w:type="dxa"/>
              <w:right w:w="57" w:type="dxa"/>
            </w:tcMar>
          </w:tcPr>
          <w:p w14:paraId="055D090C"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03" w:type="pct"/>
            <w:tcMar>
              <w:left w:w="57" w:type="dxa"/>
              <w:right w:w="57" w:type="dxa"/>
            </w:tcMar>
            <w:vAlign w:val="center"/>
          </w:tcPr>
          <w:p w14:paraId="5D30CD27" w14:textId="77777777" w:rsidR="00FF1C6E" w:rsidRPr="00122AA3" w:rsidRDefault="00FF1C6E" w:rsidP="00192B68">
            <w:pPr>
              <w:tabs>
                <w:tab w:val="left" w:pos="8280"/>
              </w:tabs>
              <w:spacing w:before="20" w:after="20"/>
              <w:jc w:val="right"/>
              <w:rPr>
                <w:sz w:val="20"/>
              </w:rPr>
            </w:pPr>
            <w:r w:rsidRPr="00576C61">
              <w:rPr>
                <w:color w:val="000000"/>
                <w:sz w:val="20"/>
                <w:szCs w:val="20"/>
              </w:rPr>
              <w:t>18</w:t>
            </w:r>
            <w:r>
              <w:rPr>
                <w:color w:val="000000"/>
                <w:sz w:val="20"/>
                <w:szCs w:val="20"/>
              </w:rPr>
              <w:t>.</w:t>
            </w:r>
            <w:r w:rsidRPr="00576C61">
              <w:rPr>
                <w:color w:val="000000"/>
                <w:sz w:val="20"/>
                <w:szCs w:val="20"/>
              </w:rPr>
              <w:t>070</w:t>
            </w:r>
          </w:p>
        </w:tc>
        <w:tc>
          <w:tcPr>
            <w:tcW w:w="424" w:type="pct"/>
            <w:tcMar>
              <w:left w:w="57" w:type="dxa"/>
              <w:right w:w="57" w:type="dxa"/>
            </w:tcMar>
          </w:tcPr>
          <w:p w14:paraId="343B290F"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24" w:type="pct"/>
            <w:tcMar>
              <w:left w:w="57" w:type="dxa"/>
              <w:right w:w="57" w:type="dxa"/>
            </w:tcMar>
          </w:tcPr>
          <w:p w14:paraId="5CA300C2" w14:textId="77777777" w:rsidR="00FF1C6E" w:rsidRPr="00122AA3" w:rsidRDefault="00FF1C6E" w:rsidP="00192B68">
            <w:pPr>
              <w:tabs>
                <w:tab w:val="left" w:pos="8280"/>
              </w:tabs>
              <w:spacing w:before="20" w:after="20"/>
              <w:jc w:val="right"/>
              <w:rPr>
                <w:sz w:val="20"/>
              </w:rPr>
            </w:pPr>
            <w:r w:rsidRPr="006B7AD8">
              <w:rPr>
                <w:color w:val="000000"/>
                <w:sz w:val="20"/>
                <w:szCs w:val="20"/>
              </w:rPr>
              <w:t>5</w:t>
            </w:r>
            <w:r>
              <w:rPr>
                <w:color w:val="000000"/>
                <w:sz w:val="20"/>
                <w:szCs w:val="20"/>
              </w:rPr>
              <w:t>.</w:t>
            </w:r>
            <w:r w:rsidRPr="006B7AD8">
              <w:rPr>
                <w:color w:val="000000"/>
                <w:sz w:val="20"/>
                <w:szCs w:val="20"/>
              </w:rPr>
              <w:t>850</w:t>
            </w:r>
          </w:p>
        </w:tc>
        <w:tc>
          <w:tcPr>
            <w:tcW w:w="565" w:type="pct"/>
            <w:tcMar>
              <w:left w:w="57" w:type="dxa"/>
              <w:right w:w="57" w:type="dxa"/>
            </w:tcMar>
          </w:tcPr>
          <w:p w14:paraId="74610A49" w14:textId="77777777" w:rsidR="00FF1C6E" w:rsidRPr="00122AA3" w:rsidRDefault="00FF1C6E" w:rsidP="00192B68">
            <w:pPr>
              <w:tabs>
                <w:tab w:val="left" w:pos="8280"/>
              </w:tabs>
              <w:spacing w:before="20" w:after="20"/>
              <w:jc w:val="right"/>
              <w:rPr>
                <w:sz w:val="20"/>
              </w:rPr>
            </w:pPr>
            <w:r w:rsidRPr="006B7AD8">
              <w:rPr>
                <w:color w:val="000000"/>
                <w:sz w:val="20"/>
                <w:szCs w:val="20"/>
              </w:rPr>
              <w:t>5</w:t>
            </w:r>
            <w:r>
              <w:rPr>
                <w:color w:val="000000"/>
                <w:sz w:val="20"/>
                <w:szCs w:val="20"/>
              </w:rPr>
              <w:t>4.</w:t>
            </w:r>
            <w:r w:rsidRPr="006B7AD8">
              <w:rPr>
                <w:color w:val="000000"/>
                <w:sz w:val="20"/>
                <w:szCs w:val="20"/>
              </w:rPr>
              <w:t>990</w:t>
            </w:r>
          </w:p>
        </w:tc>
      </w:tr>
      <w:tr w:rsidR="00FF1C6E" w:rsidRPr="00122AA3" w14:paraId="02A3AF82" w14:textId="77777777" w:rsidTr="00192B68">
        <w:trPr>
          <w:trHeight w:val="270"/>
        </w:trPr>
        <w:tc>
          <w:tcPr>
            <w:tcW w:w="761" w:type="pct"/>
            <w:vMerge/>
            <w:tcMar>
              <w:left w:w="28" w:type="dxa"/>
              <w:right w:w="28" w:type="dxa"/>
            </w:tcMar>
          </w:tcPr>
          <w:p w14:paraId="77DA59E2" w14:textId="77777777" w:rsidR="00FF1C6E" w:rsidRPr="00122AA3" w:rsidRDefault="00FF1C6E" w:rsidP="00192B68">
            <w:pPr>
              <w:tabs>
                <w:tab w:val="left" w:pos="8280"/>
              </w:tabs>
              <w:spacing w:before="20" w:after="20"/>
              <w:jc w:val="left"/>
              <w:rPr>
                <w:sz w:val="20"/>
              </w:rPr>
            </w:pPr>
          </w:p>
        </w:tc>
        <w:tc>
          <w:tcPr>
            <w:tcW w:w="1060" w:type="pct"/>
            <w:gridSpan w:val="2"/>
            <w:tcMar>
              <w:left w:w="28" w:type="dxa"/>
              <w:right w:w="28" w:type="dxa"/>
            </w:tcMar>
          </w:tcPr>
          <w:p w14:paraId="0EB73209" w14:textId="77777777" w:rsidR="00FF1C6E" w:rsidRPr="00122AA3" w:rsidRDefault="00FF1C6E" w:rsidP="00192B68">
            <w:pPr>
              <w:tabs>
                <w:tab w:val="left" w:pos="8280"/>
              </w:tabs>
              <w:spacing w:before="20" w:after="20"/>
              <w:jc w:val="left"/>
              <w:rPr>
                <w:sz w:val="20"/>
              </w:rPr>
            </w:pPr>
            <w:r w:rsidRPr="007948D7">
              <w:rPr>
                <w:sz w:val="20"/>
                <w:szCs w:val="20"/>
              </w:rPr>
              <w:t>Total de fondos</w:t>
            </w:r>
          </w:p>
        </w:tc>
        <w:tc>
          <w:tcPr>
            <w:tcW w:w="494" w:type="pct"/>
            <w:tcMar>
              <w:left w:w="57" w:type="dxa"/>
              <w:right w:w="57" w:type="dxa"/>
            </w:tcMar>
          </w:tcPr>
          <w:p w14:paraId="25072B5C" w14:textId="77777777" w:rsidR="00FF1C6E" w:rsidRPr="00122AA3" w:rsidRDefault="00FF1C6E" w:rsidP="00192B68">
            <w:pPr>
              <w:tabs>
                <w:tab w:val="left" w:pos="8280"/>
              </w:tabs>
              <w:spacing w:before="20" w:after="20"/>
              <w:jc w:val="right"/>
              <w:rPr>
                <w:sz w:val="20"/>
              </w:rPr>
            </w:pPr>
            <w:r w:rsidRPr="00576C61">
              <w:rPr>
                <w:color w:val="000000"/>
                <w:sz w:val="20"/>
                <w:szCs w:val="20"/>
              </w:rPr>
              <w:t>270</w:t>
            </w:r>
            <w:r>
              <w:rPr>
                <w:color w:val="000000"/>
                <w:sz w:val="20"/>
                <w:szCs w:val="20"/>
              </w:rPr>
              <w:t>.</w:t>
            </w:r>
            <w:r w:rsidRPr="00576C61">
              <w:rPr>
                <w:color w:val="000000"/>
                <w:sz w:val="20"/>
                <w:szCs w:val="20"/>
              </w:rPr>
              <w:t>070</w:t>
            </w:r>
          </w:p>
        </w:tc>
        <w:tc>
          <w:tcPr>
            <w:tcW w:w="414" w:type="pct"/>
            <w:tcMar>
              <w:left w:w="57" w:type="dxa"/>
              <w:right w:w="57" w:type="dxa"/>
            </w:tcMar>
          </w:tcPr>
          <w:p w14:paraId="1F1722B8"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55" w:type="pct"/>
            <w:tcMar>
              <w:left w:w="57" w:type="dxa"/>
              <w:right w:w="57" w:type="dxa"/>
            </w:tcMar>
          </w:tcPr>
          <w:p w14:paraId="559BAC75"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03" w:type="pct"/>
            <w:tcMar>
              <w:left w:w="57" w:type="dxa"/>
              <w:right w:w="57" w:type="dxa"/>
            </w:tcMar>
          </w:tcPr>
          <w:p w14:paraId="5033E682" w14:textId="77777777" w:rsidR="00FF1C6E" w:rsidRPr="00122AA3" w:rsidRDefault="00FF1C6E" w:rsidP="00192B68">
            <w:pPr>
              <w:tabs>
                <w:tab w:val="left" w:pos="8280"/>
              </w:tabs>
              <w:spacing w:before="20" w:after="20"/>
              <w:jc w:val="right"/>
              <w:rPr>
                <w:sz w:val="20"/>
              </w:rPr>
            </w:pPr>
            <w:r w:rsidRPr="00576C61">
              <w:rPr>
                <w:color w:val="000000"/>
                <w:sz w:val="20"/>
                <w:szCs w:val="20"/>
              </w:rPr>
              <w:t>157</w:t>
            </w:r>
            <w:r>
              <w:rPr>
                <w:color w:val="000000"/>
                <w:sz w:val="20"/>
                <w:szCs w:val="20"/>
              </w:rPr>
              <w:t>.</w:t>
            </w:r>
            <w:r w:rsidRPr="00576C61">
              <w:rPr>
                <w:color w:val="000000"/>
                <w:sz w:val="20"/>
                <w:szCs w:val="20"/>
              </w:rPr>
              <w:t>070</w:t>
            </w:r>
          </w:p>
        </w:tc>
        <w:tc>
          <w:tcPr>
            <w:tcW w:w="424" w:type="pct"/>
            <w:tcMar>
              <w:left w:w="57" w:type="dxa"/>
              <w:right w:w="57" w:type="dxa"/>
            </w:tcMar>
          </w:tcPr>
          <w:p w14:paraId="721EF98B" w14:textId="77777777" w:rsidR="00FF1C6E" w:rsidRPr="00122AA3" w:rsidRDefault="00FF1C6E" w:rsidP="00192B68">
            <w:pPr>
              <w:tabs>
                <w:tab w:val="left" w:pos="8280"/>
              </w:tabs>
              <w:spacing w:before="20" w:after="20"/>
              <w:jc w:val="right"/>
              <w:rPr>
                <w:sz w:val="20"/>
              </w:rPr>
            </w:pPr>
            <w:r w:rsidRPr="00576C61">
              <w:rPr>
                <w:color w:val="000000"/>
                <w:sz w:val="20"/>
                <w:szCs w:val="20"/>
              </w:rPr>
              <w:t>0</w:t>
            </w:r>
          </w:p>
        </w:tc>
        <w:tc>
          <w:tcPr>
            <w:tcW w:w="424" w:type="pct"/>
            <w:tcMar>
              <w:left w:w="57" w:type="dxa"/>
              <w:right w:w="57" w:type="dxa"/>
            </w:tcMar>
          </w:tcPr>
          <w:p w14:paraId="29582E0D" w14:textId="77777777" w:rsidR="00FF1C6E" w:rsidRPr="00122AA3" w:rsidRDefault="00FF1C6E" w:rsidP="00192B68">
            <w:pPr>
              <w:tabs>
                <w:tab w:val="left" w:pos="8280"/>
              </w:tabs>
              <w:spacing w:before="20" w:after="20"/>
              <w:jc w:val="right"/>
              <w:rPr>
                <w:sz w:val="20"/>
              </w:rPr>
            </w:pPr>
            <w:r w:rsidRPr="006B7AD8">
              <w:rPr>
                <w:color w:val="000000"/>
                <w:sz w:val="20"/>
                <w:szCs w:val="20"/>
              </w:rPr>
              <w:t>50</w:t>
            </w:r>
            <w:r>
              <w:rPr>
                <w:color w:val="000000"/>
                <w:sz w:val="20"/>
                <w:szCs w:val="20"/>
              </w:rPr>
              <w:t>.</w:t>
            </w:r>
            <w:r w:rsidRPr="006B7AD8">
              <w:rPr>
                <w:color w:val="000000"/>
                <w:sz w:val="20"/>
                <w:szCs w:val="20"/>
              </w:rPr>
              <w:t>850</w:t>
            </w:r>
          </w:p>
        </w:tc>
        <w:tc>
          <w:tcPr>
            <w:tcW w:w="565" w:type="pct"/>
            <w:tcMar>
              <w:left w:w="57" w:type="dxa"/>
              <w:right w:w="57" w:type="dxa"/>
            </w:tcMar>
          </w:tcPr>
          <w:p w14:paraId="36EB7992" w14:textId="77777777" w:rsidR="00FF1C6E" w:rsidRPr="00122AA3" w:rsidRDefault="00FF1C6E" w:rsidP="00192B68">
            <w:pPr>
              <w:tabs>
                <w:tab w:val="left" w:pos="8280"/>
              </w:tabs>
              <w:spacing w:before="20" w:after="20"/>
              <w:jc w:val="right"/>
              <w:rPr>
                <w:sz w:val="20"/>
              </w:rPr>
            </w:pPr>
            <w:r w:rsidRPr="006B7AD8">
              <w:rPr>
                <w:sz w:val="20"/>
                <w:szCs w:val="20"/>
              </w:rPr>
              <w:t>477</w:t>
            </w:r>
            <w:r>
              <w:rPr>
                <w:sz w:val="20"/>
                <w:szCs w:val="20"/>
              </w:rPr>
              <w:t>.</w:t>
            </w:r>
            <w:r w:rsidRPr="006B7AD8">
              <w:rPr>
                <w:sz w:val="20"/>
                <w:szCs w:val="20"/>
              </w:rPr>
              <w:t>990</w:t>
            </w:r>
          </w:p>
        </w:tc>
      </w:tr>
    </w:tbl>
    <w:p w14:paraId="5C90BD0E" w14:textId="77777777" w:rsidR="00FF1C6E" w:rsidRPr="00122AA3" w:rsidRDefault="00FF1C6E" w:rsidP="00FF1C6E">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3168"/>
        <w:gridCol w:w="3689"/>
        <w:gridCol w:w="3174"/>
      </w:tblGrid>
      <w:tr w:rsidR="00FF1C6E" w:rsidRPr="00933F2B" w14:paraId="36BCF8FC" w14:textId="77777777" w:rsidTr="00192B68">
        <w:trPr>
          <w:trHeight w:val="261"/>
        </w:trPr>
        <w:tc>
          <w:tcPr>
            <w:tcW w:w="5000" w:type="pct"/>
            <w:gridSpan w:val="3"/>
          </w:tcPr>
          <w:p w14:paraId="37B1B015" w14:textId="77777777" w:rsidR="00FF1C6E" w:rsidRPr="008752EB" w:rsidRDefault="00FF1C6E" w:rsidP="00192B68">
            <w:pPr>
              <w:spacing w:before="20" w:after="20"/>
              <w:rPr>
                <w:b/>
                <w:sz w:val="20"/>
                <w:lang w:val="fr-CA"/>
              </w:rPr>
            </w:pPr>
            <w:r w:rsidRPr="008752EB">
              <w:rPr>
                <w:b/>
                <w:bCs/>
                <w:sz w:val="20"/>
                <w:szCs w:val="20"/>
                <w:lang w:val="fr-CA"/>
              </w:rPr>
              <w:t>VII) Solicitud de aprobación del financiamiento para el primer tramo (2025)</w:t>
            </w:r>
          </w:p>
        </w:tc>
      </w:tr>
      <w:tr w:rsidR="0012399D" w:rsidRPr="00122AA3" w14:paraId="09B7EF88" w14:textId="77777777" w:rsidTr="00192B68">
        <w:trPr>
          <w:trHeight w:val="261"/>
        </w:trPr>
        <w:tc>
          <w:tcPr>
            <w:tcW w:w="1579" w:type="pct"/>
          </w:tcPr>
          <w:p w14:paraId="0AA8AFD8" w14:textId="14D85675" w:rsidR="0012399D" w:rsidRPr="00122AA3" w:rsidRDefault="0012399D" w:rsidP="0012399D">
            <w:pPr>
              <w:spacing w:before="20" w:after="20"/>
              <w:jc w:val="center"/>
              <w:rPr>
                <w:b/>
                <w:sz w:val="20"/>
              </w:rPr>
            </w:pPr>
            <w:r w:rsidRPr="007948D7">
              <w:rPr>
                <w:b/>
                <w:bCs/>
                <w:sz w:val="20"/>
                <w:szCs w:val="20"/>
              </w:rPr>
              <w:t>Organismo de ejecución</w:t>
            </w:r>
          </w:p>
        </w:tc>
        <w:tc>
          <w:tcPr>
            <w:tcW w:w="1839" w:type="pct"/>
          </w:tcPr>
          <w:p w14:paraId="046EB236" w14:textId="34F83970" w:rsidR="0012399D" w:rsidRPr="00122AA3" w:rsidRDefault="0012399D" w:rsidP="0012399D">
            <w:pPr>
              <w:spacing w:before="20" w:after="20"/>
              <w:jc w:val="center"/>
              <w:rPr>
                <w:b/>
                <w:sz w:val="20"/>
              </w:rPr>
            </w:pPr>
            <w:r w:rsidRPr="007948D7">
              <w:rPr>
                <w:b/>
                <w:bCs/>
                <w:sz w:val="20"/>
                <w:szCs w:val="20"/>
              </w:rPr>
              <w:t>Fondos recomendados (USD)</w:t>
            </w:r>
          </w:p>
        </w:tc>
        <w:tc>
          <w:tcPr>
            <w:tcW w:w="1582" w:type="pct"/>
          </w:tcPr>
          <w:p w14:paraId="25B772B2" w14:textId="39807803" w:rsidR="0012399D" w:rsidRPr="00122AA3" w:rsidRDefault="0012399D" w:rsidP="0012399D">
            <w:pPr>
              <w:spacing w:before="20" w:after="20"/>
              <w:jc w:val="center"/>
              <w:rPr>
                <w:b/>
                <w:sz w:val="20"/>
              </w:rPr>
            </w:pPr>
            <w:r w:rsidRPr="007948D7">
              <w:rPr>
                <w:b/>
                <w:bCs/>
                <w:sz w:val="20"/>
                <w:szCs w:val="20"/>
              </w:rPr>
              <w:t>Gastos de apoyo (USD)</w:t>
            </w:r>
          </w:p>
        </w:tc>
      </w:tr>
      <w:tr w:rsidR="00FF1C6E" w:rsidRPr="00122AA3" w14:paraId="23B89F38" w14:textId="77777777" w:rsidTr="00192B68">
        <w:trPr>
          <w:trHeight w:val="261"/>
        </w:trPr>
        <w:tc>
          <w:tcPr>
            <w:tcW w:w="1579" w:type="pct"/>
          </w:tcPr>
          <w:p w14:paraId="706CF837" w14:textId="77777777" w:rsidR="00FF1C6E" w:rsidRPr="00122AA3" w:rsidRDefault="00FF1C6E" w:rsidP="00192B68">
            <w:pPr>
              <w:spacing w:before="20" w:after="20"/>
              <w:rPr>
                <w:sz w:val="20"/>
              </w:rPr>
            </w:pPr>
            <w:r>
              <w:rPr>
                <w:sz w:val="20"/>
                <w:szCs w:val="20"/>
              </w:rPr>
              <w:t>PNUMA</w:t>
            </w:r>
          </w:p>
        </w:tc>
        <w:tc>
          <w:tcPr>
            <w:tcW w:w="1839" w:type="pct"/>
          </w:tcPr>
          <w:p w14:paraId="1F7B3E95" w14:textId="77777777" w:rsidR="00FF1C6E" w:rsidRPr="00122AA3" w:rsidRDefault="00FF1C6E" w:rsidP="00192B68">
            <w:pPr>
              <w:spacing w:before="20" w:after="20"/>
              <w:jc w:val="right"/>
              <w:rPr>
                <w:sz w:val="20"/>
              </w:rPr>
            </w:pPr>
            <w:r w:rsidRPr="00576C61">
              <w:rPr>
                <w:sz w:val="20"/>
                <w:szCs w:val="20"/>
              </w:rPr>
              <w:t>239</w:t>
            </w:r>
            <w:r>
              <w:rPr>
                <w:sz w:val="20"/>
                <w:szCs w:val="20"/>
              </w:rPr>
              <w:t>.</w:t>
            </w:r>
            <w:r w:rsidRPr="00576C61">
              <w:rPr>
                <w:sz w:val="20"/>
                <w:szCs w:val="20"/>
              </w:rPr>
              <w:t>000</w:t>
            </w:r>
          </w:p>
        </w:tc>
        <w:tc>
          <w:tcPr>
            <w:tcW w:w="1582" w:type="pct"/>
          </w:tcPr>
          <w:p w14:paraId="561CA37C" w14:textId="77777777" w:rsidR="00FF1C6E" w:rsidRPr="00122AA3" w:rsidRDefault="00FF1C6E" w:rsidP="00192B68">
            <w:pPr>
              <w:spacing w:before="20" w:after="20"/>
              <w:jc w:val="right"/>
              <w:rPr>
                <w:sz w:val="20"/>
              </w:rPr>
            </w:pPr>
            <w:r w:rsidRPr="00576C61">
              <w:rPr>
                <w:color w:val="000000" w:themeColor="text1"/>
                <w:sz w:val="20"/>
              </w:rPr>
              <w:t>31</w:t>
            </w:r>
            <w:r>
              <w:rPr>
                <w:color w:val="000000" w:themeColor="text1"/>
                <w:sz w:val="20"/>
              </w:rPr>
              <w:t>.</w:t>
            </w:r>
            <w:r w:rsidRPr="00576C61">
              <w:rPr>
                <w:color w:val="000000" w:themeColor="text1"/>
                <w:sz w:val="20"/>
              </w:rPr>
              <w:t>070</w:t>
            </w:r>
          </w:p>
        </w:tc>
      </w:tr>
    </w:tbl>
    <w:p w14:paraId="7CC0F2A5" w14:textId="77777777" w:rsidR="00FF1C6E" w:rsidRPr="00122AA3" w:rsidRDefault="00FF1C6E" w:rsidP="00FF1C6E">
      <w:pPr>
        <w:jc w:val="center"/>
        <w:rPr>
          <w:sz w:val="18"/>
          <w:szCs w:val="18"/>
        </w:rPr>
      </w:pPr>
    </w:p>
    <w:tbl>
      <w:tblPr>
        <w:tblStyle w:val="TableGrid"/>
        <w:tblW w:w="5364" w:type="pct"/>
        <w:tblInd w:w="-113" w:type="dxa"/>
        <w:tblLook w:val="04A0" w:firstRow="1" w:lastRow="0" w:firstColumn="1" w:lastColumn="0" w:noHBand="0" w:noVBand="1"/>
      </w:tblPr>
      <w:tblGrid>
        <w:gridCol w:w="3168"/>
        <w:gridCol w:w="6863"/>
      </w:tblGrid>
      <w:tr w:rsidR="00FF1C6E" w:rsidRPr="00122AA3" w14:paraId="3CC7322F" w14:textId="77777777" w:rsidTr="00192B68">
        <w:trPr>
          <w:trHeight w:hRule="exact" w:val="281"/>
        </w:trPr>
        <w:tc>
          <w:tcPr>
            <w:tcW w:w="1579" w:type="pct"/>
          </w:tcPr>
          <w:p w14:paraId="112992D7" w14:textId="77777777" w:rsidR="00FF1C6E" w:rsidRPr="00122AA3" w:rsidRDefault="00FF1C6E" w:rsidP="00192B68">
            <w:pPr>
              <w:jc w:val="left"/>
              <w:rPr>
                <w:b/>
                <w:sz w:val="20"/>
              </w:rPr>
            </w:pPr>
            <w:r w:rsidRPr="007948D7">
              <w:rPr>
                <w:b/>
                <w:color w:val="000000" w:themeColor="text1"/>
                <w:sz w:val="20"/>
                <w:szCs w:val="20"/>
              </w:rPr>
              <w:t>Recomendación de la Secretaría:</w:t>
            </w:r>
          </w:p>
        </w:tc>
        <w:tc>
          <w:tcPr>
            <w:tcW w:w="3421" w:type="pct"/>
          </w:tcPr>
          <w:p w14:paraId="02F2EEFE" w14:textId="77777777" w:rsidR="00FF1C6E" w:rsidRPr="00122AA3" w:rsidRDefault="00FF1C6E" w:rsidP="00192B68">
            <w:pPr>
              <w:jc w:val="center"/>
              <w:rPr>
                <w:sz w:val="20"/>
              </w:rPr>
            </w:pPr>
            <w:r w:rsidRPr="007948D7">
              <w:rPr>
                <w:color w:val="000000" w:themeColor="text1"/>
                <w:sz w:val="20"/>
                <w:szCs w:val="20"/>
              </w:rPr>
              <w:t>Consideración individual</w:t>
            </w:r>
          </w:p>
        </w:tc>
      </w:tr>
    </w:tbl>
    <w:p w14:paraId="3A5C3946" w14:textId="55BDA9FC" w:rsidR="009837C2" w:rsidRDefault="009837C2" w:rsidP="004A4122">
      <w:pPr>
        <w:keepNext/>
        <w:tabs>
          <w:tab w:val="left" w:pos="2880"/>
          <w:tab w:val="left" w:pos="5760"/>
        </w:tabs>
        <w:spacing w:before="240" w:after="240"/>
        <w:jc w:val="center"/>
        <w:rPr>
          <w:b/>
        </w:rPr>
      </w:pPr>
      <w:r>
        <w:br w:type="page"/>
      </w:r>
    </w:p>
    <w:p w14:paraId="4F0D2D8B" w14:textId="4394B122" w:rsidR="00563DA8" w:rsidRPr="00996241" w:rsidRDefault="00563DA8" w:rsidP="004A4122">
      <w:pPr>
        <w:keepNext/>
        <w:tabs>
          <w:tab w:val="left" w:pos="2880"/>
          <w:tab w:val="left" w:pos="5760"/>
        </w:tabs>
        <w:spacing w:before="240" w:after="240"/>
        <w:jc w:val="center"/>
        <w:rPr>
          <w:b/>
        </w:rPr>
      </w:pPr>
      <w:r>
        <w:rPr>
          <w:b/>
        </w:rPr>
        <w:lastRenderedPageBreak/>
        <w:t>DESCRIPCIÓN DEL PROYECTO</w:t>
      </w:r>
    </w:p>
    <w:p w14:paraId="47990E4E" w14:textId="77777777" w:rsidR="00563DA8" w:rsidRPr="00996241" w:rsidRDefault="00563DA8" w:rsidP="004A4122">
      <w:pPr>
        <w:keepNext/>
        <w:spacing w:after="240"/>
        <w:rPr>
          <w:b/>
        </w:rPr>
      </w:pPr>
      <w:r>
        <w:rPr>
          <w:b/>
        </w:rPr>
        <w:t>Antecedentes</w:t>
      </w:r>
    </w:p>
    <w:p w14:paraId="55C693E3" w14:textId="22CD21D7" w:rsidR="00563DA8" w:rsidRPr="00996241" w:rsidRDefault="00563DA8" w:rsidP="004A4122">
      <w:pPr>
        <w:pStyle w:val="Heading1"/>
      </w:pPr>
      <w:r>
        <w:t>En nombre del Gobierno de Djibouti, el PNUMA, en su calidad de organismo de ejecución designado, ha presentado una solicitud de financiación para la etapa II del plan de gestión de eliminación de los HCFC (PGEH) por la suma de USD</w:t>
      </w:r>
      <w:r w:rsidR="007453F3">
        <w:rPr>
          <w:b/>
        </w:rPr>
        <w:t> </w:t>
      </w:r>
      <w:r>
        <w:t>423.000, más gastos de apoyo al organismo de USD</w:t>
      </w:r>
      <w:r w:rsidR="007453F3">
        <w:rPr>
          <w:b/>
        </w:rPr>
        <w:t> </w:t>
      </w:r>
      <w:r>
        <w:t>54.990, tal como se presentó originalmente.</w:t>
      </w:r>
      <w:r w:rsidR="009A463A">
        <w:rPr>
          <w:rFonts w:ascii="ZWAdobeF" w:hAnsi="ZWAdobeF" w:cs="ZWAdobeF"/>
          <w:sz w:val="2"/>
          <w:szCs w:val="2"/>
        </w:rPr>
        <w:t>1F</w:t>
      </w:r>
      <w:r w:rsidR="008923DA">
        <w:rPr>
          <w:rFonts w:ascii="ZWAdobeF" w:hAnsi="ZWAdobeF" w:cs="ZWAdobeF"/>
          <w:sz w:val="2"/>
          <w:szCs w:val="2"/>
        </w:rPr>
        <w:t>1F</w:t>
      </w:r>
      <w:r w:rsidRPr="00561720">
        <w:rPr>
          <w:vertAlign w:val="superscript"/>
        </w:rPr>
        <w:footnoteReference w:id="3"/>
      </w:r>
      <w:r>
        <w:t xml:space="preserve"> En la documentación presentada se incluye un informe de verificación para el período entre 2019 y 2024. La ejecución de la etapa II del PGEH permitirá eliminar el consumo remanente de HCFC en 2030.</w:t>
      </w:r>
    </w:p>
    <w:p w14:paraId="3E24453B" w14:textId="2B03AC18" w:rsidR="00563DA8" w:rsidRPr="00985984" w:rsidRDefault="00563DA8" w:rsidP="004A4122">
      <w:pPr>
        <w:pStyle w:val="Heading1"/>
      </w:pPr>
      <w:r>
        <w:t>El primer tramo de la etapa II del PGEH que se solicita en esta reunión asciende a USD</w:t>
      </w:r>
      <w:r w:rsidR="007453F3">
        <w:rPr>
          <w:b/>
        </w:rPr>
        <w:t> </w:t>
      </w:r>
      <w:r>
        <w:t>263.000, más gastos de apoyo al organismo de USD</w:t>
      </w:r>
      <w:r w:rsidR="007453F3">
        <w:rPr>
          <w:b/>
        </w:rPr>
        <w:t> </w:t>
      </w:r>
      <w:r>
        <w:t>34.190 para el PNUMA, tal como se presentó originalmente.</w:t>
      </w:r>
    </w:p>
    <w:p w14:paraId="1080B324" w14:textId="2ADCE9D3" w:rsidR="00563DA8" w:rsidRPr="00576C61" w:rsidRDefault="00563DA8" w:rsidP="004A4122">
      <w:pPr>
        <w:keepNext/>
        <w:spacing w:after="240"/>
        <w:outlineLvl w:val="0"/>
        <w:rPr>
          <w:b/>
        </w:rPr>
      </w:pPr>
      <w:r>
        <w:rPr>
          <w:b/>
        </w:rPr>
        <w:t>Situación de ejecución de la etapa I del plan de gestión de eliminación de los HCFC</w:t>
      </w:r>
    </w:p>
    <w:p w14:paraId="657501ED" w14:textId="0DB05508" w:rsidR="00C7505F" w:rsidRPr="00576C61" w:rsidRDefault="00563DA8" w:rsidP="00AC2F3A">
      <w:pPr>
        <w:pStyle w:val="Heading1"/>
      </w:pPr>
      <w:r>
        <w:t>La etapa</w:t>
      </w:r>
      <w:r w:rsidR="007453F3">
        <w:rPr>
          <w:b/>
        </w:rPr>
        <w:t> </w:t>
      </w:r>
      <w:r>
        <w:t>I del PGEH para Djibouti se aprobó originalmente en la 66ª reunión</w:t>
      </w:r>
      <w:r w:rsidR="009A463A">
        <w:rPr>
          <w:rFonts w:ascii="ZWAdobeF" w:hAnsi="ZWAdobeF" w:cs="ZWAdobeF"/>
          <w:sz w:val="2"/>
          <w:szCs w:val="2"/>
        </w:rPr>
        <w:t>2F</w:t>
      </w:r>
      <w:r w:rsidR="008923DA">
        <w:rPr>
          <w:rFonts w:ascii="ZWAdobeF" w:hAnsi="ZWAdobeF" w:cs="ZWAdobeF"/>
          <w:sz w:val="2"/>
          <w:szCs w:val="2"/>
        </w:rPr>
        <w:t>2F</w:t>
      </w:r>
      <w:r w:rsidRPr="00576C61">
        <w:rPr>
          <w:vertAlign w:val="superscript"/>
        </w:rPr>
        <w:footnoteReference w:id="4"/>
      </w:r>
      <w:r>
        <w:t xml:space="preserve"> para eliminar 0,24</w:t>
      </w:r>
      <w:r w:rsidR="007453F3">
        <w:rPr>
          <w:b/>
        </w:rPr>
        <w:t> </w:t>
      </w:r>
      <w:r>
        <w:t xml:space="preserve">toneladas PAO de HCFC utilizadas en el sector de servicio y mantenimiento de equipos de refrigeración y aire acondicionado, </w:t>
      </w:r>
      <w:r w:rsidR="00A030AC">
        <w:t>con el fin de</w:t>
      </w:r>
      <w:r>
        <w:t xml:space="preserve"> cumplir la reducción del 35 por ciento respecto del nivel básico de consumo para 2020, con un costo total de USD</w:t>
      </w:r>
      <w:r w:rsidR="007453F3">
        <w:rPr>
          <w:b/>
        </w:rPr>
        <w:t> </w:t>
      </w:r>
      <w:r>
        <w:t>164.500, más gastos de apoyo al organismo. La finalización de la etapa</w:t>
      </w:r>
      <w:r w:rsidR="007453F3">
        <w:rPr>
          <w:b/>
        </w:rPr>
        <w:t> </w:t>
      </w:r>
      <w:r>
        <w:t>I del PGEH se prorrogó en la 88ª reunión del Comité Ejecutivo</w:t>
      </w:r>
      <w:r w:rsidR="009A463A">
        <w:rPr>
          <w:rFonts w:ascii="ZWAdobeF" w:hAnsi="ZWAdobeF" w:cs="ZWAdobeF"/>
          <w:sz w:val="2"/>
          <w:szCs w:val="2"/>
        </w:rPr>
        <w:t>3F</w:t>
      </w:r>
      <w:r w:rsidR="008923DA">
        <w:rPr>
          <w:rFonts w:ascii="ZWAdobeF" w:hAnsi="ZWAdobeF" w:cs="ZWAdobeF"/>
          <w:sz w:val="2"/>
          <w:szCs w:val="2"/>
        </w:rPr>
        <w:t>3F</w:t>
      </w:r>
      <w:r w:rsidR="00976E05" w:rsidRPr="00576C61">
        <w:rPr>
          <w:vertAlign w:val="superscript"/>
        </w:rPr>
        <w:footnoteReference w:id="5"/>
      </w:r>
      <w:r>
        <w:t xml:space="preserve"> y todas las actividades se han completado.</w:t>
      </w:r>
    </w:p>
    <w:p w14:paraId="270535EC" w14:textId="10DF66BC" w:rsidR="00563DA8" w:rsidRPr="00C7505F" w:rsidRDefault="00563DA8" w:rsidP="00C7505F">
      <w:pPr>
        <w:pStyle w:val="Heading1"/>
        <w:keepNext/>
        <w:numPr>
          <w:ilvl w:val="0"/>
          <w:numId w:val="0"/>
        </w:numPr>
      </w:pPr>
      <w:r>
        <w:rPr>
          <w:u w:val="single"/>
        </w:rPr>
        <w:t>Informe sobre el consumo de HCFC</w:t>
      </w:r>
      <w:r>
        <w:t xml:space="preserve"> </w:t>
      </w:r>
      <w:bookmarkStart w:id="0" w:name="_Hlk170900703"/>
    </w:p>
    <w:p w14:paraId="74C8DCA9" w14:textId="1B721B70" w:rsidR="00273D95" w:rsidRDefault="00563DA8" w:rsidP="004056F2">
      <w:pPr>
        <w:pStyle w:val="Heading1"/>
        <w:keepNext/>
        <w:rPr>
          <w:b/>
        </w:rPr>
      </w:pPr>
      <w:bookmarkStart w:id="1" w:name="_Hlk141281293"/>
      <w:bookmarkEnd w:id="0"/>
      <w:r>
        <w:t>El Gobierno de Djibouti notificó un consumo de 0,23</w:t>
      </w:r>
      <w:r w:rsidR="007453F3">
        <w:rPr>
          <w:b/>
        </w:rPr>
        <w:t> </w:t>
      </w:r>
      <w:r>
        <w:t>toneladas PAO de HCFC en 2024, una cantidad un 67,1 por ciento inferior al nivel básico de referencia de HCFC para el cumplimiento. En el cuadro 1 se muestra el consumo de HCFC en el período 2020-2024.</w:t>
      </w:r>
      <w:r>
        <w:rPr>
          <w:b/>
        </w:rPr>
        <w:t xml:space="preserve"> </w:t>
      </w:r>
      <w:bookmarkEnd w:id="1"/>
    </w:p>
    <w:p w14:paraId="28732350" w14:textId="68AAE3C8" w:rsidR="00563DA8" w:rsidRPr="00273D95" w:rsidRDefault="00563DA8" w:rsidP="00273D95">
      <w:pPr>
        <w:pStyle w:val="Heading1"/>
        <w:keepNext/>
        <w:numPr>
          <w:ilvl w:val="0"/>
          <w:numId w:val="0"/>
        </w:numPr>
        <w:spacing w:after="0"/>
        <w:rPr>
          <w:b/>
        </w:rPr>
      </w:pPr>
      <w:r>
        <w:rPr>
          <w:b/>
        </w:rPr>
        <w:t>Cuadro</w:t>
      </w:r>
      <w:r w:rsidR="00FB4B2A">
        <w:rPr>
          <w:b/>
        </w:rPr>
        <w:t> </w:t>
      </w:r>
      <w:r>
        <w:rPr>
          <w:b/>
        </w:rPr>
        <w:t>1. Consumo de HCFC en Djibouti (datos de 2020-2024 de conformidad con el Artículo 7)</w:t>
      </w:r>
    </w:p>
    <w:tbl>
      <w:tblPr>
        <w:tblW w:w="5000" w:type="pct"/>
        <w:tblLook w:val="04A0" w:firstRow="1" w:lastRow="0" w:firstColumn="1" w:lastColumn="0" w:noHBand="0" w:noVBand="1"/>
      </w:tblPr>
      <w:tblGrid>
        <w:gridCol w:w="2321"/>
        <w:gridCol w:w="1156"/>
        <w:gridCol w:w="1158"/>
        <w:gridCol w:w="1156"/>
        <w:gridCol w:w="1158"/>
        <w:gridCol w:w="1157"/>
        <w:gridCol w:w="1244"/>
      </w:tblGrid>
      <w:tr w:rsidR="004001AC" w:rsidRPr="006348F0" w14:paraId="19DD8C29" w14:textId="77777777" w:rsidTr="006C21D0">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6348F0" w:rsidRDefault="00563DA8" w:rsidP="004A4122">
            <w:pPr>
              <w:keepNext/>
              <w:jc w:val="left"/>
              <w:rPr>
                <w:b/>
                <w:color w:val="000000"/>
                <w:sz w:val="20"/>
              </w:rPr>
            </w:pPr>
            <w:r>
              <w:rPr>
                <w:b/>
                <w:color w:val="000000"/>
                <w:sz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7E3D41E1" w14:textId="77777777" w:rsidR="00563DA8" w:rsidRPr="006348F0" w:rsidRDefault="00563DA8" w:rsidP="004A4122">
            <w:pPr>
              <w:keepNext/>
              <w:jc w:val="center"/>
              <w:rPr>
                <w:b/>
                <w:color w:val="000000"/>
                <w:sz w:val="20"/>
              </w:rPr>
            </w:pPr>
            <w:r>
              <w:rPr>
                <w:b/>
                <w:color w:val="000000"/>
                <w:sz w:val="20"/>
              </w:rPr>
              <w:t>2020</w:t>
            </w:r>
          </w:p>
        </w:tc>
        <w:tc>
          <w:tcPr>
            <w:tcW w:w="626" w:type="pct"/>
            <w:tcBorders>
              <w:top w:val="single" w:sz="4" w:space="0" w:color="auto"/>
              <w:left w:val="nil"/>
              <w:bottom w:val="single" w:sz="4" w:space="0" w:color="auto"/>
              <w:right w:val="single" w:sz="4" w:space="0" w:color="auto"/>
            </w:tcBorders>
            <w:vAlign w:val="center"/>
          </w:tcPr>
          <w:p w14:paraId="0F1544AF" w14:textId="77777777" w:rsidR="00563DA8" w:rsidRPr="006348F0" w:rsidRDefault="00563DA8" w:rsidP="004A4122">
            <w:pPr>
              <w:keepNext/>
              <w:jc w:val="center"/>
              <w:rPr>
                <w:b/>
                <w:color w:val="000000"/>
                <w:sz w:val="20"/>
              </w:rPr>
            </w:pPr>
            <w:r>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6348F0" w:rsidRDefault="00563DA8" w:rsidP="004A4122">
            <w:pPr>
              <w:keepNext/>
              <w:jc w:val="center"/>
              <w:rPr>
                <w:b/>
                <w:color w:val="000000"/>
                <w:sz w:val="20"/>
              </w:rPr>
            </w:pPr>
            <w:r>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6348F0" w:rsidRDefault="00563DA8" w:rsidP="004A4122">
            <w:pPr>
              <w:keepNext/>
              <w:jc w:val="center"/>
              <w:rPr>
                <w:b/>
                <w:color w:val="000000"/>
                <w:sz w:val="20"/>
              </w:rPr>
            </w:pPr>
            <w:r>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B740417" w14:textId="3FBEB80A" w:rsidR="00563DA8" w:rsidRPr="006348F0" w:rsidRDefault="00563DA8" w:rsidP="004A4122">
            <w:pPr>
              <w:keepNext/>
              <w:jc w:val="center"/>
              <w:rPr>
                <w:b/>
                <w:color w:val="000000"/>
                <w:sz w:val="20"/>
              </w:rPr>
            </w:pPr>
            <w:r>
              <w:rPr>
                <w:b/>
                <w:color w:val="000000"/>
                <w:sz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1CCDAFCA" w14:textId="77777777" w:rsidR="00563DA8" w:rsidRPr="006348F0" w:rsidRDefault="00563DA8" w:rsidP="004A4122">
            <w:pPr>
              <w:keepNext/>
              <w:jc w:val="center"/>
              <w:rPr>
                <w:b/>
                <w:color w:val="000000"/>
                <w:sz w:val="20"/>
              </w:rPr>
            </w:pPr>
            <w:r>
              <w:rPr>
                <w:b/>
                <w:color w:val="000000"/>
                <w:sz w:val="20"/>
              </w:rPr>
              <w:t>Nivel básico</w:t>
            </w:r>
          </w:p>
        </w:tc>
      </w:tr>
      <w:tr w:rsidR="004B2F6C" w:rsidRPr="006348F0" w14:paraId="4550F0FA" w14:textId="77777777" w:rsidTr="004B2F6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56C813" w14:textId="77777777" w:rsidR="004B2F6C" w:rsidRPr="006348F0" w:rsidRDefault="004B2F6C" w:rsidP="004B2F6C">
            <w:pPr>
              <w:jc w:val="left"/>
              <w:rPr>
                <w:b/>
                <w:bCs/>
                <w:color w:val="000000"/>
                <w:sz w:val="20"/>
              </w:rPr>
            </w:pPr>
            <w:r>
              <w:rPr>
                <w:b/>
                <w:color w:val="000000"/>
                <w:sz w:val="20"/>
              </w:rPr>
              <w:t>Toneladas (t)</w:t>
            </w:r>
          </w:p>
        </w:tc>
        <w:tc>
          <w:tcPr>
            <w:tcW w:w="625" w:type="pct"/>
            <w:tcBorders>
              <w:top w:val="nil"/>
              <w:left w:val="nil"/>
              <w:bottom w:val="single" w:sz="4" w:space="0" w:color="auto"/>
              <w:right w:val="single" w:sz="4" w:space="0" w:color="auto"/>
            </w:tcBorders>
            <w:noWrap/>
            <w:tcMar>
              <w:left w:w="115" w:type="dxa"/>
              <w:right w:w="230" w:type="dxa"/>
            </w:tcMar>
          </w:tcPr>
          <w:p w14:paraId="1346702D" w14:textId="7AA01536" w:rsidR="004B2F6C" w:rsidRPr="006348F0" w:rsidRDefault="004B2F6C" w:rsidP="004B2F6C">
            <w:pPr>
              <w:ind w:right="-125"/>
              <w:jc w:val="right"/>
              <w:rPr>
                <w:sz w:val="20"/>
                <w:szCs w:val="20"/>
              </w:rPr>
            </w:pPr>
            <w:r>
              <w:rPr>
                <w:color w:val="000000"/>
                <w:sz w:val="20"/>
              </w:rPr>
              <w:t>6,90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04A17B6" w14:textId="6A5ABE23" w:rsidR="004B2F6C" w:rsidRPr="006348F0" w:rsidRDefault="004B2F6C" w:rsidP="004B2F6C">
            <w:pPr>
              <w:ind w:right="-125"/>
              <w:jc w:val="right"/>
              <w:rPr>
                <w:sz w:val="20"/>
                <w:szCs w:val="20"/>
              </w:rPr>
            </w:pPr>
            <w:r>
              <w:rPr>
                <w:color w:val="000000"/>
                <w:sz w:val="20"/>
              </w:rPr>
              <w:t>6,10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57C5EC9" w14:textId="363D38EE" w:rsidR="004B2F6C" w:rsidRPr="006348F0" w:rsidRDefault="004B2F6C" w:rsidP="004B2F6C">
            <w:pPr>
              <w:ind w:right="-125"/>
              <w:jc w:val="right"/>
              <w:rPr>
                <w:sz w:val="20"/>
                <w:szCs w:val="20"/>
              </w:rPr>
            </w:pPr>
            <w:r>
              <w:rPr>
                <w:color w:val="000000"/>
                <w:sz w:val="20"/>
              </w:rPr>
              <w:t>5,60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F4D0B4E" w14:textId="65BDD1BC" w:rsidR="004B2F6C" w:rsidRPr="006348F0" w:rsidRDefault="004B2F6C" w:rsidP="004B2F6C">
            <w:pPr>
              <w:ind w:right="-125"/>
              <w:jc w:val="right"/>
              <w:rPr>
                <w:rFonts w:eastAsiaTheme="minorHAnsi"/>
                <w:color w:val="000000"/>
                <w:sz w:val="20"/>
                <w:szCs w:val="20"/>
              </w:rPr>
            </w:pPr>
            <w:r>
              <w:rPr>
                <w:color w:val="000000"/>
                <w:sz w:val="20"/>
              </w:rPr>
              <w:t>4,50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9B7715A" w14:textId="12A72D0E" w:rsidR="004B2F6C" w:rsidRPr="00AC2F3A" w:rsidRDefault="006348F0" w:rsidP="004B2F6C">
            <w:pPr>
              <w:ind w:right="-125"/>
              <w:jc w:val="right"/>
              <w:rPr>
                <w:color w:val="000000"/>
                <w:sz w:val="20"/>
                <w:szCs w:val="20"/>
              </w:rPr>
            </w:pPr>
            <w:r>
              <w:rPr>
                <w:sz w:val="20"/>
              </w:rPr>
              <w:t>4,10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2D843E26" w14:textId="2E64086B" w:rsidR="004B2F6C" w:rsidRPr="006348F0" w:rsidRDefault="004B2F6C" w:rsidP="004B2F6C">
            <w:pPr>
              <w:ind w:right="-125"/>
              <w:jc w:val="right"/>
              <w:rPr>
                <w:color w:val="000000"/>
                <w:sz w:val="20"/>
                <w:szCs w:val="20"/>
              </w:rPr>
            </w:pPr>
            <w:r>
              <w:rPr>
                <w:color w:val="000000"/>
                <w:sz w:val="20"/>
              </w:rPr>
              <w:t>12,7</w:t>
            </w:r>
          </w:p>
        </w:tc>
      </w:tr>
      <w:tr w:rsidR="004B2F6C" w:rsidRPr="006348F0" w14:paraId="0C0FB558" w14:textId="77777777" w:rsidTr="004B2F6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397100" w14:textId="77777777" w:rsidR="004B2F6C" w:rsidRPr="006348F0" w:rsidRDefault="004B2F6C" w:rsidP="004B2F6C">
            <w:pPr>
              <w:jc w:val="left"/>
              <w:rPr>
                <w:b/>
                <w:bCs/>
                <w:color w:val="000000"/>
                <w:sz w:val="20"/>
              </w:rPr>
            </w:pPr>
            <w:r>
              <w:rPr>
                <w:b/>
                <w:color w:val="000000"/>
                <w:sz w:val="20"/>
              </w:rPr>
              <w:t>Toneladas PAO</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2FB0E019" w14:textId="53DCFB2A" w:rsidR="004B2F6C" w:rsidRPr="006348F0" w:rsidRDefault="004B2F6C" w:rsidP="004B2F6C">
            <w:pPr>
              <w:ind w:right="-125"/>
              <w:jc w:val="right"/>
              <w:rPr>
                <w:sz w:val="20"/>
                <w:szCs w:val="20"/>
              </w:rPr>
            </w:pPr>
            <w:r>
              <w:rPr>
                <w:color w:val="000000"/>
                <w:sz w:val="20"/>
              </w:rPr>
              <w:t>0,38</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F91E36B" w14:textId="5F9C5B37" w:rsidR="004B2F6C" w:rsidRPr="006348F0" w:rsidRDefault="004B2F6C" w:rsidP="004B2F6C">
            <w:pPr>
              <w:ind w:right="-125"/>
              <w:jc w:val="right"/>
              <w:rPr>
                <w:sz w:val="20"/>
                <w:szCs w:val="20"/>
              </w:rPr>
            </w:pPr>
            <w:r>
              <w:rPr>
                <w:color w:val="000000"/>
                <w:sz w:val="20"/>
              </w:rPr>
              <w:t>0,34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ACE4C87" w14:textId="0C642879" w:rsidR="004B2F6C" w:rsidRPr="006348F0" w:rsidRDefault="004B2F6C" w:rsidP="004B2F6C">
            <w:pPr>
              <w:ind w:right="-125"/>
              <w:jc w:val="right"/>
              <w:rPr>
                <w:sz w:val="20"/>
                <w:szCs w:val="20"/>
              </w:rPr>
            </w:pPr>
            <w:r>
              <w:rPr>
                <w:color w:val="000000"/>
                <w:sz w:val="20"/>
              </w:rPr>
              <w:t>0,31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75A838D" w14:textId="7971551D" w:rsidR="004B2F6C" w:rsidRPr="006348F0" w:rsidRDefault="004B2F6C" w:rsidP="004B2F6C">
            <w:pPr>
              <w:ind w:right="-125"/>
              <w:jc w:val="right"/>
              <w:rPr>
                <w:rFonts w:eastAsiaTheme="minorHAnsi"/>
                <w:color w:val="000000"/>
                <w:sz w:val="20"/>
                <w:szCs w:val="20"/>
              </w:rPr>
            </w:pPr>
            <w:r>
              <w:rPr>
                <w:color w:val="000000"/>
                <w:sz w:val="20"/>
              </w:rPr>
              <w:t>0,25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6758E04" w14:textId="32782843" w:rsidR="004B2F6C" w:rsidRPr="00AC2F3A" w:rsidRDefault="004B2F6C" w:rsidP="004B2F6C">
            <w:pPr>
              <w:ind w:right="-125"/>
              <w:jc w:val="right"/>
              <w:rPr>
                <w:rFonts w:eastAsiaTheme="minorHAnsi"/>
                <w:color w:val="000000"/>
                <w:sz w:val="20"/>
                <w:szCs w:val="20"/>
              </w:rPr>
            </w:pPr>
            <w:r>
              <w:rPr>
                <w:sz w:val="20"/>
              </w:rPr>
              <w:t>0,23</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6D60877" w14:textId="4EA3C59D" w:rsidR="004B2F6C" w:rsidRPr="006348F0" w:rsidRDefault="004B2F6C" w:rsidP="004B2F6C">
            <w:pPr>
              <w:ind w:right="-125"/>
              <w:jc w:val="right"/>
              <w:rPr>
                <w:rFonts w:eastAsiaTheme="minorHAnsi"/>
                <w:color w:val="000000"/>
                <w:sz w:val="20"/>
                <w:szCs w:val="20"/>
              </w:rPr>
            </w:pPr>
            <w:r>
              <w:rPr>
                <w:color w:val="000000"/>
                <w:sz w:val="20"/>
              </w:rPr>
              <w:t>0,7</w:t>
            </w:r>
          </w:p>
        </w:tc>
      </w:tr>
    </w:tbl>
    <w:p w14:paraId="59574950" w14:textId="56D68F55" w:rsidR="00CD0B83" w:rsidRPr="00CD0B83" w:rsidRDefault="00B747E2" w:rsidP="00957F7C">
      <w:pPr>
        <w:pStyle w:val="Heading1"/>
        <w:spacing w:before="240"/>
      </w:pPr>
      <w:r>
        <w:t>El consumo de HCFC ha registrado una tendencia gradual a la baja debido a las actividades realizadas en el marco de la etapa</w:t>
      </w:r>
      <w:r w:rsidR="00FB4B2A">
        <w:rPr>
          <w:b/>
        </w:rPr>
        <w:t> </w:t>
      </w:r>
      <w:r>
        <w:t xml:space="preserve">I del PGEH, en particular la puesta en práctica del sistema de concesión de licencias y cupos de HCFC, la creación de capacidad entre técnicos de refrigeración y aire acondicionado, la supervisión vigilante y la aplicación reglamentaria, y la sensibilización constante entre los técnicos de refrigeración y aire acondicionado y el público en general. La reducción del consumo también se ha atribuido al aumento de las importaciones de equipos de refrigeración y aire acondicionado que no utilizan HCFC. </w:t>
      </w:r>
    </w:p>
    <w:p w14:paraId="3F0C3AC3" w14:textId="77777777" w:rsidR="00563DA8" w:rsidRPr="00AE2090" w:rsidRDefault="00563DA8" w:rsidP="004A4122">
      <w:pPr>
        <w:keepNext/>
        <w:spacing w:after="240"/>
        <w:rPr>
          <w:i/>
        </w:rPr>
      </w:pPr>
      <w:bookmarkStart w:id="2" w:name="_Hlk126915671"/>
      <w:r>
        <w:rPr>
          <w:i/>
        </w:rPr>
        <w:t>Informe de ejecución del programa de país</w:t>
      </w:r>
    </w:p>
    <w:bookmarkEnd w:id="2"/>
    <w:p w14:paraId="533713AB" w14:textId="0F97CC2E" w:rsidR="00563DA8" w:rsidRPr="00957F7C" w:rsidRDefault="00563DA8" w:rsidP="004A4122">
      <w:pPr>
        <w:pStyle w:val="Heading1"/>
      </w:pPr>
      <w:r>
        <w:t>El Gobierno de Djibouti notificó los datos del consumo sectorial de los HCFC, que figuran en el informe de ejecución del programa de país de 2024 y que coinciden con los datos notificados en virtud del Artículo</w:t>
      </w:r>
      <w:r w:rsidR="00FB4B2A">
        <w:rPr>
          <w:b/>
        </w:rPr>
        <w:t> </w:t>
      </w:r>
      <w:r>
        <w:t xml:space="preserve">7 del Protocolo de Montreal. </w:t>
      </w:r>
    </w:p>
    <w:p w14:paraId="70E1245E" w14:textId="7F4866D8" w:rsidR="008621CA" w:rsidRPr="00E9063C" w:rsidRDefault="008621CA" w:rsidP="008621CA">
      <w:pPr>
        <w:keepNext/>
        <w:spacing w:after="240"/>
        <w:rPr>
          <w:i/>
        </w:rPr>
      </w:pPr>
      <w:r>
        <w:rPr>
          <w:i/>
        </w:rPr>
        <w:lastRenderedPageBreak/>
        <w:t>Informe de verificación</w:t>
      </w:r>
    </w:p>
    <w:p w14:paraId="65237E41" w14:textId="18F04F13" w:rsidR="006526B8" w:rsidRPr="00576C61" w:rsidRDefault="008621CA" w:rsidP="00EC0B4F">
      <w:pPr>
        <w:pStyle w:val="Heading1"/>
        <w:rPr>
          <w:u w:val="single"/>
        </w:rPr>
      </w:pPr>
      <w:r>
        <w:t>El informe de verificación confirmó que el Gobierno estaba aplicando un sistema de concesión de licencias y cupos para las importaciones y exportaciones de HCFC, y que el consumo total de HCFC notificado de acuerdo con el Artículo</w:t>
      </w:r>
      <w:r w:rsidR="00FB4B2A">
        <w:rPr>
          <w:b/>
        </w:rPr>
        <w:t> </w:t>
      </w:r>
      <w:r>
        <w:t>7 del Protocolo de Montreal para el período entre 2019 y 2024 era correcto (tal como se muestra en el cuadro 1). En la verificación se concluyó que Djibouti cumpl</w:t>
      </w:r>
      <w:r w:rsidR="00274B13">
        <w:t>ía</w:t>
      </w:r>
      <w:r>
        <w:t xml:space="preserve"> las metas definidas en el Acuerdo entre el Gobierno de Djibouti y el Comité Ejecutivo. En la verificación se incluye un reducido número de recomendaciones, que se analizan en la sección 24. </w:t>
      </w:r>
    </w:p>
    <w:p w14:paraId="18BDE49E" w14:textId="498383FD" w:rsidR="00900A22" w:rsidRPr="00576C61" w:rsidRDefault="00900A22" w:rsidP="006526B8">
      <w:pPr>
        <w:keepNext/>
        <w:spacing w:before="240" w:after="240"/>
        <w:outlineLvl w:val="0"/>
        <w:rPr>
          <w:u w:val="single"/>
        </w:rPr>
      </w:pPr>
      <w:r>
        <w:rPr>
          <w:u w:val="single"/>
        </w:rPr>
        <w:t>Situación de la marcha de l</w:t>
      </w:r>
      <w:r w:rsidR="00187D59">
        <w:rPr>
          <w:u w:val="single"/>
        </w:rPr>
        <w:t>a</w:t>
      </w:r>
      <w:r>
        <w:rPr>
          <w:u w:val="single"/>
        </w:rPr>
        <w:t>s actividades y los desembolsos</w:t>
      </w:r>
    </w:p>
    <w:p w14:paraId="0A98E025" w14:textId="5F32CADC" w:rsidR="00AE5952" w:rsidRPr="00576C61" w:rsidRDefault="00AE5952" w:rsidP="00AE5952">
      <w:pPr>
        <w:rPr>
          <w:i/>
        </w:rPr>
      </w:pPr>
      <w:r>
        <w:rPr>
          <w:i/>
        </w:rPr>
        <w:t>Marco jurídico</w:t>
      </w:r>
    </w:p>
    <w:p w14:paraId="25DB994D" w14:textId="77777777" w:rsidR="00AE5952" w:rsidRPr="00576C61" w:rsidRDefault="00AE5952" w:rsidP="00AE5952"/>
    <w:p w14:paraId="388A87C4" w14:textId="62B4678A" w:rsidR="007B02D0" w:rsidRPr="00576C61" w:rsidRDefault="00AE5952" w:rsidP="00AC2F3A">
      <w:pPr>
        <w:pStyle w:val="Heading1"/>
        <w:rPr>
          <w:rFonts w:asciiTheme="majorBidi" w:hAnsiTheme="majorBidi" w:cstheme="majorBidi"/>
        </w:rPr>
      </w:pPr>
      <w:r>
        <w:rPr>
          <w:rFonts w:asciiTheme="majorBidi" w:hAnsiTheme="majorBidi"/>
        </w:rPr>
        <w:t xml:space="preserve">El Gobierno de Djibouti ratificó la Enmienda de Kigali el 8 de marzo de 2024. Las SAO están reguladas por el Decreto número 2004-0066/PR/MHUAT, que actualmente está siendo enmendado para incluir la prohibición de equipos nuevos y usados que utilizan HCFC. </w:t>
      </w:r>
    </w:p>
    <w:p w14:paraId="3132BA87" w14:textId="2CD072AC" w:rsidR="00AB38BA" w:rsidRPr="00576C61" w:rsidRDefault="00065382" w:rsidP="00AC2F3A">
      <w:pPr>
        <w:pStyle w:val="Heading1"/>
        <w:rPr>
          <w:rFonts w:asciiTheme="majorBidi" w:hAnsiTheme="majorBidi" w:cstheme="majorBidi"/>
        </w:rPr>
      </w:pPr>
      <w:r>
        <w:t xml:space="preserve">Como corrobora el informe de verificación, el sistema de concesión de licencias y cupos de importación de HCFC del país está en funcionamiento. </w:t>
      </w:r>
      <w:r>
        <w:rPr>
          <w:rFonts w:asciiTheme="majorBidi" w:hAnsiTheme="majorBidi"/>
        </w:rPr>
        <w:t xml:space="preserve">La asignación de cupos de SAO es gestionada de manera conjunta por el Ministerio de Medio Ambiente, el Ministerio de Comercio y el Comité Nacional del Ozono. Las solicitudes de autorización de importaciones se presentan al Ministerio de Medio Ambiente, tras consultas con el Ministerio de Comercio, y los cupos se determinan y supervisan mediante coordinación entre el Comité Nacional del Ozono y la Dirección General de Aduanas. Los cupos anuales de importación de HCFC se establecen sobre la base de los datos anteriores de consumo y en consonancia con el PGEH. Los cupos se asignan proporcionalmente, </w:t>
      </w:r>
      <w:r w:rsidR="007B782B">
        <w:rPr>
          <w:rFonts w:asciiTheme="majorBidi" w:hAnsiTheme="majorBidi"/>
        </w:rPr>
        <w:t>teniendo en cuenta</w:t>
      </w:r>
      <w:r>
        <w:rPr>
          <w:rFonts w:asciiTheme="majorBidi" w:hAnsiTheme="majorBidi"/>
        </w:rPr>
        <w:t xml:space="preserve"> las asignaciones del año anterior y la demanda del mercado.</w:t>
      </w:r>
    </w:p>
    <w:p w14:paraId="3C3BAAE0" w14:textId="761BA037" w:rsidR="00A5044C" w:rsidRPr="00576C61" w:rsidRDefault="001F07A0" w:rsidP="00A5044C">
      <w:pPr>
        <w:pStyle w:val="Heading1"/>
        <w:rPr>
          <w:rFonts w:asciiTheme="majorBidi" w:hAnsiTheme="majorBidi" w:cstheme="majorBidi"/>
        </w:rPr>
      </w:pPr>
      <w:r>
        <w:rPr>
          <w:rFonts w:asciiTheme="majorBidi" w:hAnsiTheme="majorBidi"/>
        </w:rPr>
        <w:t>El Ministerio de Medio Ambiente, a través de la Dirección Nacional del Medio Ambiente y la Dependencia Nacional del Ozono, se encarga de supervisar la aplicación del Protocolo de Montreal. La Dependencia Nacional del Ozono es la principal responsable del cumplimiento de las políticas ambientales relacionadas con el ozono y desempeña un papel fundamental en la coordinación y ejecución del PGEH, incluyendo la recopilación de datos, la supervisión, la presentación de informes, la coordinación interdepartamental, la asignación de cupos anuales y la sensibilización y divulgación de información. La Asociación de Técnicos de Refrigeración (ATR) es un socio clave en la ejecución en el marco del PGEH, ya que proporciona apoyo para las actividades de recuperación y reciclaje, la selección y capacitación de técnicos y funcionarios de aduanas y la identificación y certificación de talleres que reciben juegos de herramientas.</w:t>
      </w:r>
    </w:p>
    <w:p w14:paraId="4633457F" w14:textId="21C95AB1" w:rsidR="0030705C" w:rsidRPr="00576C61" w:rsidRDefault="007807F4" w:rsidP="008C64DB">
      <w:pPr>
        <w:pStyle w:val="Heading1"/>
        <w:rPr>
          <w:rFonts w:asciiTheme="majorBidi" w:hAnsiTheme="majorBidi" w:cstheme="majorBidi"/>
        </w:rPr>
      </w:pPr>
      <w:r>
        <w:rPr>
          <w:rFonts w:asciiTheme="majorBidi" w:hAnsiTheme="majorBidi"/>
        </w:rPr>
        <w:t>En la etapa</w:t>
      </w:r>
      <w:r w:rsidR="00FB4B2A">
        <w:rPr>
          <w:b/>
        </w:rPr>
        <w:t> </w:t>
      </w:r>
      <w:r>
        <w:rPr>
          <w:rFonts w:asciiTheme="majorBidi" w:hAnsiTheme="majorBidi"/>
        </w:rPr>
        <w:t>I del PGEH, 334 funcionarios de aduanas y funcionarios encargados del cumplimiento de la ley, incluidas 35 mujeres, recibieron capacitación sobre la supervisión de importaciones de HCFC, la identificación y el control de HCFC y equipos que utilizan HCFC, la detección de importaciones ilegales y la aplicación eficaz de los reglamentos sobre las SAO. Se adquirieron y utilizaron para la capacitación práctica dos identificadores de refrigerantes.</w:t>
      </w:r>
    </w:p>
    <w:p w14:paraId="0D4BCC97" w14:textId="77777777" w:rsidR="00AE5952" w:rsidRPr="00576C61" w:rsidRDefault="00AE5952" w:rsidP="00AE5952">
      <w:pPr>
        <w:widowControl w:val="0"/>
        <w:rPr>
          <w:i/>
        </w:rPr>
      </w:pPr>
      <w:r>
        <w:rPr>
          <w:i/>
        </w:rPr>
        <w:t>Sector de servicio y mantenimiento de equipos de refrigeración</w:t>
      </w:r>
    </w:p>
    <w:p w14:paraId="2FF46F22" w14:textId="77777777" w:rsidR="00AE5952" w:rsidRPr="00576C61" w:rsidRDefault="00AE5952" w:rsidP="00AE5952">
      <w:pPr>
        <w:widowControl w:val="0"/>
      </w:pPr>
    </w:p>
    <w:p w14:paraId="13B07F2B" w14:textId="0E92B3A8" w:rsidR="006815B1" w:rsidRPr="00576C61" w:rsidRDefault="006671D9" w:rsidP="009B74DB">
      <w:pPr>
        <w:pStyle w:val="Heading1"/>
        <w:rPr>
          <w:rFonts w:asciiTheme="majorBidi" w:hAnsiTheme="majorBidi" w:cstheme="majorBidi"/>
        </w:rPr>
      </w:pPr>
      <w:r>
        <w:t xml:space="preserve">Durante la etapa I del PGEH, 418 técnicos, </w:t>
      </w:r>
      <w:r w:rsidR="00FB4B2A">
        <w:t>entre ellos</w:t>
      </w:r>
      <w:r>
        <w:t xml:space="preserve"> cuatro mujeres</w:t>
      </w:r>
      <w:r w:rsidR="00556B81">
        <w:t>,</w:t>
      </w:r>
      <w:r>
        <w:t xml:space="preserve"> </w:t>
      </w:r>
      <w:r w:rsidR="00FB4B2A">
        <w:t xml:space="preserve">recibieron capacitación </w:t>
      </w:r>
      <w:r>
        <w:t xml:space="preserve">sobre buenas prácticas de servicios, incluida la manipulación de alternativas a los HCFC, como los refrigerantes basados en hidrocarburos (HC). Tres formadores de instituciones técnicas también recibieron capacitación sobre las cuestiones fundamentales de la refrigeración y las alternativas a los HCFC. </w:t>
      </w:r>
      <w:r>
        <w:rPr>
          <w:rFonts w:asciiTheme="majorBidi" w:hAnsiTheme="majorBidi"/>
        </w:rPr>
        <w:t>Los técnicos apoyaron la divulgación asesorando a los consumidores sobre los requisitos legales, los refrigerantes y los equipos inocuos para el medio ambiente. La ATR desempeñó un papel clave en la coordinación y el apoyo de estas iniciativas y participó en todas las actividades de capacitación.</w:t>
      </w:r>
    </w:p>
    <w:p w14:paraId="45F21EE8" w14:textId="655B9CE7" w:rsidR="00DD221F" w:rsidRPr="007E0EA2" w:rsidRDefault="00DD221F" w:rsidP="00DD221F">
      <w:pPr>
        <w:pStyle w:val="Heading1"/>
      </w:pPr>
      <w:r>
        <w:lastRenderedPageBreak/>
        <w:t>La Dependencia Nacional del Ozono elaboró y puso en práctica las campañas de educación y sensibilización para mejorar la comprensión nacional de la protección de la capa de ozono y el papel del Protocolo de Montreal, incluyendo la elaboración de materiales de sensibilización en los idiomas locales y una campaña en los medios de comunicación (televisión, radio, periódico y folletos); la celebración de un taller de capacitación para 10 formadores del Ministerio de Educación Nacional y Formación Profesional (MENFOP), y dos talleres de capacitación para 29 jóvenes que ya no asistían a la escuela y estaban inscritos en el programa de formación profesional del MENFOP, incluidas cuatro mujeres.</w:t>
      </w:r>
    </w:p>
    <w:p w14:paraId="1AFFD205" w14:textId="77777777" w:rsidR="00AE5952" w:rsidRPr="009B74DB" w:rsidRDefault="00AE5952" w:rsidP="00AC2F3A">
      <w:pPr>
        <w:pStyle w:val="Heading1"/>
        <w:keepNext/>
        <w:numPr>
          <w:ilvl w:val="0"/>
          <w:numId w:val="0"/>
        </w:numPr>
        <w:rPr>
          <w:rStyle w:val="CommentReference"/>
        </w:rPr>
      </w:pPr>
      <w:r>
        <w:rPr>
          <w:i/>
        </w:rPr>
        <w:t xml:space="preserve">Ejecución y seguimiento de proyectos </w:t>
      </w:r>
    </w:p>
    <w:p w14:paraId="6328C130" w14:textId="1E7F397F" w:rsidR="00AE5952" w:rsidRPr="009B74DB" w:rsidRDefault="005B106E" w:rsidP="00D9571D">
      <w:pPr>
        <w:pStyle w:val="Heading1"/>
        <w:rPr>
          <w:u w:val="single"/>
        </w:rPr>
      </w:pPr>
      <w:r>
        <w:t>La supervisión y evaluación del proyecto se llevaron a cabo como estaba planeado y el presupuesto asignado se gastó en suministros, viajes locales y consultores nacionales, que prestaron apoyo a 10 sesiones de supervisión y evaluación en cada tramo de la ejecución del proyecto, con el apoyo del Comité Nacional del Ozono.</w:t>
      </w:r>
      <w:r>
        <w:rPr>
          <w:u w:val="single"/>
        </w:rPr>
        <w:t xml:space="preserve"> </w:t>
      </w:r>
    </w:p>
    <w:p w14:paraId="5361D6A0" w14:textId="3D588083" w:rsidR="00563DA8" w:rsidRDefault="0056154C" w:rsidP="004A4122">
      <w:pPr>
        <w:keepNext/>
        <w:spacing w:before="240" w:after="240"/>
        <w:rPr>
          <w:u w:val="single"/>
        </w:rPr>
      </w:pPr>
      <w:bookmarkStart w:id="3" w:name="_Hlk126915699"/>
      <w:r>
        <w:rPr>
          <w:u w:val="single"/>
        </w:rPr>
        <w:t>Nivel de desembolsos de los fondos</w:t>
      </w:r>
    </w:p>
    <w:p w14:paraId="5E4C69BC" w14:textId="116593A8" w:rsidR="000F6C18" w:rsidRPr="000F6C18" w:rsidRDefault="00AC4D98" w:rsidP="0020310B">
      <w:pPr>
        <w:pStyle w:val="Heading1"/>
      </w:pPr>
      <w:r>
        <w:t>En agosto de 2025, la totalidad de los USD</w:t>
      </w:r>
      <w:r w:rsidR="00FB4B2A">
        <w:rPr>
          <w:b/>
        </w:rPr>
        <w:t> </w:t>
      </w:r>
      <w:r>
        <w:t>164.500 aprobados para la etapa</w:t>
      </w:r>
      <w:r w:rsidR="00FB4B2A">
        <w:rPr>
          <w:b/>
        </w:rPr>
        <w:t> </w:t>
      </w:r>
      <w:r>
        <w:t>I se había desembolsado.</w:t>
      </w:r>
    </w:p>
    <w:p w14:paraId="4E1EF692" w14:textId="4450F1A1" w:rsidR="00563DA8" w:rsidRPr="00996241" w:rsidRDefault="00563DA8" w:rsidP="00B8238C">
      <w:pPr>
        <w:keepNext/>
        <w:tabs>
          <w:tab w:val="left" w:pos="7975"/>
        </w:tabs>
        <w:autoSpaceDE w:val="0"/>
        <w:autoSpaceDN w:val="0"/>
        <w:adjustRightInd w:val="0"/>
        <w:spacing w:after="240"/>
        <w:rPr>
          <w:b/>
        </w:rPr>
      </w:pPr>
      <w:bookmarkStart w:id="4" w:name="_Hlk126915708"/>
      <w:bookmarkEnd w:id="3"/>
      <w:r>
        <w:rPr>
          <w:b/>
        </w:rPr>
        <w:t>Etapa</w:t>
      </w:r>
      <w:r w:rsidR="00FB4B2A">
        <w:rPr>
          <w:b/>
        </w:rPr>
        <w:t> </w:t>
      </w:r>
      <w:r>
        <w:rPr>
          <w:b/>
        </w:rPr>
        <w:t>II del plan de gestión de eliminación de los HCFC</w:t>
      </w:r>
      <w:r>
        <w:rPr>
          <w:b/>
        </w:rPr>
        <w:tab/>
      </w:r>
    </w:p>
    <w:p w14:paraId="14E6162F" w14:textId="77777777" w:rsidR="00563DA8" w:rsidRPr="00996241" w:rsidRDefault="00563DA8" w:rsidP="004A4122">
      <w:pPr>
        <w:keepNext/>
        <w:spacing w:after="240"/>
        <w:outlineLvl w:val="0"/>
        <w:rPr>
          <w:u w:val="single"/>
        </w:rPr>
      </w:pPr>
      <w:r>
        <w:rPr>
          <w:u w:val="single"/>
        </w:rPr>
        <w:t>Consumo restante admisible para la financiación</w:t>
      </w:r>
    </w:p>
    <w:bookmarkEnd w:id="4"/>
    <w:p w14:paraId="59EDC611" w14:textId="1296D5F1" w:rsidR="00563DA8" w:rsidRPr="00996241" w:rsidRDefault="00563DA8" w:rsidP="004A4122">
      <w:pPr>
        <w:pStyle w:val="Heading1"/>
      </w:pPr>
      <w:r>
        <w:t>Después de deducir 0,24</w:t>
      </w:r>
      <w:r w:rsidR="00FB4B2A">
        <w:rPr>
          <w:b/>
        </w:rPr>
        <w:t> </w:t>
      </w:r>
      <w:r>
        <w:t>toneladas PAO de HCFC asociadas con la etapa</w:t>
      </w:r>
      <w:r w:rsidR="00FB4B2A">
        <w:rPr>
          <w:b/>
        </w:rPr>
        <w:t> </w:t>
      </w:r>
      <w:r>
        <w:t>I del PGEH, el consumo remanente admisible para la financiación de las cantidades de la etapa</w:t>
      </w:r>
      <w:r w:rsidR="00FB4B2A">
        <w:rPr>
          <w:b/>
        </w:rPr>
        <w:t> </w:t>
      </w:r>
      <w:r>
        <w:t>II asciende a 0,46</w:t>
      </w:r>
      <w:r w:rsidR="00FB4B2A">
        <w:rPr>
          <w:b/>
        </w:rPr>
        <w:t> </w:t>
      </w:r>
      <w:r>
        <w:t>toneladas PAO de HCFC</w:t>
      </w:r>
      <w:r>
        <w:noBreakHyphen/>
        <w:t>22.</w:t>
      </w:r>
    </w:p>
    <w:p w14:paraId="11D44E79" w14:textId="77777777" w:rsidR="00563DA8" w:rsidRDefault="00563DA8" w:rsidP="004A4122">
      <w:pPr>
        <w:keepNext/>
        <w:spacing w:after="240"/>
        <w:outlineLvl w:val="0"/>
        <w:rPr>
          <w:u w:val="single"/>
        </w:rPr>
      </w:pPr>
      <w:bookmarkStart w:id="5" w:name="_Hlk126915728"/>
      <w:r>
        <w:rPr>
          <w:u w:val="single"/>
        </w:rPr>
        <w:t>Distribución por sectores de los HCFC</w:t>
      </w:r>
    </w:p>
    <w:bookmarkEnd w:id="5"/>
    <w:p w14:paraId="7A32DC1A" w14:textId="05A2839F" w:rsidR="003D1E98" w:rsidRDefault="00BF1126" w:rsidP="004A4122">
      <w:pPr>
        <w:pStyle w:val="Heading1"/>
      </w:pPr>
      <w:r>
        <w:t>Hay aproximadamente 868</w:t>
      </w:r>
      <w:r w:rsidR="00FB4B2A">
        <w:rPr>
          <w:b/>
        </w:rPr>
        <w:t> </w:t>
      </w:r>
      <w:r>
        <w:t>técnicos de refrigeración y aire acondicionado, incluidas cinco mujeres, en el sector de servicio y mantenimiento, la mayoría de los cuales trabajan en el sector informal, y hay 115 talleres en marcha, 35 de los cuales están registrados oficialmente y 80 son informales. El HCFC</w:t>
      </w:r>
      <w:r>
        <w:noBreakHyphen/>
        <w:t>22 se consume para mantenimiento de equipos domésticos de aire acondicionado, aire acondicionado central comercial y refrigeración comercial e industrial, como se muestra en el cuadro 2. En 2024, el HCFC</w:t>
      </w:r>
      <w:r>
        <w:noBreakHyphen/>
        <w:t>22 representaba el 3,9 por ciento de los refrigerantes utilizados en el sector de servicio y mantenimiento, junto con el R-410A (61,8 por ciento), el HFC</w:t>
      </w:r>
      <w:r>
        <w:noBreakHyphen/>
        <w:t>134a (14,4 por ciento), el R</w:t>
      </w:r>
      <w:r>
        <w:noBreakHyphen/>
        <w:t>404A (13,3 por ciento), el R</w:t>
      </w:r>
      <w:r>
        <w:noBreakHyphen/>
        <w:t>407C (4,0 por ciento) y el HFC</w:t>
      </w:r>
      <w:r>
        <w:noBreakHyphen/>
        <w:t>32 (2,6 por ciento).</w:t>
      </w:r>
    </w:p>
    <w:p w14:paraId="56E58870" w14:textId="52AE1CBA" w:rsidR="00563DA8" w:rsidRPr="00701C47" w:rsidRDefault="00563DA8" w:rsidP="00FF1C6E">
      <w:pPr>
        <w:spacing w:before="240"/>
      </w:pPr>
      <w:r>
        <w:rPr>
          <w:b/>
        </w:rPr>
        <w:t>Cuadro 2. Demanda estimada de HCFC-22 en el sector de servicio y mantenimiento de equipos de refrigeración y aire acondicionado en Djibouti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3"/>
        <w:gridCol w:w="1134"/>
        <w:gridCol w:w="1134"/>
        <w:gridCol w:w="1276"/>
        <w:gridCol w:w="1134"/>
        <w:gridCol w:w="1134"/>
        <w:gridCol w:w="960"/>
        <w:gridCol w:w="1165"/>
      </w:tblGrid>
      <w:tr w:rsidR="00870909" w:rsidRPr="005C3856" w14:paraId="1F530DED" w14:textId="77777777" w:rsidTr="003D1E98">
        <w:trPr>
          <w:trHeight w:val="304"/>
          <w:tblHeader/>
        </w:trPr>
        <w:tc>
          <w:tcPr>
            <w:tcW w:w="1413" w:type="dxa"/>
            <w:vMerge w:val="restart"/>
            <w:shd w:val="clear" w:color="000000" w:fill="FFFFFF"/>
            <w:vAlign w:val="center"/>
          </w:tcPr>
          <w:p w14:paraId="0BB964B9" w14:textId="77777777" w:rsidR="00886E3A" w:rsidRPr="005C3856" w:rsidRDefault="00742BBA" w:rsidP="00FF1C6E">
            <w:pPr>
              <w:spacing w:line="276" w:lineRule="auto"/>
              <w:jc w:val="left"/>
              <w:rPr>
                <w:b/>
                <w:sz w:val="20"/>
                <w:szCs w:val="20"/>
              </w:rPr>
            </w:pPr>
            <w:bookmarkStart w:id="6" w:name="_Hlk126915738"/>
            <w:r>
              <w:rPr>
                <w:b/>
                <w:sz w:val="20"/>
              </w:rPr>
              <w:t>Sector/</w:t>
            </w:r>
          </w:p>
          <w:p w14:paraId="2C8F30CA" w14:textId="33E8F986" w:rsidR="00742BBA" w:rsidRPr="005C3856" w:rsidRDefault="00742BBA" w:rsidP="00FF1C6E">
            <w:pPr>
              <w:spacing w:line="276" w:lineRule="auto"/>
              <w:jc w:val="left"/>
              <w:rPr>
                <w:rFonts w:eastAsia="SimSun"/>
                <w:b/>
                <w:bCs/>
                <w:color w:val="000000"/>
                <w:sz w:val="20"/>
                <w:szCs w:val="20"/>
              </w:rPr>
            </w:pPr>
            <w:r>
              <w:rPr>
                <w:b/>
                <w:sz w:val="20"/>
              </w:rPr>
              <w:t>Aplicación</w:t>
            </w:r>
          </w:p>
        </w:tc>
        <w:tc>
          <w:tcPr>
            <w:tcW w:w="1134" w:type="dxa"/>
            <w:shd w:val="clear" w:color="000000" w:fill="FFFFFF"/>
          </w:tcPr>
          <w:p w14:paraId="0C4F85A2" w14:textId="3683A2AB" w:rsidR="00742BBA" w:rsidRPr="005C3856" w:rsidRDefault="00742BBA" w:rsidP="00FF1C6E">
            <w:pPr>
              <w:spacing w:line="276" w:lineRule="auto"/>
              <w:jc w:val="center"/>
              <w:rPr>
                <w:rFonts w:eastAsia="SimSun"/>
                <w:b/>
                <w:bCs/>
                <w:color w:val="000000"/>
                <w:sz w:val="20"/>
                <w:szCs w:val="20"/>
              </w:rPr>
            </w:pPr>
            <w:r>
              <w:rPr>
                <w:b/>
                <w:color w:val="000000"/>
                <w:sz w:val="20"/>
              </w:rPr>
              <w:t>a)</w:t>
            </w:r>
          </w:p>
        </w:tc>
        <w:tc>
          <w:tcPr>
            <w:tcW w:w="1134" w:type="dxa"/>
            <w:shd w:val="clear" w:color="000000" w:fill="FFFFFF"/>
          </w:tcPr>
          <w:p w14:paraId="61C65FEE" w14:textId="73043C5B" w:rsidR="00742BBA" w:rsidRPr="005C3856" w:rsidRDefault="00742BBA" w:rsidP="00FF1C6E">
            <w:pPr>
              <w:spacing w:line="276" w:lineRule="auto"/>
              <w:jc w:val="center"/>
              <w:rPr>
                <w:rFonts w:eastAsia="SimSun"/>
                <w:b/>
                <w:bCs/>
                <w:color w:val="000000"/>
                <w:sz w:val="20"/>
                <w:szCs w:val="20"/>
              </w:rPr>
            </w:pPr>
            <w:r>
              <w:rPr>
                <w:b/>
                <w:color w:val="000000"/>
                <w:sz w:val="20"/>
              </w:rPr>
              <w:t>b)</w:t>
            </w:r>
          </w:p>
        </w:tc>
        <w:tc>
          <w:tcPr>
            <w:tcW w:w="1276" w:type="dxa"/>
            <w:shd w:val="clear" w:color="000000" w:fill="FFFFFF"/>
          </w:tcPr>
          <w:p w14:paraId="125B23A0" w14:textId="23B93F68" w:rsidR="00742BBA" w:rsidRPr="005C3856" w:rsidRDefault="00AE67F6" w:rsidP="00FF1C6E">
            <w:pPr>
              <w:spacing w:line="276" w:lineRule="auto"/>
              <w:jc w:val="center"/>
              <w:rPr>
                <w:rFonts w:eastAsia="SimSun"/>
                <w:b/>
                <w:bCs/>
                <w:color w:val="000000"/>
                <w:sz w:val="20"/>
                <w:szCs w:val="20"/>
              </w:rPr>
            </w:pPr>
            <w:r>
              <w:rPr>
                <w:b/>
                <w:sz w:val="20"/>
              </w:rPr>
              <w:t>c) = a)*b)/1.000</w:t>
            </w:r>
          </w:p>
        </w:tc>
        <w:tc>
          <w:tcPr>
            <w:tcW w:w="1134" w:type="dxa"/>
            <w:shd w:val="clear" w:color="000000" w:fill="FFFFFF"/>
          </w:tcPr>
          <w:p w14:paraId="4D7275C2" w14:textId="14C23D32" w:rsidR="00742BBA" w:rsidRPr="005C3856" w:rsidRDefault="00742BBA" w:rsidP="00FF1C6E">
            <w:pPr>
              <w:spacing w:line="276" w:lineRule="auto"/>
              <w:jc w:val="center"/>
              <w:rPr>
                <w:rFonts w:eastAsia="SimSun"/>
                <w:b/>
                <w:bCs/>
                <w:color w:val="000000"/>
                <w:sz w:val="20"/>
                <w:szCs w:val="20"/>
              </w:rPr>
            </w:pPr>
            <w:r>
              <w:rPr>
                <w:b/>
                <w:color w:val="000000"/>
                <w:sz w:val="20"/>
              </w:rPr>
              <w:t>d)</w:t>
            </w:r>
          </w:p>
        </w:tc>
        <w:tc>
          <w:tcPr>
            <w:tcW w:w="1134" w:type="dxa"/>
            <w:shd w:val="clear" w:color="000000" w:fill="FFFFFF"/>
          </w:tcPr>
          <w:p w14:paraId="3B1C7C01" w14:textId="6C5076C9" w:rsidR="00742BBA" w:rsidRPr="005C3856" w:rsidRDefault="00AE67F6" w:rsidP="00FF1C6E">
            <w:pPr>
              <w:spacing w:line="276" w:lineRule="auto"/>
              <w:jc w:val="center"/>
              <w:rPr>
                <w:rFonts w:eastAsia="SimSun"/>
                <w:b/>
                <w:bCs/>
                <w:color w:val="000000"/>
                <w:sz w:val="20"/>
                <w:szCs w:val="20"/>
              </w:rPr>
            </w:pPr>
            <w:r>
              <w:rPr>
                <w:b/>
                <w:sz w:val="20"/>
              </w:rPr>
              <w:t>e) = a)*d)</w:t>
            </w:r>
          </w:p>
        </w:tc>
        <w:tc>
          <w:tcPr>
            <w:tcW w:w="960" w:type="dxa"/>
            <w:shd w:val="clear" w:color="000000" w:fill="FFFFFF"/>
          </w:tcPr>
          <w:p w14:paraId="4ECDF4C0" w14:textId="65E9FFD8" w:rsidR="00742BBA" w:rsidRPr="005C3856" w:rsidRDefault="00742BBA" w:rsidP="00FF1C6E">
            <w:pPr>
              <w:spacing w:line="276" w:lineRule="auto"/>
              <w:jc w:val="center"/>
              <w:rPr>
                <w:rFonts w:eastAsia="SimSun"/>
                <w:b/>
                <w:bCs/>
                <w:color w:val="000000"/>
                <w:sz w:val="20"/>
                <w:szCs w:val="20"/>
              </w:rPr>
            </w:pPr>
            <w:r>
              <w:rPr>
                <w:b/>
                <w:color w:val="000000"/>
                <w:sz w:val="20"/>
              </w:rPr>
              <w:t>f)</w:t>
            </w:r>
          </w:p>
        </w:tc>
        <w:tc>
          <w:tcPr>
            <w:tcW w:w="1165" w:type="dxa"/>
            <w:shd w:val="clear" w:color="000000" w:fill="FFFFFF"/>
          </w:tcPr>
          <w:p w14:paraId="719EC92F" w14:textId="5D08E100" w:rsidR="00870909" w:rsidRDefault="00742BBA" w:rsidP="00FF1C6E">
            <w:pPr>
              <w:spacing w:line="276" w:lineRule="auto"/>
              <w:jc w:val="center"/>
              <w:rPr>
                <w:rFonts w:eastAsia="SimSun"/>
                <w:b/>
                <w:bCs/>
                <w:color w:val="000000"/>
                <w:sz w:val="20"/>
                <w:szCs w:val="20"/>
              </w:rPr>
            </w:pPr>
            <w:r>
              <w:rPr>
                <w:b/>
                <w:color w:val="000000"/>
                <w:sz w:val="20"/>
              </w:rPr>
              <w:t>g)=</w:t>
            </w:r>
          </w:p>
          <w:p w14:paraId="4E33410A" w14:textId="1FDCB880" w:rsidR="00742BBA" w:rsidRPr="005C3856" w:rsidRDefault="00AE67F6" w:rsidP="00FF1C6E">
            <w:pPr>
              <w:spacing w:line="276" w:lineRule="auto"/>
              <w:jc w:val="center"/>
              <w:rPr>
                <w:rFonts w:eastAsia="SimSun"/>
                <w:b/>
                <w:bCs/>
                <w:color w:val="000000"/>
                <w:sz w:val="20"/>
                <w:szCs w:val="20"/>
              </w:rPr>
            </w:pPr>
            <w:r>
              <w:rPr>
                <w:b/>
                <w:color w:val="000000"/>
                <w:sz w:val="20"/>
              </w:rPr>
              <w:t>b)*e)*f)</w:t>
            </w:r>
          </w:p>
        </w:tc>
      </w:tr>
      <w:tr w:rsidR="00870909" w:rsidRPr="005C3856" w14:paraId="6E04C73C" w14:textId="77777777" w:rsidTr="003D1E98">
        <w:trPr>
          <w:trHeight w:val="755"/>
          <w:tblHeader/>
        </w:trPr>
        <w:tc>
          <w:tcPr>
            <w:tcW w:w="1413" w:type="dxa"/>
            <w:vMerge/>
            <w:shd w:val="clear" w:color="000000" w:fill="FFFFFF"/>
            <w:hideMark/>
          </w:tcPr>
          <w:p w14:paraId="32D5A72E" w14:textId="3A3F1063" w:rsidR="00742BBA" w:rsidRPr="005C3856" w:rsidRDefault="00742BBA" w:rsidP="00FF1C6E">
            <w:pPr>
              <w:spacing w:line="276" w:lineRule="auto"/>
              <w:jc w:val="left"/>
              <w:rPr>
                <w:rFonts w:eastAsia="SimSun"/>
                <w:b/>
                <w:bCs/>
                <w:color w:val="000000"/>
                <w:sz w:val="20"/>
                <w:szCs w:val="20"/>
                <w:lang w:val="en-US" w:eastAsia="zh-CN"/>
              </w:rPr>
            </w:pPr>
          </w:p>
        </w:tc>
        <w:tc>
          <w:tcPr>
            <w:tcW w:w="1134" w:type="dxa"/>
            <w:shd w:val="clear" w:color="000000" w:fill="FFFFFF"/>
            <w:hideMark/>
          </w:tcPr>
          <w:p w14:paraId="1B347E70" w14:textId="38ACAD8B" w:rsidR="00742BBA" w:rsidRPr="005C3856" w:rsidRDefault="00742BBA" w:rsidP="00FF1C6E">
            <w:pPr>
              <w:spacing w:line="276" w:lineRule="auto"/>
              <w:jc w:val="center"/>
              <w:rPr>
                <w:rFonts w:eastAsia="SimSun"/>
                <w:b/>
                <w:bCs/>
                <w:color w:val="000000"/>
                <w:sz w:val="20"/>
                <w:szCs w:val="20"/>
              </w:rPr>
            </w:pPr>
            <w:r>
              <w:rPr>
                <w:b/>
                <w:color w:val="000000"/>
                <w:sz w:val="20"/>
              </w:rPr>
              <w:t>Inventario estimado</w:t>
            </w:r>
          </w:p>
        </w:tc>
        <w:tc>
          <w:tcPr>
            <w:tcW w:w="1134" w:type="dxa"/>
            <w:shd w:val="clear" w:color="000000" w:fill="FFFFFF"/>
            <w:hideMark/>
          </w:tcPr>
          <w:p w14:paraId="3E7281DA" w14:textId="03740B8F" w:rsidR="00742BBA" w:rsidRPr="005C3856" w:rsidRDefault="00AE67F6" w:rsidP="00FF1C6E">
            <w:pPr>
              <w:spacing w:line="276" w:lineRule="auto"/>
              <w:jc w:val="center"/>
              <w:rPr>
                <w:rFonts w:eastAsia="SimSun"/>
                <w:b/>
                <w:bCs/>
                <w:color w:val="000000"/>
                <w:sz w:val="20"/>
                <w:szCs w:val="20"/>
              </w:rPr>
            </w:pPr>
            <w:r>
              <w:rPr>
                <w:b/>
                <w:color w:val="000000"/>
                <w:sz w:val="20"/>
              </w:rPr>
              <w:t xml:space="preserve">Carga inicial media (kg/unidad) </w:t>
            </w:r>
          </w:p>
        </w:tc>
        <w:tc>
          <w:tcPr>
            <w:tcW w:w="1276" w:type="dxa"/>
            <w:shd w:val="clear" w:color="000000" w:fill="FFFFFF"/>
            <w:hideMark/>
          </w:tcPr>
          <w:p w14:paraId="49EC567F" w14:textId="7DDFDE58" w:rsidR="00742BBA" w:rsidRPr="005C3856" w:rsidRDefault="00AE67F6" w:rsidP="00FF1C6E">
            <w:pPr>
              <w:spacing w:line="276" w:lineRule="auto"/>
              <w:jc w:val="center"/>
              <w:rPr>
                <w:rFonts w:eastAsia="SimSun"/>
                <w:b/>
                <w:bCs/>
                <w:color w:val="000000"/>
                <w:sz w:val="20"/>
                <w:szCs w:val="20"/>
              </w:rPr>
            </w:pPr>
            <w:r>
              <w:rPr>
                <w:b/>
                <w:color w:val="000000"/>
                <w:sz w:val="20"/>
              </w:rPr>
              <w:t>Banco de HCFC-22 (t)</w:t>
            </w:r>
          </w:p>
          <w:p w14:paraId="0ABF18DC" w14:textId="1CAADE09" w:rsidR="00742BBA" w:rsidRPr="005C3856" w:rsidRDefault="00742BBA" w:rsidP="00FF1C6E">
            <w:pPr>
              <w:spacing w:line="276" w:lineRule="auto"/>
              <w:jc w:val="center"/>
              <w:rPr>
                <w:rFonts w:eastAsia="SimSun"/>
                <w:b/>
                <w:bCs/>
                <w:color w:val="000000"/>
                <w:sz w:val="20"/>
                <w:szCs w:val="20"/>
                <w:lang w:val="en-US" w:eastAsia="zh-CN"/>
              </w:rPr>
            </w:pPr>
          </w:p>
        </w:tc>
        <w:tc>
          <w:tcPr>
            <w:tcW w:w="1134" w:type="dxa"/>
            <w:shd w:val="clear" w:color="000000" w:fill="FFFFFF"/>
            <w:hideMark/>
          </w:tcPr>
          <w:p w14:paraId="31E4EE8D" w14:textId="150F56A0" w:rsidR="00742BBA" w:rsidRPr="005C3856" w:rsidRDefault="00870909" w:rsidP="00FF1C6E">
            <w:pPr>
              <w:spacing w:line="276" w:lineRule="auto"/>
              <w:jc w:val="center"/>
              <w:rPr>
                <w:rFonts w:eastAsia="SimSun"/>
                <w:b/>
                <w:bCs/>
                <w:color w:val="000000"/>
                <w:sz w:val="20"/>
                <w:szCs w:val="20"/>
              </w:rPr>
            </w:pPr>
            <w:r>
              <w:rPr>
                <w:b/>
                <w:color w:val="000000"/>
                <w:sz w:val="20"/>
              </w:rPr>
              <w:t xml:space="preserve">Equipos recargados (%) </w:t>
            </w:r>
          </w:p>
        </w:tc>
        <w:tc>
          <w:tcPr>
            <w:tcW w:w="1134" w:type="dxa"/>
            <w:shd w:val="clear" w:color="000000" w:fill="FFFFFF"/>
          </w:tcPr>
          <w:p w14:paraId="36A06839" w14:textId="77777777" w:rsidR="00742BBA" w:rsidRPr="005C3856" w:rsidRDefault="00742BBA" w:rsidP="00FF1C6E">
            <w:pPr>
              <w:spacing w:line="276" w:lineRule="auto"/>
              <w:jc w:val="center"/>
              <w:rPr>
                <w:rFonts w:eastAsia="SimSun"/>
                <w:b/>
                <w:bCs/>
                <w:color w:val="000000"/>
                <w:sz w:val="20"/>
                <w:szCs w:val="20"/>
              </w:rPr>
            </w:pPr>
            <w:r>
              <w:rPr>
                <w:b/>
                <w:color w:val="000000"/>
                <w:sz w:val="20"/>
              </w:rPr>
              <w:t>Equipos recargados</w:t>
            </w:r>
          </w:p>
          <w:p w14:paraId="62AAC738" w14:textId="087B03CE" w:rsidR="00742BBA" w:rsidRPr="005C3856" w:rsidRDefault="00870909" w:rsidP="00FF1C6E">
            <w:pPr>
              <w:spacing w:line="276" w:lineRule="auto"/>
              <w:jc w:val="center"/>
              <w:rPr>
                <w:rFonts w:eastAsia="SimSun"/>
                <w:b/>
                <w:bCs/>
                <w:color w:val="000000"/>
                <w:sz w:val="20"/>
                <w:szCs w:val="20"/>
              </w:rPr>
            </w:pPr>
            <w:r>
              <w:rPr>
                <w:b/>
                <w:color w:val="000000"/>
                <w:sz w:val="20"/>
              </w:rPr>
              <w:t xml:space="preserve"> </w:t>
            </w:r>
          </w:p>
        </w:tc>
        <w:tc>
          <w:tcPr>
            <w:tcW w:w="960" w:type="dxa"/>
            <w:shd w:val="clear" w:color="000000" w:fill="FFFFFF"/>
          </w:tcPr>
          <w:p w14:paraId="4CA989DB" w14:textId="12D9B120" w:rsidR="00742BBA" w:rsidRPr="005C3856" w:rsidRDefault="00742BBA" w:rsidP="00FF1C6E">
            <w:pPr>
              <w:spacing w:line="276" w:lineRule="auto"/>
              <w:jc w:val="center"/>
              <w:rPr>
                <w:rFonts w:eastAsia="SimSun"/>
                <w:b/>
                <w:bCs/>
                <w:color w:val="000000"/>
                <w:sz w:val="20"/>
                <w:szCs w:val="20"/>
              </w:rPr>
            </w:pPr>
            <w:r>
              <w:rPr>
                <w:b/>
                <w:color w:val="000000"/>
                <w:sz w:val="20"/>
              </w:rPr>
              <w:t>Tasa de fugas (%)</w:t>
            </w:r>
          </w:p>
          <w:p w14:paraId="4DF6C964" w14:textId="724DBAD8" w:rsidR="00742BBA" w:rsidRPr="005C3856" w:rsidRDefault="00742BBA" w:rsidP="00FF1C6E">
            <w:pPr>
              <w:spacing w:line="276" w:lineRule="auto"/>
              <w:jc w:val="center"/>
              <w:rPr>
                <w:rFonts w:eastAsia="SimSun"/>
                <w:b/>
                <w:bCs/>
                <w:color w:val="000000"/>
                <w:sz w:val="20"/>
                <w:szCs w:val="20"/>
                <w:lang w:val="en-US" w:eastAsia="zh-CN"/>
              </w:rPr>
            </w:pPr>
          </w:p>
        </w:tc>
        <w:tc>
          <w:tcPr>
            <w:tcW w:w="1165" w:type="dxa"/>
            <w:shd w:val="clear" w:color="000000" w:fill="FFFFFF"/>
            <w:hideMark/>
          </w:tcPr>
          <w:p w14:paraId="373B0392" w14:textId="49719C2D" w:rsidR="00742BBA" w:rsidRPr="005C3856" w:rsidRDefault="00742BBA" w:rsidP="00FF1C6E">
            <w:pPr>
              <w:spacing w:line="276" w:lineRule="auto"/>
              <w:jc w:val="center"/>
              <w:rPr>
                <w:rFonts w:eastAsia="SimSun"/>
                <w:b/>
                <w:bCs/>
                <w:color w:val="000000"/>
                <w:sz w:val="20"/>
                <w:szCs w:val="20"/>
              </w:rPr>
            </w:pPr>
            <w:r>
              <w:rPr>
                <w:b/>
                <w:color w:val="000000"/>
                <w:sz w:val="20"/>
              </w:rPr>
              <w:t>Necesidad de recarga (kg)</w:t>
            </w:r>
          </w:p>
        </w:tc>
      </w:tr>
      <w:tr w:rsidR="00870909" w:rsidRPr="005C3856" w14:paraId="6F83239A" w14:textId="77777777" w:rsidTr="000F43D2">
        <w:trPr>
          <w:trHeight w:val="242"/>
        </w:trPr>
        <w:tc>
          <w:tcPr>
            <w:tcW w:w="1413" w:type="dxa"/>
          </w:tcPr>
          <w:p w14:paraId="485C48C6" w14:textId="77777777" w:rsidR="003B2156" w:rsidRPr="005C3856" w:rsidRDefault="003B2156" w:rsidP="00FF1C6E">
            <w:pPr>
              <w:spacing w:line="276" w:lineRule="auto"/>
              <w:jc w:val="left"/>
              <w:rPr>
                <w:rFonts w:eastAsia="SimSun"/>
                <w:color w:val="000000"/>
                <w:sz w:val="20"/>
                <w:szCs w:val="20"/>
              </w:rPr>
            </w:pPr>
            <w:r>
              <w:rPr>
                <w:color w:val="000000"/>
                <w:sz w:val="20"/>
              </w:rPr>
              <w:t>Aire acondicionado residencial</w:t>
            </w:r>
          </w:p>
        </w:tc>
        <w:tc>
          <w:tcPr>
            <w:tcW w:w="1134" w:type="dxa"/>
          </w:tcPr>
          <w:p w14:paraId="1760B710" w14:textId="77777777" w:rsidR="003B2156" w:rsidRPr="005C3856" w:rsidRDefault="003B2156" w:rsidP="00FF1C6E">
            <w:pPr>
              <w:spacing w:line="276" w:lineRule="auto"/>
              <w:jc w:val="right"/>
              <w:rPr>
                <w:rFonts w:eastAsia="SimSun"/>
                <w:color w:val="000000"/>
                <w:sz w:val="20"/>
                <w:szCs w:val="20"/>
              </w:rPr>
            </w:pPr>
            <w:r>
              <w:rPr>
                <w:color w:val="000000"/>
                <w:sz w:val="20"/>
              </w:rPr>
              <w:t>21.000</w:t>
            </w:r>
          </w:p>
        </w:tc>
        <w:tc>
          <w:tcPr>
            <w:tcW w:w="1134" w:type="dxa"/>
          </w:tcPr>
          <w:p w14:paraId="745BA033" w14:textId="77777777" w:rsidR="003B2156" w:rsidRPr="005C3856" w:rsidRDefault="003B2156" w:rsidP="00FF1C6E">
            <w:pPr>
              <w:spacing w:line="276" w:lineRule="auto"/>
              <w:jc w:val="right"/>
              <w:rPr>
                <w:rFonts w:eastAsia="SimSun"/>
                <w:color w:val="000000"/>
                <w:sz w:val="20"/>
                <w:szCs w:val="20"/>
              </w:rPr>
            </w:pPr>
            <w:r>
              <w:rPr>
                <w:color w:val="000000"/>
                <w:sz w:val="20"/>
              </w:rPr>
              <w:t>1,8</w:t>
            </w:r>
          </w:p>
        </w:tc>
        <w:tc>
          <w:tcPr>
            <w:tcW w:w="1276" w:type="dxa"/>
          </w:tcPr>
          <w:p w14:paraId="7A1DB7FD" w14:textId="3F06D0BC" w:rsidR="003B2156" w:rsidRPr="005C3856" w:rsidRDefault="003B2156" w:rsidP="00FF1C6E">
            <w:pPr>
              <w:spacing w:line="276" w:lineRule="auto"/>
              <w:jc w:val="right"/>
              <w:rPr>
                <w:rFonts w:eastAsia="SimSun"/>
                <w:color w:val="000000"/>
                <w:sz w:val="20"/>
                <w:szCs w:val="20"/>
              </w:rPr>
            </w:pPr>
            <w:r>
              <w:rPr>
                <w:color w:val="000000"/>
                <w:sz w:val="20"/>
              </w:rPr>
              <w:t>37,80</w:t>
            </w:r>
          </w:p>
        </w:tc>
        <w:tc>
          <w:tcPr>
            <w:tcW w:w="1134" w:type="dxa"/>
          </w:tcPr>
          <w:p w14:paraId="612861AA" w14:textId="71B43370" w:rsidR="003B2156" w:rsidRPr="005C3856" w:rsidRDefault="003B2156" w:rsidP="00FF1C6E">
            <w:pPr>
              <w:spacing w:line="276" w:lineRule="auto"/>
              <w:jc w:val="right"/>
              <w:rPr>
                <w:rFonts w:eastAsia="SimSun"/>
                <w:color w:val="000000"/>
                <w:sz w:val="20"/>
                <w:szCs w:val="20"/>
              </w:rPr>
            </w:pPr>
            <w:r>
              <w:rPr>
                <w:color w:val="000000"/>
                <w:sz w:val="20"/>
              </w:rPr>
              <w:t>30</w:t>
            </w:r>
          </w:p>
        </w:tc>
        <w:tc>
          <w:tcPr>
            <w:tcW w:w="1134" w:type="dxa"/>
            <w:shd w:val="clear" w:color="000000" w:fill="FFFFFF"/>
          </w:tcPr>
          <w:p w14:paraId="6537A13B" w14:textId="3D34B6AA" w:rsidR="003B2156" w:rsidRPr="005C3856" w:rsidRDefault="003B2156" w:rsidP="00FF1C6E">
            <w:pPr>
              <w:spacing w:line="276" w:lineRule="auto"/>
              <w:jc w:val="right"/>
              <w:rPr>
                <w:rFonts w:eastAsia="SimSun"/>
                <w:color w:val="000000"/>
                <w:sz w:val="20"/>
                <w:szCs w:val="20"/>
              </w:rPr>
            </w:pPr>
            <w:r>
              <w:rPr>
                <w:color w:val="000000"/>
                <w:sz w:val="20"/>
              </w:rPr>
              <w:t>6.300</w:t>
            </w:r>
          </w:p>
        </w:tc>
        <w:tc>
          <w:tcPr>
            <w:tcW w:w="960" w:type="dxa"/>
            <w:shd w:val="clear" w:color="000000" w:fill="FFFFFF"/>
          </w:tcPr>
          <w:p w14:paraId="2231328C" w14:textId="34A63426" w:rsidR="003B2156" w:rsidRPr="005C3856" w:rsidRDefault="003B2156" w:rsidP="00FF1C6E">
            <w:pPr>
              <w:spacing w:line="276" w:lineRule="auto"/>
              <w:jc w:val="right"/>
              <w:rPr>
                <w:rFonts w:eastAsia="SimSun"/>
                <w:color w:val="000000"/>
                <w:sz w:val="20"/>
                <w:szCs w:val="20"/>
              </w:rPr>
            </w:pPr>
            <w:r>
              <w:rPr>
                <w:color w:val="000000"/>
                <w:sz w:val="20"/>
              </w:rPr>
              <w:t>30</w:t>
            </w:r>
          </w:p>
        </w:tc>
        <w:tc>
          <w:tcPr>
            <w:tcW w:w="1165" w:type="dxa"/>
            <w:shd w:val="clear" w:color="000000" w:fill="FFFFFF"/>
          </w:tcPr>
          <w:p w14:paraId="546CDDBB" w14:textId="38828040" w:rsidR="003B2156" w:rsidRPr="005C3856" w:rsidRDefault="003B2156" w:rsidP="00FF1C6E">
            <w:pPr>
              <w:spacing w:line="276" w:lineRule="auto"/>
              <w:jc w:val="right"/>
              <w:rPr>
                <w:rFonts w:eastAsia="SimSun"/>
                <w:color w:val="000000"/>
                <w:sz w:val="20"/>
                <w:szCs w:val="20"/>
              </w:rPr>
            </w:pPr>
            <w:r>
              <w:rPr>
                <w:color w:val="000000"/>
                <w:sz w:val="20"/>
              </w:rPr>
              <w:t>3.402</w:t>
            </w:r>
          </w:p>
        </w:tc>
      </w:tr>
      <w:tr w:rsidR="00870909" w:rsidRPr="005C3856" w14:paraId="13D614B8" w14:textId="77777777" w:rsidTr="000F43D2">
        <w:trPr>
          <w:trHeight w:val="184"/>
        </w:trPr>
        <w:tc>
          <w:tcPr>
            <w:tcW w:w="1413" w:type="dxa"/>
            <w:shd w:val="clear" w:color="000000" w:fill="FFFFFF"/>
            <w:hideMark/>
          </w:tcPr>
          <w:p w14:paraId="14F9AE87" w14:textId="77777777" w:rsidR="003B2156" w:rsidRPr="005C3856" w:rsidRDefault="003B2156" w:rsidP="00FF1C6E">
            <w:pPr>
              <w:spacing w:line="276" w:lineRule="auto"/>
              <w:jc w:val="left"/>
              <w:rPr>
                <w:rFonts w:eastAsia="SimSun"/>
                <w:color w:val="000000"/>
                <w:sz w:val="20"/>
                <w:szCs w:val="20"/>
              </w:rPr>
            </w:pPr>
            <w:r>
              <w:rPr>
                <w:color w:val="000000"/>
                <w:sz w:val="20"/>
              </w:rPr>
              <w:lastRenderedPageBreak/>
              <w:t>Aire acondicionado comercial</w:t>
            </w:r>
          </w:p>
        </w:tc>
        <w:tc>
          <w:tcPr>
            <w:tcW w:w="1134" w:type="dxa"/>
          </w:tcPr>
          <w:p w14:paraId="49A933F4" w14:textId="77777777" w:rsidR="003B2156" w:rsidRPr="005C3856" w:rsidRDefault="003B2156" w:rsidP="00FF1C6E">
            <w:pPr>
              <w:spacing w:line="276" w:lineRule="auto"/>
              <w:jc w:val="right"/>
              <w:rPr>
                <w:rFonts w:eastAsia="SimSun"/>
                <w:color w:val="000000"/>
                <w:sz w:val="20"/>
                <w:szCs w:val="20"/>
              </w:rPr>
            </w:pPr>
            <w:r>
              <w:rPr>
                <w:color w:val="000000"/>
                <w:sz w:val="20"/>
              </w:rPr>
              <w:t>370</w:t>
            </w:r>
          </w:p>
        </w:tc>
        <w:tc>
          <w:tcPr>
            <w:tcW w:w="1134" w:type="dxa"/>
          </w:tcPr>
          <w:p w14:paraId="7B3AF958" w14:textId="77777777" w:rsidR="003B2156" w:rsidRPr="005C3856" w:rsidRDefault="003B2156" w:rsidP="00FF1C6E">
            <w:pPr>
              <w:spacing w:line="276" w:lineRule="auto"/>
              <w:jc w:val="right"/>
              <w:rPr>
                <w:rFonts w:eastAsia="SimSun"/>
                <w:color w:val="000000"/>
                <w:sz w:val="20"/>
                <w:szCs w:val="20"/>
              </w:rPr>
            </w:pPr>
            <w:r>
              <w:rPr>
                <w:color w:val="000000"/>
                <w:sz w:val="20"/>
              </w:rPr>
              <w:t>5</w:t>
            </w:r>
          </w:p>
        </w:tc>
        <w:tc>
          <w:tcPr>
            <w:tcW w:w="1276" w:type="dxa"/>
          </w:tcPr>
          <w:p w14:paraId="207C9FC7" w14:textId="03828F79" w:rsidR="003B2156" w:rsidRPr="005C3856" w:rsidRDefault="003B2156" w:rsidP="00FF1C6E">
            <w:pPr>
              <w:spacing w:line="276" w:lineRule="auto"/>
              <w:jc w:val="right"/>
              <w:rPr>
                <w:rFonts w:eastAsia="SimSun"/>
                <w:color w:val="000000"/>
                <w:sz w:val="20"/>
                <w:szCs w:val="20"/>
              </w:rPr>
            </w:pPr>
            <w:r>
              <w:rPr>
                <w:color w:val="000000"/>
                <w:sz w:val="20"/>
              </w:rPr>
              <w:t>1,85</w:t>
            </w:r>
          </w:p>
        </w:tc>
        <w:tc>
          <w:tcPr>
            <w:tcW w:w="1134" w:type="dxa"/>
          </w:tcPr>
          <w:p w14:paraId="680A640A" w14:textId="29264E3E" w:rsidR="003B2156" w:rsidRPr="005C3856" w:rsidRDefault="003B2156" w:rsidP="00FF1C6E">
            <w:pPr>
              <w:spacing w:line="276" w:lineRule="auto"/>
              <w:jc w:val="right"/>
              <w:rPr>
                <w:rFonts w:eastAsia="SimSun"/>
                <w:color w:val="000000"/>
                <w:sz w:val="20"/>
                <w:szCs w:val="20"/>
              </w:rPr>
            </w:pPr>
            <w:r>
              <w:rPr>
                <w:color w:val="000000"/>
                <w:sz w:val="20"/>
              </w:rPr>
              <w:t>40</w:t>
            </w:r>
          </w:p>
        </w:tc>
        <w:tc>
          <w:tcPr>
            <w:tcW w:w="1134" w:type="dxa"/>
          </w:tcPr>
          <w:p w14:paraId="71ACD029" w14:textId="77777777" w:rsidR="003B2156" w:rsidRPr="005C3856" w:rsidRDefault="003B2156" w:rsidP="00FF1C6E">
            <w:pPr>
              <w:spacing w:line="276" w:lineRule="auto"/>
              <w:jc w:val="right"/>
              <w:rPr>
                <w:rFonts w:eastAsia="SimSun"/>
                <w:color w:val="000000"/>
                <w:sz w:val="20"/>
                <w:szCs w:val="20"/>
              </w:rPr>
            </w:pPr>
            <w:r>
              <w:rPr>
                <w:color w:val="000000"/>
                <w:sz w:val="20"/>
              </w:rPr>
              <w:t>148</w:t>
            </w:r>
          </w:p>
        </w:tc>
        <w:tc>
          <w:tcPr>
            <w:tcW w:w="960" w:type="dxa"/>
          </w:tcPr>
          <w:p w14:paraId="0DBAB0C1" w14:textId="672B5F28" w:rsidR="003B2156" w:rsidRPr="005C3856" w:rsidRDefault="003B2156" w:rsidP="00FF1C6E">
            <w:pPr>
              <w:spacing w:line="276" w:lineRule="auto"/>
              <w:jc w:val="right"/>
              <w:rPr>
                <w:rFonts w:eastAsia="SimSun"/>
                <w:color w:val="000000"/>
                <w:sz w:val="20"/>
                <w:szCs w:val="20"/>
              </w:rPr>
            </w:pPr>
            <w:r>
              <w:rPr>
                <w:color w:val="000000"/>
                <w:sz w:val="20"/>
              </w:rPr>
              <w:t>50</w:t>
            </w:r>
          </w:p>
        </w:tc>
        <w:tc>
          <w:tcPr>
            <w:tcW w:w="1165" w:type="dxa"/>
          </w:tcPr>
          <w:p w14:paraId="4E1B9954" w14:textId="77777777" w:rsidR="003B2156" w:rsidRPr="005C3856" w:rsidRDefault="003B2156" w:rsidP="00FF1C6E">
            <w:pPr>
              <w:spacing w:line="276" w:lineRule="auto"/>
              <w:jc w:val="right"/>
              <w:rPr>
                <w:rFonts w:eastAsia="SimSun"/>
                <w:color w:val="000000"/>
                <w:sz w:val="20"/>
                <w:szCs w:val="20"/>
              </w:rPr>
            </w:pPr>
            <w:r>
              <w:rPr>
                <w:color w:val="000000"/>
                <w:sz w:val="20"/>
              </w:rPr>
              <w:t>370</w:t>
            </w:r>
          </w:p>
        </w:tc>
      </w:tr>
      <w:tr w:rsidR="00870909" w:rsidRPr="005C3856" w14:paraId="725EFA79" w14:textId="77777777" w:rsidTr="000F43D2">
        <w:trPr>
          <w:trHeight w:val="330"/>
        </w:trPr>
        <w:tc>
          <w:tcPr>
            <w:tcW w:w="1413" w:type="dxa"/>
            <w:shd w:val="clear" w:color="000000" w:fill="FFFFFF"/>
            <w:hideMark/>
          </w:tcPr>
          <w:p w14:paraId="16E58B39" w14:textId="77777777" w:rsidR="003B2156" w:rsidRPr="005C3856" w:rsidRDefault="003B2156" w:rsidP="00FF1C6E">
            <w:pPr>
              <w:shd w:val="clear" w:color="auto" w:fill="FFFFFF" w:themeFill="background1"/>
              <w:outlineLvl w:val="0"/>
              <w:rPr>
                <w:rFonts w:eastAsia="SimSun"/>
                <w:color w:val="000000"/>
                <w:sz w:val="20"/>
                <w:szCs w:val="20"/>
              </w:rPr>
            </w:pPr>
            <w:r>
              <w:rPr>
                <w:sz w:val="20"/>
              </w:rPr>
              <w:t>Refrigeración comercial</w:t>
            </w:r>
          </w:p>
        </w:tc>
        <w:tc>
          <w:tcPr>
            <w:tcW w:w="1134" w:type="dxa"/>
          </w:tcPr>
          <w:p w14:paraId="7F1ABBE8" w14:textId="77777777" w:rsidR="003B2156" w:rsidRPr="005C3856" w:rsidRDefault="003B2156" w:rsidP="00FF1C6E">
            <w:pPr>
              <w:spacing w:line="276" w:lineRule="auto"/>
              <w:jc w:val="right"/>
              <w:rPr>
                <w:rFonts w:eastAsia="SimSun"/>
                <w:color w:val="000000"/>
                <w:sz w:val="20"/>
                <w:szCs w:val="20"/>
              </w:rPr>
            </w:pPr>
            <w:r>
              <w:rPr>
                <w:color w:val="000000"/>
                <w:sz w:val="20"/>
              </w:rPr>
              <w:t>553</w:t>
            </w:r>
          </w:p>
        </w:tc>
        <w:tc>
          <w:tcPr>
            <w:tcW w:w="1134" w:type="dxa"/>
          </w:tcPr>
          <w:p w14:paraId="3FA7A7F2" w14:textId="77777777" w:rsidR="003B2156" w:rsidRPr="005C3856" w:rsidRDefault="003B2156" w:rsidP="00FF1C6E">
            <w:pPr>
              <w:spacing w:line="276" w:lineRule="auto"/>
              <w:jc w:val="right"/>
              <w:rPr>
                <w:rFonts w:eastAsia="SimSun"/>
                <w:color w:val="000000"/>
                <w:sz w:val="20"/>
                <w:szCs w:val="20"/>
              </w:rPr>
            </w:pPr>
            <w:r>
              <w:rPr>
                <w:color w:val="000000"/>
                <w:sz w:val="20"/>
              </w:rPr>
              <w:t>8</w:t>
            </w:r>
          </w:p>
        </w:tc>
        <w:tc>
          <w:tcPr>
            <w:tcW w:w="1276" w:type="dxa"/>
          </w:tcPr>
          <w:p w14:paraId="1DE2C1B6" w14:textId="42C6B9E6" w:rsidR="003B2156" w:rsidRPr="005C3856" w:rsidRDefault="003B2156" w:rsidP="00FF1C6E">
            <w:pPr>
              <w:spacing w:line="276" w:lineRule="auto"/>
              <w:jc w:val="right"/>
              <w:rPr>
                <w:rFonts w:eastAsia="SimSun"/>
                <w:color w:val="000000"/>
                <w:sz w:val="20"/>
                <w:szCs w:val="20"/>
              </w:rPr>
            </w:pPr>
            <w:r>
              <w:rPr>
                <w:color w:val="000000"/>
                <w:sz w:val="20"/>
              </w:rPr>
              <w:t>4,42</w:t>
            </w:r>
          </w:p>
        </w:tc>
        <w:tc>
          <w:tcPr>
            <w:tcW w:w="1134" w:type="dxa"/>
          </w:tcPr>
          <w:p w14:paraId="1F2E31F2" w14:textId="40FA707C" w:rsidR="003B2156" w:rsidRPr="005C3856" w:rsidRDefault="003B2156" w:rsidP="00FF1C6E">
            <w:pPr>
              <w:spacing w:line="276" w:lineRule="auto"/>
              <w:jc w:val="right"/>
              <w:rPr>
                <w:rFonts w:eastAsia="SimSun"/>
                <w:color w:val="000000"/>
                <w:sz w:val="20"/>
                <w:szCs w:val="20"/>
              </w:rPr>
            </w:pPr>
            <w:r>
              <w:rPr>
                <w:color w:val="000000"/>
                <w:sz w:val="20"/>
              </w:rPr>
              <w:t>40</w:t>
            </w:r>
          </w:p>
        </w:tc>
        <w:tc>
          <w:tcPr>
            <w:tcW w:w="1134" w:type="dxa"/>
          </w:tcPr>
          <w:p w14:paraId="4A3EC7B0" w14:textId="4A0154D6" w:rsidR="003B2156" w:rsidRPr="005C3856" w:rsidRDefault="003B2156" w:rsidP="00FF1C6E">
            <w:pPr>
              <w:spacing w:line="276" w:lineRule="auto"/>
              <w:jc w:val="right"/>
              <w:rPr>
                <w:rFonts w:eastAsia="SimSun"/>
                <w:color w:val="000000"/>
                <w:sz w:val="20"/>
                <w:szCs w:val="20"/>
              </w:rPr>
            </w:pPr>
            <w:r>
              <w:rPr>
                <w:color w:val="000000"/>
                <w:sz w:val="20"/>
              </w:rPr>
              <w:t>221</w:t>
            </w:r>
          </w:p>
        </w:tc>
        <w:tc>
          <w:tcPr>
            <w:tcW w:w="960" w:type="dxa"/>
          </w:tcPr>
          <w:p w14:paraId="657F7C4F" w14:textId="05EE7B12" w:rsidR="003B2156" w:rsidRPr="005C3856" w:rsidRDefault="003B2156" w:rsidP="00FF1C6E">
            <w:pPr>
              <w:spacing w:line="276" w:lineRule="auto"/>
              <w:jc w:val="right"/>
              <w:rPr>
                <w:rFonts w:eastAsia="SimSun"/>
                <w:color w:val="000000"/>
                <w:sz w:val="20"/>
                <w:szCs w:val="20"/>
              </w:rPr>
            </w:pPr>
            <w:r>
              <w:rPr>
                <w:color w:val="000000"/>
                <w:sz w:val="20"/>
              </w:rPr>
              <w:t>30</w:t>
            </w:r>
          </w:p>
        </w:tc>
        <w:tc>
          <w:tcPr>
            <w:tcW w:w="1165" w:type="dxa"/>
          </w:tcPr>
          <w:p w14:paraId="66D0C694" w14:textId="30206731" w:rsidR="003B2156" w:rsidRPr="005C3856" w:rsidRDefault="003B2156" w:rsidP="00FF1C6E">
            <w:pPr>
              <w:spacing w:line="276" w:lineRule="auto"/>
              <w:jc w:val="right"/>
              <w:rPr>
                <w:rFonts w:eastAsia="SimSun"/>
                <w:color w:val="000000"/>
                <w:sz w:val="20"/>
                <w:szCs w:val="20"/>
              </w:rPr>
            </w:pPr>
            <w:r>
              <w:rPr>
                <w:color w:val="000000"/>
                <w:sz w:val="20"/>
              </w:rPr>
              <w:t>531</w:t>
            </w:r>
          </w:p>
        </w:tc>
      </w:tr>
      <w:tr w:rsidR="00870909" w:rsidRPr="005C3856" w14:paraId="05FA2778" w14:textId="77777777" w:rsidTr="000F43D2">
        <w:trPr>
          <w:trHeight w:val="310"/>
        </w:trPr>
        <w:tc>
          <w:tcPr>
            <w:tcW w:w="1413" w:type="dxa"/>
            <w:shd w:val="clear" w:color="000000" w:fill="FFFFFF"/>
            <w:hideMark/>
          </w:tcPr>
          <w:p w14:paraId="40BBE493" w14:textId="77777777" w:rsidR="003B2156" w:rsidRPr="005C3856" w:rsidRDefault="003B2156" w:rsidP="005C3856">
            <w:pPr>
              <w:shd w:val="clear" w:color="auto" w:fill="FFFFFF" w:themeFill="background1"/>
              <w:outlineLvl w:val="0"/>
              <w:rPr>
                <w:rFonts w:eastAsia="SimSun"/>
                <w:color w:val="000000"/>
                <w:sz w:val="20"/>
                <w:szCs w:val="20"/>
              </w:rPr>
            </w:pPr>
            <w:r>
              <w:rPr>
                <w:sz w:val="20"/>
              </w:rPr>
              <w:t>Refrigeración industrial</w:t>
            </w:r>
          </w:p>
        </w:tc>
        <w:tc>
          <w:tcPr>
            <w:tcW w:w="1134" w:type="dxa"/>
          </w:tcPr>
          <w:p w14:paraId="033CB58C" w14:textId="77777777" w:rsidR="003B2156" w:rsidRPr="005C3856" w:rsidRDefault="003B2156" w:rsidP="0031695B">
            <w:pPr>
              <w:spacing w:line="276" w:lineRule="auto"/>
              <w:jc w:val="right"/>
              <w:rPr>
                <w:rFonts w:eastAsia="SimSun"/>
                <w:color w:val="000000"/>
                <w:sz w:val="20"/>
                <w:szCs w:val="20"/>
              </w:rPr>
            </w:pPr>
            <w:r>
              <w:rPr>
                <w:color w:val="000000"/>
                <w:sz w:val="20"/>
              </w:rPr>
              <w:t>130</w:t>
            </w:r>
          </w:p>
        </w:tc>
        <w:tc>
          <w:tcPr>
            <w:tcW w:w="1134" w:type="dxa"/>
          </w:tcPr>
          <w:p w14:paraId="4B0D5CAD" w14:textId="77777777" w:rsidR="003B2156" w:rsidRPr="005C3856" w:rsidRDefault="003B2156" w:rsidP="0031695B">
            <w:pPr>
              <w:spacing w:line="276" w:lineRule="auto"/>
              <w:jc w:val="right"/>
              <w:rPr>
                <w:rFonts w:eastAsia="SimSun"/>
                <w:color w:val="000000"/>
                <w:sz w:val="20"/>
                <w:szCs w:val="20"/>
              </w:rPr>
            </w:pPr>
            <w:r>
              <w:rPr>
                <w:color w:val="000000"/>
                <w:sz w:val="20"/>
              </w:rPr>
              <w:t>25</w:t>
            </w:r>
          </w:p>
        </w:tc>
        <w:tc>
          <w:tcPr>
            <w:tcW w:w="1276" w:type="dxa"/>
          </w:tcPr>
          <w:p w14:paraId="5AA9481E" w14:textId="4F5D5574" w:rsidR="003B2156" w:rsidRPr="005C3856" w:rsidRDefault="003B2156" w:rsidP="0031695B">
            <w:pPr>
              <w:spacing w:line="276" w:lineRule="auto"/>
              <w:jc w:val="right"/>
              <w:rPr>
                <w:rFonts w:eastAsia="SimSun"/>
                <w:color w:val="000000"/>
                <w:sz w:val="20"/>
                <w:szCs w:val="20"/>
              </w:rPr>
            </w:pPr>
            <w:r>
              <w:rPr>
                <w:color w:val="000000"/>
                <w:sz w:val="20"/>
              </w:rPr>
              <w:t>3,25</w:t>
            </w:r>
          </w:p>
        </w:tc>
        <w:tc>
          <w:tcPr>
            <w:tcW w:w="1134" w:type="dxa"/>
          </w:tcPr>
          <w:p w14:paraId="2B408DA0" w14:textId="62BA11ED" w:rsidR="003B2156" w:rsidRPr="005C3856" w:rsidRDefault="003B2156" w:rsidP="0031695B">
            <w:pPr>
              <w:spacing w:line="276" w:lineRule="auto"/>
              <w:jc w:val="right"/>
              <w:rPr>
                <w:rFonts w:eastAsia="SimSun"/>
                <w:color w:val="000000"/>
                <w:sz w:val="20"/>
                <w:szCs w:val="20"/>
              </w:rPr>
            </w:pPr>
            <w:r>
              <w:rPr>
                <w:color w:val="000000"/>
                <w:sz w:val="20"/>
              </w:rPr>
              <w:t>40</w:t>
            </w:r>
          </w:p>
        </w:tc>
        <w:tc>
          <w:tcPr>
            <w:tcW w:w="1134" w:type="dxa"/>
          </w:tcPr>
          <w:p w14:paraId="66860E16" w14:textId="77777777" w:rsidR="003B2156" w:rsidRPr="005C3856" w:rsidRDefault="003B2156" w:rsidP="0031695B">
            <w:pPr>
              <w:spacing w:line="276" w:lineRule="auto"/>
              <w:jc w:val="right"/>
              <w:rPr>
                <w:rFonts w:eastAsia="SimSun"/>
                <w:color w:val="000000"/>
                <w:sz w:val="20"/>
                <w:szCs w:val="20"/>
              </w:rPr>
            </w:pPr>
            <w:r>
              <w:rPr>
                <w:color w:val="000000"/>
                <w:sz w:val="20"/>
              </w:rPr>
              <w:t>52</w:t>
            </w:r>
          </w:p>
        </w:tc>
        <w:tc>
          <w:tcPr>
            <w:tcW w:w="960" w:type="dxa"/>
          </w:tcPr>
          <w:p w14:paraId="3FD74F76" w14:textId="28F4067B" w:rsidR="003B2156" w:rsidRPr="005C3856" w:rsidRDefault="003B2156" w:rsidP="0031695B">
            <w:pPr>
              <w:spacing w:line="276" w:lineRule="auto"/>
              <w:jc w:val="right"/>
              <w:rPr>
                <w:rFonts w:eastAsia="SimSun"/>
                <w:color w:val="000000"/>
                <w:sz w:val="20"/>
                <w:szCs w:val="20"/>
              </w:rPr>
            </w:pPr>
            <w:r>
              <w:rPr>
                <w:color w:val="000000"/>
                <w:sz w:val="20"/>
              </w:rPr>
              <w:t>10</w:t>
            </w:r>
          </w:p>
        </w:tc>
        <w:tc>
          <w:tcPr>
            <w:tcW w:w="1165" w:type="dxa"/>
          </w:tcPr>
          <w:p w14:paraId="42104A2B" w14:textId="77777777" w:rsidR="003B2156" w:rsidRPr="005C3856" w:rsidRDefault="003B2156" w:rsidP="0031695B">
            <w:pPr>
              <w:spacing w:line="276" w:lineRule="auto"/>
              <w:jc w:val="right"/>
              <w:rPr>
                <w:rFonts w:eastAsia="SimSun"/>
                <w:color w:val="000000"/>
                <w:sz w:val="20"/>
                <w:szCs w:val="20"/>
              </w:rPr>
            </w:pPr>
            <w:r>
              <w:rPr>
                <w:color w:val="000000"/>
                <w:sz w:val="20"/>
              </w:rPr>
              <w:t>130</w:t>
            </w:r>
          </w:p>
        </w:tc>
      </w:tr>
      <w:tr w:rsidR="00870909" w:rsidRPr="005C3856" w14:paraId="4226B143" w14:textId="77777777" w:rsidTr="000F43D2">
        <w:trPr>
          <w:trHeight w:val="310"/>
        </w:trPr>
        <w:tc>
          <w:tcPr>
            <w:tcW w:w="1413" w:type="dxa"/>
            <w:shd w:val="clear" w:color="000000" w:fill="FFFFFF"/>
            <w:hideMark/>
          </w:tcPr>
          <w:p w14:paraId="68C8E3E2" w14:textId="34A96537" w:rsidR="003B2156" w:rsidRPr="005C3856" w:rsidRDefault="003B2156" w:rsidP="0031695B">
            <w:pPr>
              <w:spacing w:line="276" w:lineRule="auto"/>
              <w:jc w:val="left"/>
              <w:rPr>
                <w:rFonts w:eastAsia="SimSun"/>
                <w:b/>
                <w:color w:val="000000"/>
                <w:sz w:val="20"/>
                <w:szCs w:val="20"/>
              </w:rPr>
            </w:pPr>
            <w:r>
              <w:rPr>
                <w:b/>
                <w:color w:val="000000"/>
                <w:sz w:val="20"/>
              </w:rPr>
              <w:t>Total</w:t>
            </w:r>
          </w:p>
        </w:tc>
        <w:tc>
          <w:tcPr>
            <w:tcW w:w="1134" w:type="dxa"/>
          </w:tcPr>
          <w:p w14:paraId="7DDB4544" w14:textId="77777777" w:rsidR="003B2156" w:rsidRPr="005C3856" w:rsidRDefault="003B2156" w:rsidP="0031695B">
            <w:pPr>
              <w:spacing w:line="276" w:lineRule="auto"/>
              <w:jc w:val="right"/>
              <w:rPr>
                <w:rFonts w:eastAsia="SimSun"/>
                <w:b/>
                <w:color w:val="000000"/>
                <w:sz w:val="20"/>
                <w:szCs w:val="20"/>
              </w:rPr>
            </w:pPr>
            <w:r>
              <w:rPr>
                <w:b/>
                <w:color w:val="000000"/>
                <w:sz w:val="20"/>
              </w:rPr>
              <w:t>22.053</w:t>
            </w:r>
          </w:p>
        </w:tc>
        <w:tc>
          <w:tcPr>
            <w:tcW w:w="1134" w:type="dxa"/>
          </w:tcPr>
          <w:p w14:paraId="5FFD3EAF" w14:textId="2977CC6E" w:rsidR="003B2156" w:rsidRPr="005C3856" w:rsidRDefault="00870909" w:rsidP="0031695B">
            <w:pPr>
              <w:spacing w:line="276" w:lineRule="auto"/>
              <w:jc w:val="right"/>
              <w:rPr>
                <w:rFonts w:eastAsia="SimSun"/>
                <w:b/>
                <w:color w:val="000000"/>
                <w:sz w:val="20"/>
                <w:szCs w:val="20"/>
              </w:rPr>
            </w:pPr>
            <w:r>
              <w:rPr>
                <w:b/>
                <w:color w:val="000000"/>
                <w:sz w:val="20"/>
              </w:rPr>
              <w:t>n. a.</w:t>
            </w:r>
          </w:p>
        </w:tc>
        <w:tc>
          <w:tcPr>
            <w:tcW w:w="1276" w:type="dxa"/>
          </w:tcPr>
          <w:p w14:paraId="115A9884" w14:textId="4AA426A5" w:rsidR="003B2156" w:rsidRPr="005C3856" w:rsidRDefault="003B2156" w:rsidP="0031695B">
            <w:pPr>
              <w:spacing w:line="276" w:lineRule="auto"/>
              <w:jc w:val="right"/>
              <w:rPr>
                <w:rFonts w:eastAsia="SimSun"/>
                <w:b/>
                <w:color w:val="000000"/>
                <w:sz w:val="20"/>
                <w:szCs w:val="20"/>
              </w:rPr>
            </w:pPr>
            <w:r>
              <w:rPr>
                <w:b/>
                <w:color w:val="000000"/>
                <w:sz w:val="20"/>
              </w:rPr>
              <w:t>47,32</w:t>
            </w:r>
          </w:p>
        </w:tc>
        <w:tc>
          <w:tcPr>
            <w:tcW w:w="1134" w:type="dxa"/>
          </w:tcPr>
          <w:p w14:paraId="5B99CABB" w14:textId="025E7742" w:rsidR="003B2156" w:rsidRPr="005C3856" w:rsidRDefault="003550CB" w:rsidP="0031695B">
            <w:pPr>
              <w:spacing w:line="276" w:lineRule="auto"/>
              <w:jc w:val="right"/>
              <w:rPr>
                <w:rFonts w:eastAsia="SimSun"/>
                <w:b/>
                <w:color w:val="000000"/>
                <w:sz w:val="20"/>
                <w:szCs w:val="20"/>
              </w:rPr>
            </w:pPr>
            <w:r>
              <w:rPr>
                <w:b/>
                <w:color w:val="000000"/>
                <w:sz w:val="20"/>
              </w:rPr>
              <w:t>n. a.</w:t>
            </w:r>
          </w:p>
        </w:tc>
        <w:tc>
          <w:tcPr>
            <w:tcW w:w="1134" w:type="dxa"/>
          </w:tcPr>
          <w:p w14:paraId="36034C6A" w14:textId="73EA67FB" w:rsidR="003B2156" w:rsidRPr="005C3856" w:rsidRDefault="00870909" w:rsidP="0031695B">
            <w:pPr>
              <w:spacing w:line="276" w:lineRule="auto"/>
              <w:jc w:val="right"/>
              <w:rPr>
                <w:rFonts w:eastAsia="SimSun"/>
                <w:b/>
                <w:color w:val="000000"/>
                <w:sz w:val="20"/>
                <w:szCs w:val="20"/>
              </w:rPr>
            </w:pPr>
            <w:r>
              <w:rPr>
                <w:b/>
                <w:color w:val="000000"/>
                <w:sz w:val="20"/>
              </w:rPr>
              <w:t>6.721</w:t>
            </w:r>
          </w:p>
        </w:tc>
        <w:tc>
          <w:tcPr>
            <w:tcW w:w="960" w:type="dxa"/>
          </w:tcPr>
          <w:p w14:paraId="3797483D" w14:textId="7CCF380D" w:rsidR="003B2156" w:rsidRPr="005C3856" w:rsidRDefault="0031695B" w:rsidP="0031695B">
            <w:pPr>
              <w:spacing w:line="276" w:lineRule="auto"/>
              <w:jc w:val="right"/>
              <w:rPr>
                <w:rFonts w:eastAsia="SimSun"/>
                <w:b/>
                <w:color w:val="000000"/>
                <w:sz w:val="20"/>
                <w:szCs w:val="20"/>
              </w:rPr>
            </w:pPr>
            <w:r>
              <w:rPr>
                <w:b/>
                <w:color w:val="000000"/>
                <w:sz w:val="20"/>
              </w:rPr>
              <w:t>n. a.</w:t>
            </w:r>
          </w:p>
        </w:tc>
        <w:tc>
          <w:tcPr>
            <w:tcW w:w="1165" w:type="dxa"/>
          </w:tcPr>
          <w:p w14:paraId="41BB1BCF" w14:textId="3145BA44" w:rsidR="003B2156" w:rsidRPr="005C3856" w:rsidRDefault="003B2156" w:rsidP="0031695B">
            <w:pPr>
              <w:spacing w:line="276" w:lineRule="auto"/>
              <w:jc w:val="right"/>
              <w:rPr>
                <w:rFonts w:eastAsia="SimSun"/>
                <w:b/>
                <w:color w:val="000000"/>
                <w:sz w:val="20"/>
                <w:szCs w:val="20"/>
              </w:rPr>
            </w:pPr>
            <w:r>
              <w:rPr>
                <w:b/>
                <w:color w:val="000000"/>
                <w:sz w:val="20"/>
              </w:rPr>
              <w:t>4.433</w:t>
            </w:r>
          </w:p>
        </w:tc>
      </w:tr>
    </w:tbl>
    <w:p w14:paraId="2EBB455F" w14:textId="2F4C4E51" w:rsidR="00563DA8" w:rsidRPr="009931F4" w:rsidRDefault="00563DA8" w:rsidP="004A4122">
      <w:pPr>
        <w:keepNext/>
        <w:spacing w:before="240" w:after="240"/>
        <w:rPr>
          <w:b/>
        </w:rPr>
      </w:pPr>
      <w:r>
        <w:rPr>
          <w:u w:val="single"/>
        </w:rPr>
        <w:t>Estrategia de eliminación</w:t>
      </w:r>
    </w:p>
    <w:p w14:paraId="397DF2B9" w14:textId="57229B97" w:rsidR="004F467D" w:rsidRPr="006D23C4" w:rsidRDefault="009A3688" w:rsidP="00EC0B4F">
      <w:pPr>
        <w:pStyle w:val="Heading1"/>
      </w:pPr>
      <w:bookmarkStart w:id="7" w:name="_Hlk125636542"/>
      <w:bookmarkEnd w:id="6"/>
      <w:r>
        <w:t xml:space="preserve">La etapa II del PGEH </w:t>
      </w:r>
      <w:bookmarkEnd w:id="7"/>
      <w:r>
        <w:t>se centrará en reducir el HCFC</w:t>
      </w:r>
      <w:r>
        <w:noBreakHyphen/>
        <w:t xml:space="preserve">22 mediante la adopción de refrigerantes respetuosos con el clima y el ozono en el sector de refrigeración y aire acondicionado. Para conseguir y mantener la eliminación de los HCFC, esta etapa incluirá las actividades descritas a continuación. </w:t>
      </w:r>
    </w:p>
    <w:p w14:paraId="63C2C0CF" w14:textId="77777777" w:rsidR="00563DA8" w:rsidRDefault="00563DA8" w:rsidP="004A4122">
      <w:pPr>
        <w:keepNext/>
        <w:spacing w:after="240"/>
        <w:rPr>
          <w:i/>
          <w:iCs/>
        </w:rPr>
      </w:pPr>
      <w:r>
        <w:rPr>
          <w:i/>
        </w:rPr>
        <w:t>Actividades propuestas</w:t>
      </w:r>
    </w:p>
    <w:p w14:paraId="5D13C283" w14:textId="1AD527CA" w:rsidR="00563DA8" w:rsidRPr="00AB42F1" w:rsidRDefault="00562B8C" w:rsidP="00EC0B4F">
      <w:pPr>
        <w:pStyle w:val="Heading1"/>
      </w:pPr>
      <w:bookmarkStart w:id="8" w:name="_Hlk126915743"/>
      <w:r>
        <w:t>En el cuadro</w:t>
      </w:r>
      <w:r w:rsidR="000F43D2">
        <w:rPr>
          <w:b/>
        </w:rPr>
        <w:t> </w:t>
      </w:r>
      <w:r>
        <w:t>3 se presentan las actividades propuestas para su ejecución en el sector de servicio y mantenimiento en el marco de la etapa</w:t>
      </w:r>
      <w:bookmarkStart w:id="9" w:name="_Hlk190676699"/>
      <w:r w:rsidR="000F43D2">
        <w:rPr>
          <w:b/>
        </w:rPr>
        <w:t> </w:t>
      </w:r>
      <w:r>
        <w:t xml:space="preserve">II </w:t>
      </w:r>
      <w:bookmarkEnd w:id="9"/>
      <w:r>
        <w:t>y en el primer tramo, así como el desglose de costes.</w:t>
      </w:r>
    </w:p>
    <w:p w14:paraId="2DBC47DF" w14:textId="7E24A44B" w:rsidR="006E38D6" w:rsidRDefault="00563DA8" w:rsidP="009837C2">
      <w:pPr>
        <w:keepNext/>
        <w:shd w:val="clear" w:color="auto" w:fill="FFFFFF" w:themeFill="background1"/>
        <w:rPr>
          <w:b/>
          <w:bCs/>
        </w:rPr>
      </w:pPr>
      <w:bookmarkStart w:id="10" w:name="_Hlk211529306"/>
      <w:r>
        <w:rPr>
          <w:b/>
        </w:rPr>
        <w:t xml:space="preserve">Cuadro 3. </w:t>
      </w:r>
      <w:r>
        <w:rPr>
          <w:b/>
          <w:bCs/>
        </w:rPr>
        <w:t>Actividades del sector de servicio y mantenimiento y sus costes en el marco de la etapa</w:t>
      </w:r>
      <w:r w:rsidR="00F052E2">
        <w:rPr>
          <w:b/>
        </w:rPr>
        <w:t> </w:t>
      </w:r>
      <w:r>
        <w:rPr>
          <w:b/>
          <w:bCs/>
        </w:rPr>
        <w:t>II del PGEH para Djibouti, según lo presentado</w:t>
      </w:r>
    </w:p>
    <w:tbl>
      <w:tblPr>
        <w:tblStyle w:val="TableGrid"/>
        <w:tblW w:w="9380" w:type="dxa"/>
        <w:tblLayout w:type="fixed"/>
        <w:tblLook w:val="04A0" w:firstRow="1" w:lastRow="0" w:firstColumn="1" w:lastColumn="0" w:noHBand="0" w:noVBand="1"/>
      </w:tblPr>
      <w:tblGrid>
        <w:gridCol w:w="6941"/>
        <w:gridCol w:w="992"/>
        <w:gridCol w:w="1447"/>
      </w:tblGrid>
      <w:tr w:rsidR="00696870" w:rsidRPr="002B737E" w14:paraId="32F4ABB0" w14:textId="77777777" w:rsidTr="003D1E98">
        <w:trPr>
          <w:trHeight w:val="52"/>
          <w:tblHeader/>
        </w:trPr>
        <w:tc>
          <w:tcPr>
            <w:tcW w:w="6941" w:type="dxa"/>
            <w:vMerge w:val="restart"/>
            <w:vAlign w:val="center"/>
          </w:tcPr>
          <w:bookmarkEnd w:id="10"/>
          <w:p w14:paraId="3489C4DD" w14:textId="77777777" w:rsidR="00696870" w:rsidRPr="002B737E" w:rsidRDefault="00696870" w:rsidP="009837C2">
            <w:pPr>
              <w:keepNext/>
              <w:shd w:val="clear" w:color="auto" w:fill="FFFFFF" w:themeFill="background1"/>
              <w:jc w:val="center"/>
              <w:rPr>
                <w:b/>
                <w:bCs/>
                <w:sz w:val="20"/>
                <w:szCs w:val="20"/>
              </w:rPr>
            </w:pPr>
            <w:r>
              <w:rPr>
                <w:b/>
                <w:sz w:val="20"/>
              </w:rPr>
              <w:t>Actividad</w:t>
            </w:r>
          </w:p>
        </w:tc>
        <w:tc>
          <w:tcPr>
            <w:tcW w:w="2439" w:type="dxa"/>
            <w:gridSpan w:val="2"/>
            <w:vAlign w:val="center"/>
          </w:tcPr>
          <w:p w14:paraId="7B60283D" w14:textId="77777777" w:rsidR="00696870" w:rsidRPr="002B737E" w:rsidRDefault="00696870" w:rsidP="009837C2">
            <w:pPr>
              <w:keepNext/>
              <w:shd w:val="clear" w:color="auto" w:fill="FFFFFF" w:themeFill="background1"/>
              <w:jc w:val="center"/>
              <w:rPr>
                <w:b/>
                <w:bCs/>
                <w:sz w:val="20"/>
                <w:szCs w:val="20"/>
              </w:rPr>
            </w:pPr>
            <w:r>
              <w:rPr>
                <w:b/>
                <w:sz w:val="20"/>
              </w:rPr>
              <w:t>Coste (USD)</w:t>
            </w:r>
          </w:p>
        </w:tc>
      </w:tr>
      <w:tr w:rsidR="00696870" w:rsidRPr="002B737E" w14:paraId="5ADFFB76" w14:textId="77777777" w:rsidTr="003D1E98">
        <w:trPr>
          <w:trHeight w:val="97"/>
          <w:tblHeader/>
        </w:trPr>
        <w:tc>
          <w:tcPr>
            <w:tcW w:w="6941" w:type="dxa"/>
            <w:vMerge/>
            <w:vAlign w:val="center"/>
          </w:tcPr>
          <w:p w14:paraId="6F6B5EC5" w14:textId="77777777" w:rsidR="00696870" w:rsidRPr="002B737E" w:rsidRDefault="00696870" w:rsidP="009837C2">
            <w:pPr>
              <w:keepNext/>
              <w:shd w:val="clear" w:color="auto" w:fill="FFFFFF" w:themeFill="background1"/>
              <w:jc w:val="center"/>
              <w:rPr>
                <w:b/>
                <w:bCs/>
                <w:sz w:val="20"/>
                <w:szCs w:val="20"/>
              </w:rPr>
            </w:pPr>
          </w:p>
        </w:tc>
        <w:tc>
          <w:tcPr>
            <w:tcW w:w="992" w:type="dxa"/>
            <w:vAlign w:val="center"/>
          </w:tcPr>
          <w:p w14:paraId="27224386" w14:textId="6BA26881" w:rsidR="00696870" w:rsidRPr="002B737E" w:rsidRDefault="00696870" w:rsidP="009837C2">
            <w:pPr>
              <w:keepNext/>
              <w:shd w:val="clear" w:color="auto" w:fill="FFFFFF" w:themeFill="background1"/>
              <w:jc w:val="center"/>
              <w:rPr>
                <w:b/>
                <w:bCs/>
                <w:sz w:val="20"/>
                <w:szCs w:val="20"/>
              </w:rPr>
            </w:pPr>
            <w:r>
              <w:rPr>
                <w:b/>
                <w:sz w:val="20"/>
              </w:rPr>
              <w:t>Etapa</w:t>
            </w:r>
          </w:p>
        </w:tc>
        <w:tc>
          <w:tcPr>
            <w:tcW w:w="1447" w:type="dxa"/>
            <w:vAlign w:val="center"/>
          </w:tcPr>
          <w:p w14:paraId="68853F73" w14:textId="5D41A18E" w:rsidR="00696870" w:rsidRPr="002B737E" w:rsidRDefault="00696870" w:rsidP="009837C2">
            <w:pPr>
              <w:keepNext/>
              <w:shd w:val="clear" w:color="auto" w:fill="FFFFFF" w:themeFill="background1"/>
              <w:jc w:val="center"/>
              <w:rPr>
                <w:b/>
                <w:bCs/>
                <w:sz w:val="20"/>
                <w:szCs w:val="20"/>
              </w:rPr>
            </w:pPr>
            <w:bookmarkStart w:id="11" w:name="_Hlk211529319"/>
            <w:r>
              <w:rPr>
                <w:b/>
                <w:sz w:val="20"/>
              </w:rPr>
              <w:t>Primer tramo</w:t>
            </w:r>
            <w:bookmarkEnd w:id="11"/>
          </w:p>
        </w:tc>
      </w:tr>
      <w:tr w:rsidR="00A03D82" w:rsidRPr="002B737E" w14:paraId="51E0D577" w14:textId="77777777" w:rsidTr="00154F8A">
        <w:trPr>
          <w:trHeight w:val="216"/>
        </w:trPr>
        <w:tc>
          <w:tcPr>
            <w:tcW w:w="9380" w:type="dxa"/>
            <w:gridSpan w:val="3"/>
          </w:tcPr>
          <w:p w14:paraId="1CD5D1DD" w14:textId="1E585206" w:rsidR="00A03D82" w:rsidRPr="002B737E" w:rsidRDefault="00551270" w:rsidP="009837C2">
            <w:pPr>
              <w:keepNext/>
              <w:shd w:val="clear" w:color="auto" w:fill="FFFFFF" w:themeFill="background1"/>
              <w:jc w:val="left"/>
              <w:rPr>
                <w:b/>
                <w:bCs/>
                <w:sz w:val="20"/>
                <w:szCs w:val="20"/>
              </w:rPr>
            </w:pPr>
            <w:r>
              <w:rPr>
                <w:b/>
                <w:sz w:val="20"/>
              </w:rPr>
              <w:t>Componente</w:t>
            </w:r>
            <w:r w:rsidR="00307D86">
              <w:rPr>
                <w:b/>
              </w:rPr>
              <w:t> </w:t>
            </w:r>
            <w:r>
              <w:rPr>
                <w:b/>
                <w:sz w:val="20"/>
              </w:rPr>
              <w:t>1: Fortalecimiento de la supervisión y ejecución de medidas de control y creación de capacidad entre los funcionarios encargados de hacer cumplir la ley</w:t>
            </w:r>
          </w:p>
        </w:tc>
      </w:tr>
      <w:tr w:rsidR="00700B29" w:rsidRPr="002B737E" w14:paraId="1316F430" w14:textId="77777777" w:rsidTr="00897E99">
        <w:trPr>
          <w:trHeight w:val="1570"/>
        </w:trPr>
        <w:tc>
          <w:tcPr>
            <w:tcW w:w="6941" w:type="dxa"/>
          </w:tcPr>
          <w:p w14:paraId="396A0954" w14:textId="7CCB6C9D" w:rsidR="00700B29" w:rsidRPr="00A44593" w:rsidRDefault="008923DA" w:rsidP="00693E58">
            <w:pPr>
              <w:pStyle w:val="Heading3"/>
              <w:numPr>
                <w:ilvl w:val="0"/>
                <w:numId w:val="0"/>
              </w:numPr>
              <w:spacing w:after="0"/>
              <w:rPr>
                <w:sz w:val="20"/>
                <w:szCs w:val="20"/>
              </w:rPr>
            </w:pPr>
            <w:r>
              <w:rPr>
                <w:rFonts w:ascii="ZWAdobeF" w:hAnsi="ZWAdobeF" w:cs="ZWAdobeF"/>
                <w:sz w:val="2"/>
                <w:szCs w:val="2"/>
              </w:rPr>
              <w:t>0B</w:t>
            </w:r>
            <w:r w:rsidR="009A463A">
              <w:rPr>
                <w:rFonts w:ascii="ZWAdobeF" w:hAnsi="ZWAdobeF" w:cs="ZWAdobeF"/>
                <w:sz w:val="2"/>
                <w:szCs w:val="2"/>
              </w:rPr>
              <w:t>0B</w:t>
            </w:r>
            <w:r w:rsidR="00700B29">
              <w:rPr>
                <w:sz w:val="20"/>
              </w:rPr>
              <w:t>Mejorar el marco normativo y preparar actualizaciones reglamentarias para tener en cuenta las nuevas tecnologías y el consumo de productos alternativos. Apoyar la finalización y aprobación de enmiendas al Decreto 2004-0066, incluida la prohibición de las importaciones de equipos nuevos y usados que utilizan HCFC, y de enmiendas reglamentarias para controlar las emisiones previstas de refrigerantes durante la instalación, el servicio y el desmantelamiento de equipos de refrigeración y aire acondicionado. Promover la legislación actualizada mediante talleres específicos con las partes interesadas.</w:t>
            </w:r>
          </w:p>
        </w:tc>
        <w:tc>
          <w:tcPr>
            <w:tcW w:w="992" w:type="dxa"/>
          </w:tcPr>
          <w:p w14:paraId="4AA53AD9" w14:textId="3482ECC1" w:rsidR="00700B29" w:rsidRPr="00576C61" w:rsidRDefault="009337D1" w:rsidP="00700B29">
            <w:pPr>
              <w:shd w:val="clear" w:color="auto" w:fill="FFFFFF" w:themeFill="background1"/>
              <w:jc w:val="right"/>
              <w:rPr>
                <w:sz w:val="20"/>
                <w:szCs w:val="20"/>
              </w:rPr>
            </w:pPr>
            <w:r>
              <w:rPr>
                <w:sz w:val="20"/>
              </w:rPr>
              <w:t>40.000</w:t>
            </w:r>
          </w:p>
        </w:tc>
        <w:tc>
          <w:tcPr>
            <w:tcW w:w="1447" w:type="dxa"/>
          </w:tcPr>
          <w:p w14:paraId="3FCF69B4" w14:textId="4569B3B1" w:rsidR="00700B29" w:rsidRPr="00576C61" w:rsidRDefault="003B25C3" w:rsidP="00700B29">
            <w:pPr>
              <w:shd w:val="clear" w:color="auto" w:fill="FFFFFF" w:themeFill="background1"/>
              <w:jc w:val="right"/>
              <w:rPr>
                <w:sz w:val="20"/>
                <w:szCs w:val="20"/>
              </w:rPr>
            </w:pPr>
            <w:r>
              <w:rPr>
                <w:sz w:val="20"/>
              </w:rPr>
              <w:t>40.000</w:t>
            </w:r>
          </w:p>
        </w:tc>
      </w:tr>
      <w:tr w:rsidR="00090E1C" w:rsidRPr="00090E1C" w14:paraId="43B96492" w14:textId="77777777" w:rsidTr="006E38D6">
        <w:trPr>
          <w:trHeight w:val="223"/>
        </w:trPr>
        <w:tc>
          <w:tcPr>
            <w:tcW w:w="6941" w:type="dxa"/>
          </w:tcPr>
          <w:p w14:paraId="72A28816" w14:textId="76493008" w:rsidR="00700B29" w:rsidRPr="00090E1C" w:rsidRDefault="00251FB5" w:rsidP="00700B29">
            <w:pPr>
              <w:shd w:val="clear" w:color="auto" w:fill="FFFFFF" w:themeFill="background1"/>
              <w:jc w:val="left"/>
              <w:rPr>
                <w:sz w:val="20"/>
                <w:szCs w:val="20"/>
              </w:rPr>
            </w:pPr>
            <w:r>
              <w:rPr>
                <w:sz w:val="20"/>
              </w:rPr>
              <w:t>Celebrar una sesión de capacitación para 15 formadores, incluidas cuatro mujeres, sobre la identificación y la nomenclatura de HCFC y equipos que utilizan HCFC, haciendo hincapié en las nuevas alternativas.</w:t>
            </w:r>
          </w:p>
        </w:tc>
        <w:tc>
          <w:tcPr>
            <w:tcW w:w="992" w:type="dxa"/>
          </w:tcPr>
          <w:p w14:paraId="521641E1" w14:textId="558E9D81" w:rsidR="00700B29" w:rsidRPr="00576C61" w:rsidRDefault="00700B29" w:rsidP="00700B29">
            <w:pPr>
              <w:shd w:val="clear" w:color="auto" w:fill="FFFFFF" w:themeFill="background1"/>
              <w:jc w:val="right"/>
              <w:rPr>
                <w:sz w:val="20"/>
                <w:szCs w:val="20"/>
              </w:rPr>
            </w:pPr>
            <w:r>
              <w:rPr>
                <w:sz w:val="20"/>
              </w:rPr>
              <w:t>20.000</w:t>
            </w:r>
          </w:p>
        </w:tc>
        <w:tc>
          <w:tcPr>
            <w:tcW w:w="1447" w:type="dxa"/>
          </w:tcPr>
          <w:p w14:paraId="3AEA25D0" w14:textId="695F6F35" w:rsidR="00700B29" w:rsidRPr="00576C61" w:rsidRDefault="00700B29" w:rsidP="00700B29">
            <w:pPr>
              <w:shd w:val="clear" w:color="auto" w:fill="FFFFFF" w:themeFill="background1"/>
              <w:jc w:val="right"/>
              <w:rPr>
                <w:sz w:val="20"/>
                <w:szCs w:val="20"/>
              </w:rPr>
            </w:pPr>
            <w:r>
              <w:rPr>
                <w:sz w:val="20"/>
              </w:rPr>
              <w:t>20.000</w:t>
            </w:r>
          </w:p>
        </w:tc>
      </w:tr>
      <w:tr w:rsidR="00700B29" w:rsidRPr="002B737E" w14:paraId="76E857D8" w14:textId="77777777" w:rsidTr="006E38D6">
        <w:trPr>
          <w:trHeight w:val="223"/>
        </w:trPr>
        <w:tc>
          <w:tcPr>
            <w:tcW w:w="6941" w:type="dxa"/>
          </w:tcPr>
          <w:p w14:paraId="2753041B" w14:textId="19A6060D" w:rsidR="00700B29" w:rsidRPr="002B737E" w:rsidRDefault="00700B29" w:rsidP="00700B29">
            <w:pPr>
              <w:shd w:val="clear" w:color="auto" w:fill="FFFFFF" w:themeFill="background1"/>
              <w:jc w:val="left"/>
              <w:rPr>
                <w:sz w:val="20"/>
                <w:szCs w:val="20"/>
                <w:highlight w:val="cyan"/>
              </w:rPr>
            </w:pPr>
            <w:r>
              <w:rPr>
                <w:sz w:val="20"/>
              </w:rPr>
              <w:t>Celebrar 20 sesiones de capacitación para 300 funcionarios de aduanas, funcionarios encargados de hacer cumplir la ley y agentes de aduanas, incluidas 30 mujeres, sobre las medidas de control de HCFC y los plazos de eliminación, la lucha contra el comercio ilegal de HCFC y las formas de mejorar la identificación y supervisión de HFC.</w:t>
            </w:r>
          </w:p>
        </w:tc>
        <w:tc>
          <w:tcPr>
            <w:tcW w:w="992" w:type="dxa"/>
          </w:tcPr>
          <w:p w14:paraId="36D14EEF" w14:textId="535C1703" w:rsidR="00700B29" w:rsidRPr="00576C61" w:rsidRDefault="00700B29" w:rsidP="00700B29">
            <w:pPr>
              <w:shd w:val="clear" w:color="auto" w:fill="FFFFFF" w:themeFill="background1"/>
              <w:jc w:val="right"/>
              <w:rPr>
                <w:sz w:val="20"/>
                <w:szCs w:val="20"/>
              </w:rPr>
            </w:pPr>
            <w:r>
              <w:rPr>
                <w:sz w:val="20"/>
              </w:rPr>
              <w:t>60.000</w:t>
            </w:r>
          </w:p>
        </w:tc>
        <w:tc>
          <w:tcPr>
            <w:tcW w:w="1447" w:type="dxa"/>
          </w:tcPr>
          <w:p w14:paraId="16CDF979" w14:textId="1A43797D" w:rsidR="00700B29" w:rsidRPr="00576C61" w:rsidRDefault="00700B29" w:rsidP="00700B29">
            <w:pPr>
              <w:shd w:val="clear" w:color="auto" w:fill="FFFFFF" w:themeFill="background1"/>
              <w:jc w:val="right"/>
              <w:rPr>
                <w:sz w:val="20"/>
                <w:szCs w:val="20"/>
              </w:rPr>
            </w:pPr>
            <w:r>
              <w:rPr>
                <w:sz w:val="20"/>
              </w:rPr>
              <w:t>30.000</w:t>
            </w:r>
          </w:p>
        </w:tc>
      </w:tr>
      <w:tr w:rsidR="00696870" w:rsidRPr="00C163A6" w14:paraId="14F202A1" w14:textId="77777777" w:rsidTr="006E38D6">
        <w:trPr>
          <w:trHeight w:val="223"/>
        </w:trPr>
        <w:tc>
          <w:tcPr>
            <w:tcW w:w="6941" w:type="dxa"/>
          </w:tcPr>
          <w:p w14:paraId="3A53FDDF" w14:textId="23BB266F" w:rsidR="00696870" w:rsidRPr="002B737E" w:rsidRDefault="00740CC4" w:rsidP="00740CC4">
            <w:pPr>
              <w:shd w:val="clear" w:color="auto" w:fill="FFFFFF" w:themeFill="background1"/>
              <w:jc w:val="right"/>
              <w:rPr>
                <w:b/>
                <w:bCs/>
                <w:sz w:val="20"/>
                <w:szCs w:val="20"/>
              </w:rPr>
            </w:pPr>
            <w:r>
              <w:rPr>
                <w:b/>
                <w:sz w:val="20"/>
              </w:rPr>
              <w:t xml:space="preserve">Subtotal </w:t>
            </w:r>
          </w:p>
        </w:tc>
        <w:tc>
          <w:tcPr>
            <w:tcW w:w="992" w:type="dxa"/>
          </w:tcPr>
          <w:p w14:paraId="673F735A" w14:textId="23C6F829" w:rsidR="00696870" w:rsidRPr="00576C61" w:rsidRDefault="00AE2A1D" w:rsidP="004A4122">
            <w:pPr>
              <w:shd w:val="clear" w:color="auto" w:fill="FFFFFF" w:themeFill="background1"/>
              <w:jc w:val="right"/>
              <w:rPr>
                <w:b/>
                <w:bCs/>
                <w:sz w:val="20"/>
                <w:szCs w:val="20"/>
              </w:rPr>
            </w:pPr>
            <w:r>
              <w:rPr>
                <w:b/>
                <w:sz w:val="20"/>
              </w:rPr>
              <w:t>120.000</w:t>
            </w:r>
          </w:p>
        </w:tc>
        <w:tc>
          <w:tcPr>
            <w:tcW w:w="1447" w:type="dxa"/>
          </w:tcPr>
          <w:p w14:paraId="08392FF8" w14:textId="0B97A8E1" w:rsidR="00696870" w:rsidRPr="00576C61" w:rsidRDefault="009F0789" w:rsidP="004A4122">
            <w:pPr>
              <w:shd w:val="clear" w:color="auto" w:fill="FFFFFF" w:themeFill="background1"/>
              <w:jc w:val="right"/>
              <w:rPr>
                <w:b/>
                <w:bCs/>
                <w:sz w:val="20"/>
                <w:szCs w:val="20"/>
              </w:rPr>
            </w:pPr>
            <w:r>
              <w:rPr>
                <w:b/>
                <w:sz w:val="20"/>
              </w:rPr>
              <w:t>90.000</w:t>
            </w:r>
          </w:p>
        </w:tc>
      </w:tr>
      <w:tr w:rsidR="006C0B8F" w:rsidRPr="002B737E" w14:paraId="2B83E09F" w14:textId="77777777" w:rsidTr="00D240C8">
        <w:trPr>
          <w:trHeight w:val="238"/>
        </w:trPr>
        <w:tc>
          <w:tcPr>
            <w:tcW w:w="9380" w:type="dxa"/>
            <w:gridSpan w:val="3"/>
          </w:tcPr>
          <w:p w14:paraId="5A4F33D2" w14:textId="1089668D" w:rsidR="006C0B8F" w:rsidRPr="00576C61" w:rsidRDefault="006E38D6" w:rsidP="006C0B8F">
            <w:pPr>
              <w:jc w:val="left"/>
              <w:rPr>
                <w:b/>
                <w:bCs/>
                <w:sz w:val="20"/>
                <w:szCs w:val="20"/>
              </w:rPr>
            </w:pPr>
            <w:r>
              <w:rPr>
                <w:b/>
                <w:sz w:val="20"/>
              </w:rPr>
              <w:t>Componente</w:t>
            </w:r>
            <w:r w:rsidR="00307D86">
              <w:rPr>
                <w:b/>
              </w:rPr>
              <w:t> </w:t>
            </w:r>
            <w:r>
              <w:rPr>
                <w:b/>
                <w:sz w:val="20"/>
              </w:rPr>
              <w:t>2: Creación de capacidad entre técnicos de refrigeración y aire acondicionado y establecimiento de un plan de certificación</w:t>
            </w:r>
          </w:p>
        </w:tc>
      </w:tr>
      <w:tr w:rsidR="002B737E" w:rsidRPr="002B737E" w14:paraId="50372560" w14:textId="77777777" w:rsidTr="00E66CA2">
        <w:trPr>
          <w:trHeight w:val="449"/>
        </w:trPr>
        <w:tc>
          <w:tcPr>
            <w:tcW w:w="6941" w:type="dxa"/>
          </w:tcPr>
          <w:p w14:paraId="51CBE345" w14:textId="4EF69527" w:rsidR="002B737E" w:rsidRPr="002B737E" w:rsidRDefault="00962453" w:rsidP="002B737E">
            <w:pPr>
              <w:jc w:val="left"/>
              <w:rPr>
                <w:sz w:val="20"/>
                <w:szCs w:val="20"/>
              </w:rPr>
            </w:pPr>
            <w:r>
              <w:rPr>
                <w:sz w:val="20"/>
              </w:rPr>
              <w:t xml:space="preserve">Establecer un plan de certificación para el sector de servicio y mantenimiento de refrigeración y aire acondicionado y celebrar consultas con partes interesadas sobre </w:t>
            </w:r>
            <w:r>
              <w:rPr>
                <w:sz w:val="20"/>
              </w:rPr>
              <w:lastRenderedPageBreak/>
              <w:t>su formulación (30 técnicos de refrigeración y aire acondicionado habrán obtenido su certificación al final de la etapa).</w:t>
            </w:r>
          </w:p>
        </w:tc>
        <w:tc>
          <w:tcPr>
            <w:tcW w:w="992" w:type="dxa"/>
          </w:tcPr>
          <w:p w14:paraId="15DAA85C" w14:textId="5914A918" w:rsidR="002B737E" w:rsidRPr="00576C61" w:rsidRDefault="00D6757B" w:rsidP="002B737E">
            <w:pPr>
              <w:jc w:val="right"/>
              <w:rPr>
                <w:sz w:val="20"/>
                <w:szCs w:val="20"/>
              </w:rPr>
            </w:pPr>
            <w:r>
              <w:rPr>
                <w:sz w:val="20"/>
              </w:rPr>
              <w:lastRenderedPageBreak/>
              <w:t>45.000</w:t>
            </w:r>
          </w:p>
        </w:tc>
        <w:tc>
          <w:tcPr>
            <w:tcW w:w="1447" w:type="dxa"/>
          </w:tcPr>
          <w:p w14:paraId="0079802E" w14:textId="564E1600" w:rsidR="002B737E" w:rsidRPr="00576C61" w:rsidRDefault="00D6757B" w:rsidP="002B737E">
            <w:pPr>
              <w:jc w:val="right"/>
              <w:rPr>
                <w:sz w:val="20"/>
                <w:szCs w:val="20"/>
              </w:rPr>
            </w:pPr>
            <w:r>
              <w:rPr>
                <w:color w:val="000000"/>
                <w:sz w:val="20"/>
              </w:rPr>
              <w:t>45.000</w:t>
            </w:r>
          </w:p>
        </w:tc>
      </w:tr>
      <w:tr w:rsidR="002B737E" w:rsidRPr="002B737E" w14:paraId="51559457" w14:textId="77777777" w:rsidTr="00E66CA2">
        <w:trPr>
          <w:trHeight w:val="449"/>
        </w:trPr>
        <w:tc>
          <w:tcPr>
            <w:tcW w:w="6941" w:type="dxa"/>
          </w:tcPr>
          <w:p w14:paraId="2587AA55" w14:textId="167025EC" w:rsidR="002B737E" w:rsidRPr="00415344" w:rsidRDefault="002B737E" w:rsidP="002B737E">
            <w:pPr>
              <w:jc w:val="left"/>
              <w:rPr>
                <w:sz w:val="20"/>
                <w:szCs w:val="20"/>
              </w:rPr>
            </w:pPr>
            <w:r>
              <w:rPr>
                <w:sz w:val="20"/>
              </w:rPr>
              <w:t>Elaborar normas reglamentarias y protocolos relacionados con la seguridad del uso de sustancias tóxicas e inflamables en los equipos de refrigeración y aire acondicionado.</w:t>
            </w:r>
          </w:p>
        </w:tc>
        <w:tc>
          <w:tcPr>
            <w:tcW w:w="992" w:type="dxa"/>
          </w:tcPr>
          <w:p w14:paraId="609E53EC" w14:textId="7F47AC7B" w:rsidR="002B737E" w:rsidRPr="00576C61" w:rsidRDefault="002B737E" w:rsidP="002B737E">
            <w:pPr>
              <w:jc w:val="right"/>
              <w:rPr>
                <w:sz w:val="20"/>
                <w:szCs w:val="20"/>
              </w:rPr>
            </w:pPr>
            <w:r>
              <w:rPr>
                <w:sz w:val="20"/>
              </w:rPr>
              <w:t>30.000</w:t>
            </w:r>
          </w:p>
        </w:tc>
        <w:tc>
          <w:tcPr>
            <w:tcW w:w="1447" w:type="dxa"/>
          </w:tcPr>
          <w:p w14:paraId="350664CB" w14:textId="5D562D86" w:rsidR="002B737E" w:rsidRPr="00576C61" w:rsidRDefault="002B737E" w:rsidP="002B737E">
            <w:pPr>
              <w:jc w:val="right"/>
              <w:rPr>
                <w:sz w:val="20"/>
                <w:szCs w:val="20"/>
              </w:rPr>
            </w:pPr>
            <w:r>
              <w:rPr>
                <w:color w:val="000000"/>
                <w:sz w:val="20"/>
              </w:rPr>
              <w:t>15.000</w:t>
            </w:r>
          </w:p>
        </w:tc>
      </w:tr>
      <w:tr w:rsidR="002B737E" w:rsidRPr="002B737E" w14:paraId="3B11C818" w14:textId="77777777" w:rsidTr="00D6757B">
        <w:trPr>
          <w:trHeight w:val="230"/>
        </w:trPr>
        <w:tc>
          <w:tcPr>
            <w:tcW w:w="6941" w:type="dxa"/>
          </w:tcPr>
          <w:p w14:paraId="35C72854" w14:textId="47673F7D" w:rsidR="002B737E" w:rsidRPr="00415344" w:rsidRDefault="002B737E" w:rsidP="002B737E">
            <w:pPr>
              <w:jc w:val="left"/>
              <w:rPr>
                <w:sz w:val="20"/>
                <w:szCs w:val="20"/>
              </w:rPr>
            </w:pPr>
            <w:r>
              <w:rPr>
                <w:sz w:val="20"/>
              </w:rPr>
              <w:t>Celebrar 30 sesiones de capacitación para 450 técnicos de refrigeración y aire acondicionado, incluidas 45 mujeres, sobre buenas prácticas de servicios y la introducción segura de alternativas a los HCFC, como los HC.</w:t>
            </w:r>
          </w:p>
        </w:tc>
        <w:tc>
          <w:tcPr>
            <w:tcW w:w="992" w:type="dxa"/>
          </w:tcPr>
          <w:p w14:paraId="3463016C" w14:textId="23AED417" w:rsidR="002B737E" w:rsidRPr="00576C61" w:rsidRDefault="002B737E" w:rsidP="002B737E">
            <w:pPr>
              <w:jc w:val="right"/>
              <w:rPr>
                <w:sz w:val="20"/>
                <w:szCs w:val="20"/>
              </w:rPr>
            </w:pPr>
            <w:r>
              <w:rPr>
                <w:sz w:val="20"/>
              </w:rPr>
              <w:t>120.000</w:t>
            </w:r>
          </w:p>
        </w:tc>
        <w:tc>
          <w:tcPr>
            <w:tcW w:w="1447" w:type="dxa"/>
          </w:tcPr>
          <w:p w14:paraId="553A5D15" w14:textId="4E1D6856" w:rsidR="002B737E" w:rsidRPr="00576C61" w:rsidRDefault="002B737E" w:rsidP="002B737E">
            <w:pPr>
              <w:jc w:val="right"/>
              <w:rPr>
                <w:sz w:val="20"/>
                <w:szCs w:val="20"/>
              </w:rPr>
            </w:pPr>
            <w:r>
              <w:rPr>
                <w:color w:val="000000"/>
                <w:sz w:val="20"/>
              </w:rPr>
              <w:t>45.000</w:t>
            </w:r>
          </w:p>
        </w:tc>
      </w:tr>
      <w:tr w:rsidR="002B737E" w:rsidRPr="002B737E" w14:paraId="2BF72695" w14:textId="77777777" w:rsidTr="00236069">
        <w:trPr>
          <w:trHeight w:val="158"/>
        </w:trPr>
        <w:tc>
          <w:tcPr>
            <w:tcW w:w="6941" w:type="dxa"/>
          </w:tcPr>
          <w:p w14:paraId="6B5D0BD2" w14:textId="40BAC0DD" w:rsidR="002B737E" w:rsidRPr="00576C61" w:rsidRDefault="00531114" w:rsidP="00B826DB">
            <w:pPr>
              <w:jc w:val="left"/>
              <w:rPr>
                <w:sz w:val="20"/>
                <w:szCs w:val="20"/>
              </w:rPr>
            </w:pPr>
            <w:r>
              <w:rPr>
                <w:sz w:val="20"/>
              </w:rPr>
              <w:t>Fortalecer la ATR mediante la organización de reuniones anuales, prestar apoyo a la escuela de formación profesional de refrigeración y aire acondicionado a través del suministro de herramientas y equipos,</w:t>
            </w:r>
            <w:r w:rsidR="009A463A">
              <w:rPr>
                <w:rFonts w:ascii="ZWAdobeF" w:hAnsi="ZWAdobeF" w:cs="ZWAdobeF"/>
                <w:sz w:val="2"/>
                <w:szCs w:val="2"/>
              </w:rPr>
              <w:t>4F</w:t>
            </w:r>
            <w:r w:rsidR="008923DA">
              <w:rPr>
                <w:rFonts w:ascii="ZWAdobeF" w:hAnsi="ZWAdobeF" w:cs="ZWAdobeF"/>
                <w:sz w:val="2"/>
                <w:szCs w:val="2"/>
              </w:rPr>
              <w:t>4F</w:t>
            </w:r>
            <w:r w:rsidR="00825471" w:rsidRPr="00576C61">
              <w:rPr>
                <w:rStyle w:val="FootnoteReference"/>
                <w:sz w:val="20"/>
                <w:szCs w:val="20"/>
              </w:rPr>
              <w:footnoteReference w:id="6"/>
            </w:r>
            <w:r>
              <w:rPr>
                <w:sz w:val="20"/>
              </w:rPr>
              <w:t xml:space="preserve"> y capacitar a 15 expertos en refrigeración y aire acondicionado, incluida una mujer por grupo, sobre el uso de los equipos suministrados.</w:t>
            </w:r>
          </w:p>
        </w:tc>
        <w:tc>
          <w:tcPr>
            <w:tcW w:w="992" w:type="dxa"/>
          </w:tcPr>
          <w:p w14:paraId="6B9B5D90" w14:textId="57B2BAF1" w:rsidR="002B737E" w:rsidRPr="00576C61" w:rsidRDefault="00F84924" w:rsidP="002B737E">
            <w:pPr>
              <w:jc w:val="right"/>
              <w:rPr>
                <w:sz w:val="20"/>
                <w:szCs w:val="20"/>
              </w:rPr>
            </w:pPr>
            <w:r>
              <w:rPr>
                <w:sz w:val="20"/>
              </w:rPr>
              <w:t>40.000</w:t>
            </w:r>
          </w:p>
        </w:tc>
        <w:tc>
          <w:tcPr>
            <w:tcW w:w="1447" w:type="dxa"/>
          </w:tcPr>
          <w:p w14:paraId="42615B44" w14:textId="7EBAA5B6" w:rsidR="002B737E" w:rsidRPr="00576C61" w:rsidRDefault="00F84924" w:rsidP="002B737E">
            <w:pPr>
              <w:jc w:val="right"/>
              <w:rPr>
                <w:sz w:val="20"/>
                <w:szCs w:val="20"/>
              </w:rPr>
            </w:pPr>
            <w:r>
              <w:rPr>
                <w:color w:val="000000"/>
                <w:sz w:val="20"/>
              </w:rPr>
              <w:t>40.000</w:t>
            </w:r>
          </w:p>
        </w:tc>
      </w:tr>
      <w:tr w:rsidR="002B737E" w:rsidRPr="002B737E" w14:paraId="01B28FBD" w14:textId="77777777" w:rsidTr="00236069">
        <w:trPr>
          <w:trHeight w:val="204"/>
        </w:trPr>
        <w:tc>
          <w:tcPr>
            <w:tcW w:w="6941" w:type="dxa"/>
          </w:tcPr>
          <w:p w14:paraId="70897862" w14:textId="5A1E9EC0" w:rsidR="00900683" w:rsidRPr="00576C61" w:rsidRDefault="001E0868" w:rsidP="00654222">
            <w:pPr>
              <w:jc w:val="left"/>
              <w:rPr>
                <w:sz w:val="20"/>
                <w:szCs w:val="20"/>
              </w:rPr>
            </w:pPr>
            <w:r>
              <w:rPr>
                <w:sz w:val="20"/>
              </w:rPr>
              <w:t>Realizar actividades de sensibilización para promover el sector de refrigeración y aire acondicionado entre mujeres jóvenes.</w:t>
            </w:r>
          </w:p>
        </w:tc>
        <w:tc>
          <w:tcPr>
            <w:tcW w:w="992" w:type="dxa"/>
          </w:tcPr>
          <w:p w14:paraId="64DC3F69" w14:textId="44AF1428" w:rsidR="002B737E" w:rsidRPr="00576C61" w:rsidRDefault="000C7B43" w:rsidP="002B737E">
            <w:pPr>
              <w:jc w:val="right"/>
              <w:rPr>
                <w:sz w:val="20"/>
                <w:szCs w:val="20"/>
              </w:rPr>
            </w:pPr>
            <w:r>
              <w:rPr>
                <w:sz w:val="20"/>
              </w:rPr>
              <w:t>30.000</w:t>
            </w:r>
          </w:p>
        </w:tc>
        <w:tc>
          <w:tcPr>
            <w:tcW w:w="1447" w:type="dxa"/>
          </w:tcPr>
          <w:p w14:paraId="70798A11" w14:textId="59E96137" w:rsidR="002B737E" w:rsidRPr="00576C61" w:rsidRDefault="0011192E" w:rsidP="002B737E">
            <w:pPr>
              <w:jc w:val="right"/>
              <w:rPr>
                <w:sz w:val="20"/>
                <w:szCs w:val="20"/>
              </w:rPr>
            </w:pPr>
            <w:r>
              <w:rPr>
                <w:color w:val="000000"/>
                <w:sz w:val="20"/>
              </w:rPr>
              <w:t>15.000</w:t>
            </w:r>
          </w:p>
        </w:tc>
      </w:tr>
      <w:tr w:rsidR="003C62E2" w:rsidRPr="002B737E" w14:paraId="24D29D09" w14:textId="77777777" w:rsidTr="003C62E2">
        <w:trPr>
          <w:trHeight w:val="179"/>
        </w:trPr>
        <w:tc>
          <w:tcPr>
            <w:tcW w:w="6941" w:type="dxa"/>
          </w:tcPr>
          <w:p w14:paraId="2FDDA64F" w14:textId="7911808A" w:rsidR="003C62E2" w:rsidRPr="002B737E" w:rsidRDefault="003C62E2" w:rsidP="003C62E2">
            <w:pPr>
              <w:jc w:val="right"/>
              <w:rPr>
                <w:sz w:val="20"/>
                <w:szCs w:val="20"/>
              </w:rPr>
            </w:pPr>
            <w:r>
              <w:rPr>
                <w:b/>
                <w:sz w:val="20"/>
              </w:rPr>
              <w:t xml:space="preserve">Subtotal </w:t>
            </w:r>
          </w:p>
        </w:tc>
        <w:tc>
          <w:tcPr>
            <w:tcW w:w="992" w:type="dxa"/>
          </w:tcPr>
          <w:p w14:paraId="6541F672" w14:textId="177A734C" w:rsidR="003C62E2" w:rsidRPr="00576C61" w:rsidRDefault="00021CD6" w:rsidP="003C62E2">
            <w:pPr>
              <w:jc w:val="right"/>
              <w:rPr>
                <w:b/>
                <w:bCs/>
                <w:sz w:val="20"/>
                <w:szCs w:val="20"/>
              </w:rPr>
            </w:pPr>
            <w:r>
              <w:rPr>
                <w:b/>
                <w:sz w:val="20"/>
              </w:rPr>
              <w:t>265.000</w:t>
            </w:r>
          </w:p>
        </w:tc>
        <w:tc>
          <w:tcPr>
            <w:tcW w:w="1447" w:type="dxa"/>
          </w:tcPr>
          <w:p w14:paraId="2E9853C6" w14:textId="43390621" w:rsidR="003C62E2" w:rsidRPr="00576C61" w:rsidRDefault="00021CD6" w:rsidP="003C62E2">
            <w:pPr>
              <w:jc w:val="right"/>
              <w:rPr>
                <w:b/>
                <w:bCs/>
                <w:sz w:val="20"/>
                <w:szCs w:val="20"/>
              </w:rPr>
            </w:pPr>
            <w:r>
              <w:rPr>
                <w:b/>
                <w:sz w:val="20"/>
              </w:rPr>
              <w:t>160.000</w:t>
            </w:r>
          </w:p>
        </w:tc>
      </w:tr>
      <w:tr w:rsidR="003C62E2" w:rsidRPr="002B737E" w14:paraId="3F2D4AB7" w14:textId="77777777" w:rsidTr="00E55475">
        <w:trPr>
          <w:trHeight w:val="224"/>
        </w:trPr>
        <w:tc>
          <w:tcPr>
            <w:tcW w:w="9380" w:type="dxa"/>
            <w:gridSpan w:val="3"/>
          </w:tcPr>
          <w:p w14:paraId="3819570C" w14:textId="64BEF09D" w:rsidR="003C62E2" w:rsidRPr="00576C61" w:rsidRDefault="00E55475" w:rsidP="00E55475">
            <w:pPr>
              <w:tabs>
                <w:tab w:val="left" w:pos="3960"/>
              </w:tabs>
              <w:rPr>
                <w:b/>
                <w:bCs/>
                <w:sz w:val="20"/>
                <w:szCs w:val="20"/>
              </w:rPr>
            </w:pPr>
            <w:r>
              <w:rPr>
                <w:b/>
                <w:sz w:val="20"/>
              </w:rPr>
              <w:t>Componente 3: Coordinación, evaluación, supervisión y comunicación del proyecto</w:t>
            </w:r>
          </w:p>
        </w:tc>
      </w:tr>
      <w:tr w:rsidR="003C62E2" w:rsidRPr="002B737E" w14:paraId="010C0CD4" w14:textId="77777777" w:rsidTr="00236069">
        <w:trPr>
          <w:trHeight w:val="270"/>
        </w:trPr>
        <w:tc>
          <w:tcPr>
            <w:tcW w:w="6941" w:type="dxa"/>
          </w:tcPr>
          <w:p w14:paraId="3B2CE633" w14:textId="67AD164C" w:rsidR="003C62E2" w:rsidRPr="002B737E" w:rsidRDefault="004C5693" w:rsidP="003C62E2">
            <w:pPr>
              <w:jc w:val="left"/>
              <w:rPr>
                <w:sz w:val="20"/>
                <w:szCs w:val="20"/>
              </w:rPr>
            </w:pPr>
            <w:r>
              <w:rPr>
                <w:sz w:val="20"/>
              </w:rPr>
              <w:t xml:space="preserve">Actividades de gestión del proyecto (véase la sección 20) </w:t>
            </w:r>
          </w:p>
        </w:tc>
        <w:tc>
          <w:tcPr>
            <w:tcW w:w="992" w:type="dxa"/>
          </w:tcPr>
          <w:p w14:paraId="4487F656" w14:textId="05C74C78" w:rsidR="003C62E2" w:rsidRPr="00576C61" w:rsidRDefault="00021CD6" w:rsidP="003C62E2">
            <w:pPr>
              <w:jc w:val="right"/>
              <w:rPr>
                <w:sz w:val="20"/>
                <w:szCs w:val="20"/>
              </w:rPr>
            </w:pPr>
            <w:r>
              <w:rPr>
                <w:sz w:val="20"/>
              </w:rPr>
              <w:t>38.000</w:t>
            </w:r>
          </w:p>
        </w:tc>
        <w:tc>
          <w:tcPr>
            <w:tcW w:w="1447" w:type="dxa"/>
          </w:tcPr>
          <w:p w14:paraId="2F0229D8" w14:textId="64F0235B" w:rsidR="003C62E2" w:rsidRPr="00576C61" w:rsidRDefault="00933757" w:rsidP="003C62E2">
            <w:pPr>
              <w:jc w:val="right"/>
              <w:rPr>
                <w:sz w:val="20"/>
                <w:szCs w:val="20"/>
              </w:rPr>
            </w:pPr>
            <w:r>
              <w:rPr>
                <w:sz w:val="20"/>
              </w:rPr>
              <w:t>13.000</w:t>
            </w:r>
          </w:p>
        </w:tc>
      </w:tr>
      <w:tr w:rsidR="00933757" w:rsidRPr="002B737E" w14:paraId="70221242" w14:textId="77777777" w:rsidTr="004C5693">
        <w:trPr>
          <w:trHeight w:val="235"/>
        </w:trPr>
        <w:tc>
          <w:tcPr>
            <w:tcW w:w="6941" w:type="dxa"/>
          </w:tcPr>
          <w:p w14:paraId="63E1BC3A" w14:textId="39E8BA5F" w:rsidR="00933757" w:rsidRPr="002B737E" w:rsidRDefault="00933757" w:rsidP="00933757">
            <w:pPr>
              <w:jc w:val="right"/>
              <w:rPr>
                <w:sz w:val="20"/>
                <w:szCs w:val="20"/>
              </w:rPr>
            </w:pPr>
            <w:r>
              <w:rPr>
                <w:b/>
                <w:sz w:val="20"/>
              </w:rPr>
              <w:t>Subtotal</w:t>
            </w:r>
          </w:p>
        </w:tc>
        <w:tc>
          <w:tcPr>
            <w:tcW w:w="992" w:type="dxa"/>
          </w:tcPr>
          <w:p w14:paraId="65FEE4FE" w14:textId="396A4A4D" w:rsidR="00933757" w:rsidRPr="00576C61" w:rsidRDefault="00933757" w:rsidP="00933757">
            <w:pPr>
              <w:jc w:val="right"/>
              <w:rPr>
                <w:b/>
                <w:bCs/>
                <w:sz w:val="20"/>
                <w:szCs w:val="20"/>
              </w:rPr>
            </w:pPr>
            <w:r>
              <w:rPr>
                <w:b/>
                <w:sz w:val="20"/>
              </w:rPr>
              <w:t>38.000</w:t>
            </w:r>
          </w:p>
        </w:tc>
        <w:tc>
          <w:tcPr>
            <w:tcW w:w="1447" w:type="dxa"/>
          </w:tcPr>
          <w:p w14:paraId="7EA3E200" w14:textId="0BA3F8B1" w:rsidR="00933757" w:rsidRPr="00576C61" w:rsidRDefault="00933757" w:rsidP="00933757">
            <w:pPr>
              <w:jc w:val="right"/>
              <w:rPr>
                <w:b/>
                <w:bCs/>
                <w:sz w:val="20"/>
                <w:szCs w:val="20"/>
              </w:rPr>
            </w:pPr>
            <w:r>
              <w:rPr>
                <w:b/>
                <w:sz w:val="20"/>
              </w:rPr>
              <w:t>13.000</w:t>
            </w:r>
          </w:p>
        </w:tc>
      </w:tr>
      <w:tr w:rsidR="003C62E2" w:rsidRPr="002B737E" w14:paraId="2586C118" w14:textId="77777777" w:rsidTr="004E7BB0">
        <w:trPr>
          <w:trHeight w:val="177"/>
        </w:trPr>
        <w:tc>
          <w:tcPr>
            <w:tcW w:w="6941" w:type="dxa"/>
          </w:tcPr>
          <w:p w14:paraId="7D4D0BB9" w14:textId="5B64DAE6" w:rsidR="003C62E2" w:rsidRPr="002B737E" w:rsidRDefault="004C5693" w:rsidP="003C62E2">
            <w:pPr>
              <w:shd w:val="clear" w:color="auto" w:fill="FFFFFF" w:themeFill="background1"/>
              <w:jc w:val="left"/>
              <w:rPr>
                <w:b/>
                <w:bCs/>
                <w:sz w:val="20"/>
                <w:szCs w:val="20"/>
              </w:rPr>
            </w:pPr>
            <w:r>
              <w:rPr>
                <w:b/>
                <w:sz w:val="20"/>
              </w:rPr>
              <w:t xml:space="preserve">Total </w:t>
            </w:r>
          </w:p>
        </w:tc>
        <w:tc>
          <w:tcPr>
            <w:tcW w:w="992" w:type="dxa"/>
          </w:tcPr>
          <w:p w14:paraId="7D649598" w14:textId="2FD058D3" w:rsidR="003C62E2" w:rsidRPr="00576C61" w:rsidRDefault="00282E22" w:rsidP="003C62E2">
            <w:pPr>
              <w:shd w:val="clear" w:color="auto" w:fill="FFFFFF" w:themeFill="background1"/>
              <w:jc w:val="right"/>
              <w:rPr>
                <w:sz w:val="20"/>
                <w:szCs w:val="20"/>
              </w:rPr>
            </w:pPr>
            <w:r>
              <w:rPr>
                <w:sz w:val="20"/>
              </w:rPr>
              <w:t>423.000</w:t>
            </w:r>
          </w:p>
        </w:tc>
        <w:tc>
          <w:tcPr>
            <w:tcW w:w="1447" w:type="dxa"/>
          </w:tcPr>
          <w:p w14:paraId="16CBDA6A" w14:textId="7DFA3D17" w:rsidR="003C62E2" w:rsidRPr="00576C61" w:rsidRDefault="00282E22" w:rsidP="003C62E2">
            <w:pPr>
              <w:shd w:val="clear" w:color="auto" w:fill="FFFFFF" w:themeFill="background1"/>
              <w:jc w:val="right"/>
              <w:rPr>
                <w:sz w:val="20"/>
                <w:szCs w:val="20"/>
              </w:rPr>
            </w:pPr>
            <w:r>
              <w:rPr>
                <w:sz w:val="20"/>
              </w:rPr>
              <w:t>263.000</w:t>
            </w:r>
          </w:p>
        </w:tc>
      </w:tr>
    </w:tbl>
    <w:p w14:paraId="7DCF43D8" w14:textId="7E03810E" w:rsidR="00563DA8" w:rsidRPr="00F42294" w:rsidRDefault="00563DA8" w:rsidP="004A4122">
      <w:pPr>
        <w:keepNext/>
        <w:spacing w:before="240" w:after="240"/>
        <w:rPr>
          <w:i/>
          <w:iCs/>
        </w:rPr>
      </w:pPr>
      <w:bookmarkStart w:id="12" w:name="_Hlk126915749"/>
      <w:bookmarkEnd w:id="8"/>
      <w:r>
        <w:rPr>
          <w:i/>
        </w:rPr>
        <w:t>Ejecución y seguimiento de proyectos</w:t>
      </w:r>
    </w:p>
    <w:bookmarkEnd w:id="12"/>
    <w:p w14:paraId="7E164CAE" w14:textId="6B23B5D6" w:rsidR="00563DA8" w:rsidRPr="00996241" w:rsidRDefault="00563DA8" w:rsidP="004A4122">
      <w:pPr>
        <w:pStyle w:val="Heading1"/>
      </w:pPr>
      <w:r>
        <w:t xml:space="preserve">El sistema establecido en el marco de la etapa I del PGEH continuará en la </w:t>
      </w:r>
      <w:bookmarkStart w:id="13" w:name="_Hlk125636825"/>
      <w:r>
        <w:t>etapa</w:t>
      </w:r>
      <w:bookmarkEnd w:id="13"/>
      <w:r w:rsidR="00307D86">
        <w:rPr>
          <w:b/>
        </w:rPr>
        <w:t> </w:t>
      </w:r>
      <w:r>
        <w:t>II y la Dependencia Nacional del Ozono supervisará las actividades, informará sobre los progresos realizados y trabajará con las partes interesadas para la eliminación de HCFC. El costo de esas actividades asciende a USD</w:t>
      </w:r>
      <w:r w:rsidR="00307D86">
        <w:rPr>
          <w:b/>
        </w:rPr>
        <w:t> </w:t>
      </w:r>
      <w:r>
        <w:t>38.000, incluidos personal y consultores del proyecto (USD</w:t>
      </w:r>
      <w:r w:rsidR="00307D86">
        <w:rPr>
          <w:b/>
        </w:rPr>
        <w:t> </w:t>
      </w:r>
      <w:r>
        <w:t>28.000), viajes nacionales (USD</w:t>
      </w:r>
      <w:r w:rsidR="00307D86">
        <w:rPr>
          <w:b/>
        </w:rPr>
        <w:t> </w:t>
      </w:r>
      <w:r>
        <w:t>5.000) y reuniones y talleres (USD</w:t>
      </w:r>
      <w:r w:rsidR="00307D86">
        <w:rPr>
          <w:b/>
        </w:rPr>
        <w:t> </w:t>
      </w:r>
      <w:r>
        <w:t>5.000).</w:t>
      </w:r>
    </w:p>
    <w:p w14:paraId="2C318B25" w14:textId="4A093247" w:rsidR="00563DA8" w:rsidRPr="00996241" w:rsidRDefault="00563DA8" w:rsidP="004A4122">
      <w:pPr>
        <w:keepNext/>
        <w:spacing w:after="240"/>
        <w:outlineLvl w:val="0"/>
        <w:rPr>
          <w:u w:val="single"/>
        </w:rPr>
      </w:pPr>
      <w:bookmarkStart w:id="14" w:name="_Hlk126915819"/>
      <w:r>
        <w:rPr>
          <w:u w:val="single"/>
        </w:rPr>
        <w:t>Costo total de la etapa</w:t>
      </w:r>
      <w:r w:rsidR="00307D86">
        <w:rPr>
          <w:b/>
        </w:rPr>
        <w:t> </w:t>
      </w:r>
      <w:r>
        <w:rPr>
          <w:u w:val="single"/>
        </w:rPr>
        <w:t>II del plan de gestión de eliminación de los HCFC</w:t>
      </w:r>
    </w:p>
    <w:bookmarkEnd w:id="14"/>
    <w:p w14:paraId="5050C039" w14:textId="70C7BB03" w:rsidR="00471BDE" w:rsidRDefault="00563DA8" w:rsidP="00471BDE">
      <w:pPr>
        <w:pStyle w:val="Heading1"/>
      </w:pPr>
      <w:r>
        <w:t>El coste total de la etapa</w:t>
      </w:r>
      <w:r w:rsidR="00307D86">
        <w:rPr>
          <w:b/>
        </w:rPr>
        <w:t> </w:t>
      </w:r>
      <w:r>
        <w:t>II del PGEH de Djibouti se ha estimado en USD</w:t>
      </w:r>
      <w:r w:rsidR="00307D86">
        <w:rPr>
          <w:b/>
        </w:rPr>
        <w:t> </w:t>
      </w:r>
      <w:r>
        <w:t>423.000 (más los gastos de apoyo al organismo), tal como se presentó inicialmente, con el objetivo de alcanzar un 100</w:t>
      </w:r>
      <w:r w:rsidR="00307D86">
        <w:rPr>
          <w:b/>
        </w:rPr>
        <w:t> </w:t>
      </w:r>
      <w:r>
        <w:t>por ciento de reducción para 2030. En el cuadro 3 se resumen las actividades propuestas con su desglose de costes</w:t>
      </w:r>
      <w:bookmarkStart w:id="15" w:name="_Hlk126915832"/>
      <w:r>
        <w:t>.</w:t>
      </w:r>
    </w:p>
    <w:p w14:paraId="3AF9BE3A" w14:textId="6517808F" w:rsidR="00563DA8" w:rsidRDefault="00563DA8" w:rsidP="00D240C8">
      <w:pPr>
        <w:pStyle w:val="Heading1"/>
        <w:keepNext/>
        <w:numPr>
          <w:ilvl w:val="0"/>
          <w:numId w:val="0"/>
        </w:numPr>
        <w:rPr>
          <w:u w:val="single"/>
        </w:rPr>
      </w:pPr>
      <w:r>
        <w:rPr>
          <w:u w:val="single"/>
        </w:rPr>
        <w:t>Plan de ejecución para el primer tramo de la etapa</w:t>
      </w:r>
      <w:r w:rsidR="00307D86">
        <w:rPr>
          <w:b/>
        </w:rPr>
        <w:t> </w:t>
      </w:r>
      <w:r>
        <w:rPr>
          <w:u w:val="single"/>
        </w:rPr>
        <w:t>II del plan de gestión de eliminación de los HCFC</w:t>
      </w:r>
    </w:p>
    <w:p w14:paraId="164CEAA2" w14:textId="5D409BF9" w:rsidR="0092211E" w:rsidRPr="00B265D6" w:rsidRDefault="0092211E" w:rsidP="009837C2">
      <w:pPr>
        <w:pStyle w:val="Heading1"/>
      </w:pPr>
      <w:r>
        <w:t>El primer tramo de financiación de la etapa</w:t>
      </w:r>
      <w:r w:rsidR="00307D86">
        <w:rPr>
          <w:b/>
        </w:rPr>
        <w:t> </w:t>
      </w:r>
      <w:r>
        <w:t>II del PGEH, por un valor total de USD</w:t>
      </w:r>
      <w:r w:rsidR="00307D86">
        <w:rPr>
          <w:b/>
        </w:rPr>
        <w:t> </w:t>
      </w:r>
      <w:r>
        <w:t>263.000, tal como se presentó inicialmente, se ejecutará entre enero de 2026 y diciembre de 2027. En las secciones 29 a 32 se presenta información detallada sobre las actividades incluidas en el primer tramo, indicando los ajustes realizados y el nivel de financiación acordado.</w:t>
      </w:r>
    </w:p>
    <w:p w14:paraId="1559B224" w14:textId="77777777" w:rsidR="00563DA8" w:rsidRPr="003A210E" w:rsidRDefault="00563DA8" w:rsidP="003D1E98">
      <w:pPr>
        <w:keepNext/>
        <w:spacing w:before="360" w:after="240"/>
        <w:jc w:val="center"/>
        <w:rPr>
          <w:b/>
        </w:rPr>
      </w:pPr>
      <w:bookmarkStart w:id="16" w:name="_Hlk126916095"/>
      <w:bookmarkEnd w:id="15"/>
      <w:r>
        <w:rPr>
          <w:b/>
        </w:rPr>
        <w:t>OBSERVACIONES Y RECOMENDACIÓN DE LA SECRETARÍA</w:t>
      </w:r>
    </w:p>
    <w:p w14:paraId="2D13BBBD" w14:textId="77777777" w:rsidR="00563DA8" w:rsidRPr="003A210E" w:rsidRDefault="00563DA8" w:rsidP="004A4122">
      <w:pPr>
        <w:spacing w:after="240"/>
        <w:rPr>
          <w:b/>
        </w:rPr>
      </w:pPr>
      <w:r>
        <w:rPr>
          <w:b/>
        </w:rPr>
        <w:t>OBSERVACIONES</w:t>
      </w:r>
    </w:p>
    <w:bookmarkEnd w:id="16"/>
    <w:p w14:paraId="3EF0D874" w14:textId="72191CC3" w:rsidR="00BC3849" w:rsidRDefault="00563DA8" w:rsidP="0055240E">
      <w:pPr>
        <w:pStyle w:val="Heading1"/>
      </w:pPr>
      <w:r>
        <w:t>La Secretaría ha revisado la etapa</w:t>
      </w:r>
      <w:r w:rsidR="00307D86">
        <w:rPr>
          <w:b/>
        </w:rPr>
        <w:t> </w:t>
      </w:r>
      <w:r>
        <w:t>II del PGEH teniendo en cuenta la etapa</w:t>
      </w:r>
      <w:r w:rsidR="00307D86">
        <w:rPr>
          <w:b/>
        </w:rPr>
        <w:t> </w:t>
      </w:r>
      <w:r>
        <w:t xml:space="preserve">I, las políticas y las directrices del Fondo Multilateral, incluidos los criterios para financiar la eliminación de los HCFC en el </w:t>
      </w:r>
      <w:r>
        <w:lastRenderedPageBreak/>
        <w:t>sector de consumo en la etapa</w:t>
      </w:r>
      <w:r w:rsidR="00307D86">
        <w:rPr>
          <w:b/>
        </w:rPr>
        <w:t> </w:t>
      </w:r>
      <w:r>
        <w:t>II del PGEH (decisiones 74/50 y 90/31) y el plan administrativo del Fondo Multilateral para el período 2025-2027.</w:t>
      </w:r>
      <w:bookmarkStart w:id="17" w:name="_Hlk126916105"/>
    </w:p>
    <w:p w14:paraId="0E2A71CB" w14:textId="5F8F381E" w:rsidR="005C5C69" w:rsidRDefault="005C5C69" w:rsidP="005C5C69">
      <w:pPr>
        <w:rPr>
          <w:u w:val="single"/>
        </w:rPr>
      </w:pPr>
      <w:r>
        <w:rPr>
          <w:u w:val="single"/>
        </w:rPr>
        <w:t>Informe de verificación</w:t>
      </w:r>
    </w:p>
    <w:p w14:paraId="33358E8C" w14:textId="77777777" w:rsidR="005C5C69" w:rsidRPr="00BB388B" w:rsidRDefault="005C5C69" w:rsidP="00BB388B">
      <w:pPr>
        <w:rPr>
          <w:u w:val="single"/>
        </w:rPr>
      </w:pPr>
    </w:p>
    <w:p w14:paraId="1F5EACA1" w14:textId="41D81D28" w:rsidR="00C163A6" w:rsidRPr="00576C61" w:rsidRDefault="00C163A6" w:rsidP="00EF1D96">
      <w:pPr>
        <w:pStyle w:val="Heading1"/>
        <w:keepNext/>
        <w:rPr>
          <w:u w:val="single"/>
        </w:rPr>
      </w:pPr>
      <w:r>
        <w:t>La Secretaría observó que la verificación había concluido que Djibouti había puesto en práctica un sistema fiable de concesión de licencias y cupos para controlar las SAO, incluidos los HCFC, y el PNUMA confirmó que las recomendaciones, incluida la de establecer un sistema de supervisión en línea de los cupos anuales, se aplicarían durante la etapa</w:t>
      </w:r>
      <w:r w:rsidR="00307D86">
        <w:rPr>
          <w:b/>
        </w:rPr>
        <w:t> </w:t>
      </w:r>
      <w:r>
        <w:t>II del PGEH.</w:t>
      </w:r>
    </w:p>
    <w:p w14:paraId="0BE58052" w14:textId="4AB5111F" w:rsidR="00563DA8" w:rsidRPr="00C163A6" w:rsidRDefault="00563DA8" w:rsidP="00C163A6">
      <w:pPr>
        <w:pStyle w:val="Heading1"/>
        <w:keepNext/>
        <w:numPr>
          <w:ilvl w:val="0"/>
          <w:numId w:val="0"/>
        </w:numPr>
        <w:rPr>
          <w:u w:val="single"/>
        </w:rPr>
      </w:pPr>
      <w:r>
        <w:rPr>
          <w:u w:val="single"/>
        </w:rPr>
        <w:t>Estrategia general</w:t>
      </w:r>
    </w:p>
    <w:bookmarkEnd w:id="17"/>
    <w:p w14:paraId="085A0D22" w14:textId="5785B786" w:rsidR="0035115A" w:rsidRPr="003A210E" w:rsidRDefault="00563DA8" w:rsidP="00C455AA">
      <w:pPr>
        <w:pStyle w:val="Heading1"/>
      </w:pPr>
      <w:r>
        <w:t>El Gobierno de Djibouti propone cumplir el 100 por ciento de reducción de su nivel básico de consumo de HCFC para 2030 y mantener un consumo anual máximo de HCFC durante el período de 2030 a 2040 en consonancia con el párrafo 8 ter. e) i) del Artículo</w:t>
      </w:r>
      <w:r w:rsidR="00307D86">
        <w:rPr>
          <w:b/>
        </w:rPr>
        <w:t> </w:t>
      </w:r>
      <w:r>
        <w:t>5 del Protocolo de Montreal.</w:t>
      </w:r>
      <w:r w:rsidR="009A463A">
        <w:rPr>
          <w:rFonts w:ascii="ZWAdobeF" w:hAnsi="ZWAdobeF" w:cs="ZWAdobeF"/>
          <w:sz w:val="2"/>
          <w:szCs w:val="2"/>
        </w:rPr>
        <w:t>5F</w:t>
      </w:r>
      <w:r w:rsidR="008923DA">
        <w:rPr>
          <w:rFonts w:ascii="ZWAdobeF" w:hAnsi="ZWAdobeF" w:cs="ZWAdobeF"/>
          <w:sz w:val="2"/>
          <w:szCs w:val="2"/>
        </w:rPr>
        <w:t>5F</w:t>
      </w:r>
      <w:r w:rsidRPr="003A210E">
        <w:rPr>
          <w:vertAlign w:val="superscript"/>
        </w:rPr>
        <w:footnoteReference w:id="7"/>
      </w:r>
      <w:r>
        <w:t xml:space="preserve"> El Gobierno se compromete a seguir estableciendo estrictos métodos de importación y control para supervisar los niveles de importación y los usos de HCFC durante ese período con el fin de asegurar que se limiten a las condiciones establecidas por el Protocolo de Montreal. </w:t>
      </w:r>
    </w:p>
    <w:p w14:paraId="29B191FB" w14:textId="79998595" w:rsidR="00563DA8" w:rsidRDefault="00563DA8" w:rsidP="004A4122">
      <w:pPr>
        <w:pStyle w:val="Heading1"/>
        <w:spacing w:after="0"/>
      </w:pPr>
      <w:r>
        <w:t>De conformidad con la decisión 86/51, para permitir el examen del tramo final de su PGEH, el Gobierno de Djibouti convino en presentar una descripción detallada del marco normativo y de políticas para aplicar medidas destinadas a garantizar que el consumo de HCFC sea conforme con el apartado 8 ter. e) i) del Artículo</w:t>
      </w:r>
      <w:r w:rsidR="00307D86">
        <w:rPr>
          <w:b/>
        </w:rPr>
        <w:t> </w:t>
      </w:r>
      <w:r>
        <w:t>5 del Protocolo de Montreal para el período 2030-2040, y el consumo anual previsto de HCFC de Djibouti para el período 2030-2040.</w:t>
      </w:r>
    </w:p>
    <w:p w14:paraId="471EFBC1" w14:textId="77777777" w:rsidR="00D0663F" w:rsidRDefault="00D0663F" w:rsidP="00D0663F"/>
    <w:p w14:paraId="1C3A1A22" w14:textId="0122B563" w:rsidR="00563DA8" w:rsidRPr="00576C61" w:rsidRDefault="00563DA8" w:rsidP="00541F64">
      <w:pPr>
        <w:pStyle w:val="Heading1"/>
        <w:numPr>
          <w:ilvl w:val="0"/>
          <w:numId w:val="0"/>
        </w:numPr>
      </w:pPr>
      <w:bookmarkStart w:id="18" w:name="_Hlk126916111"/>
      <w:r>
        <w:rPr>
          <w:u w:val="single"/>
        </w:rPr>
        <w:t>Marco jurídico</w:t>
      </w:r>
      <w:r>
        <w:t xml:space="preserve"> </w:t>
      </w:r>
    </w:p>
    <w:p w14:paraId="01328231" w14:textId="48931325" w:rsidR="00647A10" w:rsidRPr="00576C61" w:rsidRDefault="00691414" w:rsidP="009B74DB">
      <w:pPr>
        <w:pStyle w:val="Heading1"/>
      </w:pPr>
      <w:r>
        <w:t xml:space="preserve">La Secretaría solicitó una descripción del marco normativo del país, ya que en la presentación solo se había mencionado un decreto. </w:t>
      </w:r>
      <w:bookmarkStart w:id="19" w:name="_Hlk211803561"/>
      <w:r>
        <w:t xml:space="preserve">El PNUMA confirmó que el </w:t>
      </w:r>
      <w:bookmarkStart w:id="20" w:name="_Hlk210995621"/>
      <w:r>
        <w:t>Decreto 2004-0066 de 2004</w:t>
      </w:r>
      <w:bookmarkEnd w:id="20"/>
      <w:r>
        <w:t xml:space="preserve"> estaba siendo revisado para incluir </w:t>
      </w:r>
      <w:bookmarkStart w:id="21" w:name="_Hlk210995646"/>
      <w:r>
        <w:t>una prohibición de la importación de equipos nuevos y usados que utilizan HCFC,</w:t>
      </w:r>
      <w:bookmarkEnd w:id="21"/>
      <w:r>
        <w:t xml:space="preserve"> que será aprobada antes del 30 de junio de 2026</w:t>
      </w:r>
      <w:bookmarkEnd w:id="19"/>
      <w:r>
        <w:t>. El Gobierno de Djibouti también se ha comprometido a establecer medidas reglamentarias para controlar las emisiones previstas de refrigerantes durante la instalación, el servicio y el desmantelamiento de equipos de refrigeración y aire acondicionado.</w:t>
      </w:r>
    </w:p>
    <w:p w14:paraId="0E3EAA05" w14:textId="566F23A1" w:rsidR="00563DA8" w:rsidRPr="003A210E" w:rsidRDefault="00563DA8" w:rsidP="00BB388B">
      <w:pPr>
        <w:keepNext/>
        <w:spacing w:after="240"/>
      </w:pPr>
      <w:bookmarkStart w:id="22" w:name="_Hlk126916116"/>
      <w:bookmarkEnd w:id="18"/>
      <w:r>
        <w:rPr>
          <w:u w:val="single"/>
        </w:rPr>
        <w:t>Cuestiones técnicas y relacionadas con los costes</w:t>
      </w:r>
      <w:r>
        <w:t xml:space="preserve"> </w:t>
      </w:r>
    </w:p>
    <w:p w14:paraId="15B56651" w14:textId="77777777" w:rsidR="00E174F3" w:rsidRPr="003A210E" w:rsidRDefault="00E174F3" w:rsidP="00BB388B">
      <w:pPr>
        <w:pStyle w:val="Heading1"/>
        <w:keepNext/>
        <w:numPr>
          <w:ilvl w:val="0"/>
          <w:numId w:val="0"/>
        </w:numPr>
        <w:spacing w:before="240"/>
        <w:rPr>
          <w:rFonts w:cstheme="minorHAnsi"/>
          <w:i/>
          <w:iCs/>
        </w:rPr>
      </w:pPr>
      <w:r>
        <w:rPr>
          <w:i/>
        </w:rPr>
        <w:t>Plan de certificación de técnicos</w:t>
      </w:r>
    </w:p>
    <w:p w14:paraId="568449AC" w14:textId="1A7695BF" w:rsidR="004B71C8" w:rsidRPr="00576C61" w:rsidRDefault="004B71C8" w:rsidP="004B71C8">
      <w:pPr>
        <w:pStyle w:val="Heading1"/>
        <w:keepNext/>
        <w:spacing w:before="240"/>
      </w:pPr>
      <w:r>
        <w:t>Con respecto al establecimiento de un plan de certificación para técnicos de refrigeración y aire acondicionado, el PNUMA explicó que, durante el primer tramo, se realizaría una evaluación de la situación y las necesidades, incluidos los requisitos institucionales para asegura que el plan fuera sostenible más allá del fin de la etapa</w:t>
      </w:r>
      <w:r w:rsidR="000E1814">
        <w:rPr>
          <w:b/>
        </w:rPr>
        <w:t> </w:t>
      </w:r>
      <w:r>
        <w:t>II. Además, se elaborarán procedimientos de certificación, incluida la consulta a las partes interesadas sobre las medidas y procedimientos para hacer posible que el centro de formación profesional desempeñe la función de organismo certificador. Está previsto que el plan de certificación se ejecute después de la creación de capacidad entre las partes interesadas clave que están implicadas en el proceso de certificación. El PNUMA asistirá al país a este respecto. Está previsto que, una vez que el plan esté en marcha, unos 30 técnicos obtengan su certificación hasta el final de la etapa</w:t>
      </w:r>
      <w:r w:rsidR="000E1814">
        <w:rPr>
          <w:b/>
        </w:rPr>
        <w:t> </w:t>
      </w:r>
      <w:r>
        <w:t xml:space="preserve">II. La certificación no será </w:t>
      </w:r>
      <w:r>
        <w:lastRenderedPageBreak/>
        <w:t>obligatoria, pero sí constituirá un requisito para que los técnicos se ocupen de ciertos tipos de trabajo de servicio y mantenimiento.</w:t>
      </w:r>
    </w:p>
    <w:p w14:paraId="0BECE8B9" w14:textId="1CD127CC" w:rsidR="001546DC" w:rsidRDefault="001546DC" w:rsidP="001546DC">
      <w:pPr>
        <w:rPr>
          <w:i/>
          <w:iCs/>
        </w:rPr>
      </w:pPr>
      <w:r>
        <w:rPr>
          <w:i/>
        </w:rPr>
        <w:t>Actividades de sensibilización</w:t>
      </w:r>
    </w:p>
    <w:p w14:paraId="21B3E120" w14:textId="77777777" w:rsidR="001546DC" w:rsidRPr="00BB388B" w:rsidRDefault="001546DC" w:rsidP="00576C61">
      <w:pPr>
        <w:rPr>
          <w:i/>
          <w:iCs/>
        </w:rPr>
      </w:pPr>
    </w:p>
    <w:p w14:paraId="09CC6F35" w14:textId="3FDE7655" w:rsidR="001546DC" w:rsidRPr="00576C61" w:rsidRDefault="001546DC" w:rsidP="001546DC">
      <w:pPr>
        <w:pStyle w:val="Heading1"/>
      </w:pPr>
      <w:r>
        <w:t>La Secretaría solicitó información detallada sobre la actividad propuesta en materia de sensibilización para promover el sector de refrigeración y aire acondicionado entre las mujeres jóvenes y, teniendo en cuenta que la presentación se refería a una nueva etapa, propuso realizar la evaluación obligatoria</w:t>
      </w:r>
      <w:r w:rsidR="009A463A">
        <w:rPr>
          <w:rFonts w:ascii="ZWAdobeF" w:hAnsi="ZWAdobeF" w:cs="ZWAdobeF"/>
          <w:sz w:val="2"/>
          <w:szCs w:val="2"/>
        </w:rPr>
        <w:t>6F</w:t>
      </w:r>
      <w:r w:rsidR="008923DA">
        <w:rPr>
          <w:rFonts w:ascii="ZWAdobeF" w:hAnsi="ZWAdobeF" w:cs="ZWAdobeF"/>
          <w:sz w:val="2"/>
          <w:szCs w:val="2"/>
        </w:rPr>
        <w:t>6F</w:t>
      </w:r>
      <w:r w:rsidRPr="00576C61">
        <w:rPr>
          <w:rStyle w:val="FootnoteReference"/>
        </w:rPr>
        <w:footnoteReference w:id="8"/>
      </w:r>
      <w:r>
        <w:t xml:space="preserve"> sobre las mujeres en el sector de refrigeración y aire acondicionado y preparar un plan de acción para atraer a las mujeres al sector y aumentar su presencia en el sector de refrigeración y aire acondicionado como estudiantes y en la fuerza de trabajo, junto con becas para que mujeres estudien en el centro de formación profesional. Se acordó un presupuesto de USD</w:t>
      </w:r>
      <w:r w:rsidR="000E1814">
        <w:rPr>
          <w:b/>
        </w:rPr>
        <w:t> </w:t>
      </w:r>
      <w:r>
        <w:t>15.000 para la evaluación y el plan de acción, que se emprenderían durante el primer tramo; y USD</w:t>
      </w:r>
      <w:r w:rsidR="000E1814">
        <w:rPr>
          <w:b/>
        </w:rPr>
        <w:t> </w:t>
      </w:r>
      <w:r>
        <w:t>15.000 para otorgar becas a cuatro mujeres en cada tramo, con el fin de que estudiaran en el centro de formación profesional, con una asignación de USD</w:t>
      </w:r>
      <w:r w:rsidR="000E1814">
        <w:rPr>
          <w:b/>
        </w:rPr>
        <w:t> </w:t>
      </w:r>
      <w:r>
        <w:t>5.000 a cada tramo.</w:t>
      </w:r>
    </w:p>
    <w:bookmarkEnd w:id="22"/>
    <w:p w14:paraId="675EA96A" w14:textId="77777777" w:rsidR="00563DA8" w:rsidRPr="007E56E0" w:rsidRDefault="00563DA8" w:rsidP="004A4122">
      <w:pPr>
        <w:keepNext/>
        <w:spacing w:before="240" w:after="240"/>
        <w:outlineLvl w:val="0"/>
        <w:rPr>
          <w:u w:val="single"/>
        </w:rPr>
      </w:pPr>
      <w:r>
        <w:rPr>
          <w:u w:val="single"/>
        </w:rPr>
        <w:t>Coste total del proyecto</w:t>
      </w:r>
    </w:p>
    <w:p w14:paraId="33FB0F04" w14:textId="41E35931" w:rsidR="009135A4" w:rsidRDefault="00563DA8" w:rsidP="00B23BE8">
      <w:pPr>
        <w:pStyle w:val="Heading1"/>
      </w:pPr>
      <w:r>
        <w:t>El coste total de la etapa II del PGEH asciende a USD 423.000, sobre la base de la decisión 74/50 c) xii) acerca del nivel de financiación admisible para un país con bajo nivel de consumo y teniendo en cuenta la decisión 96/23.</w:t>
      </w:r>
    </w:p>
    <w:p w14:paraId="6F074227" w14:textId="71044ABC" w:rsidR="001546DC" w:rsidRDefault="001546DC" w:rsidP="001546DC">
      <w:pPr>
        <w:rPr>
          <w:i/>
          <w:iCs/>
        </w:rPr>
      </w:pPr>
      <w:r>
        <w:rPr>
          <w:i/>
        </w:rPr>
        <w:t>Distribución de tramos</w:t>
      </w:r>
    </w:p>
    <w:p w14:paraId="56895B58" w14:textId="77777777" w:rsidR="001546DC" w:rsidRPr="00BB388B" w:rsidRDefault="001546DC" w:rsidP="00576C61">
      <w:pPr>
        <w:rPr>
          <w:i/>
          <w:iCs/>
        </w:rPr>
      </w:pPr>
    </w:p>
    <w:p w14:paraId="5E6DF39F" w14:textId="2A949AD1" w:rsidR="001546DC" w:rsidRPr="00B265D6" w:rsidRDefault="003635CC" w:rsidP="001546DC">
      <w:pPr>
        <w:pStyle w:val="Heading1"/>
      </w:pPr>
      <w:r>
        <w:t>La etapa</w:t>
      </w:r>
      <w:r w:rsidR="000E1814">
        <w:rPr>
          <w:b/>
        </w:rPr>
        <w:t> </w:t>
      </w:r>
      <w:r>
        <w:t>II del PGEH se ejecutará en tres tramos. Tras las conversaciones con el PNUMA, se revisó la distribución en tramos. Se acordó reducir la asignación para el primer tramo de la actividad sobre mejoras del marco legislativo y reglamentario y la adopción de medidas reglamentarias para controlar las emisiones previstas de refrigerantes durante la instalación, el servicio y el desmantelamiento de equipos de refrigeración y aire acondicionado, de USD</w:t>
      </w:r>
      <w:r w:rsidR="000E1814">
        <w:rPr>
          <w:b/>
        </w:rPr>
        <w:t> </w:t>
      </w:r>
      <w:r>
        <w:t>40.000 a USD</w:t>
      </w:r>
      <w:r w:rsidR="000E1814">
        <w:rPr>
          <w:b/>
        </w:rPr>
        <w:t> </w:t>
      </w:r>
      <w:r>
        <w:t>30.000, para hacer posible la divulgación y promoción de los cambios durante el segundo tramo; y de USD</w:t>
      </w:r>
      <w:r w:rsidR="000E1814">
        <w:rPr>
          <w:b/>
        </w:rPr>
        <w:t> </w:t>
      </w:r>
      <w:r>
        <w:t>45.000 a USD</w:t>
      </w:r>
      <w:r w:rsidR="000E1814">
        <w:rPr>
          <w:b/>
        </w:rPr>
        <w:t> </w:t>
      </w:r>
      <w:r>
        <w:t>25.000 para la actividad sobre el establecimiento de un plan de certificación en consonancia con el enfoque propuesto en la sección</w:t>
      </w:r>
      <w:r w:rsidR="000E1814">
        <w:rPr>
          <w:b/>
        </w:rPr>
        <w:t> </w:t>
      </w:r>
      <w:r>
        <w:t>28.</w:t>
      </w:r>
    </w:p>
    <w:p w14:paraId="1420BD35" w14:textId="64FCE34B" w:rsidR="0024295B" w:rsidRDefault="0024295B" w:rsidP="0024295B">
      <w:pPr>
        <w:keepNext/>
        <w:spacing w:before="240" w:after="240"/>
      </w:pPr>
      <w:r>
        <w:rPr>
          <w:u w:val="single"/>
        </w:rPr>
        <w:t>Plan de ejecución acordado para el primer tramo de la etapa II del plan de gestión de eliminación de los HCFC</w:t>
      </w:r>
    </w:p>
    <w:p w14:paraId="535A6AC0" w14:textId="5A64B69F" w:rsidR="008E58DF" w:rsidRPr="00052847" w:rsidRDefault="008E58DF" w:rsidP="008E58DF">
      <w:pPr>
        <w:pStyle w:val="Heading1"/>
      </w:pPr>
      <w:r>
        <w:t>El primer tramo de financiación de la etapa II del PGEH, por un valor total acordado de USD</w:t>
      </w:r>
      <w:r w:rsidR="000E1814">
        <w:rPr>
          <w:b/>
        </w:rPr>
        <w:t> </w:t>
      </w:r>
      <w:r>
        <w:t xml:space="preserve">239.000, se ejecutará entre enero de 2026 y diciembre de 2027. El plan de acción acordado incluirá las siguientes actividades: </w:t>
      </w:r>
    </w:p>
    <w:p w14:paraId="4EBE3093" w14:textId="44224C68" w:rsidR="008E58DF" w:rsidRPr="00052847" w:rsidRDefault="008E58DF" w:rsidP="009A463A">
      <w:pPr>
        <w:pStyle w:val="Heading2"/>
        <w:ind w:left="1440" w:hanging="720"/>
      </w:pPr>
      <w:r>
        <w:t>Componente 1 (USD</w:t>
      </w:r>
      <w:r w:rsidR="000E1814">
        <w:rPr>
          <w:b/>
        </w:rPr>
        <w:t> </w:t>
      </w:r>
      <w:r>
        <w:t>80.000): Mejoras del marco legislativo y reglamentario, finalización y adopción de las enmiendas al Decreto 2004-0066, incluida la prohibición de la importación de equipos nuevos y usados que utilizan HCFC y medidas reglamentarias para controlar las emisiones previstas de refrigerantes durante la instalación, el servicio y el desmantelamiento de equipos de refrigeración y aire acondicionado (USD</w:t>
      </w:r>
      <w:r w:rsidR="000E1814">
        <w:rPr>
          <w:b/>
        </w:rPr>
        <w:t> </w:t>
      </w:r>
      <w:r>
        <w:t>30.000); una sesión de capacitación para 15 formadores, incluidas cuatro mujeres, sobre la identificación y la nomenclatura de HCFC y equipos que utilizan HCFC, haciendo hincapié en las nuevas alternativas (USD</w:t>
      </w:r>
      <w:r w:rsidR="000E1814">
        <w:rPr>
          <w:b/>
        </w:rPr>
        <w:t> </w:t>
      </w:r>
      <w:r>
        <w:t>20.000); y capacitación parar 150 funcionarios de aduanas y otros funcionarios encargados de hacer cumplir la ley, incluidas 15 mujeres (USD</w:t>
      </w:r>
      <w:r w:rsidR="000E1814">
        <w:rPr>
          <w:b/>
        </w:rPr>
        <w:t> </w:t>
      </w:r>
      <w:r>
        <w:t>30.000);</w:t>
      </w:r>
    </w:p>
    <w:p w14:paraId="715A55A9" w14:textId="46975188" w:rsidR="008E58DF" w:rsidRPr="00052847" w:rsidRDefault="008E58DF" w:rsidP="009A463A">
      <w:pPr>
        <w:pStyle w:val="Heading2"/>
        <w:ind w:left="1440" w:hanging="720"/>
      </w:pPr>
      <w:r>
        <w:t>Componente 2 (USD</w:t>
      </w:r>
      <w:r w:rsidR="000E1814">
        <w:rPr>
          <w:b/>
        </w:rPr>
        <w:t> </w:t>
      </w:r>
      <w:r>
        <w:t xml:space="preserve">145.000): La evaluación de necesidades y la elaboración de medidas </w:t>
      </w:r>
      <w:r>
        <w:lastRenderedPageBreak/>
        <w:t>y procedimientos institucionales para la puesta en práctica del plan de certificación y la consulta con partes interesadas clave implicadas en el proceso de certificación (USD</w:t>
      </w:r>
      <w:r w:rsidR="000E1814">
        <w:rPr>
          <w:b/>
        </w:rPr>
        <w:t> </w:t>
      </w:r>
      <w:r>
        <w:t>25.000); el trabajo inicial en la elaboración de las normas reglamentarias y protocolos sobre el uso seguro de sustancias tóxicas e inflamables en el equipo de refrigeración y aire acondicionado (USD</w:t>
      </w:r>
      <w:r w:rsidR="000E1814">
        <w:rPr>
          <w:b/>
        </w:rPr>
        <w:t> </w:t>
      </w:r>
      <w:r>
        <w:t>15.000); 15 sesiones de capacitación para 225 técnicos de refrigeración y aire acondicionado, incluidas 22 mujeres, sobre buenas prácticas de servicios y la introducción segura de alternativas a los HCFC como los HC (USD</w:t>
      </w:r>
      <w:r w:rsidR="000E1814">
        <w:rPr>
          <w:b/>
        </w:rPr>
        <w:t> </w:t>
      </w:r>
      <w:r>
        <w:t>45.000); el apoyo a la ATR mediante la organización de reuniones anuales y a la escuela de formación profesional de refrigeración y aire acondicionado mediante el suministro de herramientas y equipos, y la capacitación de 15 expertos en refrigeración y aire acondicionado, incluida una mujer por grupo, en el uso del equipo suministrado (USD</w:t>
      </w:r>
      <w:r w:rsidR="000E1814">
        <w:rPr>
          <w:b/>
        </w:rPr>
        <w:t> </w:t>
      </w:r>
      <w:r>
        <w:t>40.000); una evaluación de las mujeres en el sector de la refrigeración y el aire acondicionado (USD</w:t>
      </w:r>
      <w:r w:rsidR="000E1814">
        <w:rPr>
          <w:b/>
        </w:rPr>
        <w:t> </w:t>
      </w:r>
      <w:r>
        <w:t>15.000); becas para que cuatro mujeres estudien en el centro de formación profesional con el fin de promover carreras en el sector de la refrigeración y el aire acondicionado (USD</w:t>
      </w:r>
      <w:r w:rsidR="000E1814">
        <w:rPr>
          <w:b/>
        </w:rPr>
        <w:t> </w:t>
      </w:r>
      <w:r>
        <w:t>5.000); y</w:t>
      </w:r>
    </w:p>
    <w:p w14:paraId="31952191" w14:textId="5BE89BC5" w:rsidR="008E58DF" w:rsidRPr="003A210E" w:rsidRDefault="008E58DF" w:rsidP="009A463A">
      <w:pPr>
        <w:pStyle w:val="Heading2"/>
        <w:widowControl/>
        <w:ind w:left="1440" w:hanging="720"/>
      </w:pPr>
      <w:r>
        <w:t>Supervisión del proyecto: (US</w:t>
      </w:r>
      <w:r w:rsidR="000E1814">
        <w:t>D</w:t>
      </w:r>
      <w:r w:rsidR="000E1814">
        <w:rPr>
          <w:b/>
        </w:rPr>
        <w:t> </w:t>
      </w:r>
      <w:r>
        <w:t>14.000) para dos consultores contratados a nivel local (USD</w:t>
      </w:r>
      <w:r w:rsidR="000E1814">
        <w:rPr>
          <w:b/>
        </w:rPr>
        <w:t> </w:t>
      </w:r>
      <w:r>
        <w:t>10.000); viajes (USD</w:t>
      </w:r>
      <w:r w:rsidR="000E1814">
        <w:rPr>
          <w:b/>
        </w:rPr>
        <w:t> </w:t>
      </w:r>
      <w:r>
        <w:t xml:space="preserve">2.000); </w:t>
      </w:r>
      <w:r w:rsidR="000E1814">
        <w:t xml:space="preserve">y </w:t>
      </w:r>
      <w:r>
        <w:t>reuniones y talleres (USD</w:t>
      </w:r>
      <w:r w:rsidR="000E1814">
        <w:rPr>
          <w:b/>
        </w:rPr>
        <w:t> </w:t>
      </w:r>
      <w:r>
        <w:t>2.000).</w:t>
      </w:r>
    </w:p>
    <w:p w14:paraId="61B04399" w14:textId="77777777" w:rsidR="00563DA8" w:rsidRPr="00DC2B3A" w:rsidRDefault="00563DA8" w:rsidP="009837C2">
      <w:pPr>
        <w:keepNext/>
        <w:spacing w:after="240"/>
        <w:outlineLvl w:val="0"/>
        <w:rPr>
          <w:bCs/>
          <w:u w:val="single"/>
        </w:rPr>
      </w:pPr>
      <w:bookmarkStart w:id="23" w:name="_Hlk126916178"/>
      <w:r>
        <w:rPr>
          <w:u w:val="single"/>
        </w:rPr>
        <w:t>Cofinanciación</w:t>
      </w:r>
    </w:p>
    <w:p w14:paraId="7C2C9C49" w14:textId="76E318D1" w:rsidR="00333C0D" w:rsidRPr="00333C0D" w:rsidRDefault="00333C0D" w:rsidP="009837C2">
      <w:pPr>
        <w:pStyle w:val="Heading1"/>
        <w:keepNext/>
        <w:rPr>
          <w:bCs/>
          <w:u w:val="single"/>
        </w:rPr>
      </w:pPr>
      <w:r>
        <w:rPr>
          <w:rFonts w:asciiTheme="majorBidi" w:hAnsiTheme="majorBidi"/>
        </w:rPr>
        <w:t>La contribución aportada en especie por el Gobierno a las actividades del proyecto en la etapa I se mantendrá durante la etapa</w:t>
      </w:r>
      <w:r w:rsidR="000E1814">
        <w:rPr>
          <w:b/>
        </w:rPr>
        <w:t> </w:t>
      </w:r>
      <w:r>
        <w:rPr>
          <w:rFonts w:asciiTheme="majorBidi" w:hAnsiTheme="majorBidi"/>
        </w:rPr>
        <w:t xml:space="preserve">II, proporcionando logística y el apoyo de personal necesario durante la ejecución del proyecto. </w:t>
      </w:r>
    </w:p>
    <w:p w14:paraId="192E5F26" w14:textId="575F4024" w:rsidR="00563DA8" w:rsidRPr="00333C0D" w:rsidRDefault="00563DA8" w:rsidP="00DF60F1">
      <w:pPr>
        <w:pStyle w:val="Heading1"/>
        <w:keepNext/>
        <w:widowControl w:val="0"/>
        <w:numPr>
          <w:ilvl w:val="0"/>
          <w:numId w:val="0"/>
        </w:numPr>
        <w:rPr>
          <w:bCs/>
          <w:u w:val="single"/>
        </w:rPr>
      </w:pPr>
      <w:r>
        <w:rPr>
          <w:u w:val="single"/>
        </w:rPr>
        <w:t>Proyecto de plan administrativo el Fondo Multilateral para el período 2025-2027</w:t>
      </w:r>
    </w:p>
    <w:p w14:paraId="2304FD1D" w14:textId="6B0149FF" w:rsidR="00563DA8" w:rsidRPr="00996241" w:rsidRDefault="00B8078E" w:rsidP="004A4122">
      <w:pPr>
        <w:pStyle w:val="Heading1"/>
      </w:pPr>
      <w:r>
        <w:t>El PNUMA solicita USD</w:t>
      </w:r>
      <w:r w:rsidR="000E1814">
        <w:rPr>
          <w:b/>
        </w:rPr>
        <w:t> </w:t>
      </w:r>
      <w:r>
        <w:t>423.000, más gastos de apoyo al organismo, para la ejecución de la etapa</w:t>
      </w:r>
      <w:r w:rsidR="000E1814">
        <w:rPr>
          <w:b/>
        </w:rPr>
        <w:t> </w:t>
      </w:r>
      <w:r>
        <w:t>II del PGEH para Djibouti. El monto total solicitado de USD</w:t>
      </w:r>
      <w:r w:rsidR="000E1814">
        <w:rPr>
          <w:b/>
        </w:rPr>
        <w:t> </w:t>
      </w:r>
      <w:r>
        <w:t>270.070, incluidos los gastos de apoyo al organismo, para el período 2025-2027, excede en USD</w:t>
      </w:r>
      <w:r w:rsidR="000E1814">
        <w:rPr>
          <w:b/>
        </w:rPr>
        <w:t> </w:t>
      </w:r>
      <w:r>
        <w:t>55.370 la cantidad establecida en el plan administrativo.</w:t>
      </w:r>
    </w:p>
    <w:p w14:paraId="6A5B1302" w14:textId="77777777" w:rsidR="00563DA8" w:rsidRPr="00062FEB" w:rsidRDefault="00563DA8" w:rsidP="004A4122">
      <w:pPr>
        <w:keepNext/>
        <w:spacing w:after="240"/>
        <w:rPr>
          <w:iCs/>
          <w:u w:val="single"/>
        </w:rPr>
      </w:pPr>
      <w:r>
        <w:rPr>
          <w:u w:val="single"/>
        </w:rPr>
        <w:t>Aplicación de políticas de género</w:t>
      </w:r>
    </w:p>
    <w:p w14:paraId="6C2167F5" w14:textId="0BC7F76C" w:rsidR="00C304CF" w:rsidRDefault="0078218C" w:rsidP="005C3856">
      <w:pPr>
        <w:pStyle w:val="Heading1"/>
      </w:pPr>
      <w:r>
        <w:t>De conformidad con las decisiones 84/92 d), 90/48 c) y 92/40 b), el Gobierno de Djibouti incorporó la política de género del Fondo Multilateral en la preparación y formulación de proyectos de la etapa</w:t>
      </w:r>
      <w:r w:rsidR="000E1814">
        <w:rPr>
          <w:b/>
        </w:rPr>
        <w:t> </w:t>
      </w:r>
      <w:r>
        <w:t>II del PGEH. Durante la etapa</w:t>
      </w:r>
      <w:r w:rsidR="000E1814">
        <w:rPr>
          <w:b/>
        </w:rPr>
        <w:t> </w:t>
      </w:r>
      <w:r>
        <w:t xml:space="preserve">II, la Dependencia Nacional del Ozono aprobará estrategias que incluyan la participación activa de mujeres en todos los aspectos del proyecto, desde la coordinación y ejecución del proyecto a la capacitación técnica y las consultas públicas. La Dependencia Nacional del Ozono recopilará datos relacionados desglosados e informará sobre ellos, asegurará que los materiales de capacitación y divulgación reflejen un lenguaje inclusivo y la representación visual de mujeres, realizará una evaluación sobre las mujeres en el sector de refrigeración y aire acondicionado y preparará el plan de acción correspondiente para tratar los resultados y recomendaciones, y otorgará becas a 12 mujeres para que estudien en el centro de formación profesional, fomentando así que las mujeres emprendan carreras en el sector de refrigeración y aire acondicionado. </w:t>
      </w:r>
    </w:p>
    <w:p w14:paraId="5074CA0F" w14:textId="4122B909" w:rsidR="00563DA8" w:rsidRPr="0034561F" w:rsidRDefault="00563DA8" w:rsidP="00C304CF">
      <w:pPr>
        <w:pStyle w:val="Heading1"/>
        <w:keepNext/>
        <w:numPr>
          <w:ilvl w:val="0"/>
          <w:numId w:val="0"/>
        </w:numPr>
        <w:spacing w:before="240"/>
      </w:pPr>
      <w:r>
        <w:rPr>
          <w:u w:val="single"/>
        </w:rPr>
        <w:t>Sostenibilidad de la eliminación de los HCFC y evaluación de riesgos</w:t>
      </w:r>
    </w:p>
    <w:p w14:paraId="481F3BCC" w14:textId="04A223EE" w:rsidR="00ED3F8F" w:rsidRDefault="002652D4" w:rsidP="004A4122">
      <w:pPr>
        <w:pStyle w:val="Heading1"/>
      </w:pPr>
      <w:r>
        <w:t>Los talleres de capacitación aduanera se han integrado en los programas de formación regular de funcionarios de aduanas. La capacitación de funcionarios de aduanas y funcionarios encargados de hacer cumplir la ley, así como de técnicos de refrigeración, se llevó a cabo de forma continua en la etapa</w:t>
      </w:r>
      <w:r w:rsidR="000E1814">
        <w:rPr>
          <w:b/>
        </w:rPr>
        <w:t> </w:t>
      </w:r>
      <w:r>
        <w:t>I. Las actividades que se ejecutarán como parte de la etapa</w:t>
      </w:r>
      <w:r w:rsidR="000E1814">
        <w:rPr>
          <w:b/>
        </w:rPr>
        <w:t> </w:t>
      </w:r>
      <w:r>
        <w:t xml:space="preserve">II continuarán fortaleciendo el sector de servicio y </w:t>
      </w:r>
      <w:r>
        <w:lastRenderedPageBreak/>
        <w:t>mantenimiento de equipos de refrigeración y asegurará la sostenibilidad a largo plazo de los logros de la etapa</w:t>
      </w:r>
      <w:r w:rsidR="000E1814">
        <w:rPr>
          <w:b/>
        </w:rPr>
        <w:t> </w:t>
      </w:r>
      <w:r>
        <w:t>I del PGEH.</w:t>
      </w:r>
    </w:p>
    <w:p w14:paraId="635BFF8C" w14:textId="26F89609" w:rsidR="009D611B" w:rsidRPr="002E4914" w:rsidRDefault="009D611B" w:rsidP="009B74DB">
      <w:pPr>
        <w:pStyle w:val="Heading1"/>
      </w:pPr>
      <w:r>
        <w:t>Djibouti planea introducir un módulo relativo al ozono, sobre la identificación y control de HCFC, HFC y equipos que utilizan HCFC y HFC, en los planes de estudios del principal centro nacional de formación aduanera y actualizarlo de forma periódica. La Dependencia Nacional del Ozono colabora con el MENFOP para asegurar que el plan de estudios de los técnicos de refrigeración y aire acondicionado cubra temas como las buenas prácticas de refrigeración y la manipulación segura de HC.</w:t>
      </w:r>
    </w:p>
    <w:p w14:paraId="0C468236" w14:textId="1A426E9F" w:rsidR="009D611B" w:rsidRPr="009B74DB" w:rsidRDefault="0023269D" w:rsidP="00803A42">
      <w:pPr>
        <w:pStyle w:val="Heading1"/>
      </w:pPr>
      <w:r>
        <w:t>Las actividades previstas en el marco de la etapa</w:t>
      </w:r>
      <w:r w:rsidR="000E1814">
        <w:rPr>
          <w:b/>
        </w:rPr>
        <w:t> </w:t>
      </w:r>
      <w:r>
        <w:t>II contribuirían a la capacidad del país de usar alternativas sin HCFC y, posiblemente, con bajo potencial de calentamiento atmosférico. El PNUMA confirmó el compromiso del Gobierno y que no se preveían problemas en la puesta en práctica del sistema de concesión de licencias y cupos, sino que, al contrario, se mejoraría mediante las actualizaciones del sistema reglamentario para garantizar que las importaciones de HCFC se mantuvieran bajo control. El PNUMA mencionó que no se percibían ni identificaban riesgos para la adopción de alternativas que no usaran HCFC durante la ejecución de la etapa</w:t>
      </w:r>
      <w:r w:rsidR="000E1814">
        <w:rPr>
          <w:b/>
        </w:rPr>
        <w:t> </w:t>
      </w:r>
      <w:r>
        <w:t>II, dado que el país dependía de las importaciones. El PNUMA confirmó que los sistemas de supervisión seguirán fortaleciéndose durante la ejecución de la etapa</w:t>
      </w:r>
      <w:r w:rsidR="000E1814">
        <w:rPr>
          <w:b/>
        </w:rPr>
        <w:t> </w:t>
      </w:r>
      <w:r>
        <w:t>II para asegurar la sostenibilidad de los resultados del proyecto después de 2030 y que la recomendación que figuraba en el informe de verificación de 2025, de establecer un sistema de supervisión en línea de los cupos anuales, se aplicaría.</w:t>
      </w:r>
    </w:p>
    <w:p w14:paraId="5B368C12" w14:textId="77777777" w:rsidR="00563DA8" w:rsidRPr="00996241" w:rsidRDefault="00563DA8" w:rsidP="004A4122">
      <w:pPr>
        <w:keepNext/>
        <w:spacing w:after="240"/>
        <w:rPr>
          <w:u w:val="single"/>
        </w:rPr>
      </w:pPr>
      <w:r>
        <w:rPr>
          <w:u w:val="single"/>
        </w:rPr>
        <w:t>Impacto sobre el clima</w:t>
      </w:r>
    </w:p>
    <w:bookmarkEnd w:id="23"/>
    <w:p w14:paraId="69A44FFA" w14:textId="0ECE1BB4" w:rsidR="00A74F12" w:rsidRPr="00A74F12" w:rsidRDefault="00563DA8" w:rsidP="00DE36BA">
      <w:pPr>
        <w:pStyle w:val="Heading1"/>
        <w:rPr>
          <w:bCs/>
          <w:u w:val="single"/>
        </w:rPr>
      </w:pPr>
      <w:r>
        <w:t>Las actividades propuestas en el sector de servicio y mantenimiento de equipos, que incluyen mejorar el confinamiento de los refrigerantes mediante la capacitación y el suministro de equipos, reducirán el uso de HCFC</w:t>
      </w:r>
      <w:r>
        <w:noBreakHyphen/>
        <w:t>22 para el servicio y mantenimiento de equipos. Cada kilogramo de HCFC</w:t>
      </w:r>
      <w:r>
        <w:noBreakHyphen/>
        <w:t>22 no emitido como consecuencia de unas mejores prácticas de refrigeración genera unos ahorros de aproximadamente 1,8 toneladas equivalentes de CO</w:t>
      </w:r>
      <w:r>
        <w:rPr>
          <w:vertAlign w:val="subscript"/>
        </w:rPr>
        <w:t>2</w:t>
      </w:r>
      <w:r>
        <w:t xml:space="preserve">. Aunque en el PGEH no se incluía ningún cálculo de los efectos sobre el clima, las actividades planificadas por Djibouti, incluidos sus esfuerzos por fortalecer la supervisión y aplicación de medidas de control, crear capacidad entre los agentes de aduanas y los técnicos de refrigeración y aire acondicionado, establecer un plan de certificación y fomentar el uso de sustancias alternativas con bajo potencial de calentamiento atmosférico, indican que la ejecución del PGEH reducirá la emisión de refrigerantes a la atmósfera, lo que beneficiará al clima. </w:t>
      </w:r>
      <w:bookmarkStart w:id="24" w:name="_Hlk126916245"/>
    </w:p>
    <w:p w14:paraId="16DB75DA" w14:textId="339EAECA" w:rsidR="00563DA8" w:rsidRPr="00A74F12" w:rsidRDefault="00563DA8" w:rsidP="00A74F12">
      <w:pPr>
        <w:pStyle w:val="Heading1"/>
        <w:numPr>
          <w:ilvl w:val="0"/>
          <w:numId w:val="0"/>
        </w:numPr>
        <w:rPr>
          <w:bCs/>
          <w:u w:val="single"/>
        </w:rPr>
      </w:pPr>
      <w:r>
        <w:rPr>
          <w:u w:val="single"/>
        </w:rPr>
        <w:t>Proyecto de Acuerdo</w:t>
      </w:r>
    </w:p>
    <w:bookmarkEnd w:id="24"/>
    <w:p w14:paraId="7C44E4FD" w14:textId="2EDE9E4C" w:rsidR="00563DA8" w:rsidRDefault="00563DA8" w:rsidP="004A4122">
      <w:pPr>
        <w:pStyle w:val="Heading1"/>
      </w:pPr>
      <w:r>
        <w:t>En el anexo</w:t>
      </w:r>
      <w:r w:rsidR="00A83A2A">
        <w:rPr>
          <w:b/>
        </w:rPr>
        <w:t> </w:t>
      </w:r>
      <w:r>
        <w:t>I del presente documento figura un proyecto de Acuerdo entre el Gobierno de Djibouti y el Comité Ejecutivo para la etapa</w:t>
      </w:r>
      <w:r w:rsidR="00A83A2A">
        <w:rPr>
          <w:b/>
        </w:rPr>
        <w:t> </w:t>
      </w:r>
      <w:r>
        <w:t>II del PGEH.</w:t>
      </w:r>
    </w:p>
    <w:p w14:paraId="7A11B1F9" w14:textId="77777777" w:rsidR="00563DA8" w:rsidRPr="00996241" w:rsidRDefault="00563DA8" w:rsidP="004A4122">
      <w:pPr>
        <w:keepNext/>
        <w:autoSpaceDE w:val="0"/>
        <w:autoSpaceDN w:val="0"/>
        <w:adjustRightInd w:val="0"/>
        <w:spacing w:before="360" w:after="240"/>
        <w:outlineLvl w:val="0"/>
        <w:rPr>
          <w:b/>
        </w:rPr>
      </w:pPr>
      <w:bookmarkStart w:id="25" w:name="_Hlk126916251"/>
      <w:r>
        <w:rPr>
          <w:b/>
        </w:rPr>
        <w:t>RECOMENDACIÓN</w:t>
      </w:r>
    </w:p>
    <w:bookmarkEnd w:id="25"/>
    <w:p w14:paraId="6735184D" w14:textId="77777777" w:rsidR="00563DA8" w:rsidRDefault="00563DA8" w:rsidP="004A4122">
      <w:pPr>
        <w:pStyle w:val="Heading1"/>
        <w:keepNext/>
      </w:pPr>
      <w:r>
        <w:t>El Comité Ejecutivo podría decidir contemplar lo siguiente:</w:t>
      </w:r>
    </w:p>
    <w:p w14:paraId="7AF22314" w14:textId="427CCCF4" w:rsidR="00563DA8" w:rsidRPr="00996241" w:rsidRDefault="00563DA8" w:rsidP="009A463A">
      <w:pPr>
        <w:pStyle w:val="Heading2"/>
        <w:widowControl/>
        <w:ind w:left="1440" w:hanging="720"/>
      </w:pPr>
      <w:r>
        <w:t>Aprobar, en principio, la etapa</w:t>
      </w:r>
      <w:r w:rsidR="00A83A2A">
        <w:rPr>
          <w:b/>
        </w:rPr>
        <w:t> </w:t>
      </w:r>
      <w:r>
        <w:t>II del plan de gestión de eliminación de los HCFC (PGEH) de Djibouti para el período de 2025 a 2030 con miras a la eliminación completa del consumo de HCFC, por un monto de USD</w:t>
      </w:r>
      <w:r w:rsidR="00A83A2A">
        <w:rPr>
          <w:b/>
        </w:rPr>
        <w:t> </w:t>
      </w:r>
      <w:r>
        <w:t>423.000, más gastos de apoyo al organismo de USD</w:t>
      </w:r>
      <w:r w:rsidR="00A83A2A">
        <w:rPr>
          <w:b/>
        </w:rPr>
        <w:t> </w:t>
      </w:r>
      <w:r>
        <w:t>54.990 para el PNUMA, en el entendido de que no se proporcionará más financiación del Fondo Multilateral para la eliminación de los HCFC;</w:t>
      </w:r>
    </w:p>
    <w:p w14:paraId="2581B782" w14:textId="77777777" w:rsidR="0035705B" w:rsidRDefault="00563DA8" w:rsidP="009A463A">
      <w:pPr>
        <w:pStyle w:val="Heading2"/>
        <w:widowControl/>
        <w:ind w:left="1440" w:hanging="720"/>
      </w:pPr>
      <w:r>
        <w:t>Tomar nota del compromiso del Gobierno de Djibouti para:</w:t>
      </w:r>
    </w:p>
    <w:p w14:paraId="36389FB1" w14:textId="65CB18C7" w:rsidR="00563DA8" w:rsidRPr="00A72445" w:rsidRDefault="00DF79ED" w:rsidP="00570A22">
      <w:pPr>
        <w:pStyle w:val="Heading3"/>
        <w:ind w:left="2160" w:hanging="720"/>
      </w:pPr>
      <w:r>
        <w:t xml:space="preserve">Eliminar totalmente los HCFC para el 1 de enero de 2030, y que no se importarán </w:t>
      </w:r>
      <w:r>
        <w:lastRenderedPageBreak/>
        <w:t>HCFC después de dicha fecha, excepto para permitir un remanente de servicio y mantenimiento entre 2030 y 2040 cuando sea necesario, y en consonancia con las disposiciones del Protocolo de Montreal;</w:t>
      </w:r>
    </w:p>
    <w:p w14:paraId="78A9D24D" w14:textId="3CB3477D" w:rsidR="00DF79ED" w:rsidRPr="009B74DB" w:rsidRDefault="001C0525" w:rsidP="00570A22">
      <w:pPr>
        <w:pStyle w:val="Heading3"/>
        <w:ind w:left="2160" w:hanging="720"/>
      </w:pPr>
      <w:r>
        <w:t>Prohibir la importación de equipos nuevos o usados que utilicen HCFC desde el 30 de junio de 2026;</w:t>
      </w:r>
    </w:p>
    <w:p w14:paraId="21FB0D2F" w14:textId="53E48ABE" w:rsidR="006474F3" w:rsidRPr="00DF60F1" w:rsidRDefault="00F53A7C" w:rsidP="00570A22">
      <w:pPr>
        <w:pStyle w:val="Heading3"/>
        <w:ind w:left="2160" w:hanging="720"/>
      </w:pPr>
      <w:r>
        <w:t>Establecer medidas reglamentarias con el fin de controlar las emisiones previstas de refrigerantes durante la instalación, el servicio y el desmantelamiento de equipos de refrigeración y aire acondicionado, en el marco de la etapa</w:t>
      </w:r>
      <w:r w:rsidR="00A83A2A">
        <w:rPr>
          <w:b/>
        </w:rPr>
        <w:t> </w:t>
      </w:r>
      <w:r>
        <w:t>II del PGEH;</w:t>
      </w:r>
    </w:p>
    <w:p w14:paraId="4EFF8A33" w14:textId="2E896752" w:rsidR="00563DA8" w:rsidRPr="00D9637A" w:rsidRDefault="00563DA8" w:rsidP="009A463A">
      <w:pPr>
        <w:pStyle w:val="Heading2"/>
        <w:widowControl/>
        <w:ind w:left="1440" w:hanging="720"/>
      </w:pPr>
      <w:r>
        <w:t>Deducir 0,46</w:t>
      </w:r>
      <w:r w:rsidR="00A83A2A">
        <w:rPr>
          <w:b/>
        </w:rPr>
        <w:t> </w:t>
      </w:r>
      <w:r>
        <w:t>toneladas PAO de HCFC del consumo remanente de HCFC admisible para su financiación;</w:t>
      </w:r>
    </w:p>
    <w:p w14:paraId="3C65B832" w14:textId="3FC5EDE1" w:rsidR="00563DA8" w:rsidRDefault="00563DA8" w:rsidP="009A463A">
      <w:pPr>
        <w:pStyle w:val="Heading2"/>
        <w:widowControl/>
        <w:ind w:left="1440" w:hanging="720"/>
      </w:pPr>
      <w:r>
        <w:t>Aprobar el proyecto de Acuerdo entre el Gobierno de Djibouti y el Comité Ejecutivo para la reducción del consumo de los HCFC, de conformidad con la etapa</w:t>
      </w:r>
      <w:r w:rsidR="00570A22">
        <w:rPr>
          <w:b/>
        </w:rPr>
        <w:t> </w:t>
      </w:r>
      <w:r>
        <w:t>II del PGEH, incluido en el anexo</w:t>
      </w:r>
      <w:r w:rsidR="00A83A2A">
        <w:rPr>
          <w:b/>
        </w:rPr>
        <w:t> </w:t>
      </w:r>
      <w:r>
        <w:t>I del presente documento;</w:t>
      </w:r>
    </w:p>
    <w:p w14:paraId="0B866050" w14:textId="547C0F3A" w:rsidR="006474F3" w:rsidRPr="00996241" w:rsidRDefault="006474F3" w:rsidP="009A463A">
      <w:pPr>
        <w:pStyle w:val="Heading2"/>
        <w:widowControl/>
        <w:ind w:left="1440" w:hanging="720"/>
      </w:pPr>
      <w:r>
        <w:t>Que, para permitir la consideración del último tramo de su PGEH, el Gobierno de Djibouti debería presentar:</w:t>
      </w:r>
    </w:p>
    <w:p w14:paraId="3D299F4D" w14:textId="0A3AA187" w:rsidR="006474F3" w:rsidRDefault="006474F3" w:rsidP="00570A22">
      <w:pPr>
        <w:pStyle w:val="Heading3"/>
        <w:ind w:left="2160" w:hanging="720"/>
      </w:pPr>
      <w:r>
        <w:t>Una descripción detallada del marco reglamentario y normativo vigente para aplicar medidas destinadas a garantizar que el consumo de HCFC se ajusta al apartado 8 ter. e) i) del Artículo 5 del Protocolo de Montreal para el período 2030</w:t>
      </w:r>
      <w:r w:rsidR="00570A22">
        <w:noBreakHyphen/>
      </w:r>
      <w:r>
        <w:t>2040;</w:t>
      </w:r>
    </w:p>
    <w:p w14:paraId="487EB010" w14:textId="54F0B2CA" w:rsidR="006474F3" w:rsidRPr="00576C61" w:rsidRDefault="006474F3" w:rsidP="00570A22">
      <w:pPr>
        <w:pStyle w:val="Heading3"/>
        <w:ind w:left="2160" w:hanging="720"/>
      </w:pPr>
      <w:r>
        <w:t>El consumo anual previsto de HCFC en Djibouti para el período 2030-2040; y</w:t>
      </w:r>
    </w:p>
    <w:p w14:paraId="71F0E545" w14:textId="6C671909" w:rsidR="000155E7" w:rsidRPr="00576C61" w:rsidRDefault="006474F3" w:rsidP="009A463A">
      <w:pPr>
        <w:pStyle w:val="Heading2"/>
        <w:widowControl/>
        <w:ind w:left="1440" w:hanging="720"/>
      </w:pPr>
      <w:r>
        <w:t>Aprobar el primer tramo de la etapa II del PGEH para Djibouti, y el plan de ejecución correspondiente del tramo, por un monto de USD</w:t>
      </w:r>
      <w:r w:rsidR="00570A22">
        <w:rPr>
          <w:b/>
        </w:rPr>
        <w:t> </w:t>
      </w:r>
      <w:r>
        <w:t>239.000, más los gastos de apoyo al organismo de USD</w:t>
      </w:r>
      <w:r w:rsidR="00570A22">
        <w:rPr>
          <w:b/>
        </w:rPr>
        <w:t> </w:t>
      </w:r>
      <w:r>
        <w:t>31.070, para el PNUMA.</w:t>
      </w:r>
    </w:p>
    <w:p w14:paraId="10FE31C8" w14:textId="77777777" w:rsidR="00781727" w:rsidRPr="00996241" w:rsidRDefault="00781727" w:rsidP="00781727">
      <w:pPr>
        <w:spacing w:after="240"/>
        <w:outlineLvl w:val="1"/>
      </w:pPr>
    </w:p>
    <w:p w14:paraId="4437DD71" w14:textId="77777777" w:rsidR="00781727" w:rsidRDefault="00781727" w:rsidP="00781727">
      <w:pPr>
        <w:spacing w:after="240"/>
        <w:ind w:left="1440"/>
        <w:outlineLvl w:val="1"/>
        <w:sectPr w:rsidR="00781727" w:rsidSect="008072C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3182AB10" w14:textId="77777777" w:rsidR="00563DA8" w:rsidRPr="00A030AC" w:rsidRDefault="00563DA8" w:rsidP="004A4122">
      <w:pPr>
        <w:spacing w:after="240"/>
        <w:jc w:val="center"/>
        <w:rPr>
          <w:b/>
          <w:bCs/>
        </w:rPr>
      </w:pPr>
      <w:r w:rsidRPr="00A030AC">
        <w:rPr>
          <w:b/>
        </w:rPr>
        <w:lastRenderedPageBreak/>
        <w:t>Anexo I</w:t>
      </w:r>
    </w:p>
    <w:p w14:paraId="27998499" w14:textId="7B2D8638" w:rsidR="00EC0B4F" w:rsidRPr="00915C61" w:rsidRDefault="00EC0B4F" w:rsidP="00EC0B4F">
      <w:pPr>
        <w:jc w:val="center"/>
        <w:rPr>
          <w:b/>
        </w:rPr>
      </w:pPr>
      <w:r>
        <w:rPr>
          <w:b/>
        </w:rPr>
        <w:t>PROYECTO DE A</w:t>
      </w:r>
      <w:r w:rsidRPr="00915C61">
        <w:rPr>
          <w:b/>
        </w:rPr>
        <w:t xml:space="preserve">CUERDO ENTRE EL GOBIERNO DE </w:t>
      </w:r>
      <w:r w:rsidR="00570A22">
        <w:rPr>
          <w:b/>
        </w:rPr>
        <w:t>DJIBOUTI</w:t>
      </w:r>
      <w:r w:rsidR="00570A22" w:rsidRPr="00915C61">
        <w:rPr>
          <w:b/>
        </w:rPr>
        <w:t xml:space="preserve"> </w:t>
      </w:r>
      <w:r w:rsidRPr="00915C61">
        <w:rPr>
          <w:b/>
        </w:rPr>
        <w:t>Y EL COMITÉ EJECUTIVO DEL FONDO</w:t>
      </w:r>
      <w:r>
        <w:rPr>
          <w:b/>
        </w:rPr>
        <w:t> </w:t>
      </w:r>
      <w:r w:rsidRPr="00915C61">
        <w:rPr>
          <w:b/>
        </w:rPr>
        <w:t>MULTILATERAL PARA LA REDUCCIÓN DEL CONSUMO DE HIDROCLOROFLUOROCARBONOS, DE CONFORMIDAD CON LA ETAPA II DEL PLAN DE GESTIÓN PARA LA ELIMINACIÓN DE HCFC</w:t>
      </w:r>
    </w:p>
    <w:p w14:paraId="47809D3A" w14:textId="77777777" w:rsidR="00EC0B4F" w:rsidRPr="00915C61" w:rsidRDefault="00EC0B4F" w:rsidP="00EC0B4F">
      <w:pPr>
        <w:keepNext/>
        <w:spacing w:before="240" w:after="240"/>
        <w:rPr>
          <w:b/>
        </w:rPr>
      </w:pPr>
      <w:r w:rsidRPr="00915C61">
        <w:rPr>
          <w:b/>
        </w:rPr>
        <w:t>Objetivo</w:t>
      </w:r>
    </w:p>
    <w:p w14:paraId="2C1C8407" w14:textId="72880FD4" w:rsidR="00EC0B4F" w:rsidRPr="00DC14C8" w:rsidRDefault="00EC0B4F" w:rsidP="00EC0B4F">
      <w:pPr>
        <w:pStyle w:val="Heading1"/>
        <w:numPr>
          <w:ilvl w:val="0"/>
          <w:numId w:val="11"/>
        </w:numPr>
        <w:tabs>
          <w:tab w:val="clear" w:pos="0"/>
          <w:tab w:val="num" w:pos="709"/>
        </w:tabs>
      </w:pPr>
      <w:r w:rsidRPr="00DC14C8">
        <w:t xml:space="preserve">El presente Acuerdo representa el entendimiento a que han llegado el Gobierno de </w:t>
      </w:r>
      <w:r w:rsidR="00B06121">
        <w:t>Djibouti</w:t>
      </w:r>
      <w:r w:rsidR="00B06121" w:rsidRPr="00DC14C8">
        <w:t xml:space="preserve"> </w:t>
      </w:r>
      <w:r w:rsidRPr="00DC14C8">
        <w:t xml:space="preserve">(el “País”) y el Comité Ejecutivo respecto a la reducción del uso controlado de las sustancias que agotan la capa de ozono (SAO) indicadas en el Apéndice 1-A (las “Sustancias”) hasta un nivel sostenido de </w:t>
      </w:r>
      <w:r w:rsidR="00B06121">
        <w:t xml:space="preserve">cero </w:t>
      </w:r>
      <w:r w:rsidRPr="00DC14C8">
        <w:t>tonelada</w:t>
      </w:r>
      <w:r w:rsidR="00B06121">
        <w:t>s</w:t>
      </w:r>
      <w:r w:rsidRPr="00DC14C8">
        <w:t xml:space="preserve"> PAO para el 1 de enero de 2030 en cumplimiento del calendario del Protocolo de Montreal.</w:t>
      </w:r>
    </w:p>
    <w:p w14:paraId="5D01BEBB" w14:textId="77777777" w:rsidR="00EC0B4F" w:rsidRPr="00915C61" w:rsidRDefault="00EC0B4F" w:rsidP="00EC0B4F">
      <w:pPr>
        <w:pStyle w:val="Heading1"/>
      </w:pPr>
      <w:r w:rsidRPr="00915C61">
        <w:t>El País conviene en cumplir con los límites anuales de consumo de las Sustancias tal como se establecen en el renglón 1.2 del Apéndice 2-A (las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financiamiento descritas en el párrafo 3, se le impide solicitar o recibir nuevos fondos del Fondo Multilateral en relación con ningún consumo de las Sustancias que supere el nivel definido en el renglón 1.2 del Apéndice 2-A como medida de reducción final conforme a este Acuerdo para todas las Sustancias especificadas en el Apéndice 1-A y en relación con ningún consumo de cada una de las Sustancias que supere el nivel definido en los renglones 4.1.3 (consumo remanente admisible para financiamiento).</w:t>
      </w:r>
    </w:p>
    <w:p w14:paraId="26FF02FF" w14:textId="477EC836" w:rsidR="00EC0B4F" w:rsidRPr="00915C61" w:rsidRDefault="00EC0B4F" w:rsidP="00EC0B4F">
      <w:pPr>
        <w:pStyle w:val="Heading1"/>
      </w:pPr>
      <w:r w:rsidRPr="00915C61">
        <w:t>Con sujeción al cumplimiento por parte del País de las obligaciones estipuladas en este Acuerdo, el Comité Ejecutivo conviene, en principio, en proporcionar al País el financiamiento indicado en el renglón</w:t>
      </w:r>
      <w:r w:rsidR="00570A22">
        <w:rPr>
          <w:b/>
        </w:rPr>
        <w:t> </w:t>
      </w:r>
      <w:r w:rsidRPr="00915C61">
        <w:t>3.1 del Apéndice 2-A. El Comité Ejecutivo proporcionará dicho financiamiento, en principio, durante las reuniones del Comité que señala el Apéndice 3-A (“Cronograma de aprobación del financiamiento”).</w:t>
      </w:r>
    </w:p>
    <w:p w14:paraId="2022BC2B" w14:textId="4DDA0EE9" w:rsidR="00EC0B4F" w:rsidRPr="00915C61" w:rsidRDefault="00EC0B4F" w:rsidP="00EC0B4F">
      <w:pPr>
        <w:pStyle w:val="Heading1"/>
      </w:pPr>
      <w:r w:rsidRPr="00915C61">
        <w:t>El País acepta aplicar este Acuerdo conforme a la etapa II del plan de gestión para la eliminación de HCFC aprobado (“el Plan”). Conforme al inciso 5 b) de este Acuerdo, el País aceptará la verificación independiente del logro de los límites anuales de consumo de las Sustancias que se estipulan en el renglón</w:t>
      </w:r>
      <w:r w:rsidR="00570A22">
        <w:rPr>
          <w:b/>
        </w:rPr>
        <w:t> </w:t>
      </w:r>
      <w:r w:rsidRPr="00915C61">
        <w:t>1.2 del Apéndice 2-A de este Acuerdo. La verificación mencionada será encomendada por el organismo bilateral o de ejecución pertinente.</w:t>
      </w:r>
    </w:p>
    <w:p w14:paraId="6F9974B1" w14:textId="77777777" w:rsidR="00EC0B4F" w:rsidRPr="00915C61" w:rsidRDefault="00EC0B4F" w:rsidP="00EC0B4F">
      <w:pPr>
        <w:keepNext/>
        <w:spacing w:after="240"/>
        <w:rPr>
          <w:b/>
        </w:rPr>
      </w:pPr>
      <w:r w:rsidRPr="00915C61">
        <w:rPr>
          <w:b/>
        </w:rPr>
        <w:t>Condiciones para la entrega de fondos</w:t>
      </w:r>
    </w:p>
    <w:p w14:paraId="6D1E978B" w14:textId="77777777" w:rsidR="00EC0B4F" w:rsidRPr="00915C61" w:rsidRDefault="00EC0B4F" w:rsidP="00EC0B4F">
      <w:pPr>
        <w:pStyle w:val="Heading1"/>
      </w:pPr>
      <w:r w:rsidRPr="00915C61">
        <w:t>El Comité Ejecutivo dispondrá la entrega del financiamiento según lo previsto en el cronograma de aprobación del financiamiento siempre que el País satisfaga las siguientes condiciones con al menos ocho semanas de antelación respecto de la reunión del Comité Ejecutivo que corresponda según dicho cronograma:</w:t>
      </w:r>
    </w:p>
    <w:p w14:paraId="49A8A967" w14:textId="77777777" w:rsidR="00EC0B4F" w:rsidRPr="00915C61" w:rsidRDefault="00EC0B4F" w:rsidP="00EC0B4F">
      <w:pPr>
        <w:pStyle w:val="Heading2"/>
        <w:ind w:left="1440" w:hanging="720"/>
      </w:pPr>
      <w:r w:rsidRPr="00915C61">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6677C2A3" w14:textId="77777777" w:rsidR="00EC0B4F" w:rsidRPr="00915C61" w:rsidRDefault="00EC0B4F" w:rsidP="00EC0B4F">
      <w:pPr>
        <w:pStyle w:val="Heading2"/>
        <w:widowControl/>
        <w:tabs>
          <w:tab w:val="num" w:pos="-720"/>
        </w:tabs>
        <w:ind w:left="1440" w:hanging="720"/>
      </w:pPr>
      <w:r w:rsidRPr="00915C61">
        <w:t>Que salvo indicación en contrario del Comité Ejecutivo, una entidad independiente haya verificado el cumplimiento de las metas para todos los años en cuestión;</w:t>
      </w:r>
    </w:p>
    <w:p w14:paraId="1B72C879" w14:textId="77777777" w:rsidR="00EC0B4F" w:rsidRPr="00915C61" w:rsidRDefault="00EC0B4F" w:rsidP="00EC0B4F">
      <w:pPr>
        <w:pStyle w:val="Heading2"/>
        <w:widowControl/>
        <w:tabs>
          <w:tab w:val="num" w:pos="-720"/>
        </w:tabs>
        <w:ind w:left="1440" w:hanging="720"/>
      </w:pPr>
      <w:r w:rsidRPr="00915C61">
        <w:lastRenderedPageBreak/>
        <w:t>Que el País haya presentado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del financiamiento disponible del tramo anterior aprobado; y</w:t>
      </w:r>
    </w:p>
    <w:p w14:paraId="1D819AF5" w14:textId="77777777" w:rsidR="00EC0B4F" w:rsidRPr="00915C61" w:rsidRDefault="00EC0B4F" w:rsidP="00EC0B4F">
      <w:pPr>
        <w:pStyle w:val="Heading2"/>
        <w:widowControl/>
        <w:tabs>
          <w:tab w:val="num" w:pos="-720"/>
        </w:tabs>
        <w:ind w:left="1440" w:hanging="720"/>
      </w:pPr>
      <w:r w:rsidRPr="00915C61">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10226A0B" w14:textId="77777777" w:rsidR="00EC0B4F" w:rsidRPr="00915C61" w:rsidRDefault="00EC0B4F" w:rsidP="00EC0B4F">
      <w:pPr>
        <w:keepNext/>
        <w:spacing w:before="240" w:after="240"/>
        <w:rPr>
          <w:b/>
        </w:rPr>
      </w:pPr>
      <w:r w:rsidRPr="00915C61">
        <w:rPr>
          <w:b/>
        </w:rPr>
        <w:t>Supervisión</w:t>
      </w:r>
    </w:p>
    <w:p w14:paraId="134AF4F3" w14:textId="77777777" w:rsidR="00EC0B4F" w:rsidRPr="00915C61" w:rsidRDefault="00EC0B4F" w:rsidP="00EC0B4F">
      <w:pPr>
        <w:pStyle w:val="Heading1"/>
      </w:pPr>
      <w:r w:rsidRPr="00915C61">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3DA3D6A9" w14:textId="77777777" w:rsidR="00EC0B4F" w:rsidRPr="00915C61" w:rsidRDefault="00EC0B4F" w:rsidP="00EC0B4F">
      <w:pPr>
        <w:keepNext/>
        <w:spacing w:before="240" w:after="240"/>
        <w:rPr>
          <w:b/>
        </w:rPr>
      </w:pPr>
      <w:r w:rsidRPr="00915C61">
        <w:rPr>
          <w:b/>
        </w:rPr>
        <w:t>Flexibilidad en la reasignación de fondos</w:t>
      </w:r>
    </w:p>
    <w:p w14:paraId="516ED6B4" w14:textId="77777777" w:rsidR="00EC0B4F" w:rsidRPr="00915C61" w:rsidRDefault="00EC0B4F" w:rsidP="00EC0B4F">
      <w:pPr>
        <w:pStyle w:val="Heading1"/>
      </w:pPr>
      <w:r w:rsidRPr="00915C61">
        <w:t>El Comité Ejecutivo conviene en que el País podrá tener flexibilidad para reasignar parte o la totalidad de los fondos aprobados, según la evolución de las circunstancias para lograr la reducción del consumo y la eliminación más ágil posible de las Sustancias indicadas en el Apéndice 1-A:</w:t>
      </w:r>
    </w:p>
    <w:p w14:paraId="242F91E8" w14:textId="77777777" w:rsidR="00EC0B4F" w:rsidRPr="00915C61" w:rsidRDefault="00EC0B4F" w:rsidP="00EC0B4F">
      <w:pPr>
        <w:pStyle w:val="Heading2"/>
        <w:ind w:left="1440" w:hanging="720"/>
      </w:pPr>
      <w:r w:rsidRPr="00915C61">
        <w:t>Las reasignaciones que supongan cambios significativos deberán documentarse por anticipado en el plan de ejecución de tramo según lo previsto en el inciso 5 d) anterior, o bien como revisión de un plan de ejecución de tramo existente que deberá presentarse para su aprobación ocho semanas antes de la reunión correspondiente del Comité Ejecutivo. Por cambios significativos se entienden:</w:t>
      </w:r>
    </w:p>
    <w:p w14:paraId="0D2C0D5F" w14:textId="77777777" w:rsidR="005649B9" w:rsidRDefault="00EC0B4F" w:rsidP="005649B9">
      <w:pPr>
        <w:pStyle w:val="Heading3"/>
        <w:numPr>
          <w:ilvl w:val="0"/>
          <w:numId w:val="24"/>
        </w:numPr>
      </w:pPr>
      <w:r w:rsidRPr="00915C61">
        <w:t>Materias que pudieran afectar el reglamento y las políticas del Fondo Multilateral;</w:t>
      </w:r>
    </w:p>
    <w:p w14:paraId="11EC3013" w14:textId="77777777" w:rsidR="005649B9" w:rsidRDefault="00EC0B4F" w:rsidP="005649B9">
      <w:pPr>
        <w:pStyle w:val="Heading3"/>
        <w:numPr>
          <w:ilvl w:val="0"/>
          <w:numId w:val="24"/>
        </w:numPr>
      </w:pPr>
      <w:r w:rsidRPr="00915C61">
        <w:t>Cambios que modifiquen cláusulas de este Acuerdo;</w:t>
      </w:r>
    </w:p>
    <w:p w14:paraId="49E0FB94" w14:textId="3A4A82C4" w:rsidR="00EC0B4F" w:rsidRPr="00915C61" w:rsidRDefault="005649B9" w:rsidP="005649B9">
      <w:pPr>
        <w:pStyle w:val="Heading3"/>
        <w:numPr>
          <w:ilvl w:val="0"/>
          <w:numId w:val="24"/>
        </w:numPr>
      </w:pPr>
      <w:r>
        <w:t>C</w:t>
      </w:r>
      <w:r w:rsidR="00EC0B4F" w:rsidRPr="00915C61">
        <w:t>ambios en los niveles anuales de financiamiento asignados a cada organismo bilateral o de ejecución para los distintos tramos;</w:t>
      </w:r>
    </w:p>
    <w:p w14:paraId="57202F30" w14:textId="5900505D" w:rsidR="00EC0B4F" w:rsidRPr="00915C61" w:rsidRDefault="00EC0B4F" w:rsidP="005649B9">
      <w:pPr>
        <w:pStyle w:val="Heading3"/>
        <w:numPr>
          <w:ilvl w:val="0"/>
          <w:numId w:val="24"/>
        </w:numPr>
      </w:pPr>
      <w:r w:rsidRPr="00915C61">
        <w:t>La entrega de financiamiento para actividades no contempladas en el plan de ejecución de tramo aprobado en curso o la eliminación de una actividad que sí lo esté, con un costo mayor al 30 por ciento del total del último tramo aprobado;</w:t>
      </w:r>
    </w:p>
    <w:p w14:paraId="08BF16CA" w14:textId="3A6C1C24" w:rsidR="00EC0B4F" w:rsidRPr="00915C61" w:rsidRDefault="00EC0B4F" w:rsidP="005649B9">
      <w:pPr>
        <w:pStyle w:val="Heading3"/>
        <w:numPr>
          <w:ilvl w:val="0"/>
          <w:numId w:val="24"/>
        </w:numPr>
      </w:pPr>
      <w:r w:rsidRPr="00915C61">
        <w:t>Cambios en las tecnologías alternativas, en cuyo caso todas las solicitudes de ese tipo deberán precisar los respectivos sobrecostos,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25D9E866" w14:textId="77777777" w:rsidR="00EC0B4F" w:rsidRPr="00915C61" w:rsidRDefault="00EC0B4F" w:rsidP="00EC0B4F">
      <w:pPr>
        <w:pStyle w:val="Heading2"/>
        <w:widowControl/>
        <w:tabs>
          <w:tab w:val="num" w:pos="-720"/>
        </w:tabs>
        <w:ind w:left="1440" w:hanging="720"/>
      </w:pPr>
      <w:r w:rsidRPr="00915C61">
        <w:t>Las reasignaciones que no supongan cambios significativos podrán incorporarse al plan de ejecución de tramo aprobado en curso y notificarse al Comité Ejecutivo en el siguiente informe de ejecución de tramo; y</w:t>
      </w:r>
    </w:p>
    <w:p w14:paraId="33B5608E" w14:textId="77777777" w:rsidR="00EC0B4F" w:rsidRPr="00915C61" w:rsidRDefault="00EC0B4F" w:rsidP="00EC0B4F">
      <w:pPr>
        <w:pStyle w:val="Heading2"/>
        <w:widowControl/>
        <w:tabs>
          <w:tab w:val="num" w:pos="-720"/>
        </w:tabs>
        <w:ind w:left="1440" w:hanging="720"/>
      </w:pPr>
      <w:r w:rsidRPr="00915C61">
        <w:lastRenderedPageBreak/>
        <w:t>Los saldos remanentes que obren en poder de los organismos bilaterales o de ejecución o del País deberán ser reintegrados al Fondo Multilateral al concluir el último tramo previsto en este Acuerdo.</w:t>
      </w:r>
    </w:p>
    <w:p w14:paraId="5045F6B6" w14:textId="77777777" w:rsidR="00EC0B4F" w:rsidRPr="00915C61" w:rsidRDefault="00EC0B4F" w:rsidP="00EC0B4F">
      <w:pPr>
        <w:keepNext/>
        <w:spacing w:before="240" w:after="240"/>
        <w:rPr>
          <w:b/>
        </w:rPr>
      </w:pPr>
      <w:r w:rsidRPr="00915C61">
        <w:rPr>
          <w:b/>
        </w:rPr>
        <w:t>Consideraciones sobre el sector de servicio técnico de equipos de refrigeración</w:t>
      </w:r>
    </w:p>
    <w:p w14:paraId="271676C4" w14:textId="77777777" w:rsidR="00EC0B4F" w:rsidRPr="00915C61" w:rsidRDefault="00EC0B4F" w:rsidP="00EC0B4F">
      <w:pPr>
        <w:pStyle w:val="Heading1"/>
      </w:pPr>
      <w:r w:rsidRPr="00915C61">
        <w:t>Se prestará especial atención a la ejecución de las actividades contempladas en el Plan para el sector de servicio técnico de equipos de refrigeración, en particular:</w:t>
      </w:r>
    </w:p>
    <w:p w14:paraId="23D6FE18" w14:textId="77777777" w:rsidR="00EC0B4F" w:rsidRPr="00915C61" w:rsidRDefault="00EC0B4F" w:rsidP="00EC0B4F">
      <w:pPr>
        <w:pStyle w:val="Heading2"/>
        <w:widowControl/>
        <w:tabs>
          <w:tab w:val="num" w:pos="-720"/>
        </w:tabs>
        <w:ind w:left="1440" w:hanging="720"/>
      </w:pPr>
      <w:r w:rsidRPr="00915C61">
        <w:t>Si el País recurre a la flexibilidad que le concede el presente Acuerdo para atender necesidades específicas que pudieran presentarse durante la ejecución del proyecto; y</w:t>
      </w:r>
    </w:p>
    <w:p w14:paraId="09DE9DBD" w14:textId="77777777" w:rsidR="00EC0B4F" w:rsidRPr="00915C61" w:rsidRDefault="00EC0B4F" w:rsidP="00EC0B4F">
      <w:pPr>
        <w:pStyle w:val="Heading2"/>
        <w:widowControl/>
        <w:tabs>
          <w:tab w:val="num" w:pos="-720"/>
        </w:tabs>
        <w:ind w:left="1440" w:hanging="720"/>
      </w:pPr>
      <w:r w:rsidRPr="00915C61">
        <w:t>Que durante la ejecución del Plan, el País y los organismos bilaterales y/o de ejecución pertinentes tomen en consideración las decisiones aplicables al sector de servicio técnico de equipos de refrigeración.</w:t>
      </w:r>
    </w:p>
    <w:p w14:paraId="3C5605EC" w14:textId="77777777" w:rsidR="00EC0B4F" w:rsidRPr="00915C61" w:rsidRDefault="00EC0B4F" w:rsidP="00EC0B4F">
      <w:pPr>
        <w:keepNext/>
        <w:spacing w:before="240" w:after="240"/>
        <w:rPr>
          <w:b/>
        </w:rPr>
      </w:pPr>
      <w:r w:rsidRPr="00915C61">
        <w:rPr>
          <w:b/>
        </w:rPr>
        <w:t>Organismos bilaterales y de ejecución</w:t>
      </w:r>
    </w:p>
    <w:p w14:paraId="4B2DF34B" w14:textId="2E7DE51D" w:rsidR="00EC0B4F" w:rsidRPr="00915C61" w:rsidRDefault="00EC0B4F" w:rsidP="00EC0B4F">
      <w:pPr>
        <w:pStyle w:val="Heading1"/>
      </w:pPr>
      <w:r w:rsidRPr="00915C61">
        <w:t xml:space="preserve">El País conviene en asumir la responsabilidad general en cuanto a la gestión y aplicación de este Acuerdo y de todas las actividades emprendidas por el País o en su nombre, en cumplimiento de las obligaciones en virtud del presente Acuerdo. </w:t>
      </w:r>
      <w:r>
        <w:t>El</w:t>
      </w:r>
      <w:r w:rsidRPr="00915C61">
        <w:t xml:space="preserve"> </w:t>
      </w:r>
      <w:r w:rsidR="00B06121">
        <w:t>PNUMA</w:t>
      </w:r>
      <w:r w:rsidR="00B06121" w:rsidRPr="00915C61">
        <w:t xml:space="preserve"> </w:t>
      </w:r>
      <w:r w:rsidRPr="00915C61">
        <w:t>acordó ser el principal organismo de ejecución (el “organismo principal”) en lo relativo a las actividades del País en virtud de este Acuerdo. El País acepta asimismo someterse a evaluaciones, las que podrán hacerse en el marco de los programas de supervisión y evaluación del Fondo Multilateral o del programa de evaluación del organismo principal que participa en este Acuerdo.</w:t>
      </w:r>
    </w:p>
    <w:p w14:paraId="3CDB65CE" w14:textId="77777777" w:rsidR="00EC0B4F" w:rsidRPr="00915C61" w:rsidRDefault="00EC0B4F" w:rsidP="00EC0B4F">
      <w:pPr>
        <w:pStyle w:val="Heading1"/>
      </w:pPr>
      <w:r w:rsidRPr="00915C61">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w:t>
      </w:r>
      <w:r>
        <w:t xml:space="preserve"> función </w:t>
      </w:r>
      <w:r w:rsidRPr="00915C61">
        <w:t>del organismo principal se describe en el Apéndice 6-A. Por su parte, el Comité Ejecutivo conviene, en principio, en pagar al organismo principal los honorarios que indica</w:t>
      </w:r>
      <w:r>
        <w:t xml:space="preserve"> el renglón </w:t>
      </w:r>
      <w:r w:rsidRPr="00915C61">
        <w:t>2.2 del Apéndice 2-A.</w:t>
      </w:r>
    </w:p>
    <w:p w14:paraId="47DD5658" w14:textId="77777777" w:rsidR="00EC0B4F" w:rsidRPr="00915C61" w:rsidRDefault="00EC0B4F" w:rsidP="00EC0B4F">
      <w:pPr>
        <w:keepNext/>
        <w:spacing w:before="240" w:after="240"/>
        <w:rPr>
          <w:b/>
        </w:rPr>
      </w:pPr>
      <w:r w:rsidRPr="00915C61">
        <w:rPr>
          <w:b/>
        </w:rPr>
        <w:t>Incumplimiento del Acuerdo</w:t>
      </w:r>
    </w:p>
    <w:p w14:paraId="114644E4" w14:textId="77777777" w:rsidR="00EC0B4F" w:rsidRPr="00915C61" w:rsidRDefault="00EC0B4F" w:rsidP="00EC0B4F">
      <w:pPr>
        <w:pStyle w:val="Heading1"/>
        <w:spacing w:before="240"/>
      </w:pPr>
      <w:r w:rsidRPr="00915C61">
        <w:t>Si por cualquier motivo el País no logra cumplir las metas de eliminación de las Sustancias que fija el renglón 1.2 del Apéndice 2-A, o si de cualquier otra forma incumple lo estipulado en el presente Acuerdo, el País acepta que no podrá recibir el financiamiento previsto en el cronograma de aprobación del financiamiento. A discreción del Comité Ejecutivo, el financiamiento se reanudará según un cronograma de aprobación del financiamiento revisado que determine el Comité Ejecutivo una vez que el País demuestre haber cumplido con todas las obligaciones que le eran exigibles para recibir el siguiente tramo del financiamiento previsto en el cronograma.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4FCD86EA" w14:textId="77777777" w:rsidR="00EC0B4F" w:rsidRPr="00915C61" w:rsidRDefault="00EC0B4F" w:rsidP="00EC0B4F">
      <w:pPr>
        <w:pStyle w:val="Heading1"/>
      </w:pPr>
      <w:r w:rsidRPr="00915C61">
        <w:t>El financiamiento de este Acuerdo no se modificará sobre la base de ninguna decisión futura del Comité Ejecutivo que pueda afectar el financiamiento de cualquier otro proyecto del sector de consumo o de cualquier otra actividad relacionada en el País.</w:t>
      </w:r>
    </w:p>
    <w:p w14:paraId="1ABD9FAB" w14:textId="479CBA7E" w:rsidR="00EC0B4F" w:rsidRPr="00915C61" w:rsidRDefault="00EC0B4F" w:rsidP="00EC0B4F">
      <w:pPr>
        <w:pStyle w:val="Heading1"/>
        <w:keepNext/>
        <w:keepLines/>
        <w:widowControl w:val="0"/>
      </w:pPr>
      <w:r w:rsidRPr="00915C61">
        <w:lastRenderedPageBreak/>
        <w:t>El País acatará cualquier solicitud razonable del Comité Ejecutivo</w:t>
      </w:r>
      <w:r w:rsidR="00B06121">
        <w:t>,</w:t>
      </w:r>
      <w:r>
        <w:t xml:space="preserve"> </w:t>
      </w:r>
      <w:r w:rsidRPr="00915C61">
        <w:t>el organismo principal para facilitar la ejecución de este Acuerdo. En particular, proporcionará al organismo principal acceso a la información necesaria para verificar el cumplimiento de este Acuerdo.</w:t>
      </w:r>
    </w:p>
    <w:p w14:paraId="77A322BB" w14:textId="77777777" w:rsidR="00EC0B4F" w:rsidRPr="00915C61" w:rsidRDefault="00EC0B4F" w:rsidP="008B5A2D">
      <w:pPr>
        <w:keepNext/>
        <w:spacing w:before="240" w:after="240"/>
        <w:rPr>
          <w:b/>
        </w:rPr>
      </w:pPr>
      <w:r w:rsidRPr="00915C61">
        <w:rPr>
          <w:b/>
        </w:rPr>
        <w:t>Fecha de finalización</w:t>
      </w:r>
    </w:p>
    <w:p w14:paraId="4878684E" w14:textId="2599C3C7" w:rsidR="00EC0B4F" w:rsidRPr="00915C61" w:rsidRDefault="00EC0B4F" w:rsidP="00EC0B4F">
      <w:pPr>
        <w:pStyle w:val="Heading1"/>
        <w:spacing w:before="240"/>
      </w:pPr>
      <w:r w:rsidRPr="00915C61">
        <w:t>El Plan y el respectivo Acuerdo concluirán al término del año siguiente al último ejercicio para el cual el Apéndice 2-A establezca un consumo total máximo permitido. Si a ese entonces siguen pendientes actividades previstas en el último plan de ejecución de tramo y sus modificaciones posteriores según el inciso 5 d) y el párrafo 7, la conclusión del Plan se aplazará hasta el término del año siguiente a la ejecución de las actividades pendientes. Salvo indicación en contrario del Comité Ejecutivo, la obligación de informar conforme a lo previsto en los incisos 1 a), 1 b), 1 d) y 1 e) del Apéndice 4-A se mantendrá vigente hasta la conclusión del Plan.</w:t>
      </w:r>
    </w:p>
    <w:p w14:paraId="4E46424A" w14:textId="77777777" w:rsidR="00EC0B4F" w:rsidRPr="00915C61" w:rsidRDefault="00EC0B4F" w:rsidP="00EC0B4F">
      <w:pPr>
        <w:keepNext/>
        <w:widowControl w:val="0"/>
        <w:spacing w:before="240" w:after="240"/>
      </w:pPr>
      <w:r w:rsidRPr="00915C61">
        <w:rPr>
          <w:b/>
        </w:rPr>
        <w:t>Validez</w:t>
      </w:r>
    </w:p>
    <w:p w14:paraId="7869F56F" w14:textId="16F87400" w:rsidR="00EC0B4F" w:rsidRPr="00915C61" w:rsidRDefault="00EC0B4F" w:rsidP="00EC0B4F">
      <w:pPr>
        <w:pStyle w:val="Heading1"/>
        <w:spacing w:before="240"/>
      </w:pPr>
      <w:r w:rsidRPr="00915C61">
        <w:t>Las condiciones del presente Acuerdo rigen exclusivamente en el marco del Protocolo de Montreal y conforme a lo aquí estipulado. Salvo indicación en contrario, los términos utilizados tienen el significado que les asigna el Protocolo de Montreal.</w:t>
      </w:r>
    </w:p>
    <w:p w14:paraId="13F99A63" w14:textId="77777777" w:rsidR="00EC0B4F" w:rsidRPr="00915C61" w:rsidRDefault="00EC0B4F" w:rsidP="00EC0B4F">
      <w:pPr>
        <w:pStyle w:val="Heading1"/>
      </w:pPr>
      <w:r w:rsidRPr="00915C61">
        <w:t>El presente Acuerdo solo podrá modificarse o extinguirse por la voluntad escrita del País y del Comité Ejecutivo del Fondo Multilateral.</w:t>
      </w:r>
    </w:p>
    <w:p w14:paraId="69BE0614" w14:textId="77777777" w:rsidR="00EC0B4F" w:rsidRPr="00915C61" w:rsidRDefault="00EC0B4F" w:rsidP="00EC0B4F">
      <w:pPr>
        <w:pStyle w:val="Heading1"/>
        <w:keepNext/>
        <w:widowControl w:val="0"/>
        <w:numPr>
          <w:ilvl w:val="0"/>
          <w:numId w:val="0"/>
        </w:numPr>
        <w:spacing w:before="360" w:after="360"/>
        <w:rPr>
          <w:b/>
          <w:sz w:val="24"/>
          <w:szCs w:val="24"/>
        </w:rPr>
      </w:pPr>
      <w:r w:rsidRPr="00915C61">
        <w:rPr>
          <w:b/>
          <w:sz w:val="24"/>
          <w:szCs w:val="24"/>
        </w:rPr>
        <w:t>APÉNDICES</w:t>
      </w:r>
    </w:p>
    <w:p w14:paraId="39FC1664" w14:textId="77777777" w:rsidR="00EC0B4F" w:rsidRPr="00915C61" w:rsidRDefault="00EC0B4F" w:rsidP="00EC0B4F">
      <w:pPr>
        <w:pStyle w:val="Heading1"/>
        <w:keepNext/>
        <w:widowControl w:val="0"/>
        <w:numPr>
          <w:ilvl w:val="0"/>
          <w:numId w:val="0"/>
        </w:numPr>
        <w:spacing w:before="360"/>
        <w:rPr>
          <w:b/>
        </w:rPr>
      </w:pPr>
      <w:r w:rsidRPr="00915C61">
        <w:rPr>
          <w:b/>
        </w:rPr>
        <w:t>APÉNDICE 1-A: SUSTANCIAS</w:t>
      </w:r>
    </w:p>
    <w:tbl>
      <w:tblPr>
        <w:tblW w:w="514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936"/>
        <w:gridCol w:w="765"/>
        <w:gridCol w:w="3499"/>
      </w:tblGrid>
      <w:tr w:rsidR="00EC0B4F" w:rsidRPr="00A16458" w14:paraId="01BDADEB" w14:textId="77777777" w:rsidTr="00741A81">
        <w:tc>
          <w:tcPr>
            <w:tcW w:w="2300" w:type="pct"/>
          </w:tcPr>
          <w:p w14:paraId="16F3CE1A" w14:textId="77777777" w:rsidR="00EC0B4F" w:rsidRPr="00A16458" w:rsidRDefault="00EC0B4F" w:rsidP="00741A81">
            <w:pPr>
              <w:keepNext/>
              <w:keepLines/>
              <w:jc w:val="center"/>
              <w:rPr>
                <w:sz w:val="18"/>
                <w:szCs w:val="18"/>
              </w:rPr>
            </w:pPr>
            <w:r w:rsidRPr="00A16458">
              <w:rPr>
                <w:sz w:val="18"/>
                <w:szCs w:val="18"/>
              </w:rPr>
              <w:t>Sustancia</w:t>
            </w:r>
          </w:p>
        </w:tc>
        <w:tc>
          <w:tcPr>
            <w:tcW w:w="486" w:type="pct"/>
          </w:tcPr>
          <w:p w14:paraId="223671C5" w14:textId="77777777" w:rsidR="00EC0B4F" w:rsidRPr="00A16458" w:rsidRDefault="00EC0B4F" w:rsidP="00741A81">
            <w:pPr>
              <w:keepNext/>
              <w:keepLines/>
              <w:jc w:val="center"/>
              <w:rPr>
                <w:sz w:val="18"/>
                <w:szCs w:val="18"/>
              </w:rPr>
            </w:pPr>
            <w:r w:rsidRPr="00A16458">
              <w:rPr>
                <w:sz w:val="18"/>
                <w:szCs w:val="18"/>
              </w:rPr>
              <w:t>Anexo</w:t>
            </w:r>
          </w:p>
        </w:tc>
        <w:tc>
          <w:tcPr>
            <w:tcW w:w="397" w:type="pct"/>
          </w:tcPr>
          <w:p w14:paraId="1DB7607F" w14:textId="77777777" w:rsidR="00EC0B4F" w:rsidRPr="00A16458" w:rsidRDefault="00EC0B4F" w:rsidP="00741A81">
            <w:pPr>
              <w:keepNext/>
              <w:keepLines/>
              <w:jc w:val="center"/>
              <w:rPr>
                <w:sz w:val="18"/>
                <w:szCs w:val="18"/>
              </w:rPr>
            </w:pPr>
            <w:r w:rsidRPr="00A16458">
              <w:rPr>
                <w:sz w:val="18"/>
                <w:szCs w:val="18"/>
              </w:rPr>
              <w:t>Grupo</w:t>
            </w:r>
          </w:p>
        </w:tc>
        <w:tc>
          <w:tcPr>
            <w:tcW w:w="1817" w:type="pct"/>
            <w:tcMar>
              <w:left w:w="58" w:type="dxa"/>
              <w:right w:w="58" w:type="dxa"/>
            </w:tcMar>
          </w:tcPr>
          <w:p w14:paraId="1EFD9805" w14:textId="77777777" w:rsidR="00EC0B4F" w:rsidRPr="00A16458" w:rsidRDefault="00EC0B4F" w:rsidP="00741A81">
            <w:pPr>
              <w:keepNext/>
              <w:keepLines/>
              <w:jc w:val="center"/>
              <w:rPr>
                <w:sz w:val="18"/>
                <w:szCs w:val="18"/>
              </w:rPr>
            </w:pPr>
            <w:r w:rsidRPr="00A16458">
              <w:rPr>
                <w:sz w:val="18"/>
                <w:szCs w:val="18"/>
              </w:rPr>
              <w:t>Punto de partida para reducciones acumulativas en el consumo (tons. PAO)</w:t>
            </w:r>
          </w:p>
        </w:tc>
      </w:tr>
      <w:tr w:rsidR="00EC0B4F" w:rsidRPr="00A16458" w14:paraId="6024BF98" w14:textId="77777777" w:rsidTr="00741A81">
        <w:tc>
          <w:tcPr>
            <w:tcW w:w="2300" w:type="pct"/>
          </w:tcPr>
          <w:p w14:paraId="64C5C964" w14:textId="77777777" w:rsidR="00EC0B4F" w:rsidRPr="00A16458" w:rsidRDefault="00EC0B4F" w:rsidP="00741A81">
            <w:pPr>
              <w:keepNext/>
              <w:rPr>
                <w:sz w:val="18"/>
                <w:szCs w:val="18"/>
              </w:rPr>
            </w:pPr>
            <w:r w:rsidRPr="00A16458">
              <w:rPr>
                <w:sz w:val="18"/>
                <w:szCs w:val="18"/>
              </w:rPr>
              <w:t>HCFC-22</w:t>
            </w:r>
          </w:p>
        </w:tc>
        <w:tc>
          <w:tcPr>
            <w:tcW w:w="486" w:type="pct"/>
          </w:tcPr>
          <w:p w14:paraId="12CBE3F0" w14:textId="77777777" w:rsidR="00EC0B4F" w:rsidRPr="00A16458" w:rsidRDefault="00EC0B4F" w:rsidP="00741A81">
            <w:pPr>
              <w:keepNext/>
              <w:jc w:val="center"/>
              <w:rPr>
                <w:sz w:val="18"/>
                <w:szCs w:val="18"/>
              </w:rPr>
            </w:pPr>
            <w:r w:rsidRPr="00A16458">
              <w:rPr>
                <w:sz w:val="18"/>
                <w:szCs w:val="18"/>
              </w:rPr>
              <w:t>C</w:t>
            </w:r>
          </w:p>
        </w:tc>
        <w:tc>
          <w:tcPr>
            <w:tcW w:w="397" w:type="pct"/>
          </w:tcPr>
          <w:p w14:paraId="32F43A2A" w14:textId="77777777" w:rsidR="00EC0B4F" w:rsidRPr="00A16458" w:rsidRDefault="00EC0B4F" w:rsidP="00741A81">
            <w:pPr>
              <w:keepNext/>
              <w:autoSpaceDE w:val="0"/>
              <w:autoSpaceDN w:val="0"/>
              <w:adjustRightInd w:val="0"/>
              <w:jc w:val="center"/>
              <w:rPr>
                <w:sz w:val="18"/>
                <w:szCs w:val="18"/>
              </w:rPr>
            </w:pPr>
            <w:r w:rsidRPr="00A16458">
              <w:rPr>
                <w:sz w:val="18"/>
                <w:szCs w:val="18"/>
              </w:rPr>
              <w:t>I</w:t>
            </w:r>
          </w:p>
        </w:tc>
        <w:tc>
          <w:tcPr>
            <w:tcW w:w="1817" w:type="pct"/>
          </w:tcPr>
          <w:p w14:paraId="5E683E23" w14:textId="62AB4CF0" w:rsidR="00EC0B4F" w:rsidRPr="00A16458" w:rsidRDefault="00B06121" w:rsidP="00741A81">
            <w:pPr>
              <w:pStyle w:val="Default"/>
              <w:jc w:val="right"/>
              <w:rPr>
                <w:sz w:val="18"/>
                <w:szCs w:val="18"/>
              </w:rPr>
            </w:pPr>
            <w:r>
              <w:rPr>
                <w:sz w:val="18"/>
                <w:szCs w:val="18"/>
              </w:rPr>
              <w:t>0,7</w:t>
            </w:r>
          </w:p>
        </w:tc>
      </w:tr>
    </w:tbl>
    <w:p w14:paraId="7CD72639" w14:textId="77777777" w:rsidR="00EC0B4F" w:rsidRDefault="00EC0B4F" w:rsidP="00EC0B4F">
      <w:pPr>
        <w:jc w:val="left"/>
        <w:rPr>
          <w:b/>
        </w:rPr>
      </w:pPr>
    </w:p>
    <w:p w14:paraId="64E24A26" w14:textId="77777777" w:rsidR="00EC0B4F" w:rsidRPr="00915C61" w:rsidRDefault="00EC0B4F" w:rsidP="00EC0B4F">
      <w:pPr>
        <w:pStyle w:val="Heading1"/>
        <w:keepNext/>
        <w:numPr>
          <w:ilvl w:val="0"/>
          <w:numId w:val="0"/>
        </w:numPr>
        <w:spacing w:before="360"/>
        <w:rPr>
          <w:b/>
        </w:rPr>
      </w:pPr>
      <w:r w:rsidRPr="00915C61">
        <w:rPr>
          <w:b/>
        </w:rPr>
        <w:t>APÉNDICE 2-A: METAS Y FINANCIAMIENTO</w:t>
      </w:r>
    </w:p>
    <w:tbl>
      <w:tblPr>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757"/>
        <w:gridCol w:w="2930"/>
        <w:gridCol w:w="900"/>
        <w:gridCol w:w="810"/>
        <w:gridCol w:w="900"/>
        <w:gridCol w:w="900"/>
        <w:gridCol w:w="810"/>
        <w:gridCol w:w="810"/>
        <w:gridCol w:w="801"/>
      </w:tblGrid>
      <w:tr w:rsidR="00120E6E" w:rsidRPr="00A16458" w14:paraId="0E6B0826" w14:textId="77777777" w:rsidTr="00120E6E">
        <w:trPr>
          <w:trHeight w:val="400"/>
          <w:tblHeader/>
          <w:jc w:val="center"/>
        </w:trPr>
        <w:tc>
          <w:tcPr>
            <w:tcW w:w="394" w:type="pct"/>
            <w:tcMar>
              <w:top w:w="0" w:type="dxa"/>
              <w:left w:w="58" w:type="dxa"/>
              <w:bottom w:w="0" w:type="dxa"/>
              <w:right w:w="58" w:type="dxa"/>
            </w:tcMar>
            <w:vAlign w:val="center"/>
            <w:hideMark/>
          </w:tcPr>
          <w:p w14:paraId="58436DF1" w14:textId="77777777" w:rsidR="00EC0B4F" w:rsidRPr="00A16458" w:rsidRDefault="00EC0B4F" w:rsidP="00741A81">
            <w:pPr>
              <w:jc w:val="center"/>
              <w:rPr>
                <w:rFonts w:eastAsia="Calibri"/>
                <w:b/>
                <w:bCs/>
                <w:color w:val="000000"/>
                <w:sz w:val="18"/>
                <w:szCs w:val="18"/>
              </w:rPr>
            </w:pPr>
            <w:bookmarkStart w:id="26" w:name="_Hlk182290655"/>
            <w:r w:rsidRPr="00A16458">
              <w:rPr>
                <w:b/>
                <w:bCs/>
                <w:color w:val="000000"/>
                <w:sz w:val="18"/>
                <w:szCs w:val="18"/>
              </w:rPr>
              <w:t>Renglón</w:t>
            </w:r>
          </w:p>
        </w:tc>
        <w:tc>
          <w:tcPr>
            <w:tcW w:w="1523" w:type="pct"/>
            <w:tcMar>
              <w:top w:w="0" w:type="dxa"/>
              <w:left w:w="58" w:type="dxa"/>
              <w:bottom w:w="0" w:type="dxa"/>
              <w:right w:w="58" w:type="dxa"/>
            </w:tcMar>
            <w:vAlign w:val="center"/>
            <w:hideMark/>
          </w:tcPr>
          <w:p w14:paraId="2DDDA419"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Concepto</w:t>
            </w:r>
          </w:p>
        </w:tc>
        <w:tc>
          <w:tcPr>
            <w:tcW w:w="468" w:type="pct"/>
            <w:tcMar>
              <w:top w:w="0" w:type="dxa"/>
              <w:left w:w="58" w:type="dxa"/>
              <w:bottom w:w="0" w:type="dxa"/>
              <w:right w:w="58" w:type="dxa"/>
            </w:tcMar>
            <w:vAlign w:val="center"/>
            <w:hideMark/>
          </w:tcPr>
          <w:p w14:paraId="2AED1BFD"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2025</w:t>
            </w:r>
          </w:p>
        </w:tc>
        <w:tc>
          <w:tcPr>
            <w:tcW w:w="421" w:type="pct"/>
            <w:tcMar>
              <w:top w:w="0" w:type="dxa"/>
              <w:left w:w="58" w:type="dxa"/>
              <w:bottom w:w="0" w:type="dxa"/>
              <w:right w:w="58" w:type="dxa"/>
            </w:tcMar>
            <w:vAlign w:val="center"/>
            <w:hideMark/>
          </w:tcPr>
          <w:p w14:paraId="655788A2"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2026</w:t>
            </w:r>
          </w:p>
        </w:tc>
        <w:tc>
          <w:tcPr>
            <w:tcW w:w="468" w:type="pct"/>
            <w:tcMar>
              <w:top w:w="0" w:type="dxa"/>
              <w:left w:w="58" w:type="dxa"/>
              <w:bottom w:w="0" w:type="dxa"/>
              <w:right w:w="58" w:type="dxa"/>
            </w:tcMar>
            <w:vAlign w:val="center"/>
            <w:hideMark/>
          </w:tcPr>
          <w:p w14:paraId="6A2192E1"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2027</w:t>
            </w:r>
          </w:p>
        </w:tc>
        <w:tc>
          <w:tcPr>
            <w:tcW w:w="468" w:type="pct"/>
            <w:tcMar>
              <w:top w:w="0" w:type="dxa"/>
              <w:left w:w="58" w:type="dxa"/>
              <w:bottom w:w="0" w:type="dxa"/>
              <w:right w:w="58" w:type="dxa"/>
            </w:tcMar>
            <w:vAlign w:val="center"/>
            <w:hideMark/>
          </w:tcPr>
          <w:p w14:paraId="250CAE63"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2028</w:t>
            </w:r>
          </w:p>
        </w:tc>
        <w:tc>
          <w:tcPr>
            <w:tcW w:w="421" w:type="pct"/>
            <w:tcMar>
              <w:top w:w="0" w:type="dxa"/>
              <w:left w:w="58" w:type="dxa"/>
              <w:bottom w:w="0" w:type="dxa"/>
              <w:right w:w="58" w:type="dxa"/>
            </w:tcMar>
            <w:vAlign w:val="center"/>
            <w:hideMark/>
          </w:tcPr>
          <w:p w14:paraId="728ACDF9"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2029</w:t>
            </w:r>
          </w:p>
        </w:tc>
        <w:tc>
          <w:tcPr>
            <w:tcW w:w="421" w:type="pct"/>
            <w:tcMar>
              <w:top w:w="0" w:type="dxa"/>
              <w:left w:w="58" w:type="dxa"/>
              <w:bottom w:w="0" w:type="dxa"/>
              <w:right w:w="58" w:type="dxa"/>
            </w:tcMar>
            <w:vAlign w:val="center"/>
            <w:hideMark/>
          </w:tcPr>
          <w:p w14:paraId="520CCAA2"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2030</w:t>
            </w:r>
          </w:p>
        </w:tc>
        <w:tc>
          <w:tcPr>
            <w:tcW w:w="416" w:type="pct"/>
            <w:tcMar>
              <w:top w:w="0" w:type="dxa"/>
              <w:left w:w="58" w:type="dxa"/>
              <w:bottom w:w="0" w:type="dxa"/>
              <w:right w:w="58" w:type="dxa"/>
            </w:tcMar>
            <w:vAlign w:val="center"/>
            <w:hideMark/>
          </w:tcPr>
          <w:p w14:paraId="4FC68862" w14:textId="77777777" w:rsidR="00EC0B4F" w:rsidRPr="00A16458" w:rsidRDefault="00EC0B4F" w:rsidP="00741A81">
            <w:pPr>
              <w:jc w:val="center"/>
              <w:rPr>
                <w:rFonts w:eastAsia="Calibri"/>
                <w:b/>
                <w:bCs/>
                <w:color w:val="000000"/>
                <w:sz w:val="18"/>
                <w:szCs w:val="18"/>
              </w:rPr>
            </w:pPr>
            <w:r w:rsidRPr="00A16458">
              <w:rPr>
                <w:b/>
                <w:bCs/>
                <w:color w:val="000000"/>
                <w:sz w:val="18"/>
                <w:szCs w:val="18"/>
              </w:rPr>
              <w:t>Total</w:t>
            </w:r>
          </w:p>
        </w:tc>
      </w:tr>
      <w:tr w:rsidR="00120E6E" w:rsidRPr="00A16458" w14:paraId="4CA1AE33" w14:textId="77777777" w:rsidTr="00120E6E">
        <w:trPr>
          <w:trHeight w:val="449"/>
          <w:jc w:val="center"/>
        </w:trPr>
        <w:tc>
          <w:tcPr>
            <w:tcW w:w="394" w:type="pct"/>
            <w:tcMar>
              <w:top w:w="0" w:type="dxa"/>
              <w:left w:w="108" w:type="dxa"/>
              <w:bottom w:w="0" w:type="dxa"/>
              <w:right w:w="108" w:type="dxa"/>
            </w:tcMar>
            <w:hideMark/>
          </w:tcPr>
          <w:p w14:paraId="3B24468A" w14:textId="77777777" w:rsidR="00EC0B4F" w:rsidRPr="00A16458" w:rsidRDefault="00EC0B4F" w:rsidP="00741A81">
            <w:pPr>
              <w:rPr>
                <w:rFonts w:eastAsia="Calibri"/>
                <w:color w:val="000000"/>
                <w:sz w:val="18"/>
                <w:szCs w:val="18"/>
              </w:rPr>
            </w:pPr>
            <w:r w:rsidRPr="00A16458">
              <w:rPr>
                <w:color w:val="000000"/>
                <w:sz w:val="18"/>
                <w:szCs w:val="18"/>
              </w:rPr>
              <w:t>1.1</w:t>
            </w:r>
          </w:p>
        </w:tc>
        <w:tc>
          <w:tcPr>
            <w:tcW w:w="1523" w:type="pct"/>
            <w:tcMar>
              <w:top w:w="0" w:type="dxa"/>
              <w:left w:w="108" w:type="dxa"/>
              <w:bottom w:w="0" w:type="dxa"/>
              <w:right w:w="108" w:type="dxa"/>
            </w:tcMar>
            <w:hideMark/>
          </w:tcPr>
          <w:p w14:paraId="79B2E077" w14:textId="77777777" w:rsidR="00EC0B4F" w:rsidRPr="00A16458" w:rsidRDefault="00EC0B4F" w:rsidP="00741A81">
            <w:pPr>
              <w:jc w:val="left"/>
              <w:rPr>
                <w:rFonts w:eastAsia="Calibri"/>
                <w:color w:val="000000"/>
                <w:sz w:val="18"/>
                <w:szCs w:val="18"/>
              </w:rPr>
            </w:pPr>
            <w:r w:rsidRPr="00A16458">
              <w:rPr>
                <w:color w:val="000000"/>
                <w:sz w:val="18"/>
                <w:szCs w:val="18"/>
              </w:rPr>
              <w:t>Cronograma de reducción del Protocolo de Montreal para sustancias del Anexo C, Grupo I (tons. PAO)</w:t>
            </w:r>
          </w:p>
        </w:tc>
        <w:tc>
          <w:tcPr>
            <w:tcW w:w="468" w:type="pct"/>
            <w:tcMar>
              <w:top w:w="0" w:type="dxa"/>
              <w:left w:w="108" w:type="dxa"/>
              <w:bottom w:w="0" w:type="dxa"/>
              <w:right w:w="108" w:type="dxa"/>
            </w:tcMar>
            <w:hideMark/>
          </w:tcPr>
          <w:p w14:paraId="5E5A283E" w14:textId="4EE095D7"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21" w:type="pct"/>
            <w:tcMar>
              <w:top w:w="0" w:type="dxa"/>
              <w:left w:w="108" w:type="dxa"/>
              <w:bottom w:w="0" w:type="dxa"/>
              <w:right w:w="108" w:type="dxa"/>
            </w:tcMar>
            <w:hideMark/>
          </w:tcPr>
          <w:p w14:paraId="43C6CBD5" w14:textId="18E1448E"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68" w:type="pct"/>
            <w:tcMar>
              <w:top w:w="0" w:type="dxa"/>
              <w:left w:w="108" w:type="dxa"/>
              <w:bottom w:w="0" w:type="dxa"/>
              <w:right w:w="108" w:type="dxa"/>
            </w:tcMar>
            <w:hideMark/>
          </w:tcPr>
          <w:p w14:paraId="3C868724" w14:textId="150FC133"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68" w:type="pct"/>
            <w:tcMar>
              <w:top w:w="0" w:type="dxa"/>
              <w:left w:w="108" w:type="dxa"/>
              <w:bottom w:w="0" w:type="dxa"/>
              <w:right w:w="108" w:type="dxa"/>
            </w:tcMar>
            <w:hideMark/>
          </w:tcPr>
          <w:p w14:paraId="0FFB44FA" w14:textId="18736B31"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21" w:type="pct"/>
            <w:tcMar>
              <w:top w:w="0" w:type="dxa"/>
              <w:left w:w="108" w:type="dxa"/>
              <w:bottom w:w="0" w:type="dxa"/>
              <w:right w:w="108" w:type="dxa"/>
            </w:tcMar>
            <w:hideMark/>
          </w:tcPr>
          <w:p w14:paraId="3591D694" w14:textId="1EE3E9FB"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21" w:type="pct"/>
            <w:tcMar>
              <w:top w:w="0" w:type="dxa"/>
              <w:left w:w="108" w:type="dxa"/>
              <w:bottom w:w="0" w:type="dxa"/>
              <w:right w:w="108" w:type="dxa"/>
            </w:tcMar>
            <w:hideMark/>
          </w:tcPr>
          <w:p w14:paraId="36E1C89A"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16" w:type="pct"/>
            <w:tcMar>
              <w:top w:w="0" w:type="dxa"/>
              <w:left w:w="108" w:type="dxa"/>
              <w:bottom w:w="0" w:type="dxa"/>
              <w:right w:w="108" w:type="dxa"/>
            </w:tcMar>
            <w:hideMark/>
          </w:tcPr>
          <w:p w14:paraId="0ED997D0" w14:textId="77777777" w:rsidR="00EC0B4F" w:rsidRPr="00A16458" w:rsidRDefault="00EC0B4F" w:rsidP="00741A81">
            <w:pPr>
              <w:jc w:val="right"/>
              <w:rPr>
                <w:rFonts w:eastAsia="Calibri"/>
                <w:color w:val="000000"/>
                <w:sz w:val="18"/>
                <w:szCs w:val="18"/>
              </w:rPr>
            </w:pPr>
            <w:r w:rsidRPr="00A16458">
              <w:rPr>
                <w:color w:val="000000"/>
                <w:sz w:val="18"/>
                <w:szCs w:val="18"/>
              </w:rPr>
              <w:t>n. a.</w:t>
            </w:r>
          </w:p>
        </w:tc>
      </w:tr>
      <w:tr w:rsidR="00120E6E" w:rsidRPr="00A16458" w14:paraId="14AB5AB5" w14:textId="77777777" w:rsidTr="00120E6E">
        <w:trPr>
          <w:trHeight w:val="449"/>
          <w:jc w:val="center"/>
        </w:trPr>
        <w:tc>
          <w:tcPr>
            <w:tcW w:w="394" w:type="pct"/>
            <w:tcMar>
              <w:top w:w="0" w:type="dxa"/>
              <w:left w:w="108" w:type="dxa"/>
              <w:bottom w:w="0" w:type="dxa"/>
              <w:right w:w="108" w:type="dxa"/>
            </w:tcMar>
            <w:hideMark/>
          </w:tcPr>
          <w:p w14:paraId="71A4B7BC" w14:textId="77777777" w:rsidR="00EC0B4F" w:rsidRPr="00A16458" w:rsidRDefault="00EC0B4F" w:rsidP="00741A81">
            <w:pPr>
              <w:rPr>
                <w:rFonts w:eastAsia="Calibri"/>
                <w:color w:val="000000"/>
                <w:sz w:val="18"/>
                <w:szCs w:val="18"/>
              </w:rPr>
            </w:pPr>
            <w:r w:rsidRPr="00A16458">
              <w:rPr>
                <w:color w:val="000000"/>
                <w:sz w:val="18"/>
                <w:szCs w:val="18"/>
              </w:rPr>
              <w:t>1.2</w:t>
            </w:r>
          </w:p>
        </w:tc>
        <w:tc>
          <w:tcPr>
            <w:tcW w:w="1523" w:type="pct"/>
            <w:tcMar>
              <w:top w:w="0" w:type="dxa"/>
              <w:left w:w="108" w:type="dxa"/>
              <w:bottom w:w="0" w:type="dxa"/>
              <w:right w:w="108" w:type="dxa"/>
            </w:tcMar>
            <w:hideMark/>
          </w:tcPr>
          <w:p w14:paraId="5729A600" w14:textId="77777777" w:rsidR="00EC0B4F" w:rsidRPr="00A16458" w:rsidRDefault="00EC0B4F" w:rsidP="00741A81">
            <w:pPr>
              <w:jc w:val="left"/>
              <w:rPr>
                <w:rFonts w:eastAsia="Calibri"/>
                <w:color w:val="000000"/>
                <w:sz w:val="18"/>
                <w:szCs w:val="18"/>
              </w:rPr>
            </w:pPr>
            <w:r w:rsidRPr="00A16458">
              <w:rPr>
                <w:color w:val="000000"/>
                <w:sz w:val="18"/>
                <w:szCs w:val="18"/>
              </w:rPr>
              <w:t>Consumo total máximo permitido de sustancias del Anexo C, Grupo I (tons. PAO)</w:t>
            </w:r>
          </w:p>
        </w:tc>
        <w:tc>
          <w:tcPr>
            <w:tcW w:w="468" w:type="pct"/>
            <w:tcMar>
              <w:top w:w="0" w:type="dxa"/>
              <w:left w:w="108" w:type="dxa"/>
              <w:bottom w:w="0" w:type="dxa"/>
              <w:right w:w="108" w:type="dxa"/>
            </w:tcMar>
            <w:hideMark/>
          </w:tcPr>
          <w:p w14:paraId="73D22DD5" w14:textId="5EFC062D"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21" w:type="pct"/>
            <w:tcMar>
              <w:top w:w="0" w:type="dxa"/>
              <w:left w:w="108" w:type="dxa"/>
              <w:bottom w:w="0" w:type="dxa"/>
              <w:right w:w="108" w:type="dxa"/>
            </w:tcMar>
          </w:tcPr>
          <w:p w14:paraId="61352A6E" w14:textId="3CFE9890"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68" w:type="pct"/>
            <w:tcMar>
              <w:top w:w="0" w:type="dxa"/>
              <w:left w:w="108" w:type="dxa"/>
              <w:bottom w:w="0" w:type="dxa"/>
              <w:right w:w="108" w:type="dxa"/>
            </w:tcMar>
          </w:tcPr>
          <w:p w14:paraId="4FA9A716" w14:textId="0AA61956"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68" w:type="pct"/>
            <w:tcMar>
              <w:top w:w="0" w:type="dxa"/>
              <w:left w:w="108" w:type="dxa"/>
              <w:bottom w:w="0" w:type="dxa"/>
              <w:right w:w="108" w:type="dxa"/>
            </w:tcMar>
          </w:tcPr>
          <w:p w14:paraId="3A7BCAC3" w14:textId="457B2B85"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21" w:type="pct"/>
            <w:tcMar>
              <w:top w:w="0" w:type="dxa"/>
              <w:left w:w="108" w:type="dxa"/>
              <w:bottom w:w="0" w:type="dxa"/>
              <w:right w:w="108" w:type="dxa"/>
            </w:tcMar>
          </w:tcPr>
          <w:p w14:paraId="3A1E7787" w14:textId="62DFEE16" w:rsidR="00EC0B4F" w:rsidRPr="00A16458" w:rsidRDefault="00B06121" w:rsidP="00741A81">
            <w:pPr>
              <w:jc w:val="right"/>
              <w:rPr>
                <w:rFonts w:eastAsia="Calibri"/>
                <w:color w:val="000000"/>
                <w:sz w:val="18"/>
                <w:szCs w:val="18"/>
              </w:rPr>
            </w:pPr>
            <w:r>
              <w:rPr>
                <w:color w:val="000000"/>
                <w:sz w:val="18"/>
                <w:szCs w:val="18"/>
                <w:lang w:eastAsia="en-CA"/>
              </w:rPr>
              <w:t>0,23</w:t>
            </w:r>
          </w:p>
        </w:tc>
        <w:tc>
          <w:tcPr>
            <w:tcW w:w="421" w:type="pct"/>
            <w:tcMar>
              <w:top w:w="0" w:type="dxa"/>
              <w:left w:w="108" w:type="dxa"/>
              <w:bottom w:w="0" w:type="dxa"/>
              <w:right w:w="108" w:type="dxa"/>
            </w:tcMar>
            <w:hideMark/>
          </w:tcPr>
          <w:p w14:paraId="3DDC43F8"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16" w:type="pct"/>
            <w:tcMar>
              <w:top w:w="0" w:type="dxa"/>
              <w:left w:w="108" w:type="dxa"/>
              <w:bottom w:w="0" w:type="dxa"/>
              <w:right w:w="108" w:type="dxa"/>
            </w:tcMar>
            <w:hideMark/>
          </w:tcPr>
          <w:p w14:paraId="46285756" w14:textId="77777777" w:rsidR="00EC0B4F" w:rsidRPr="00A16458" w:rsidRDefault="00EC0B4F" w:rsidP="00741A81">
            <w:pPr>
              <w:jc w:val="right"/>
              <w:rPr>
                <w:rFonts w:eastAsia="Calibri"/>
                <w:color w:val="000000"/>
                <w:sz w:val="18"/>
                <w:szCs w:val="18"/>
              </w:rPr>
            </w:pPr>
            <w:r w:rsidRPr="00A16458">
              <w:rPr>
                <w:color w:val="000000"/>
                <w:sz w:val="18"/>
                <w:szCs w:val="18"/>
              </w:rPr>
              <w:t>n. a</w:t>
            </w:r>
          </w:p>
        </w:tc>
      </w:tr>
      <w:tr w:rsidR="00120E6E" w:rsidRPr="00A16458" w14:paraId="270385BE" w14:textId="77777777" w:rsidTr="00120E6E">
        <w:trPr>
          <w:trHeight w:val="299"/>
          <w:jc w:val="center"/>
        </w:trPr>
        <w:tc>
          <w:tcPr>
            <w:tcW w:w="394" w:type="pct"/>
            <w:tcMar>
              <w:top w:w="0" w:type="dxa"/>
              <w:left w:w="108" w:type="dxa"/>
              <w:bottom w:w="0" w:type="dxa"/>
              <w:right w:w="108" w:type="dxa"/>
            </w:tcMar>
            <w:hideMark/>
          </w:tcPr>
          <w:p w14:paraId="0CC38AC7" w14:textId="77777777" w:rsidR="00EC0B4F" w:rsidRPr="00A16458" w:rsidRDefault="00EC0B4F" w:rsidP="00741A81">
            <w:pPr>
              <w:rPr>
                <w:rFonts w:eastAsia="Calibri"/>
                <w:color w:val="000000"/>
                <w:sz w:val="18"/>
                <w:szCs w:val="18"/>
              </w:rPr>
            </w:pPr>
            <w:r w:rsidRPr="00A16458">
              <w:rPr>
                <w:color w:val="000000"/>
                <w:sz w:val="18"/>
                <w:szCs w:val="18"/>
              </w:rPr>
              <w:t>2.1</w:t>
            </w:r>
          </w:p>
        </w:tc>
        <w:tc>
          <w:tcPr>
            <w:tcW w:w="1523" w:type="pct"/>
            <w:tcMar>
              <w:top w:w="0" w:type="dxa"/>
              <w:left w:w="108" w:type="dxa"/>
              <w:bottom w:w="0" w:type="dxa"/>
              <w:right w:w="108" w:type="dxa"/>
            </w:tcMar>
            <w:hideMark/>
          </w:tcPr>
          <w:p w14:paraId="44AFB089" w14:textId="5C29EAE3" w:rsidR="00EC0B4F" w:rsidRPr="00A16458" w:rsidRDefault="00EC0B4F" w:rsidP="00741A81">
            <w:pPr>
              <w:jc w:val="left"/>
              <w:rPr>
                <w:rFonts w:eastAsia="Calibri"/>
                <w:color w:val="000000"/>
                <w:sz w:val="18"/>
                <w:szCs w:val="18"/>
              </w:rPr>
            </w:pPr>
            <w:r w:rsidRPr="00A16458">
              <w:rPr>
                <w:color w:val="000000"/>
                <w:sz w:val="18"/>
                <w:szCs w:val="18"/>
              </w:rPr>
              <w:t xml:space="preserve">Financiamiento convenido para el organismo principal </w:t>
            </w:r>
            <w:r w:rsidR="00B06121">
              <w:rPr>
                <w:color w:val="000000"/>
                <w:sz w:val="18"/>
                <w:szCs w:val="18"/>
              </w:rPr>
              <w:t>PNUMA</w:t>
            </w:r>
            <w:r w:rsidR="00B06121" w:rsidRPr="00A16458">
              <w:rPr>
                <w:color w:val="000000"/>
                <w:sz w:val="18"/>
                <w:szCs w:val="18"/>
              </w:rPr>
              <w:t xml:space="preserve"> </w:t>
            </w:r>
            <w:r w:rsidRPr="00A16458">
              <w:rPr>
                <w:color w:val="000000"/>
                <w:sz w:val="18"/>
                <w:szCs w:val="18"/>
              </w:rPr>
              <w:t>(USD)</w:t>
            </w:r>
          </w:p>
        </w:tc>
        <w:tc>
          <w:tcPr>
            <w:tcW w:w="468" w:type="pct"/>
            <w:noWrap/>
            <w:tcMar>
              <w:top w:w="0" w:type="dxa"/>
              <w:left w:w="108" w:type="dxa"/>
              <w:bottom w:w="0" w:type="dxa"/>
              <w:right w:w="108" w:type="dxa"/>
            </w:tcMar>
          </w:tcPr>
          <w:p w14:paraId="2314531C" w14:textId="4F24E121" w:rsidR="00EC0B4F" w:rsidRPr="00A16458" w:rsidRDefault="00B06121" w:rsidP="00741A81">
            <w:pPr>
              <w:jc w:val="right"/>
              <w:rPr>
                <w:rFonts w:eastAsia="Calibri"/>
                <w:color w:val="000000"/>
                <w:sz w:val="18"/>
                <w:szCs w:val="18"/>
              </w:rPr>
            </w:pPr>
            <w:r>
              <w:rPr>
                <w:rFonts w:eastAsia="Calibri"/>
                <w:color w:val="000000"/>
                <w:sz w:val="18"/>
                <w:szCs w:val="18"/>
              </w:rPr>
              <w:t>239</w:t>
            </w:r>
            <w:r w:rsidR="00EC0B4F">
              <w:rPr>
                <w:rFonts w:eastAsia="Calibri"/>
                <w:color w:val="000000"/>
                <w:sz w:val="18"/>
                <w:szCs w:val="18"/>
              </w:rPr>
              <w:t>.000</w:t>
            </w:r>
          </w:p>
        </w:tc>
        <w:tc>
          <w:tcPr>
            <w:tcW w:w="421" w:type="pct"/>
            <w:tcMar>
              <w:top w:w="0" w:type="dxa"/>
              <w:left w:w="108" w:type="dxa"/>
              <w:bottom w:w="0" w:type="dxa"/>
              <w:right w:w="108" w:type="dxa"/>
            </w:tcMar>
          </w:tcPr>
          <w:p w14:paraId="5DC51CC1"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68" w:type="pct"/>
            <w:tcMar>
              <w:top w:w="0" w:type="dxa"/>
              <w:left w:w="108" w:type="dxa"/>
              <w:bottom w:w="0" w:type="dxa"/>
              <w:right w:w="108" w:type="dxa"/>
            </w:tcMar>
          </w:tcPr>
          <w:p w14:paraId="6DED122B" w14:textId="54DD8096" w:rsidR="00EC0B4F" w:rsidRPr="00A16458" w:rsidRDefault="00B06121" w:rsidP="00741A81">
            <w:pPr>
              <w:jc w:val="right"/>
              <w:rPr>
                <w:rFonts w:eastAsia="Calibri"/>
                <w:color w:val="000000"/>
                <w:sz w:val="18"/>
                <w:szCs w:val="18"/>
              </w:rPr>
            </w:pPr>
            <w:r>
              <w:rPr>
                <w:rFonts w:eastAsia="Calibri"/>
                <w:color w:val="000000"/>
                <w:sz w:val="18"/>
                <w:szCs w:val="18"/>
              </w:rPr>
              <w:t>0</w:t>
            </w:r>
          </w:p>
        </w:tc>
        <w:tc>
          <w:tcPr>
            <w:tcW w:w="468" w:type="pct"/>
            <w:noWrap/>
            <w:tcMar>
              <w:top w:w="0" w:type="dxa"/>
              <w:left w:w="108" w:type="dxa"/>
              <w:bottom w:w="0" w:type="dxa"/>
              <w:right w:w="108" w:type="dxa"/>
            </w:tcMar>
          </w:tcPr>
          <w:p w14:paraId="3ADEF7B4" w14:textId="509ACCEA" w:rsidR="00EC0B4F" w:rsidRPr="00A16458" w:rsidRDefault="00B06121" w:rsidP="00741A81">
            <w:pPr>
              <w:jc w:val="right"/>
              <w:rPr>
                <w:rFonts w:eastAsia="Calibri"/>
                <w:color w:val="000000"/>
                <w:sz w:val="18"/>
                <w:szCs w:val="18"/>
              </w:rPr>
            </w:pPr>
            <w:r>
              <w:rPr>
                <w:color w:val="000000"/>
                <w:sz w:val="18"/>
                <w:szCs w:val="18"/>
                <w:lang w:eastAsia="en-CA"/>
              </w:rPr>
              <w:t>139.000</w:t>
            </w:r>
          </w:p>
        </w:tc>
        <w:tc>
          <w:tcPr>
            <w:tcW w:w="421" w:type="pct"/>
            <w:tcMar>
              <w:top w:w="0" w:type="dxa"/>
              <w:left w:w="108" w:type="dxa"/>
              <w:bottom w:w="0" w:type="dxa"/>
              <w:right w:w="108" w:type="dxa"/>
            </w:tcMar>
          </w:tcPr>
          <w:p w14:paraId="16D18671" w14:textId="77777777" w:rsidR="00EC0B4F" w:rsidRPr="005B4F69" w:rsidRDefault="00EC0B4F" w:rsidP="00741A81">
            <w:pPr>
              <w:jc w:val="right"/>
              <w:rPr>
                <w:rFonts w:eastAsia="Calibri"/>
                <w:color w:val="000000"/>
                <w:sz w:val="18"/>
                <w:szCs w:val="18"/>
              </w:rPr>
            </w:pPr>
            <w:r w:rsidRPr="005B4F69">
              <w:rPr>
                <w:color w:val="000000"/>
                <w:sz w:val="18"/>
                <w:szCs w:val="18"/>
                <w:lang w:eastAsia="en-CA"/>
              </w:rPr>
              <w:t>0</w:t>
            </w:r>
          </w:p>
        </w:tc>
        <w:tc>
          <w:tcPr>
            <w:tcW w:w="421" w:type="pct"/>
            <w:tcMar>
              <w:top w:w="0" w:type="dxa"/>
              <w:left w:w="108" w:type="dxa"/>
              <w:bottom w:w="0" w:type="dxa"/>
              <w:right w:w="108" w:type="dxa"/>
            </w:tcMar>
          </w:tcPr>
          <w:p w14:paraId="7F1F4C8D" w14:textId="5DB3FF5A" w:rsidR="00EC0B4F" w:rsidRPr="005B4F69" w:rsidRDefault="00B06121" w:rsidP="00741A81">
            <w:pPr>
              <w:jc w:val="right"/>
              <w:rPr>
                <w:rFonts w:eastAsia="Calibri"/>
                <w:color w:val="000000"/>
                <w:sz w:val="18"/>
                <w:szCs w:val="18"/>
              </w:rPr>
            </w:pPr>
            <w:r>
              <w:rPr>
                <w:rFonts w:eastAsia="Calibri"/>
                <w:color w:val="000000"/>
                <w:sz w:val="18"/>
                <w:szCs w:val="18"/>
              </w:rPr>
              <w:t>45</w:t>
            </w:r>
            <w:r w:rsidR="00EC0B4F" w:rsidRPr="005B4F69">
              <w:rPr>
                <w:rFonts w:eastAsia="Calibri"/>
                <w:color w:val="000000"/>
                <w:sz w:val="18"/>
                <w:szCs w:val="18"/>
              </w:rPr>
              <w:t>.000</w:t>
            </w:r>
          </w:p>
        </w:tc>
        <w:tc>
          <w:tcPr>
            <w:tcW w:w="416" w:type="pct"/>
            <w:tcMar>
              <w:top w:w="0" w:type="dxa"/>
              <w:left w:w="108" w:type="dxa"/>
              <w:bottom w:w="0" w:type="dxa"/>
              <w:right w:w="108" w:type="dxa"/>
            </w:tcMar>
          </w:tcPr>
          <w:p w14:paraId="6EC8C391" w14:textId="5D58116F" w:rsidR="00EC0B4F" w:rsidRPr="005B4F69" w:rsidRDefault="00B06121" w:rsidP="00741A81">
            <w:pPr>
              <w:jc w:val="right"/>
              <w:rPr>
                <w:rFonts w:eastAsia="Calibri"/>
                <w:color w:val="000000"/>
                <w:sz w:val="18"/>
                <w:szCs w:val="18"/>
              </w:rPr>
            </w:pPr>
            <w:r>
              <w:rPr>
                <w:rFonts w:eastAsia="Calibri"/>
                <w:color w:val="000000"/>
                <w:sz w:val="18"/>
                <w:szCs w:val="18"/>
              </w:rPr>
              <w:t>423</w:t>
            </w:r>
            <w:r w:rsidR="00EC0B4F" w:rsidRPr="005B4F69">
              <w:rPr>
                <w:rFonts w:eastAsia="Calibri"/>
                <w:color w:val="000000"/>
                <w:sz w:val="18"/>
                <w:szCs w:val="18"/>
              </w:rPr>
              <w:t>.000</w:t>
            </w:r>
          </w:p>
        </w:tc>
      </w:tr>
      <w:tr w:rsidR="00120E6E" w:rsidRPr="00A16458" w14:paraId="680AAB15" w14:textId="77777777" w:rsidTr="00120E6E">
        <w:trPr>
          <w:trHeight w:val="299"/>
          <w:jc w:val="center"/>
        </w:trPr>
        <w:tc>
          <w:tcPr>
            <w:tcW w:w="394" w:type="pct"/>
            <w:tcMar>
              <w:top w:w="0" w:type="dxa"/>
              <w:left w:w="108" w:type="dxa"/>
              <w:bottom w:w="0" w:type="dxa"/>
              <w:right w:w="108" w:type="dxa"/>
            </w:tcMar>
            <w:hideMark/>
          </w:tcPr>
          <w:p w14:paraId="4D2E8B6F" w14:textId="77777777" w:rsidR="00EC0B4F" w:rsidRPr="00A16458" w:rsidRDefault="00EC0B4F" w:rsidP="00741A81">
            <w:pPr>
              <w:rPr>
                <w:rFonts w:eastAsia="Calibri"/>
                <w:color w:val="000000"/>
                <w:sz w:val="18"/>
                <w:szCs w:val="18"/>
              </w:rPr>
            </w:pPr>
            <w:r w:rsidRPr="00A16458">
              <w:rPr>
                <w:color w:val="000000"/>
                <w:sz w:val="18"/>
                <w:szCs w:val="18"/>
              </w:rPr>
              <w:t>2.2</w:t>
            </w:r>
          </w:p>
        </w:tc>
        <w:tc>
          <w:tcPr>
            <w:tcW w:w="1523" w:type="pct"/>
            <w:tcMar>
              <w:top w:w="0" w:type="dxa"/>
              <w:left w:w="108" w:type="dxa"/>
              <w:bottom w:w="0" w:type="dxa"/>
              <w:right w:w="108" w:type="dxa"/>
            </w:tcMar>
            <w:hideMark/>
          </w:tcPr>
          <w:p w14:paraId="0DA8111F" w14:textId="77777777" w:rsidR="00EC0B4F" w:rsidRPr="00A16458" w:rsidRDefault="00EC0B4F" w:rsidP="00741A81">
            <w:pPr>
              <w:jc w:val="left"/>
              <w:rPr>
                <w:rFonts w:eastAsia="Calibri"/>
                <w:color w:val="000000"/>
                <w:sz w:val="18"/>
                <w:szCs w:val="18"/>
              </w:rPr>
            </w:pPr>
            <w:r w:rsidRPr="00A16458">
              <w:rPr>
                <w:color w:val="000000"/>
                <w:sz w:val="18"/>
                <w:szCs w:val="18"/>
              </w:rPr>
              <w:t>Gastos de apoyo para el organismo principal (USD)</w:t>
            </w:r>
          </w:p>
        </w:tc>
        <w:tc>
          <w:tcPr>
            <w:tcW w:w="468" w:type="pct"/>
            <w:noWrap/>
            <w:tcMar>
              <w:top w:w="0" w:type="dxa"/>
              <w:left w:w="108" w:type="dxa"/>
              <w:bottom w:w="0" w:type="dxa"/>
              <w:right w:w="108" w:type="dxa"/>
            </w:tcMar>
          </w:tcPr>
          <w:p w14:paraId="03A5860B" w14:textId="16A1C530" w:rsidR="00EC0B4F" w:rsidRPr="00A16458" w:rsidRDefault="00B06121" w:rsidP="00741A81">
            <w:pPr>
              <w:jc w:val="right"/>
              <w:rPr>
                <w:rFonts w:eastAsia="Calibri"/>
                <w:color w:val="000000"/>
                <w:sz w:val="18"/>
                <w:szCs w:val="18"/>
              </w:rPr>
            </w:pPr>
            <w:r>
              <w:rPr>
                <w:color w:val="000000"/>
                <w:sz w:val="18"/>
                <w:szCs w:val="18"/>
                <w:lang w:eastAsia="en-CA"/>
              </w:rPr>
              <w:t>31,070</w:t>
            </w:r>
          </w:p>
        </w:tc>
        <w:tc>
          <w:tcPr>
            <w:tcW w:w="421" w:type="pct"/>
            <w:tcMar>
              <w:top w:w="0" w:type="dxa"/>
              <w:left w:w="108" w:type="dxa"/>
              <w:bottom w:w="0" w:type="dxa"/>
              <w:right w:w="108" w:type="dxa"/>
            </w:tcMar>
          </w:tcPr>
          <w:p w14:paraId="0013F4D2"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68" w:type="pct"/>
            <w:tcMar>
              <w:top w:w="0" w:type="dxa"/>
              <w:left w:w="108" w:type="dxa"/>
              <w:bottom w:w="0" w:type="dxa"/>
              <w:right w:w="108" w:type="dxa"/>
            </w:tcMar>
          </w:tcPr>
          <w:p w14:paraId="18A3BED5" w14:textId="57169190" w:rsidR="00EC0B4F" w:rsidRPr="00A16458" w:rsidRDefault="00B06121" w:rsidP="00741A81">
            <w:pPr>
              <w:jc w:val="right"/>
              <w:rPr>
                <w:rFonts w:eastAsia="Calibri"/>
                <w:color w:val="000000"/>
                <w:sz w:val="18"/>
                <w:szCs w:val="18"/>
              </w:rPr>
            </w:pPr>
            <w:r>
              <w:rPr>
                <w:rFonts w:eastAsia="Calibri"/>
                <w:color w:val="000000"/>
                <w:sz w:val="18"/>
                <w:szCs w:val="18"/>
              </w:rPr>
              <w:t>0</w:t>
            </w:r>
          </w:p>
        </w:tc>
        <w:tc>
          <w:tcPr>
            <w:tcW w:w="468" w:type="pct"/>
            <w:noWrap/>
            <w:tcMar>
              <w:top w:w="0" w:type="dxa"/>
              <w:left w:w="108" w:type="dxa"/>
              <w:bottom w:w="0" w:type="dxa"/>
              <w:right w:w="108" w:type="dxa"/>
            </w:tcMar>
          </w:tcPr>
          <w:p w14:paraId="5CDCC11A" w14:textId="17DB13F6" w:rsidR="00EC0B4F" w:rsidRPr="00A16458" w:rsidRDefault="00B06121" w:rsidP="00741A81">
            <w:pPr>
              <w:jc w:val="right"/>
              <w:rPr>
                <w:rFonts w:eastAsia="Calibri"/>
                <w:color w:val="000000"/>
                <w:sz w:val="18"/>
                <w:szCs w:val="18"/>
              </w:rPr>
            </w:pPr>
            <w:r>
              <w:rPr>
                <w:color w:val="000000"/>
                <w:sz w:val="18"/>
                <w:szCs w:val="18"/>
                <w:lang w:eastAsia="en-CA"/>
              </w:rPr>
              <w:t>18.070</w:t>
            </w:r>
          </w:p>
        </w:tc>
        <w:tc>
          <w:tcPr>
            <w:tcW w:w="421" w:type="pct"/>
            <w:tcMar>
              <w:top w:w="0" w:type="dxa"/>
              <w:left w:w="108" w:type="dxa"/>
              <w:bottom w:w="0" w:type="dxa"/>
              <w:right w:w="108" w:type="dxa"/>
            </w:tcMar>
          </w:tcPr>
          <w:p w14:paraId="1BE8F422"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21" w:type="pct"/>
            <w:tcMar>
              <w:top w:w="0" w:type="dxa"/>
              <w:left w:w="108" w:type="dxa"/>
              <w:bottom w:w="0" w:type="dxa"/>
              <w:right w:w="108" w:type="dxa"/>
            </w:tcMar>
          </w:tcPr>
          <w:p w14:paraId="52EA7D04" w14:textId="4A998541" w:rsidR="00EC0B4F" w:rsidRPr="005B4F69" w:rsidRDefault="00B06121" w:rsidP="00741A81">
            <w:pPr>
              <w:jc w:val="right"/>
              <w:rPr>
                <w:rFonts w:eastAsia="Calibri"/>
                <w:color w:val="000000"/>
                <w:sz w:val="18"/>
                <w:szCs w:val="18"/>
              </w:rPr>
            </w:pPr>
            <w:r>
              <w:rPr>
                <w:color w:val="000000"/>
                <w:sz w:val="18"/>
                <w:szCs w:val="18"/>
                <w:lang w:eastAsia="en-CA"/>
              </w:rPr>
              <w:t>5.850</w:t>
            </w:r>
          </w:p>
        </w:tc>
        <w:tc>
          <w:tcPr>
            <w:tcW w:w="416" w:type="pct"/>
            <w:tcMar>
              <w:top w:w="0" w:type="dxa"/>
              <w:left w:w="108" w:type="dxa"/>
              <w:bottom w:w="0" w:type="dxa"/>
              <w:right w:w="108" w:type="dxa"/>
            </w:tcMar>
          </w:tcPr>
          <w:p w14:paraId="08CAD2EE" w14:textId="7E99F3FD" w:rsidR="00EC0B4F" w:rsidRPr="005B4F69" w:rsidRDefault="00B06121" w:rsidP="00741A81">
            <w:pPr>
              <w:jc w:val="right"/>
              <w:rPr>
                <w:rFonts w:eastAsia="Calibri"/>
                <w:color w:val="000000"/>
                <w:sz w:val="18"/>
                <w:szCs w:val="18"/>
              </w:rPr>
            </w:pPr>
            <w:r>
              <w:rPr>
                <w:color w:val="000000"/>
                <w:sz w:val="18"/>
                <w:szCs w:val="18"/>
                <w:lang w:eastAsia="en-CA"/>
              </w:rPr>
              <w:t>54.990</w:t>
            </w:r>
          </w:p>
        </w:tc>
      </w:tr>
      <w:tr w:rsidR="00120E6E" w:rsidRPr="00A16458" w14:paraId="217EE37B" w14:textId="77777777" w:rsidTr="00120E6E">
        <w:trPr>
          <w:trHeight w:val="329"/>
          <w:jc w:val="center"/>
        </w:trPr>
        <w:tc>
          <w:tcPr>
            <w:tcW w:w="394" w:type="pct"/>
            <w:tcMar>
              <w:top w:w="0" w:type="dxa"/>
              <w:left w:w="108" w:type="dxa"/>
              <w:bottom w:w="0" w:type="dxa"/>
              <w:right w:w="108" w:type="dxa"/>
            </w:tcMar>
            <w:hideMark/>
          </w:tcPr>
          <w:p w14:paraId="7C522E6D" w14:textId="733227E5" w:rsidR="00EC0B4F" w:rsidRPr="00A16458" w:rsidRDefault="00EC0B4F" w:rsidP="00741A81">
            <w:pPr>
              <w:rPr>
                <w:rFonts w:eastAsia="Calibri"/>
                <w:color w:val="000000"/>
                <w:sz w:val="18"/>
                <w:szCs w:val="18"/>
              </w:rPr>
            </w:pPr>
            <w:r w:rsidRPr="00A16458">
              <w:rPr>
                <w:color w:val="000000"/>
                <w:sz w:val="18"/>
                <w:szCs w:val="18"/>
              </w:rPr>
              <w:t>3.</w:t>
            </w:r>
            <w:r w:rsidR="00B06121">
              <w:rPr>
                <w:color w:val="000000"/>
                <w:sz w:val="18"/>
                <w:szCs w:val="18"/>
              </w:rPr>
              <w:t>1</w:t>
            </w:r>
          </w:p>
        </w:tc>
        <w:tc>
          <w:tcPr>
            <w:tcW w:w="1523" w:type="pct"/>
            <w:tcMar>
              <w:top w:w="0" w:type="dxa"/>
              <w:left w:w="108" w:type="dxa"/>
              <w:bottom w:w="0" w:type="dxa"/>
              <w:right w:w="108" w:type="dxa"/>
            </w:tcMar>
            <w:hideMark/>
          </w:tcPr>
          <w:p w14:paraId="77CBF7B7" w14:textId="104DA52C" w:rsidR="00EC0B4F" w:rsidRPr="00A16458" w:rsidRDefault="00EC0B4F" w:rsidP="00741A81">
            <w:pPr>
              <w:jc w:val="left"/>
              <w:rPr>
                <w:rFonts w:eastAsia="Calibri"/>
                <w:color w:val="000000"/>
                <w:sz w:val="18"/>
                <w:szCs w:val="18"/>
              </w:rPr>
            </w:pPr>
            <w:r w:rsidRPr="00A16458">
              <w:rPr>
                <w:color w:val="000000"/>
                <w:sz w:val="18"/>
                <w:szCs w:val="18"/>
              </w:rPr>
              <w:t xml:space="preserve">Total de </w:t>
            </w:r>
            <w:r w:rsidR="00B06121">
              <w:rPr>
                <w:color w:val="000000"/>
                <w:sz w:val="18"/>
                <w:szCs w:val="18"/>
              </w:rPr>
              <w:t>financiamiento</w:t>
            </w:r>
            <w:r w:rsidR="00B06121" w:rsidRPr="00A16458">
              <w:rPr>
                <w:color w:val="000000"/>
                <w:sz w:val="18"/>
                <w:szCs w:val="18"/>
              </w:rPr>
              <w:t xml:space="preserve"> </w:t>
            </w:r>
            <w:r w:rsidRPr="00A16458">
              <w:rPr>
                <w:color w:val="000000"/>
                <w:sz w:val="18"/>
                <w:szCs w:val="18"/>
              </w:rPr>
              <w:t>convenido (USD)</w:t>
            </w:r>
          </w:p>
        </w:tc>
        <w:tc>
          <w:tcPr>
            <w:tcW w:w="468" w:type="pct"/>
            <w:noWrap/>
            <w:tcMar>
              <w:top w:w="0" w:type="dxa"/>
              <w:left w:w="108" w:type="dxa"/>
              <w:bottom w:w="0" w:type="dxa"/>
              <w:right w:w="108" w:type="dxa"/>
            </w:tcMar>
          </w:tcPr>
          <w:p w14:paraId="66EB2BE0" w14:textId="0DC6301A" w:rsidR="00EC0B4F" w:rsidRPr="00A16458" w:rsidRDefault="0050095C" w:rsidP="00741A81">
            <w:pPr>
              <w:jc w:val="right"/>
              <w:rPr>
                <w:rFonts w:eastAsia="Calibri"/>
                <w:color w:val="000000"/>
                <w:sz w:val="18"/>
                <w:szCs w:val="18"/>
              </w:rPr>
            </w:pPr>
            <w:r>
              <w:rPr>
                <w:color w:val="000000"/>
                <w:sz w:val="18"/>
                <w:szCs w:val="18"/>
                <w:lang w:eastAsia="en-CA"/>
              </w:rPr>
              <w:t>239.000</w:t>
            </w:r>
          </w:p>
        </w:tc>
        <w:tc>
          <w:tcPr>
            <w:tcW w:w="421" w:type="pct"/>
            <w:tcMar>
              <w:top w:w="0" w:type="dxa"/>
              <w:left w:w="108" w:type="dxa"/>
              <w:bottom w:w="0" w:type="dxa"/>
              <w:right w:w="108" w:type="dxa"/>
            </w:tcMar>
          </w:tcPr>
          <w:p w14:paraId="66FF2F14"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68" w:type="pct"/>
            <w:tcMar>
              <w:top w:w="0" w:type="dxa"/>
              <w:left w:w="108" w:type="dxa"/>
              <w:bottom w:w="0" w:type="dxa"/>
              <w:right w:w="108" w:type="dxa"/>
            </w:tcMar>
          </w:tcPr>
          <w:p w14:paraId="66BDF206" w14:textId="073001E2" w:rsidR="00EC0B4F" w:rsidRPr="00A16458" w:rsidRDefault="0050095C" w:rsidP="00741A81">
            <w:pPr>
              <w:jc w:val="right"/>
              <w:rPr>
                <w:rFonts w:eastAsia="Calibri"/>
                <w:color w:val="000000"/>
                <w:sz w:val="18"/>
                <w:szCs w:val="18"/>
              </w:rPr>
            </w:pPr>
            <w:r>
              <w:rPr>
                <w:rFonts w:eastAsia="Calibri"/>
                <w:color w:val="000000"/>
                <w:sz w:val="18"/>
                <w:szCs w:val="18"/>
              </w:rPr>
              <w:t>0</w:t>
            </w:r>
          </w:p>
        </w:tc>
        <w:tc>
          <w:tcPr>
            <w:tcW w:w="468" w:type="pct"/>
            <w:noWrap/>
            <w:tcMar>
              <w:top w:w="0" w:type="dxa"/>
              <w:left w:w="108" w:type="dxa"/>
              <w:bottom w:w="0" w:type="dxa"/>
              <w:right w:w="108" w:type="dxa"/>
            </w:tcMar>
          </w:tcPr>
          <w:p w14:paraId="1FFAAF44" w14:textId="57C4E390" w:rsidR="00EC0B4F" w:rsidRPr="00A16458" w:rsidRDefault="0050095C" w:rsidP="00741A81">
            <w:pPr>
              <w:jc w:val="right"/>
              <w:rPr>
                <w:rFonts w:eastAsia="Calibri"/>
                <w:color w:val="000000"/>
                <w:sz w:val="18"/>
                <w:szCs w:val="18"/>
              </w:rPr>
            </w:pPr>
            <w:r>
              <w:rPr>
                <w:color w:val="000000"/>
                <w:sz w:val="18"/>
                <w:szCs w:val="18"/>
                <w:lang w:eastAsia="en-CA"/>
              </w:rPr>
              <w:t>139.000</w:t>
            </w:r>
          </w:p>
        </w:tc>
        <w:tc>
          <w:tcPr>
            <w:tcW w:w="421" w:type="pct"/>
            <w:tcMar>
              <w:top w:w="0" w:type="dxa"/>
              <w:left w:w="108" w:type="dxa"/>
              <w:bottom w:w="0" w:type="dxa"/>
              <w:right w:w="108" w:type="dxa"/>
            </w:tcMar>
          </w:tcPr>
          <w:p w14:paraId="6F228A6F"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c>
          <w:tcPr>
            <w:tcW w:w="421" w:type="pct"/>
            <w:tcMar>
              <w:top w:w="0" w:type="dxa"/>
              <w:left w:w="108" w:type="dxa"/>
              <w:bottom w:w="0" w:type="dxa"/>
              <w:right w:w="108" w:type="dxa"/>
            </w:tcMar>
          </w:tcPr>
          <w:p w14:paraId="1B25B026" w14:textId="375AE873" w:rsidR="00EC0B4F" w:rsidRPr="00A16458" w:rsidRDefault="0050095C" w:rsidP="00741A81">
            <w:pPr>
              <w:jc w:val="right"/>
              <w:rPr>
                <w:rFonts w:eastAsia="Calibri"/>
                <w:color w:val="000000"/>
                <w:sz w:val="18"/>
                <w:szCs w:val="18"/>
              </w:rPr>
            </w:pPr>
            <w:r>
              <w:rPr>
                <w:color w:val="000000"/>
                <w:sz w:val="18"/>
                <w:szCs w:val="18"/>
                <w:lang w:eastAsia="en-CA"/>
              </w:rPr>
              <w:t>45.000</w:t>
            </w:r>
          </w:p>
        </w:tc>
        <w:tc>
          <w:tcPr>
            <w:tcW w:w="416" w:type="pct"/>
            <w:tcMar>
              <w:top w:w="0" w:type="dxa"/>
              <w:left w:w="108" w:type="dxa"/>
              <w:bottom w:w="0" w:type="dxa"/>
              <w:right w:w="108" w:type="dxa"/>
            </w:tcMar>
          </w:tcPr>
          <w:p w14:paraId="0FE363F8" w14:textId="35945527" w:rsidR="00EC0B4F" w:rsidRPr="00A16458" w:rsidRDefault="0050095C" w:rsidP="00741A81">
            <w:pPr>
              <w:jc w:val="right"/>
              <w:rPr>
                <w:rFonts w:eastAsia="Calibri"/>
                <w:color w:val="000000"/>
                <w:sz w:val="18"/>
                <w:szCs w:val="18"/>
              </w:rPr>
            </w:pPr>
            <w:r>
              <w:rPr>
                <w:color w:val="000000"/>
                <w:sz w:val="18"/>
                <w:szCs w:val="18"/>
                <w:lang w:eastAsia="en-CA"/>
              </w:rPr>
              <w:t>423.000</w:t>
            </w:r>
          </w:p>
        </w:tc>
      </w:tr>
      <w:tr w:rsidR="00120E6E" w:rsidRPr="00A16458" w14:paraId="23F67147" w14:textId="77777777" w:rsidTr="00120E6E">
        <w:trPr>
          <w:trHeight w:val="329"/>
          <w:jc w:val="center"/>
        </w:trPr>
        <w:tc>
          <w:tcPr>
            <w:tcW w:w="394" w:type="pct"/>
            <w:tcMar>
              <w:top w:w="0" w:type="dxa"/>
              <w:left w:w="108" w:type="dxa"/>
              <w:bottom w:w="0" w:type="dxa"/>
              <w:right w:w="108" w:type="dxa"/>
            </w:tcMar>
          </w:tcPr>
          <w:p w14:paraId="01D020A7" w14:textId="31992D3A" w:rsidR="00B06121" w:rsidRPr="00A16458" w:rsidRDefault="00B06121" w:rsidP="00B06121">
            <w:pPr>
              <w:rPr>
                <w:color w:val="000000"/>
                <w:sz w:val="18"/>
                <w:szCs w:val="18"/>
              </w:rPr>
            </w:pPr>
            <w:r>
              <w:rPr>
                <w:color w:val="000000"/>
                <w:sz w:val="18"/>
                <w:szCs w:val="18"/>
              </w:rPr>
              <w:t>3.2</w:t>
            </w:r>
          </w:p>
        </w:tc>
        <w:tc>
          <w:tcPr>
            <w:tcW w:w="1523" w:type="pct"/>
            <w:tcMar>
              <w:top w:w="0" w:type="dxa"/>
              <w:left w:w="108" w:type="dxa"/>
              <w:bottom w:w="0" w:type="dxa"/>
              <w:right w:w="108" w:type="dxa"/>
            </w:tcMar>
          </w:tcPr>
          <w:p w14:paraId="28816157" w14:textId="1311A48F" w:rsidR="00B06121" w:rsidRPr="00A16458" w:rsidRDefault="00B06121" w:rsidP="00B06121">
            <w:pPr>
              <w:jc w:val="left"/>
              <w:rPr>
                <w:color w:val="000000"/>
                <w:sz w:val="18"/>
                <w:szCs w:val="18"/>
              </w:rPr>
            </w:pPr>
            <w:r w:rsidRPr="00A16458">
              <w:rPr>
                <w:color w:val="000000"/>
                <w:sz w:val="18"/>
                <w:szCs w:val="18"/>
              </w:rPr>
              <w:t xml:space="preserve">Total de costos </w:t>
            </w:r>
            <w:r>
              <w:rPr>
                <w:color w:val="000000"/>
                <w:sz w:val="18"/>
                <w:szCs w:val="18"/>
              </w:rPr>
              <w:t>de apoyo</w:t>
            </w:r>
            <w:r w:rsidRPr="00A16458">
              <w:rPr>
                <w:color w:val="000000"/>
                <w:sz w:val="18"/>
                <w:szCs w:val="18"/>
              </w:rPr>
              <w:t xml:space="preserve"> (USD)</w:t>
            </w:r>
          </w:p>
        </w:tc>
        <w:tc>
          <w:tcPr>
            <w:tcW w:w="468" w:type="pct"/>
            <w:noWrap/>
            <w:tcMar>
              <w:top w:w="0" w:type="dxa"/>
              <w:left w:w="108" w:type="dxa"/>
              <w:bottom w:w="0" w:type="dxa"/>
              <w:right w:w="108" w:type="dxa"/>
            </w:tcMar>
          </w:tcPr>
          <w:p w14:paraId="068002B4" w14:textId="63EE36AB" w:rsidR="00B06121" w:rsidRPr="00B06121" w:rsidRDefault="00B06121" w:rsidP="00B06121">
            <w:pPr>
              <w:jc w:val="right"/>
              <w:rPr>
                <w:color w:val="000000"/>
                <w:sz w:val="18"/>
                <w:szCs w:val="18"/>
                <w:lang w:eastAsia="en-CA"/>
              </w:rPr>
            </w:pPr>
            <w:r w:rsidRPr="008B5A2D">
              <w:rPr>
                <w:color w:val="000000"/>
                <w:sz w:val="18"/>
                <w:szCs w:val="18"/>
              </w:rPr>
              <w:t>31</w:t>
            </w:r>
            <w:r>
              <w:rPr>
                <w:color w:val="000000"/>
                <w:sz w:val="18"/>
                <w:szCs w:val="18"/>
              </w:rPr>
              <w:t>.</w:t>
            </w:r>
            <w:r w:rsidRPr="008B5A2D">
              <w:rPr>
                <w:color w:val="000000"/>
                <w:sz w:val="18"/>
                <w:szCs w:val="18"/>
              </w:rPr>
              <w:t>070</w:t>
            </w:r>
          </w:p>
        </w:tc>
        <w:tc>
          <w:tcPr>
            <w:tcW w:w="421" w:type="pct"/>
            <w:tcMar>
              <w:top w:w="0" w:type="dxa"/>
              <w:left w:w="108" w:type="dxa"/>
              <w:bottom w:w="0" w:type="dxa"/>
              <w:right w:w="108" w:type="dxa"/>
            </w:tcMar>
          </w:tcPr>
          <w:p w14:paraId="77F4716E" w14:textId="0AB2074C" w:rsidR="00B06121" w:rsidRPr="00B06121" w:rsidRDefault="00B06121" w:rsidP="00B06121">
            <w:pPr>
              <w:jc w:val="right"/>
              <w:rPr>
                <w:color w:val="000000"/>
                <w:sz w:val="18"/>
                <w:szCs w:val="18"/>
                <w:lang w:eastAsia="en-CA"/>
              </w:rPr>
            </w:pPr>
            <w:r w:rsidRPr="008B5A2D">
              <w:rPr>
                <w:sz w:val="18"/>
                <w:szCs w:val="18"/>
              </w:rPr>
              <w:t>0</w:t>
            </w:r>
          </w:p>
        </w:tc>
        <w:tc>
          <w:tcPr>
            <w:tcW w:w="468" w:type="pct"/>
            <w:tcMar>
              <w:top w:w="0" w:type="dxa"/>
              <w:left w:w="108" w:type="dxa"/>
              <w:bottom w:w="0" w:type="dxa"/>
              <w:right w:w="108" w:type="dxa"/>
            </w:tcMar>
          </w:tcPr>
          <w:p w14:paraId="77B07215" w14:textId="6ACEAFDF" w:rsidR="00B06121" w:rsidRPr="00B06121" w:rsidRDefault="00B06121" w:rsidP="00B06121">
            <w:pPr>
              <w:jc w:val="right"/>
              <w:rPr>
                <w:rFonts w:eastAsia="Calibri"/>
                <w:color w:val="000000"/>
                <w:sz w:val="18"/>
                <w:szCs w:val="18"/>
              </w:rPr>
            </w:pPr>
            <w:r w:rsidRPr="008B5A2D">
              <w:rPr>
                <w:sz w:val="18"/>
                <w:szCs w:val="18"/>
              </w:rPr>
              <w:t>0</w:t>
            </w:r>
          </w:p>
        </w:tc>
        <w:tc>
          <w:tcPr>
            <w:tcW w:w="468" w:type="pct"/>
            <w:noWrap/>
            <w:tcMar>
              <w:top w:w="0" w:type="dxa"/>
              <w:left w:w="108" w:type="dxa"/>
              <w:bottom w:w="0" w:type="dxa"/>
              <w:right w:w="108" w:type="dxa"/>
            </w:tcMar>
          </w:tcPr>
          <w:p w14:paraId="471589D6" w14:textId="48FBACA9" w:rsidR="00B06121" w:rsidRPr="00B06121" w:rsidRDefault="00B06121" w:rsidP="00B06121">
            <w:pPr>
              <w:jc w:val="right"/>
              <w:rPr>
                <w:color w:val="000000"/>
                <w:sz w:val="18"/>
                <w:szCs w:val="18"/>
                <w:lang w:eastAsia="en-CA"/>
              </w:rPr>
            </w:pPr>
            <w:r w:rsidRPr="008B5A2D">
              <w:rPr>
                <w:color w:val="000000"/>
                <w:sz w:val="18"/>
                <w:szCs w:val="18"/>
              </w:rPr>
              <w:t>18</w:t>
            </w:r>
            <w:r>
              <w:rPr>
                <w:color w:val="000000"/>
                <w:sz w:val="18"/>
                <w:szCs w:val="18"/>
              </w:rPr>
              <w:t>.</w:t>
            </w:r>
            <w:r w:rsidRPr="008B5A2D">
              <w:rPr>
                <w:color w:val="000000"/>
                <w:sz w:val="18"/>
                <w:szCs w:val="18"/>
              </w:rPr>
              <w:t>070</w:t>
            </w:r>
          </w:p>
        </w:tc>
        <w:tc>
          <w:tcPr>
            <w:tcW w:w="421" w:type="pct"/>
            <w:tcMar>
              <w:top w:w="0" w:type="dxa"/>
              <w:left w:w="108" w:type="dxa"/>
              <w:bottom w:w="0" w:type="dxa"/>
              <w:right w:w="108" w:type="dxa"/>
            </w:tcMar>
          </w:tcPr>
          <w:p w14:paraId="2055BA79" w14:textId="5EC22A2D" w:rsidR="00B06121" w:rsidRPr="00B06121" w:rsidRDefault="00B06121" w:rsidP="00B06121">
            <w:pPr>
              <w:jc w:val="right"/>
              <w:rPr>
                <w:color w:val="000000"/>
                <w:sz w:val="18"/>
                <w:szCs w:val="18"/>
                <w:lang w:eastAsia="en-CA"/>
              </w:rPr>
            </w:pPr>
            <w:r w:rsidRPr="008B5A2D">
              <w:rPr>
                <w:color w:val="000000"/>
                <w:sz w:val="18"/>
                <w:szCs w:val="18"/>
                <w:lang w:eastAsia="en-CA"/>
              </w:rPr>
              <w:t>0</w:t>
            </w:r>
          </w:p>
        </w:tc>
        <w:tc>
          <w:tcPr>
            <w:tcW w:w="421" w:type="pct"/>
            <w:tcMar>
              <w:top w:w="0" w:type="dxa"/>
              <w:left w:w="108" w:type="dxa"/>
              <w:bottom w:w="0" w:type="dxa"/>
              <w:right w:w="108" w:type="dxa"/>
            </w:tcMar>
          </w:tcPr>
          <w:p w14:paraId="13DF84BC" w14:textId="6AB84019" w:rsidR="00B06121" w:rsidRPr="00B06121" w:rsidRDefault="00B06121" w:rsidP="00B06121">
            <w:pPr>
              <w:jc w:val="right"/>
              <w:rPr>
                <w:color w:val="000000"/>
                <w:sz w:val="18"/>
                <w:szCs w:val="18"/>
                <w:lang w:eastAsia="en-CA"/>
              </w:rPr>
            </w:pPr>
            <w:r w:rsidRPr="008B5A2D">
              <w:rPr>
                <w:color w:val="000000"/>
                <w:sz w:val="18"/>
                <w:szCs w:val="18"/>
              </w:rPr>
              <w:t>5</w:t>
            </w:r>
            <w:r>
              <w:rPr>
                <w:color w:val="000000"/>
                <w:sz w:val="18"/>
                <w:szCs w:val="18"/>
              </w:rPr>
              <w:t>.</w:t>
            </w:r>
            <w:r w:rsidRPr="008B5A2D">
              <w:rPr>
                <w:color w:val="000000"/>
                <w:sz w:val="18"/>
                <w:szCs w:val="18"/>
              </w:rPr>
              <w:t>850</w:t>
            </w:r>
          </w:p>
        </w:tc>
        <w:tc>
          <w:tcPr>
            <w:tcW w:w="416" w:type="pct"/>
            <w:tcMar>
              <w:top w:w="0" w:type="dxa"/>
              <w:left w:w="108" w:type="dxa"/>
              <w:bottom w:w="0" w:type="dxa"/>
              <w:right w:w="108" w:type="dxa"/>
            </w:tcMar>
          </w:tcPr>
          <w:p w14:paraId="00F3CC6F" w14:textId="792652C3" w:rsidR="00B06121" w:rsidRPr="00B06121" w:rsidRDefault="00B06121" w:rsidP="00B06121">
            <w:pPr>
              <w:jc w:val="right"/>
              <w:rPr>
                <w:color w:val="000000"/>
                <w:sz w:val="18"/>
                <w:szCs w:val="18"/>
                <w:lang w:eastAsia="en-CA"/>
              </w:rPr>
            </w:pPr>
            <w:r w:rsidRPr="008B5A2D">
              <w:rPr>
                <w:color w:val="000000"/>
                <w:sz w:val="18"/>
                <w:szCs w:val="18"/>
              </w:rPr>
              <w:t>54</w:t>
            </w:r>
            <w:r>
              <w:rPr>
                <w:color w:val="000000"/>
                <w:sz w:val="18"/>
                <w:szCs w:val="18"/>
              </w:rPr>
              <w:t>.</w:t>
            </w:r>
            <w:r w:rsidRPr="008B5A2D">
              <w:rPr>
                <w:color w:val="000000"/>
                <w:sz w:val="18"/>
                <w:szCs w:val="18"/>
              </w:rPr>
              <w:t>990</w:t>
            </w:r>
          </w:p>
        </w:tc>
      </w:tr>
      <w:tr w:rsidR="00120E6E" w:rsidRPr="00A16458" w14:paraId="31DC08A1" w14:textId="77777777" w:rsidTr="00120E6E">
        <w:trPr>
          <w:trHeight w:val="329"/>
          <w:jc w:val="center"/>
        </w:trPr>
        <w:tc>
          <w:tcPr>
            <w:tcW w:w="394" w:type="pct"/>
            <w:tcMar>
              <w:top w:w="0" w:type="dxa"/>
              <w:left w:w="108" w:type="dxa"/>
              <w:bottom w:w="0" w:type="dxa"/>
              <w:right w:w="108" w:type="dxa"/>
            </w:tcMar>
          </w:tcPr>
          <w:p w14:paraId="683A5195" w14:textId="418830DA" w:rsidR="00B06121" w:rsidRPr="00A16458" w:rsidRDefault="00B06121" w:rsidP="00B06121">
            <w:pPr>
              <w:rPr>
                <w:color w:val="000000"/>
                <w:sz w:val="18"/>
                <w:szCs w:val="18"/>
              </w:rPr>
            </w:pPr>
            <w:r>
              <w:rPr>
                <w:color w:val="000000"/>
                <w:sz w:val="18"/>
                <w:szCs w:val="18"/>
              </w:rPr>
              <w:t>3.3</w:t>
            </w:r>
          </w:p>
        </w:tc>
        <w:tc>
          <w:tcPr>
            <w:tcW w:w="1523" w:type="pct"/>
            <w:tcMar>
              <w:top w:w="0" w:type="dxa"/>
              <w:left w:w="108" w:type="dxa"/>
              <w:bottom w:w="0" w:type="dxa"/>
              <w:right w:w="108" w:type="dxa"/>
            </w:tcMar>
          </w:tcPr>
          <w:p w14:paraId="2058BC3D" w14:textId="31014D84" w:rsidR="00B06121" w:rsidRPr="00A16458" w:rsidRDefault="00B06121" w:rsidP="00B06121">
            <w:pPr>
              <w:jc w:val="left"/>
              <w:rPr>
                <w:color w:val="000000"/>
                <w:sz w:val="18"/>
                <w:szCs w:val="18"/>
              </w:rPr>
            </w:pPr>
            <w:r w:rsidRPr="00A16458">
              <w:rPr>
                <w:color w:val="000000"/>
                <w:sz w:val="18"/>
                <w:szCs w:val="18"/>
              </w:rPr>
              <w:t>Total de costos convenidos (USD)</w:t>
            </w:r>
          </w:p>
        </w:tc>
        <w:tc>
          <w:tcPr>
            <w:tcW w:w="468" w:type="pct"/>
            <w:noWrap/>
            <w:tcMar>
              <w:top w:w="0" w:type="dxa"/>
              <w:left w:w="108" w:type="dxa"/>
              <w:bottom w:w="0" w:type="dxa"/>
              <w:right w:w="108" w:type="dxa"/>
            </w:tcMar>
          </w:tcPr>
          <w:p w14:paraId="073A3459" w14:textId="60AF09ED" w:rsidR="00B06121" w:rsidRPr="00B06121" w:rsidRDefault="00B06121" w:rsidP="00B06121">
            <w:pPr>
              <w:jc w:val="right"/>
              <w:rPr>
                <w:color w:val="000000"/>
                <w:sz w:val="18"/>
                <w:szCs w:val="18"/>
                <w:lang w:eastAsia="en-CA"/>
              </w:rPr>
            </w:pPr>
            <w:r w:rsidRPr="008B5A2D">
              <w:rPr>
                <w:color w:val="000000"/>
                <w:sz w:val="18"/>
                <w:szCs w:val="18"/>
                <w:lang w:eastAsia="en-CA"/>
              </w:rPr>
              <w:t>270</w:t>
            </w:r>
            <w:r>
              <w:rPr>
                <w:color w:val="000000"/>
                <w:sz w:val="18"/>
                <w:szCs w:val="18"/>
                <w:lang w:eastAsia="en-CA"/>
              </w:rPr>
              <w:t>.</w:t>
            </w:r>
            <w:r w:rsidRPr="008B5A2D">
              <w:rPr>
                <w:color w:val="000000"/>
                <w:sz w:val="18"/>
                <w:szCs w:val="18"/>
                <w:lang w:eastAsia="en-CA"/>
              </w:rPr>
              <w:t>070</w:t>
            </w:r>
          </w:p>
        </w:tc>
        <w:tc>
          <w:tcPr>
            <w:tcW w:w="421" w:type="pct"/>
            <w:tcMar>
              <w:top w:w="0" w:type="dxa"/>
              <w:left w:w="108" w:type="dxa"/>
              <w:bottom w:w="0" w:type="dxa"/>
              <w:right w:w="108" w:type="dxa"/>
            </w:tcMar>
          </w:tcPr>
          <w:p w14:paraId="5EF6F90C" w14:textId="3F4C878D" w:rsidR="00B06121" w:rsidRPr="00B06121" w:rsidRDefault="00B06121" w:rsidP="00B06121">
            <w:pPr>
              <w:jc w:val="right"/>
              <w:rPr>
                <w:color w:val="000000"/>
                <w:sz w:val="18"/>
                <w:szCs w:val="18"/>
                <w:lang w:eastAsia="en-CA"/>
              </w:rPr>
            </w:pPr>
            <w:r w:rsidRPr="008B5A2D">
              <w:rPr>
                <w:sz w:val="18"/>
                <w:szCs w:val="18"/>
              </w:rPr>
              <w:t>0</w:t>
            </w:r>
          </w:p>
        </w:tc>
        <w:tc>
          <w:tcPr>
            <w:tcW w:w="468" w:type="pct"/>
            <w:tcMar>
              <w:top w:w="0" w:type="dxa"/>
              <w:left w:w="108" w:type="dxa"/>
              <w:bottom w:w="0" w:type="dxa"/>
              <w:right w:w="108" w:type="dxa"/>
            </w:tcMar>
          </w:tcPr>
          <w:p w14:paraId="43BD1C79" w14:textId="75F912DF" w:rsidR="00B06121" w:rsidRPr="00B06121" w:rsidRDefault="00B06121" w:rsidP="00B06121">
            <w:pPr>
              <w:jc w:val="right"/>
              <w:rPr>
                <w:rFonts w:eastAsia="Calibri"/>
                <w:color w:val="000000"/>
                <w:sz w:val="18"/>
                <w:szCs w:val="18"/>
              </w:rPr>
            </w:pPr>
            <w:r w:rsidRPr="008B5A2D">
              <w:rPr>
                <w:sz w:val="18"/>
                <w:szCs w:val="18"/>
              </w:rPr>
              <w:t>0</w:t>
            </w:r>
          </w:p>
        </w:tc>
        <w:tc>
          <w:tcPr>
            <w:tcW w:w="468" w:type="pct"/>
            <w:noWrap/>
            <w:tcMar>
              <w:top w:w="0" w:type="dxa"/>
              <w:left w:w="108" w:type="dxa"/>
              <w:bottom w:w="0" w:type="dxa"/>
              <w:right w:w="108" w:type="dxa"/>
            </w:tcMar>
          </w:tcPr>
          <w:p w14:paraId="48FA2300" w14:textId="3C581EAB" w:rsidR="00B06121" w:rsidRPr="00B06121" w:rsidRDefault="00B06121" w:rsidP="00B06121">
            <w:pPr>
              <w:jc w:val="right"/>
              <w:rPr>
                <w:color w:val="000000"/>
                <w:sz w:val="18"/>
                <w:szCs w:val="18"/>
                <w:lang w:eastAsia="en-CA"/>
              </w:rPr>
            </w:pPr>
            <w:r w:rsidRPr="008B5A2D">
              <w:rPr>
                <w:color w:val="000000"/>
                <w:sz w:val="18"/>
                <w:szCs w:val="18"/>
              </w:rPr>
              <w:t>157</w:t>
            </w:r>
            <w:r>
              <w:rPr>
                <w:color w:val="000000"/>
                <w:sz w:val="18"/>
                <w:szCs w:val="18"/>
              </w:rPr>
              <w:t>.</w:t>
            </w:r>
            <w:r w:rsidRPr="008B5A2D">
              <w:rPr>
                <w:color w:val="000000"/>
                <w:sz w:val="18"/>
                <w:szCs w:val="18"/>
              </w:rPr>
              <w:t>070</w:t>
            </w:r>
          </w:p>
        </w:tc>
        <w:tc>
          <w:tcPr>
            <w:tcW w:w="421" w:type="pct"/>
            <w:tcMar>
              <w:top w:w="0" w:type="dxa"/>
              <w:left w:w="108" w:type="dxa"/>
              <w:bottom w:w="0" w:type="dxa"/>
              <w:right w:w="108" w:type="dxa"/>
            </w:tcMar>
          </w:tcPr>
          <w:p w14:paraId="3F1D970F" w14:textId="4ECCDAD0" w:rsidR="00B06121" w:rsidRPr="00B06121" w:rsidRDefault="00B06121" w:rsidP="00B06121">
            <w:pPr>
              <w:jc w:val="right"/>
              <w:rPr>
                <w:color w:val="000000"/>
                <w:sz w:val="18"/>
                <w:szCs w:val="18"/>
                <w:lang w:eastAsia="en-CA"/>
              </w:rPr>
            </w:pPr>
            <w:r w:rsidRPr="008B5A2D">
              <w:rPr>
                <w:color w:val="000000"/>
                <w:sz w:val="18"/>
                <w:szCs w:val="18"/>
                <w:lang w:eastAsia="en-CA"/>
              </w:rPr>
              <w:t>0</w:t>
            </w:r>
          </w:p>
        </w:tc>
        <w:tc>
          <w:tcPr>
            <w:tcW w:w="421" w:type="pct"/>
            <w:tcMar>
              <w:top w:w="0" w:type="dxa"/>
              <w:left w:w="108" w:type="dxa"/>
              <w:bottom w:w="0" w:type="dxa"/>
              <w:right w:w="108" w:type="dxa"/>
            </w:tcMar>
          </w:tcPr>
          <w:p w14:paraId="6D38EF0A" w14:textId="19F22BF3" w:rsidR="00B06121" w:rsidRPr="00B06121" w:rsidRDefault="00B06121" w:rsidP="00B06121">
            <w:pPr>
              <w:jc w:val="right"/>
              <w:rPr>
                <w:color w:val="000000"/>
                <w:sz w:val="18"/>
                <w:szCs w:val="18"/>
                <w:lang w:eastAsia="en-CA"/>
              </w:rPr>
            </w:pPr>
            <w:r w:rsidRPr="008B5A2D">
              <w:rPr>
                <w:color w:val="000000"/>
                <w:sz w:val="18"/>
                <w:szCs w:val="18"/>
              </w:rPr>
              <w:t>50</w:t>
            </w:r>
            <w:r>
              <w:rPr>
                <w:color w:val="000000"/>
                <w:sz w:val="18"/>
                <w:szCs w:val="18"/>
              </w:rPr>
              <w:t>.</w:t>
            </w:r>
            <w:r w:rsidRPr="008B5A2D">
              <w:rPr>
                <w:color w:val="000000"/>
                <w:sz w:val="18"/>
                <w:szCs w:val="18"/>
              </w:rPr>
              <w:t>850</w:t>
            </w:r>
          </w:p>
        </w:tc>
        <w:tc>
          <w:tcPr>
            <w:tcW w:w="416" w:type="pct"/>
            <w:tcMar>
              <w:top w:w="0" w:type="dxa"/>
              <w:left w:w="108" w:type="dxa"/>
              <w:bottom w:w="0" w:type="dxa"/>
              <w:right w:w="108" w:type="dxa"/>
            </w:tcMar>
          </w:tcPr>
          <w:p w14:paraId="3C37559C" w14:textId="1B5CDCDC" w:rsidR="00B06121" w:rsidRPr="00B06121" w:rsidRDefault="00B06121" w:rsidP="00B06121">
            <w:pPr>
              <w:jc w:val="right"/>
              <w:rPr>
                <w:color w:val="000000"/>
                <w:sz w:val="18"/>
                <w:szCs w:val="18"/>
                <w:lang w:eastAsia="en-CA"/>
              </w:rPr>
            </w:pPr>
            <w:r w:rsidRPr="008B5A2D">
              <w:rPr>
                <w:color w:val="000000"/>
                <w:sz w:val="18"/>
                <w:szCs w:val="18"/>
              </w:rPr>
              <w:t>477</w:t>
            </w:r>
            <w:r>
              <w:rPr>
                <w:color w:val="000000"/>
                <w:sz w:val="18"/>
                <w:szCs w:val="18"/>
              </w:rPr>
              <w:t>.</w:t>
            </w:r>
            <w:r w:rsidRPr="008B5A2D">
              <w:rPr>
                <w:color w:val="000000"/>
                <w:sz w:val="18"/>
                <w:szCs w:val="18"/>
              </w:rPr>
              <w:t>990</w:t>
            </w:r>
          </w:p>
        </w:tc>
      </w:tr>
      <w:tr w:rsidR="00EC0B4F" w:rsidRPr="00A16458" w14:paraId="32AE0266" w14:textId="77777777" w:rsidTr="00120E6E">
        <w:trPr>
          <w:trHeight w:val="160"/>
          <w:jc w:val="center"/>
        </w:trPr>
        <w:tc>
          <w:tcPr>
            <w:tcW w:w="394" w:type="pct"/>
            <w:tcMar>
              <w:top w:w="0" w:type="dxa"/>
              <w:left w:w="108" w:type="dxa"/>
              <w:bottom w:w="0" w:type="dxa"/>
              <w:right w:w="108" w:type="dxa"/>
            </w:tcMar>
            <w:hideMark/>
          </w:tcPr>
          <w:p w14:paraId="1BE9BCFA" w14:textId="77777777" w:rsidR="00EC0B4F" w:rsidRPr="00A16458" w:rsidRDefault="00EC0B4F" w:rsidP="00741A81">
            <w:pPr>
              <w:rPr>
                <w:rFonts w:eastAsia="Calibri"/>
                <w:color w:val="000000"/>
                <w:sz w:val="18"/>
                <w:szCs w:val="18"/>
              </w:rPr>
            </w:pPr>
            <w:r w:rsidRPr="00A16458">
              <w:rPr>
                <w:color w:val="000000"/>
                <w:sz w:val="18"/>
                <w:szCs w:val="18"/>
              </w:rPr>
              <w:t>4.1.1</w:t>
            </w:r>
          </w:p>
        </w:tc>
        <w:tc>
          <w:tcPr>
            <w:tcW w:w="4190" w:type="pct"/>
            <w:gridSpan w:val="7"/>
            <w:tcMar>
              <w:top w:w="0" w:type="dxa"/>
              <w:left w:w="108" w:type="dxa"/>
              <w:bottom w:w="0" w:type="dxa"/>
              <w:right w:w="108" w:type="dxa"/>
            </w:tcMar>
            <w:hideMark/>
          </w:tcPr>
          <w:p w14:paraId="71038DBF" w14:textId="169376B0" w:rsidR="00EC0B4F" w:rsidRPr="00A16458" w:rsidRDefault="00EC0B4F" w:rsidP="00741A81">
            <w:pPr>
              <w:jc w:val="left"/>
              <w:rPr>
                <w:rFonts w:eastAsia="Calibri"/>
                <w:color w:val="000000"/>
                <w:sz w:val="18"/>
                <w:szCs w:val="18"/>
              </w:rPr>
            </w:pPr>
            <w:r w:rsidRPr="00A16458">
              <w:rPr>
                <w:color w:val="000000"/>
                <w:sz w:val="18"/>
                <w:szCs w:val="18"/>
              </w:rPr>
              <w:t xml:space="preserve">Eliminación total de HCFC-22 </w:t>
            </w:r>
            <w:r w:rsidR="001D7991">
              <w:rPr>
                <w:color w:val="000000"/>
                <w:sz w:val="18"/>
                <w:szCs w:val="18"/>
              </w:rPr>
              <w:t>que debe lograrse según</w:t>
            </w:r>
            <w:r w:rsidRPr="00A16458">
              <w:rPr>
                <w:color w:val="000000"/>
                <w:sz w:val="18"/>
                <w:szCs w:val="18"/>
              </w:rPr>
              <w:t xml:space="preserve"> el presente Acuerdo (tons. PAO)</w:t>
            </w:r>
          </w:p>
        </w:tc>
        <w:tc>
          <w:tcPr>
            <w:tcW w:w="416" w:type="pct"/>
            <w:tcMar>
              <w:top w:w="0" w:type="dxa"/>
              <w:left w:w="108" w:type="dxa"/>
              <w:bottom w:w="0" w:type="dxa"/>
              <w:right w:w="108" w:type="dxa"/>
            </w:tcMar>
            <w:hideMark/>
          </w:tcPr>
          <w:p w14:paraId="3061CACE" w14:textId="323CF649" w:rsidR="00EC0B4F" w:rsidRPr="00A16458" w:rsidRDefault="0050095C" w:rsidP="00741A81">
            <w:pPr>
              <w:jc w:val="right"/>
              <w:rPr>
                <w:rFonts w:eastAsia="Calibri"/>
                <w:color w:val="000000"/>
                <w:sz w:val="18"/>
                <w:szCs w:val="18"/>
              </w:rPr>
            </w:pPr>
            <w:r>
              <w:rPr>
                <w:rFonts w:eastAsia="Calibri"/>
                <w:color w:val="000000"/>
                <w:sz w:val="18"/>
                <w:szCs w:val="18"/>
              </w:rPr>
              <w:t>0,46</w:t>
            </w:r>
          </w:p>
        </w:tc>
      </w:tr>
      <w:tr w:rsidR="00EC0B4F" w:rsidRPr="00A16458" w14:paraId="0DC31D63" w14:textId="77777777" w:rsidTr="00120E6E">
        <w:trPr>
          <w:trHeight w:val="142"/>
          <w:jc w:val="center"/>
        </w:trPr>
        <w:tc>
          <w:tcPr>
            <w:tcW w:w="394" w:type="pct"/>
            <w:tcMar>
              <w:top w:w="0" w:type="dxa"/>
              <w:left w:w="108" w:type="dxa"/>
              <w:bottom w:w="0" w:type="dxa"/>
              <w:right w:w="108" w:type="dxa"/>
            </w:tcMar>
            <w:hideMark/>
          </w:tcPr>
          <w:p w14:paraId="589EDA6B" w14:textId="77777777" w:rsidR="00EC0B4F" w:rsidRPr="00A16458" w:rsidRDefault="00EC0B4F" w:rsidP="00741A81">
            <w:pPr>
              <w:rPr>
                <w:rFonts w:eastAsia="Calibri"/>
                <w:color w:val="000000"/>
                <w:sz w:val="18"/>
                <w:szCs w:val="18"/>
              </w:rPr>
            </w:pPr>
            <w:r w:rsidRPr="00A16458">
              <w:rPr>
                <w:color w:val="000000"/>
                <w:sz w:val="18"/>
                <w:szCs w:val="18"/>
              </w:rPr>
              <w:t>4.1.2</w:t>
            </w:r>
          </w:p>
        </w:tc>
        <w:tc>
          <w:tcPr>
            <w:tcW w:w="4190" w:type="pct"/>
            <w:gridSpan w:val="7"/>
            <w:tcMar>
              <w:top w:w="0" w:type="dxa"/>
              <w:left w:w="108" w:type="dxa"/>
              <w:bottom w:w="0" w:type="dxa"/>
              <w:right w:w="108" w:type="dxa"/>
            </w:tcMar>
            <w:hideMark/>
          </w:tcPr>
          <w:p w14:paraId="612E3321" w14:textId="67C118C5" w:rsidR="00EC0B4F" w:rsidRPr="00A16458" w:rsidRDefault="00EC0B4F" w:rsidP="00741A81">
            <w:pPr>
              <w:jc w:val="left"/>
              <w:rPr>
                <w:rFonts w:eastAsia="Calibri"/>
                <w:color w:val="000000"/>
                <w:sz w:val="18"/>
                <w:szCs w:val="18"/>
              </w:rPr>
            </w:pPr>
            <w:r w:rsidRPr="00A16458">
              <w:rPr>
                <w:color w:val="000000"/>
                <w:sz w:val="18"/>
                <w:szCs w:val="18"/>
              </w:rPr>
              <w:t xml:space="preserve">Eliminación de HCFC-22 </w:t>
            </w:r>
            <w:r w:rsidR="0050095C">
              <w:rPr>
                <w:color w:val="000000"/>
                <w:sz w:val="18"/>
                <w:szCs w:val="18"/>
              </w:rPr>
              <w:t xml:space="preserve">que </w:t>
            </w:r>
            <w:r w:rsidR="001D7991">
              <w:rPr>
                <w:color w:val="000000"/>
                <w:sz w:val="18"/>
                <w:szCs w:val="18"/>
              </w:rPr>
              <w:t>debía</w:t>
            </w:r>
            <w:r w:rsidR="0050095C">
              <w:rPr>
                <w:color w:val="000000"/>
                <w:sz w:val="18"/>
                <w:szCs w:val="18"/>
              </w:rPr>
              <w:t xml:space="preserve"> lograrse </w:t>
            </w:r>
            <w:r w:rsidRPr="00A16458">
              <w:rPr>
                <w:color w:val="000000"/>
                <w:sz w:val="18"/>
                <w:szCs w:val="18"/>
              </w:rPr>
              <w:t xml:space="preserve">en </w:t>
            </w:r>
            <w:r w:rsidR="0050095C">
              <w:rPr>
                <w:color w:val="000000"/>
                <w:sz w:val="18"/>
                <w:szCs w:val="18"/>
              </w:rPr>
              <w:t>la etapa anterior</w:t>
            </w:r>
            <w:r w:rsidRPr="00A16458">
              <w:rPr>
                <w:color w:val="000000"/>
                <w:sz w:val="18"/>
                <w:szCs w:val="18"/>
              </w:rPr>
              <w:t xml:space="preserve"> (tons. PAO)</w:t>
            </w:r>
          </w:p>
        </w:tc>
        <w:tc>
          <w:tcPr>
            <w:tcW w:w="416" w:type="pct"/>
            <w:tcMar>
              <w:top w:w="0" w:type="dxa"/>
              <w:left w:w="108" w:type="dxa"/>
              <w:bottom w:w="0" w:type="dxa"/>
              <w:right w:w="108" w:type="dxa"/>
            </w:tcMar>
          </w:tcPr>
          <w:p w14:paraId="446C6748" w14:textId="75E03DFE" w:rsidR="00EC0B4F" w:rsidRPr="00A16458" w:rsidRDefault="0050095C" w:rsidP="00741A81">
            <w:pPr>
              <w:jc w:val="right"/>
              <w:rPr>
                <w:rFonts w:eastAsia="Calibri"/>
                <w:color w:val="000000"/>
                <w:sz w:val="18"/>
                <w:szCs w:val="18"/>
              </w:rPr>
            </w:pPr>
            <w:r>
              <w:rPr>
                <w:rFonts w:eastAsia="Calibri"/>
                <w:color w:val="000000"/>
                <w:sz w:val="18"/>
                <w:szCs w:val="18"/>
              </w:rPr>
              <w:t>0,24</w:t>
            </w:r>
          </w:p>
        </w:tc>
      </w:tr>
      <w:tr w:rsidR="00EC0B4F" w:rsidRPr="00A16458" w14:paraId="179DACBB" w14:textId="77777777" w:rsidTr="00120E6E">
        <w:trPr>
          <w:trHeight w:val="133"/>
          <w:jc w:val="center"/>
        </w:trPr>
        <w:tc>
          <w:tcPr>
            <w:tcW w:w="394" w:type="pct"/>
            <w:tcMar>
              <w:top w:w="0" w:type="dxa"/>
              <w:left w:w="108" w:type="dxa"/>
              <w:bottom w:w="0" w:type="dxa"/>
              <w:right w:w="108" w:type="dxa"/>
            </w:tcMar>
            <w:hideMark/>
          </w:tcPr>
          <w:p w14:paraId="114B057B" w14:textId="77777777" w:rsidR="00EC0B4F" w:rsidRPr="00A16458" w:rsidRDefault="00EC0B4F" w:rsidP="00741A81">
            <w:pPr>
              <w:rPr>
                <w:rFonts w:eastAsia="Calibri"/>
                <w:color w:val="000000"/>
                <w:sz w:val="18"/>
                <w:szCs w:val="18"/>
              </w:rPr>
            </w:pPr>
            <w:r w:rsidRPr="00A16458">
              <w:rPr>
                <w:color w:val="000000"/>
                <w:sz w:val="18"/>
                <w:szCs w:val="18"/>
              </w:rPr>
              <w:t>4.1.3</w:t>
            </w:r>
          </w:p>
        </w:tc>
        <w:tc>
          <w:tcPr>
            <w:tcW w:w="4190" w:type="pct"/>
            <w:gridSpan w:val="7"/>
            <w:tcMar>
              <w:top w:w="0" w:type="dxa"/>
              <w:left w:w="108" w:type="dxa"/>
              <w:bottom w:w="0" w:type="dxa"/>
              <w:right w:w="108" w:type="dxa"/>
            </w:tcMar>
            <w:hideMark/>
          </w:tcPr>
          <w:p w14:paraId="061E011A" w14:textId="708F9C24" w:rsidR="00EC0B4F" w:rsidRPr="00A16458" w:rsidRDefault="00EC0B4F" w:rsidP="00741A81">
            <w:pPr>
              <w:jc w:val="left"/>
              <w:rPr>
                <w:rFonts w:eastAsia="Calibri"/>
                <w:color w:val="000000"/>
                <w:sz w:val="18"/>
                <w:szCs w:val="18"/>
              </w:rPr>
            </w:pPr>
            <w:r w:rsidRPr="00A16458">
              <w:rPr>
                <w:color w:val="000000"/>
                <w:sz w:val="18"/>
                <w:szCs w:val="18"/>
              </w:rPr>
              <w:t>Consumo admisible remanente de HCFC-22</w:t>
            </w:r>
            <w:r w:rsidR="0050095C">
              <w:rPr>
                <w:color w:val="000000"/>
                <w:sz w:val="18"/>
                <w:szCs w:val="18"/>
              </w:rPr>
              <w:t xml:space="preserve"> (tons. PAO)</w:t>
            </w:r>
          </w:p>
        </w:tc>
        <w:tc>
          <w:tcPr>
            <w:tcW w:w="416" w:type="pct"/>
            <w:tcMar>
              <w:top w:w="0" w:type="dxa"/>
              <w:left w:w="108" w:type="dxa"/>
              <w:bottom w:w="0" w:type="dxa"/>
              <w:right w:w="108" w:type="dxa"/>
            </w:tcMar>
            <w:hideMark/>
          </w:tcPr>
          <w:p w14:paraId="481CE583" w14:textId="77777777" w:rsidR="00EC0B4F" w:rsidRPr="00A16458" w:rsidRDefault="00EC0B4F" w:rsidP="00741A81">
            <w:pPr>
              <w:jc w:val="right"/>
              <w:rPr>
                <w:rFonts w:eastAsia="Calibri"/>
                <w:color w:val="000000"/>
                <w:sz w:val="18"/>
                <w:szCs w:val="18"/>
              </w:rPr>
            </w:pPr>
            <w:r w:rsidRPr="00A16458">
              <w:rPr>
                <w:color w:val="000000"/>
                <w:sz w:val="18"/>
                <w:szCs w:val="18"/>
                <w:lang w:eastAsia="en-CA"/>
              </w:rPr>
              <w:t>0</w:t>
            </w:r>
          </w:p>
        </w:tc>
      </w:tr>
    </w:tbl>
    <w:bookmarkEnd w:id="26"/>
    <w:p w14:paraId="16F8491E" w14:textId="582D0D45" w:rsidR="00EC0B4F" w:rsidRDefault="00EC0B4F" w:rsidP="00EC0B4F">
      <w:pPr>
        <w:pStyle w:val="Heading1"/>
        <w:numPr>
          <w:ilvl w:val="0"/>
          <w:numId w:val="0"/>
        </w:numPr>
        <w:spacing w:after="0"/>
        <w:rPr>
          <w:sz w:val="18"/>
          <w:szCs w:val="16"/>
        </w:rPr>
      </w:pPr>
      <w:r w:rsidRPr="00915C61">
        <w:rPr>
          <w:sz w:val="18"/>
          <w:szCs w:val="16"/>
        </w:rPr>
        <w:t xml:space="preserve">* </w:t>
      </w:r>
      <w:r w:rsidR="0050095C">
        <w:rPr>
          <w:sz w:val="18"/>
          <w:szCs w:val="16"/>
        </w:rPr>
        <w:t xml:space="preserve">Fecha de finalización de la etapa I según la prórroga </w:t>
      </w:r>
      <w:r w:rsidR="004F3F23">
        <w:rPr>
          <w:sz w:val="18"/>
          <w:szCs w:val="16"/>
        </w:rPr>
        <w:t xml:space="preserve">establecida </w:t>
      </w:r>
      <w:r w:rsidR="0050095C">
        <w:rPr>
          <w:sz w:val="18"/>
          <w:szCs w:val="16"/>
        </w:rPr>
        <w:t>en la 88ª reunión: 31/12/2022</w:t>
      </w:r>
    </w:p>
    <w:p w14:paraId="4ED2CA8F" w14:textId="77777777" w:rsidR="00EC0B4F" w:rsidRPr="00915C61" w:rsidRDefault="00EC0B4F" w:rsidP="00EC0B4F">
      <w:pPr>
        <w:keepNext/>
        <w:spacing w:before="360" w:after="240"/>
        <w:rPr>
          <w:b/>
        </w:rPr>
      </w:pPr>
      <w:r w:rsidRPr="00915C61">
        <w:rPr>
          <w:b/>
        </w:rPr>
        <w:lastRenderedPageBreak/>
        <w:t>APÉNDICE 3-A: CRONOGRAMA DE APROBACIÓN DEL FINANCIAMIENTO</w:t>
      </w:r>
    </w:p>
    <w:p w14:paraId="07B1B3FB" w14:textId="77777777" w:rsidR="00EC0B4F" w:rsidRPr="004B0A15" w:rsidRDefault="00EC0B4F" w:rsidP="005649B9">
      <w:pPr>
        <w:pStyle w:val="Heading1"/>
        <w:numPr>
          <w:ilvl w:val="0"/>
          <w:numId w:val="21"/>
        </w:numPr>
      </w:pPr>
      <w:r w:rsidRPr="004B0A15">
        <w:t>La financiación para los tramos futuros se considerará para aprobación en la primera reunión del año especificado en el Apéndice 2-A.</w:t>
      </w:r>
    </w:p>
    <w:p w14:paraId="47526A77" w14:textId="77777777" w:rsidR="00EC0B4F" w:rsidRPr="00915C61" w:rsidRDefault="00EC0B4F" w:rsidP="00EC0B4F">
      <w:pPr>
        <w:keepNext/>
        <w:spacing w:before="360" w:after="240"/>
        <w:rPr>
          <w:b/>
        </w:rPr>
      </w:pPr>
      <w:r w:rsidRPr="00915C61">
        <w:rPr>
          <w:b/>
        </w:rPr>
        <w:t>APÉNDICE 4-A: FORMATO DE INFORMES Y PLANES DE EJECUCIÓN DE TRAMOS</w:t>
      </w:r>
    </w:p>
    <w:p w14:paraId="3FCB3F9B" w14:textId="77777777" w:rsidR="00EC0B4F" w:rsidRPr="00E44C78" w:rsidRDefault="00EC0B4F" w:rsidP="005649B9">
      <w:pPr>
        <w:pStyle w:val="Heading1"/>
        <w:numPr>
          <w:ilvl w:val="0"/>
          <w:numId w:val="22"/>
        </w:numPr>
      </w:pPr>
      <w:r w:rsidRPr="00E44C78">
        <w:t>La presentación de los informes y planes de ejecución de tramos de cada solicitud de tramo constarán de cinco partes:</w:t>
      </w:r>
    </w:p>
    <w:p w14:paraId="7353F81E" w14:textId="77777777" w:rsidR="00EC0B4F" w:rsidRPr="00915C61" w:rsidRDefault="00EC0B4F" w:rsidP="00EC0B4F">
      <w:pPr>
        <w:pStyle w:val="Heading2"/>
        <w:widowControl/>
        <w:ind w:left="1440" w:hanging="720"/>
      </w:pPr>
      <w:r w:rsidRPr="00915C61">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los mismos, respecto de los planes de ejecución de tramos presentados anteriormente, tales como retrasos, uso de flexibilidad para reasignar fondos durante la ejecución de un tramo, conforme lo permite el párrafo 7 de este Acuerdo, u otros cambios;</w:t>
      </w:r>
    </w:p>
    <w:p w14:paraId="77629CCB" w14:textId="77777777" w:rsidR="00EC0B4F" w:rsidRPr="00915C61" w:rsidRDefault="00EC0B4F" w:rsidP="00EC0B4F">
      <w:pPr>
        <w:pStyle w:val="Heading2"/>
        <w:widowControl/>
        <w:tabs>
          <w:tab w:val="num" w:pos="-720"/>
        </w:tabs>
        <w:ind w:left="1440" w:hanging="720"/>
      </w:pPr>
      <w:r w:rsidRPr="00915C61">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1D26085E" w14:textId="7E696A85" w:rsidR="00EC0B4F" w:rsidRPr="00915C61" w:rsidRDefault="00EC0B4F" w:rsidP="00EC0B4F">
      <w:pPr>
        <w:pStyle w:val="Heading2"/>
        <w:widowControl/>
        <w:tabs>
          <w:tab w:val="num" w:pos="-720"/>
        </w:tabs>
        <w:ind w:left="1440" w:hanging="720"/>
      </w:pPr>
      <w:r w:rsidRPr="00915C61">
        <w:t xml:space="preserve">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w:t>
      </w:r>
      <w:r w:rsidR="001D7991">
        <w:t>a</w:t>
      </w:r>
      <w:r w:rsidRPr="00915C61">
        <w:t>) anterior;</w:t>
      </w:r>
    </w:p>
    <w:p w14:paraId="571BB1EC" w14:textId="77777777" w:rsidR="00EC0B4F" w:rsidRPr="00915C61" w:rsidRDefault="00EC0B4F" w:rsidP="00EC0B4F">
      <w:pPr>
        <w:pStyle w:val="Heading2"/>
        <w:widowControl/>
        <w:tabs>
          <w:tab w:val="num" w:pos="-720"/>
        </w:tabs>
        <w:ind w:left="1440" w:hanging="720"/>
      </w:pPr>
      <w:r w:rsidRPr="00915C61">
        <w:t>Un conjunto de datos cuantitativos sobre todos los informes y planes de ejecución de tramos, a presentar a través de una base de datos en línea; y</w:t>
      </w:r>
    </w:p>
    <w:p w14:paraId="5C859847" w14:textId="77777777" w:rsidR="00EC0B4F" w:rsidRPr="00915C61" w:rsidRDefault="00EC0B4F" w:rsidP="00EC0B4F">
      <w:pPr>
        <w:pStyle w:val="Heading2"/>
        <w:widowControl/>
        <w:tabs>
          <w:tab w:val="num" w:pos="-720"/>
        </w:tabs>
        <w:ind w:left="1440" w:hanging="720"/>
      </w:pPr>
      <w:r w:rsidRPr="00915C61">
        <w:t>Un resumen ejecutivo de unos cinco párrafos con una síntesis de la información contenida en los incisos 1 a) a 1 d) anteriores.</w:t>
      </w:r>
    </w:p>
    <w:p w14:paraId="0C2FCB11" w14:textId="77777777" w:rsidR="00EC0B4F" w:rsidRPr="00915C61" w:rsidRDefault="00EC0B4F" w:rsidP="00EC0B4F">
      <w:pPr>
        <w:pStyle w:val="Heading1"/>
      </w:pPr>
      <w:r w:rsidRPr="00915C61">
        <w:t>Cuando en un mismo año se estén ejecutando en paralelo dos etapas del Plan, al elaborar los informes y planes de ejecución de tramos se deberá tener en cuenta lo siguiente:</w:t>
      </w:r>
    </w:p>
    <w:p w14:paraId="208DF48A" w14:textId="77777777" w:rsidR="00EC0B4F" w:rsidRPr="00915C61" w:rsidRDefault="00EC0B4F" w:rsidP="00EC0B4F">
      <w:pPr>
        <w:pStyle w:val="Heading2"/>
        <w:widowControl/>
        <w:tabs>
          <w:tab w:val="num" w:pos="-720"/>
        </w:tabs>
        <w:ind w:left="1440" w:hanging="720"/>
      </w:pPr>
      <w:r w:rsidRPr="00915C61">
        <w:t>Los informes y planes de ejecución de tramos previstos en el presente Acuerdo deberán referirse únicamente a las actividades y recursos aquí contemplados; y</w:t>
      </w:r>
    </w:p>
    <w:p w14:paraId="00EB0FCE" w14:textId="77777777" w:rsidR="00EC0B4F" w:rsidRPr="00915C61" w:rsidRDefault="00EC0B4F" w:rsidP="00EC0B4F">
      <w:pPr>
        <w:pStyle w:val="Heading2"/>
        <w:widowControl/>
        <w:tabs>
          <w:tab w:val="num" w:pos="-720"/>
        </w:tabs>
        <w:ind w:left="1440" w:hanging="720"/>
      </w:pPr>
      <w:r w:rsidRPr="00915C61">
        <w:lastRenderedPageBreak/>
        <w:t>Cuando el Apéndice 2-A de cada Acuerdo contemple distintas metas de consumo de HCFC para etapas en curso en un mismo año, la meta que resulte menor servirá de referencia para el cumplimiento de dichos Acuerdos y como base para la verificación independiente.</w:t>
      </w:r>
    </w:p>
    <w:p w14:paraId="54C9F1C1" w14:textId="77777777" w:rsidR="00EC0B4F" w:rsidRPr="00915C61" w:rsidRDefault="00EC0B4F" w:rsidP="008B5A2D">
      <w:pPr>
        <w:keepNext/>
        <w:spacing w:before="360" w:after="240"/>
        <w:rPr>
          <w:b/>
        </w:rPr>
      </w:pPr>
      <w:r w:rsidRPr="00915C61">
        <w:rPr>
          <w:b/>
        </w:rPr>
        <w:t>APÉNDICE 5-A: INSTITUCIONES Y FUNCIONES DE SUPERVISIÓN</w:t>
      </w:r>
    </w:p>
    <w:p w14:paraId="624C617D" w14:textId="2D7525FA" w:rsidR="00EC0B4F" w:rsidRDefault="00EC0B4F" w:rsidP="00EC0B4F">
      <w:pPr>
        <w:pStyle w:val="Heading1"/>
        <w:numPr>
          <w:ilvl w:val="0"/>
          <w:numId w:val="0"/>
        </w:numPr>
      </w:pPr>
      <w:r>
        <w:t>1.</w:t>
      </w:r>
      <w:r>
        <w:tab/>
      </w:r>
      <w:r w:rsidR="001B464B">
        <w:t>E</w:t>
      </w:r>
      <w:r w:rsidR="001D7991">
        <w:t>l Gobierno, a través de la Dependencia Nacional del Ozono, con la asistencia del organismo de ejecución principal</w:t>
      </w:r>
      <w:r w:rsidR="001B464B">
        <w:t>, se encargará de la supervisión general</w:t>
      </w:r>
      <w:r w:rsidR="001D7991">
        <w:t xml:space="preserve">. </w:t>
      </w:r>
      <w:r w:rsidRPr="00E44C78">
        <w:t>La Dependencia Nacional del Ozono</w:t>
      </w:r>
      <w:r>
        <w:t xml:space="preserve"> presentará anualmente al organismo de ejecución principal informes de avance sobre el estado de la ejecución del Plan</w:t>
      </w:r>
      <w:r w:rsidRPr="00E44C78">
        <w:t>.</w:t>
      </w:r>
    </w:p>
    <w:p w14:paraId="6400C2E6" w14:textId="1598CBFA" w:rsidR="001D7991" w:rsidRPr="001D7991" w:rsidRDefault="001D7991" w:rsidP="001D7991">
      <w:pPr>
        <w:pStyle w:val="Heading1"/>
        <w:numPr>
          <w:ilvl w:val="0"/>
          <w:numId w:val="19"/>
        </w:numPr>
        <w:tabs>
          <w:tab w:val="clear" w:pos="0"/>
        </w:tabs>
        <w:rPr>
          <w:bCs/>
        </w:rPr>
      </w:pPr>
      <w:r w:rsidRPr="00E020A3">
        <w:rPr>
          <w:bCs/>
        </w:rPr>
        <w:t>El consum</w:t>
      </w:r>
      <w:r w:rsidR="001B464B">
        <w:rPr>
          <w:bCs/>
        </w:rPr>
        <w:t>o</w:t>
      </w:r>
      <w:r w:rsidRPr="00E020A3">
        <w:rPr>
          <w:bCs/>
        </w:rPr>
        <w:t xml:space="preserve"> será supervisado y determinado sobre la base de los datos oficiales de importaciones y exportaciones</w:t>
      </w:r>
      <w:r>
        <w:rPr>
          <w:bCs/>
        </w:rPr>
        <w:t xml:space="preserve"> de sustancias registrados por los departamentos gubernamentales correspondientes. </w:t>
      </w:r>
      <w:r w:rsidRPr="001D7991">
        <w:rPr>
          <w:bCs/>
        </w:rPr>
        <w:t xml:space="preserve">La Dependencia Nacional del Ozono </w:t>
      </w:r>
      <w:r w:rsidRPr="00E020A3">
        <w:rPr>
          <w:bCs/>
        </w:rPr>
        <w:t xml:space="preserve">recopilará los siguientes datos e informaciones </w:t>
      </w:r>
      <w:r>
        <w:rPr>
          <w:bCs/>
        </w:rPr>
        <w:t xml:space="preserve">e informará sobre ellos </w:t>
      </w:r>
      <w:r w:rsidRPr="00E020A3">
        <w:rPr>
          <w:bCs/>
        </w:rPr>
        <w:t xml:space="preserve">cada año </w:t>
      </w:r>
      <w:r>
        <w:rPr>
          <w:bCs/>
        </w:rPr>
        <w:t>dentro de</w:t>
      </w:r>
      <w:r w:rsidRPr="00E020A3">
        <w:rPr>
          <w:bCs/>
        </w:rPr>
        <w:t xml:space="preserve"> </w:t>
      </w:r>
      <w:r>
        <w:rPr>
          <w:bCs/>
        </w:rPr>
        <w:t>los plazos correspondientes</w:t>
      </w:r>
      <w:r w:rsidRPr="001D7991">
        <w:rPr>
          <w:bCs/>
        </w:rPr>
        <w:t>:</w:t>
      </w:r>
    </w:p>
    <w:p w14:paraId="0C41DCEE" w14:textId="3B935C95" w:rsidR="001D7991" w:rsidRPr="001D7991" w:rsidRDefault="001D7991" w:rsidP="008B5A2D">
      <w:pPr>
        <w:pStyle w:val="Heading2"/>
        <w:widowControl/>
        <w:ind w:left="1440" w:hanging="720"/>
      </w:pPr>
      <w:r w:rsidRPr="001D7991">
        <w:t xml:space="preserve">Informes sobre el consumo de las sustancias </w:t>
      </w:r>
      <w:r w:rsidRPr="00E020A3">
        <w:t xml:space="preserve">que deben </w:t>
      </w:r>
      <w:r w:rsidR="001B464B">
        <w:t>presentarse</w:t>
      </w:r>
      <w:r w:rsidRPr="00E020A3">
        <w:t xml:space="preserve"> a la Secretaría del Ozono de conformidad con </w:t>
      </w:r>
      <w:r>
        <w:t>el Artículo</w:t>
      </w:r>
      <w:r w:rsidR="0005343A">
        <w:rPr>
          <w:b/>
        </w:rPr>
        <w:t> </w:t>
      </w:r>
      <w:r>
        <w:t>7 del Protocolo de Montreal; y</w:t>
      </w:r>
    </w:p>
    <w:p w14:paraId="55C5551A" w14:textId="12FE930A" w:rsidR="001D7991" w:rsidRPr="001B464B" w:rsidRDefault="001B464B" w:rsidP="008B5A2D">
      <w:pPr>
        <w:pStyle w:val="Heading2"/>
        <w:widowControl/>
        <w:ind w:left="1440" w:hanging="720"/>
      </w:pPr>
      <w:r w:rsidRPr="00E020A3">
        <w:t>Informes sobre los datos del programa de país que deben presentarse a la Secretaría del Fondo Multilateral</w:t>
      </w:r>
      <w:r w:rsidR="001D7991" w:rsidRPr="001B464B">
        <w:t>.</w:t>
      </w:r>
    </w:p>
    <w:p w14:paraId="2744DEB0" w14:textId="02467D84" w:rsidR="00EC0B4F" w:rsidRPr="00A34C73" w:rsidRDefault="00EC0B4F" w:rsidP="008B5A2D">
      <w:pPr>
        <w:pStyle w:val="Heading1"/>
        <w:rPr>
          <w:b/>
        </w:rPr>
      </w:pPr>
      <w:r>
        <w:t>El organismo de ejecución principal asignará la supervisión del desarrollo del Plan y la verificación de los logros de las metas de rendimiento a una compañía local independiente o a un consultor(es) local(es) independiente(s).</w:t>
      </w:r>
      <w:r w:rsidR="00B74400">
        <w:t xml:space="preserve"> La compañía o consultor(es) responsables de la verificación tendrán pleno acceso a la información técnica y financiera correspondiente relacionada con la ejecución del Plan.</w:t>
      </w:r>
    </w:p>
    <w:p w14:paraId="181FDD75" w14:textId="77777777" w:rsidR="00EC0B4F" w:rsidRPr="00915C61" w:rsidRDefault="00EC0B4F" w:rsidP="00EC0B4F">
      <w:pPr>
        <w:pStyle w:val="Heading1"/>
        <w:numPr>
          <w:ilvl w:val="0"/>
          <w:numId w:val="0"/>
        </w:numPr>
        <w:rPr>
          <w:b/>
        </w:rPr>
      </w:pPr>
      <w:r w:rsidRPr="00915C61">
        <w:rPr>
          <w:b/>
        </w:rPr>
        <w:t xml:space="preserve">APÉNDICE 6-A: FUNCIONES DEL ORGANISMO PRINCIPAL </w:t>
      </w:r>
    </w:p>
    <w:p w14:paraId="197F8AFA" w14:textId="77777777" w:rsidR="00EC0B4F" w:rsidRPr="00F22094" w:rsidRDefault="00EC0B4F" w:rsidP="00E020A3">
      <w:pPr>
        <w:pStyle w:val="Heading1"/>
        <w:numPr>
          <w:ilvl w:val="0"/>
          <w:numId w:val="29"/>
        </w:numPr>
        <w:tabs>
          <w:tab w:val="clear" w:pos="0"/>
        </w:tabs>
      </w:pPr>
      <w:r w:rsidRPr="00F22094">
        <w:t>El organismo de ejecución principal tendrá, como mínimo, las siguientes responsabilidades:</w:t>
      </w:r>
    </w:p>
    <w:p w14:paraId="4D035882" w14:textId="77777777" w:rsidR="00EC0B4F" w:rsidRPr="00915C61" w:rsidRDefault="00EC0B4F" w:rsidP="00EC0B4F">
      <w:pPr>
        <w:pStyle w:val="Heading2"/>
        <w:widowControl/>
        <w:ind w:left="1440" w:hanging="720"/>
      </w:pPr>
      <w:r w:rsidRPr="00915C61">
        <w:t>Procurar que el desempeño y la gestión financiera se verifiquen según lo previsto en el presente Acuerdo y en los procedimientos y requisitos internos específicos establecidos en el Plan del País;</w:t>
      </w:r>
    </w:p>
    <w:p w14:paraId="14675C34" w14:textId="77777777" w:rsidR="00EC0B4F" w:rsidRPr="00915C61" w:rsidRDefault="00EC0B4F" w:rsidP="00EC0B4F">
      <w:pPr>
        <w:pStyle w:val="Heading2"/>
        <w:widowControl/>
        <w:tabs>
          <w:tab w:val="num" w:pos="-720"/>
        </w:tabs>
        <w:ind w:left="1440" w:hanging="720"/>
      </w:pPr>
      <w:r w:rsidRPr="00915C61">
        <w:t>Colaborar con el País en la elaboración de los informes y planes de ejecución de tramos previstos en el Apéndice 4-A;</w:t>
      </w:r>
    </w:p>
    <w:p w14:paraId="5C48FCB9" w14:textId="77777777" w:rsidR="00EC0B4F" w:rsidRPr="00915C61" w:rsidRDefault="00EC0B4F" w:rsidP="00EC0B4F">
      <w:pPr>
        <w:pStyle w:val="Heading2"/>
        <w:widowControl/>
        <w:tabs>
          <w:tab w:val="num" w:pos="-720"/>
        </w:tabs>
        <w:ind w:left="1440" w:hanging="720"/>
      </w:pPr>
      <w:r w:rsidRPr="00915C61">
        <w:t>Proporcionar al Comité Ejecutivo verificación independiente de haberse alcanzado las metas y finalizado las actividades asociadas del tramo, como se indica en el plan de ejecución de tramo, de conformidad con el Apéndice 4-A;</w:t>
      </w:r>
    </w:p>
    <w:p w14:paraId="77142A22" w14:textId="77777777" w:rsidR="00EC0B4F" w:rsidRPr="00915C61" w:rsidRDefault="00EC0B4F" w:rsidP="00EC0B4F">
      <w:pPr>
        <w:pStyle w:val="Heading2"/>
        <w:widowControl/>
        <w:tabs>
          <w:tab w:val="num" w:pos="-720"/>
        </w:tabs>
        <w:ind w:left="1440" w:hanging="720"/>
      </w:pPr>
      <w:r w:rsidRPr="00915C61">
        <w:t>Velar por que las experiencias y avances logrados se reflejen en las actualizaciones del plan general y en los futuros planes de ejecución de tramos, de conformidad con los subpárrafos 1 c) y 1 d) del Apéndice 4</w:t>
      </w:r>
      <w:r w:rsidRPr="00915C61">
        <w:noBreakHyphen/>
        <w:t>A;</w:t>
      </w:r>
    </w:p>
    <w:p w14:paraId="5BA14DE4" w14:textId="77777777" w:rsidR="00EC0B4F" w:rsidRPr="00915C61" w:rsidRDefault="00EC0B4F" w:rsidP="00EC0B4F">
      <w:pPr>
        <w:pStyle w:val="Heading2"/>
        <w:widowControl/>
        <w:tabs>
          <w:tab w:val="num" w:pos="-720"/>
        </w:tabs>
        <w:ind w:left="1440" w:hanging="720"/>
      </w:pPr>
      <w:r w:rsidRPr="00915C61">
        <w:t>Presentar al Comité Ejecutivo los informes y planes de ejecución de tramos y los informes sobre el plan general según los requisitos especificados en el Apéndice 4-A;</w:t>
      </w:r>
    </w:p>
    <w:p w14:paraId="56360143" w14:textId="77777777" w:rsidR="00EC0B4F" w:rsidRPr="00915C61" w:rsidRDefault="00EC0B4F" w:rsidP="00EC0B4F">
      <w:pPr>
        <w:pStyle w:val="Heading2"/>
        <w:widowControl/>
        <w:tabs>
          <w:tab w:val="num" w:pos="-720"/>
        </w:tabs>
        <w:ind w:left="1440" w:hanging="720"/>
      </w:pPr>
      <w:r w:rsidRPr="00915C61">
        <w:t xml:space="preserve">Cuando el tramo final del financiamiento se solicite uno o más ejercicios antes del último año para el cual se ha fijado una meta de consumo, los informes anuales de ejecución de tramos y, cuando corresponda, de verificación de la etapa en curso del Plan deberán </w:t>
      </w:r>
      <w:r w:rsidRPr="00915C61">
        <w:lastRenderedPageBreak/>
        <w:t>seguirse presentando hasta el término de las actividades previstas y el logro de las metas de consumo de HCFC;</w:t>
      </w:r>
    </w:p>
    <w:p w14:paraId="70DB5495" w14:textId="77777777" w:rsidR="00EC0B4F" w:rsidRPr="00915C61" w:rsidRDefault="00EC0B4F" w:rsidP="00EC0B4F">
      <w:pPr>
        <w:pStyle w:val="Heading2"/>
        <w:widowControl/>
        <w:tabs>
          <w:tab w:val="num" w:pos="-720"/>
        </w:tabs>
        <w:ind w:left="1440" w:hanging="720"/>
      </w:pPr>
      <w:r w:rsidRPr="00915C61">
        <w:t>Procurar que las evaluaciones técnicas las realicen expertos independientes calificados;</w:t>
      </w:r>
    </w:p>
    <w:p w14:paraId="2948D1E4" w14:textId="77777777" w:rsidR="00EC0B4F" w:rsidRPr="00915C61" w:rsidRDefault="00EC0B4F" w:rsidP="00EC0B4F">
      <w:pPr>
        <w:pStyle w:val="Heading2"/>
        <w:widowControl/>
        <w:tabs>
          <w:tab w:val="num" w:pos="-720"/>
        </w:tabs>
        <w:ind w:left="1440" w:hanging="720"/>
      </w:pPr>
      <w:r w:rsidRPr="00915C61">
        <w:t>Llevar a cabo las labores de supervisión que sean necesarias;</w:t>
      </w:r>
    </w:p>
    <w:p w14:paraId="69A8D1BF" w14:textId="77777777" w:rsidR="00EC0B4F" w:rsidRPr="00915C61" w:rsidRDefault="00EC0B4F" w:rsidP="00EC0B4F">
      <w:pPr>
        <w:pStyle w:val="Heading2"/>
        <w:widowControl/>
        <w:tabs>
          <w:tab w:val="num" w:pos="-720"/>
        </w:tabs>
        <w:ind w:left="1440" w:hanging="720"/>
      </w:pPr>
      <w:r w:rsidRPr="00915C61">
        <w:t>Cerciorarse de que exista un mecanismo operativo que permita una ejecución eficaz y transparente del plan de ejecución de tramo y la notificación de datos precisos;</w:t>
      </w:r>
    </w:p>
    <w:p w14:paraId="0C8375E4" w14:textId="77777777" w:rsidR="00EC0B4F" w:rsidRPr="00915C61" w:rsidRDefault="00EC0B4F" w:rsidP="00EC0B4F">
      <w:pPr>
        <w:pStyle w:val="Heading2"/>
        <w:widowControl/>
        <w:tabs>
          <w:tab w:val="num" w:pos="-720"/>
        </w:tabs>
        <w:ind w:left="1440" w:hanging="720"/>
      </w:pPr>
      <w:r w:rsidRPr="00915C61">
        <w:t>De reducirse el financiamiento en razón del incumplimiento previsto en el párrafo 11 del Acuerdo, determinar las reducciones, en consulta con el País, a las distintas partidas presupuestarias y al financiamiento del organismo principal;</w:t>
      </w:r>
    </w:p>
    <w:p w14:paraId="2A4E55B7" w14:textId="77777777" w:rsidR="00EC0B4F" w:rsidRPr="00915C61" w:rsidRDefault="00EC0B4F" w:rsidP="00EC0B4F">
      <w:pPr>
        <w:pStyle w:val="Heading2"/>
        <w:widowControl/>
        <w:tabs>
          <w:tab w:val="num" w:pos="-720"/>
        </w:tabs>
        <w:ind w:left="1440" w:hanging="720"/>
      </w:pPr>
      <w:r w:rsidRPr="00915C61">
        <w:t>Procurar que los desembolsos a la cuenta del País se hagan en base al uso de indicadores;</w:t>
      </w:r>
    </w:p>
    <w:p w14:paraId="1A3B1590" w14:textId="77777777" w:rsidR="00EC0B4F" w:rsidRPr="00915C61" w:rsidRDefault="00EC0B4F" w:rsidP="00EC0B4F">
      <w:pPr>
        <w:pStyle w:val="Heading2"/>
        <w:widowControl/>
        <w:tabs>
          <w:tab w:val="num" w:pos="-720"/>
        </w:tabs>
        <w:ind w:left="1440" w:hanging="720"/>
      </w:pPr>
      <w:r w:rsidRPr="00915C61">
        <w:t xml:space="preserve">Brindar asistencia en materia de políticas, gestión y apoyo técnico, según sea necesario; </w:t>
      </w:r>
      <w:r>
        <w:t>y</w:t>
      </w:r>
    </w:p>
    <w:p w14:paraId="67B7051C" w14:textId="77777777" w:rsidR="00EC0B4F" w:rsidRPr="00915C61" w:rsidRDefault="00EC0B4F" w:rsidP="00EC0B4F">
      <w:pPr>
        <w:pStyle w:val="Heading2"/>
        <w:widowControl/>
        <w:tabs>
          <w:tab w:val="num" w:pos="-720"/>
        </w:tabs>
        <w:ind w:left="1440" w:hanging="720"/>
      </w:pPr>
      <w:r>
        <w:t>Liberar los fondos oportunamente al País/empresas participantes para concluir las actividades relacionadas con el proyecto.</w:t>
      </w:r>
    </w:p>
    <w:p w14:paraId="734BEE2B" w14:textId="77777777" w:rsidR="00EC0B4F" w:rsidRPr="00915C61" w:rsidRDefault="00EC0B4F" w:rsidP="00E020A3">
      <w:pPr>
        <w:pStyle w:val="Heading1"/>
        <w:numPr>
          <w:ilvl w:val="0"/>
          <w:numId w:val="29"/>
        </w:numPr>
        <w:tabs>
          <w:tab w:val="clear" w:pos="0"/>
        </w:tabs>
      </w:pPr>
      <w:r w:rsidRPr="00915C61">
        <w:t>En consulta con el País, y tomando en cuenta sus puntos de vista, el organismo principal seleccionará y encomendará a una entidad independiente la verificación de los resultados del Plan y del consumo de las Sustancias indicadas en el Apéndice 1-A, según lo previsto en los incisos 5 b) del Acuerdo y 1 b) del Apéndice 4-A.</w:t>
      </w:r>
    </w:p>
    <w:p w14:paraId="42FCD025" w14:textId="77777777" w:rsidR="00EC0B4F" w:rsidRPr="00915C61" w:rsidRDefault="00EC0B4F" w:rsidP="008B5A2D">
      <w:pPr>
        <w:keepNext/>
        <w:spacing w:before="360" w:after="240"/>
        <w:rPr>
          <w:b/>
        </w:rPr>
      </w:pPr>
      <w:r w:rsidRPr="00915C61">
        <w:rPr>
          <w:b/>
        </w:rPr>
        <w:t>APÉNDICE 7-A: REDUCCIÓN DEL FINANCIAMIENTO EN CASO DE INCUMPLIMIENTO</w:t>
      </w:r>
    </w:p>
    <w:p w14:paraId="77CA0443" w14:textId="77777777" w:rsidR="00EC0B4F" w:rsidRPr="00A34C73" w:rsidRDefault="00EC0B4F" w:rsidP="005649B9">
      <w:pPr>
        <w:pStyle w:val="Heading1"/>
        <w:numPr>
          <w:ilvl w:val="0"/>
          <w:numId w:val="20"/>
        </w:numPr>
      </w:pPr>
      <w:r w:rsidRPr="00A34C73">
        <w:t>Conforme al párrafo 11 del Acuerdo, el financiamiento proporcionado podrá reducirse en USD 180 por kg/PAO de consumo que exceda el nivel definido en el renglón 1.2 del Apéndice 2-A para cada año en que no se cumpla la meta especificada en el renglón 1.2 del Apéndice 2-A. La reducción máxima no excederá el financiamiento total del tramo solicitado, aunque podrán estudiarse otras medidas cuando el incumplimiento se prolongue durante dos años consecutivos.</w:t>
      </w:r>
    </w:p>
    <w:p w14:paraId="1C1282F7" w14:textId="77777777" w:rsidR="00EC0B4F" w:rsidRPr="00A34C73" w:rsidRDefault="00EC0B4F" w:rsidP="005649B9">
      <w:pPr>
        <w:pStyle w:val="Heading1"/>
        <w:keepNext/>
        <w:keepLines/>
        <w:widowControl w:val="0"/>
        <w:numPr>
          <w:ilvl w:val="0"/>
          <w:numId w:val="20"/>
        </w:numPr>
        <w:rPr>
          <w:lang w:val="es-AR"/>
        </w:rPr>
      </w:pPr>
      <w:r w:rsidRPr="00A34C73">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la sanción que resulte mayor</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C0B4F" w:rsidRPr="00957201" w14:paraId="27C7CEBB" w14:textId="77777777" w:rsidTr="008923DA">
        <w:tc>
          <w:tcPr>
            <w:tcW w:w="1871" w:type="dxa"/>
          </w:tcPr>
          <w:p w14:paraId="12BBAE4E" w14:textId="77777777" w:rsidR="00EC0B4F" w:rsidRPr="007333C6" w:rsidRDefault="00EC0B4F" w:rsidP="00741A81">
            <w:pPr>
              <w:rPr>
                <w:lang w:val="es-AR"/>
              </w:rPr>
            </w:pPr>
          </w:p>
        </w:tc>
        <w:tc>
          <w:tcPr>
            <w:tcW w:w="1872" w:type="dxa"/>
          </w:tcPr>
          <w:p w14:paraId="451A9C0F" w14:textId="77777777" w:rsidR="00EC0B4F" w:rsidRPr="007333C6" w:rsidRDefault="00EC0B4F" w:rsidP="00741A81">
            <w:pPr>
              <w:rPr>
                <w:lang w:val="es-AR"/>
              </w:rPr>
            </w:pPr>
          </w:p>
        </w:tc>
        <w:tc>
          <w:tcPr>
            <w:tcW w:w="1872" w:type="dxa"/>
            <w:tcBorders>
              <w:bottom w:val="single" w:sz="4" w:space="0" w:color="auto"/>
            </w:tcBorders>
          </w:tcPr>
          <w:p w14:paraId="28E1CE5B" w14:textId="77777777" w:rsidR="00EC0B4F" w:rsidRPr="007333C6" w:rsidRDefault="00EC0B4F" w:rsidP="00741A81">
            <w:pPr>
              <w:rPr>
                <w:lang w:val="es-AR"/>
              </w:rPr>
            </w:pPr>
          </w:p>
        </w:tc>
        <w:tc>
          <w:tcPr>
            <w:tcW w:w="1872" w:type="dxa"/>
          </w:tcPr>
          <w:p w14:paraId="79B649E7" w14:textId="77777777" w:rsidR="00EC0B4F" w:rsidRPr="007333C6" w:rsidRDefault="00EC0B4F" w:rsidP="00741A81">
            <w:pPr>
              <w:rPr>
                <w:lang w:val="es-AR"/>
              </w:rPr>
            </w:pPr>
          </w:p>
        </w:tc>
        <w:tc>
          <w:tcPr>
            <w:tcW w:w="1873" w:type="dxa"/>
          </w:tcPr>
          <w:p w14:paraId="613E22BE" w14:textId="77777777" w:rsidR="00EC0B4F" w:rsidRPr="007333C6" w:rsidRDefault="00EC0B4F" w:rsidP="00741A81">
            <w:pPr>
              <w:rPr>
                <w:lang w:val="es-AR"/>
              </w:rPr>
            </w:pPr>
          </w:p>
        </w:tc>
      </w:tr>
    </w:tbl>
    <w:p w14:paraId="3752B181" w14:textId="77777777" w:rsidR="00EC0B4F" w:rsidRPr="007333C6" w:rsidRDefault="00EC0B4F" w:rsidP="00EC0B4F">
      <w:pPr>
        <w:jc w:val="center"/>
        <w:rPr>
          <w:lang w:val="es-AR"/>
        </w:rPr>
      </w:pPr>
    </w:p>
    <w:p w14:paraId="0A64117B" w14:textId="77777777" w:rsidR="00563DA8" w:rsidRPr="00EC0B4F" w:rsidRDefault="00563DA8" w:rsidP="004A4122">
      <w:pPr>
        <w:jc w:val="center"/>
        <w:rPr>
          <w:sz w:val="16"/>
          <w:lang w:val="es-AR"/>
        </w:rPr>
      </w:pPr>
    </w:p>
    <w:sectPr w:rsidR="00563DA8" w:rsidRPr="00EC0B4F" w:rsidSect="00563DA8">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C6BF7" w14:textId="77777777" w:rsidR="00C810D6" w:rsidRDefault="00C810D6" w:rsidP="004A504B">
      <w:r>
        <w:separator/>
      </w:r>
    </w:p>
  </w:endnote>
  <w:endnote w:type="continuationSeparator" w:id="0">
    <w:p w14:paraId="1FCB9A21" w14:textId="77777777" w:rsidR="00C810D6" w:rsidRDefault="00C810D6" w:rsidP="004A504B">
      <w:r>
        <w:continuationSeparator/>
      </w:r>
    </w:p>
  </w:endnote>
  <w:endnote w:type="continuationNotice" w:id="1">
    <w:p w14:paraId="40FA4F35" w14:textId="77777777" w:rsidR="00C810D6" w:rsidRDefault="00C810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roman"/>
    <w:notTrueType/>
    <w:pitch w:val="default"/>
  </w:font>
  <w:font w:name="Univers">
    <w:charset w:val="00"/>
    <w:family w:val="swiss"/>
    <w:pitch w:val="variable"/>
    <w:sig w:usb0="80000287" w:usb1="00000000" w:usb2="00000000" w:usb3="00000000" w:csb0="0000000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31330"/>
      <w:docPartObj>
        <w:docPartGallery w:val="Page Numbers (Bottom of Page)"/>
        <w:docPartUnique/>
      </w:docPartObj>
    </w:sdtPr>
    <w:sdtEndPr>
      <w:rPr>
        <w:noProof/>
      </w:rPr>
    </w:sdtEndPr>
    <w:sdtContent>
      <w:p w14:paraId="10A85526" w14:textId="37728995" w:rsidR="009837C2" w:rsidRDefault="009837C2">
        <w:pPr>
          <w:pStyle w:val="Footer"/>
          <w:jc w:val="center"/>
        </w:pPr>
        <w:r>
          <w:fldChar w:fldCharType="begin"/>
        </w:r>
        <w:r>
          <w:instrText xml:space="preserve"> PAGE   \* MERGEFORMAT </w:instrText>
        </w:r>
        <w:r>
          <w:fldChar w:fldCharType="separate"/>
        </w:r>
        <w:r>
          <w:t>2</w:t>
        </w:r>
        <w:r>
          <w:fldChar w:fldCharType="end"/>
        </w:r>
      </w:p>
    </w:sdtContent>
  </w:sdt>
  <w:p w14:paraId="45FFBB0B" w14:textId="77777777" w:rsidR="009837C2" w:rsidRDefault="009837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00AF" w14:textId="1888E936" w:rsidR="004E7F9C" w:rsidRPr="007833D4" w:rsidRDefault="007833D4" w:rsidP="00D85651">
    <w:pPr>
      <w:pBdr>
        <w:top w:val="single" w:sz="4" w:space="1" w:color="auto"/>
        <w:left w:val="single" w:sz="4" w:space="4" w:color="auto"/>
        <w:bottom w:val="single" w:sz="4" w:space="1" w:color="auto"/>
        <w:right w:val="single" w:sz="4" w:space="4" w:color="auto"/>
      </w:pBdr>
      <w:jc w:val="center"/>
      <w:rPr>
        <w:sz w:val="18"/>
        <w:szCs w:val="18"/>
        <w:lang w:val="es-ES_tradnl"/>
      </w:rPr>
    </w:pPr>
    <w:r w:rsidRPr="00CC2D4F">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49F" w14:textId="77777777" w:rsidR="00781727" w:rsidRPr="0033525D" w:rsidRDefault="0078172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5F66" w14:textId="77777777" w:rsidR="00781727" w:rsidRPr="0033525D" w:rsidRDefault="00781727">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67DF" w14:textId="77777777" w:rsidR="00C810D6" w:rsidRDefault="00C810D6" w:rsidP="004A504B">
      <w:r>
        <w:separator/>
      </w:r>
    </w:p>
  </w:footnote>
  <w:footnote w:type="continuationSeparator" w:id="0">
    <w:p w14:paraId="4A1E713C" w14:textId="77777777" w:rsidR="00C810D6" w:rsidRDefault="00C810D6" w:rsidP="004A504B">
      <w:r>
        <w:continuationSeparator/>
      </w:r>
    </w:p>
  </w:footnote>
  <w:footnote w:type="continuationNotice" w:id="1">
    <w:p w14:paraId="289D268C" w14:textId="77777777" w:rsidR="00C810D6" w:rsidRDefault="00C810D6"/>
  </w:footnote>
  <w:footnote w:id="2">
    <w:p w14:paraId="54E6F445" w14:textId="77777777" w:rsidR="00FF1C6E" w:rsidRPr="00E2372B" w:rsidRDefault="00FF1C6E" w:rsidP="00FF1C6E">
      <w:pPr>
        <w:pStyle w:val="FootnoteText"/>
        <w:spacing w:after="120"/>
        <w:rPr>
          <w:lang w:val="fr-CA"/>
        </w:rPr>
      </w:pPr>
      <w:r>
        <w:rPr>
          <w:rStyle w:val="FootnoteReference"/>
        </w:rPr>
        <w:footnoteRef/>
      </w:r>
      <w:r w:rsidRPr="00B62F61">
        <w:rPr>
          <w:lang w:val="fr-CA"/>
        </w:rPr>
        <w:t xml:space="preserve"> UNEP/OzL.Pro/ExCom/9</w:t>
      </w:r>
      <w:r w:rsidRPr="00B62F61">
        <w:rPr>
          <w:lang w:val="fr-CA" w:eastAsia="zh-CN"/>
        </w:rPr>
        <w:t>7</w:t>
      </w:r>
      <w:r w:rsidRPr="00B62F61">
        <w:rPr>
          <w:lang w:val="fr-CA"/>
        </w:rPr>
        <w:t>/1</w:t>
      </w:r>
    </w:p>
  </w:footnote>
  <w:footnote w:id="3">
    <w:p w14:paraId="436C5785" w14:textId="7F27AEE3" w:rsidR="00563DA8" w:rsidRPr="00996241" w:rsidRDefault="00563DA8" w:rsidP="00BE2DAA">
      <w:pPr>
        <w:pStyle w:val="FootnoteText"/>
      </w:pPr>
      <w:r>
        <w:rPr>
          <w:rStyle w:val="FootnoteReference"/>
        </w:rPr>
        <w:footnoteRef/>
      </w:r>
      <w:r>
        <w:t xml:space="preserve"> De conformidad con la carta del 13 de agosto de 2025 del Ministerio de Medio Ambiente y Desarrollo Sostenible de Djibouti a la Secretaría.</w:t>
      </w:r>
    </w:p>
  </w:footnote>
  <w:footnote w:id="4">
    <w:p w14:paraId="0AC39238" w14:textId="2C85D023" w:rsidR="00563DA8" w:rsidRPr="009931F4" w:rsidRDefault="00563DA8" w:rsidP="00BE2DAA">
      <w:pPr>
        <w:pStyle w:val="FootnoteText"/>
      </w:pPr>
      <w:r>
        <w:rPr>
          <w:rStyle w:val="FootnoteReference"/>
        </w:rPr>
        <w:footnoteRef/>
      </w:r>
      <w:r>
        <w:t xml:space="preserve"> Decisión 66/36.</w:t>
      </w:r>
    </w:p>
  </w:footnote>
  <w:footnote w:id="5">
    <w:p w14:paraId="35AE34F5" w14:textId="05AFD612" w:rsidR="00976E05" w:rsidRDefault="00976E05">
      <w:pPr>
        <w:pStyle w:val="FootnoteText"/>
      </w:pPr>
      <w:r>
        <w:rPr>
          <w:rStyle w:val="FootnoteReference"/>
        </w:rPr>
        <w:footnoteRef/>
      </w:r>
      <w:r>
        <w:t xml:space="preserve"> Decisión 88/40.</w:t>
      </w:r>
    </w:p>
  </w:footnote>
  <w:footnote w:id="6">
    <w:p w14:paraId="4F9A216A" w14:textId="0E5D84FF" w:rsidR="00825471" w:rsidRPr="00825471" w:rsidRDefault="00825471">
      <w:pPr>
        <w:pStyle w:val="FootnoteText"/>
      </w:pPr>
      <w:r>
        <w:rPr>
          <w:rStyle w:val="FootnoteReference"/>
        </w:rPr>
        <w:footnoteRef/>
      </w:r>
      <w:r>
        <w:t xml:space="preserve"> Incluyendo la recuperación de máquinas y cilindros, máquinas de reciclaje, detectores electrónicos de fugas, bombas de vacío y manómetros.</w:t>
      </w:r>
    </w:p>
  </w:footnote>
  <w:footnote w:id="7">
    <w:p w14:paraId="55FC3974" w14:textId="77777777" w:rsidR="00563DA8" w:rsidRPr="00016AE6" w:rsidRDefault="00563DA8" w:rsidP="00BE2DAA">
      <w:pPr>
        <w:pStyle w:val="FootnoteText"/>
      </w:pPr>
      <w:r>
        <w:rPr>
          <w:rStyle w:val="FootnoteReference"/>
        </w:rPr>
        <w:footnoteRef/>
      </w:r>
      <w: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 w:id="8">
    <w:p w14:paraId="02D2F82F" w14:textId="77777777" w:rsidR="001546DC" w:rsidRPr="009F1027" w:rsidRDefault="001546DC" w:rsidP="001546DC">
      <w:pPr>
        <w:pStyle w:val="FootnoteText"/>
      </w:pPr>
      <w:r>
        <w:rPr>
          <w:rStyle w:val="FootnoteReference"/>
        </w:rPr>
        <w:footnoteRef/>
      </w:r>
      <w:r>
        <w:t xml:space="preserve"> De conformidad con la decisión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523DD87F" w:rsidR="00DC6A10" w:rsidRPr="0033525D" w:rsidRDefault="008923DA">
    <w:fldSimple w:instr=" DOCPROPERTY &quot;Document number&quot;  \* MERGEFORMAT ">
      <w:r>
        <w:t>UNEP/OzL.Pro/ExCom/97/47</w:t>
      </w:r>
    </w:fldSimple>
  </w:p>
  <w:p w14:paraId="5B38460F" w14:textId="77777777" w:rsidR="00DC6A10" w:rsidRDefault="00DC6A10"/>
  <w:p w14:paraId="19D3CFB6" w14:textId="77777777" w:rsidR="006719AE" w:rsidRPr="0033525D" w:rsidRDefault="006719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1650052F" w:rsidR="00DC6A10" w:rsidRPr="0033525D" w:rsidRDefault="008923DA" w:rsidP="00563DA8">
    <w:pPr>
      <w:jc w:val="right"/>
    </w:pPr>
    <w:fldSimple w:instr=" DOCPROPERTY &quot;Document number&quot;  \* MERGEFORMAT ">
      <w:r>
        <w:t>UNEP/OzL.Pro/ExCom/97/47</w:t>
      </w:r>
    </w:fldSimple>
  </w:p>
  <w:p w14:paraId="5EA1BF83" w14:textId="77777777" w:rsidR="00DC6A10" w:rsidRDefault="00DC6A10" w:rsidP="00563DA8">
    <w:pPr>
      <w:pStyle w:val="Header"/>
      <w:jc w:val="right"/>
    </w:pPr>
  </w:p>
  <w:p w14:paraId="021579FF" w14:textId="77777777" w:rsidR="006719AE" w:rsidRPr="0033525D" w:rsidRDefault="006719AE"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1BAF" w14:textId="31D6339B" w:rsidR="00781727" w:rsidRPr="00187D59" w:rsidRDefault="006474F3">
    <w:pPr>
      <w:rPr>
        <w:lang w:val="en-GB"/>
      </w:rPr>
    </w:pPr>
    <w:r>
      <w:fldChar w:fldCharType="begin"/>
    </w:r>
    <w:r w:rsidRPr="00187D59">
      <w:rPr>
        <w:lang w:val="en-GB"/>
      </w:rPr>
      <w:instrText xml:space="preserve"> DOCPROPERTY "Document number"  \* MERGEFORMAT </w:instrText>
    </w:r>
    <w:r>
      <w:fldChar w:fldCharType="separate"/>
    </w:r>
    <w:r w:rsidR="008923DA">
      <w:rPr>
        <w:lang w:val="en-GB"/>
      </w:rPr>
      <w:t>UNEP/OzL.Pro/ExCom/97/47</w:t>
    </w:r>
    <w:r>
      <w:fldChar w:fldCharType="end"/>
    </w:r>
  </w:p>
  <w:p w14:paraId="2B5BAD4A" w14:textId="77777777" w:rsidR="00781727" w:rsidRPr="00187D59" w:rsidRDefault="00781727">
    <w:pPr>
      <w:rPr>
        <w:lang w:val="en-GB"/>
      </w:rPr>
    </w:pPr>
    <w:r w:rsidRPr="00187D59">
      <w:rPr>
        <w:lang w:val="en-GB"/>
      </w:rPr>
      <w:t>Anexo I</w:t>
    </w:r>
  </w:p>
  <w:p w14:paraId="7713C9DE" w14:textId="77777777" w:rsidR="00781727" w:rsidRPr="00187D59" w:rsidRDefault="00781727">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093D" w14:textId="2062FBDD" w:rsidR="00781727" w:rsidRPr="00187D59" w:rsidRDefault="006474F3" w:rsidP="00563DA8">
    <w:pPr>
      <w:jc w:val="right"/>
      <w:rPr>
        <w:lang w:val="en-GB"/>
      </w:rPr>
    </w:pPr>
    <w:r>
      <w:fldChar w:fldCharType="begin"/>
    </w:r>
    <w:r w:rsidRPr="00187D59">
      <w:rPr>
        <w:lang w:val="en-GB"/>
      </w:rPr>
      <w:instrText xml:space="preserve"> DOCPROPERTY "Document number"  \* MERGEFORMAT </w:instrText>
    </w:r>
    <w:r>
      <w:fldChar w:fldCharType="separate"/>
    </w:r>
    <w:r w:rsidR="008923DA">
      <w:rPr>
        <w:lang w:val="en-GB"/>
      </w:rPr>
      <w:t>UNEP/OzL.Pro/ExCom/97/47</w:t>
    </w:r>
    <w:r>
      <w:fldChar w:fldCharType="end"/>
    </w:r>
  </w:p>
  <w:p w14:paraId="7DAC306A" w14:textId="77777777" w:rsidR="00781727" w:rsidRPr="00187D59" w:rsidRDefault="00781727" w:rsidP="00563DA8">
    <w:pPr>
      <w:jc w:val="right"/>
      <w:rPr>
        <w:lang w:val="en-GB"/>
      </w:rPr>
    </w:pPr>
    <w:r w:rsidRPr="00187D59">
      <w:rPr>
        <w:lang w:val="en-GB"/>
      </w:rPr>
      <w:t>Anexo I</w:t>
    </w:r>
  </w:p>
  <w:p w14:paraId="51CA48BE" w14:textId="77777777" w:rsidR="00781727" w:rsidRPr="00187D59" w:rsidRDefault="00781727" w:rsidP="00563DA8">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040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F8E2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201E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5A40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6F07B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3C038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8A721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42C5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B2C6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024D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C80CBC"/>
    <w:lvl w:ilvl="0">
      <w:start w:val="1"/>
      <w:numFmt w:val="decimal"/>
      <w:pStyle w:val="Heading1"/>
      <w:lvlText w:val="%1."/>
      <w:lvlJc w:val="left"/>
      <w:pPr>
        <w:tabs>
          <w:tab w:val="num" w:pos="0"/>
        </w:tabs>
        <w:ind w:left="0" w:firstLine="0"/>
      </w:pPr>
      <w:rPr>
        <w:b w:val="0"/>
        <w:bCs/>
        <w:strike w:val="0"/>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C2CDE"/>
    <w:multiLevelType w:val="hybridMultilevel"/>
    <w:tmpl w:val="C15C6EBC"/>
    <w:lvl w:ilvl="0" w:tplc="EEDAA948">
      <w:start w:val="1"/>
      <w:numFmt w:val="lowerRoman"/>
      <w:lvlText w:val="%1)"/>
      <w:lvlJc w:val="left"/>
      <w:pPr>
        <w:ind w:left="2160" w:hanging="72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AC2A36"/>
    <w:multiLevelType w:val="multilevel"/>
    <w:tmpl w:val="5C208FD8"/>
    <w:lvl w:ilvl="0">
      <w:start w:val="1"/>
      <w:numFmt w:val="decimal"/>
      <w:lvlText w:val="%1."/>
      <w:lvlJc w:val="left"/>
      <w:pPr>
        <w:tabs>
          <w:tab w:val="num" w:pos="0"/>
        </w:tabs>
        <w:ind w:left="0" w:firstLine="0"/>
      </w:pPr>
      <w:rPr>
        <w:rFonts w:ascii="Times New Roman" w:eastAsia="Times New Roman" w:hAnsi="Times New Roman" w:cs="Times New Roman"/>
        <w:b w:val="0"/>
        <w:bCs/>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D9C1F76"/>
    <w:multiLevelType w:val="multilevel"/>
    <w:tmpl w:val="5C208FD8"/>
    <w:lvl w:ilvl="0">
      <w:start w:val="1"/>
      <w:numFmt w:val="decimal"/>
      <w:lvlText w:val="%1."/>
      <w:lvlJc w:val="left"/>
      <w:pPr>
        <w:tabs>
          <w:tab w:val="num" w:pos="0"/>
        </w:tabs>
        <w:ind w:left="0" w:firstLine="0"/>
      </w:pPr>
      <w:rPr>
        <w:rFonts w:ascii="Times New Roman" w:eastAsia="Times New Roman" w:hAnsi="Times New Roman" w:cs="Times New Roman"/>
        <w:b w:val="0"/>
        <w:bCs/>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2"/>
  </w:num>
  <w:num w:numId="6" w16cid:durableId="299306927">
    <w:abstractNumId w:val="16"/>
  </w:num>
  <w:num w:numId="7" w16cid:durableId="559828470">
    <w:abstractNumId w:val="17"/>
  </w:num>
  <w:num w:numId="8" w16cid:durableId="1488010068">
    <w:abstractNumId w:val="19"/>
  </w:num>
  <w:num w:numId="9" w16cid:durableId="444007775">
    <w:abstractNumId w:val="14"/>
  </w:num>
  <w:num w:numId="10" w16cid:durableId="2081637436">
    <w:abstractNumId w:val="18"/>
  </w:num>
  <w:num w:numId="11"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37067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7931522">
    <w:abstractNumId w:val="10"/>
  </w:num>
  <w:num w:numId="18" w16cid:durableId="1837258691">
    <w:abstractNumId w:val="10"/>
  </w:num>
  <w:num w:numId="19" w16cid:durableId="1563321797">
    <w:abstractNumId w:val="10"/>
    <w:lvlOverride w:ilvl="0">
      <w:startOverride w:val="2"/>
    </w:lvlOverride>
  </w:num>
  <w:num w:numId="20" w16cid:durableId="1490052120">
    <w:abstractNumId w:val="10"/>
    <w:lvlOverride w:ilvl="0">
      <w:startOverride w:val="1"/>
    </w:lvlOverride>
  </w:num>
  <w:num w:numId="21" w16cid:durableId="350688274">
    <w:abstractNumId w:val="10"/>
    <w:lvlOverride w:ilvl="0">
      <w:startOverride w:val="1"/>
    </w:lvlOverride>
  </w:num>
  <w:num w:numId="22" w16cid:durableId="518737414">
    <w:abstractNumId w:val="15"/>
  </w:num>
  <w:num w:numId="23" w16cid:durableId="1666860028">
    <w:abstractNumId w:val="10"/>
  </w:num>
  <w:num w:numId="24" w16cid:durableId="1943485783">
    <w:abstractNumId w:val="11"/>
  </w:num>
  <w:num w:numId="25" w16cid:durableId="1130705442">
    <w:abstractNumId w:val="10"/>
  </w:num>
  <w:num w:numId="26" w16cid:durableId="231812781">
    <w:abstractNumId w:val="10"/>
  </w:num>
  <w:num w:numId="27" w16cid:durableId="9671286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1429405">
    <w:abstractNumId w:val="10"/>
  </w:num>
  <w:num w:numId="29" w16cid:durableId="227543623">
    <w:abstractNumId w:val="13"/>
  </w:num>
  <w:num w:numId="30" w16cid:durableId="1799179217">
    <w:abstractNumId w:val="9"/>
  </w:num>
  <w:num w:numId="31" w16cid:durableId="1256356359">
    <w:abstractNumId w:val="7"/>
  </w:num>
  <w:num w:numId="32" w16cid:durableId="1349259678">
    <w:abstractNumId w:val="6"/>
  </w:num>
  <w:num w:numId="33" w16cid:durableId="759831788">
    <w:abstractNumId w:val="5"/>
  </w:num>
  <w:num w:numId="34" w16cid:durableId="1417823179">
    <w:abstractNumId w:val="4"/>
  </w:num>
  <w:num w:numId="35" w16cid:durableId="1764909045">
    <w:abstractNumId w:val="8"/>
  </w:num>
  <w:num w:numId="36" w16cid:durableId="721297475">
    <w:abstractNumId w:val="3"/>
  </w:num>
  <w:num w:numId="37" w16cid:durableId="1288269405">
    <w:abstractNumId w:val="2"/>
  </w:num>
  <w:num w:numId="38" w16cid:durableId="505243767">
    <w:abstractNumId w:val="1"/>
  </w:num>
  <w:num w:numId="39" w16cid:durableId="35823745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106D7"/>
    <w:rsid w:val="000119FF"/>
    <w:rsid w:val="00011E16"/>
    <w:rsid w:val="000139EE"/>
    <w:rsid w:val="00015108"/>
    <w:rsid w:val="000155E7"/>
    <w:rsid w:val="00020103"/>
    <w:rsid w:val="000211A9"/>
    <w:rsid w:val="00021238"/>
    <w:rsid w:val="00021CD6"/>
    <w:rsid w:val="00022071"/>
    <w:rsid w:val="00022B68"/>
    <w:rsid w:val="00022F94"/>
    <w:rsid w:val="000260C3"/>
    <w:rsid w:val="00026D8E"/>
    <w:rsid w:val="00027AAC"/>
    <w:rsid w:val="00030DB3"/>
    <w:rsid w:val="00031260"/>
    <w:rsid w:val="000319BF"/>
    <w:rsid w:val="000351D8"/>
    <w:rsid w:val="00035533"/>
    <w:rsid w:val="0003681A"/>
    <w:rsid w:val="000372B7"/>
    <w:rsid w:val="00041D95"/>
    <w:rsid w:val="00050A53"/>
    <w:rsid w:val="00050F6E"/>
    <w:rsid w:val="00052847"/>
    <w:rsid w:val="0005318D"/>
    <w:rsid w:val="0005343A"/>
    <w:rsid w:val="00053E09"/>
    <w:rsid w:val="000556B6"/>
    <w:rsid w:val="000618FE"/>
    <w:rsid w:val="00061DF1"/>
    <w:rsid w:val="00061EC2"/>
    <w:rsid w:val="00062FEB"/>
    <w:rsid w:val="000633D6"/>
    <w:rsid w:val="000644D1"/>
    <w:rsid w:val="00064B69"/>
    <w:rsid w:val="00065382"/>
    <w:rsid w:val="00066CE8"/>
    <w:rsid w:val="00072C19"/>
    <w:rsid w:val="000731F8"/>
    <w:rsid w:val="000752FD"/>
    <w:rsid w:val="000754BD"/>
    <w:rsid w:val="00077510"/>
    <w:rsid w:val="00077608"/>
    <w:rsid w:val="00080ED0"/>
    <w:rsid w:val="000842C2"/>
    <w:rsid w:val="00085B8F"/>
    <w:rsid w:val="00086690"/>
    <w:rsid w:val="00090481"/>
    <w:rsid w:val="00090E1C"/>
    <w:rsid w:val="00091AD2"/>
    <w:rsid w:val="00094BD1"/>
    <w:rsid w:val="000955DB"/>
    <w:rsid w:val="00096253"/>
    <w:rsid w:val="00097D0E"/>
    <w:rsid w:val="000A04AD"/>
    <w:rsid w:val="000A3826"/>
    <w:rsid w:val="000A66E4"/>
    <w:rsid w:val="000A6C26"/>
    <w:rsid w:val="000A7EC4"/>
    <w:rsid w:val="000B08DE"/>
    <w:rsid w:val="000B120C"/>
    <w:rsid w:val="000B23F6"/>
    <w:rsid w:val="000B34F4"/>
    <w:rsid w:val="000B36C8"/>
    <w:rsid w:val="000B6AE0"/>
    <w:rsid w:val="000C0043"/>
    <w:rsid w:val="000C4783"/>
    <w:rsid w:val="000C547B"/>
    <w:rsid w:val="000C7B43"/>
    <w:rsid w:val="000D1F1B"/>
    <w:rsid w:val="000D4176"/>
    <w:rsid w:val="000D52A4"/>
    <w:rsid w:val="000D5E93"/>
    <w:rsid w:val="000D6B75"/>
    <w:rsid w:val="000E01A3"/>
    <w:rsid w:val="000E07BC"/>
    <w:rsid w:val="000E1814"/>
    <w:rsid w:val="000E2E21"/>
    <w:rsid w:val="000E54F2"/>
    <w:rsid w:val="000F1CD4"/>
    <w:rsid w:val="000F367F"/>
    <w:rsid w:val="000F3C51"/>
    <w:rsid w:val="000F4103"/>
    <w:rsid w:val="000F43D2"/>
    <w:rsid w:val="000F4409"/>
    <w:rsid w:val="000F4F36"/>
    <w:rsid w:val="000F6C18"/>
    <w:rsid w:val="000F70A7"/>
    <w:rsid w:val="000F7522"/>
    <w:rsid w:val="00100525"/>
    <w:rsid w:val="0010279C"/>
    <w:rsid w:val="001040FE"/>
    <w:rsid w:val="00105F14"/>
    <w:rsid w:val="001062D1"/>
    <w:rsid w:val="0010707C"/>
    <w:rsid w:val="0010741A"/>
    <w:rsid w:val="001075CF"/>
    <w:rsid w:val="00110442"/>
    <w:rsid w:val="00110C2E"/>
    <w:rsid w:val="0011192E"/>
    <w:rsid w:val="00112ACB"/>
    <w:rsid w:val="00113CCA"/>
    <w:rsid w:val="0011648A"/>
    <w:rsid w:val="001164D9"/>
    <w:rsid w:val="00116A81"/>
    <w:rsid w:val="00117ACF"/>
    <w:rsid w:val="00117B69"/>
    <w:rsid w:val="00120E6E"/>
    <w:rsid w:val="00122F25"/>
    <w:rsid w:val="0012399D"/>
    <w:rsid w:val="00124499"/>
    <w:rsid w:val="001258A4"/>
    <w:rsid w:val="00127C86"/>
    <w:rsid w:val="00132DAE"/>
    <w:rsid w:val="00135980"/>
    <w:rsid w:val="00136B8A"/>
    <w:rsid w:val="001376F4"/>
    <w:rsid w:val="0013786F"/>
    <w:rsid w:val="00141D3B"/>
    <w:rsid w:val="001445CC"/>
    <w:rsid w:val="00147DC9"/>
    <w:rsid w:val="001515BD"/>
    <w:rsid w:val="0015444A"/>
    <w:rsid w:val="001546DC"/>
    <w:rsid w:val="001549CA"/>
    <w:rsid w:val="00154B57"/>
    <w:rsid w:val="00163414"/>
    <w:rsid w:val="00164719"/>
    <w:rsid w:val="0016477A"/>
    <w:rsid w:val="00165F55"/>
    <w:rsid w:val="00166003"/>
    <w:rsid w:val="0016689B"/>
    <w:rsid w:val="00166FC4"/>
    <w:rsid w:val="0016779E"/>
    <w:rsid w:val="001677AC"/>
    <w:rsid w:val="00167DB7"/>
    <w:rsid w:val="00172664"/>
    <w:rsid w:val="001742D0"/>
    <w:rsid w:val="00176339"/>
    <w:rsid w:val="00176B46"/>
    <w:rsid w:val="00177603"/>
    <w:rsid w:val="001804EA"/>
    <w:rsid w:val="001832CF"/>
    <w:rsid w:val="00183625"/>
    <w:rsid w:val="00186682"/>
    <w:rsid w:val="001874AC"/>
    <w:rsid w:val="00187D59"/>
    <w:rsid w:val="00190A61"/>
    <w:rsid w:val="001964CC"/>
    <w:rsid w:val="00196904"/>
    <w:rsid w:val="00197179"/>
    <w:rsid w:val="001A2215"/>
    <w:rsid w:val="001A25EE"/>
    <w:rsid w:val="001A3342"/>
    <w:rsid w:val="001A3E3D"/>
    <w:rsid w:val="001A7049"/>
    <w:rsid w:val="001B0947"/>
    <w:rsid w:val="001B1E40"/>
    <w:rsid w:val="001B2A51"/>
    <w:rsid w:val="001B464B"/>
    <w:rsid w:val="001B551C"/>
    <w:rsid w:val="001C0525"/>
    <w:rsid w:val="001C1121"/>
    <w:rsid w:val="001C4416"/>
    <w:rsid w:val="001C5B19"/>
    <w:rsid w:val="001C764E"/>
    <w:rsid w:val="001D7991"/>
    <w:rsid w:val="001E0868"/>
    <w:rsid w:val="001E1052"/>
    <w:rsid w:val="001E21B1"/>
    <w:rsid w:val="001E2AD4"/>
    <w:rsid w:val="001E2F93"/>
    <w:rsid w:val="001E31F4"/>
    <w:rsid w:val="001E32C1"/>
    <w:rsid w:val="001E4554"/>
    <w:rsid w:val="001E5CF5"/>
    <w:rsid w:val="001E5FC0"/>
    <w:rsid w:val="001E61E5"/>
    <w:rsid w:val="001E64D7"/>
    <w:rsid w:val="001F00D4"/>
    <w:rsid w:val="001F07A0"/>
    <w:rsid w:val="001F0A57"/>
    <w:rsid w:val="001F2159"/>
    <w:rsid w:val="001F23B5"/>
    <w:rsid w:val="001F2CC3"/>
    <w:rsid w:val="001F2F84"/>
    <w:rsid w:val="001F46EC"/>
    <w:rsid w:val="001F4E41"/>
    <w:rsid w:val="001F4F65"/>
    <w:rsid w:val="001F53FD"/>
    <w:rsid w:val="001F6EDF"/>
    <w:rsid w:val="001F7B0F"/>
    <w:rsid w:val="0020310B"/>
    <w:rsid w:val="002034D9"/>
    <w:rsid w:val="002060E5"/>
    <w:rsid w:val="00206ADB"/>
    <w:rsid w:val="00207919"/>
    <w:rsid w:val="00210B48"/>
    <w:rsid w:val="00210B8B"/>
    <w:rsid w:val="002111FA"/>
    <w:rsid w:val="002118E9"/>
    <w:rsid w:val="00211E0E"/>
    <w:rsid w:val="00212A96"/>
    <w:rsid w:val="0021406D"/>
    <w:rsid w:val="00214863"/>
    <w:rsid w:val="002156B4"/>
    <w:rsid w:val="0022080B"/>
    <w:rsid w:val="002229C4"/>
    <w:rsid w:val="00224FCD"/>
    <w:rsid w:val="0022502D"/>
    <w:rsid w:val="00227F84"/>
    <w:rsid w:val="00230541"/>
    <w:rsid w:val="0023269D"/>
    <w:rsid w:val="00232A8F"/>
    <w:rsid w:val="00234966"/>
    <w:rsid w:val="002349B3"/>
    <w:rsid w:val="00234E04"/>
    <w:rsid w:val="00236069"/>
    <w:rsid w:val="00240999"/>
    <w:rsid w:val="00240CD8"/>
    <w:rsid w:val="002415EE"/>
    <w:rsid w:val="0024295B"/>
    <w:rsid w:val="002500DD"/>
    <w:rsid w:val="002519C0"/>
    <w:rsid w:val="00251FB5"/>
    <w:rsid w:val="00252FE0"/>
    <w:rsid w:val="00253222"/>
    <w:rsid w:val="002540F2"/>
    <w:rsid w:val="00254364"/>
    <w:rsid w:val="00256CAF"/>
    <w:rsid w:val="0026020D"/>
    <w:rsid w:val="00261375"/>
    <w:rsid w:val="002614FE"/>
    <w:rsid w:val="00261C13"/>
    <w:rsid w:val="00262847"/>
    <w:rsid w:val="00262E48"/>
    <w:rsid w:val="00263067"/>
    <w:rsid w:val="00263601"/>
    <w:rsid w:val="0026394B"/>
    <w:rsid w:val="002652D4"/>
    <w:rsid w:val="00265655"/>
    <w:rsid w:val="0026688F"/>
    <w:rsid w:val="00266975"/>
    <w:rsid w:val="00266DF8"/>
    <w:rsid w:val="00272437"/>
    <w:rsid w:val="00272559"/>
    <w:rsid w:val="00273D95"/>
    <w:rsid w:val="00274B13"/>
    <w:rsid w:val="00280C16"/>
    <w:rsid w:val="00281BB2"/>
    <w:rsid w:val="002826A5"/>
    <w:rsid w:val="00282E22"/>
    <w:rsid w:val="00283A7C"/>
    <w:rsid w:val="00284C01"/>
    <w:rsid w:val="00284CFF"/>
    <w:rsid w:val="0028670C"/>
    <w:rsid w:val="002904B8"/>
    <w:rsid w:val="00294709"/>
    <w:rsid w:val="00295AFE"/>
    <w:rsid w:val="00296847"/>
    <w:rsid w:val="00297BBE"/>
    <w:rsid w:val="002A03C3"/>
    <w:rsid w:val="002A5C8A"/>
    <w:rsid w:val="002A5D9E"/>
    <w:rsid w:val="002A60BF"/>
    <w:rsid w:val="002A6194"/>
    <w:rsid w:val="002A62C6"/>
    <w:rsid w:val="002A6D12"/>
    <w:rsid w:val="002A7B18"/>
    <w:rsid w:val="002B0A8C"/>
    <w:rsid w:val="002B1F7B"/>
    <w:rsid w:val="002B228D"/>
    <w:rsid w:val="002B254E"/>
    <w:rsid w:val="002B3A20"/>
    <w:rsid w:val="002B418B"/>
    <w:rsid w:val="002B4CE8"/>
    <w:rsid w:val="002B4E59"/>
    <w:rsid w:val="002B72E9"/>
    <w:rsid w:val="002B737E"/>
    <w:rsid w:val="002C1B61"/>
    <w:rsid w:val="002C2CFB"/>
    <w:rsid w:val="002C323D"/>
    <w:rsid w:val="002C32FC"/>
    <w:rsid w:val="002C4553"/>
    <w:rsid w:val="002C4841"/>
    <w:rsid w:val="002C7998"/>
    <w:rsid w:val="002D1145"/>
    <w:rsid w:val="002D20B9"/>
    <w:rsid w:val="002D23D2"/>
    <w:rsid w:val="002D526B"/>
    <w:rsid w:val="002D5A3D"/>
    <w:rsid w:val="002D6C08"/>
    <w:rsid w:val="002D723B"/>
    <w:rsid w:val="002E38C6"/>
    <w:rsid w:val="002E4D7C"/>
    <w:rsid w:val="002E6353"/>
    <w:rsid w:val="002F1D93"/>
    <w:rsid w:val="002F1E53"/>
    <w:rsid w:val="002F2CAA"/>
    <w:rsid w:val="002F3CE6"/>
    <w:rsid w:val="002F4AD0"/>
    <w:rsid w:val="002F6BF7"/>
    <w:rsid w:val="0030052C"/>
    <w:rsid w:val="00300E86"/>
    <w:rsid w:val="00302333"/>
    <w:rsid w:val="0030285F"/>
    <w:rsid w:val="00305140"/>
    <w:rsid w:val="00305534"/>
    <w:rsid w:val="00306D14"/>
    <w:rsid w:val="0030705C"/>
    <w:rsid w:val="003070BB"/>
    <w:rsid w:val="00307D86"/>
    <w:rsid w:val="00311E25"/>
    <w:rsid w:val="0031228F"/>
    <w:rsid w:val="003152F8"/>
    <w:rsid w:val="00316760"/>
    <w:rsid w:val="00316947"/>
    <w:rsid w:val="0031695B"/>
    <w:rsid w:val="00320C30"/>
    <w:rsid w:val="003219C7"/>
    <w:rsid w:val="00322932"/>
    <w:rsid w:val="00322CE0"/>
    <w:rsid w:val="00322D5D"/>
    <w:rsid w:val="00324E59"/>
    <w:rsid w:val="003266DC"/>
    <w:rsid w:val="003268C5"/>
    <w:rsid w:val="003306E1"/>
    <w:rsid w:val="0033139D"/>
    <w:rsid w:val="003320E4"/>
    <w:rsid w:val="00333C0D"/>
    <w:rsid w:val="00334C18"/>
    <w:rsid w:val="00334FA0"/>
    <w:rsid w:val="00334FB5"/>
    <w:rsid w:val="0033525D"/>
    <w:rsid w:val="00336436"/>
    <w:rsid w:val="003414F3"/>
    <w:rsid w:val="00341B14"/>
    <w:rsid w:val="0034240D"/>
    <w:rsid w:val="003432F9"/>
    <w:rsid w:val="0034561F"/>
    <w:rsid w:val="00346453"/>
    <w:rsid w:val="00346624"/>
    <w:rsid w:val="0035115A"/>
    <w:rsid w:val="0035117C"/>
    <w:rsid w:val="00353E10"/>
    <w:rsid w:val="003549A9"/>
    <w:rsid w:val="003550CB"/>
    <w:rsid w:val="00355752"/>
    <w:rsid w:val="0035613E"/>
    <w:rsid w:val="0035705B"/>
    <w:rsid w:val="00360E9D"/>
    <w:rsid w:val="00361DA7"/>
    <w:rsid w:val="003635CC"/>
    <w:rsid w:val="00363A07"/>
    <w:rsid w:val="00363EE9"/>
    <w:rsid w:val="00364FE3"/>
    <w:rsid w:val="00365B2F"/>
    <w:rsid w:val="00365BE6"/>
    <w:rsid w:val="0036762A"/>
    <w:rsid w:val="00371252"/>
    <w:rsid w:val="00376128"/>
    <w:rsid w:val="0037742E"/>
    <w:rsid w:val="00377D56"/>
    <w:rsid w:val="00380A48"/>
    <w:rsid w:val="0038245A"/>
    <w:rsid w:val="00383A0C"/>
    <w:rsid w:val="003840E6"/>
    <w:rsid w:val="00385CFC"/>
    <w:rsid w:val="00387F60"/>
    <w:rsid w:val="003911FC"/>
    <w:rsid w:val="00391421"/>
    <w:rsid w:val="0039337A"/>
    <w:rsid w:val="00394078"/>
    <w:rsid w:val="0039764E"/>
    <w:rsid w:val="00397E80"/>
    <w:rsid w:val="003A0C0B"/>
    <w:rsid w:val="003A210E"/>
    <w:rsid w:val="003A255F"/>
    <w:rsid w:val="003A2C5B"/>
    <w:rsid w:val="003A3189"/>
    <w:rsid w:val="003A3CA7"/>
    <w:rsid w:val="003A41AB"/>
    <w:rsid w:val="003A44FB"/>
    <w:rsid w:val="003A5D7F"/>
    <w:rsid w:val="003A5E5A"/>
    <w:rsid w:val="003B2156"/>
    <w:rsid w:val="003B2271"/>
    <w:rsid w:val="003B25C3"/>
    <w:rsid w:val="003B33BD"/>
    <w:rsid w:val="003B4DE9"/>
    <w:rsid w:val="003B569D"/>
    <w:rsid w:val="003B717D"/>
    <w:rsid w:val="003C16A5"/>
    <w:rsid w:val="003C17C9"/>
    <w:rsid w:val="003C2AFA"/>
    <w:rsid w:val="003C3C0E"/>
    <w:rsid w:val="003C62E2"/>
    <w:rsid w:val="003C67C8"/>
    <w:rsid w:val="003C7AE3"/>
    <w:rsid w:val="003D1612"/>
    <w:rsid w:val="003D1C4E"/>
    <w:rsid w:val="003D1E98"/>
    <w:rsid w:val="003D37C3"/>
    <w:rsid w:val="003D42A6"/>
    <w:rsid w:val="003D4F21"/>
    <w:rsid w:val="003D4FAC"/>
    <w:rsid w:val="003D5BEB"/>
    <w:rsid w:val="003D5F5C"/>
    <w:rsid w:val="003D65FF"/>
    <w:rsid w:val="003D6EFC"/>
    <w:rsid w:val="003E1885"/>
    <w:rsid w:val="003E7906"/>
    <w:rsid w:val="003F000F"/>
    <w:rsid w:val="003F2949"/>
    <w:rsid w:val="003F2ADC"/>
    <w:rsid w:val="003F3C50"/>
    <w:rsid w:val="003F556D"/>
    <w:rsid w:val="003F6D14"/>
    <w:rsid w:val="003F7CB0"/>
    <w:rsid w:val="004001AC"/>
    <w:rsid w:val="004001E8"/>
    <w:rsid w:val="00400361"/>
    <w:rsid w:val="00402E63"/>
    <w:rsid w:val="00406051"/>
    <w:rsid w:val="00406202"/>
    <w:rsid w:val="00406A6A"/>
    <w:rsid w:val="00406B22"/>
    <w:rsid w:val="00407147"/>
    <w:rsid w:val="004078FA"/>
    <w:rsid w:val="00410F34"/>
    <w:rsid w:val="004126DC"/>
    <w:rsid w:val="00412D5A"/>
    <w:rsid w:val="00413472"/>
    <w:rsid w:val="00415344"/>
    <w:rsid w:val="00417C92"/>
    <w:rsid w:val="00422EF8"/>
    <w:rsid w:val="00422FBC"/>
    <w:rsid w:val="00423602"/>
    <w:rsid w:val="00423E87"/>
    <w:rsid w:val="00424867"/>
    <w:rsid w:val="00424DF1"/>
    <w:rsid w:val="0042619E"/>
    <w:rsid w:val="00426CCA"/>
    <w:rsid w:val="004306EE"/>
    <w:rsid w:val="00430701"/>
    <w:rsid w:val="00431E08"/>
    <w:rsid w:val="004328A7"/>
    <w:rsid w:val="00434171"/>
    <w:rsid w:val="00434C74"/>
    <w:rsid w:val="00435D7C"/>
    <w:rsid w:val="004364D7"/>
    <w:rsid w:val="004368FA"/>
    <w:rsid w:val="00441DDB"/>
    <w:rsid w:val="00443E97"/>
    <w:rsid w:val="0044437D"/>
    <w:rsid w:val="0044481B"/>
    <w:rsid w:val="004448A0"/>
    <w:rsid w:val="00446976"/>
    <w:rsid w:val="00451808"/>
    <w:rsid w:val="00451F21"/>
    <w:rsid w:val="00454893"/>
    <w:rsid w:val="00454B1C"/>
    <w:rsid w:val="00455E29"/>
    <w:rsid w:val="00456EB4"/>
    <w:rsid w:val="00457827"/>
    <w:rsid w:val="00457B15"/>
    <w:rsid w:val="00457D8D"/>
    <w:rsid w:val="004605E3"/>
    <w:rsid w:val="00464D22"/>
    <w:rsid w:val="004718F3"/>
    <w:rsid w:val="00471BDE"/>
    <w:rsid w:val="00471F0B"/>
    <w:rsid w:val="0047240C"/>
    <w:rsid w:val="004735C4"/>
    <w:rsid w:val="00473F34"/>
    <w:rsid w:val="00474BD8"/>
    <w:rsid w:val="00475040"/>
    <w:rsid w:val="004765DB"/>
    <w:rsid w:val="0048071F"/>
    <w:rsid w:val="00480F7B"/>
    <w:rsid w:val="0048235B"/>
    <w:rsid w:val="004848CA"/>
    <w:rsid w:val="00486F49"/>
    <w:rsid w:val="0048771B"/>
    <w:rsid w:val="00490C06"/>
    <w:rsid w:val="0049304B"/>
    <w:rsid w:val="00493D40"/>
    <w:rsid w:val="00493EE3"/>
    <w:rsid w:val="0049533E"/>
    <w:rsid w:val="004967B6"/>
    <w:rsid w:val="00497EC5"/>
    <w:rsid w:val="004A173B"/>
    <w:rsid w:val="004A352E"/>
    <w:rsid w:val="004A4122"/>
    <w:rsid w:val="004A504B"/>
    <w:rsid w:val="004A6911"/>
    <w:rsid w:val="004B103F"/>
    <w:rsid w:val="004B192C"/>
    <w:rsid w:val="004B2F58"/>
    <w:rsid w:val="004B2F6C"/>
    <w:rsid w:val="004B3652"/>
    <w:rsid w:val="004B3E16"/>
    <w:rsid w:val="004B443A"/>
    <w:rsid w:val="004B54E0"/>
    <w:rsid w:val="004B5E5C"/>
    <w:rsid w:val="004B614D"/>
    <w:rsid w:val="004B71C8"/>
    <w:rsid w:val="004B7384"/>
    <w:rsid w:val="004C3CBD"/>
    <w:rsid w:val="004C4269"/>
    <w:rsid w:val="004C468A"/>
    <w:rsid w:val="004C559B"/>
    <w:rsid w:val="004C5693"/>
    <w:rsid w:val="004C624C"/>
    <w:rsid w:val="004C7A69"/>
    <w:rsid w:val="004C7CFB"/>
    <w:rsid w:val="004D356B"/>
    <w:rsid w:val="004D6236"/>
    <w:rsid w:val="004D6801"/>
    <w:rsid w:val="004D73BE"/>
    <w:rsid w:val="004D76F4"/>
    <w:rsid w:val="004D7F27"/>
    <w:rsid w:val="004D7F90"/>
    <w:rsid w:val="004E10DC"/>
    <w:rsid w:val="004E28D2"/>
    <w:rsid w:val="004E3597"/>
    <w:rsid w:val="004E4DBB"/>
    <w:rsid w:val="004E4E41"/>
    <w:rsid w:val="004E5CF3"/>
    <w:rsid w:val="004E73DB"/>
    <w:rsid w:val="004E7BB0"/>
    <w:rsid w:val="004E7F9C"/>
    <w:rsid w:val="004F0AEB"/>
    <w:rsid w:val="004F3493"/>
    <w:rsid w:val="004F3F23"/>
    <w:rsid w:val="004F467D"/>
    <w:rsid w:val="004F5143"/>
    <w:rsid w:val="004F5296"/>
    <w:rsid w:val="004F650F"/>
    <w:rsid w:val="004F7D4B"/>
    <w:rsid w:val="0050070D"/>
    <w:rsid w:val="0050095C"/>
    <w:rsid w:val="0050255D"/>
    <w:rsid w:val="00502A6F"/>
    <w:rsid w:val="00502DD8"/>
    <w:rsid w:val="00506775"/>
    <w:rsid w:val="00511485"/>
    <w:rsid w:val="00512B09"/>
    <w:rsid w:val="00512B5D"/>
    <w:rsid w:val="00515035"/>
    <w:rsid w:val="005151F4"/>
    <w:rsid w:val="00515477"/>
    <w:rsid w:val="00515680"/>
    <w:rsid w:val="005166C8"/>
    <w:rsid w:val="0051772F"/>
    <w:rsid w:val="00517D25"/>
    <w:rsid w:val="005220ED"/>
    <w:rsid w:val="00523547"/>
    <w:rsid w:val="005248D9"/>
    <w:rsid w:val="00524AE7"/>
    <w:rsid w:val="00524CCC"/>
    <w:rsid w:val="00524DFF"/>
    <w:rsid w:val="00526032"/>
    <w:rsid w:val="0052645A"/>
    <w:rsid w:val="00526CEB"/>
    <w:rsid w:val="005273A6"/>
    <w:rsid w:val="0052769E"/>
    <w:rsid w:val="00530A8F"/>
    <w:rsid w:val="00531114"/>
    <w:rsid w:val="00533796"/>
    <w:rsid w:val="005367B2"/>
    <w:rsid w:val="00537343"/>
    <w:rsid w:val="00540302"/>
    <w:rsid w:val="0054081F"/>
    <w:rsid w:val="00541CD4"/>
    <w:rsid w:val="00541F64"/>
    <w:rsid w:val="00542FA3"/>
    <w:rsid w:val="00551270"/>
    <w:rsid w:val="005516F3"/>
    <w:rsid w:val="005539C9"/>
    <w:rsid w:val="00553C5A"/>
    <w:rsid w:val="00554A8A"/>
    <w:rsid w:val="00554AC4"/>
    <w:rsid w:val="00555476"/>
    <w:rsid w:val="00555D75"/>
    <w:rsid w:val="00556428"/>
    <w:rsid w:val="005564E2"/>
    <w:rsid w:val="00556662"/>
    <w:rsid w:val="00556B81"/>
    <w:rsid w:val="00560B1E"/>
    <w:rsid w:val="00560DF0"/>
    <w:rsid w:val="0056154C"/>
    <w:rsid w:val="00561720"/>
    <w:rsid w:val="00562B8C"/>
    <w:rsid w:val="0056342B"/>
    <w:rsid w:val="00563DA8"/>
    <w:rsid w:val="005649B9"/>
    <w:rsid w:val="00565A94"/>
    <w:rsid w:val="0056759C"/>
    <w:rsid w:val="00570A22"/>
    <w:rsid w:val="005720BB"/>
    <w:rsid w:val="005731BD"/>
    <w:rsid w:val="005746AF"/>
    <w:rsid w:val="00574D74"/>
    <w:rsid w:val="00574EE5"/>
    <w:rsid w:val="00576C61"/>
    <w:rsid w:val="005772C9"/>
    <w:rsid w:val="00581610"/>
    <w:rsid w:val="00581E30"/>
    <w:rsid w:val="0058258F"/>
    <w:rsid w:val="00584BF9"/>
    <w:rsid w:val="00585081"/>
    <w:rsid w:val="005858D9"/>
    <w:rsid w:val="00587249"/>
    <w:rsid w:val="00591CF1"/>
    <w:rsid w:val="00592E79"/>
    <w:rsid w:val="0059513E"/>
    <w:rsid w:val="005963E5"/>
    <w:rsid w:val="005A0157"/>
    <w:rsid w:val="005A1CDC"/>
    <w:rsid w:val="005A4CCD"/>
    <w:rsid w:val="005A6A26"/>
    <w:rsid w:val="005A6AA4"/>
    <w:rsid w:val="005A6D9F"/>
    <w:rsid w:val="005A7DF2"/>
    <w:rsid w:val="005B106E"/>
    <w:rsid w:val="005B355A"/>
    <w:rsid w:val="005B375F"/>
    <w:rsid w:val="005B48FF"/>
    <w:rsid w:val="005B4CC7"/>
    <w:rsid w:val="005C13C5"/>
    <w:rsid w:val="005C1E32"/>
    <w:rsid w:val="005C2ABD"/>
    <w:rsid w:val="005C3856"/>
    <w:rsid w:val="005C5685"/>
    <w:rsid w:val="005C58E3"/>
    <w:rsid w:val="005C5C69"/>
    <w:rsid w:val="005C6014"/>
    <w:rsid w:val="005C670D"/>
    <w:rsid w:val="005C6894"/>
    <w:rsid w:val="005D363F"/>
    <w:rsid w:val="005D753A"/>
    <w:rsid w:val="005D75AE"/>
    <w:rsid w:val="005E0586"/>
    <w:rsid w:val="005E07B6"/>
    <w:rsid w:val="005E09D9"/>
    <w:rsid w:val="005E3E14"/>
    <w:rsid w:val="005E7A15"/>
    <w:rsid w:val="005F0426"/>
    <w:rsid w:val="005F6049"/>
    <w:rsid w:val="005F797A"/>
    <w:rsid w:val="005F7B4B"/>
    <w:rsid w:val="005F7F38"/>
    <w:rsid w:val="00602847"/>
    <w:rsid w:val="00603DAE"/>
    <w:rsid w:val="00604C15"/>
    <w:rsid w:val="00604EFE"/>
    <w:rsid w:val="00606BAF"/>
    <w:rsid w:val="0061097A"/>
    <w:rsid w:val="00611EBE"/>
    <w:rsid w:val="006128D8"/>
    <w:rsid w:val="006141EF"/>
    <w:rsid w:val="006145FB"/>
    <w:rsid w:val="006158D5"/>
    <w:rsid w:val="006165FD"/>
    <w:rsid w:val="00623FBF"/>
    <w:rsid w:val="00625D83"/>
    <w:rsid w:val="006300E1"/>
    <w:rsid w:val="0063032B"/>
    <w:rsid w:val="006305EB"/>
    <w:rsid w:val="00631E26"/>
    <w:rsid w:val="00631E92"/>
    <w:rsid w:val="00633C10"/>
    <w:rsid w:val="006348F0"/>
    <w:rsid w:val="006352F9"/>
    <w:rsid w:val="006357B6"/>
    <w:rsid w:val="00635EBF"/>
    <w:rsid w:val="00635FE6"/>
    <w:rsid w:val="006428F0"/>
    <w:rsid w:val="00643004"/>
    <w:rsid w:val="006435FF"/>
    <w:rsid w:val="00643855"/>
    <w:rsid w:val="00644E5D"/>
    <w:rsid w:val="0064626D"/>
    <w:rsid w:val="006474F3"/>
    <w:rsid w:val="00647A10"/>
    <w:rsid w:val="006507D1"/>
    <w:rsid w:val="00651984"/>
    <w:rsid w:val="006522C4"/>
    <w:rsid w:val="006526B8"/>
    <w:rsid w:val="00654222"/>
    <w:rsid w:val="0065538C"/>
    <w:rsid w:val="0065714E"/>
    <w:rsid w:val="00661BD2"/>
    <w:rsid w:val="006623E7"/>
    <w:rsid w:val="00662B80"/>
    <w:rsid w:val="00662BAB"/>
    <w:rsid w:val="006641CC"/>
    <w:rsid w:val="006656E2"/>
    <w:rsid w:val="00665801"/>
    <w:rsid w:val="006671D9"/>
    <w:rsid w:val="0066768F"/>
    <w:rsid w:val="00670F6C"/>
    <w:rsid w:val="006710DE"/>
    <w:rsid w:val="0067158C"/>
    <w:rsid w:val="006719AE"/>
    <w:rsid w:val="006733F1"/>
    <w:rsid w:val="00674F8C"/>
    <w:rsid w:val="00676E58"/>
    <w:rsid w:val="00677011"/>
    <w:rsid w:val="0067704A"/>
    <w:rsid w:val="00677A2B"/>
    <w:rsid w:val="006815B1"/>
    <w:rsid w:val="00681B02"/>
    <w:rsid w:val="0068401A"/>
    <w:rsid w:val="006852C7"/>
    <w:rsid w:val="006852CE"/>
    <w:rsid w:val="00685BF5"/>
    <w:rsid w:val="006901B1"/>
    <w:rsid w:val="00691414"/>
    <w:rsid w:val="0069232D"/>
    <w:rsid w:val="006924C9"/>
    <w:rsid w:val="00692D14"/>
    <w:rsid w:val="00693376"/>
    <w:rsid w:val="00693E58"/>
    <w:rsid w:val="00694D0E"/>
    <w:rsid w:val="00696870"/>
    <w:rsid w:val="006978A3"/>
    <w:rsid w:val="00697B4D"/>
    <w:rsid w:val="00697D8C"/>
    <w:rsid w:val="006A078C"/>
    <w:rsid w:val="006A7809"/>
    <w:rsid w:val="006A7A3B"/>
    <w:rsid w:val="006B0BB8"/>
    <w:rsid w:val="006B3DE0"/>
    <w:rsid w:val="006B65C7"/>
    <w:rsid w:val="006B7AD8"/>
    <w:rsid w:val="006C07F5"/>
    <w:rsid w:val="006C0B8F"/>
    <w:rsid w:val="006C1727"/>
    <w:rsid w:val="006C21D0"/>
    <w:rsid w:val="006C260B"/>
    <w:rsid w:val="006C32FD"/>
    <w:rsid w:val="006C39CE"/>
    <w:rsid w:val="006C4D95"/>
    <w:rsid w:val="006C5149"/>
    <w:rsid w:val="006C7F31"/>
    <w:rsid w:val="006D03D1"/>
    <w:rsid w:val="006D0FCC"/>
    <w:rsid w:val="006D21F5"/>
    <w:rsid w:val="006D23C4"/>
    <w:rsid w:val="006D3089"/>
    <w:rsid w:val="006D30CB"/>
    <w:rsid w:val="006D4164"/>
    <w:rsid w:val="006D48B8"/>
    <w:rsid w:val="006D64F8"/>
    <w:rsid w:val="006E126D"/>
    <w:rsid w:val="006E1FC3"/>
    <w:rsid w:val="006E2B6D"/>
    <w:rsid w:val="006E38D6"/>
    <w:rsid w:val="006E4411"/>
    <w:rsid w:val="006E4769"/>
    <w:rsid w:val="006E565B"/>
    <w:rsid w:val="006E7A72"/>
    <w:rsid w:val="006E7EE8"/>
    <w:rsid w:val="006F043C"/>
    <w:rsid w:val="006F50D8"/>
    <w:rsid w:val="006F564D"/>
    <w:rsid w:val="006F77C5"/>
    <w:rsid w:val="00700B29"/>
    <w:rsid w:val="00702CD8"/>
    <w:rsid w:val="00704CE9"/>
    <w:rsid w:val="007057D8"/>
    <w:rsid w:val="0070616B"/>
    <w:rsid w:val="00706295"/>
    <w:rsid w:val="007066CC"/>
    <w:rsid w:val="00706FDA"/>
    <w:rsid w:val="00711F9A"/>
    <w:rsid w:val="00713810"/>
    <w:rsid w:val="007143ED"/>
    <w:rsid w:val="007162A1"/>
    <w:rsid w:val="00716544"/>
    <w:rsid w:val="00717055"/>
    <w:rsid w:val="00720339"/>
    <w:rsid w:val="00720709"/>
    <w:rsid w:val="00724701"/>
    <w:rsid w:val="00724BC2"/>
    <w:rsid w:val="00725D04"/>
    <w:rsid w:val="00726466"/>
    <w:rsid w:val="007303A5"/>
    <w:rsid w:val="00730763"/>
    <w:rsid w:val="00730B3E"/>
    <w:rsid w:val="00731F8D"/>
    <w:rsid w:val="007332A3"/>
    <w:rsid w:val="0073420B"/>
    <w:rsid w:val="00736367"/>
    <w:rsid w:val="007376A0"/>
    <w:rsid w:val="00740CC4"/>
    <w:rsid w:val="00742BBA"/>
    <w:rsid w:val="0074383C"/>
    <w:rsid w:val="007453F3"/>
    <w:rsid w:val="00745657"/>
    <w:rsid w:val="00746AA3"/>
    <w:rsid w:val="007472D2"/>
    <w:rsid w:val="0074760E"/>
    <w:rsid w:val="00750387"/>
    <w:rsid w:val="00750A23"/>
    <w:rsid w:val="007528F9"/>
    <w:rsid w:val="00752C46"/>
    <w:rsid w:val="0075383B"/>
    <w:rsid w:val="007548C4"/>
    <w:rsid w:val="00754ABA"/>
    <w:rsid w:val="00754C9A"/>
    <w:rsid w:val="007553D0"/>
    <w:rsid w:val="007624A2"/>
    <w:rsid w:val="00764318"/>
    <w:rsid w:val="00766865"/>
    <w:rsid w:val="00770AE9"/>
    <w:rsid w:val="00772703"/>
    <w:rsid w:val="0077289D"/>
    <w:rsid w:val="0077727D"/>
    <w:rsid w:val="0077794E"/>
    <w:rsid w:val="0078060E"/>
    <w:rsid w:val="007807F4"/>
    <w:rsid w:val="00781727"/>
    <w:rsid w:val="0078218C"/>
    <w:rsid w:val="00782B0D"/>
    <w:rsid w:val="007833D4"/>
    <w:rsid w:val="00784EE3"/>
    <w:rsid w:val="00786B53"/>
    <w:rsid w:val="0079031C"/>
    <w:rsid w:val="00790F8E"/>
    <w:rsid w:val="00794048"/>
    <w:rsid w:val="0079518A"/>
    <w:rsid w:val="0079781A"/>
    <w:rsid w:val="007A1546"/>
    <w:rsid w:val="007A1D9F"/>
    <w:rsid w:val="007A228C"/>
    <w:rsid w:val="007A368E"/>
    <w:rsid w:val="007A392A"/>
    <w:rsid w:val="007A5868"/>
    <w:rsid w:val="007A5991"/>
    <w:rsid w:val="007A6AE5"/>
    <w:rsid w:val="007B02D0"/>
    <w:rsid w:val="007B04CE"/>
    <w:rsid w:val="007B0534"/>
    <w:rsid w:val="007B2497"/>
    <w:rsid w:val="007B2ACE"/>
    <w:rsid w:val="007B438C"/>
    <w:rsid w:val="007B45A3"/>
    <w:rsid w:val="007B6871"/>
    <w:rsid w:val="007B782B"/>
    <w:rsid w:val="007B7A2F"/>
    <w:rsid w:val="007C0EEF"/>
    <w:rsid w:val="007C1B5A"/>
    <w:rsid w:val="007C2B69"/>
    <w:rsid w:val="007C32EE"/>
    <w:rsid w:val="007C3D33"/>
    <w:rsid w:val="007C3DA4"/>
    <w:rsid w:val="007C643B"/>
    <w:rsid w:val="007D12F5"/>
    <w:rsid w:val="007D294A"/>
    <w:rsid w:val="007D3399"/>
    <w:rsid w:val="007D47D2"/>
    <w:rsid w:val="007D5A3C"/>
    <w:rsid w:val="007D62D3"/>
    <w:rsid w:val="007D6EC0"/>
    <w:rsid w:val="007D7E1D"/>
    <w:rsid w:val="007E0325"/>
    <w:rsid w:val="007E0EA2"/>
    <w:rsid w:val="007E31A9"/>
    <w:rsid w:val="007E471B"/>
    <w:rsid w:val="007E4F97"/>
    <w:rsid w:val="007E503C"/>
    <w:rsid w:val="007E56E0"/>
    <w:rsid w:val="007E6BD7"/>
    <w:rsid w:val="007E7C1B"/>
    <w:rsid w:val="007F071F"/>
    <w:rsid w:val="007F36BA"/>
    <w:rsid w:val="007F48A4"/>
    <w:rsid w:val="007F4FCA"/>
    <w:rsid w:val="007F7394"/>
    <w:rsid w:val="0080345C"/>
    <w:rsid w:val="008046C2"/>
    <w:rsid w:val="0080556D"/>
    <w:rsid w:val="008072C3"/>
    <w:rsid w:val="00807D6B"/>
    <w:rsid w:val="00810AB7"/>
    <w:rsid w:val="008156D7"/>
    <w:rsid w:val="00817AAF"/>
    <w:rsid w:val="00820796"/>
    <w:rsid w:val="00820DCB"/>
    <w:rsid w:val="00824722"/>
    <w:rsid w:val="00824EA3"/>
    <w:rsid w:val="0082522F"/>
    <w:rsid w:val="00825471"/>
    <w:rsid w:val="00826C64"/>
    <w:rsid w:val="00831979"/>
    <w:rsid w:val="00831CFF"/>
    <w:rsid w:val="008359CD"/>
    <w:rsid w:val="00840039"/>
    <w:rsid w:val="00840150"/>
    <w:rsid w:val="00840672"/>
    <w:rsid w:val="00845015"/>
    <w:rsid w:val="00846A08"/>
    <w:rsid w:val="00847C2E"/>
    <w:rsid w:val="008504E2"/>
    <w:rsid w:val="00851352"/>
    <w:rsid w:val="0085263A"/>
    <w:rsid w:val="00857077"/>
    <w:rsid w:val="00860DBA"/>
    <w:rsid w:val="008619F5"/>
    <w:rsid w:val="008621CA"/>
    <w:rsid w:val="00863230"/>
    <w:rsid w:val="00863AC5"/>
    <w:rsid w:val="00865BD0"/>
    <w:rsid w:val="0086617F"/>
    <w:rsid w:val="008675B7"/>
    <w:rsid w:val="00867AEF"/>
    <w:rsid w:val="00870909"/>
    <w:rsid w:val="008717D8"/>
    <w:rsid w:val="00871A4B"/>
    <w:rsid w:val="0087215C"/>
    <w:rsid w:val="00873C7C"/>
    <w:rsid w:val="00875D25"/>
    <w:rsid w:val="00877B79"/>
    <w:rsid w:val="00880E35"/>
    <w:rsid w:val="008819CB"/>
    <w:rsid w:val="00882010"/>
    <w:rsid w:val="00883A9B"/>
    <w:rsid w:val="008851B7"/>
    <w:rsid w:val="0088678E"/>
    <w:rsid w:val="00886C3F"/>
    <w:rsid w:val="00886E3A"/>
    <w:rsid w:val="008875FE"/>
    <w:rsid w:val="00887F8E"/>
    <w:rsid w:val="008902BD"/>
    <w:rsid w:val="00891996"/>
    <w:rsid w:val="008923DA"/>
    <w:rsid w:val="0089527B"/>
    <w:rsid w:val="00896234"/>
    <w:rsid w:val="00897870"/>
    <w:rsid w:val="00897E43"/>
    <w:rsid w:val="00897E99"/>
    <w:rsid w:val="008A0BBA"/>
    <w:rsid w:val="008A24EF"/>
    <w:rsid w:val="008A32F0"/>
    <w:rsid w:val="008A4572"/>
    <w:rsid w:val="008A4CF1"/>
    <w:rsid w:val="008A4FD0"/>
    <w:rsid w:val="008A5A1B"/>
    <w:rsid w:val="008A5F93"/>
    <w:rsid w:val="008A675E"/>
    <w:rsid w:val="008A6DFC"/>
    <w:rsid w:val="008B1AF4"/>
    <w:rsid w:val="008B492D"/>
    <w:rsid w:val="008B5714"/>
    <w:rsid w:val="008B5A2D"/>
    <w:rsid w:val="008C01D4"/>
    <w:rsid w:val="008C1524"/>
    <w:rsid w:val="008C222B"/>
    <w:rsid w:val="008C4180"/>
    <w:rsid w:val="008C5738"/>
    <w:rsid w:val="008C64DB"/>
    <w:rsid w:val="008C7410"/>
    <w:rsid w:val="008C7EAD"/>
    <w:rsid w:val="008D0CFE"/>
    <w:rsid w:val="008D0DC7"/>
    <w:rsid w:val="008D21D2"/>
    <w:rsid w:val="008D2B7B"/>
    <w:rsid w:val="008D4494"/>
    <w:rsid w:val="008D45FF"/>
    <w:rsid w:val="008D5C60"/>
    <w:rsid w:val="008D5E05"/>
    <w:rsid w:val="008D6152"/>
    <w:rsid w:val="008D6F9E"/>
    <w:rsid w:val="008D7173"/>
    <w:rsid w:val="008D771D"/>
    <w:rsid w:val="008E156E"/>
    <w:rsid w:val="008E3BEB"/>
    <w:rsid w:val="008E3CF0"/>
    <w:rsid w:val="008E4905"/>
    <w:rsid w:val="008E58DF"/>
    <w:rsid w:val="008E7BA9"/>
    <w:rsid w:val="008E7D70"/>
    <w:rsid w:val="008F0F81"/>
    <w:rsid w:val="008F1103"/>
    <w:rsid w:val="008F14D6"/>
    <w:rsid w:val="008F27BF"/>
    <w:rsid w:val="008F2CE6"/>
    <w:rsid w:val="008F2E64"/>
    <w:rsid w:val="008F3DE1"/>
    <w:rsid w:val="008F4895"/>
    <w:rsid w:val="008F4AEE"/>
    <w:rsid w:val="008F5EC3"/>
    <w:rsid w:val="00900683"/>
    <w:rsid w:val="00900A22"/>
    <w:rsid w:val="00900FD8"/>
    <w:rsid w:val="00901451"/>
    <w:rsid w:val="00902666"/>
    <w:rsid w:val="0091193E"/>
    <w:rsid w:val="009123C8"/>
    <w:rsid w:val="00913219"/>
    <w:rsid w:val="00913589"/>
    <w:rsid w:val="009135A4"/>
    <w:rsid w:val="009137EA"/>
    <w:rsid w:val="009142EC"/>
    <w:rsid w:val="009145E4"/>
    <w:rsid w:val="009154C3"/>
    <w:rsid w:val="009157D6"/>
    <w:rsid w:val="0091600B"/>
    <w:rsid w:val="009207B3"/>
    <w:rsid w:val="00922072"/>
    <w:rsid w:val="0092211E"/>
    <w:rsid w:val="0092338A"/>
    <w:rsid w:val="00923540"/>
    <w:rsid w:val="00926619"/>
    <w:rsid w:val="00926767"/>
    <w:rsid w:val="00927ADC"/>
    <w:rsid w:val="009302AE"/>
    <w:rsid w:val="009334F1"/>
    <w:rsid w:val="00933757"/>
    <w:rsid w:val="009337D1"/>
    <w:rsid w:val="009344FA"/>
    <w:rsid w:val="00935CE1"/>
    <w:rsid w:val="009361D5"/>
    <w:rsid w:val="00936CB6"/>
    <w:rsid w:val="00937781"/>
    <w:rsid w:val="00937F3B"/>
    <w:rsid w:val="00940CBA"/>
    <w:rsid w:val="00940D27"/>
    <w:rsid w:val="009428A4"/>
    <w:rsid w:val="00943092"/>
    <w:rsid w:val="00944DB4"/>
    <w:rsid w:val="00944E38"/>
    <w:rsid w:val="0094732A"/>
    <w:rsid w:val="009504B6"/>
    <w:rsid w:val="00951E4A"/>
    <w:rsid w:val="00953391"/>
    <w:rsid w:val="0095539B"/>
    <w:rsid w:val="00955BAB"/>
    <w:rsid w:val="0095666A"/>
    <w:rsid w:val="00957706"/>
    <w:rsid w:val="009579C6"/>
    <w:rsid w:val="00957F7C"/>
    <w:rsid w:val="00960647"/>
    <w:rsid w:val="00962023"/>
    <w:rsid w:val="00962453"/>
    <w:rsid w:val="0096378D"/>
    <w:rsid w:val="009659F4"/>
    <w:rsid w:val="00965A73"/>
    <w:rsid w:val="00966AE1"/>
    <w:rsid w:val="00967AA6"/>
    <w:rsid w:val="00970A39"/>
    <w:rsid w:val="00970D60"/>
    <w:rsid w:val="00971DA6"/>
    <w:rsid w:val="00972BB3"/>
    <w:rsid w:val="00973211"/>
    <w:rsid w:val="00974102"/>
    <w:rsid w:val="00976E05"/>
    <w:rsid w:val="0098178C"/>
    <w:rsid w:val="009829C9"/>
    <w:rsid w:val="009837C2"/>
    <w:rsid w:val="00985841"/>
    <w:rsid w:val="009866E4"/>
    <w:rsid w:val="009874D0"/>
    <w:rsid w:val="0098778F"/>
    <w:rsid w:val="00991DDC"/>
    <w:rsid w:val="00992749"/>
    <w:rsid w:val="0099390E"/>
    <w:rsid w:val="009946D5"/>
    <w:rsid w:val="009960E5"/>
    <w:rsid w:val="0099658A"/>
    <w:rsid w:val="0099788F"/>
    <w:rsid w:val="00997D6F"/>
    <w:rsid w:val="009A1005"/>
    <w:rsid w:val="009A264E"/>
    <w:rsid w:val="009A3688"/>
    <w:rsid w:val="009A3D65"/>
    <w:rsid w:val="009A463A"/>
    <w:rsid w:val="009A50AB"/>
    <w:rsid w:val="009A6D6E"/>
    <w:rsid w:val="009A735B"/>
    <w:rsid w:val="009A7ADC"/>
    <w:rsid w:val="009B0D30"/>
    <w:rsid w:val="009B2D95"/>
    <w:rsid w:val="009B3AD0"/>
    <w:rsid w:val="009B4485"/>
    <w:rsid w:val="009B5428"/>
    <w:rsid w:val="009B74DB"/>
    <w:rsid w:val="009C0125"/>
    <w:rsid w:val="009C0A5E"/>
    <w:rsid w:val="009C13E1"/>
    <w:rsid w:val="009C19B7"/>
    <w:rsid w:val="009C4D7A"/>
    <w:rsid w:val="009C5ABB"/>
    <w:rsid w:val="009C793E"/>
    <w:rsid w:val="009D595A"/>
    <w:rsid w:val="009D611B"/>
    <w:rsid w:val="009D7483"/>
    <w:rsid w:val="009D7C51"/>
    <w:rsid w:val="009E0205"/>
    <w:rsid w:val="009E196C"/>
    <w:rsid w:val="009E2513"/>
    <w:rsid w:val="009E2EB0"/>
    <w:rsid w:val="009E37FA"/>
    <w:rsid w:val="009E3D96"/>
    <w:rsid w:val="009E4C66"/>
    <w:rsid w:val="009E4CE6"/>
    <w:rsid w:val="009E6A0A"/>
    <w:rsid w:val="009F0332"/>
    <w:rsid w:val="009F0789"/>
    <w:rsid w:val="009F1027"/>
    <w:rsid w:val="009F2200"/>
    <w:rsid w:val="009F36BF"/>
    <w:rsid w:val="009F40CB"/>
    <w:rsid w:val="009F48B6"/>
    <w:rsid w:val="009F5E66"/>
    <w:rsid w:val="00A030AC"/>
    <w:rsid w:val="00A03D82"/>
    <w:rsid w:val="00A07500"/>
    <w:rsid w:val="00A07955"/>
    <w:rsid w:val="00A111B6"/>
    <w:rsid w:val="00A12273"/>
    <w:rsid w:val="00A12E90"/>
    <w:rsid w:val="00A13EA5"/>
    <w:rsid w:val="00A1545A"/>
    <w:rsid w:val="00A15F4E"/>
    <w:rsid w:val="00A17A8F"/>
    <w:rsid w:val="00A2037B"/>
    <w:rsid w:val="00A20453"/>
    <w:rsid w:val="00A26D27"/>
    <w:rsid w:val="00A27898"/>
    <w:rsid w:val="00A3128F"/>
    <w:rsid w:val="00A33072"/>
    <w:rsid w:val="00A335E5"/>
    <w:rsid w:val="00A3401E"/>
    <w:rsid w:val="00A3675A"/>
    <w:rsid w:val="00A376EE"/>
    <w:rsid w:val="00A40C65"/>
    <w:rsid w:val="00A4169A"/>
    <w:rsid w:val="00A42A42"/>
    <w:rsid w:val="00A42A99"/>
    <w:rsid w:val="00A43905"/>
    <w:rsid w:val="00A44593"/>
    <w:rsid w:val="00A5044C"/>
    <w:rsid w:val="00A5151A"/>
    <w:rsid w:val="00A52E5A"/>
    <w:rsid w:val="00A56C0C"/>
    <w:rsid w:val="00A57E0A"/>
    <w:rsid w:val="00A61B38"/>
    <w:rsid w:val="00A648FB"/>
    <w:rsid w:val="00A67C93"/>
    <w:rsid w:val="00A719CB"/>
    <w:rsid w:val="00A71B84"/>
    <w:rsid w:val="00A72445"/>
    <w:rsid w:val="00A74725"/>
    <w:rsid w:val="00A74F12"/>
    <w:rsid w:val="00A76031"/>
    <w:rsid w:val="00A76260"/>
    <w:rsid w:val="00A76BA4"/>
    <w:rsid w:val="00A77919"/>
    <w:rsid w:val="00A823F6"/>
    <w:rsid w:val="00A83A2A"/>
    <w:rsid w:val="00A86CCB"/>
    <w:rsid w:val="00A8719E"/>
    <w:rsid w:val="00A91441"/>
    <w:rsid w:val="00A9322C"/>
    <w:rsid w:val="00A9348B"/>
    <w:rsid w:val="00A941EA"/>
    <w:rsid w:val="00A95308"/>
    <w:rsid w:val="00A95A98"/>
    <w:rsid w:val="00A96B59"/>
    <w:rsid w:val="00A97C6C"/>
    <w:rsid w:val="00AA06D5"/>
    <w:rsid w:val="00AA0A89"/>
    <w:rsid w:val="00AA0B12"/>
    <w:rsid w:val="00AA2391"/>
    <w:rsid w:val="00AA5368"/>
    <w:rsid w:val="00AA5BDD"/>
    <w:rsid w:val="00AA606A"/>
    <w:rsid w:val="00AA6429"/>
    <w:rsid w:val="00AA7744"/>
    <w:rsid w:val="00AB0C4B"/>
    <w:rsid w:val="00AB0E38"/>
    <w:rsid w:val="00AB1921"/>
    <w:rsid w:val="00AB1E8A"/>
    <w:rsid w:val="00AB2FCB"/>
    <w:rsid w:val="00AB38BA"/>
    <w:rsid w:val="00AB42F1"/>
    <w:rsid w:val="00AB571E"/>
    <w:rsid w:val="00AC01AA"/>
    <w:rsid w:val="00AC22AC"/>
    <w:rsid w:val="00AC2407"/>
    <w:rsid w:val="00AC2F3A"/>
    <w:rsid w:val="00AC3EE9"/>
    <w:rsid w:val="00AC4D98"/>
    <w:rsid w:val="00AC4F72"/>
    <w:rsid w:val="00AC5041"/>
    <w:rsid w:val="00AC5729"/>
    <w:rsid w:val="00AC69E7"/>
    <w:rsid w:val="00AC734A"/>
    <w:rsid w:val="00AD415D"/>
    <w:rsid w:val="00AD61FB"/>
    <w:rsid w:val="00AD6F9A"/>
    <w:rsid w:val="00AE2A1D"/>
    <w:rsid w:val="00AE3657"/>
    <w:rsid w:val="00AE39C6"/>
    <w:rsid w:val="00AE482E"/>
    <w:rsid w:val="00AE5952"/>
    <w:rsid w:val="00AE67F6"/>
    <w:rsid w:val="00AE71C2"/>
    <w:rsid w:val="00AF1B39"/>
    <w:rsid w:val="00AF44B8"/>
    <w:rsid w:val="00AF5C43"/>
    <w:rsid w:val="00AF741A"/>
    <w:rsid w:val="00B01ADB"/>
    <w:rsid w:val="00B03035"/>
    <w:rsid w:val="00B04161"/>
    <w:rsid w:val="00B04ACD"/>
    <w:rsid w:val="00B056F9"/>
    <w:rsid w:val="00B06121"/>
    <w:rsid w:val="00B06528"/>
    <w:rsid w:val="00B0724B"/>
    <w:rsid w:val="00B077A8"/>
    <w:rsid w:val="00B11A05"/>
    <w:rsid w:val="00B11B30"/>
    <w:rsid w:val="00B11E3D"/>
    <w:rsid w:val="00B141B4"/>
    <w:rsid w:val="00B14681"/>
    <w:rsid w:val="00B14D2C"/>
    <w:rsid w:val="00B15C5A"/>
    <w:rsid w:val="00B1776C"/>
    <w:rsid w:val="00B17E82"/>
    <w:rsid w:val="00B22661"/>
    <w:rsid w:val="00B23574"/>
    <w:rsid w:val="00B23BE8"/>
    <w:rsid w:val="00B265D6"/>
    <w:rsid w:val="00B27E0B"/>
    <w:rsid w:val="00B32CA3"/>
    <w:rsid w:val="00B332E0"/>
    <w:rsid w:val="00B35FCB"/>
    <w:rsid w:val="00B373F2"/>
    <w:rsid w:val="00B407A0"/>
    <w:rsid w:val="00B40A23"/>
    <w:rsid w:val="00B42C92"/>
    <w:rsid w:val="00B42E6D"/>
    <w:rsid w:val="00B43510"/>
    <w:rsid w:val="00B456D8"/>
    <w:rsid w:val="00B4575A"/>
    <w:rsid w:val="00B46F5B"/>
    <w:rsid w:val="00B51A34"/>
    <w:rsid w:val="00B51D38"/>
    <w:rsid w:val="00B533A8"/>
    <w:rsid w:val="00B53A0F"/>
    <w:rsid w:val="00B53C10"/>
    <w:rsid w:val="00B563CE"/>
    <w:rsid w:val="00B56E8B"/>
    <w:rsid w:val="00B575BA"/>
    <w:rsid w:val="00B57A6D"/>
    <w:rsid w:val="00B636C3"/>
    <w:rsid w:val="00B64C2D"/>
    <w:rsid w:val="00B67EDB"/>
    <w:rsid w:val="00B701A0"/>
    <w:rsid w:val="00B71608"/>
    <w:rsid w:val="00B74400"/>
    <w:rsid w:val="00B747E2"/>
    <w:rsid w:val="00B76429"/>
    <w:rsid w:val="00B768BE"/>
    <w:rsid w:val="00B7754B"/>
    <w:rsid w:val="00B8078E"/>
    <w:rsid w:val="00B80DD8"/>
    <w:rsid w:val="00B813C9"/>
    <w:rsid w:val="00B81D6C"/>
    <w:rsid w:val="00B8238C"/>
    <w:rsid w:val="00B825E5"/>
    <w:rsid w:val="00B826DB"/>
    <w:rsid w:val="00B82AC0"/>
    <w:rsid w:val="00B82F83"/>
    <w:rsid w:val="00B85776"/>
    <w:rsid w:val="00B86471"/>
    <w:rsid w:val="00B86B31"/>
    <w:rsid w:val="00B90536"/>
    <w:rsid w:val="00B90725"/>
    <w:rsid w:val="00B92EF4"/>
    <w:rsid w:val="00B956D4"/>
    <w:rsid w:val="00B9715A"/>
    <w:rsid w:val="00B97446"/>
    <w:rsid w:val="00B97867"/>
    <w:rsid w:val="00BA01AA"/>
    <w:rsid w:val="00BA030D"/>
    <w:rsid w:val="00BA1A0C"/>
    <w:rsid w:val="00BA2B55"/>
    <w:rsid w:val="00BA7432"/>
    <w:rsid w:val="00BA790E"/>
    <w:rsid w:val="00BA7C5E"/>
    <w:rsid w:val="00BB2764"/>
    <w:rsid w:val="00BB388B"/>
    <w:rsid w:val="00BB6880"/>
    <w:rsid w:val="00BB6C8B"/>
    <w:rsid w:val="00BC1AA0"/>
    <w:rsid w:val="00BC21A5"/>
    <w:rsid w:val="00BC2495"/>
    <w:rsid w:val="00BC2ADF"/>
    <w:rsid w:val="00BC314A"/>
    <w:rsid w:val="00BC3849"/>
    <w:rsid w:val="00BC6143"/>
    <w:rsid w:val="00BC7A4C"/>
    <w:rsid w:val="00BC7CE5"/>
    <w:rsid w:val="00BC7EB9"/>
    <w:rsid w:val="00BD07DD"/>
    <w:rsid w:val="00BD2643"/>
    <w:rsid w:val="00BD304B"/>
    <w:rsid w:val="00BD56B1"/>
    <w:rsid w:val="00BD6558"/>
    <w:rsid w:val="00BE0629"/>
    <w:rsid w:val="00BE0F4E"/>
    <w:rsid w:val="00BE20DB"/>
    <w:rsid w:val="00BE24E8"/>
    <w:rsid w:val="00BE2DAA"/>
    <w:rsid w:val="00BE3A2E"/>
    <w:rsid w:val="00BE430B"/>
    <w:rsid w:val="00BE46D7"/>
    <w:rsid w:val="00BE4937"/>
    <w:rsid w:val="00BE53D1"/>
    <w:rsid w:val="00BF0EAF"/>
    <w:rsid w:val="00BF1126"/>
    <w:rsid w:val="00BF2AD7"/>
    <w:rsid w:val="00BF2F76"/>
    <w:rsid w:val="00BF3022"/>
    <w:rsid w:val="00BF3214"/>
    <w:rsid w:val="00BF3A5E"/>
    <w:rsid w:val="00BF432A"/>
    <w:rsid w:val="00BF49A5"/>
    <w:rsid w:val="00BF4E5B"/>
    <w:rsid w:val="00BF5573"/>
    <w:rsid w:val="00BF6359"/>
    <w:rsid w:val="00BF7FA1"/>
    <w:rsid w:val="00C01548"/>
    <w:rsid w:val="00C03595"/>
    <w:rsid w:val="00C03742"/>
    <w:rsid w:val="00C050DA"/>
    <w:rsid w:val="00C06D32"/>
    <w:rsid w:val="00C1028F"/>
    <w:rsid w:val="00C106C5"/>
    <w:rsid w:val="00C12553"/>
    <w:rsid w:val="00C1434F"/>
    <w:rsid w:val="00C15867"/>
    <w:rsid w:val="00C163A6"/>
    <w:rsid w:val="00C20D41"/>
    <w:rsid w:val="00C22398"/>
    <w:rsid w:val="00C2296D"/>
    <w:rsid w:val="00C23155"/>
    <w:rsid w:val="00C23DA2"/>
    <w:rsid w:val="00C2416F"/>
    <w:rsid w:val="00C25EA1"/>
    <w:rsid w:val="00C304CF"/>
    <w:rsid w:val="00C31AFF"/>
    <w:rsid w:val="00C3306A"/>
    <w:rsid w:val="00C357BB"/>
    <w:rsid w:val="00C40C41"/>
    <w:rsid w:val="00C43111"/>
    <w:rsid w:val="00C43234"/>
    <w:rsid w:val="00C44597"/>
    <w:rsid w:val="00C448A4"/>
    <w:rsid w:val="00C455AA"/>
    <w:rsid w:val="00C45885"/>
    <w:rsid w:val="00C47538"/>
    <w:rsid w:val="00C50F22"/>
    <w:rsid w:val="00C51D19"/>
    <w:rsid w:val="00C52CDF"/>
    <w:rsid w:val="00C53302"/>
    <w:rsid w:val="00C54FA6"/>
    <w:rsid w:val="00C56746"/>
    <w:rsid w:val="00C56812"/>
    <w:rsid w:val="00C57043"/>
    <w:rsid w:val="00C57971"/>
    <w:rsid w:val="00C62F4E"/>
    <w:rsid w:val="00C63C2F"/>
    <w:rsid w:val="00C65BD7"/>
    <w:rsid w:val="00C663AA"/>
    <w:rsid w:val="00C74DF4"/>
    <w:rsid w:val="00C7505F"/>
    <w:rsid w:val="00C75A5B"/>
    <w:rsid w:val="00C7600B"/>
    <w:rsid w:val="00C76BA4"/>
    <w:rsid w:val="00C772F5"/>
    <w:rsid w:val="00C810D6"/>
    <w:rsid w:val="00C8184C"/>
    <w:rsid w:val="00C81994"/>
    <w:rsid w:val="00C83A48"/>
    <w:rsid w:val="00C85865"/>
    <w:rsid w:val="00C85E85"/>
    <w:rsid w:val="00C87308"/>
    <w:rsid w:val="00C87C27"/>
    <w:rsid w:val="00C926C8"/>
    <w:rsid w:val="00C93DFE"/>
    <w:rsid w:val="00C9518E"/>
    <w:rsid w:val="00C953BF"/>
    <w:rsid w:val="00C97E18"/>
    <w:rsid w:val="00CA0645"/>
    <w:rsid w:val="00CA2EAE"/>
    <w:rsid w:val="00CA4AC1"/>
    <w:rsid w:val="00CA53BF"/>
    <w:rsid w:val="00CA5765"/>
    <w:rsid w:val="00CA5833"/>
    <w:rsid w:val="00CA59FB"/>
    <w:rsid w:val="00CA6389"/>
    <w:rsid w:val="00CA63C1"/>
    <w:rsid w:val="00CA6A2B"/>
    <w:rsid w:val="00CB0316"/>
    <w:rsid w:val="00CB0B11"/>
    <w:rsid w:val="00CB0DD2"/>
    <w:rsid w:val="00CB1DBA"/>
    <w:rsid w:val="00CB35F9"/>
    <w:rsid w:val="00CB426A"/>
    <w:rsid w:val="00CB440B"/>
    <w:rsid w:val="00CB5354"/>
    <w:rsid w:val="00CB5597"/>
    <w:rsid w:val="00CB5AF6"/>
    <w:rsid w:val="00CB661D"/>
    <w:rsid w:val="00CB67A2"/>
    <w:rsid w:val="00CB6963"/>
    <w:rsid w:val="00CC0AAC"/>
    <w:rsid w:val="00CC1FE7"/>
    <w:rsid w:val="00CC2435"/>
    <w:rsid w:val="00CC3C9E"/>
    <w:rsid w:val="00CC6184"/>
    <w:rsid w:val="00CC6A14"/>
    <w:rsid w:val="00CC6C81"/>
    <w:rsid w:val="00CC70A3"/>
    <w:rsid w:val="00CD026D"/>
    <w:rsid w:val="00CD0B83"/>
    <w:rsid w:val="00CD129E"/>
    <w:rsid w:val="00CD1459"/>
    <w:rsid w:val="00CD148C"/>
    <w:rsid w:val="00CD2612"/>
    <w:rsid w:val="00CD33F3"/>
    <w:rsid w:val="00CD4442"/>
    <w:rsid w:val="00CD53C3"/>
    <w:rsid w:val="00CD574E"/>
    <w:rsid w:val="00CD6907"/>
    <w:rsid w:val="00CD72D0"/>
    <w:rsid w:val="00CD7329"/>
    <w:rsid w:val="00CE059C"/>
    <w:rsid w:val="00CE3D65"/>
    <w:rsid w:val="00CE4C22"/>
    <w:rsid w:val="00CE76E5"/>
    <w:rsid w:val="00CE7C1C"/>
    <w:rsid w:val="00CE7C85"/>
    <w:rsid w:val="00CF04F5"/>
    <w:rsid w:val="00CF0D00"/>
    <w:rsid w:val="00CF280B"/>
    <w:rsid w:val="00CF41EC"/>
    <w:rsid w:val="00CF5D04"/>
    <w:rsid w:val="00CF735C"/>
    <w:rsid w:val="00D0016E"/>
    <w:rsid w:val="00D00FE3"/>
    <w:rsid w:val="00D030C9"/>
    <w:rsid w:val="00D0417D"/>
    <w:rsid w:val="00D04187"/>
    <w:rsid w:val="00D04DE4"/>
    <w:rsid w:val="00D055BD"/>
    <w:rsid w:val="00D059D5"/>
    <w:rsid w:val="00D061D5"/>
    <w:rsid w:val="00D063F1"/>
    <w:rsid w:val="00D0663F"/>
    <w:rsid w:val="00D06EC8"/>
    <w:rsid w:val="00D11735"/>
    <w:rsid w:val="00D11BC4"/>
    <w:rsid w:val="00D134A3"/>
    <w:rsid w:val="00D14F22"/>
    <w:rsid w:val="00D2194B"/>
    <w:rsid w:val="00D22236"/>
    <w:rsid w:val="00D240C8"/>
    <w:rsid w:val="00D26D68"/>
    <w:rsid w:val="00D328A9"/>
    <w:rsid w:val="00D33D7E"/>
    <w:rsid w:val="00D43AFB"/>
    <w:rsid w:val="00D45D50"/>
    <w:rsid w:val="00D4703C"/>
    <w:rsid w:val="00D4741C"/>
    <w:rsid w:val="00D4744F"/>
    <w:rsid w:val="00D509DF"/>
    <w:rsid w:val="00D50F60"/>
    <w:rsid w:val="00D53F7F"/>
    <w:rsid w:val="00D551A4"/>
    <w:rsid w:val="00D55972"/>
    <w:rsid w:val="00D56577"/>
    <w:rsid w:val="00D57918"/>
    <w:rsid w:val="00D627F0"/>
    <w:rsid w:val="00D63FE2"/>
    <w:rsid w:val="00D664DC"/>
    <w:rsid w:val="00D66A78"/>
    <w:rsid w:val="00D6757B"/>
    <w:rsid w:val="00D71717"/>
    <w:rsid w:val="00D719E1"/>
    <w:rsid w:val="00D719FB"/>
    <w:rsid w:val="00D73DC6"/>
    <w:rsid w:val="00D74C1A"/>
    <w:rsid w:val="00D754C1"/>
    <w:rsid w:val="00D77393"/>
    <w:rsid w:val="00D77A35"/>
    <w:rsid w:val="00D8037E"/>
    <w:rsid w:val="00D80EA8"/>
    <w:rsid w:val="00D81B3E"/>
    <w:rsid w:val="00D84CE2"/>
    <w:rsid w:val="00D85651"/>
    <w:rsid w:val="00D8693E"/>
    <w:rsid w:val="00D90C70"/>
    <w:rsid w:val="00D90E49"/>
    <w:rsid w:val="00D92FE9"/>
    <w:rsid w:val="00D934B4"/>
    <w:rsid w:val="00D938A3"/>
    <w:rsid w:val="00D95498"/>
    <w:rsid w:val="00D9571D"/>
    <w:rsid w:val="00D958CE"/>
    <w:rsid w:val="00D96ADE"/>
    <w:rsid w:val="00DA0CE2"/>
    <w:rsid w:val="00DA1CC6"/>
    <w:rsid w:val="00DA2387"/>
    <w:rsid w:val="00DA5654"/>
    <w:rsid w:val="00DA6446"/>
    <w:rsid w:val="00DA7AE2"/>
    <w:rsid w:val="00DB33C0"/>
    <w:rsid w:val="00DB4548"/>
    <w:rsid w:val="00DC0E49"/>
    <w:rsid w:val="00DC2B9B"/>
    <w:rsid w:val="00DC4F8A"/>
    <w:rsid w:val="00DC561D"/>
    <w:rsid w:val="00DC5AF2"/>
    <w:rsid w:val="00DC6A10"/>
    <w:rsid w:val="00DC7A50"/>
    <w:rsid w:val="00DC7D24"/>
    <w:rsid w:val="00DD09B5"/>
    <w:rsid w:val="00DD221F"/>
    <w:rsid w:val="00DD3444"/>
    <w:rsid w:val="00DD3B9F"/>
    <w:rsid w:val="00DD7809"/>
    <w:rsid w:val="00DE21B1"/>
    <w:rsid w:val="00DE42E6"/>
    <w:rsid w:val="00DE4F8F"/>
    <w:rsid w:val="00DE589C"/>
    <w:rsid w:val="00DE657E"/>
    <w:rsid w:val="00DE6850"/>
    <w:rsid w:val="00DF4704"/>
    <w:rsid w:val="00DF4F82"/>
    <w:rsid w:val="00DF60F1"/>
    <w:rsid w:val="00DF79ED"/>
    <w:rsid w:val="00DF7BBC"/>
    <w:rsid w:val="00E001FD"/>
    <w:rsid w:val="00E01F5A"/>
    <w:rsid w:val="00E020A3"/>
    <w:rsid w:val="00E024AA"/>
    <w:rsid w:val="00E06739"/>
    <w:rsid w:val="00E072D9"/>
    <w:rsid w:val="00E10111"/>
    <w:rsid w:val="00E15C77"/>
    <w:rsid w:val="00E1693E"/>
    <w:rsid w:val="00E16E8C"/>
    <w:rsid w:val="00E174F3"/>
    <w:rsid w:val="00E201D2"/>
    <w:rsid w:val="00E22419"/>
    <w:rsid w:val="00E24E3F"/>
    <w:rsid w:val="00E250F1"/>
    <w:rsid w:val="00E25ECB"/>
    <w:rsid w:val="00E26BD1"/>
    <w:rsid w:val="00E26DB6"/>
    <w:rsid w:val="00E31ECD"/>
    <w:rsid w:val="00E33CEC"/>
    <w:rsid w:val="00E35155"/>
    <w:rsid w:val="00E3550D"/>
    <w:rsid w:val="00E3601F"/>
    <w:rsid w:val="00E3730D"/>
    <w:rsid w:val="00E437F1"/>
    <w:rsid w:val="00E440E8"/>
    <w:rsid w:val="00E44552"/>
    <w:rsid w:val="00E45919"/>
    <w:rsid w:val="00E46DDF"/>
    <w:rsid w:val="00E51865"/>
    <w:rsid w:val="00E518AF"/>
    <w:rsid w:val="00E52838"/>
    <w:rsid w:val="00E54690"/>
    <w:rsid w:val="00E55475"/>
    <w:rsid w:val="00E57087"/>
    <w:rsid w:val="00E5754F"/>
    <w:rsid w:val="00E614E0"/>
    <w:rsid w:val="00E66CA2"/>
    <w:rsid w:val="00E67EE4"/>
    <w:rsid w:val="00E73F7F"/>
    <w:rsid w:val="00E753E8"/>
    <w:rsid w:val="00E757FF"/>
    <w:rsid w:val="00E76ABA"/>
    <w:rsid w:val="00E76ABD"/>
    <w:rsid w:val="00E80978"/>
    <w:rsid w:val="00E8320F"/>
    <w:rsid w:val="00E85409"/>
    <w:rsid w:val="00E85BAC"/>
    <w:rsid w:val="00E9339B"/>
    <w:rsid w:val="00E9493E"/>
    <w:rsid w:val="00E94DE1"/>
    <w:rsid w:val="00E9699D"/>
    <w:rsid w:val="00EA1817"/>
    <w:rsid w:val="00EA32D8"/>
    <w:rsid w:val="00EA429F"/>
    <w:rsid w:val="00EA4F9E"/>
    <w:rsid w:val="00EA63CA"/>
    <w:rsid w:val="00EA6CAD"/>
    <w:rsid w:val="00EA6D3B"/>
    <w:rsid w:val="00EB00AD"/>
    <w:rsid w:val="00EB0410"/>
    <w:rsid w:val="00EB136C"/>
    <w:rsid w:val="00EB13F2"/>
    <w:rsid w:val="00EB1635"/>
    <w:rsid w:val="00EB3628"/>
    <w:rsid w:val="00EB3DDE"/>
    <w:rsid w:val="00EB480E"/>
    <w:rsid w:val="00EB4B85"/>
    <w:rsid w:val="00EB4EBD"/>
    <w:rsid w:val="00EB584F"/>
    <w:rsid w:val="00EB5EC6"/>
    <w:rsid w:val="00EB5F41"/>
    <w:rsid w:val="00EB7FC9"/>
    <w:rsid w:val="00EC0B4F"/>
    <w:rsid w:val="00EC5B8C"/>
    <w:rsid w:val="00EC682D"/>
    <w:rsid w:val="00EC69B3"/>
    <w:rsid w:val="00EC70CF"/>
    <w:rsid w:val="00EC787B"/>
    <w:rsid w:val="00ED0FE4"/>
    <w:rsid w:val="00ED19E8"/>
    <w:rsid w:val="00ED27E8"/>
    <w:rsid w:val="00ED3F8F"/>
    <w:rsid w:val="00ED4D52"/>
    <w:rsid w:val="00ED5772"/>
    <w:rsid w:val="00ED7137"/>
    <w:rsid w:val="00ED71E4"/>
    <w:rsid w:val="00ED758B"/>
    <w:rsid w:val="00EE2AE9"/>
    <w:rsid w:val="00EE2FA2"/>
    <w:rsid w:val="00EE3049"/>
    <w:rsid w:val="00EE3A70"/>
    <w:rsid w:val="00EE5B9B"/>
    <w:rsid w:val="00EF025A"/>
    <w:rsid w:val="00EF06EA"/>
    <w:rsid w:val="00EF21FB"/>
    <w:rsid w:val="00EF37E5"/>
    <w:rsid w:val="00EF5B0A"/>
    <w:rsid w:val="00F0034E"/>
    <w:rsid w:val="00F02A1A"/>
    <w:rsid w:val="00F052E2"/>
    <w:rsid w:val="00F07604"/>
    <w:rsid w:val="00F10452"/>
    <w:rsid w:val="00F10660"/>
    <w:rsid w:val="00F1179A"/>
    <w:rsid w:val="00F16E44"/>
    <w:rsid w:val="00F1743F"/>
    <w:rsid w:val="00F21088"/>
    <w:rsid w:val="00F215A3"/>
    <w:rsid w:val="00F257D3"/>
    <w:rsid w:val="00F3014F"/>
    <w:rsid w:val="00F31148"/>
    <w:rsid w:val="00F326BF"/>
    <w:rsid w:val="00F327E7"/>
    <w:rsid w:val="00F32D14"/>
    <w:rsid w:val="00F35125"/>
    <w:rsid w:val="00F35746"/>
    <w:rsid w:val="00F369A0"/>
    <w:rsid w:val="00F42788"/>
    <w:rsid w:val="00F42C19"/>
    <w:rsid w:val="00F44594"/>
    <w:rsid w:val="00F447C7"/>
    <w:rsid w:val="00F459B4"/>
    <w:rsid w:val="00F45A38"/>
    <w:rsid w:val="00F45A3B"/>
    <w:rsid w:val="00F46B04"/>
    <w:rsid w:val="00F5058C"/>
    <w:rsid w:val="00F5211B"/>
    <w:rsid w:val="00F53A78"/>
    <w:rsid w:val="00F53A7C"/>
    <w:rsid w:val="00F554A9"/>
    <w:rsid w:val="00F55723"/>
    <w:rsid w:val="00F57F7A"/>
    <w:rsid w:val="00F62A5F"/>
    <w:rsid w:val="00F6452A"/>
    <w:rsid w:val="00F648F3"/>
    <w:rsid w:val="00F6600F"/>
    <w:rsid w:val="00F71519"/>
    <w:rsid w:val="00F716FD"/>
    <w:rsid w:val="00F71812"/>
    <w:rsid w:val="00F718D3"/>
    <w:rsid w:val="00F7433A"/>
    <w:rsid w:val="00F7503B"/>
    <w:rsid w:val="00F77991"/>
    <w:rsid w:val="00F80355"/>
    <w:rsid w:val="00F8113A"/>
    <w:rsid w:val="00F812FB"/>
    <w:rsid w:val="00F82025"/>
    <w:rsid w:val="00F83853"/>
    <w:rsid w:val="00F83E8A"/>
    <w:rsid w:val="00F84045"/>
    <w:rsid w:val="00F84924"/>
    <w:rsid w:val="00F86091"/>
    <w:rsid w:val="00F871EC"/>
    <w:rsid w:val="00F8733D"/>
    <w:rsid w:val="00F87C43"/>
    <w:rsid w:val="00F906BA"/>
    <w:rsid w:val="00F92C2E"/>
    <w:rsid w:val="00F937AD"/>
    <w:rsid w:val="00F95F11"/>
    <w:rsid w:val="00F973A8"/>
    <w:rsid w:val="00F97EFA"/>
    <w:rsid w:val="00FA1359"/>
    <w:rsid w:val="00FA2896"/>
    <w:rsid w:val="00FA2974"/>
    <w:rsid w:val="00FA2D0C"/>
    <w:rsid w:val="00FA462F"/>
    <w:rsid w:val="00FA5722"/>
    <w:rsid w:val="00FA6409"/>
    <w:rsid w:val="00FA7C3E"/>
    <w:rsid w:val="00FA7D60"/>
    <w:rsid w:val="00FB0C81"/>
    <w:rsid w:val="00FB39AB"/>
    <w:rsid w:val="00FB4188"/>
    <w:rsid w:val="00FB4B2A"/>
    <w:rsid w:val="00FB6A76"/>
    <w:rsid w:val="00FB6D74"/>
    <w:rsid w:val="00FB73CA"/>
    <w:rsid w:val="00FB7C73"/>
    <w:rsid w:val="00FC09B6"/>
    <w:rsid w:val="00FC2200"/>
    <w:rsid w:val="00FC2540"/>
    <w:rsid w:val="00FC29D6"/>
    <w:rsid w:val="00FC307F"/>
    <w:rsid w:val="00FC3B1A"/>
    <w:rsid w:val="00FC4680"/>
    <w:rsid w:val="00FC4836"/>
    <w:rsid w:val="00FD0987"/>
    <w:rsid w:val="00FD0C2A"/>
    <w:rsid w:val="00FD4B3B"/>
    <w:rsid w:val="00FD5D22"/>
    <w:rsid w:val="00FE0D37"/>
    <w:rsid w:val="00FE35E8"/>
    <w:rsid w:val="00FE4E5E"/>
    <w:rsid w:val="00FE6B05"/>
    <w:rsid w:val="00FE751A"/>
    <w:rsid w:val="00FE7F7E"/>
    <w:rsid w:val="00FF0204"/>
    <w:rsid w:val="00FF1C6E"/>
    <w:rsid w:val="00FF2427"/>
    <w:rsid w:val="00FF3AED"/>
    <w:rsid w:val="00FF6891"/>
    <w:rsid w:val="00FF74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Footnote Text111"/>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563DA8"/>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563DA8"/>
    <w:rPr>
      <w:sz w:val="22"/>
      <w:szCs w:val="22"/>
      <w:lang w:val="es-ES"/>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rPr>
  </w:style>
  <w:style w:type="paragraph" w:styleId="NormalWeb">
    <w:name w:val="Normal (Web)"/>
    <w:basedOn w:val="Normal"/>
    <w:uiPriority w:val="99"/>
    <w:semiHidden/>
    <w:unhideWhenUsed/>
    <w:rsid w:val="00563DA8"/>
    <w:pPr>
      <w:jc w:val="left"/>
    </w:pPr>
    <w:rPr>
      <w:rFonts w:eastAsiaTheme="minorHAnsi"/>
      <w:sz w:val="24"/>
      <w:szCs w:val="24"/>
    </w:rPr>
  </w:style>
  <w:style w:type="paragraph" w:styleId="EndnoteText">
    <w:name w:val="endnote text"/>
    <w:basedOn w:val="Normal"/>
    <w:link w:val="EndnoteTextChar"/>
    <w:uiPriority w:val="99"/>
    <w:semiHidden/>
    <w:unhideWhenUsed/>
    <w:rsid w:val="00563DA8"/>
    <w:rPr>
      <w:sz w:val="20"/>
      <w:szCs w:val="20"/>
    </w:rPr>
  </w:style>
  <w:style w:type="character" w:customStyle="1" w:styleId="EndnoteTextChar">
    <w:name w:val="Endnote Text Char"/>
    <w:basedOn w:val="DefaultParagraphFont"/>
    <w:link w:val="EndnoteText"/>
    <w:uiPriority w:val="99"/>
    <w:semiHidden/>
    <w:rsid w:val="00563DA8"/>
    <w:rPr>
      <w:lang w:val="es-ES"/>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s-ES"/>
    </w:rPr>
  </w:style>
  <w:style w:type="character" w:customStyle="1" w:styleId="FooterChar">
    <w:name w:val="Footer Char"/>
    <w:basedOn w:val="DefaultParagraphFont"/>
    <w:link w:val="Footer"/>
    <w:uiPriority w:val="99"/>
    <w:rsid w:val="00B768BE"/>
    <w:rPr>
      <w:sz w:val="22"/>
      <w:szCs w:val="22"/>
      <w:lang w:val="es-E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C0B4F"/>
    <w:rPr>
      <w:sz w:val="22"/>
      <w:szCs w:val="22"/>
    </w:rPr>
  </w:style>
  <w:style w:type="paragraph" w:styleId="Bibliography">
    <w:name w:val="Bibliography"/>
    <w:basedOn w:val="Normal"/>
    <w:next w:val="Normal"/>
    <w:uiPriority w:val="37"/>
    <w:semiHidden/>
    <w:unhideWhenUsed/>
    <w:rsid w:val="009A463A"/>
  </w:style>
  <w:style w:type="paragraph" w:styleId="BodyText">
    <w:name w:val="Body Text"/>
    <w:basedOn w:val="Normal"/>
    <w:link w:val="BodyTextChar"/>
    <w:uiPriority w:val="99"/>
    <w:semiHidden/>
    <w:unhideWhenUsed/>
    <w:rsid w:val="009A463A"/>
    <w:pPr>
      <w:spacing w:after="120"/>
    </w:pPr>
  </w:style>
  <w:style w:type="character" w:customStyle="1" w:styleId="BodyTextChar">
    <w:name w:val="Body Text Char"/>
    <w:basedOn w:val="DefaultParagraphFont"/>
    <w:link w:val="BodyText"/>
    <w:uiPriority w:val="99"/>
    <w:semiHidden/>
    <w:rsid w:val="009A463A"/>
    <w:rPr>
      <w:sz w:val="22"/>
      <w:szCs w:val="22"/>
    </w:rPr>
  </w:style>
  <w:style w:type="paragraph" w:styleId="BodyText2">
    <w:name w:val="Body Text 2"/>
    <w:basedOn w:val="Normal"/>
    <w:link w:val="BodyText2Char"/>
    <w:uiPriority w:val="99"/>
    <w:semiHidden/>
    <w:unhideWhenUsed/>
    <w:rsid w:val="009A463A"/>
    <w:pPr>
      <w:spacing w:after="120" w:line="480" w:lineRule="auto"/>
    </w:pPr>
  </w:style>
  <w:style w:type="character" w:customStyle="1" w:styleId="BodyText2Char">
    <w:name w:val="Body Text 2 Char"/>
    <w:basedOn w:val="DefaultParagraphFont"/>
    <w:link w:val="BodyText2"/>
    <w:uiPriority w:val="99"/>
    <w:semiHidden/>
    <w:rsid w:val="009A463A"/>
    <w:rPr>
      <w:sz w:val="22"/>
      <w:szCs w:val="22"/>
    </w:rPr>
  </w:style>
  <w:style w:type="paragraph" w:styleId="BodyTextFirstIndent">
    <w:name w:val="Body Text First Indent"/>
    <w:basedOn w:val="BodyText"/>
    <w:link w:val="BodyTextFirstIndentChar"/>
    <w:uiPriority w:val="99"/>
    <w:semiHidden/>
    <w:unhideWhenUsed/>
    <w:rsid w:val="009A463A"/>
    <w:pPr>
      <w:spacing w:after="0"/>
      <w:ind w:firstLine="360"/>
    </w:pPr>
  </w:style>
  <w:style w:type="character" w:customStyle="1" w:styleId="BodyTextFirstIndentChar">
    <w:name w:val="Body Text First Indent Char"/>
    <w:basedOn w:val="BodyTextChar"/>
    <w:link w:val="BodyTextFirstIndent"/>
    <w:uiPriority w:val="99"/>
    <w:semiHidden/>
    <w:rsid w:val="009A463A"/>
    <w:rPr>
      <w:sz w:val="22"/>
      <w:szCs w:val="22"/>
    </w:rPr>
  </w:style>
  <w:style w:type="paragraph" w:styleId="BodyTextIndent">
    <w:name w:val="Body Text Indent"/>
    <w:basedOn w:val="Normal"/>
    <w:link w:val="BodyTextIndentChar"/>
    <w:uiPriority w:val="99"/>
    <w:semiHidden/>
    <w:unhideWhenUsed/>
    <w:rsid w:val="009A463A"/>
    <w:pPr>
      <w:spacing w:after="120"/>
      <w:ind w:left="360"/>
    </w:pPr>
  </w:style>
  <w:style w:type="character" w:customStyle="1" w:styleId="BodyTextIndentChar">
    <w:name w:val="Body Text Indent Char"/>
    <w:basedOn w:val="DefaultParagraphFont"/>
    <w:link w:val="BodyTextIndent"/>
    <w:uiPriority w:val="99"/>
    <w:semiHidden/>
    <w:rsid w:val="009A463A"/>
    <w:rPr>
      <w:sz w:val="22"/>
      <w:szCs w:val="22"/>
    </w:rPr>
  </w:style>
  <w:style w:type="paragraph" w:styleId="BodyTextFirstIndent2">
    <w:name w:val="Body Text First Indent 2"/>
    <w:basedOn w:val="BodyTextIndent"/>
    <w:link w:val="BodyTextFirstIndent2Char"/>
    <w:uiPriority w:val="99"/>
    <w:semiHidden/>
    <w:unhideWhenUsed/>
    <w:rsid w:val="009A463A"/>
    <w:pPr>
      <w:spacing w:after="0"/>
      <w:ind w:firstLine="360"/>
    </w:pPr>
  </w:style>
  <w:style w:type="character" w:customStyle="1" w:styleId="BodyTextFirstIndent2Char">
    <w:name w:val="Body Text First Indent 2 Char"/>
    <w:basedOn w:val="BodyTextIndentChar"/>
    <w:link w:val="BodyTextFirstIndent2"/>
    <w:uiPriority w:val="99"/>
    <w:semiHidden/>
    <w:rsid w:val="009A463A"/>
    <w:rPr>
      <w:sz w:val="22"/>
      <w:szCs w:val="22"/>
    </w:rPr>
  </w:style>
  <w:style w:type="paragraph" w:styleId="BodyTextIndent2">
    <w:name w:val="Body Text Indent 2"/>
    <w:basedOn w:val="Normal"/>
    <w:link w:val="BodyTextIndent2Char"/>
    <w:uiPriority w:val="99"/>
    <w:semiHidden/>
    <w:unhideWhenUsed/>
    <w:rsid w:val="009A463A"/>
    <w:pPr>
      <w:spacing w:after="120" w:line="480" w:lineRule="auto"/>
      <w:ind w:left="360"/>
    </w:pPr>
  </w:style>
  <w:style w:type="character" w:customStyle="1" w:styleId="BodyTextIndent2Char">
    <w:name w:val="Body Text Indent 2 Char"/>
    <w:basedOn w:val="DefaultParagraphFont"/>
    <w:link w:val="BodyTextIndent2"/>
    <w:uiPriority w:val="99"/>
    <w:semiHidden/>
    <w:rsid w:val="009A463A"/>
    <w:rPr>
      <w:sz w:val="22"/>
      <w:szCs w:val="22"/>
    </w:rPr>
  </w:style>
  <w:style w:type="paragraph" w:styleId="Caption">
    <w:name w:val="caption"/>
    <w:basedOn w:val="Normal"/>
    <w:next w:val="Normal"/>
    <w:uiPriority w:val="35"/>
    <w:semiHidden/>
    <w:unhideWhenUsed/>
    <w:qFormat/>
    <w:rsid w:val="009A463A"/>
    <w:pPr>
      <w:spacing w:after="200"/>
    </w:pPr>
    <w:rPr>
      <w:i/>
      <w:iCs/>
      <w:color w:val="1F497D" w:themeColor="text2"/>
      <w:sz w:val="18"/>
      <w:szCs w:val="18"/>
    </w:rPr>
  </w:style>
  <w:style w:type="paragraph" w:styleId="Closing">
    <w:name w:val="Closing"/>
    <w:basedOn w:val="Normal"/>
    <w:link w:val="ClosingChar"/>
    <w:uiPriority w:val="99"/>
    <w:semiHidden/>
    <w:unhideWhenUsed/>
    <w:rsid w:val="009A463A"/>
    <w:pPr>
      <w:ind w:left="4320"/>
    </w:pPr>
  </w:style>
  <w:style w:type="character" w:customStyle="1" w:styleId="ClosingChar">
    <w:name w:val="Closing Char"/>
    <w:basedOn w:val="DefaultParagraphFont"/>
    <w:link w:val="Closing"/>
    <w:uiPriority w:val="99"/>
    <w:semiHidden/>
    <w:rsid w:val="009A463A"/>
    <w:rPr>
      <w:sz w:val="22"/>
      <w:szCs w:val="22"/>
    </w:rPr>
  </w:style>
  <w:style w:type="paragraph" w:styleId="DocumentMap">
    <w:name w:val="Document Map"/>
    <w:basedOn w:val="Normal"/>
    <w:link w:val="DocumentMapChar"/>
    <w:uiPriority w:val="99"/>
    <w:semiHidden/>
    <w:unhideWhenUsed/>
    <w:rsid w:val="009A46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A463A"/>
    <w:rPr>
      <w:rFonts w:ascii="Segoe UI" w:hAnsi="Segoe UI" w:cs="Segoe UI"/>
      <w:sz w:val="16"/>
      <w:szCs w:val="16"/>
    </w:rPr>
  </w:style>
  <w:style w:type="paragraph" w:styleId="E-mailSignature">
    <w:name w:val="E-mail Signature"/>
    <w:basedOn w:val="Normal"/>
    <w:link w:val="E-mailSignatureChar"/>
    <w:uiPriority w:val="99"/>
    <w:semiHidden/>
    <w:unhideWhenUsed/>
    <w:rsid w:val="009A463A"/>
  </w:style>
  <w:style w:type="character" w:customStyle="1" w:styleId="E-mailSignatureChar">
    <w:name w:val="E-mail Signature Char"/>
    <w:basedOn w:val="DefaultParagraphFont"/>
    <w:link w:val="E-mailSignature"/>
    <w:uiPriority w:val="99"/>
    <w:semiHidden/>
    <w:rsid w:val="009A463A"/>
    <w:rPr>
      <w:sz w:val="22"/>
      <w:szCs w:val="22"/>
    </w:rPr>
  </w:style>
  <w:style w:type="paragraph" w:styleId="EnvelopeAddress">
    <w:name w:val="envelope address"/>
    <w:basedOn w:val="Normal"/>
    <w:uiPriority w:val="99"/>
    <w:semiHidden/>
    <w:unhideWhenUsed/>
    <w:rsid w:val="009A46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A463A"/>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9A463A"/>
    <w:rPr>
      <w:i/>
      <w:iCs/>
    </w:rPr>
  </w:style>
  <w:style w:type="character" w:customStyle="1" w:styleId="HTMLAddressChar">
    <w:name w:val="HTML Address Char"/>
    <w:basedOn w:val="DefaultParagraphFont"/>
    <w:link w:val="HTMLAddress"/>
    <w:uiPriority w:val="99"/>
    <w:semiHidden/>
    <w:rsid w:val="009A463A"/>
    <w:rPr>
      <w:i/>
      <w:iCs/>
      <w:sz w:val="22"/>
      <w:szCs w:val="22"/>
    </w:rPr>
  </w:style>
  <w:style w:type="paragraph" w:styleId="HTMLPreformatted">
    <w:name w:val="HTML Preformatted"/>
    <w:basedOn w:val="Normal"/>
    <w:link w:val="HTMLPreformattedChar"/>
    <w:uiPriority w:val="99"/>
    <w:semiHidden/>
    <w:unhideWhenUsed/>
    <w:rsid w:val="009A463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A463A"/>
    <w:rPr>
      <w:rFonts w:ascii="Consolas" w:hAnsi="Consolas"/>
    </w:rPr>
  </w:style>
  <w:style w:type="paragraph" w:styleId="Index1">
    <w:name w:val="index 1"/>
    <w:basedOn w:val="Normal"/>
    <w:next w:val="Normal"/>
    <w:autoRedefine/>
    <w:uiPriority w:val="99"/>
    <w:semiHidden/>
    <w:unhideWhenUsed/>
    <w:rsid w:val="009A463A"/>
    <w:pPr>
      <w:ind w:left="220" w:hanging="220"/>
    </w:pPr>
  </w:style>
  <w:style w:type="paragraph" w:styleId="Index2">
    <w:name w:val="index 2"/>
    <w:basedOn w:val="Normal"/>
    <w:next w:val="Normal"/>
    <w:autoRedefine/>
    <w:uiPriority w:val="99"/>
    <w:semiHidden/>
    <w:unhideWhenUsed/>
    <w:rsid w:val="009A463A"/>
    <w:pPr>
      <w:ind w:left="440" w:hanging="220"/>
    </w:pPr>
  </w:style>
  <w:style w:type="paragraph" w:styleId="Index3">
    <w:name w:val="index 3"/>
    <w:basedOn w:val="Normal"/>
    <w:next w:val="Normal"/>
    <w:autoRedefine/>
    <w:uiPriority w:val="99"/>
    <w:semiHidden/>
    <w:unhideWhenUsed/>
    <w:rsid w:val="009A463A"/>
    <w:pPr>
      <w:ind w:left="660" w:hanging="220"/>
    </w:pPr>
  </w:style>
  <w:style w:type="paragraph" w:styleId="Index4">
    <w:name w:val="index 4"/>
    <w:basedOn w:val="Normal"/>
    <w:next w:val="Normal"/>
    <w:autoRedefine/>
    <w:uiPriority w:val="99"/>
    <w:semiHidden/>
    <w:unhideWhenUsed/>
    <w:rsid w:val="009A463A"/>
    <w:pPr>
      <w:ind w:left="880" w:hanging="220"/>
    </w:pPr>
  </w:style>
  <w:style w:type="paragraph" w:styleId="Index5">
    <w:name w:val="index 5"/>
    <w:basedOn w:val="Normal"/>
    <w:next w:val="Normal"/>
    <w:autoRedefine/>
    <w:uiPriority w:val="99"/>
    <w:semiHidden/>
    <w:unhideWhenUsed/>
    <w:rsid w:val="009A463A"/>
    <w:pPr>
      <w:ind w:left="1100" w:hanging="220"/>
    </w:pPr>
  </w:style>
  <w:style w:type="paragraph" w:styleId="Index6">
    <w:name w:val="index 6"/>
    <w:basedOn w:val="Normal"/>
    <w:next w:val="Normal"/>
    <w:autoRedefine/>
    <w:uiPriority w:val="99"/>
    <w:semiHidden/>
    <w:unhideWhenUsed/>
    <w:rsid w:val="009A463A"/>
    <w:pPr>
      <w:ind w:left="1320" w:hanging="220"/>
    </w:pPr>
  </w:style>
  <w:style w:type="paragraph" w:styleId="Index7">
    <w:name w:val="index 7"/>
    <w:basedOn w:val="Normal"/>
    <w:next w:val="Normal"/>
    <w:autoRedefine/>
    <w:uiPriority w:val="99"/>
    <w:semiHidden/>
    <w:unhideWhenUsed/>
    <w:rsid w:val="009A463A"/>
    <w:pPr>
      <w:ind w:left="1540" w:hanging="220"/>
    </w:pPr>
  </w:style>
  <w:style w:type="paragraph" w:styleId="Index8">
    <w:name w:val="index 8"/>
    <w:basedOn w:val="Normal"/>
    <w:next w:val="Normal"/>
    <w:autoRedefine/>
    <w:uiPriority w:val="99"/>
    <w:semiHidden/>
    <w:unhideWhenUsed/>
    <w:rsid w:val="009A463A"/>
    <w:pPr>
      <w:ind w:left="1760" w:hanging="220"/>
    </w:pPr>
  </w:style>
  <w:style w:type="paragraph" w:styleId="Index9">
    <w:name w:val="index 9"/>
    <w:basedOn w:val="Normal"/>
    <w:next w:val="Normal"/>
    <w:autoRedefine/>
    <w:uiPriority w:val="99"/>
    <w:semiHidden/>
    <w:unhideWhenUsed/>
    <w:rsid w:val="009A463A"/>
    <w:pPr>
      <w:ind w:left="1980" w:hanging="220"/>
    </w:pPr>
  </w:style>
  <w:style w:type="paragraph" w:styleId="IndexHeading">
    <w:name w:val="index heading"/>
    <w:basedOn w:val="Normal"/>
    <w:next w:val="Index1"/>
    <w:uiPriority w:val="99"/>
    <w:semiHidden/>
    <w:unhideWhenUsed/>
    <w:rsid w:val="009A463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A463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463A"/>
    <w:rPr>
      <w:i/>
      <w:iCs/>
      <w:color w:val="4F81BD" w:themeColor="accent1"/>
      <w:sz w:val="22"/>
      <w:szCs w:val="22"/>
    </w:rPr>
  </w:style>
  <w:style w:type="paragraph" w:styleId="List">
    <w:name w:val="List"/>
    <w:basedOn w:val="Normal"/>
    <w:uiPriority w:val="99"/>
    <w:semiHidden/>
    <w:unhideWhenUsed/>
    <w:rsid w:val="009A463A"/>
    <w:pPr>
      <w:ind w:left="360" w:hanging="360"/>
      <w:contextualSpacing/>
    </w:pPr>
  </w:style>
  <w:style w:type="paragraph" w:styleId="List2">
    <w:name w:val="List 2"/>
    <w:basedOn w:val="Normal"/>
    <w:uiPriority w:val="99"/>
    <w:semiHidden/>
    <w:unhideWhenUsed/>
    <w:rsid w:val="009A463A"/>
    <w:pPr>
      <w:ind w:left="720" w:hanging="360"/>
      <w:contextualSpacing/>
    </w:pPr>
  </w:style>
  <w:style w:type="paragraph" w:styleId="List3">
    <w:name w:val="List 3"/>
    <w:basedOn w:val="Normal"/>
    <w:uiPriority w:val="99"/>
    <w:semiHidden/>
    <w:unhideWhenUsed/>
    <w:rsid w:val="009A463A"/>
    <w:pPr>
      <w:ind w:left="1080" w:hanging="360"/>
      <w:contextualSpacing/>
    </w:pPr>
  </w:style>
  <w:style w:type="paragraph" w:styleId="List4">
    <w:name w:val="List 4"/>
    <w:basedOn w:val="Normal"/>
    <w:uiPriority w:val="99"/>
    <w:semiHidden/>
    <w:unhideWhenUsed/>
    <w:rsid w:val="009A463A"/>
    <w:pPr>
      <w:ind w:left="1440" w:hanging="360"/>
      <w:contextualSpacing/>
    </w:pPr>
  </w:style>
  <w:style w:type="paragraph" w:styleId="List5">
    <w:name w:val="List 5"/>
    <w:basedOn w:val="Normal"/>
    <w:uiPriority w:val="99"/>
    <w:semiHidden/>
    <w:unhideWhenUsed/>
    <w:rsid w:val="009A463A"/>
    <w:pPr>
      <w:ind w:left="1800" w:hanging="360"/>
      <w:contextualSpacing/>
    </w:pPr>
  </w:style>
  <w:style w:type="paragraph" w:styleId="ListBullet">
    <w:name w:val="List Bullet"/>
    <w:basedOn w:val="Normal"/>
    <w:uiPriority w:val="99"/>
    <w:semiHidden/>
    <w:unhideWhenUsed/>
    <w:rsid w:val="009A463A"/>
    <w:pPr>
      <w:numPr>
        <w:numId w:val="30"/>
      </w:numPr>
      <w:contextualSpacing/>
    </w:pPr>
  </w:style>
  <w:style w:type="paragraph" w:styleId="ListBullet2">
    <w:name w:val="List Bullet 2"/>
    <w:basedOn w:val="Normal"/>
    <w:uiPriority w:val="99"/>
    <w:semiHidden/>
    <w:unhideWhenUsed/>
    <w:rsid w:val="009A463A"/>
    <w:pPr>
      <w:numPr>
        <w:numId w:val="31"/>
      </w:numPr>
      <w:contextualSpacing/>
    </w:pPr>
  </w:style>
  <w:style w:type="paragraph" w:styleId="ListBullet3">
    <w:name w:val="List Bullet 3"/>
    <w:basedOn w:val="Normal"/>
    <w:uiPriority w:val="99"/>
    <w:semiHidden/>
    <w:unhideWhenUsed/>
    <w:rsid w:val="009A463A"/>
    <w:pPr>
      <w:numPr>
        <w:numId w:val="32"/>
      </w:numPr>
      <w:contextualSpacing/>
    </w:pPr>
  </w:style>
  <w:style w:type="paragraph" w:styleId="ListBullet4">
    <w:name w:val="List Bullet 4"/>
    <w:basedOn w:val="Normal"/>
    <w:uiPriority w:val="99"/>
    <w:semiHidden/>
    <w:unhideWhenUsed/>
    <w:rsid w:val="009A463A"/>
    <w:pPr>
      <w:numPr>
        <w:numId w:val="33"/>
      </w:numPr>
      <w:contextualSpacing/>
    </w:pPr>
  </w:style>
  <w:style w:type="paragraph" w:styleId="ListBullet5">
    <w:name w:val="List Bullet 5"/>
    <w:basedOn w:val="Normal"/>
    <w:uiPriority w:val="99"/>
    <w:semiHidden/>
    <w:unhideWhenUsed/>
    <w:rsid w:val="009A463A"/>
    <w:pPr>
      <w:numPr>
        <w:numId w:val="34"/>
      </w:numPr>
      <w:contextualSpacing/>
    </w:pPr>
  </w:style>
  <w:style w:type="paragraph" w:styleId="ListContinue">
    <w:name w:val="List Continue"/>
    <w:basedOn w:val="Normal"/>
    <w:uiPriority w:val="99"/>
    <w:semiHidden/>
    <w:unhideWhenUsed/>
    <w:rsid w:val="009A463A"/>
    <w:pPr>
      <w:spacing w:after="120"/>
      <w:ind w:left="360"/>
      <w:contextualSpacing/>
    </w:pPr>
  </w:style>
  <w:style w:type="paragraph" w:styleId="ListContinue2">
    <w:name w:val="List Continue 2"/>
    <w:basedOn w:val="Normal"/>
    <w:uiPriority w:val="99"/>
    <w:semiHidden/>
    <w:unhideWhenUsed/>
    <w:rsid w:val="009A463A"/>
    <w:pPr>
      <w:spacing w:after="120"/>
      <w:ind w:left="720"/>
      <w:contextualSpacing/>
    </w:pPr>
  </w:style>
  <w:style w:type="paragraph" w:styleId="ListContinue3">
    <w:name w:val="List Continue 3"/>
    <w:basedOn w:val="Normal"/>
    <w:uiPriority w:val="99"/>
    <w:semiHidden/>
    <w:unhideWhenUsed/>
    <w:rsid w:val="009A463A"/>
    <w:pPr>
      <w:spacing w:after="120"/>
      <w:ind w:left="1080"/>
      <w:contextualSpacing/>
    </w:pPr>
  </w:style>
  <w:style w:type="paragraph" w:styleId="ListContinue4">
    <w:name w:val="List Continue 4"/>
    <w:basedOn w:val="Normal"/>
    <w:uiPriority w:val="99"/>
    <w:semiHidden/>
    <w:unhideWhenUsed/>
    <w:rsid w:val="009A463A"/>
    <w:pPr>
      <w:spacing w:after="120"/>
      <w:ind w:left="1440"/>
      <w:contextualSpacing/>
    </w:pPr>
  </w:style>
  <w:style w:type="paragraph" w:styleId="ListContinue5">
    <w:name w:val="List Continue 5"/>
    <w:basedOn w:val="Normal"/>
    <w:uiPriority w:val="99"/>
    <w:semiHidden/>
    <w:unhideWhenUsed/>
    <w:rsid w:val="009A463A"/>
    <w:pPr>
      <w:spacing w:after="120"/>
      <w:ind w:left="1800"/>
      <w:contextualSpacing/>
    </w:pPr>
  </w:style>
  <w:style w:type="paragraph" w:styleId="ListNumber">
    <w:name w:val="List Number"/>
    <w:basedOn w:val="Normal"/>
    <w:uiPriority w:val="99"/>
    <w:semiHidden/>
    <w:unhideWhenUsed/>
    <w:rsid w:val="009A463A"/>
    <w:pPr>
      <w:numPr>
        <w:numId w:val="35"/>
      </w:numPr>
      <w:contextualSpacing/>
    </w:pPr>
  </w:style>
  <w:style w:type="paragraph" w:styleId="ListNumber2">
    <w:name w:val="List Number 2"/>
    <w:basedOn w:val="Normal"/>
    <w:uiPriority w:val="99"/>
    <w:semiHidden/>
    <w:unhideWhenUsed/>
    <w:rsid w:val="009A463A"/>
    <w:pPr>
      <w:numPr>
        <w:numId w:val="36"/>
      </w:numPr>
      <w:contextualSpacing/>
    </w:pPr>
  </w:style>
  <w:style w:type="paragraph" w:styleId="ListNumber3">
    <w:name w:val="List Number 3"/>
    <w:basedOn w:val="Normal"/>
    <w:uiPriority w:val="99"/>
    <w:semiHidden/>
    <w:unhideWhenUsed/>
    <w:rsid w:val="009A463A"/>
    <w:pPr>
      <w:numPr>
        <w:numId w:val="37"/>
      </w:numPr>
      <w:contextualSpacing/>
    </w:pPr>
  </w:style>
  <w:style w:type="paragraph" w:styleId="ListNumber4">
    <w:name w:val="List Number 4"/>
    <w:basedOn w:val="Normal"/>
    <w:uiPriority w:val="99"/>
    <w:semiHidden/>
    <w:unhideWhenUsed/>
    <w:rsid w:val="009A463A"/>
    <w:pPr>
      <w:numPr>
        <w:numId w:val="38"/>
      </w:numPr>
      <w:contextualSpacing/>
    </w:pPr>
  </w:style>
  <w:style w:type="paragraph" w:styleId="ListNumber5">
    <w:name w:val="List Number 5"/>
    <w:basedOn w:val="Normal"/>
    <w:uiPriority w:val="99"/>
    <w:semiHidden/>
    <w:unhideWhenUsed/>
    <w:rsid w:val="009A463A"/>
    <w:pPr>
      <w:numPr>
        <w:numId w:val="39"/>
      </w:numPr>
      <w:contextualSpacing/>
    </w:pPr>
  </w:style>
  <w:style w:type="paragraph" w:styleId="MacroText">
    <w:name w:val="macro"/>
    <w:link w:val="MacroTextChar"/>
    <w:uiPriority w:val="99"/>
    <w:semiHidden/>
    <w:unhideWhenUsed/>
    <w:rsid w:val="009A463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uiPriority w:val="99"/>
    <w:semiHidden/>
    <w:rsid w:val="009A463A"/>
    <w:rPr>
      <w:rFonts w:ascii="Consolas" w:hAnsi="Consolas"/>
    </w:rPr>
  </w:style>
  <w:style w:type="paragraph" w:styleId="MessageHeader">
    <w:name w:val="Message Header"/>
    <w:basedOn w:val="Normal"/>
    <w:link w:val="MessageHeaderChar"/>
    <w:uiPriority w:val="99"/>
    <w:semiHidden/>
    <w:unhideWhenUsed/>
    <w:rsid w:val="009A46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A463A"/>
    <w:rPr>
      <w:rFonts w:asciiTheme="majorHAnsi" w:eastAsiaTheme="majorEastAsia" w:hAnsiTheme="majorHAnsi" w:cstheme="majorBidi"/>
      <w:sz w:val="24"/>
      <w:szCs w:val="24"/>
      <w:shd w:val="pct20" w:color="auto" w:fill="auto"/>
    </w:rPr>
  </w:style>
  <w:style w:type="paragraph" w:styleId="NoSpacing">
    <w:name w:val="No Spacing"/>
    <w:uiPriority w:val="1"/>
    <w:qFormat/>
    <w:rsid w:val="009A463A"/>
    <w:pPr>
      <w:jc w:val="both"/>
    </w:pPr>
    <w:rPr>
      <w:sz w:val="22"/>
      <w:szCs w:val="22"/>
    </w:rPr>
  </w:style>
  <w:style w:type="paragraph" w:styleId="NormalIndent">
    <w:name w:val="Normal Indent"/>
    <w:basedOn w:val="Normal"/>
    <w:uiPriority w:val="99"/>
    <w:semiHidden/>
    <w:unhideWhenUsed/>
    <w:rsid w:val="009A463A"/>
    <w:pPr>
      <w:ind w:left="720"/>
    </w:pPr>
  </w:style>
  <w:style w:type="paragraph" w:styleId="NoteHeading">
    <w:name w:val="Note Heading"/>
    <w:basedOn w:val="Normal"/>
    <w:next w:val="Normal"/>
    <w:link w:val="NoteHeadingChar"/>
    <w:uiPriority w:val="99"/>
    <w:semiHidden/>
    <w:unhideWhenUsed/>
    <w:rsid w:val="009A463A"/>
  </w:style>
  <w:style w:type="character" w:customStyle="1" w:styleId="NoteHeadingChar">
    <w:name w:val="Note Heading Char"/>
    <w:basedOn w:val="DefaultParagraphFont"/>
    <w:link w:val="NoteHeading"/>
    <w:uiPriority w:val="99"/>
    <w:semiHidden/>
    <w:rsid w:val="009A463A"/>
    <w:rPr>
      <w:sz w:val="22"/>
      <w:szCs w:val="22"/>
    </w:rPr>
  </w:style>
  <w:style w:type="paragraph" w:styleId="Quote">
    <w:name w:val="Quote"/>
    <w:basedOn w:val="Normal"/>
    <w:next w:val="Normal"/>
    <w:link w:val="QuoteChar"/>
    <w:uiPriority w:val="29"/>
    <w:qFormat/>
    <w:rsid w:val="009A46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463A"/>
    <w:rPr>
      <w:i/>
      <w:iCs/>
      <w:color w:val="404040" w:themeColor="text1" w:themeTint="BF"/>
      <w:sz w:val="22"/>
      <w:szCs w:val="22"/>
    </w:rPr>
  </w:style>
  <w:style w:type="paragraph" w:styleId="Salutation">
    <w:name w:val="Salutation"/>
    <w:basedOn w:val="Normal"/>
    <w:next w:val="Normal"/>
    <w:link w:val="SalutationChar"/>
    <w:uiPriority w:val="99"/>
    <w:semiHidden/>
    <w:unhideWhenUsed/>
    <w:rsid w:val="009A463A"/>
  </w:style>
  <w:style w:type="character" w:customStyle="1" w:styleId="SalutationChar">
    <w:name w:val="Salutation Char"/>
    <w:basedOn w:val="DefaultParagraphFont"/>
    <w:link w:val="Salutation"/>
    <w:uiPriority w:val="99"/>
    <w:semiHidden/>
    <w:rsid w:val="009A463A"/>
    <w:rPr>
      <w:sz w:val="22"/>
      <w:szCs w:val="22"/>
    </w:rPr>
  </w:style>
  <w:style w:type="paragraph" w:styleId="Signature">
    <w:name w:val="Signature"/>
    <w:basedOn w:val="Normal"/>
    <w:link w:val="SignatureChar"/>
    <w:uiPriority w:val="99"/>
    <w:semiHidden/>
    <w:unhideWhenUsed/>
    <w:rsid w:val="009A463A"/>
    <w:pPr>
      <w:ind w:left="4320"/>
    </w:pPr>
  </w:style>
  <w:style w:type="character" w:customStyle="1" w:styleId="SignatureChar">
    <w:name w:val="Signature Char"/>
    <w:basedOn w:val="DefaultParagraphFont"/>
    <w:link w:val="Signature"/>
    <w:uiPriority w:val="99"/>
    <w:semiHidden/>
    <w:rsid w:val="009A463A"/>
    <w:rPr>
      <w:sz w:val="22"/>
      <w:szCs w:val="22"/>
    </w:rPr>
  </w:style>
  <w:style w:type="paragraph" w:styleId="TableofAuthorities">
    <w:name w:val="table of authorities"/>
    <w:basedOn w:val="Normal"/>
    <w:next w:val="Normal"/>
    <w:uiPriority w:val="99"/>
    <w:semiHidden/>
    <w:unhideWhenUsed/>
    <w:rsid w:val="009A463A"/>
    <w:pPr>
      <w:ind w:left="220" w:hanging="220"/>
    </w:pPr>
  </w:style>
  <w:style w:type="paragraph" w:styleId="TableofFigures">
    <w:name w:val="table of figures"/>
    <w:basedOn w:val="Normal"/>
    <w:next w:val="Normal"/>
    <w:uiPriority w:val="99"/>
    <w:semiHidden/>
    <w:unhideWhenUsed/>
    <w:rsid w:val="009A463A"/>
  </w:style>
  <w:style w:type="paragraph" w:styleId="TOAHeading">
    <w:name w:val="toa heading"/>
    <w:basedOn w:val="Normal"/>
    <w:next w:val="Normal"/>
    <w:uiPriority w:val="99"/>
    <w:semiHidden/>
    <w:unhideWhenUsed/>
    <w:rsid w:val="009A463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9A463A"/>
    <w:pPr>
      <w:spacing w:after="100"/>
    </w:pPr>
  </w:style>
  <w:style w:type="paragraph" w:styleId="TOC2">
    <w:name w:val="toc 2"/>
    <w:basedOn w:val="Normal"/>
    <w:next w:val="Normal"/>
    <w:autoRedefine/>
    <w:uiPriority w:val="39"/>
    <w:semiHidden/>
    <w:unhideWhenUsed/>
    <w:rsid w:val="009A463A"/>
    <w:pPr>
      <w:spacing w:after="100"/>
      <w:ind w:left="220"/>
    </w:pPr>
  </w:style>
  <w:style w:type="paragraph" w:styleId="TOC3">
    <w:name w:val="toc 3"/>
    <w:basedOn w:val="Normal"/>
    <w:next w:val="Normal"/>
    <w:autoRedefine/>
    <w:uiPriority w:val="39"/>
    <w:semiHidden/>
    <w:unhideWhenUsed/>
    <w:rsid w:val="009A463A"/>
    <w:pPr>
      <w:spacing w:after="100"/>
      <w:ind w:left="440"/>
    </w:pPr>
  </w:style>
  <w:style w:type="paragraph" w:styleId="TOC4">
    <w:name w:val="toc 4"/>
    <w:basedOn w:val="Normal"/>
    <w:next w:val="Normal"/>
    <w:autoRedefine/>
    <w:uiPriority w:val="39"/>
    <w:semiHidden/>
    <w:unhideWhenUsed/>
    <w:rsid w:val="009A463A"/>
    <w:pPr>
      <w:spacing w:after="100"/>
      <w:ind w:left="660"/>
    </w:pPr>
  </w:style>
  <w:style w:type="paragraph" w:styleId="TOC5">
    <w:name w:val="toc 5"/>
    <w:basedOn w:val="Normal"/>
    <w:next w:val="Normal"/>
    <w:autoRedefine/>
    <w:uiPriority w:val="39"/>
    <w:semiHidden/>
    <w:unhideWhenUsed/>
    <w:rsid w:val="009A463A"/>
    <w:pPr>
      <w:spacing w:after="100"/>
      <w:ind w:left="880"/>
    </w:pPr>
  </w:style>
  <w:style w:type="paragraph" w:styleId="TOC6">
    <w:name w:val="toc 6"/>
    <w:basedOn w:val="Normal"/>
    <w:next w:val="Normal"/>
    <w:autoRedefine/>
    <w:uiPriority w:val="39"/>
    <w:semiHidden/>
    <w:unhideWhenUsed/>
    <w:rsid w:val="009A463A"/>
    <w:pPr>
      <w:spacing w:after="100"/>
      <w:ind w:left="1100"/>
    </w:pPr>
  </w:style>
  <w:style w:type="paragraph" w:styleId="TOC7">
    <w:name w:val="toc 7"/>
    <w:basedOn w:val="Normal"/>
    <w:next w:val="Normal"/>
    <w:autoRedefine/>
    <w:uiPriority w:val="39"/>
    <w:semiHidden/>
    <w:unhideWhenUsed/>
    <w:rsid w:val="009A463A"/>
    <w:pPr>
      <w:spacing w:after="100"/>
      <w:ind w:left="1320"/>
    </w:pPr>
  </w:style>
  <w:style w:type="paragraph" w:styleId="TOC8">
    <w:name w:val="toc 8"/>
    <w:basedOn w:val="Normal"/>
    <w:next w:val="Normal"/>
    <w:autoRedefine/>
    <w:uiPriority w:val="39"/>
    <w:semiHidden/>
    <w:unhideWhenUsed/>
    <w:rsid w:val="009A463A"/>
    <w:pPr>
      <w:spacing w:after="100"/>
      <w:ind w:left="1540"/>
    </w:pPr>
  </w:style>
  <w:style w:type="paragraph" w:styleId="TOC9">
    <w:name w:val="toc 9"/>
    <w:basedOn w:val="Normal"/>
    <w:next w:val="Normal"/>
    <w:autoRedefine/>
    <w:uiPriority w:val="39"/>
    <w:semiHidden/>
    <w:unhideWhenUsed/>
    <w:rsid w:val="009A463A"/>
    <w:pPr>
      <w:spacing w:after="100"/>
      <w:ind w:left="1760"/>
    </w:pPr>
  </w:style>
  <w:style w:type="paragraph" w:styleId="TOCHeading">
    <w:name w:val="TOC Heading"/>
    <w:basedOn w:val="Heading1"/>
    <w:next w:val="Normal"/>
    <w:uiPriority w:val="39"/>
    <w:semiHidden/>
    <w:unhideWhenUsed/>
    <w:qFormat/>
    <w:rsid w:val="009A463A"/>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54C31E18-C8B0-4E21-9F4C-8EA2DF4D4E13}"/>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33</TotalTime>
  <Pages>19</Pages>
  <Words>8580</Words>
  <Characters>45053</Characters>
  <Application>Microsoft Office Word</Application>
  <DocSecurity>0</DocSecurity>
  <Lines>1098</Lines>
  <Paragraphs>638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projectol: Djibouti</vt:lpstr>
      <vt:lpstr>Project proposal: Djibouti</vt:lpstr>
    </vt:vector>
  </TitlesOfParts>
  <Company>UNMFS</Company>
  <LinksUpToDate>false</LinksUpToDate>
  <CharactersWithSpaces>52995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projectol: Djibouti</dc:title>
  <dc:creator>RSR/KM</dc:creator>
  <cp:keywords>97th ExCom</cp:keywords>
  <dc:description/>
  <cp:lastModifiedBy>Angela Xue He Yan</cp:lastModifiedBy>
  <cp:revision>7</cp:revision>
  <cp:lastPrinted>2025-10-27T19:33:00Z</cp:lastPrinted>
  <dcterms:created xsi:type="dcterms:W3CDTF">2025-10-27T19:28:00Z</dcterms:created>
  <dcterms:modified xsi:type="dcterms:W3CDTF">2025-10-27T19:40:00Z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UNEP/OzL.Pro/ExCom/97/47</vt:lpwstr>
  </property>
  <property fmtid="{D5CDD505-2E9C-101B-9397-08002B2CF9AE}" pid="3" name="Revision date">
    <vt:lpwstr>10/21/2025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