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E57899" w14:paraId="4912FC43" w14:textId="77777777" w:rsidTr="00047BAB">
        <w:trPr>
          <w:trHeight w:val="720"/>
        </w:trPr>
        <w:tc>
          <w:tcPr>
            <w:tcW w:w="7061" w:type="dxa"/>
            <w:gridSpan w:val="2"/>
            <w:tcBorders>
              <w:bottom w:val="single" w:sz="18" w:space="0" w:color="auto"/>
            </w:tcBorders>
          </w:tcPr>
          <w:p w14:paraId="26EFE08A" w14:textId="77777777" w:rsidR="00E57899" w:rsidRDefault="00E57899" w:rsidP="00047BAB">
            <w:pPr>
              <w:tabs>
                <w:tab w:val="left" w:pos="604"/>
                <w:tab w:val="left" w:pos="1029"/>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B85DE74" w14:textId="77777777" w:rsidR="00E57899" w:rsidRDefault="00E57899" w:rsidP="00047B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9B3FD8E" w14:textId="6BDE763C" w:rsidR="00E57899" w:rsidRDefault="00530D29" w:rsidP="00047BAB">
            <w:pPr>
              <w:tabs>
                <w:tab w:val="left" w:pos="3010"/>
              </w:tabs>
              <w:jc w:val="center"/>
              <w:rPr>
                <w:sz w:val="52"/>
                <w:szCs w:val="52"/>
              </w:rPr>
            </w:pPr>
            <w:r>
              <w:rPr>
                <w:rFonts w:ascii="Univers Bold" w:hAnsi="Univers Bold"/>
                <w:b/>
                <w:sz w:val="72"/>
                <w:lang w:val="fr-CA"/>
              </w:rPr>
              <w:t xml:space="preserve">     </w:t>
            </w:r>
            <w:r w:rsidR="00E57899">
              <w:rPr>
                <w:rFonts w:ascii="Univers Bold" w:hAnsi="Univers Bold"/>
                <w:b/>
                <w:sz w:val="72"/>
                <w:lang w:val="fr-CA"/>
              </w:rPr>
              <w:t>EP</w:t>
            </w:r>
          </w:p>
        </w:tc>
      </w:tr>
      <w:tr w:rsidR="00E57899" w14:paraId="080107CA" w14:textId="77777777" w:rsidTr="00047B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86481B5" w14:textId="77777777" w:rsidR="00E57899" w:rsidRDefault="00E57899" w:rsidP="00047BAB">
            <w:pPr>
              <w:spacing w:before="120"/>
            </w:pPr>
            <w:r>
              <w:rPr>
                <w:noProof/>
                <w:lang w:val="en-US"/>
              </w:rPr>
              <w:drawing>
                <wp:anchor distT="0" distB="0" distL="114300" distR="114300" simplePos="0" relativeHeight="251659264" behindDoc="0" locked="0" layoutInCell="1" allowOverlap="1" wp14:anchorId="1DD2C943" wp14:editId="63F7051B">
                  <wp:simplePos x="0" y="0"/>
                  <wp:positionH relativeFrom="column">
                    <wp:posOffset>348070</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5372B150" wp14:editId="72091B9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2D1081F" w14:textId="77777777" w:rsidR="00E57899" w:rsidRDefault="00E57899" w:rsidP="00047B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8316167" w14:textId="77777777" w:rsidR="00E57899" w:rsidRDefault="00E57899" w:rsidP="00047BA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972ABF2" w14:textId="77777777" w:rsidR="00E57899" w:rsidRDefault="00E57899" w:rsidP="00047BAB">
            <w:pPr>
              <w:rPr>
                <w:rFonts w:ascii="Univers" w:hAnsi="Univers"/>
                <w:b/>
                <w:sz w:val="32"/>
                <w:lang w:val="fr-CA"/>
              </w:rPr>
            </w:pPr>
            <w:r>
              <w:rPr>
                <w:rFonts w:ascii="Univers" w:hAnsi="Univers"/>
                <w:b/>
                <w:sz w:val="32"/>
                <w:lang w:val="fr-CA"/>
              </w:rPr>
              <w:t>Nations Unies pour</w:t>
            </w:r>
          </w:p>
          <w:p w14:paraId="4F3B4299" w14:textId="423AC8B4" w:rsidR="00E57899" w:rsidRDefault="00E57899" w:rsidP="00047BAB">
            <w:pPr>
              <w:rPr>
                <w:rFonts w:ascii="Univers" w:hAnsi="Univers"/>
                <w:b/>
                <w:sz w:val="32"/>
                <w:lang w:val="fr-CA"/>
              </w:rPr>
            </w:pPr>
            <w:r>
              <w:rPr>
                <w:rFonts w:ascii="Univers" w:hAnsi="Univers"/>
                <w:b/>
                <w:sz w:val="32"/>
                <w:lang w:val="fr-CA"/>
              </w:rPr>
              <w:t>l</w:t>
            </w:r>
            <w:r w:rsidR="008B69B1">
              <w:rPr>
                <w:rFonts w:ascii="Univers" w:hAnsi="Univers"/>
                <w:b/>
                <w:sz w:val="32"/>
                <w:lang w:val="fr-CA"/>
              </w:rPr>
              <w:t>’</w:t>
            </w:r>
            <w:r>
              <w:rPr>
                <w:rFonts w:ascii="Univers" w:hAnsi="Univers"/>
                <w:b/>
                <w:sz w:val="32"/>
                <w:lang w:val="fr-CA"/>
              </w:rPr>
              <w:t>environnement</w:t>
            </w:r>
          </w:p>
          <w:p w14:paraId="2F76BFB3" w14:textId="77777777" w:rsidR="00E57899" w:rsidRDefault="00E57899" w:rsidP="00047BAB">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79A500E1" w14:textId="77777777" w:rsidR="00E57899" w:rsidRDefault="00E57899" w:rsidP="00047BAB">
            <w:pPr>
              <w:rPr>
                <w:lang w:val="fr-FR"/>
              </w:rPr>
            </w:pPr>
          </w:p>
          <w:p w14:paraId="4A1FA32F" w14:textId="77777777" w:rsidR="00E57899" w:rsidRPr="00DD3433" w:rsidRDefault="00E57899" w:rsidP="00047BAB">
            <w:pPr>
              <w:rPr>
                <w:lang w:val="fr-FR"/>
              </w:rPr>
            </w:pPr>
            <w:r w:rsidRPr="00DD3433">
              <w:rPr>
                <w:lang w:val="fr-FR"/>
              </w:rPr>
              <w:t>Distr.</w:t>
            </w:r>
          </w:p>
          <w:p w14:paraId="3AC42E32" w14:textId="77777777" w:rsidR="00E57899" w:rsidRPr="00DD3433" w:rsidRDefault="00E57899" w:rsidP="00047BAB">
            <w:pPr>
              <w:rPr>
                <w:lang w:val="fr-FR"/>
              </w:rPr>
            </w:pPr>
            <w:r w:rsidRPr="00DD3433">
              <w:rPr>
                <w:lang w:val="fr-FR"/>
              </w:rPr>
              <w:t>GÉNÉRALE</w:t>
            </w:r>
          </w:p>
          <w:p w14:paraId="132D1221" w14:textId="77777777" w:rsidR="00E57899" w:rsidRPr="00DD3433" w:rsidRDefault="00E57899" w:rsidP="00047BAB">
            <w:pPr>
              <w:rPr>
                <w:lang w:val="fr-FR"/>
              </w:rPr>
            </w:pPr>
          </w:p>
          <w:p w14:paraId="431D26EC" w14:textId="04DB321A" w:rsidR="00E57899" w:rsidRPr="00DD5FE9" w:rsidRDefault="00E57899" w:rsidP="00047BAB">
            <w:pPr>
              <w:rPr>
                <w:lang w:val="fr-FR"/>
              </w:rPr>
            </w:pPr>
            <w:r>
              <w:fldChar w:fldCharType="begin"/>
            </w:r>
            <w:r w:rsidRPr="00DD5FE9">
              <w:rPr>
                <w:lang w:val="fr-FR"/>
              </w:rPr>
              <w:instrText xml:space="preserve"> DOCPROPERTY "Document number"  \* MERGEFORMAT </w:instrText>
            </w:r>
            <w:r>
              <w:fldChar w:fldCharType="separate"/>
            </w:r>
            <w:r w:rsidR="00DD5FE9">
              <w:rPr>
                <w:lang w:val="fr-FR"/>
              </w:rPr>
              <w:t>UNEP/OzL.Pro/ExCom/87/2</w:t>
            </w:r>
            <w:r>
              <w:fldChar w:fldCharType="end"/>
            </w:r>
          </w:p>
          <w:p w14:paraId="506B08A5" w14:textId="233483CB" w:rsidR="00E57899" w:rsidRPr="00DD5FE9" w:rsidRDefault="00E57899" w:rsidP="00047BAB">
            <w:pPr>
              <w:rPr>
                <w:lang w:val="fr-FR"/>
              </w:rPr>
            </w:pPr>
            <w:r>
              <w:fldChar w:fldCharType="begin"/>
            </w:r>
            <w:r w:rsidRPr="00DD5FE9">
              <w:rPr>
                <w:lang w:val="fr-FR"/>
              </w:rPr>
              <w:instrText xml:space="preserve"> DOCPROPERTY "Revision date" \@ "d MMMM YYYY"  \* MERGEFORMAT </w:instrText>
            </w:r>
            <w:r>
              <w:fldChar w:fldCharType="separate"/>
            </w:r>
            <w:r w:rsidRPr="00DD5FE9">
              <w:rPr>
                <w:lang w:val="fr-FR"/>
              </w:rPr>
              <w:t>24 juin 2021</w:t>
            </w:r>
            <w:r>
              <w:fldChar w:fldCharType="end"/>
            </w:r>
          </w:p>
          <w:p w14:paraId="353784C6" w14:textId="77777777" w:rsidR="00E57899" w:rsidRDefault="00E57899" w:rsidP="00047BAB">
            <w:pPr>
              <w:rPr>
                <w:caps/>
                <w:lang w:val="fr-FR"/>
              </w:rPr>
            </w:pPr>
            <w:r w:rsidRPr="00DD5FE9">
              <w:rPr>
                <w:caps/>
                <w:lang w:val="fr-FR"/>
              </w:rPr>
              <w:br/>
            </w:r>
            <w:r>
              <w:rPr>
                <w:caps/>
                <w:lang w:val="fr-FR"/>
              </w:rPr>
              <w:t>FRANÇAIS</w:t>
            </w:r>
          </w:p>
          <w:p w14:paraId="2DED69CF" w14:textId="30B0CD4D" w:rsidR="00E57899" w:rsidRDefault="00E57899" w:rsidP="00047BAB">
            <w:r>
              <w:t>ORIGINAL : ANGLAIS</w:t>
            </w:r>
          </w:p>
        </w:tc>
      </w:tr>
    </w:tbl>
    <w:p w14:paraId="6D1C7365" w14:textId="573E01E7" w:rsidR="00704CE9" w:rsidRPr="00DD5FE9" w:rsidRDefault="00E57899" w:rsidP="000D65F6">
      <w:pPr>
        <w:jc w:val="left"/>
        <w:rPr>
          <w:lang w:val="fr-CA"/>
        </w:rPr>
      </w:pPr>
      <w:r>
        <w:rPr>
          <w:lang w:val="fr-CA"/>
        </w:rPr>
        <w:t xml:space="preserve">COMITÉ EXÉCUTIF </w:t>
      </w:r>
      <w:r>
        <w:rPr>
          <w:lang w:val="fr-CA"/>
        </w:rPr>
        <w:br/>
      </w:r>
      <w:r w:rsidR="00530D29">
        <w:rPr>
          <w:lang w:val="fr-FR"/>
        </w:rPr>
        <w:t xml:space="preserve"> </w:t>
      </w:r>
      <w:r w:rsidR="000D65F6" w:rsidRPr="000D65F6">
        <w:rPr>
          <w:lang w:val="fr-FR"/>
        </w:rPr>
        <w:t xml:space="preserve">DU FONDS MULTILATÉRAL AUX FINS </w:t>
      </w:r>
      <w:r w:rsidR="000D65F6" w:rsidRPr="000D65F6">
        <w:rPr>
          <w:lang w:val="fr-FR"/>
        </w:rPr>
        <w:br/>
      </w:r>
      <w:r w:rsidR="00530D29">
        <w:rPr>
          <w:lang w:val="fr-FR"/>
        </w:rPr>
        <w:t xml:space="preserve"> </w:t>
      </w:r>
      <w:r w:rsidR="000D65F6" w:rsidRPr="000D65F6">
        <w:rPr>
          <w:lang w:val="fr-FR"/>
        </w:rPr>
        <w:t>D</w:t>
      </w:r>
      <w:r w:rsidR="008B69B1">
        <w:rPr>
          <w:lang w:val="fr-FR"/>
        </w:rPr>
        <w:t>’</w:t>
      </w:r>
      <w:r w:rsidR="000D65F6" w:rsidRPr="000D65F6">
        <w:rPr>
          <w:lang w:val="fr-FR"/>
        </w:rPr>
        <w:t>APPLICATION DU PROTOCOLE DE MONTRÉAL</w:t>
      </w:r>
      <w:r w:rsidR="000D65F6" w:rsidRPr="000D65F6">
        <w:rPr>
          <w:lang w:val="fr-FR"/>
        </w:rPr>
        <w:br/>
        <w:t>Quatre-vingt-septième réunion</w:t>
      </w:r>
    </w:p>
    <w:p w14:paraId="7783E432" w14:textId="0A7BB23F" w:rsidR="00066CE8" w:rsidRPr="00DD5FE9" w:rsidRDefault="000D65F6" w:rsidP="00066CE8">
      <w:pPr>
        <w:jc w:val="left"/>
        <w:rPr>
          <w:lang w:val="fr-CA"/>
        </w:rPr>
      </w:pPr>
      <w:r w:rsidRPr="000D65F6">
        <w:rPr>
          <w:lang w:val="fr-FR"/>
        </w:rPr>
        <w:t>Montréal, 28 juin – 2 juillet 2021</w:t>
      </w:r>
      <w:r w:rsidRPr="000D65F6">
        <w:rPr>
          <w:rStyle w:val="FootnoteReference"/>
          <w:lang w:val="fr-FR"/>
        </w:rPr>
        <w:footnoteReference w:id="1"/>
      </w:r>
    </w:p>
    <w:p w14:paraId="19D651C5" w14:textId="77777777" w:rsidR="00C15867" w:rsidRPr="00DD5FE9" w:rsidRDefault="00C15867" w:rsidP="00857077">
      <w:pPr>
        <w:jc w:val="left"/>
        <w:rPr>
          <w:lang w:val="fr-CA"/>
        </w:rPr>
      </w:pPr>
    </w:p>
    <w:p w14:paraId="29730759" w14:textId="77777777" w:rsidR="00442353" w:rsidRPr="00DD5FE9" w:rsidRDefault="00442353" w:rsidP="00442353">
      <w:pPr>
        <w:jc w:val="left"/>
        <w:rPr>
          <w:lang w:val="fr-CA"/>
        </w:rPr>
      </w:pPr>
    </w:p>
    <w:p w14:paraId="3CEDA97D" w14:textId="77777777" w:rsidR="00442353" w:rsidRPr="00DD5FE9" w:rsidRDefault="00442353" w:rsidP="00442353">
      <w:pPr>
        <w:jc w:val="left"/>
        <w:rPr>
          <w:lang w:val="fr-CA"/>
        </w:rPr>
      </w:pPr>
    </w:p>
    <w:p w14:paraId="048BF72E" w14:textId="008A4979" w:rsidR="00442353" w:rsidRPr="00DD5FE9" w:rsidRDefault="00DD5FE9" w:rsidP="00442353">
      <w:pPr>
        <w:pStyle w:val="Title1"/>
        <w:rPr>
          <w:lang w:val="fr-CA"/>
        </w:rPr>
      </w:pPr>
      <w:r w:rsidRPr="000D65F6">
        <w:rPr>
          <w:caps w:val="0"/>
          <w:lang w:val="fr-FR"/>
        </w:rPr>
        <w:t>ACTIVITES DU SECR</w:t>
      </w:r>
      <w:r>
        <w:rPr>
          <w:caps w:val="0"/>
          <w:lang w:val="fr-FR"/>
        </w:rPr>
        <w:t>E</w:t>
      </w:r>
      <w:r w:rsidRPr="000D65F6">
        <w:rPr>
          <w:caps w:val="0"/>
          <w:lang w:val="fr-FR"/>
        </w:rPr>
        <w:t>TARIAT</w:t>
      </w:r>
    </w:p>
    <w:p w14:paraId="0896603A" w14:textId="77777777" w:rsidR="00442353" w:rsidRPr="00DD5FE9" w:rsidRDefault="00442353" w:rsidP="00442353">
      <w:pPr>
        <w:pStyle w:val="Heading1"/>
        <w:numPr>
          <w:ilvl w:val="0"/>
          <w:numId w:val="0"/>
        </w:numPr>
        <w:spacing w:after="0"/>
        <w:rPr>
          <w:b/>
          <w:color w:val="000000" w:themeColor="text1"/>
          <w:lang w:val="fr-CA"/>
        </w:rPr>
      </w:pPr>
    </w:p>
    <w:p w14:paraId="0BF6539C" w14:textId="64C8FE1A" w:rsidR="00442353" w:rsidRPr="00DD5FE9" w:rsidRDefault="000D65F6" w:rsidP="000D65F6">
      <w:pPr>
        <w:pStyle w:val="Heading1"/>
        <w:numPr>
          <w:ilvl w:val="0"/>
          <w:numId w:val="0"/>
        </w:numPr>
        <w:rPr>
          <w:b/>
          <w:color w:val="000000" w:themeColor="text1"/>
          <w:lang w:val="fr-CA"/>
        </w:rPr>
      </w:pPr>
      <w:r w:rsidRPr="000D65F6">
        <w:rPr>
          <w:b/>
          <w:color w:val="000000" w:themeColor="text1"/>
          <w:lang w:val="fr-FR"/>
        </w:rPr>
        <w:t>Introduction </w:t>
      </w:r>
    </w:p>
    <w:p w14:paraId="46B88A1E" w14:textId="4FBAAF9B" w:rsidR="000D65F6" w:rsidRPr="00DD5FE9" w:rsidRDefault="000D65F6" w:rsidP="000D65F6">
      <w:pPr>
        <w:pStyle w:val="Heading1"/>
        <w:rPr>
          <w:lang w:val="fr-CA"/>
        </w:rPr>
      </w:pPr>
      <w:r w:rsidRPr="000D65F6">
        <w:rPr>
          <w:lang w:val="fr-FR"/>
        </w:rPr>
        <w:t xml:space="preserve">Le présent document expose les activités </w:t>
      </w:r>
      <w:r w:rsidR="00EB0B6C">
        <w:rPr>
          <w:lang w:val="fr-FR"/>
        </w:rPr>
        <w:t xml:space="preserve">entreprises par le </w:t>
      </w:r>
      <w:r w:rsidRPr="000D65F6">
        <w:rPr>
          <w:lang w:val="fr-FR"/>
        </w:rPr>
        <w:t>Secrétariat depuis la fin du processus d</w:t>
      </w:r>
      <w:r w:rsidR="008B69B1">
        <w:rPr>
          <w:lang w:val="fr-FR"/>
        </w:rPr>
        <w:t>’</w:t>
      </w:r>
      <w:r w:rsidRPr="000D65F6">
        <w:rPr>
          <w:lang w:val="fr-FR"/>
        </w:rPr>
        <w:t>approbation intersessions pro</w:t>
      </w:r>
      <w:r w:rsidR="00EB0B6C">
        <w:rPr>
          <w:lang w:val="fr-FR"/>
        </w:rPr>
        <w:t xml:space="preserve">longé </w:t>
      </w:r>
      <w:r w:rsidRPr="000D65F6">
        <w:rPr>
          <w:lang w:val="fr-FR"/>
        </w:rPr>
        <w:t>créé pour la 86</w:t>
      </w:r>
      <w:r w:rsidRPr="00EB0B6C">
        <w:rPr>
          <w:vertAlign w:val="superscript"/>
          <w:lang w:val="fr-FR"/>
        </w:rPr>
        <w:t>e</w:t>
      </w:r>
      <w:r w:rsidR="00EB0B6C">
        <w:rPr>
          <w:lang w:val="fr-FR"/>
        </w:rPr>
        <w:t xml:space="preserve"> </w:t>
      </w:r>
      <w:r w:rsidRPr="000D65F6">
        <w:rPr>
          <w:lang w:val="fr-FR"/>
        </w:rPr>
        <w:t>réunion du Comité exécutif (IAP</w:t>
      </w:r>
      <w:r w:rsidRPr="000D65F6">
        <w:rPr>
          <w:lang w:val="fr-FR"/>
        </w:rPr>
        <w:noBreakHyphen/>
        <w:t>86ext).</w:t>
      </w:r>
    </w:p>
    <w:p w14:paraId="2C99000A" w14:textId="390799DF" w:rsidR="00002DA8" w:rsidRPr="00DD5FE9" w:rsidRDefault="000D65F6" w:rsidP="000D65F6">
      <w:pPr>
        <w:spacing w:after="240"/>
        <w:rPr>
          <w:b/>
          <w:color w:val="000000" w:themeColor="text1"/>
          <w:lang w:val="fr-CA"/>
        </w:rPr>
      </w:pPr>
      <w:r w:rsidRPr="000D65F6">
        <w:rPr>
          <w:b/>
          <w:color w:val="000000" w:themeColor="text1"/>
          <w:lang w:val="fr-FR"/>
        </w:rPr>
        <w:t xml:space="preserve">Actions entreprises à la suite </w:t>
      </w:r>
      <w:r w:rsidR="00530D29" w:rsidRPr="000D65F6">
        <w:rPr>
          <w:b/>
          <w:color w:val="000000" w:themeColor="text1"/>
          <w:lang w:val="fr-FR"/>
        </w:rPr>
        <w:t>de l’IAP-86ext</w:t>
      </w:r>
      <w:r w:rsidR="00002DA8" w:rsidRPr="00DD5FE9">
        <w:rPr>
          <w:b/>
          <w:color w:val="000000" w:themeColor="text1"/>
          <w:lang w:val="fr-CA"/>
        </w:rPr>
        <w:t xml:space="preserve"> </w:t>
      </w:r>
    </w:p>
    <w:p w14:paraId="79BC3B71" w14:textId="0E9DF641" w:rsidR="000D65F6" w:rsidRPr="00DD5FE9" w:rsidRDefault="000D65F6" w:rsidP="000D65F6">
      <w:pPr>
        <w:pStyle w:val="Heading1"/>
        <w:rPr>
          <w:lang w:val="fr-CA"/>
        </w:rPr>
      </w:pPr>
      <w:r w:rsidRPr="000D65F6">
        <w:rPr>
          <w:lang w:val="fr-FR"/>
        </w:rPr>
        <w:t>Le rapport sur le processus d</w:t>
      </w:r>
      <w:r w:rsidR="008B69B1">
        <w:rPr>
          <w:lang w:val="fr-FR"/>
        </w:rPr>
        <w:t>’</w:t>
      </w:r>
      <w:r w:rsidRPr="000D65F6">
        <w:rPr>
          <w:lang w:val="fr-FR"/>
        </w:rPr>
        <w:t>approbation intersessions pour la 86</w:t>
      </w:r>
      <w:r w:rsidRPr="000D65F6">
        <w:rPr>
          <w:vertAlign w:val="superscript"/>
          <w:lang w:val="fr-FR"/>
        </w:rPr>
        <w:t>e</w:t>
      </w:r>
      <w:r w:rsidR="00530D29">
        <w:rPr>
          <w:lang w:val="fr-FR"/>
        </w:rPr>
        <w:t xml:space="preserve"> </w:t>
      </w:r>
      <w:r w:rsidRPr="000D65F6">
        <w:rPr>
          <w:lang w:val="fr-FR"/>
        </w:rPr>
        <w:t>réunion</w:t>
      </w:r>
      <w:r w:rsidRPr="000D65F6">
        <w:rPr>
          <w:rStyle w:val="FootnoteReference"/>
          <w:lang w:val="fr-FR"/>
        </w:rPr>
        <w:footnoteReference w:id="2"/>
      </w:r>
      <w:r w:rsidRPr="000D65F6">
        <w:rPr>
          <w:lang w:val="fr-FR"/>
        </w:rPr>
        <w:t xml:space="preserve"> a été transmis à tous les membres du Comité exécutif, aux agences d</w:t>
      </w:r>
      <w:r w:rsidR="008B69B1">
        <w:rPr>
          <w:lang w:val="fr-FR"/>
        </w:rPr>
        <w:t>’</w:t>
      </w:r>
      <w:r w:rsidRPr="000D65F6">
        <w:rPr>
          <w:lang w:val="fr-FR"/>
        </w:rPr>
        <w:t>exécution et au Secrétariat de l</w:t>
      </w:r>
      <w:r w:rsidR="008B69B1">
        <w:rPr>
          <w:lang w:val="fr-FR"/>
        </w:rPr>
        <w:t>’</w:t>
      </w:r>
      <w:r w:rsidRPr="000D65F6">
        <w:rPr>
          <w:lang w:val="fr-FR"/>
        </w:rPr>
        <w:t>ozone</w:t>
      </w:r>
      <w:r w:rsidR="00530D29">
        <w:rPr>
          <w:lang w:val="fr-FR"/>
        </w:rPr>
        <w:t>,</w:t>
      </w:r>
      <w:r w:rsidRPr="000D65F6">
        <w:rPr>
          <w:lang w:val="fr-FR"/>
        </w:rPr>
        <w:t xml:space="preserve"> et publié sur le site Web du Fonds multilatéral</w:t>
      </w:r>
      <w:r w:rsidRPr="000D65F6">
        <w:rPr>
          <w:rStyle w:val="FootnoteReference"/>
        </w:rPr>
        <w:footnoteReference w:id="3"/>
      </w:r>
      <w:r w:rsidR="008B69B1">
        <w:rPr>
          <w:lang w:val="fr-FR"/>
        </w:rPr>
        <w:t>.</w:t>
      </w:r>
      <w:r w:rsidRPr="00DD5FE9">
        <w:rPr>
          <w:lang w:val="fr-CA"/>
        </w:rPr>
        <w:t xml:space="preserve"> </w:t>
      </w:r>
      <w:r w:rsidRPr="000D65F6">
        <w:rPr>
          <w:lang w:val="fr-FR"/>
        </w:rPr>
        <w:t xml:space="preserve">Les résultats </w:t>
      </w:r>
      <w:r w:rsidR="00530D29" w:rsidRPr="000D65F6">
        <w:rPr>
          <w:lang w:val="fr-FR"/>
        </w:rPr>
        <w:t>de l’IAP-86ext</w:t>
      </w:r>
      <w:r w:rsidRPr="000D65F6">
        <w:rPr>
          <w:lang w:val="fr-FR"/>
        </w:rPr>
        <w:t xml:space="preserve"> portant sur les approbations de projets ont été transmis à 9 pays visés à l</w:t>
      </w:r>
      <w:r w:rsidR="008B69B1">
        <w:rPr>
          <w:lang w:val="fr-FR"/>
        </w:rPr>
        <w:t>’</w:t>
      </w:r>
      <w:r w:rsidRPr="000D65F6">
        <w:rPr>
          <w:lang w:val="fr-FR"/>
        </w:rPr>
        <w:t>article 5, ainsi qu</w:t>
      </w:r>
      <w:r w:rsidR="008B69B1">
        <w:rPr>
          <w:lang w:val="fr-FR"/>
        </w:rPr>
        <w:t>’</w:t>
      </w:r>
      <w:r w:rsidRPr="000D65F6">
        <w:rPr>
          <w:lang w:val="fr-FR"/>
        </w:rPr>
        <w:t>aux agences bilatérales et d</w:t>
      </w:r>
      <w:r w:rsidR="008B69B1">
        <w:rPr>
          <w:lang w:val="fr-FR"/>
        </w:rPr>
        <w:t>’</w:t>
      </w:r>
      <w:r w:rsidRPr="000D65F6">
        <w:rPr>
          <w:lang w:val="fr-FR"/>
        </w:rPr>
        <w:t>exécution concernées.</w:t>
      </w:r>
      <w:r w:rsidRPr="00DD5FE9">
        <w:rPr>
          <w:lang w:val="fr-CA"/>
        </w:rPr>
        <w:t xml:space="preserve"> </w:t>
      </w:r>
    </w:p>
    <w:p w14:paraId="14593D6A" w14:textId="0E6968F4" w:rsidR="000D65F6" w:rsidRPr="00DD5FE9" w:rsidRDefault="000D65F6" w:rsidP="000D65F6">
      <w:pPr>
        <w:pStyle w:val="Heading1"/>
        <w:rPr>
          <w:color w:val="000000" w:themeColor="text1"/>
          <w:lang w:val="fr-CA"/>
        </w:rPr>
      </w:pPr>
      <w:r w:rsidRPr="000D65F6">
        <w:rPr>
          <w:color w:val="000000" w:themeColor="text1"/>
          <w:lang w:val="fr-FR"/>
        </w:rPr>
        <w:t>Le Secrétariat continue s</w:t>
      </w:r>
      <w:r w:rsidR="008B69B1">
        <w:rPr>
          <w:color w:val="000000" w:themeColor="text1"/>
          <w:lang w:val="fr-FR"/>
        </w:rPr>
        <w:t>’</w:t>
      </w:r>
      <w:r w:rsidRPr="000D65F6">
        <w:rPr>
          <w:color w:val="000000" w:themeColor="text1"/>
          <w:lang w:val="fr-FR"/>
        </w:rPr>
        <w:t>il y a lieu d</w:t>
      </w:r>
      <w:r w:rsidR="008B69B1">
        <w:rPr>
          <w:color w:val="000000" w:themeColor="text1"/>
          <w:lang w:val="fr-FR"/>
        </w:rPr>
        <w:t>’</w:t>
      </w:r>
      <w:r w:rsidRPr="000D65F6">
        <w:rPr>
          <w:color w:val="000000" w:themeColor="text1"/>
          <w:lang w:val="fr-FR"/>
        </w:rPr>
        <w:t>examiner et de mettre à jour les bases de données, les documents récapitulatifs et les lignes directrices opérationnelles</w:t>
      </w:r>
      <w:r w:rsidRPr="000D65F6">
        <w:rPr>
          <w:rStyle w:val="FootnoteReference"/>
          <w:color w:val="000000" w:themeColor="text1"/>
          <w:lang w:val="fr-FR"/>
        </w:rPr>
        <w:footnoteReference w:id="4"/>
      </w:r>
      <w:r w:rsidRPr="000D65F6">
        <w:rPr>
          <w:color w:val="000000" w:themeColor="text1"/>
          <w:lang w:val="fr-FR"/>
        </w:rPr>
        <w:t>.</w:t>
      </w:r>
    </w:p>
    <w:p w14:paraId="25BFB22A" w14:textId="3450CD49" w:rsidR="00442353" w:rsidRPr="00EB0B6C" w:rsidRDefault="000D65F6" w:rsidP="00EB0B6C">
      <w:pPr>
        <w:widowControl w:val="0"/>
        <w:spacing w:after="240"/>
        <w:outlineLvl w:val="0"/>
        <w:rPr>
          <w:b/>
          <w:color w:val="000000" w:themeColor="text1"/>
        </w:rPr>
      </w:pPr>
      <w:r w:rsidRPr="00EB0B6C">
        <w:rPr>
          <w:b/>
          <w:color w:val="000000" w:themeColor="text1"/>
          <w:lang w:val="fr-FR"/>
        </w:rPr>
        <w:t>Préparation de la 87</w:t>
      </w:r>
      <w:r w:rsidRPr="00EB0B6C">
        <w:rPr>
          <w:b/>
          <w:color w:val="000000" w:themeColor="text1"/>
          <w:vertAlign w:val="superscript"/>
          <w:lang w:val="fr-FR"/>
        </w:rPr>
        <w:t>e</w:t>
      </w:r>
      <w:r w:rsidRPr="00EB0B6C">
        <w:rPr>
          <w:b/>
          <w:color w:val="000000" w:themeColor="text1"/>
          <w:lang w:val="fr-FR"/>
        </w:rPr>
        <w:t xml:space="preserve"> réunion</w:t>
      </w:r>
    </w:p>
    <w:p w14:paraId="304DDA50" w14:textId="1BF284F3" w:rsidR="00EB0B6C" w:rsidRPr="00DD5FE9" w:rsidRDefault="00EB0B6C" w:rsidP="00EB0B6C">
      <w:pPr>
        <w:pStyle w:val="Heading1"/>
        <w:rPr>
          <w:lang w:val="fr-CA"/>
        </w:rPr>
      </w:pPr>
      <w:r w:rsidRPr="00EB0B6C">
        <w:rPr>
          <w:lang w:val="fr-FR"/>
        </w:rPr>
        <w:t>Le Secrétariat continue à suivre l</w:t>
      </w:r>
      <w:r w:rsidR="008B69B1">
        <w:rPr>
          <w:lang w:val="fr-FR"/>
        </w:rPr>
        <w:t>’</w:t>
      </w:r>
      <w:r w:rsidRPr="00EB0B6C">
        <w:rPr>
          <w:lang w:val="fr-FR"/>
        </w:rPr>
        <w:t>évolution de la situation de la pandémie de COVID-19 afin de faciliter le travail du Comité exécutif.</w:t>
      </w:r>
      <w:r w:rsidRPr="00DD5FE9">
        <w:rPr>
          <w:lang w:val="fr-CA"/>
        </w:rPr>
        <w:t xml:space="preserve"> </w:t>
      </w:r>
      <w:r w:rsidRPr="00EB0B6C">
        <w:rPr>
          <w:lang w:val="fr-FR"/>
        </w:rPr>
        <w:t>Le 21 mai 2021, les membres du Comité Exécutif ont été informés des dates et de l</w:t>
      </w:r>
      <w:r w:rsidR="008B69B1">
        <w:rPr>
          <w:lang w:val="fr-FR"/>
        </w:rPr>
        <w:t>’</w:t>
      </w:r>
      <w:r w:rsidRPr="00EB0B6C">
        <w:rPr>
          <w:lang w:val="fr-FR"/>
        </w:rPr>
        <w:t>ordre du jour de la 87</w:t>
      </w:r>
      <w:r w:rsidRPr="00EB0B6C">
        <w:rPr>
          <w:vertAlign w:val="superscript"/>
          <w:lang w:val="fr-FR"/>
        </w:rPr>
        <w:t>e</w:t>
      </w:r>
      <w:r w:rsidRPr="00EB0B6C">
        <w:rPr>
          <w:lang w:val="fr-FR"/>
        </w:rPr>
        <w:t xml:space="preserve"> réunion, et du projet de procédures pour la réunion.</w:t>
      </w:r>
      <w:r w:rsidRPr="00DD5FE9">
        <w:rPr>
          <w:lang w:val="fr-CA"/>
        </w:rPr>
        <w:t xml:space="preserve"> </w:t>
      </w:r>
      <w:r w:rsidRPr="00EB0B6C">
        <w:rPr>
          <w:lang w:val="fr-FR"/>
        </w:rPr>
        <w:t>En raison des contraintes imposées aux voyageurs se rendant au Canada et de l</w:t>
      </w:r>
      <w:r w:rsidR="008B69B1">
        <w:rPr>
          <w:lang w:val="fr-FR"/>
        </w:rPr>
        <w:t>’</w:t>
      </w:r>
      <w:r w:rsidRPr="00EB0B6C">
        <w:rPr>
          <w:lang w:val="fr-FR"/>
        </w:rPr>
        <w:t xml:space="preserve">inaccessibilité du lieu de réunion situé </w:t>
      </w:r>
      <w:r w:rsidRPr="00EB0B6C">
        <w:rPr>
          <w:lang w:val="fr-FR"/>
        </w:rPr>
        <w:lastRenderedPageBreak/>
        <w:t xml:space="preserve">dans </w:t>
      </w:r>
      <w:r w:rsidR="00530D29">
        <w:rPr>
          <w:lang w:val="fr-FR"/>
        </w:rPr>
        <w:t xml:space="preserve">les locaux </w:t>
      </w:r>
      <w:r w:rsidRPr="00EB0B6C">
        <w:rPr>
          <w:lang w:val="fr-FR"/>
        </w:rPr>
        <w:t>de l</w:t>
      </w:r>
      <w:r w:rsidR="008B69B1">
        <w:rPr>
          <w:lang w:val="fr-FR"/>
        </w:rPr>
        <w:t>’</w:t>
      </w:r>
      <w:r w:rsidRPr="00EB0B6C">
        <w:rPr>
          <w:lang w:val="fr-FR"/>
        </w:rPr>
        <w:t>Organisation de l</w:t>
      </w:r>
      <w:r w:rsidR="008B69B1">
        <w:rPr>
          <w:lang w:val="fr-FR"/>
        </w:rPr>
        <w:t>’</w:t>
      </w:r>
      <w:r w:rsidRPr="00EB0B6C">
        <w:rPr>
          <w:lang w:val="fr-FR"/>
        </w:rPr>
        <w:t>aviation civile internationale (OACI), le Comité exécutif a été informé que la réunion ne serait pas organisée en présentiel, mais qu</w:t>
      </w:r>
      <w:r w:rsidR="008B69B1">
        <w:rPr>
          <w:lang w:val="fr-FR"/>
        </w:rPr>
        <w:t>’</w:t>
      </w:r>
      <w:r w:rsidRPr="00EB0B6C">
        <w:rPr>
          <w:lang w:val="fr-FR"/>
        </w:rPr>
        <w:t>à la place elle aurait lieu au moyen d</w:t>
      </w:r>
      <w:r w:rsidR="008B69B1">
        <w:rPr>
          <w:lang w:val="fr-FR"/>
        </w:rPr>
        <w:t>’</w:t>
      </w:r>
      <w:r w:rsidRPr="00EB0B6C">
        <w:rPr>
          <w:lang w:val="fr-FR"/>
        </w:rPr>
        <w:t>un ensemble de</w:t>
      </w:r>
      <w:r w:rsidR="00530D29">
        <w:rPr>
          <w:lang w:val="fr-FR"/>
        </w:rPr>
        <w:t xml:space="preserve"> </w:t>
      </w:r>
      <w:r w:rsidRPr="00EB0B6C">
        <w:rPr>
          <w:lang w:val="fr-FR"/>
        </w:rPr>
        <w:t>réunions virtuelles, similaires au format utilisé pour la 86</w:t>
      </w:r>
      <w:r w:rsidRPr="00EB0B6C">
        <w:rPr>
          <w:vertAlign w:val="superscript"/>
          <w:lang w:val="fr-FR"/>
        </w:rPr>
        <w:t>e</w:t>
      </w:r>
      <w:r w:rsidR="00530D29">
        <w:rPr>
          <w:lang w:val="fr-FR"/>
        </w:rPr>
        <w:t xml:space="preserve"> </w:t>
      </w:r>
      <w:r w:rsidRPr="00EB0B6C">
        <w:rPr>
          <w:lang w:val="fr-FR"/>
        </w:rPr>
        <w:t>réunion reportée, ainsi qu</w:t>
      </w:r>
      <w:r w:rsidR="00530D29">
        <w:rPr>
          <w:lang w:val="fr-FR"/>
        </w:rPr>
        <w:t>e d</w:t>
      </w:r>
      <w:r w:rsidR="008B69B1">
        <w:rPr>
          <w:lang w:val="fr-FR"/>
        </w:rPr>
        <w:t>’</w:t>
      </w:r>
      <w:r w:rsidRPr="00EB0B6C">
        <w:rPr>
          <w:lang w:val="fr-FR"/>
        </w:rPr>
        <w:t>un processus d</w:t>
      </w:r>
      <w:r w:rsidR="008B69B1">
        <w:rPr>
          <w:lang w:val="fr-FR"/>
        </w:rPr>
        <w:t>’</w:t>
      </w:r>
      <w:r w:rsidRPr="00EB0B6C">
        <w:rPr>
          <w:lang w:val="fr-FR"/>
        </w:rPr>
        <w:t xml:space="preserve">approbation intersessions (IAP-87). Les membres ont également été informés que pour les réunions </w:t>
      </w:r>
      <w:r w:rsidR="00530D29">
        <w:rPr>
          <w:lang w:val="fr-FR"/>
        </w:rPr>
        <w:t>officie</w:t>
      </w:r>
      <w:r w:rsidRPr="00EB0B6C">
        <w:rPr>
          <w:lang w:val="fr-FR"/>
        </w:rPr>
        <w:t>lles en ligne, le Secrétariat a obtenu des services d</w:t>
      </w:r>
      <w:r w:rsidR="008B69B1">
        <w:rPr>
          <w:lang w:val="fr-FR"/>
        </w:rPr>
        <w:t>’</w:t>
      </w:r>
      <w:r w:rsidRPr="00EB0B6C">
        <w:rPr>
          <w:lang w:val="fr-FR"/>
        </w:rPr>
        <w:t xml:space="preserve">interprétation qui ne sont disponibles que du 25 au 28 juin 2021, </w:t>
      </w:r>
      <w:r w:rsidR="00530D29">
        <w:rPr>
          <w:lang w:val="fr-FR"/>
        </w:rPr>
        <w:t xml:space="preserve">depuis </w:t>
      </w:r>
      <w:r w:rsidRPr="00EB0B6C">
        <w:rPr>
          <w:lang w:val="fr-FR"/>
        </w:rPr>
        <w:t>l</w:t>
      </w:r>
      <w:r w:rsidR="008B69B1">
        <w:rPr>
          <w:lang w:val="fr-FR"/>
        </w:rPr>
        <w:t>’</w:t>
      </w:r>
      <w:r w:rsidRPr="00EB0B6C">
        <w:rPr>
          <w:lang w:val="fr-FR"/>
        </w:rPr>
        <w:t>Office des Nations Unies à Nairobi, et que des réservations provisoires pour la tenue de réunions supplémentaires à l</w:t>
      </w:r>
      <w:r w:rsidR="008B69B1">
        <w:rPr>
          <w:lang w:val="fr-FR"/>
        </w:rPr>
        <w:t>’</w:t>
      </w:r>
      <w:r w:rsidRPr="00EB0B6C">
        <w:rPr>
          <w:lang w:val="fr-FR"/>
        </w:rPr>
        <w:t>OACI ont été faites du 15 au 19 novembre 2021 (c</w:t>
      </w:r>
      <w:r w:rsidR="008B69B1">
        <w:rPr>
          <w:lang w:val="fr-FR"/>
        </w:rPr>
        <w:t>’</w:t>
      </w:r>
      <w:r w:rsidRPr="00EB0B6C">
        <w:rPr>
          <w:lang w:val="fr-FR"/>
        </w:rPr>
        <w:t>est-à-dire les dates convenues pour la 88</w:t>
      </w:r>
      <w:r w:rsidRPr="00EB0B6C">
        <w:rPr>
          <w:vertAlign w:val="superscript"/>
          <w:lang w:val="fr-FR"/>
        </w:rPr>
        <w:t>e</w:t>
      </w:r>
      <w:r w:rsidRPr="00EB0B6C">
        <w:rPr>
          <w:lang w:val="fr-FR"/>
        </w:rPr>
        <w:t xml:space="preserve"> réunion) et du 7 au 11 mars 2022, si le Comité exécutif souhaite une réunion en présentiel pour discuter des points en souffrance qui n</w:t>
      </w:r>
      <w:r w:rsidR="008B69B1">
        <w:rPr>
          <w:lang w:val="fr-FR"/>
        </w:rPr>
        <w:t>’</w:t>
      </w:r>
      <w:r w:rsidRPr="00EB0B6C">
        <w:rPr>
          <w:lang w:val="fr-FR"/>
        </w:rPr>
        <w:t>ont pas pu être résolus.</w:t>
      </w:r>
    </w:p>
    <w:p w14:paraId="26C42322" w14:textId="0902DC2C" w:rsidR="00EB0B6C" w:rsidRPr="00DD5FE9" w:rsidRDefault="00EB0B6C" w:rsidP="00EB0B6C">
      <w:pPr>
        <w:pStyle w:val="Heading1"/>
        <w:rPr>
          <w:lang w:val="fr-CA"/>
        </w:rPr>
      </w:pPr>
      <w:r w:rsidRPr="00EB0B6C">
        <w:rPr>
          <w:lang w:val="fr-FR"/>
        </w:rPr>
        <w:t>Le Secrétariat a préparé les documents de réunion pour la 87</w:t>
      </w:r>
      <w:r w:rsidRPr="00EB0B6C">
        <w:rPr>
          <w:vertAlign w:val="superscript"/>
          <w:lang w:val="fr-FR"/>
        </w:rPr>
        <w:t>e</w:t>
      </w:r>
      <w:r w:rsidR="00530D29">
        <w:rPr>
          <w:lang w:val="fr-FR"/>
        </w:rPr>
        <w:t xml:space="preserve"> </w:t>
      </w:r>
      <w:r w:rsidRPr="00EB0B6C">
        <w:rPr>
          <w:lang w:val="fr-FR"/>
        </w:rPr>
        <w:t>réunion ; un site contenant ces documents de réunion en arabe, en anglais, en chinois, en français et en espagnol a été créé sur le site Web du Fonds multilatéral.</w:t>
      </w:r>
      <w:r w:rsidRPr="00DD5FE9">
        <w:rPr>
          <w:lang w:val="fr-CA"/>
        </w:rPr>
        <w:t xml:space="preserve"> </w:t>
      </w:r>
      <w:r w:rsidRPr="00EB0B6C">
        <w:rPr>
          <w:lang w:val="fr-FR"/>
        </w:rPr>
        <w:t>Pour faciliter la 87</w:t>
      </w:r>
      <w:r w:rsidRPr="00EB0B6C">
        <w:rPr>
          <w:vertAlign w:val="superscript"/>
          <w:lang w:val="fr-FR"/>
        </w:rPr>
        <w:t>e</w:t>
      </w:r>
      <w:r w:rsidR="00530D29">
        <w:rPr>
          <w:lang w:val="fr-FR"/>
        </w:rPr>
        <w:t xml:space="preserve"> </w:t>
      </w:r>
      <w:r w:rsidRPr="00EB0B6C">
        <w:rPr>
          <w:lang w:val="fr-FR"/>
        </w:rPr>
        <w:t>réunion, le Secrétariat a créé un forum protégé par un mot de passe pour l</w:t>
      </w:r>
      <w:r w:rsidR="008B69B1">
        <w:rPr>
          <w:lang w:val="fr-FR"/>
        </w:rPr>
        <w:t>’</w:t>
      </w:r>
      <w:r w:rsidRPr="00EB0B6C">
        <w:rPr>
          <w:lang w:val="fr-FR"/>
        </w:rPr>
        <w:t>IAP 87 et un</w:t>
      </w:r>
      <w:r w:rsidR="00530D29">
        <w:rPr>
          <w:lang w:val="fr-FR"/>
        </w:rPr>
        <w:t xml:space="preserve"> espace</w:t>
      </w:r>
      <w:r w:rsidRPr="00EB0B6C">
        <w:rPr>
          <w:lang w:val="fr-FR"/>
        </w:rPr>
        <w:t xml:space="preserve"> de session pour les réunions virtuelles, et a préparé un projet de document sur les procédures de conduite de la 87</w:t>
      </w:r>
      <w:r w:rsidRPr="00EB0B6C">
        <w:rPr>
          <w:vertAlign w:val="superscript"/>
          <w:lang w:val="fr-FR"/>
        </w:rPr>
        <w:t>e</w:t>
      </w:r>
      <w:r w:rsidRPr="00EB0B6C">
        <w:rPr>
          <w:lang w:val="fr-FR"/>
        </w:rPr>
        <w:t xml:space="preserve"> réunion</w:t>
      </w:r>
      <w:r w:rsidRPr="00EB0B6C">
        <w:rPr>
          <w:rStyle w:val="FootnoteReference"/>
        </w:rPr>
        <w:footnoteReference w:id="5"/>
      </w:r>
      <w:r w:rsidR="008B69B1">
        <w:rPr>
          <w:lang w:val="fr-FR"/>
        </w:rPr>
        <w:t>.</w:t>
      </w:r>
    </w:p>
    <w:p w14:paraId="3237ADA3" w14:textId="26809DC7" w:rsidR="00442353" w:rsidRPr="00DD5FE9" w:rsidRDefault="00EB0B6C" w:rsidP="00EB0B6C">
      <w:pPr>
        <w:pStyle w:val="StyleHeader4Para4Left0Firstline0"/>
        <w:numPr>
          <w:ilvl w:val="0"/>
          <w:numId w:val="0"/>
        </w:numPr>
        <w:rPr>
          <w:b/>
          <w:color w:val="000000" w:themeColor="text1"/>
          <w:sz w:val="22"/>
          <w:lang w:val="fr-CA"/>
        </w:rPr>
      </w:pPr>
      <w:r w:rsidRPr="00EB0B6C">
        <w:rPr>
          <w:b/>
          <w:color w:val="000000" w:themeColor="text1"/>
          <w:sz w:val="22"/>
          <w:lang w:val="fr-FR"/>
        </w:rPr>
        <w:t>Participation aux réunions et missions entreprises</w:t>
      </w:r>
    </w:p>
    <w:p w14:paraId="234EB680" w14:textId="403A93B0" w:rsidR="00EB0B6C" w:rsidRPr="00DD5FE9" w:rsidRDefault="00EB0B6C" w:rsidP="00EB0B6C">
      <w:pPr>
        <w:pStyle w:val="Heading1"/>
        <w:rPr>
          <w:lang w:val="fr-CA"/>
        </w:rPr>
      </w:pPr>
      <w:r w:rsidRPr="00EB0B6C">
        <w:rPr>
          <w:lang w:val="fr-FR"/>
        </w:rPr>
        <w:t>A cause de la pandémie de COVID-19, aucune mission n</w:t>
      </w:r>
      <w:r w:rsidR="008B69B1">
        <w:rPr>
          <w:lang w:val="fr-FR"/>
        </w:rPr>
        <w:t>’</w:t>
      </w:r>
      <w:r w:rsidRPr="00EB0B6C">
        <w:rPr>
          <w:lang w:val="fr-FR"/>
        </w:rPr>
        <w:t>a été entreprise.</w:t>
      </w:r>
      <w:r w:rsidRPr="00DD5FE9">
        <w:rPr>
          <w:lang w:val="fr-CA"/>
        </w:rPr>
        <w:t xml:space="preserve"> </w:t>
      </w:r>
    </w:p>
    <w:p w14:paraId="596917E4" w14:textId="46ED6C21" w:rsidR="00F9607B" w:rsidRPr="00EB0B6C" w:rsidRDefault="00EB0B6C" w:rsidP="00F9607B">
      <w:pPr>
        <w:rPr>
          <w:i/>
        </w:rPr>
      </w:pPr>
      <w:r w:rsidRPr="00EB0B6C">
        <w:rPr>
          <w:i/>
          <w:lang w:val="fr-FR"/>
        </w:rPr>
        <w:t>En virtuel, 6 mai 2021</w:t>
      </w:r>
    </w:p>
    <w:p w14:paraId="2FC66F8E" w14:textId="77777777" w:rsidR="00F9607B" w:rsidRPr="00B26C8D" w:rsidRDefault="00F9607B" w:rsidP="00F9607B"/>
    <w:p w14:paraId="4858746C" w14:textId="6868251F" w:rsidR="00813557" w:rsidRPr="00DD5FE9" w:rsidRDefault="00813557" w:rsidP="00813557">
      <w:pPr>
        <w:pStyle w:val="Heading1"/>
        <w:rPr>
          <w:lang w:val="fr-CA"/>
        </w:rPr>
      </w:pPr>
      <w:r w:rsidRPr="00813557">
        <w:rPr>
          <w:lang w:val="fr-FR"/>
        </w:rPr>
        <w:t xml:space="preserve">Le </w:t>
      </w:r>
      <w:r w:rsidR="00530D29">
        <w:rPr>
          <w:lang w:val="fr-FR"/>
        </w:rPr>
        <w:t>c</w:t>
      </w:r>
      <w:r w:rsidRPr="00813557">
        <w:rPr>
          <w:lang w:val="fr-FR"/>
        </w:rPr>
        <w:t>hef du Secrétariat et quatre administrateurs principaux chargés de la gestion des programmes ont participé à une réunion en ligne concernant un cadre et un plan de travail potentiels pour l</w:t>
      </w:r>
      <w:r w:rsidR="008B69B1">
        <w:rPr>
          <w:lang w:val="fr-FR"/>
        </w:rPr>
        <w:t>’</w:t>
      </w:r>
      <w:r w:rsidRPr="00813557">
        <w:rPr>
          <w:lang w:val="fr-FR"/>
        </w:rPr>
        <w:t xml:space="preserve">Amendement de Kigali avec les parties prenantes concernées, </w:t>
      </w:r>
      <w:r w:rsidRPr="00530D29">
        <w:rPr>
          <w:lang w:val="fr-FR"/>
        </w:rPr>
        <w:t xml:space="preserve">organisée par la </w:t>
      </w:r>
      <w:r w:rsidRPr="00530D29">
        <w:rPr>
          <w:color w:val="000000" w:themeColor="text1"/>
          <w:lang w:val="fr-FR"/>
        </w:rPr>
        <w:t>Coalition sur le climat et l</w:t>
      </w:r>
      <w:r w:rsidR="008B69B1" w:rsidRPr="00530D29">
        <w:rPr>
          <w:color w:val="000000" w:themeColor="text1"/>
          <w:lang w:val="fr-FR"/>
        </w:rPr>
        <w:t>’</w:t>
      </w:r>
      <w:r w:rsidRPr="00530D29">
        <w:rPr>
          <w:color w:val="000000" w:themeColor="text1"/>
          <w:lang w:val="fr-FR"/>
        </w:rPr>
        <w:t xml:space="preserve">air propre </w:t>
      </w:r>
      <w:r w:rsidRPr="00813557">
        <w:rPr>
          <w:color w:val="000000" w:themeColor="text1"/>
          <w:sz w:val="20"/>
          <w:szCs w:val="20"/>
          <w:lang w:val="fr-FR"/>
        </w:rPr>
        <w:t>(</w:t>
      </w:r>
      <w:r w:rsidRPr="00813557">
        <w:rPr>
          <w:lang w:val="fr-FR"/>
        </w:rPr>
        <w:t>CCAP).</w:t>
      </w:r>
    </w:p>
    <w:p w14:paraId="723E505A" w14:textId="3EAF23D6" w:rsidR="005E4D2F" w:rsidRPr="00813557" w:rsidRDefault="00813557" w:rsidP="005E4D2F">
      <w:pPr>
        <w:rPr>
          <w:i/>
        </w:rPr>
      </w:pPr>
      <w:r w:rsidRPr="00813557">
        <w:rPr>
          <w:i/>
          <w:lang w:val="fr-FR"/>
        </w:rPr>
        <w:t>En virtuel, 12 mai 2021</w:t>
      </w:r>
    </w:p>
    <w:p w14:paraId="5B9D70F3" w14:textId="77777777" w:rsidR="005E4D2F" w:rsidRPr="00B26C8D" w:rsidRDefault="005E4D2F" w:rsidP="005E4D2F"/>
    <w:p w14:paraId="085F0567" w14:textId="48880751" w:rsidR="00686E9B" w:rsidRPr="00DD5FE9" w:rsidRDefault="00686E9B" w:rsidP="00686E9B">
      <w:pPr>
        <w:pStyle w:val="Heading1"/>
        <w:rPr>
          <w:lang w:val="fr-CA"/>
        </w:rPr>
      </w:pPr>
      <w:r w:rsidRPr="00686E9B">
        <w:rPr>
          <w:lang w:val="fr-FR"/>
        </w:rPr>
        <w:t>Un administrateur principal chargé des programmes a participé à une réunion en ligne sur la préparation d</w:t>
      </w:r>
      <w:r w:rsidR="008B69B1">
        <w:rPr>
          <w:lang w:val="fr-FR"/>
        </w:rPr>
        <w:t>’</w:t>
      </w:r>
      <w:r w:rsidRPr="00686E9B">
        <w:rPr>
          <w:lang w:val="fr-FR"/>
        </w:rPr>
        <w:t>une stratégie portant sur le gel et la réduction progressive des HFC, organisée par le Réseau régional du Protocole de Montréal pour l</w:t>
      </w:r>
      <w:r w:rsidR="008B69B1">
        <w:rPr>
          <w:lang w:val="fr-FR"/>
        </w:rPr>
        <w:t>’</w:t>
      </w:r>
      <w:r w:rsidRPr="00686E9B">
        <w:rPr>
          <w:lang w:val="fr-FR"/>
        </w:rPr>
        <w:t>Europe et l</w:t>
      </w:r>
      <w:r w:rsidR="008B69B1">
        <w:rPr>
          <w:lang w:val="fr-FR"/>
        </w:rPr>
        <w:t>’</w:t>
      </w:r>
      <w:r w:rsidRPr="00686E9B">
        <w:rPr>
          <w:lang w:val="fr-FR"/>
        </w:rPr>
        <w:t>Asie centrale.</w:t>
      </w:r>
      <w:r w:rsidRPr="00DD5FE9">
        <w:rPr>
          <w:lang w:val="fr-CA"/>
        </w:rPr>
        <w:t xml:space="preserve"> </w:t>
      </w:r>
      <w:r w:rsidRPr="00686E9B">
        <w:rPr>
          <w:lang w:val="fr-FR"/>
        </w:rPr>
        <w:t>Le Secrétariat a présenté l</w:t>
      </w:r>
      <w:r w:rsidR="008B69B1">
        <w:rPr>
          <w:lang w:val="fr-FR"/>
        </w:rPr>
        <w:t>’</w:t>
      </w:r>
      <w:r w:rsidRPr="00686E9B">
        <w:rPr>
          <w:lang w:val="fr-FR"/>
        </w:rPr>
        <w:t>analyse des conséquences de la mise en œuvre en parallèle ou intégrée des activités d</w:t>
      </w:r>
      <w:r w:rsidR="008B69B1">
        <w:rPr>
          <w:lang w:val="fr-FR"/>
        </w:rPr>
        <w:t>’</w:t>
      </w:r>
      <w:r w:rsidRPr="00686E9B">
        <w:rPr>
          <w:lang w:val="fr-FR"/>
        </w:rPr>
        <w:t>élimination des HCFC et de réduction progressive des HFC</w:t>
      </w:r>
      <w:r w:rsidRPr="00686E9B">
        <w:rPr>
          <w:rStyle w:val="FootnoteReference"/>
        </w:rPr>
        <w:footnoteReference w:id="6"/>
      </w:r>
      <w:r w:rsidR="008B69B1">
        <w:rPr>
          <w:lang w:val="fr-FR"/>
        </w:rPr>
        <w:t>.</w:t>
      </w:r>
      <w:r w:rsidR="00530D29" w:rsidRPr="00DD5FE9">
        <w:rPr>
          <w:lang w:val="fr-CA"/>
        </w:rPr>
        <w:t xml:space="preserve"> </w:t>
      </w:r>
    </w:p>
    <w:p w14:paraId="09516192" w14:textId="6BCC2543" w:rsidR="00D87E22" w:rsidRPr="00686E9B" w:rsidRDefault="00686E9B" w:rsidP="00D87E22">
      <w:pPr>
        <w:rPr>
          <w:i/>
        </w:rPr>
      </w:pPr>
      <w:r w:rsidRPr="00686E9B">
        <w:rPr>
          <w:i/>
          <w:lang w:val="fr-FR"/>
        </w:rPr>
        <w:t>En virtuel, 21 mai 2021</w:t>
      </w:r>
    </w:p>
    <w:p w14:paraId="1218CF58" w14:textId="77777777" w:rsidR="00D87E22" w:rsidRDefault="00D87E22" w:rsidP="00D87E22"/>
    <w:p w14:paraId="325518D3" w14:textId="7E650AD9" w:rsidR="00530D29" w:rsidRDefault="00532C29" w:rsidP="00442353">
      <w:pPr>
        <w:pStyle w:val="Heading1"/>
        <w:rPr>
          <w:lang w:val="fr-FR"/>
        </w:rPr>
      </w:pPr>
      <w:r w:rsidRPr="00530D29">
        <w:rPr>
          <w:lang w:val="fr-FR"/>
        </w:rPr>
        <w:t>Le chef du Secrétariat et le chef</w:t>
      </w:r>
      <w:r w:rsidR="00530D29" w:rsidRPr="00530D29">
        <w:rPr>
          <w:lang w:val="fr-FR"/>
        </w:rPr>
        <w:t xml:space="preserve"> </w:t>
      </w:r>
      <w:r w:rsidRPr="00530D29">
        <w:rPr>
          <w:lang w:val="fr-FR"/>
        </w:rPr>
        <w:t>adjoint</w:t>
      </w:r>
      <w:r w:rsidR="00530D29">
        <w:rPr>
          <w:lang w:val="fr-FR"/>
        </w:rPr>
        <w:t>,</w:t>
      </w:r>
      <w:r w:rsidRPr="00530D29">
        <w:rPr>
          <w:lang w:val="fr-FR"/>
        </w:rPr>
        <w:t xml:space="preserve"> avec quatre administrateurs principaux chargés de la gestion des programmes et l</w:t>
      </w:r>
      <w:r w:rsidR="008B69B1" w:rsidRPr="00530D29">
        <w:rPr>
          <w:lang w:val="fr-FR"/>
        </w:rPr>
        <w:t>’</w:t>
      </w:r>
      <w:r w:rsidRPr="00530D29">
        <w:rPr>
          <w:lang w:val="fr-FR"/>
        </w:rPr>
        <w:t>administrateur principal chargé de la gestion administrative et financière, ont assisté à la quatrième Réunion extraordinaire des Parties au Protocole de Montréal.</w:t>
      </w:r>
    </w:p>
    <w:p w14:paraId="1937E5EB" w14:textId="4859A67E" w:rsidR="00442353" w:rsidRPr="00530D29" w:rsidRDefault="00532C29" w:rsidP="00530D29">
      <w:pPr>
        <w:pStyle w:val="Heading1"/>
        <w:numPr>
          <w:ilvl w:val="0"/>
          <w:numId w:val="0"/>
        </w:numPr>
        <w:rPr>
          <w:i/>
        </w:rPr>
      </w:pPr>
      <w:r w:rsidRPr="00530D29">
        <w:rPr>
          <w:i/>
          <w:lang w:val="fr-FR"/>
        </w:rPr>
        <w:t>En virtuel, 22 et 24 mai 2021</w:t>
      </w:r>
    </w:p>
    <w:p w14:paraId="36085B3F" w14:textId="6A4A1AC7" w:rsidR="00532C29" w:rsidRPr="00DD5FE9" w:rsidRDefault="00401870" w:rsidP="00401870">
      <w:pPr>
        <w:pStyle w:val="Heading1"/>
        <w:rPr>
          <w:lang w:val="fr-CA"/>
        </w:rPr>
      </w:pPr>
      <w:r w:rsidRPr="00401870">
        <w:rPr>
          <w:lang w:val="fr-FR"/>
        </w:rPr>
        <w:t xml:space="preserve">Le </w:t>
      </w:r>
      <w:r w:rsidR="00530D29">
        <w:rPr>
          <w:lang w:val="fr-FR"/>
        </w:rPr>
        <w:t>c</w:t>
      </w:r>
      <w:r w:rsidRPr="00401870">
        <w:rPr>
          <w:lang w:val="fr-FR"/>
        </w:rPr>
        <w:t>hef du Secrétariat et le chef adjoint</w:t>
      </w:r>
      <w:r w:rsidR="00530D29">
        <w:rPr>
          <w:lang w:val="fr-FR"/>
        </w:rPr>
        <w:t>,</w:t>
      </w:r>
      <w:r w:rsidRPr="00401870">
        <w:rPr>
          <w:lang w:val="fr-FR"/>
        </w:rPr>
        <w:t xml:space="preserve"> avec quatre administrateurs principaux chargés des programmes et l</w:t>
      </w:r>
      <w:r w:rsidR="008B69B1">
        <w:rPr>
          <w:lang w:val="fr-FR"/>
        </w:rPr>
        <w:t>’</w:t>
      </w:r>
      <w:r w:rsidRPr="00401870">
        <w:rPr>
          <w:lang w:val="fr-FR"/>
        </w:rPr>
        <w:t>administrateur principal chargé de la gestion administrative et financière, ont assisté à la réunion sur la reconstitution du Fonds multilatéral, dans le cadre de la 43</w:t>
      </w:r>
      <w:r w:rsidRPr="00401870">
        <w:rPr>
          <w:vertAlign w:val="superscript"/>
          <w:lang w:val="fr-FR"/>
        </w:rPr>
        <w:t>e</w:t>
      </w:r>
      <w:r w:rsidRPr="00401870">
        <w:rPr>
          <w:lang w:val="fr-FR"/>
        </w:rPr>
        <w:t xml:space="preserve"> réunion virtuelle du Groupe de travail à composition non limitée des Parties.</w:t>
      </w:r>
      <w:r w:rsidRPr="00DD5FE9">
        <w:rPr>
          <w:lang w:val="fr-CA"/>
        </w:rPr>
        <w:t xml:space="preserve"> </w:t>
      </w:r>
    </w:p>
    <w:p w14:paraId="4B2512D9" w14:textId="77777777" w:rsidR="00775610" w:rsidRDefault="00775610">
      <w:pPr>
        <w:jc w:val="left"/>
        <w:rPr>
          <w:b/>
          <w:lang w:val="fr-FR"/>
        </w:rPr>
      </w:pPr>
      <w:r>
        <w:rPr>
          <w:b/>
          <w:lang w:val="fr-FR"/>
        </w:rPr>
        <w:br w:type="page"/>
      </w:r>
    </w:p>
    <w:p w14:paraId="6B377993" w14:textId="7450644F" w:rsidR="00F72072" w:rsidRPr="00E54A90" w:rsidRDefault="00E54A90" w:rsidP="00E54A90">
      <w:pPr>
        <w:pStyle w:val="StyleHeader4Para4Left0Firstline0"/>
        <w:numPr>
          <w:ilvl w:val="0"/>
          <w:numId w:val="0"/>
        </w:numPr>
        <w:rPr>
          <w:b/>
          <w:sz w:val="22"/>
        </w:rPr>
      </w:pPr>
      <w:r w:rsidRPr="00E54A90">
        <w:rPr>
          <w:b/>
          <w:sz w:val="22"/>
          <w:lang w:val="fr-FR"/>
        </w:rPr>
        <w:lastRenderedPageBreak/>
        <w:t>Réunion de coordination interagences</w:t>
      </w:r>
    </w:p>
    <w:p w14:paraId="40F10C5B" w14:textId="4BA9A323" w:rsidR="00C27696" w:rsidRDefault="00E54A90" w:rsidP="00E54A90">
      <w:pPr>
        <w:pStyle w:val="Heading1"/>
        <w:rPr>
          <w:lang w:val="fr-FR"/>
        </w:rPr>
      </w:pPr>
      <w:r w:rsidRPr="00E54A90">
        <w:rPr>
          <w:lang w:val="fr-FR"/>
        </w:rPr>
        <w:t>Comme la pandémie de COVID-19 continue d</w:t>
      </w:r>
      <w:r w:rsidR="008B69B1">
        <w:rPr>
          <w:lang w:val="fr-FR"/>
        </w:rPr>
        <w:t>’</w:t>
      </w:r>
      <w:r w:rsidRPr="00E54A90">
        <w:rPr>
          <w:lang w:val="fr-FR"/>
        </w:rPr>
        <w:t>avoir un impact sur le travail du Secrétariat, à la fois en termes de temps et de charge de travail, le Secrétariat n</w:t>
      </w:r>
      <w:r w:rsidR="008B69B1">
        <w:rPr>
          <w:lang w:val="fr-FR"/>
        </w:rPr>
        <w:t>’</w:t>
      </w:r>
      <w:r w:rsidRPr="00E54A90">
        <w:rPr>
          <w:lang w:val="fr-FR"/>
        </w:rPr>
        <w:t>a pas été en mesure de convoquer une réunion de</w:t>
      </w:r>
      <w:r w:rsidR="00530D29">
        <w:rPr>
          <w:lang w:val="fr-FR"/>
        </w:rPr>
        <w:t xml:space="preserve"> </w:t>
      </w:r>
      <w:r w:rsidRPr="00E54A90">
        <w:rPr>
          <w:lang w:val="fr-FR"/>
        </w:rPr>
        <w:t>coordination inter-agences.</w:t>
      </w:r>
      <w:r w:rsidRPr="00DD5FE9">
        <w:rPr>
          <w:lang w:val="fr-CA"/>
        </w:rPr>
        <w:t xml:space="preserve"> </w:t>
      </w:r>
      <w:r w:rsidRPr="00E54A90">
        <w:rPr>
          <w:lang w:val="fr-FR"/>
        </w:rPr>
        <w:t xml:space="preserve">Le Secrétariat </w:t>
      </w:r>
      <w:r w:rsidR="00530D29">
        <w:rPr>
          <w:lang w:val="fr-FR"/>
        </w:rPr>
        <w:t>tient toutefois à noter q</w:t>
      </w:r>
      <w:r w:rsidRPr="00E54A90">
        <w:rPr>
          <w:lang w:val="fr-FR"/>
        </w:rPr>
        <w:t>ue tous les documents préparés pour la 87</w:t>
      </w:r>
      <w:r w:rsidRPr="00E54A90">
        <w:rPr>
          <w:vertAlign w:val="superscript"/>
          <w:lang w:val="fr-FR"/>
        </w:rPr>
        <w:t>e</w:t>
      </w:r>
      <w:r w:rsidRPr="00E54A90">
        <w:rPr>
          <w:lang w:val="fr-FR"/>
        </w:rPr>
        <w:t xml:space="preserve"> réunion sont le résultat d</w:t>
      </w:r>
      <w:r w:rsidR="008B69B1">
        <w:rPr>
          <w:lang w:val="fr-FR"/>
        </w:rPr>
        <w:t>’</w:t>
      </w:r>
      <w:r w:rsidRPr="00E54A90">
        <w:rPr>
          <w:lang w:val="fr-FR"/>
        </w:rPr>
        <w:t>une coopération continue des agences bilatérales et d</w:t>
      </w:r>
      <w:r w:rsidR="008B69B1">
        <w:rPr>
          <w:lang w:val="fr-FR"/>
        </w:rPr>
        <w:t>’</w:t>
      </w:r>
      <w:r w:rsidRPr="00E54A90">
        <w:rPr>
          <w:lang w:val="fr-FR"/>
        </w:rPr>
        <w:t>exécution au cours du processus d</w:t>
      </w:r>
      <w:r w:rsidR="008B69B1">
        <w:rPr>
          <w:lang w:val="fr-FR"/>
        </w:rPr>
        <w:t>’</w:t>
      </w:r>
      <w:r w:rsidRPr="00E54A90">
        <w:rPr>
          <w:lang w:val="fr-FR"/>
        </w:rPr>
        <w:t>examen durant lequel toutes les questions complexes ont été discutées en détail et résolues de manière satisfaisante, permettant d</w:t>
      </w:r>
      <w:r w:rsidR="008B69B1">
        <w:rPr>
          <w:lang w:val="fr-FR"/>
        </w:rPr>
        <w:t>’</w:t>
      </w:r>
      <w:r w:rsidRPr="00E54A90">
        <w:rPr>
          <w:lang w:val="fr-FR"/>
        </w:rPr>
        <w:t>atteindre un accord mutuel.</w:t>
      </w:r>
    </w:p>
    <w:p w14:paraId="55AAC5BD" w14:textId="77777777" w:rsidR="00C27696" w:rsidRPr="00B8199C" w:rsidRDefault="00C27696" w:rsidP="00C27696">
      <w:pPr>
        <w:pStyle w:val="Heading1"/>
        <w:keepNext/>
        <w:numPr>
          <w:ilvl w:val="0"/>
          <w:numId w:val="0"/>
        </w:numPr>
        <w:rPr>
          <w:b/>
          <w:color w:val="000000" w:themeColor="text1"/>
          <w:lang w:val="fr-CA"/>
        </w:rPr>
      </w:pPr>
      <w:r w:rsidRPr="00B8199C">
        <w:rPr>
          <w:b/>
          <w:color w:val="000000" w:themeColor="text1"/>
          <w:lang w:val="fr-CA"/>
        </w:rPr>
        <w:t>Dotation en personnel et recrutement</w:t>
      </w:r>
    </w:p>
    <w:p w14:paraId="428FE757" w14:textId="1EE7C65A" w:rsidR="00E54A90" w:rsidRPr="00DD5FE9" w:rsidRDefault="005E308B" w:rsidP="005E308B">
      <w:pPr>
        <w:pStyle w:val="Heading1"/>
        <w:rPr>
          <w:color w:val="000000" w:themeColor="text1"/>
          <w:lang w:val="fr-CA"/>
        </w:rPr>
      </w:pPr>
      <w:r w:rsidRPr="005E308B">
        <w:rPr>
          <w:color w:val="000000" w:themeColor="text1"/>
          <w:lang w:val="fr-FR"/>
        </w:rPr>
        <w:t>Le processus de sélection pour le poste d</w:t>
      </w:r>
      <w:r w:rsidR="008B69B1">
        <w:rPr>
          <w:color w:val="000000" w:themeColor="text1"/>
          <w:lang w:val="fr-FR"/>
        </w:rPr>
        <w:t>’</w:t>
      </w:r>
      <w:r w:rsidRPr="005E308B">
        <w:rPr>
          <w:color w:val="000000" w:themeColor="text1"/>
          <w:lang w:val="fr-FR"/>
        </w:rPr>
        <w:t>administrateur principal chargé du suivi et évaluation (P-5)</w:t>
      </w:r>
      <w:r w:rsidR="00530D29">
        <w:rPr>
          <w:color w:val="000000" w:themeColor="text1"/>
          <w:lang w:val="fr-FR"/>
        </w:rPr>
        <w:t xml:space="preserve"> </w:t>
      </w:r>
      <w:r w:rsidRPr="005E308B">
        <w:rPr>
          <w:color w:val="000000" w:themeColor="text1"/>
          <w:lang w:val="fr-FR"/>
        </w:rPr>
        <w:t>a été finalisé, avec la sélection de Mme Nuria Castells Cabre qui entrera en fonction à partir d</w:t>
      </w:r>
      <w:r w:rsidR="008B69B1">
        <w:rPr>
          <w:color w:val="000000" w:themeColor="text1"/>
          <w:lang w:val="fr-FR"/>
        </w:rPr>
        <w:t>’</w:t>
      </w:r>
      <w:r w:rsidRPr="005E308B">
        <w:rPr>
          <w:color w:val="000000" w:themeColor="text1"/>
          <w:lang w:val="fr-FR"/>
        </w:rPr>
        <w:t>août 2021.</w:t>
      </w:r>
      <w:r w:rsidRPr="00DD5FE9">
        <w:rPr>
          <w:color w:val="000000" w:themeColor="text1"/>
          <w:lang w:val="fr-CA"/>
        </w:rPr>
        <w:t xml:space="preserve"> </w:t>
      </w:r>
    </w:p>
    <w:p w14:paraId="0A8879CE" w14:textId="564F6A99" w:rsidR="005E308B" w:rsidRPr="00DD5FE9" w:rsidRDefault="005E308B" w:rsidP="005E308B">
      <w:pPr>
        <w:pStyle w:val="Heading1"/>
        <w:rPr>
          <w:color w:val="000000" w:themeColor="text1"/>
          <w:lang w:val="fr-CA"/>
        </w:rPr>
      </w:pPr>
      <w:r w:rsidRPr="005E308B">
        <w:rPr>
          <w:color w:val="000000" w:themeColor="text1"/>
          <w:lang w:val="fr-FR"/>
        </w:rPr>
        <w:t>Le recrutement et les dispositions contractuelles concernant les traducteurs chargés d</w:t>
      </w:r>
      <w:r w:rsidR="008B69B1">
        <w:rPr>
          <w:color w:val="000000" w:themeColor="text1"/>
          <w:lang w:val="fr-FR"/>
        </w:rPr>
        <w:t>’</w:t>
      </w:r>
      <w:r w:rsidRPr="005E308B">
        <w:rPr>
          <w:color w:val="000000" w:themeColor="text1"/>
          <w:lang w:val="fr-FR"/>
        </w:rPr>
        <w:t>aider à la traduction des documents pour la 87</w:t>
      </w:r>
      <w:r w:rsidRPr="005E308B">
        <w:rPr>
          <w:color w:val="000000" w:themeColor="text1"/>
          <w:vertAlign w:val="superscript"/>
          <w:lang w:val="fr-FR"/>
        </w:rPr>
        <w:t>e</w:t>
      </w:r>
      <w:r w:rsidRPr="005E308B">
        <w:rPr>
          <w:color w:val="000000" w:themeColor="text1"/>
          <w:lang w:val="fr-FR"/>
        </w:rPr>
        <w:t xml:space="preserve"> réunion ont été finalisés.</w:t>
      </w:r>
      <w:r w:rsidRPr="00DD5FE9">
        <w:rPr>
          <w:color w:val="000000" w:themeColor="text1"/>
          <w:lang w:val="fr-CA"/>
        </w:rPr>
        <w:t xml:space="preserve"> </w:t>
      </w:r>
      <w:r w:rsidRPr="005E308B">
        <w:rPr>
          <w:color w:val="000000" w:themeColor="text1"/>
          <w:lang w:val="fr-FR"/>
        </w:rPr>
        <w:t>Les arrangements contractuels pour les interprètes et les rédacteurs du rapport de la 87</w:t>
      </w:r>
      <w:r w:rsidRPr="005E308B">
        <w:rPr>
          <w:color w:val="000000" w:themeColor="text1"/>
          <w:vertAlign w:val="superscript"/>
          <w:lang w:val="fr-FR"/>
        </w:rPr>
        <w:t>e</w:t>
      </w:r>
      <w:r w:rsidRPr="005E308B">
        <w:rPr>
          <w:color w:val="000000" w:themeColor="text1"/>
          <w:lang w:val="fr-FR"/>
        </w:rPr>
        <w:t xml:space="preserve"> réunion ont été coordonnés avec l</w:t>
      </w:r>
      <w:r w:rsidR="008B69B1">
        <w:rPr>
          <w:color w:val="000000" w:themeColor="text1"/>
          <w:lang w:val="fr-FR"/>
        </w:rPr>
        <w:t>’</w:t>
      </w:r>
      <w:r w:rsidRPr="005E308B">
        <w:rPr>
          <w:color w:val="000000" w:themeColor="text1"/>
          <w:lang w:val="fr-FR"/>
        </w:rPr>
        <w:t>Office des Nations Unies à Nairobi.</w:t>
      </w:r>
      <w:r w:rsidRPr="00DD5FE9">
        <w:rPr>
          <w:color w:val="000000" w:themeColor="text1"/>
          <w:lang w:val="fr-CA"/>
        </w:rPr>
        <w:t> </w:t>
      </w:r>
    </w:p>
    <w:p w14:paraId="27C833BF" w14:textId="11097CFF" w:rsidR="00442353" w:rsidRPr="005E308B" w:rsidRDefault="005E308B" w:rsidP="005E308B">
      <w:pPr>
        <w:pStyle w:val="Heading1"/>
        <w:keepNext/>
        <w:numPr>
          <w:ilvl w:val="0"/>
          <w:numId w:val="0"/>
        </w:numPr>
        <w:rPr>
          <w:b/>
          <w:color w:val="000000" w:themeColor="text1"/>
        </w:rPr>
      </w:pPr>
      <w:r w:rsidRPr="005E308B">
        <w:rPr>
          <w:b/>
          <w:color w:val="000000" w:themeColor="text1"/>
          <w:lang w:val="fr-FR"/>
        </w:rPr>
        <w:t>Formation et perfectionnement du personnel</w:t>
      </w:r>
    </w:p>
    <w:p w14:paraId="09135375" w14:textId="18CD6CCC" w:rsidR="005E308B" w:rsidRPr="00DD5FE9" w:rsidRDefault="005E308B" w:rsidP="005E308B">
      <w:pPr>
        <w:pStyle w:val="Heading1"/>
        <w:tabs>
          <w:tab w:val="clear" w:pos="0"/>
        </w:tabs>
        <w:rPr>
          <w:color w:val="000000" w:themeColor="text1"/>
          <w:lang w:val="fr-CA"/>
        </w:rPr>
      </w:pPr>
      <w:r w:rsidRPr="005E308B">
        <w:rPr>
          <w:color w:val="000000" w:themeColor="text1"/>
          <w:lang w:val="fr-FR"/>
        </w:rPr>
        <w:t>Tous les membres du personnel ont suivi un certain nombre de cours de formation en ligne obligatoires de l</w:t>
      </w:r>
      <w:r w:rsidR="008B69B1">
        <w:rPr>
          <w:color w:val="000000" w:themeColor="text1"/>
          <w:lang w:val="fr-FR"/>
        </w:rPr>
        <w:t>’</w:t>
      </w:r>
      <w:r w:rsidRPr="005E308B">
        <w:rPr>
          <w:color w:val="000000" w:themeColor="text1"/>
          <w:lang w:val="fr-FR"/>
        </w:rPr>
        <w:t>ONU.</w:t>
      </w:r>
      <w:r w:rsidRPr="00DD5FE9">
        <w:rPr>
          <w:color w:val="000000" w:themeColor="text1"/>
          <w:lang w:val="fr-CA"/>
        </w:rPr>
        <w:t xml:space="preserve"> </w:t>
      </w:r>
      <w:r w:rsidRPr="005E308B">
        <w:rPr>
          <w:color w:val="000000" w:themeColor="text1"/>
          <w:lang w:val="fr-FR"/>
        </w:rPr>
        <w:t>Un administrateur principal de programme s</w:t>
      </w:r>
      <w:r w:rsidR="008B69B1">
        <w:rPr>
          <w:color w:val="000000" w:themeColor="text1"/>
          <w:lang w:val="fr-FR"/>
        </w:rPr>
        <w:t>’</w:t>
      </w:r>
      <w:r w:rsidRPr="005E308B">
        <w:rPr>
          <w:color w:val="000000" w:themeColor="text1"/>
          <w:lang w:val="fr-FR"/>
        </w:rPr>
        <w:t>est porté volontaire pour participer à un groupe ad hoc du PNUE contre le racisme.</w:t>
      </w:r>
    </w:p>
    <w:p w14:paraId="3C187339" w14:textId="0A47D529" w:rsidR="005E308B" w:rsidRPr="00DD5FE9" w:rsidRDefault="005E308B" w:rsidP="005E308B">
      <w:pPr>
        <w:pStyle w:val="Heading1"/>
        <w:rPr>
          <w:lang w:val="fr-CA"/>
        </w:rPr>
      </w:pPr>
      <w:r w:rsidRPr="005E308B">
        <w:rPr>
          <w:lang w:val="fr-FR"/>
        </w:rPr>
        <w:t>Plusieurs administrateurs principaux chargés de la gestion des programmes ont participé aux séminaires en ligne suivants :</w:t>
      </w:r>
    </w:p>
    <w:p w14:paraId="3AE5B38D" w14:textId="1BE5ABC1" w:rsidR="00550AB0" w:rsidRPr="00DD5FE9" w:rsidRDefault="00550AB0" w:rsidP="00550AB0">
      <w:pPr>
        <w:pStyle w:val="ListParagraph"/>
        <w:numPr>
          <w:ilvl w:val="0"/>
          <w:numId w:val="24"/>
        </w:numPr>
        <w:spacing w:after="240"/>
        <w:ind w:left="1440" w:hanging="720"/>
        <w:contextualSpacing w:val="0"/>
        <w:rPr>
          <w:lang w:val="fr-CA"/>
        </w:rPr>
      </w:pPr>
      <w:r w:rsidRPr="00550AB0">
        <w:rPr>
          <w:lang w:val="fr-FR"/>
        </w:rPr>
        <w:t>Intégration de l</w:t>
      </w:r>
      <w:r w:rsidR="008B69B1">
        <w:rPr>
          <w:lang w:val="fr-FR"/>
        </w:rPr>
        <w:t>’</w:t>
      </w:r>
      <w:r w:rsidRPr="00550AB0">
        <w:rPr>
          <w:lang w:val="fr-FR"/>
        </w:rPr>
        <w:t>égalité hommes-femmes dans le cadre des activités du Protocole de Montréal, organisé par le PNUD</w:t>
      </w:r>
    </w:p>
    <w:p w14:paraId="18E3B3A1" w14:textId="1370B509" w:rsidR="00550AB0" w:rsidRPr="00DD5FE9" w:rsidRDefault="00550AB0" w:rsidP="00550AB0">
      <w:pPr>
        <w:pStyle w:val="ListParagraph"/>
        <w:numPr>
          <w:ilvl w:val="0"/>
          <w:numId w:val="24"/>
        </w:numPr>
        <w:spacing w:after="240"/>
        <w:ind w:left="1440" w:hanging="720"/>
        <w:contextualSpacing w:val="0"/>
        <w:rPr>
          <w:lang w:val="fr-CA"/>
        </w:rPr>
      </w:pPr>
      <w:r w:rsidRPr="00550AB0">
        <w:rPr>
          <w:lang w:val="fr-FR"/>
        </w:rPr>
        <w:t>Perspectives en matière de refroidissement :</w:t>
      </w:r>
      <w:r w:rsidRPr="00DD5FE9">
        <w:rPr>
          <w:lang w:val="fr-CA"/>
        </w:rPr>
        <w:t xml:space="preserve"> </w:t>
      </w:r>
      <w:r w:rsidRPr="00550AB0">
        <w:rPr>
          <w:lang w:val="fr-FR"/>
        </w:rPr>
        <w:t>Suivi du refroidissement durable pour</w:t>
      </w:r>
      <w:r>
        <w:rPr>
          <w:lang w:val="fr-FR"/>
        </w:rPr>
        <w:t xml:space="preserve"> tous</w:t>
      </w:r>
      <w:r w:rsidRPr="00550AB0">
        <w:rPr>
          <w:lang w:val="fr-FR"/>
        </w:rPr>
        <w:t xml:space="preserve"> 2021</w:t>
      </w:r>
      <w:r>
        <w:rPr>
          <w:lang w:val="fr-FR"/>
        </w:rPr>
        <w:t xml:space="preserve">, organisé par </w:t>
      </w:r>
      <w:r w:rsidR="00E57899">
        <w:rPr>
          <w:lang w:val="fr-FR"/>
        </w:rPr>
        <w:t>Énergie durable pour tous</w:t>
      </w:r>
      <w:r w:rsidRPr="00DD5FE9">
        <w:rPr>
          <w:lang w:val="fr-CA"/>
        </w:rPr>
        <w:t xml:space="preserve"> </w:t>
      </w:r>
    </w:p>
    <w:p w14:paraId="25726F8A" w14:textId="05EFEE55" w:rsidR="00550AB0" w:rsidRPr="00DD5FE9" w:rsidRDefault="00530D29" w:rsidP="00550AB0">
      <w:pPr>
        <w:pStyle w:val="ListParagraph"/>
        <w:numPr>
          <w:ilvl w:val="0"/>
          <w:numId w:val="24"/>
        </w:numPr>
        <w:spacing w:after="240"/>
        <w:ind w:left="1440" w:hanging="720"/>
        <w:contextualSpacing w:val="0"/>
        <w:rPr>
          <w:lang w:val="fr-CA"/>
        </w:rPr>
      </w:pPr>
      <w:r w:rsidRPr="00550AB0">
        <w:rPr>
          <w:lang w:val="fr-FR"/>
        </w:rPr>
        <w:t>Dé</w:t>
      </w:r>
      <w:r>
        <w:rPr>
          <w:lang w:val="fr-FR"/>
        </w:rPr>
        <w:t xml:space="preserve">brouillement </w:t>
      </w:r>
      <w:r w:rsidR="00550AB0" w:rsidRPr="00550AB0">
        <w:rPr>
          <w:lang w:val="fr-FR"/>
        </w:rPr>
        <w:t>des résultats :</w:t>
      </w:r>
      <w:r w:rsidR="00550AB0" w:rsidRPr="00DD5FE9">
        <w:rPr>
          <w:lang w:val="fr-CA"/>
        </w:rPr>
        <w:t xml:space="preserve"> </w:t>
      </w:r>
      <w:r w:rsidR="00550AB0" w:rsidRPr="00550AB0">
        <w:rPr>
          <w:lang w:val="fr-FR"/>
        </w:rPr>
        <w:t xml:space="preserve">Récapitulatif du </w:t>
      </w:r>
      <w:r>
        <w:rPr>
          <w:lang w:val="fr-FR"/>
        </w:rPr>
        <w:t>S</w:t>
      </w:r>
      <w:r w:rsidR="00550AB0" w:rsidRPr="00550AB0">
        <w:rPr>
          <w:lang w:val="fr-FR"/>
        </w:rPr>
        <w:t>ommet sur le climat organisé par les Conseillers en matière de finance climatique à l</w:t>
      </w:r>
      <w:r w:rsidR="008B69B1">
        <w:rPr>
          <w:lang w:val="fr-FR"/>
        </w:rPr>
        <w:t>’</w:t>
      </w:r>
      <w:r w:rsidR="00550AB0" w:rsidRPr="00550AB0">
        <w:rPr>
          <w:lang w:val="fr-FR"/>
        </w:rPr>
        <w:t>occasion de la Journée de la Terre</w:t>
      </w:r>
    </w:p>
    <w:p w14:paraId="1186D7B3" w14:textId="1AE61706" w:rsidR="00047BAB" w:rsidRPr="00DD5FE9" w:rsidRDefault="00550AB0" w:rsidP="00047BAB">
      <w:pPr>
        <w:pStyle w:val="ListParagraph"/>
        <w:numPr>
          <w:ilvl w:val="0"/>
          <w:numId w:val="24"/>
        </w:numPr>
        <w:spacing w:after="240"/>
        <w:ind w:left="1440" w:hanging="720"/>
        <w:contextualSpacing w:val="0"/>
        <w:rPr>
          <w:lang w:val="fr-CA"/>
        </w:rPr>
      </w:pPr>
      <w:r w:rsidRPr="00550AB0">
        <w:rPr>
          <w:lang w:val="fr-FR"/>
        </w:rPr>
        <w:t>Entretien des systèmes avec frigorigènes</w:t>
      </w:r>
      <w:r w:rsidR="00530D29">
        <w:rPr>
          <w:lang w:val="fr-FR"/>
        </w:rPr>
        <w:t xml:space="preserve"> </w:t>
      </w:r>
      <w:r w:rsidRPr="00550AB0">
        <w:rPr>
          <w:lang w:val="fr-FR"/>
        </w:rPr>
        <w:t>A2L, organisé par l</w:t>
      </w:r>
      <w:r w:rsidR="008B69B1">
        <w:rPr>
          <w:lang w:val="fr-FR"/>
        </w:rPr>
        <w:t>’</w:t>
      </w:r>
      <w:r w:rsidRPr="00550AB0">
        <w:rPr>
          <w:lang w:val="fr-FR"/>
        </w:rPr>
        <w:t>Institut de la climatisation, du chauffage et de la réfrigération</w:t>
      </w:r>
      <w:r w:rsidR="00047BAB">
        <w:rPr>
          <w:lang w:val="fr-FR"/>
        </w:rPr>
        <w:t>.</w:t>
      </w:r>
    </w:p>
    <w:p w14:paraId="7D0DB13C" w14:textId="1D104471" w:rsidR="00047BAB" w:rsidRPr="00DD5FE9" w:rsidRDefault="00047BAB" w:rsidP="00047BAB">
      <w:pPr>
        <w:pStyle w:val="ListParagraph"/>
        <w:numPr>
          <w:ilvl w:val="0"/>
          <w:numId w:val="24"/>
        </w:numPr>
        <w:spacing w:after="240"/>
        <w:ind w:left="1440" w:hanging="720"/>
        <w:contextualSpacing w:val="0"/>
        <w:rPr>
          <w:lang w:val="fr-CA"/>
        </w:rPr>
      </w:pPr>
      <w:r w:rsidRPr="007046B0">
        <w:rPr>
          <w:lang w:val="fr-FR"/>
        </w:rPr>
        <w:t>Un marché brû</w:t>
      </w:r>
      <w:r>
        <w:rPr>
          <w:lang w:val="fr-FR"/>
        </w:rPr>
        <w:t>lant</w:t>
      </w:r>
      <w:r w:rsidRPr="007046B0">
        <w:rPr>
          <w:lang w:val="fr-FR"/>
        </w:rPr>
        <w:t xml:space="preserve"> pour le refroidissement durable, organisé par l'Agence internationale pour les énergies renouvelables, le PNUE et </w:t>
      </w:r>
      <w:r>
        <w:rPr>
          <w:lang w:val="fr-FR"/>
        </w:rPr>
        <w:t>Énergie durable pour tous</w:t>
      </w:r>
      <w:r w:rsidR="00530D29">
        <w:rPr>
          <w:lang w:val="fr-FR"/>
        </w:rPr>
        <w:t xml:space="preserve"> </w:t>
      </w:r>
    </w:p>
    <w:p w14:paraId="5F1C64F0" w14:textId="39BC31DB" w:rsidR="00442353" w:rsidRPr="00DD5FE9" w:rsidRDefault="00550AB0" w:rsidP="00550AB0">
      <w:pPr>
        <w:pStyle w:val="Heading1"/>
        <w:keepNext/>
        <w:numPr>
          <w:ilvl w:val="0"/>
          <w:numId w:val="0"/>
        </w:numPr>
        <w:rPr>
          <w:b/>
          <w:color w:val="000000" w:themeColor="text1"/>
          <w:lang w:val="fr-CA"/>
        </w:rPr>
      </w:pPr>
      <w:r w:rsidRPr="00550AB0">
        <w:rPr>
          <w:b/>
          <w:color w:val="000000" w:themeColor="text1"/>
          <w:lang w:val="fr-FR"/>
        </w:rPr>
        <w:t>Coopération avec d</w:t>
      </w:r>
      <w:r w:rsidR="008B69B1">
        <w:rPr>
          <w:b/>
          <w:color w:val="000000" w:themeColor="text1"/>
          <w:lang w:val="fr-FR"/>
        </w:rPr>
        <w:t>’</w:t>
      </w:r>
      <w:r w:rsidRPr="00550AB0">
        <w:rPr>
          <w:b/>
          <w:color w:val="000000" w:themeColor="text1"/>
          <w:lang w:val="fr-FR"/>
        </w:rPr>
        <w:t>autres accords environnementaux multilatéraux (AEM) et autres organisations</w:t>
      </w:r>
    </w:p>
    <w:p w14:paraId="2940213B" w14:textId="4F28D404" w:rsidR="00550AB0" w:rsidRPr="00DD5FE9" w:rsidRDefault="00550AB0" w:rsidP="00550AB0">
      <w:pPr>
        <w:pStyle w:val="Heading1"/>
        <w:tabs>
          <w:tab w:val="clear" w:pos="0"/>
        </w:tabs>
        <w:rPr>
          <w:color w:val="000000" w:themeColor="text1"/>
          <w:lang w:val="fr-CA"/>
        </w:rPr>
      </w:pPr>
      <w:r w:rsidRPr="00550AB0">
        <w:rPr>
          <w:color w:val="000000" w:themeColor="text1"/>
          <w:lang w:val="fr-FR"/>
        </w:rPr>
        <w:t>Conformément à la décision 79/1(b), le Secrétariat a inclus une vue d</w:t>
      </w:r>
      <w:r w:rsidR="008B69B1">
        <w:rPr>
          <w:color w:val="000000" w:themeColor="text1"/>
          <w:lang w:val="fr-FR"/>
        </w:rPr>
        <w:t>’</w:t>
      </w:r>
      <w:r w:rsidRPr="00550AB0">
        <w:rPr>
          <w:color w:val="000000" w:themeColor="text1"/>
          <w:lang w:val="fr-FR"/>
        </w:rPr>
        <w:t>ensemble complète du statut de toutes les discussions avec les A</w:t>
      </w:r>
      <w:r w:rsidR="00530D29">
        <w:rPr>
          <w:color w:val="000000" w:themeColor="text1"/>
          <w:lang w:val="fr-FR"/>
        </w:rPr>
        <w:t>EM</w:t>
      </w:r>
      <w:r w:rsidRPr="00550AB0">
        <w:rPr>
          <w:color w:val="000000" w:themeColor="text1"/>
          <w:lang w:val="fr-FR"/>
        </w:rPr>
        <w:t xml:space="preserve"> et d</w:t>
      </w:r>
      <w:r w:rsidR="008B69B1">
        <w:rPr>
          <w:color w:val="000000" w:themeColor="text1"/>
          <w:lang w:val="fr-FR"/>
        </w:rPr>
        <w:t>’</w:t>
      </w:r>
      <w:r w:rsidRPr="00550AB0">
        <w:rPr>
          <w:color w:val="000000" w:themeColor="text1"/>
          <w:lang w:val="fr-FR"/>
        </w:rPr>
        <w:t>autres organisations concernées</w:t>
      </w:r>
      <w:r w:rsidR="00530D29">
        <w:rPr>
          <w:color w:val="000000" w:themeColor="text1"/>
          <w:lang w:val="fr-FR"/>
        </w:rPr>
        <w:t>, figurant</w:t>
      </w:r>
      <w:r w:rsidRPr="00550AB0">
        <w:rPr>
          <w:color w:val="000000" w:themeColor="text1"/>
          <w:lang w:val="fr-FR"/>
        </w:rPr>
        <w:t xml:space="preserve"> à l</w:t>
      </w:r>
      <w:r w:rsidR="008B69B1">
        <w:rPr>
          <w:color w:val="000000" w:themeColor="text1"/>
          <w:lang w:val="fr-FR"/>
        </w:rPr>
        <w:t>’</w:t>
      </w:r>
      <w:r w:rsidRPr="00550AB0">
        <w:rPr>
          <w:color w:val="000000" w:themeColor="text1"/>
          <w:lang w:val="fr-FR"/>
        </w:rPr>
        <w:t xml:space="preserve">annexe I </w:t>
      </w:r>
      <w:r w:rsidR="00530D29">
        <w:rPr>
          <w:color w:val="000000" w:themeColor="text1"/>
          <w:lang w:val="fr-FR"/>
        </w:rPr>
        <w:t>a</w:t>
      </w:r>
      <w:r w:rsidRPr="00550AB0">
        <w:rPr>
          <w:color w:val="000000" w:themeColor="text1"/>
          <w:lang w:val="fr-FR"/>
        </w:rPr>
        <w:t>u présent document.</w:t>
      </w:r>
    </w:p>
    <w:p w14:paraId="49F15849" w14:textId="3B2C11A7" w:rsidR="00442353" w:rsidRPr="00DD5FE9" w:rsidRDefault="00550AB0" w:rsidP="00DD5FE9">
      <w:pPr>
        <w:keepNext/>
        <w:keepLines/>
        <w:spacing w:after="240"/>
        <w:rPr>
          <w:u w:val="single"/>
          <w:lang w:val="fr-CA"/>
        </w:rPr>
      </w:pPr>
      <w:r w:rsidRPr="00550AB0">
        <w:rPr>
          <w:u w:val="single"/>
          <w:lang w:val="fr-FR"/>
        </w:rPr>
        <w:lastRenderedPageBreak/>
        <w:t>Accord environnemental multilatéral</w:t>
      </w:r>
    </w:p>
    <w:p w14:paraId="5D4E2AD2" w14:textId="3561022F" w:rsidR="00442353" w:rsidRPr="00DD5FE9" w:rsidRDefault="00550AB0" w:rsidP="00DD5FE9">
      <w:pPr>
        <w:keepNext/>
        <w:keepLines/>
        <w:spacing w:after="240"/>
        <w:rPr>
          <w:rStyle w:val="normalchar"/>
          <w:i/>
          <w:color w:val="000000" w:themeColor="text1"/>
          <w:lang w:val="fr-CA"/>
        </w:rPr>
      </w:pPr>
      <w:r w:rsidRPr="00550AB0">
        <w:rPr>
          <w:rStyle w:val="normalchar"/>
          <w:i/>
          <w:color w:val="000000" w:themeColor="text1"/>
          <w:lang w:val="fr-FR"/>
        </w:rPr>
        <w:t>Protocole de Montréal</w:t>
      </w:r>
    </w:p>
    <w:p w14:paraId="227EFB00" w14:textId="67B158AC" w:rsidR="00550AB0" w:rsidRPr="00DD5FE9" w:rsidRDefault="00550AB0" w:rsidP="00550AB0">
      <w:pPr>
        <w:pStyle w:val="Heading1"/>
        <w:tabs>
          <w:tab w:val="clear" w:pos="0"/>
        </w:tabs>
        <w:rPr>
          <w:lang w:val="fr-CA"/>
        </w:rPr>
      </w:pPr>
      <w:r w:rsidRPr="00550AB0">
        <w:rPr>
          <w:lang w:val="fr-FR"/>
        </w:rPr>
        <w:t>À la demande de l</w:t>
      </w:r>
      <w:r w:rsidR="008B69B1">
        <w:rPr>
          <w:lang w:val="fr-FR"/>
        </w:rPr>
        <w:t>’</w:t>
      </w:r>
      <w:r w:rsidRPr="00550AB0">
        <w:rPr>
          <w:lang w:val="fr-FR"/>
        </w:rPr>
        <w:t>équipe spéciale du Groupe de l</w:t>
      </w:r>
      <w:r w:rsidR="008B69B1">
        <w:rPr>
          <w:lang w:val="fr-FR"/>
        </w:rPr>
        <w:t>’</w:t>
      </w:r>
      <w:r w:rsidRPr="00550AB0">
        <w:rPr>
          <w:lang w:val="fr-FR"/>
        </w:rPr>
        <w:t xml:space="preserve">évaluation technique et économique (TEAP), le Secrétariat a continué de répondre aux questions de cette équipe </w:t>
      </w:r>
      <w:r w:rsidR="00530D29">
        <w:rPr>
          <w:lang w:val="fr-FR"/>
        </w:rPr>
        <w:t>portant sur</w:t>
      </w:r>
      <w:r w:rsidRPr="00550AB0">
        <w:rPr>
          <w:lang w:val="fr-FR"/>
        </w:rPr>
        <w:t xml:space="preserve"> la reconstitution du Fonds multilatéral pour la période triennale 2021-2023.</w:t>
      </w:r>
    </w:p>
    <w:p w14:paraId="5BEC4555" w14:textId="37ABB08A" w:rsidR="00442353" w:rsidRPr="00DD5FE9" w:rsidRDefault="00550AB0" w:rsidP="00442353">
      <w:pPr>
        <w:keepNext/>
        <w:rPr>
          <w:u w:val="single"/>
          <w:lang w:val="fr-CA"/>
        </w:rPr>
      </w:pPr>
      <w:r w:rsidRPr="00550AB0">
        <w:rPr>
          <w:u w:val="single"/>
          <w:lang w:val="fr-FR"/>
        </w:rPr>
        <w:t>Organisations des Nations Unies</w:t>
      </w:r>
    </w:p>
    <w:p w14:paraId="122CA9D2" w14:textId="77777777" w:rsidR="00442353" w:rsidRPr="00DD5FE9" w:rsidRDefault="00442353" w:rsidP="00442353">
      <w:pPr>
        <w:keepNext/>
        <w:rPr>
          <w:highlight w:val="yellow"/>
          <w:lang w:val="fr-CA"/>
        </w:rPr>
      </w:pPr>
    </w:p>
    <w:p w14:paraId="5E864437" w14:textId="6FCF9253" w:rsidR="00253C90" w:rsidRPr="00DD5FE9" w:rsidRDefault="00550AB0" w:rsidP="00550AB0">
      <w:pPr>
        <w:pStyle w:val="StyleHeader4Para4Left0Firstline0"/>
        <w:numPr>
          <w:ilvl w:val="0"/>
          <w:numId w:val="0"/>
        </w:numPr>
        <w:rPr>
          <w:i/>
          <w:sz w:val="22"/>
          <w:lang w:val="fr-CA"/>
        </w:rPr>
      </w:pPr>
      <w:r w:rsidRPr="00550AB0">
        <w:rPr>
          <w:i/>
          <w:sz w:val="22"/>
          <w:lang w:val="fr-FR"/>
        </w:rPr>
        <w:t>Bureau du</w:t>
      </w:r>
      <w:r w:rsidR="00530D29">
        <w:rPr>
          <w:i/>
          <w:sz w:val="22"/>
          <w:lang w:val="fr-FR"/>
        </w:rPr>
        <w:t xml:space="preserve"> </w:t>
      </w:r>
      <w:r w:rsidRPr="00550AB0">
        <w:rPr>
          <w:i/>
          <w:sz w:val="22"/>
          <w:lang w:val="fr-FR"/>
        </w:rPr>
        <w:t>contrôle interne (OIOS)</w:t>
      </w:r>
    </w:p>
    <w:p w14:paraId="34C4B77F" w14:textId="2B704F9F" w:rsidR="00550AB0" w:rsidRPr="00DD5FE9" w:rsidRDefault="00550AB0" w:rsidP="00550AB0">
      <w:pPr>
        <w:pStyle w:val="Heading1"/>
        <w:rPr>
          <w:lang w:val="fr-CA"/>
        </w:rPr>
      </w:pPr>
      <w:r w:rsidRPr="00550AB0">
        <w:rPr>
          <w:lang w:val="fr-FR"/>
        </w:rPr>
        <w:t>Le Secrétariat a poursuivi ses discussions avec l</w:t>
      </w:r>
      <w:r w:rsidR="008B69B1">
        <w:rPr>
          <w:lang w:val="fr-FR"/>
        </w:rPr>
        <w:t>’</w:t>
      </w:r>
      <w:r w:rsidRPr="00550AB0">
        <w:rPr>
          <w:lang w:val="fr-FR"/>
        </w:rPr>
        <w:t>OIOS, a fourni des informations et des observations supplémentaires sur le projet de conclusions de l</w:t>
      </w:r>
      <w:r w:rsidR="008B69B1">
        <w:rPr>
          <w:lang w:val="fr-FR"/>
        </w:rPr>
        <w:t>’</w:t>
      </w:r>
      <w:r w:rsidRPr="00550AB0">
        <w:rPr>
          <w:lang w:val="fr-FR"/>
        </w:rPr>
        <w:t>audit du Secrétariat, qui vise à évaluer l</w:t>
      </w:r>
      <w:r w:rsidR="008B69B1">
        <w:rPr>
          <w:lang w:val="fr-FR"/>
        </w:rPr>
        <w:t>’</w:t>
      </w:r>
      <w:r w:rsidRPr="00550AB0">
        <w:rPr>
          <w:lang w:val="fr-FR"/>
        </w:rPr>
        <w:t>efficience et l</w:t>
      </w:r>
      <w:r w:rsidR="008B69B1">
        <w:rPr>
          <w:lang w:val="fr-FR"/>
        </w:rPr>
        <w:t>’</w:t>
      </w:r>
      <w:r w:rsidRPr="00550AB0">
        <w:rPr>
          <w:lang w:val="fr-FR"/>
        </w:rPr>
        <w:t>efficacité de la prestation de services au Secrétariat au cours d</w:t>
      </w:r>
      <w:r w:rsidR="00530D29">
        <w:rPr>
          <w:lang w:val="fr-FR"/>
        </w:rPr>
        <w:t>’une</w:t>
      </w:r>
      <w:r w:rsidRPr="00550AB0">
        <w:rPr>
          <w:lang w:val="fr-FR"/>
        </w:rPr>
        <w:t xml:space="preserve"> période allant de janvier 2018 à décembre 2020. Le Secrétariat communiquera au Comité Exécutif les résultats de l</w:t>
      </w:r>
      <w:r w:rsidR="008B69B1">
        <w:rPr>
          <w:lang w:val="fr-FR"/>
        </w:rPr>
        <w:t>’</w:t>
      </w:r>
      <w:r w:rsidRPr="00550AB0">
        <w:rPr>
          <w:lang w:val="fr-FR"/>
        </w:rPr>
        <w:t>audit, une fois celui-ci terminé.</w:t>
      </w:r>
    </w:p>
    <w:p w14:paraId="4D1507DF" w14:textId="4CD836E7" w:rsidR="00442353" w:rsidRPr="00DD5FE9" w:rsidRDefault="00550AB0" w:rsidP="00550AB0">
      <w:pPr>
        <w:pStyle w:val="Heading1"/>
        <w:keepNext/>
        <w:numPr>
          <w:ilvl w:val="0"/>
          <w:numId w:val="0"/>
        </w:numPr>
        <w:rPr>
          <w:color w:val="000000" w:themeColor="text1"/>
          <w:u w:val="single"/>
          <w:lang w:val="fr-CA"/>
        </w:rPr>
      </w:pPr>
      <w:r w:rsidRPr="00550AB0">
        <w:rPr>
          <w:color w:val="000000" w:themeColor="text1"/>
          <w:u w:val="single"/>
          <w:lang w:val="fr-FR"/>
        </w:rPr>
        <w:t>Autres organisations</w:t>
      </w:r>
    </w:p>
    <w:p w14:paraId="2912A159" w14:textId="41F02ED5" w:rsidR="00442353" w:rsidRPr="00DD5FE9" w:rsidRDefault="00550AB0" w:rsidP="00442353">
      <w:pPr>
        <w:rPr>
          <w:i/>
          <w:lang w:val="fr-CA"/>
        </w:rPr>
      </w:pPr>
      <w:r w:rsidRPr="00550AB0">
        <w:rPr>
          <w:i/>
          <w:lang w:val="fr-FR"/>
        </w:rPr>
        <w:t>Le gouvernement de la France</w:t>
      </w:r>
      <w:r w:rsidR="00442353" w:rsidRPr="00DD5FE9">
        <w:rPr>
          <w:i/>
          <w:lang w:val="fr-CA"/>
        </w:rPr>
        <w:t xml:space="preserve"> </w:t>
      </w:r>
    </w:p>
    <w:p w14:paraId="4AC4A17B" w14:textId="77777777" w:rsidR="00442353" w:rsidRPr="00DD5FE9" w:rsidRDefault="00442353" w:rsidP="00442353">
      <w:pPr>
        <w:rPr>
          <w:i/>
          <w:highlight w:val="yellow"/>
          <w:lang w:val="fr-CA"/>
        </w:rPr>
      </w:pPr>
    </w:p>
    <w:p w14:paraId="28FECA92" w14:textId="63E10927" w:rsidR="00550AB0" w:rsidRPr="00DD5FE9" w:rsidRDefault="00550AB0" w:rsidP="00550AB0">
      <w:pPr>
        <w:pStyle w:val="Heading1"/>
        <w:rPr>
          <w:lang w:val="fr-CA"/>
        </w:rPr>
      </w:pPr>
      <w:r w:rsidRPr="00550AB0">
        <w:rPr>
          <w:lang w:val="fr-FR"/>
        </w:rPr>
        <w:t>Sur demande, le chef du Secrétariat a fourni des informations complémentaires et des réponses aux questions relatives à l</w:t>
      </w:r>
      <w:r w:rsidR="008B69B1">
        <w:rPr>
          <w:lang w:val="fr-FR"/>
        </w:rPr>
        <w:t>’</w:t>
      </w:r>
      <w:r w:rsidRPr="00550AB0">
        <w:rPr>
          <w:lang w:val="fr-FR"/>
        </w:rPr>
        <w:t>évaluation rétrospective de la contribution de la France au Fonds multilatéral.</w:t>
      </w:r>
      <w:r w:rsidRPr="00DD5FE9">
        <w:rPr>
          <w:lang w:val="fr-CA"/>
        </w:rPr>
        <w:t xml:space="preserve"> </w:t>
      </w:r>
    </w:p>
    <w:p w14:paraId="1E1205EE" w14:textId="77777777" w:rsidR="00442353" w:rsidRPr="00DD5FE9" w:rsidRDefault="00442353" w:rsidP="00442353">
      <w:pPr>
        <w:pStyle w:val="Heading1"/>
        <w:numPr>
          <w:ilvl w:val="0"/>
          <w:numId w:val="0"/>
        </w:numPr>
        <w:rPr>
          <w:lang w:val="fr-CA"/>
        </w:rPr>
      </w:pPr>
    </w:p>
    <w:p w14:paraId="347A3B3A" w14:textId="77777777" w:rsidR="00442353" w:rsidRPr="00DD5FE9" w:rsidRDefault="00442353" w:rsidP="00442353">
      <w:pPr>
        <w:rPr>
          <w:lang w:val="fr-CA"/>
        </w:rPr>
        <w:sectPr w:rsidR="00442353" w:rsidRPr="00DD5FE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B7E597B" w14:textId="06D62D01" w:rsidR="0045238E" w:rsidRPr="00DD5FE9" w:rsidRDefault="00442353" w:rsidP="00442353">
      <w:pPr>
        <w:widowControl w:val="0"/>
        <w:spacing w:after="240"/>
        <w:jc w:val="center"/>
        <w:rPr>
          <w:b/>
          <w:lang w:val="fr-CA"/>
        </w:rPr>
      </w:pPr>
      <w:r w:rsidRPr="00DD5FE9">
        <w:rPr>
          <w:b/>
          <w:lang w:val="fr-CA"/>
        </w:rPr>
        <w:lastRenderedPageBreak/>
        <w:t>A</w:t>
      </w:r>
      <w:r w:rsidRPr="00DD5FE9">
        <w:rPr>
          <w:b/>
          <w:color w:val="000000" w:themeColor="text1"/>
          <w:lang w:val="fr-CA"/>
        </w:rPr>
        <w:t>nnex</w:t>
      </w:r>
      <w:r w:rsidR="00047BAB" w:rsidRPr="00DD5FE9">
        <w:rPr>
          <w:b/>
          <w:color w:val="000000" w:themeColor="text1"/>
          <w:lang w:val="fr-CA"/>
        </w:rPr>
        <w:t>e</w:t>
      </w:r>
      <w:r w:rsidRPr="00DD5FE9">
        <w:rPr>
          <w:b/>
          <w:color w:val="000000" w:themeColor="text1"/>
          <w:lang w:val="fr-CA"/>
        </w:rPr>
        <w:t xml:space="preserve"> I</w:t>
      </w:r>
    </w:p>
    <w:p w14:paraId="1B822A5F" w14:textId="77777777" w:rsidR="00047BAB" w:rsidRPr="00B8199C" w:rsidRDefault="00047BAB" w:rsidP="00047BAB">
      <w:pPr>
        <w:widowControl w:val="0"/>
        <w:spacing w:after="240"/>
        <w:jc w:val="center"/>
        <w:rPr>
          <w:b/>
          <w:lang w:val="fr-CA"/>
        </w:rPr>
      </w:pPr>
      <w:r w:rsidRPr="00B8199C">
        <w:rPr>
          <w:b/>
          <w:lang w:val="fr-CA"/>
        </w:rPr>
        <w:t>CONSEILS ET/OU RENSEIGNEMENTS FOURNIS PAR LE SECRÉTARIAT DU FONDS MULTILATÉRAL AUX ORGANES NE RELEVANT PAS DU PROTOCOLE DE MONTRÉAL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5"/>
        <w:gridCol w:w="1080"/>
      </w:tblGrid>
      <w:tr w:rsidR="00047BAB" w:rsidRPr="00B8199C" w14:paraId="06C5C2E1" w14:textId="77777777" w:rsidTr="00047BAB">
        <w:trPr>
          <w:cantSplit/>
          <w:tblHeader/>
        </w:trPr>
        <w:tc>
          <w:tcPr>
            <w:tcW w:w="8275" w:type="dxa"/>
            <w:shd w:val="clear" w:color="auto" w:fill="auto"/>
            <w:vAlign w:val="center"/>
            <w:hideMark/>
          </w:tcPr>
          <w:p w14:paraId="6BA050A1" w14:textId="77777777" w:rsidR="00047BAB" w:rsidRPr="00B8199C" w:rsidRDefault="00047BAB" w:rsidP="00047BAB">
            <w:pPr>
              <w:spacing w:before="60" w:after="60"/>
              <w:jc w:val="left"/>
              <w:rPr>
                <w:b/>
                <w:bCs/>
                <w:color w:val="000000" w:themeColor="text1"/>
                <w:sz w:val="20"/>
                <w:szCs w:val="20"/>
                <w:lang w:val="fr-CA"/>
              </w:rPr>
            </w:pPr>
            <w:r w:rsidRPr="00B8199C">
              <w:rPr>
                <w:b/>
                <w:bCs/>
                <w:color w:val="000000" w:themeColor="text1"/>
                <w:sz w:val="20"/>
                <w:szCs w:val="20"/>
                <w:lang w:val="fr-CA"/>
              </w:rPr>
              <w:t>Conseils/échanges/interaction du Secrétariat</w:t>
            </w:r>
          </w:p>
        </w:tc>
        <w:tc>
          <w:tcPr>
            <w:tcW w:w="1080" w:type="dxa"/>
            <w:shd w:val="clear" w:color="auto" w:fill="auto"/>
            <w:tcMar>
              <w:left w:w="115" w:type="dxa"/>
              <w:right w:w="173" w:type="dxa"/>
            </w:tcMar>
            <w:vAlign w:val="center"/>
            <w:hideMark/>
          </w:tcPr>
          <w:p w14:paraId="004233B1" w14:textId="77777777" w:rsidR="00047BAB" w:rsidRPr="00B8199C" w:rsidRDefault="00047BAB" w:rsidP="00047BAB">
            <w:pPr>
              <w:spacing w:before="60" w:after="60"/>
              <w:jc w:val="left"/>
              <w:rPr>
                <w:b/>
                <w:bCs/>
                <w:color w:val="000000" w:themeColor="text1"/>
                <w:sz w:val="20"/>
                <w:szCs w:val="20"/>
                <w:lang w:val="en-US"/>
              </w:rPr>
            </w:pPr>
            <w:r w:rsidRPr="00B8199C">
              <w:rPr>
                <w:b/>
                <w:bCs/>
                <w:color w:val="000000" w:themeColor="text1"/>
                <w:sz w:val="20"/>
                <w:szCs w:val="20"/>
                <w:lang w:val="en-US"/>
              </w:rPr>
              <w:t>Réunion</w:t>
            </w:r>
          </w:p>
        </w:tc>
      </w:tr>
      <w:tr w:rsidR="00047BAB" w:rsidRPr="00B8199C" w14:paraId="6D98776F" w14:textId="77777777" w:rsidTr="00047BAB">
        <w:trPr>
          <w:cantSplit/>
        </w:trPr>
        <w:tc>
          <w:tcPr>
            <w:tcW w:w="9355" w:type="dxa"/>
            <w:gridSpan w:val="2"/>
            <w:shd w:val="clear" w:color="auto" w:fill="auto"/>
            <w:tcMar>
              <w:left w:w="115" w:type="dxa"/>
              <w:right w:w="173" w:type="dxa"/>
            </w:tcMar>
            <w:vAlign w:val="center"/>
          </w:tcPr>
          <w:p w14:paraId="6BD1E058" w14:textId="77777777" w:rsidR="00047BAB" w:rsidRPr="00B8199C" w:rsidRDefault="00047BAB" w:rsidP="00047BAB">
            <w:pPr>
              <w:spacing w:before="60" w:after="60"/>
              <w:jc w:val="left"/>
              <w:rPr>
                <w:b/>
                <w:color w:val="000000" w:themeColor="text1"/>
                <w:sz w:val="20"/>
                <w:szCs w:val="20"/>
                <w:lang w:val="fr-CA"/>
              </w:rPr>
            </w:pPr>
            <w:r w:rsidRPr="00B8199C">
              <w:rPr>
                <w:b/>
                <w:color w:val="000000" w:themeColor="text1"/>
                <w:sz w:val="20"/>
                <w:szCs w:val="20"/>
                <w:lang w:val="fr-CA"/>
              </w:rPr>
              <w:t>Fonds d’adaptation</w:t>
            </w:r>
          </w:p>
        </w:tc>
      </w:tr>
      <w:tr w:rsidR="00047BAB" w:rsidRPr="00B8199C" w14:paraId="43346193" w14:textId="77777777" w:rsidTr="00047BAB">
        <w:trPr>
          <w:cantSplit/>
        </w:trPr>
        <w:tc>
          <w:tcPr>
            <w:tcW w:w="8275" w:type="dxa"/>
            <w:shd w:val="clear" w:color="auto" w:fill="auto"/>
            <w:vAlign w:val="center"/>
            <w:hideMark/>
          </w:tcPr>
          <w:p w14:paraId="0D2AC866"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Explications des politiques du Fonds multilatéral sur les intérêts accumulés. L’information fournie par le Secrétariat est contenue dans le document AFB/EFC.18/10 de la 18</w:t>
            </w:r>
            <w:r w:rsidRPr="00B8199C">
              <w:rPr>
                <w:color w:val="000000" w:themeColor="text1"/>
                <w:sz w:val="20"/>
                <w:szCs w:val="20"/>
                <w:vertAlign w:val="superscript"/>
                <w:lang w:val="fr-CA"/>
              </w:rPr>
              <w:t>e</w:t>
            </w:r>
            <w:r w:rsidRPr="00B8199C">
              <w:rPr>
                <w:color w:val="000000" w:themeColor="text1"/>
                <w:sz w:val="20"/>
                <w:szCs w:val="20"/>
                <w:lang w:val="fr-CA"/>
              </w:rPr>
              <w:t xml:space="preserve"> réunion du Comité de l’éthique et des finances sur le site https://www.adaptation-fund.org/wp-content/uploads/2016/03/AFB-EFC-18.10-Investment-income-doc.pdf.</w:t>
            </w:r>
          </w:p>
        </w:tc>
        <w:tc>
          <w:tcPr>
            <w:tcW w:w="1080" w:type="dxa"/>
            <w:shd w:val="clear" w:color="auto" w:fill="auto"/>
            <w:tcMar>
              <w:left w:w="115" w:type="dxa"/>
              <w:right w:w="173" w:type="dxa"/>
            </w:tcMar>
            <w:vAlign w:val="center"/>
            <w:hideMark/>
          </w:tcPr>
          <w:p w14:paraId="3D56BA43"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76</w:t>
            </w:r>
          </w:p>
        </w:tc>
      </w:tr>
      <w:tr w:rsidR="00047BAB" w:rsidRPr="00775610" w14:paraId="71F38D0E" w14:textId="77777777" w:rsidTr="00047BAB">
        <w:trPr>
          <w:cantSplit/>
        </w:trPr>
        <w:tc>
          <w:tcPr>
            <w:tcW w:w="9355" w:type="dxa"/>
            <w:gridSpan w:val="2"/>
            <w:shd w:val="clear" w:color="auto" w:fill="auto"/>
            <w:tcMar>
              <w:left w:w="115" w:type="dxa"/>
              <w:right w:w="173" w:type="dxa"/>
            </w:tcMar>
            <w:vAlign w:val="center"/>
          </w:tcPr>
          <w:p w14:paraId="4B9017F2" w14:textId="77777777" w:rsidR="00047BAB" w:rsidRPr="00B8199C" w:rsidRDefault="00047BAB" w:rsidP="00047BAB">
            <w:pPr>
              <w:spacing w:before="60" w:after="60"/>
              <w:rPr>
                <w:b/>
                <w:color w:val="000000" w:themeColor="text1"/>
                <w:sz w:val="20"/>
                <w:szCs w:val="20"/>
                <w:lang w:val="fr-CA"/>
              </w:rPr>
            </w:pPr>
            <w:r w:rsidRPr="00B8199C">
              <w:rPr>
                <w:b/>
                <w:color w:val="000000" w:themeColor="text1"/>
                <w:sz w:val="20"/>
                <w:szCs w:val="20"/>
                <w:lang w:val="fr-CA"/>
              </w:rPr>
              <w:t>Forum arabe pour l’environnement et le développement</w:t>
            </w:r>
          </w:p>
        </w:tc>
      </w:tr>
      <w:tr w:rsidR="00047BAB" w:rsidRPr="00B8199C" w14:paraId="57242630" w14:textId="77777777" w:rsidTr="00047BAB">
        <w:trPr>
          <w:cantSplit/>
        </w:trPr>
        <w:tc>
          <w:tcPr>
            <w:tcW w:w="8275" w:type="dxa"/>
            <w:shd w:val="clear" w:color="auto" w:fill="auto"/>
            <w:vAlign w:val="center"/>
          </w:tcPr>
          <w:p w14:paraId="277752BD" w14:textId="77777777" w:rsidR="00047BAB" w:rsidRPr="00B8199C" w:rsidRDefault="00047BAB" w:rsidP="00047BAB">
            <w:pPr>
              <w:spacing w:before="60" w:after="60"/>
              <w:rPr>
                <w:color w:val="000000" w:themeColor="text1"/>
                <w:sz w:val="20"/>
                <w:szCs w:val="20"/>
                <w:lang w:val="fr-CA"/>
              </w:rPr>
            </w:pPr>
            <w:r w:rsidRPr="00B8199C">
              <w:rPr>
                <w:sz w:val="20"/>
                <w:szCs w:val="20"/>
                <w:lang w:val="fr-CA"/>
              </w:rPr>
              <w:t>Un article sur l’expérience du Fonds multilatéral dans la région arabe, dans le contexte du Forum arabe pour l’environnement et le développement de 2018.</w:t>
            </w:r>
          </w:p>
        </w:tc>
        <w:tc>
          <w:tcPr>
            <w:tcW w:w="1080" w:type="dxa"/>
            <w:shd w:val="clear" w:color="auto" w:fill="auto"/>
            <w:tcMar>
              <w:left w:w="115" w:type="dxa"/>
              <w:right w:w="173" w:type="dxa"/>
            </w:tcMar>
            <w:vAlign w:val="center"/>
          </w:tcPr>
          <w:p w14:paraId="27ADF1DB"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81</w:t>
            </w:r>
          </w:p>
        </w:tc>
      </w:tr>
      <w:tr w:rsidR="00047BAB" w:rsidRPr="00775610" w14:paraId="642B9F87" w14:textId="77777777" w:rsidTr="00047BAB">
        <w:trPr>
          <w:cantSplit/>
        </w:trPr>
        <w:tc>
          <w:tcPr>
            <w:tcW w:w="9355" w:type="dxa"/>
            <w:gridSpan w:val="2"/>
            <w:shd w:val="clear" w:color="auto" w:fill="auto"/>
            <w:tcMar>
              <w:left w:w="115" w:type="dxa"/>
              <w:right w:w="173" w:type="dxa"/>
            </w:tcMar>
            <w:vAlign w:val="center"/>
          </w:tcPr>
          <w:p w14:paraId="20D9F228" w14:textId="77777777" w:rsidR="00047BAB" w:rsidRPr="00B8199C" w:rsidRDefault="00047BAB" w:rsidP="00047BAB">
            <w:pPr>
              <w:spacing w:before="60" w:after="60"/>
              <w:rPr>
                <w:b/>
                <w:color w:val="000000" w:themeColor="text1"/>
                <w:sz w:val="20"/>
                <w:szCs w:val="20"/>
                <w:lang w:val="fr-CA"/>
              </w:rPr>
            </w:pPr>
            <w:r w:rsidRPr="00B8199C">
              <w:rPr>
                <w:b/>
                <w:color w:val="000000" w:themeColor="text1"/>
                <w:sz w:val="20"/>
                <w:szCs w:val="20"/>
                <w:lang w:val="fr-CA"/>
              </w:rPr>
              <w:t>Centre des solutions climatiques et énergétiques (anciennement le Centre Pew sur les changements climatiques)</w:t>
            </w:r>
          </w:p>
        </w:tc>
      </w:tr>
      <w:tr w:rsidR="00047BAB" w:rsidRPr="00B8199C" w14:paraId="2591912C" w14:textId="77777777" w:rsidTr="00047BAB">
        <w:trPr>
          <w:cantSplit/>
        </w:trPr>
        <w:tc>
          <w:tcPr>
            <w:tcW w:w="8275" w:type="dxa"/>
            <w:shd w:val="clear" w:color="auto" w:fill="auto"/>
            <w:vAlign w:val="center"/>
            <w:hideMark/>
          </w:tcPr>
          <w:p w14:paraId="7893E451"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Documents UNEP/OzL.Pro/ExCom/37/59, UNEP/OzL.Pro/ExCom/38/54 et Add.1 ; le texte des décisions 37/62 et 38/63 ; Lignes directrices sur le financement de la technologie n’appartenant pas au domaine public (annexe XIV au document UNEP/OzL.Pro/ExCom/38/70/Rev.1) ; Observations sur les droits et redevances du transfert de technologie pour différents types de projets (dioxyde de carbone liquide, inhalateurs à doseur, gonflage du tabac, HFC-32 pour le secteur de la réfrigération, CO</w:t>
            </w:r>
            <w:r w:rsidRPr="00B8199C">
              <w:rPr>
                <w:color w:val="000000" w:themeColor="text1"/>
                <w:sz w:val="20"/>
                <w:szCs w:val="20"/>
                <w:vertAlign w:val="subscript"/>
                <w:lang w:val="fr-CA"/>
              </w:rPr>
              <w:t>2</w:t>
            </w:r>
            <w:r w:rsidRPr="00B8199C">
              <w:rPr>
                <w:color w:val="000000" w:themeColor="text1"/>
                <w:sz w:val="20"/>
                <w:szCs w:val="20"/>
                <w:lang w:val="fr-CA"/>
              </w:rPr>
              <w:t xml:space="preserve"> supercritique, secteur de la production de HCFC).</w:t>
            </w:r>
          </w:p>
        </w:tc>
        <w:tc>
          <w:tcPr>
            <w:tcW w:w="1080" w:type="dxa"/>
            <w:shd w:val="clear" w:color="auto" w:fill="auto"/>
            <w:tcMar>
              <w:left w:w="115" w:type="dxa"/>
              <w:right w:w="173" w:type="dxa"/>
            </w:tcMar>
            <w:vAlign w:val="center"/>
            <w:hideMark/>
          </w:tcPr>
          <w:p w14:paraId="5CAAF54E"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75</w:t>
            </w:r>
          </w:p>
        </w:tc>
      </w:tr>
      <w:tr w:rsidR="00047BAB" w:rsidRPr="00775610" w14:paraId="766F2375" w14:textId="77777777" w:rsidTr="00047BAB">
        <w:trPr>
          <w:cantSplit/>
        </w:trPr>
        <w:tc>
          <w:tcPr>
            <w:tcW w:w="9355" w:type="dxa"/>
            <w:gridSpan w:val="2"/>
            <w:shd w:val="clear" w:color="auto" w:fill="auto"/>
            <w:tcMar>
              <w:left w:w="115" w:type="dxa"/>
              <w:right w:w="173" w:type="dxa"/>
            </w:tcMar>
            <w:vAlign w:val="center"/>
          </w:tcPr>
          <w:p w14:paraId="5C7B04AC" w14:textId="77777777" w:rsidR="00047BAB" w:rsidRPr="00B8199C" w:rsidRDefault="00047BAB" w:rsidP="00047BAB">
            <w:pPr>
              <w:spacing w:before="60" w:after="60"/>
              <w:rPr>
                <w:color w:val="000000" w:themeColor="text1"/>
                <w:sz w:val="20"/>
                <w:szCs w:val="20"/>
                <w:lang w:val="fr-CA"/>
              </w:rPr>
            </w:pPr>
            <w:r w:rsidRPr="00B8199C">
              <w:rPr>
                <w:b/>
                <w:color w:val="000000" w:themeColor="text1"/>
                <w:sz w:val="20"/>
                <w:szCs w:val="20"/>
                <w:lang w:val="fr-CA"/>
              </w:rPr>
              <w:t>Coalition sur le climat et l’air propre afin de réduire les polluants climatiques de courte durée de vie (CCAC)</w:t>
            </w:r>
          </w:p>
        </w:tc>
      </w:tr>
      <w:tr w:rsidR="00047BAB" w:rsidRPr="00B8199C" w14:paraId="2CD9C22E" w14:textId="77777777" w:rsidTr="00047BAB">
        <w:trPr>
          <w:cantSplit/>
        </w:trPr>
        <w:tc>
          <w:tcPr>
            <w:tcW w:w="8275" w:type="dxa"/>
            <w:shd w:val="clear" w:color="auto" w:fill="auto"/>
            <w:vAlign w:val="center"/>
          </w:tcPr>
          <w:p w14:paraId="20B02BB4" w14:textId="77777777" w:rsidR="00047BAB" w:rsidRPr="00B8199C" w:rsidRDefault="00047BAB" w:rsidP="00047BAB">
            <w:pPr>
              <w:spacing w:before="60" w:after="60"/>
              <w:rPr>
                <w:color w:val="000000" w:themeColor="text1"/>
                <w:sz w:val="20"/>
                <w:szCs w:val="20"/>
                <w:lang w:val="fr-CA"/>
              </w:rPr>
            </w:pPr>
            <w:r w:rsidRPr="00B8199C">
              <w:rPr>
                <w:b/>
                <w:color w:val="000000" w:themeColor="text1"/>
                <w:sz w:val="20"/>
                <w:szCs w:val="20"/>
                <w:lang w:val="fr-CA"/>
              </w:rPr>
              <w:t>Présentation sur l’aperçu du soutien du Fonds multilatéral pour la mise en œuvre de l’Amendement de Kigali dans le contexte des échanges sur le champ de travail de Kigali</w:t>
            </w:r>
          </w:p>
        </w:tc>
        <w:tc>
          <w:tcPr>
            <w:tcW w:w="1080" w:type="dxa"/>
            <w:shd w:val="clear" w:color="auto" w:fill="auto"/>
            <w:tcMar>
              <w:left w:w="115" w:type="dxa"/>
              <w:right w:w="173" w:type="dxa"/>
            </w:tcMar>
            <w:vAlign w:val="center"/>
          </w:tcPr>
          <w:p w14:paraId="218956F5" w14:textId="77777777" w:rsidR="00047BAB" w:rsidRPr="00B8199C" w:rsidRDefault="00047BAB" w:rsidP="00047BAB">
            <w:pPr>
              <w:spacing w:before="60" w:after="60"/>
              <w:jc w:val="right"/>
              <w:rPr>
                <w:color w:val="000000" w:themeColor="text1"/>
                <w:sz w:val="20"/>
                <w:szCs w:val="20"/>
                <w:lang w:val="fr-CA"/>
              </w:rPr>
            </w:pPr>
            <w:r w:rsidRPr="00B8199C">
              <w:rPr>
                <w:color w:val="000000" w:themeColor="text1"/>
                <w:sz w:val="20"/>
                <w:szCs w:val="20"/>
                <w:lang w:val="fr-CA"/>
              </w:rPr>
              <w:t>86</w:t>
            </w:r>
          </w:p>
        </w:tc>
      </w:tr>
      <w:tr w:rsidR="00047BAB" w:rsidRPr="00B8199C" w14:paraId="4EAE138D" w14:textId="77777777" w:rsidTr="00047BAB">
        <w:trPr>
          <w:cantSplit/>
        </w:trPr>
        <w:tc>
          <w:tcPr>
            <w:tcW w:w="8275" w:type="dxa"/>
            <w:shd w:val="clear" w:color="auto" w:fill="auto"/>
            <w:vAlign w:val="center"/>
          </w:tcPr>
          <w:p w14:paraId="38FB3BFF"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Consultations informelles avec le Secrétariat du CCAC sur un nouveau projet de refroidissement efficace déjà approuvé provisoirement par le groupe de travail de la CCAC, afin de développer un leadership de haut niveau et de faciliter la collaboration entre les parties prenantes, en vue de favoriser une efficacité énergétique accrue dans le secteur du refroidissement pendant que les pays mettent en œuvre la réduction progressive des frigorigènes à base de HFC au titre du Protocole de Montréal.</w:t>
            </w:r>
          </w:p>
        </w:tc>
        <w:tc>
          <w:tcPr>
            <w:tcW w:w="1080" w:type="dxa"/>
            <w:shd w:val="clear" w:color="auto" w:fill="auto"/>
            <w:tcMar>
              <w:left w:w="115" w:type="dxa"/>
              <w:right w:w="173" w:type="dxa"/>
            </w:tcMar>
            <w:vAlign w:val="center"/>
          </w:tcPr>
          <w:p w14:paraId="193984F3"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83</w:t>
            </w:r>
          </w:p>
        </w:tc>
      </w:tr>
      <w:tr w:rsidR="00047BAB" w:rsidRPr="00B8199C" w14:paraId="5AACE13C" w14:textId="77777777" w:rsidTr="00047BAB">
        <w:trPr>
          <w:cantSplit/>
        </w:trPr>
        <w:tc>
          <w:tcPr>
            <w:tcW w:w="8275" w:type="dxa"/>
            <w:shd w:val="clear" w:color="auto" w:fill="auto"/>
            <w:vAlign w:val="center"/>
            <w:hideMark/>
          </w:tcPr>
          <w:p w14:paraId="0730E7AF"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Récapitulatif des projets de démonstration approuvés sur les HCFC et options pour un nombre de projets supplémentaires afin de démontrer les technologies de remplacement des HCFC respectueuses du climat et éconergétiques (UNEP/OzL.Pro/ExCom/72/40). Information sur des enquêtes sur les solutions de remplacement des SAO financées par le Fonds multilatéral, occasions possibles pour la CCAC dans les pays à économie en transition ; enseignements tirés du Fonds multilatéral qui pourraient s’appliquer au processus d’examen technique et au cycle de financement des projets de la CCAC.</w:t>
            </w:r>
          </w:p>
        </w:tc>
        <w:tc>
          <w:tcPr>
            <w:tcW w:w="1080" w:type="dxa"/>
            <w:shd w:val="clear" w:color="auto" w:fill="auto"/>
            <w:tcMar>
              <w:left w:w="115" w:type="dxa"/>
              <w:right w:w="173" w:type="dxa"/>
            </w:tcMar>
            <w:vAlign w:val="center"/>
            <w:hideMark/>
          </w:tcPr>
          <w:p w14:paraId="7A34E7C8"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75</w:t>
            </w:r>
          </w:p>
        </w:tc>
      </w:tr>
      <w:tr w:rsidR="00047BAB" w:rsidRPr="00B8199C" w14:paraId="587697CD" w14:textId="77777777" w:rsidTr="00047BAB">
        <w:trPr>
          <w:cantSplit/>
        </w:trPr>
        <w:tc>
          <w:tcPr>
            <w:tcW w:w="8275" w:type="dxa"/>
            <w:shd w:val="clear" w:color="auto" w:fill="auto"/>
            <w:vAlign w:val="center"/>
            <w:hideMark/>
          </w:tcPr>
          <w:p w14:paraId="3549A51F"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Document 72/40, Récapitulatif des projets de démonstration approuvés sur les HCFC et options pour un nombre de projets supplémentaires afin de démontrer les technologies de remplacement des HCFC respectueuses du climat et éconergétiques (décision 71/51 a)), qui résume les résultats des projets de démonstration du Fonds multilatéral approuvés à ce jour.</w:t>
            </w:r>
          </w:p>
        </w:tc>
        <w:tc>
          <w:tcPr>
            <w:tcW w:w="1080" w:type="dxa"/>
            <w:shd w:val="clear" w:color="auto" w:fill="auto"/>
            <w:tcMar>
              <w:left w:w="115" w:type="dxa"/>
              <w:right w:w="173" w:type="dxa"/>
            </w:tcMar>
            <w:vAlign w:val="center"/>
            <w:hideMark/>
          </w:tcPr>
          <w:p w14:paraId="6550666F"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74</w:t>
            </w:r>
          </w:p>
        </w:tc>
      </w:tr>
      <w:tr w:rsidR="00047BAB" w:rsidRPr="00775610" w14:paraId="1C4D51F4" w14:textId="77777777" w:rsidTr="00047BAB">
        <w:trPr>
          <w:cantSplit/>
        </w:trPr>
        <w:tc>
          <w:tcPr>
            <w:tcW w:w="9355" w:type="dxa"/>
            <w:gridSpan w:val="2"/>
            <w:shd w:val="clear" w:color="auto" w:fill="auto"/>
            <w:tcMar>
              <w:left w:w="115" w:type="dxa"/>
              <w:right w:w="173" w:type="dxa"/>
            </w:tcMar>
            <w:vAlign w:val="center"/>
          </w:tcPr>
          <w:p w14:paraId="58AA6764" w14:textId="77777777" w:rsidR="00047BAB" w:rsidRPr="00B8199C" w:rsidRDefault="00047BAB" w:rsidP="00047BAB">
            <w:pPr>
              <w:spacing w:before="60" w:after="60"/>
              <w:rPr>
                <w:b/>
                <w:color w:val="000000" w:themeColor="text1"/>
                <w:sz w:val="20"/>
                <w:szCs w:val="20"/>
                <w:lang w:val="fr-CA"/>
              </w:rPr>
            </w:pPr>
            <w:r w:rsidRPr="00B8199C">
              <w:rPr>
                <w:b/>
                <w:color w:val="000000" w:themeColor="text1"/>
                <w:sz w:val="20"/>
                <w:szCs w:val="20"/>
                <w:lang w:val="fr-CA"/>
              </w:rPr>
              <w:t>Centre-Réseau des technologies climatiques</w:t>
            </w:r>
          </w:p>
        </w:tc>
      </w:tr>
      <w:tr w:rsidR="00047BAB" w:rsidRPr="00B8199C" w14:paraId="5BD046DC" w14:textId="77777777" w:rsidTr="00047BAB">
        <w:trPr>
          <w:cantSplit/>
        </w:trPr>
        <w:tc>
          <w:tcPr>
            <w:tcW w:w="8275" w:type="dxa"/>
            <w:shd w:val="clear" w:color="auto" w:fill="auto"/>
            <w:vAlign w:val="center"/>
            <w:hideMark/>
          </w:tcPr>
          <w:p w14:paraId="5D4DC353"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Présentation sur le renforcement des capacités au titre du Fonds multilatéral en tant que matériel ressource pour la sixième réunion du Conseil consultatif. Renseignements généraux et documents d’information sur le Fonds multilatéral.</w:t>
            </w:r>
          </w:p>
        </w:tc>
        <w:tc>
          <w:tcPr>
            <w:tcW w:w="1080" w:type="dxa"/>
            <w:shd w:val="clear" w:color="auto" w:fill="auto"/>
            <w:tcMar>
              <w:left w:w="115" w:type="dxa"/>
              <w:right w:w="173" w:type="dxa"/>
            </w:tcMar>
            <w:vAlign w:val="center"/>
          </w:tcPr>
          <w:p w14:paraId="0B4B1E26"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75</w:t>
            </w:r>
          </w:p>
        </w:tc>
      </w:tr>
      <w:tr w:rsidR="00047BAB" w:rsidRPr="00B8199C" w14:paraId="5C7168DB" w14:textId="77777777" w:rsidTr="00047BAB">
        <w:trPr>
          <w:cantSplit/>
        </w:trPr>
        <w:tc>
          <w:tcPr>
            <w:tcW w:w="9355" w:type="dxa"/>
            <w:gridSpan w:val="2"/>
            <w:shd w:val="clear" w:color="auto" w:fill="auto"/>
            <w:tcMar>
              <w:left w:w="115" w:type="dxa"/>
              <w:right w:w="173" w:type="dxa"/>
            </w:tcMar>
            <w:vAlign w:val="center"/>
          </w:tcPr>
          <w:p w14:paraId="603B4275" w14:textId="77777777" w:rsidR="00047BAB" w:rsidRPr="00B8199C" w:rsidRDefault="00047BAB" w:rsidP="00047BAB">
            <w:pPr>
              <w:keepNext/>
              <w:keepLines/>
              <w:spacing w:before="60" w:after="60"/>
              <w:rPr>
                <w:color w:val="000000" w:themeColor="text1"/>
                <w:sz w:val="20"/>
                <w:szCs w:val="20"/>
                <w:lang w:val="fr-CA"/>
              </w:rPr>
            </w:pPr>
            <w:r w:rsidRPr="00B8199C">
              <w:rPr>
                <w:b/>
                <w:color w:val="000000" w:themeColor="text1"/>
                <w:sz w:val="20"/>
                <w:szCs w:val="20"/>
                <w:lang w:val="fr-CA"/>
              </w:rPr>
              <w:lastRenderedPageBreak/>
              <w:t>Union européenne/Parlement européen</w:t>
            </w:r>
          </w:p>
        </w:tc>
      </w:tr>
      <w:tr w:rsidR="00047BAB" w:rsidRPr="00B8199C" w14:paraId="17D91B2F" w14:textId="77777777" w:rsidTr="00047BAB">
        <w:trPr>
          <w:cantSplit/>
        </w:trPr>
        <w:tc>
          <w:tcPr>
            <w:tcW w:w="8275" w:type="dxa"/>
            <w:shd w:val="clear" w:color="auto" w:fill="auto"/>
            <w:vAlign w:val="center"/>
            <w:hideMark/>
          </w:tcPr>
          <w:p w14:paraId="05D0780C" w14:textId="77777777" w:rsidR="00047BAB" w:rsidRPr="00B8199C" w:rsidRDefault="00047BAB" w:rsidP="00047BAB">
            <w:pPr>
              <w:keepNext/>
              <w:keepLines/>
              <w:spacing w:before="60" w:after="60"/>
              <w:rPr>
                <w:color w:val="000000" w:themeColor="text1"/>
                <w:sz w:val="20"/>
                <w:szCs w:val="20"/>
                <w:lang w:val="fr-CA"/>
              </w:rPr>
            </w:pPr>
            <w:r w:rsidRPr="00B8199C">
              <w:rPr>
                <w:color w:val="000000" w:themeColor="text1"/>
                <w:sz w:val="20"/>
                <w:szCs w:val="20"/>
                <w:lang w:val="fr-CA"/>
              </w:rPr>
              <w:t>Au cours de la vingt-cinquième Réunion des Parties, le Chef du Secrétariat a reçu une demande du Parlement européen de tenir des discussions bilatérales sur les questions en lien avec le Protocole de Montréal, y compris les ressources nécessaires pour la reconstitution du Fonds multilatéral et les propositions de contributions supplémentaires pour financer les avantages pour le climat. En réponse à cette demande, le Chef du Secrétariat a offert aux deux représentants du Parlement européen un court exposé expliquant le fonctionnement du Fonds multilatéral.</w:t>
            </w:r>
          </w:p>
        </w:tc>
        <w:tc>
          <w:tcPr>
            <w:tcW w:w="1080" w:type="dxa"/>
            <w:shd w:val="clear" w:color="auto" w:fill="auto"/>
            <w:tcMar>
              <w:left w:w="115" w:type="dxa"/>
              <w:right w:w="173" w:type="dxa"/>
            </w:tcMar>
            <w:vAlign w:val="center"/>
            <w:hideMark/>
          </w:tcPr>
          <w:p w14:paraId="299A19B6" w14:textId="77777777" w:rsidR="00047BAB" w:rsidRPr="00B8199C" w:rsidRDefault="00047BAB" w:rsidP="00047BAB">
            <w:pPr>
              <w:spacing w:before="60" w:after="60"/>
              <w:jc w:val="right"/>
              <w:rPr>
                <w:color w:val="000000" w:themeColor="text1"/>
                <w:sz w:val="20"/>
                <w:szCs w:val="20"/>
                <w:lang w:val="fr-CA"/>
              </w:rPr>
            </w:pPr>
            <w:r w:rsidRPr="00B8199C">
              <w:rPr>
                <w:color w:val="000000" w:themeColor="text1"/>
                <w:sz w:val="20"/>
                <w:szCs w:val="20"/>
                <w:lang w:val="fr-CA"/>
              </w:rPr>
              <w:t>71</w:t>
            </w:r>
          </w:p>
        </w:tc>
      </w:tr>
      <w:tr w:rsidR="00047BAB" w:rsidRPr="00775610" w14:paraId="08A4B7DA" w14:textId="77777777" w:rsidTr="00047BAB">
        <w:trPr>
          <w:cantSplit/>
        </w:trPr>
        <w:tc>
          <w:tcPr>
            <w:tcW w:w="9355" w:type="dxa"/>
            <w:gridSpan w:val="2"/>
            <w:shd w:val="clear" w:color="auto" w:fill="auto"/>
            <w:tcMar>
              <w:left w:w="115" w:type="dxa"/>
              <w:right w:w="173" w:type="dxa"/>
            </w:tcMar>
            <w:vAlign w:val="center"/>
          </w:tcPr>
          <w:p w14:paraId="7EF49929" w14:textId="77777777" w:rsidR="00047BAB" w:rsidRPr="00B8199C" w:rsidRDefault="00047BAB" w:rsidP="00047BAB">
            <w:pPr>
              <w:keepNext/>
              <w:spacing w:before="60" w:after="60"/>
              <w:rPr>
                <w:color w:val="000000" w:themeColor="text1"/>
                <w:sz w:val="20"/>
                <w:szCs w:val="20"/>
                <w:lang w:val="fr-CA"/>
              </w:rPr>
            </w:pPr>
            <w:r w:rsidRPr="00B8199C">
              <w:rPr>
                <w:b/>
                <w:color w:val="000000" w:themeColor="text1"/>
                <w:sz w:val="20"/>
                <w:szCs w:val="20"/>
                <w:lang w:val="fr-CA"/>
              </w:rPr>
              <w:t>Ministère de la Coopération et du Développement économiques de l’Allemagne</w:t>
            </w:r>
          </w:p>
        </w:tc>
      </w:tr>
      <w:tr w:rsidR="00047BAB" w:rsidRPr="00B8199C" w14:paraId="4CB869E5" w14:textId="77777777" w:rsidTr="00047BAB">
        <w:trPr>
          <w:cantSplit/>
        </w:trPr>
        <w:tc>
          <w:tcPr>
            <w:tcW w:w="8275" w:type="dxa"/>
            <w:shd w:val="clear" w:color="auto" w:fill="auto"/>
            <w:vAlign w:val="center"/>
            <w:hideMark/>
          </w:tcPr>
          <w:p w14:paraId="322DE6B6"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Renseignements sur les réalisations du Fonds multilatéral et sommaire des projets approuvés mis en œuvre par l’Allemagne en tant qu’agence bilatérale.</w:t>
            </w:r>
          </w:p>
        </w:tc>
        <w:tc>
          <w:tcPr>
            <w:tcW w:w="1080" w:type="dxa"/>
            <w:shd w:val="clear" w:color="auto" w:fill="auto"/>
            <w:tcMar>
              <w:left w:w="115" w:type="dxa"/>
              <w:right w:w="173" w:type="dxa"/>
            </w:tcMar>
            <w:vAlign w:val="center"/>
            <w:hideMark/>
          </w:tcPr>
          <w:p w14:paraId="25F896A8"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77</w:t>
            </w:r>
          </w:p>
        </w:tc>
      </w:tr>
      <w:tr w:rsidR="00047BAB" w:rsidRPr="00775610" w14:paraId="37299A53" w14:textId="77777777" w:rsidTr="00047BAB">
        <w:trPr>
          <w:cantSplit/>
        </w:trPr>
        <w:tc>
          <w:tcPr>
            <w:tcW w:w="9355" w:type="dxa"/>
            <w:gridSpan w:val="2"/>
            <w:shd w:val="clear" w:color="auto" w:fill="auto"/>
            <w:tcMar>
              <w:left w:w="115" w:type="dxa"/>
              <w:right w:w="173" w:type="dxa"/>
            </w:tcMar>
            <w:vAlign w:val="center"/>
          </w:tcPr>
          <w:p w14:paraId="59C35F3D" w14:textId="77777777" w:rsidR="00047BAB" w:rsidRPr="00B8199C" w:rsidRDefault="00047BAB" w:rsidP="00047BAB">
            <w:pPr>
              <w:spacing w:before="60" w:after="60"/>
              <w:rPr>
                <w:b/>
                <w:color w:val="000000" w:themeColor="text1"/>
                <w:sz w:val="20"/>
                <w:szCs w:val="20"/>
                <w:lang w:val="fr-CA"/>
              </w:rPr>
            </w:pPr>
            <w:r w:rsidRPr="00B8199C">
              <w:rPr>
                <w:b/>
                <w:color w:val="000000" w:themeColor="text1"/>
                <w:sz w:val="20"/>
                <w:szCs w:val="20"/>
                <w:lang w:val="fr-CA"/>
              </w:rPr>
              <w:t>Fonds pour l’environnement mondial (FEM)</w:t>
            </w:r>
          </w:p>
        </w:tc>
      </w:tr>
      <w:tr w:rsidR="00047BAB" w:rsidRPr="00B8199C" w14:paraId="0486A524" w14:textId="77777777" w:rsidTr="00047BAB">
        <w:trPr>
          <w:cantSplit/>
        </w:trPr>
        <w:tc>
          <w:tcPr>
            <w:tcW w:w="8275" w:type="dxa"/>
            <w:shd w:val="clear" w:color="auto" w:fill="auto"/>
            <w:vAlign w:val="center"/>
          </w:tcPr>
          <w:p w14:paraId="521242F5"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Le Secrétariat a participé à l’atelier sur la « </w:t>
            </w:r>
            <w:r w:rsidRPr="00B8199C">
              <w:rPr>
                <w:sz w:val="20"/>
                <w:szCs w:val="20"/>
                <w:lang w:val="fr-CA"/>
              </w:rPr>
              <w:t>Réalisation de nombreux bienfaits environnementaux mondiaux grâce à la bonne gestion des produits chimiques et des déchets » organisé par le Groupe de l’évaluation technique et économique et a été invité à participer aux échanges sur les liens reconnus, surtout concernant l’appauvrissement de la couche d’ozone</w:t>
            </w:r>
          </w:p>
        </w:tc>
        <w:tc>
          <w:tcPr>
            <w:tcW w:w="1080" w:type="dxa"/>
            <w:shd w:val="clear" w:color="auto" w:fill="auto"/>
            <w:tcMar>
              <w:left w:w="115" w:type="dxa"/>
              <w:right w:w="173" w:type="dxa"/>
            </w:tcMar>
            <w:vAlign w:val="center"/>
          </w:tcPr>
          <w:p w14:paraId="219FA4EC"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86</w:t>
            </w:r>
          </w:p>
        </w:tc>
      </w:tr>
      <w:tr w:rsidR="00047BAB" w:rsidRPr="00B8199C" w14:paraId="4E165574" w14:textId="77777777" w:rsidTr="00047BAB">
        <w:trPr>
          <w:cantSplit/>
        </w:trPr>
        <w:tc>
          <w:tcPr>
            <w:tcW w:w="8275" w:type="dxa"/>
            <w:shd w:val="clear" w:color="auto" w:fill="auto"/>
            <w:vAlign w:val="center"/>
          </w:tcPr>
          <w:p w14:paraId="3C79FA6B"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Observations sur les interventions concernant les activités de facilitation, le renforcement des institutions et le soutien à la ratification de l’Amendement de Kigali dans les pays à économie en transition, et examen d’un plan pour le Tadjikistan.</w:t>
            </w:r>
          </w:p>
        </w:tc>
        <w:tc>
          <w:tcPr>
            <w:tcW w:w="1080" w:type="dxa"/>
            <w:shd w:val="clear" w:color="auto" w:fill="auto"/>
            <w:tcMar>
              <w:left w:w="115" w:type="dxa"/>
              <w:right w:w="173" w:type="dxa"/>
            </w:tcMar>
            <w:vAlign w:val="center"/>
          </w:tcPr>
          <w:p w14:paraId="2E88B862"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86</w:t>
            </w:r>
          </w:p>
        </w:tc>
      </w:tr>
      <w:tr w:rsidR="00047BAB" w:rsidRPr="00B8199C" w14:paraId="652E4A5D" w14:textId="77777777" w:rsidTr="00047BAB">
        <w:trPr>
          <w:cantSplit/>
        </w:trPr>
        <w:tc>
          <w:tcPr>
            <w:tcW w:w="8275" w:type="dxa"/>
            <w:shd w:val="clear" w:color="auto" w:fill="auto"/>
            <w:vAlign w:val="center"/>
          </w:tcPr>
          <w:p w14:paraId="49D9126A" w14:textId="77777777" w:rsidR="00047BAB" w:rsidRPr="00B8199C" w:rsidRDefault="00047BAB" w:rsidP="00047BAB">
            <w:pPr>
              <w:spacing w:before="60" w:after="60"/>
              <w:rPr>
                <w:sz w:val="20"/>
                <w:szCs w:val="20"/>
                <w:lang w:val="fr-CA"/>
              </w:rPr>
            </w:pPr>
            <w:r w:rsidRPr="00B8199C">
              <w:rPr>
                <w:sz w:val="20"/>
                <w:szCs w:val="20"/>
                <w:lang w:val="fr-CA"/>
              </w:rPr>
              <w:t>Échanges informels en ligne entre le Secrétariat et le personnel du FEM sur les futures occasions de collaboration en matière d’efficacité énergétique.</w:t>
            </w:r>
          </w:p>
        </w:tc>
        <w:tc>
          <w:tcPr>
            <w:tcW w:w="1080" w:type="dxa"/>
            <w:shd w:val="clear" w:color="auto" w:fill="auto"/>
            <w:tcMar>
              <w:left w:w="115" w:type="dxa"/>
              <w:right w:w="173" w:type="dxa"/>
            </w:tcMar>
            <w:vAlign w:val="center"/>
          </w:tcPr>
          <w:p w14:paraId="27A44D18"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85</w:t>
            </w:r>
          </w:p>
        </w:tc>
      </w:tr>
      <w:tr w:rsidR="00047BAB" w:rsidRPr="00B8199C" w14:paraId="39EB4391" w14:textId="77777777" w:rsidTr="00047BAB">
        <w:trPr>
          <w:cantSplit/>
        </w:trPr>
        <w:tc>
          <w:tcPr>
            <w:tcW w:w="8275" w:type="dxa"/>
            <w:shd w:val="clear" w:color="auto" w:fill="auto"/>
            <w:vAlign w:val="center"/>
          </w:tcPr>
          <w:p w14:paraId="3BE7B7EA"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Examen d’un projet d’efficacité énergétique des climatiseurs dans les bâtiments pour l’Inde.</w:t>
            </w:r>
          </w:p>
        </w:tc>
        <w:tc>
          <w:tcPr>
            <w:tcW w:w="1080" w:type="dxa"/>
            <w:shd w:val="clear" w:color="auto" w:fill="auto"/>
            <w:tcMar>
              <w:left w:w="115" w:type="dxa"/>
              <w:right w:w="173" w:type="dxa"/>
            </w:tcMar>
            <w:vAlign w:val="center"/>
          </w:tcPr>
          <w:p w14:paraId="43875596"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84</w:t>
            </w:r>
          </w:p>
        </w:tc>
      </w:tr>
      <w:tr w:rsidR="00047BAB" w:rsidRPr="00B8199C" w14:paraId="1D2234CA" w14:textId="77777777" w:rsidTr="00047BAB">
        <w:trPr>
          <w:cantSplit/>
        </w:trPr>
        <w:tc>
          <w:tcPr>
            <w:tcW w:w="8275" w:type="dxa"/>
            <w:shd w:val="clear" w:color="auto" w:fill="auto"/>
            <w:vAlign w:val="center"/>
          </w:tcPr>
          <w:p w14:paraId="118BF6FB"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Examen d’un projet : Accélération de l’adoption du confort thermique durable : Transition vers l’efficacité énergétique et les villes résistantes au climat en Inde.</w:t>
            </w:r>
          </w:p>
        </w:tc>
        <w:tc>
          <w:tcPr>
            <w:tcW w:w="1080" w:type="dxa"/>
            <w:shd w:val="clear" w:color="auto" w:fill="auto"/>
            <w:tcMar>
              <w:left w:w="115" w:type="dxa"/>
              <w:right w:w="173" w:type="dxa"/>
            </w:tcMar>
            <w:vAlign w:val="center"/>
          </w:tcPr>
          <w:p w14:paraId="418EC4D7"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82</w:t>
            </w:r>
          </w:p>
        </w:tc>
      </w:tr>
      <w:tr w:rsidR="00047BAB" w:rsidRPr="00B8199C" w14:paraId="39AFEAE5" w14:textId="77777777" w:rsidTr="00047BAB">
        <w:trPr>
          <w:cantSplit/>
        </w:trPr>
        <w:tc>
          <w:tcPr>
            <w:tcW w:w="8275" w:type="dxa"/>
            <w:shd w:val="clear" w:color="auto" w:fill="auto"/>
            <w:vAlign w:val="center"/>
            <w:hideMark/>
          </w:tcPr>
          <w:p w14:paraId="444FE434"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Examen de quatre projets : Achèvement de l’élimination de la consommation de HCFC grâce à des technologies à faible PRG au Bélarus, projet 6046 du FEM ; Kazakhstan, Élimination des HCFC au Kazakhstan par la promotion de technologies éconergétiques sans SAO et à faible PRG, projet 6090 du FEM ; Élimination complète du HCFC au Tadjikistan par la promotion des technologies éconergétiques sans SAO et à faible PRG, projet 6030 du FEM ; Élimination complète du HCFC en Ouzbékistan par la promotion de technologies éconergétiques sans SAO et à faible PRG, projet 6003 du FEM.</w:t>
            </w:r>
          </w:p>
        </w:tc>
        <w:tc>
          <w:tcPr>
            <w:tcW w:w="1080" w:type="dxa"/>
            <w:shd w:val="clear" w:color="auto" w:fill="auto"/>
            <w:tcMar>
              <w:left w:w="115" w:type="dxa"/>
              <w:right w:w="173" w:type="dxa"/>
            </w:tcMar>
            <w:vAlign w:val="center"/>
            <w:hideMark/>
          </w:tcPr>
          <w:p w14:paraId="47F268EB"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80</w:t>
            </w:r>
          </w:p>
        </w:tc>
      </w:tr>
      <w:tr w:rsidR="00047BAB" w:rsidRPr="00B8199C" w14:paraId="722A9981" w14:textId="77777777" w:rsidTr="00047BAB">
        <w:trPr>
          <w:cantSplit/>
        </w:trPr>
        <w:tc>
          <w:tcPr>
            <w:tcW w:w="8275" w:type="dxa"/>
            <w:shd w:val="clear" w:color="auto" w:fill="auto"/>
            <w:vAlign w:val="center"/>
            <w:hideMark/>
          </w:tcPr>
          <w:p w14:paraId="2CD31FC5"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Examen du projet sur l’introduction de solutions de remplacement des SAO en agriculture après la récolte au Kazakhstan (projet 9184 du FEM).</w:t>
            </w:r>
          </w:p>
        </w:tc>
        <w:tc>
          <w:tcPr>
            <w:tcW w:w="1080" w:type="dxa"/>
            <w:shd w:val="clear" w:color="auto" w:fill="auto"/>
            <w:tcMar>
              <w:left w:w="115" w:type="dxa"/>
              <w:right w:w="173" w:type="dxa"/>
            </w:tcMar>
            <w:vAlign w:val="center"/>
          </w:tcPr>
          <w:p w14:paraId="3A769478"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76</w:t>
            </w:r>
          </w:p>
        </w:tc>
      </w:tr>
      <w:tr w:rsidR="00047BAB" w:rsidRPr="00B8199C" w14:paraId="06AD22D8" w14:textId="77777777" w:rsidTr="00047BAB">
        <w:trPr>
          <w:cantSplit/>
        </w:trPr>
        <w:tc>
          <w:tcPr>
            <w:tcW w:w="8275" w:type="dxa"/>
            <w:shd w:val="clear" w:color="auto" w:fill="auto"/>
            <w:vAlign w:val="center"/>
            <w:hideMark/>
          </w:tcPr>
          <w:p w14:paraId="674FE8DD"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Observations sur la proposition de projet sur le bromure de méthyle au Kazakhstan (financé par le FEM) ; présentation d’idées sur l’utilisation des fonds au titre de la FEM 6 pour l’élimination dans les pays visés à l’article 5 à économie en transition. Renseignements sur les échanges lors de récentes réunions au titre du Protocole de Montréal concernant les propositions pour amender le Protocole.</w:t>
            </w:r>
          </w:p>
        </w:tc>
        <w:tc>
          <w:tcPr>
            <w:tcW w:w="1080" w:type="dxa"/>
            <w:shd w:val="clear" w:color="auto" w:fill="auto"/>
            <w:tcMar>
              <w:left w:w="115" w:type="dxa"/>
              <w:right w:w="173" w:type="dxa"/>
            </w:tcMar>
            <w:vAlign w:val="center"/>
          </w:tcPr>
          <w:p w14:paraId="7FA561FD"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75</w:t>
            </w:r>
          </w:p>
        </w:tc>
      </w:tr>
      <w:tr w:rsidR="00047BAB" w:rsidRPr="00B8199C" w14:paraId="77939F63" w14:textId="77777777" w:rsidTr="00047BAB">
        <w:trPr>
          <w:cantSplit/>
        </w:trPr>
        <w:tc>
          <w:tcPr>
            <w:tcW w:w="8275" w:type="dxa"/>
            <w:shd w:val="clear" w:color="auto" w:fill="auto"/>
            <w:vAlign w:val="center"/>
            <w:hideMark/>
          </w:tcPr>
          <w:p w14:paraId="3B1E7CBB"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Examen du projet (Introduction de solutions de remplacement des SAO en agriculture après la récolte au Kazakhstan) par rapport aux politiques et aux lignes directrices du Fonds multilatéral.</w:t>
            </w:r>
          </w:p>
        </w:tc>
        <w:tc>
          <w:tcPr>
            <w:tcW w:w="1080" w:type="dxa"/>
            <w:shd w:val="clear" w:color="auto" w:fill="auto"/>
            <w:tcMar>
              <w:left w:w="115" w:type="dxa"/>
              <w:right w:w="173" w:type="dxa"/>
            </w:tcMar>
            <w:vAlign w:val="center"/>
          </w:tcPr>
          <w:p w14:paraId="1BA3D79F"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72</w:t>
            </w:r>
          </w:p>
        </w:tc>
      </w:tr>
      <w:tr w:rsidR="00047BAB" w:rsidRPr="00B8199C" w14:paraId="19C2272A" w14:textId="77777777" w:rsidTr="00047BAB">
        <w:trPr>
          <w:cantSplit/>
        </w:trPr>
        <w:tc>
          <w:tcPr>
            <w:tcW w:w="8275" w:type="dxa"/>
            <w:shd w:val="clear" w:color="auto" w:fill="auto"/>
            <w:vAlign w:val="center"/>
            <w:hideMark/>
          </w:tcPr>
          <w:p w14:paraId="755694BE"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Le Secrétariat a été invité à assister à la 45</w:t>
            </w:r>
            <w:r w:rsidRPr="00B8199C">
              <w:rPr>
                <w:color w:val="000000" w:themeColor="text1"/>
                <w:sz w:val="20"/>
                <w:szCs w:val="20"/>
                <w:vertAlign w:val="superscript"/>
                <w:lang w:val="fr-CA"/>
              </w:rPr>
              <w:t>e</w:t>
            </w:r>
            <w:r w:rsidRPr="00B8199C">
              <w:rPr>
                <w:color w:val="000000" w:themeColor="text1"/>
                <w:sz w:val="20"/>
                <w:szCs w:val="20"/>
                <w:lang w:val="fr-CA"/>
              </w:rPr>
              <w:t xml:space="preserve"> réunion du Conseil du FEM qui aurait lieu du 5 au 7 novembre 2013. Dans une invitation subséquente lancée au nouveau Chef du Secrétariat, la directrice générale et présidente du FEM a accueilli la reconduite de la coopération passée consistant à offrir de l’assistance aux Parties afin qu’elles respectent leurs obligations au titre du Protocole de Montréal et un renouvellement des liens de longue date entre les deux organisations. Dans sa réponse, le Chef du Secrétariat a informé la directrice générale que le Secrétariat du Fonds ne pourrait pas assister à la réunion du Conseil à cause des préparatifs pour la 71</w:t>
            </w:r>
            <w:r w:rsidRPr="00B8199C">
              <w:rPr>
                <w:color w:val="000000" w:themeColor="text1"/>
                <w:sz w:val="20"/>
                <w:szCs w:val="20"/>
                <w:vertAlign w:val="superscript"/>
                <w:lang w:val="fr-CA"/>
              </w:rPr>
              <w:t>e</w:t>
            </w:r>
            <w:r w:rsidRPr="00B8199C">
              <w:rPr>
                <w:color w:val="000000" w:themeColor="text1"/>
                <w:sz w:val="20"/>
                <w:szCs w:val="20"/>
                <w:lang w:val="fr-CA"/>
              </w:rPr>
              <w:t xml:space="preserve"> réunion, en ajoutant qu’il se réjouissait toutefois de faire sa connaissance afin de resserrer les liens avec le Secrétariat du FEM.</w:t>
            </w:r>
          </w:p>
        </w:tc>
        <w:tc>
          <w:tcPr>
            <w:tcW w:w="1080" w:type="dxa"/>
            <w:shd w:val="clear" w:color="auto" w:fill="auto"/>
            <w:tcMar>
              <w:left w:w="115" w:type="dxa"/>
              <w:right w:w="173" w:type="dxa"/>
            </w:tcMar>
            <w:vAlign w:val="center"/>
          </w:tcPr>
          <w:p w14:paraId="15953FED"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71</w:t>
            </w:r>
          </w:p>
        </w:tc>
      </w:tr>
      <w:tr w:rsidR="00047BAB" w:rsidRPr="00B8199C" w14:paraId="70F83A89" w14:textId="77777777" w:rsidTr="00047BAB">
        <w:trPr>
          <w:cantSplit/>
        </w:trPr>
        <w:tc>
          <w:tcPr>
            <w:tcW w:w="8275" w:type="dxa"/>
            <w:shd w:val="clear" w:color="auto" w:fill="auto"/>
            <w:vAlign w:val="center"/>
            <w:hideMark/>
          </w:tcPr>
          <w:p w14:paraId="48653559"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lastRenderedPageBreak/>
              <w:t>Le Secrétariat a participé à une réunion du Groupe consultatif technique sur les produits chimiques et les déchets du FEM (TAG) afin de transmettre ses commentaires sur le projet de stratégie pour le domaine d’intervention des produits chimiques et des déchets, dans le but d’orienter la sixième période de reconstitutions du FEM (FEM 6). Le projet de stratégie comprend les activités du FEM en lien avec le Protocole de Montréal.</w:t>
            </w:r>
          </w:p>
        </w:tc>
        <w:tc>
          <w:tcPr>
            <w:tcW w:w="1080" w:type="dxa"/>
            <w:shd w:val="clear" w:color="auto" w:fill="auto"/>
            <w:tcMar>
              <w:left w:w="115" w:type="dxa"/>
              <w:right w:w="173" w:type="dxa"/>
            </w:tcMar>
            <w:vAlign w:val="center"/>
          </w:tcPr>
          <w:p w14:paraId="6DBC6EEC" w14:textId="77777777" w:rsidR="00047BAB" w:rsidRPr="00B8199C" w:rsidRDefault="00047BAB" w:rsidP="00047BAB">
            <w:pPr>
              <w:spacing w:before="60" w:after="60"/>
              <w:jc w:val="right"/>
              <w:rPr>
                <w:color w:val="000000" w:themeColor="text1"/>
                <w:sz w:val="20"/>
                <w:szCs w:val="20"/>
                <w:lang w:val="fr-CA"/>
              </w:rPr>
            </w:pPr>
            <w:r w:rsidRPr="00B8199C">
              <w:rPr>
                <w:color w:val="000000" w:themeColor="text1"/>
                <w:sz w:val="20"/>
                <w:szCs w:val="20"/>
                <w:lang w:val="fr-CA"/>
              </w:rPr>
              <w:t>69</w:t>
            </w:r>
          </w:p>
        </w:tc>
      </w:tr>
      <w:tr w:rsidR="00047BAB" w:rsidRPr="00B8199C" w14:paraId="1D5F0A7F" w14:textId="77777777" w:rsidTr="00047BAB">
        <w:trPr>
          <w:cantSplit/>
        </w:trPr>
        <w:tc>
          <w:tcPr>
            <w:tcW w:w="8275" w:type="dxa"/>
            <w:shd w:val="clear" w:color="auto" w:fill="auto"/>
            <w:vAlign w:val="center"/>
            <w:hideMark/>
          </w:tcPr>
          <w:p w14:paraId="7DEA7BB3"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Il y a échange de lettres avec le directeur général du FEM depuis la 67</w:t>
            </w:r>
            <w:r w:rsidRPr="00B8199C">
              <w:rPr>
                <w:color w:val="000000" w:themeColor="text1"/>
                <w:sz w:val="20"/>
                <w:szCs w:val="20"/>
                <w:vertAlign w:val="superscript"/>
                <w:lang w:val="fr-CA"/>
              </w:rPr>
              <w:t>e</w:t>
            </w:r>
            <w:r w:rsidRPr="00B8199C">
              <w:rPr>
                <w:color w:val="000000" w:themeColor="text1"/>
                <w:sz w:val="20"/>
                <w:szCs w:val="20"/>
                <w:lang w:val="fr-CA"/>
              </w:rPr>
              <w:t xml:space="preserve"> réunion sur la coopération entre les deux organismes de financement. Une attention particulière a été accordée à la possibilité d’émettre une publication conjointe du Fonds multilatéral et du FEM sur la mise en œuvre du Protocole de Montréal au cours des 25 dernières années.</w:t>
            </w:r>
          </w:p>
        </w:tc>
        <w:tc>
          <w:tcPr>
            <w:tcW w:w="1080" w:type="dxa"/>
            <w:shd w:val="clear" w:color="auto" w:fill="auto"/>
            <w:tcMar>
              <w:left w:w="115" w:type="dxa"/>
              <w:right w:w="173" w:type="dxa"/>
            </w:tcMar>
            <w:vAlign w:val="center"/>
          </w:tcPr>
          <w:p w14:paraId="27986B74" w14:textId="77777777" w:rsidR="00047BAB" w:rsidRPr="00B8199C" w:rsidRDefault="00047BAB" w:rsidP="00047BAB">
            <w:pPr>
              <w:spacing w:before="60" w:after="60"/>
              <w:jc w:val="right"/>
              <w:rPr>
                <w:color w:val="000000" w:themeColor="text1"/>
                <w:sz w:val="20"/>
                <w:szCs w:val="20"/>
                <w:lang w:val="fr-CA"/>
              </w:rPr>
            </w:pPr>
            <w:r w:rsidRPr="00B8199C">
              <w:rPr>
                <w:color w:val="000000" w:themeColor="text1"/>
                <w:sz w:val="20"/>
                <w:szCs w:val="20"/>
                <w:lang w:val="fr-CA"/>
              </w:rPr>
              <w:t>68</w:t>
            </w:r>
          </w:p>
        </w:tc>
      </w:tr>
      <w:tr w:rsidR="00047BAB" w:rsidRPr="00B8199C" w14:paraId="602E0B00" w14:textId="77777777" w:rsidTr="00047BAB">
        <w:trPr>
          <w:cantSplit/>
        </w:trPr>
        <w:tc>
          <w:tcPr>
            <w:tcW w:w="9355" w:type="dxa"/>
            <w:gridSpan w:val="2"/>
            <w:shd w:val="clear" w:color="auto" w:fill="auto"/>
            <w:tcMar>
              <w:left w:w="115" w:type="dxa"/>
              <w:right w:w="173" w:type="dxa"/>
            </w:tcMar>
            <w:vAlign w:val="center"/>
          </w:tcPr>
          <w:p w14:paraId="62227D4E" w14:textId="77777777" w:rsidR="00047BAB" w:rsidRPr="00B8199C" w:rsidRDefault="00047BAB" w:rsidP="00047BAB">
            <w:pPr>
              <w:keepNext/>
              <w:spacing w:before="60" w:after="60"/>
              <w:rPr>
                <w:color w:val="000000" w:themeColor="text1"/>
                <w:sz w:val="20"/>
                <w:szCs w:val="20"/>
                <w:lang w:val="fr-CA"/>
              </w:rPr>
            </w:pPr>
            <w:r w:rsidRPr="00B8199C">
              <w:rPr>
                <w:b/>
                <w:color w:val="000000" w:themeColor="text1"/>
                <w:sz w:val="20"/>
                <w:szCs w:val="20"/>
                <w:lang w:val="fr-CA"/>
              </w:rPr>
              <w:t>Gouvernement de la France</w:t>
            </w:r>
          </w:p>
        </w:tc>
      </w:tr>
      <w:tr w:rsidR="00047BAB" w:rsidRPr="00B8199C" w14:paraId="3FF0C3F6" w14:textId="77777777" w:rsidTr="00047BAB">
        <w:trPr>
          <w:cantSplit/>
        </w:trPr>
        <w:tc>
          <w:tcPr>
            <w:tcW w:w="8275" w:type="dxa"/>
            <w:shd w:val="clear" w:color="auto" w:fill="auto"/>
            <w:vAlign w:val="center"/>
            <w:hideMark/>
          </w:tcPr>
          <w:p w14:paraId="6168EDE4" w14:textId="77777777" w:rsidR="00047BAB" w:rsidRPr="00B8199C" w:rsidRDefault="00047BAB" w:rsidP="00047BAB">
            <w:pPr>
              <w:spacing w:before="60" w:after="60"/>
              <w:rPr>
                <w:b/>
                <w:color w:val="000000" w:themeColor="text1"/>
                <w:sz w:val="20"/>
                <w:szCs w:val="20"/>
                <w:lang w:val="fr-CA"/>
              </w:rPr>
            </w:pPr>
            <w:r w:rsidRPr="00B8199C">
              <w:rPr>
                <w:color w:val="000000" w:themeColor="text1"/>
                <w:sz w:val="20"/>
                <w:szCs w:val="20"/>
                <w:lang w:val="fr-CA"/>
              </w:rPr>
              <w:t>Le Chef du Secrétariat a participé à un entretien sur la proposition d’évaluation rétrospective de la contribution de la France au Secrétariat du Fonds</w:t>
            </w:r>
            <w:r w:rsidRPr="00B8199C">
              <w:rPr>
                <w:b/>
                <w:color w:val="000000" w:themeColor="text1"/>
                <w:sz w:val="20"/>
                <w:szCs w:val="20"/>
                <w:lang w:val="fr-CA"/>
              </w:rPr>
              <w:t xml:space="preserve"> et a fourni des réponses aux questions de suivi afin d’offrir un aperçu du Fonds et des différents acteurs présents</w:t>
            </w:r>
          </w:p>
        </w:tc>
        <w:tc>
          <w:tcPr>
            <w:tcW w:w="1080" w:type="dxa"/>
            <w:shd w:val="clear" w:color="auto" w:fill="auto"/>
            <w:tcMar>
              <w:left w:w="115" w:type="dxa"/>
              <w:right w:w="173" w:type="dxa"/>
            </w:tcMar>
            <w:vAlign w:val="center"/>
            <w:hideMark/>
          </w:tcPr>
          <w:p w14:paraId="117B3D71" w14:textId="4F9B5344" w:rsidR="00047BAB" w:rsidRPr="00DD5FE9" w:rsidRDefault="00047BAB" w:rsidP="00047BAB">
            <w:pPr>
              <w:spacing w:before="60" w:after="60"/>
              <w:jc w:val="right"/>
              <w:rPr>
                <w:b/>
                <w:color w:val="000000" w:themeColor="text1"/>
                <w:sz w:val="20"/>
                <w:szCs w:val="20"/>
                <w:lang w:val="fr-CA"/>
              </w:rPr>
            </w:pPr>
            <w:r w:rsidRPr="00DD5FE9">
              <w:rPr>
                <w:color w:val="000000" w:themeColor="text1"/>
                <w:sz w:val="20"/>
                <w:szCs w:val="20"/>
                <w:lang w:val="en-US"/>
              </w:rPr>
              <w:t>86</w:t>
            </w:r>
            <w:r w:rsidR="00DD5FE9">
              <w:rPr>
                <w:b/>
                <w:color w:val="000000" w:themeColor="text1"/>
                <w:sz w:val="20"/>
                <w:szCs w:val="20"/>
                <w:lang w:val="fr-CA"/>
              </w:rPr>
              <w:t>/87</w:t>
            </w:r>
          </w:p>
        </w:tc>
      </w:tr>
      <w:tr w:rsidR="00047BAB" w:rsidRPr="00B8199C" w14:paraId="7C0C08C1" w14:textId="77777777" w:rsidTr="00047BAB">
        <w:trPr>
          <w:cantSplit/>
        </w:trPr>
        <w:tc>
          <w:tcPr>
            <w:tcW w:w="8275" w:type="dxa"/>
            <w:shd w:val="clear" w:color="auto" w:fill="auto"/>
            <w:vAlign w:val="center"/>
            <w:hideMark/>
          </w:tcPr>
          <w:p w14:paraId="129A78C8"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Visite de courtoisie au ministère de l’Économie et des Finances de la France. Les échanges ont notamment porté sur la coopération bilatérale du gouvernement de la France et la reconstitution du Fonds multilatéral pour la période triennale de 2021-2023.</w:t>
            </w:r>
          </w:p>
        </w:tc>
        <w:tc>
          <w:tcPr>
            <w:tcW w:w="1080" w:type="dxa"/>
            <w:shd w:val="clear" w:color="auto" w:fill="auto"/>
            <w:tcMar>
              <w:left w:w="115" w:type="dxa"/>
              <w:right w:w="173" w:type="dxa"/>
            </w:tcMar>
            <w:vAlign w:val="center"/>
            <w:hideMark/>
          </w:tcPr>
          <w:p w14:paraId="4B183DEA"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83</w:t>
            </w:r>
          </w:p>
        </w:tc>
      </w:tr>
      <w:tr w:rsidR="00047BAB" w:rsidRPr="00B8199C" w14:paraId="51AD88A5" w14:textId="77777777" w:rsidTr="00047BAB">
        <w:trPr>
          <w:cantSplit/>
        </w:trPr>
        <w:tc>
          <w:tcPr>
            <w:tcW w:w="8275" w:type="dxa"/>
            <w:shd w:val="clear" w:color="auto" w:fill="auto"/>
            <w:vAlign w:val="center"/>
            <w:hideMark/>
          </w:tcPr>
          <w:p w14:paraId="74B8D0A4"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Renseignements sur les modalités des contributions supplémentaires au Fonds multilatéral.</w:t>
            </w:r>
          </w:p>
        </w:tc>
        <w:tc>
          <w:tcPr>
            <w:tcW w:w="1080" w:type="dxa"/>
            <w:shd w:val="clear" w:color="auto" w:fill="auto"/>
            <w:tcMar>
              <w:left w:w="115" w:type="dxa"/>
              <w:right w:w="173" w:type="dxa"/>
            </w:tcMar>
            <w:vAlign w:val="center"/>
            <w:hideMark/>
          </w:tcPr>
          <w:p w14:paraId="71291F95"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77</w:t>
            </w:r>
          </w:p>
        </w:tc>
      </w:tr>
      <w:tr w:rsidR="00047BAB" w:rsidRPr="00775610" w14:paraId="435EECEA" w14:textId="77777777" w:rsidTr="00047BAB">
        <w:trPr>
          <w:cantSplit/>
        </w:trPr>
        <w:tc>
          <w:tcPr>
            <w:tcW w:w="9355" w:type="dxa"/>
            <w:gridSpan w:val="2"/>
            <w:shd w:val="clear" w:color="auto" w:fill="auto"/>
            <w:tcMar>
              <w:left w:w="115" w:type="dxa"/>
              <w:right w:w="173" w:type="dxa"/>
            </w:tcMar>
            <w:vAlign w:val="center"/>
          </w:tcPr>
          <w:p w14:paraId="096002FA" w14:textId="77777777" w:rsidR="00047BAB" w:rsidRPr="00B8199C" w:rsidRDefault="00047BAB" w:rsidP="00047BAB">
            <w:pPr>
              <w:keepNext/>
              <w:spacing w:before="60" w:after="60"/>
              <w:rPr>
                <w:color w:val="000000" w:themeColor="text1"/>
                <w:sz w:val="20"/>
                <w:szCs w:val="20"/>
                <w:lang w:val="fr-CA"/>
              </w:rPr>
            </w:pPr>
            <w:r w:rsidRPr="00B8199C">
              <w:rPr>
                <w:b/>
                <w:color w:val="000000" w:themeColor="text1"/>
                <w:sz w:val="20"/>
                <w:szCs w:val="20"/>
                <w:lang w:val="fr-CA"/>
              </w:rPr>
              <w:t>Fonds vert pour le climat (FVC)</w:t>
            </w:r>
          </w:p>
        </w:tc>
      </w:tr>
      <w:tr w:rsidR="00047BAB" w:rsidRPr="00B8199C" w14:paraId="7F4F1866" w14:textId="77777777" w:rsidTr="00047BAB">
        <w:trPr>
          <w:cantSplit/>
        </w:trPr>
        <w:tc>
          <w:tcPr>
            <w:tcW w:w="8275" w:type="dxa"/>
            <w:shd w:val="clear" w:color="auto" w:fill="auto"/>
            <w:vAlign w:val="center"/>
          </w:tcPr>
          <w:p w14:paraId="2BB39A69" w14:textId="77777777" w:rsidR="00047BAB" w:rsidRPr="00B8199C" w:rsidRDefault="00047BAB" w:rsidP="00047BAB">
            <w:pPr>
              <w:spacing w:before="60" w:after="60"/>
              <w:rPr>
                <w:sz w:val="20"/>
                <w:szCs w:val="20"/>
                <w:lang w:val="fr-CA"/>
              </w:rPr>
            </w:pPr>
            <w:r w:rsidRPr="00B8199C">
              <w:rPr>
                <w:sz w:val="20"/>
                <w:szCs w:val="20"/>
                <w:lang w:val="fr-CA"/>
              </w:rPr>
              <w:t>Échanges informels en ligne entre le Secrétariat et le personnel du FVC sur les futures possibilités de collaboration, après que la COVID-19 ait forcé l’annulation de la réunion de consultation sur l’élaboration de l’orientation sectorielle sur l’efficacité énergétique du FVC prévue pour le 27-28 février 2020.</w:t>
            </w:r>
          </w:p>
        </w:tc>
        <w:tc>
          <w:tcPr>
            <w:tcW w:w="1080" w:type="dxa"/>
            <w:shd w:val="clear" w:color="auto" w:fill="auto"/>
            <w:tcMar>
              <w:left w:w="115" w:type="dxa"/>
              <w:right w:w="173" w:type="dxa"/>
            </w:tcMar>
            <w:vAlign w:val="center"/>
          </w:tcPr>
          <w:p w14:paraId="243779F9"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85</w:t>
            </w:r>
          </w:p>
        </w:tc>
      </w:tr>
      <w:tr w:rsidR="00047BAB" w:rsidRPr="00B8199C" w14:paraId="4F69252C" w14:textId="77777777" w:rsidTr="00047BAB">
        <w:trPr>
          <w:cantSplit/>
        </w:trPr>
        <w:tc>
          <w:tcPr>
            <w:tcW w:w="8275" w:type="dxa"/>
            <w:shd w:val="clear" w:color="auto" w:fill="auto"/>
            <w:vAlign w:val="center"/>
          </w:tcPr>
          <w:p w14:paraId="1868042F" w14:textId="77777777" w:rsidR="00047BAB" w:rsidRPr="00B8199C" w:rsidRDefault="00047BAB" w:rsidP="00047BAB">
            <w:pPr>
              <w:spacing w:before="60" w:after="60"/>
              <w:rPr>
                <w:sz w:val="20"/>
                <w:szCs w:val="20"/>
                <w:lang w:val="fr-CA"/>
              </w:rPr>
            </w:pPr>
            <w:r w:rsidRPr="00B8199C">
              <w:rPr>
                <w:sz w:val="20"/>
                <w:szCs w:val="20"/>
                <w:lang w:val="fr-CA"/>
              </w:rPr>
              <w:t>Un représentant du FVC a rendu visite au Secrétariat et a participé à plusieurs réunions avec le personnel du Secrétariat, où il a pu partager des informations sur le fonctionnement des deux fonds et les futures occasions de collaboration.</w:t>
            </w:r>
          </w:p>
        </w:tc>
        <w:tc>
          <w:tcPr>
            <w:tcW w:w="1080" w:type="dxa"/>
            <w:shd w:val="clear" w:color="auto" w:fill="auto"/>
            <w:tcMar>
              <w:left w:w="115" w:type="dxa"/>
              <w:right w:w="173" w:type="dxa"/>
            </w:tcMar>
            <w:vAlign w:val="center"/>
          </w:tcPr>
          <w:p w14:paraId="69752DC1"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84</w:t>
            </w:r>
          </w:p>
        </w:tc>
      </w:tr>
      <w:tr w:rsidR="00047BAB" w:rsidRPr="00B8199C" w14:paraId="08437733" w14:textId="77777777" w:rsidTr="00047BAB">
        <w:trPr>
          <w:cantSplit/>
        </w:trPr>
        <w:tc>
          <w:tcPr>
            <w:tcW w:w="8275" w:type="dxa"/>
            <w:shd w:val="clear" w:color="auto" w:fill="auto"/>
            <w:vAlign w:val="center"/>
          </w:tcPr>
          <w:p w14:paraId="0FC3DD95"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Échanges informels entre le Chef du Secrétariat et le Secrétaire exécutif adjoint du FVC sur les questions d’intérêt pour les deux Fonds en marge de la quatrième session de l’assemblée des Nations Unies sur l’environnement.</w:t>
            </w:r>
          </w:p>
        </w:tc>
        <w:tc>
          <w:tcPr>
            <w:tcW w:w="1080" w:type="dxa"/>
            <w:shd w:val="clear" w:color="auto" w:fill="auto"/>
            <w:tcMar>
              <w:left w:w="115" w:type="dxa"/>
              <w:right w:w="173" w:type="dxa"/>
            </w:tcMar>
            <w:vAlign w:val="center"/>
          </w:tcPr>
          <w:p w14:paraId="68185360"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83</w:t>
            </w:r>
          </w:p>
        </w:tc>
      </w:tr>
      <w:tr w:rsidR="00047BAB" w:rsidRPr="00B8199C" w14:paraId="42BB9AE5" w14:textId="77777777" w:rsidTr="00047BAB">
        <w:trPr>
          <w:cantSplit/>
        </w:trPr>
        <w:tc>
          <w:tcPr>
            <w:tcW w:w="8275" w:type="dxa"/>
            <w:shd w:val="clear" w:color="auto" w:fill="auto"/>
            <w:vAlign w:val="center"/>
          </w:tcPr>
          <w:p w14:paraId="1F409388"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Documents de réunion sur les modalités de la déclaration des coûts administratifs des agences d’exécution, dont les documents : UNEP/OzL.Pro/ExCom/26/67, UNEP/OzL.Pro/ExCom/34/52, UNEP/OzL.Pro/ExCom/38/59, UNEP/OzL.Pro/ExCom/55/48 et UNEP/OzL.Pro/ExCom/80/43</w:t>
            </w:r>
          </w:p>
        </w:tc>
        <w:tc>
          <w:tcPr>
            <w:tcW w:w="1080" w:type="dxa"/>
            <w:shd w:val="clear" w:color="auto" w:fill="auto"/>
            <w:tcMar>
              <w:left w:w="115" w:type="dxa"/>
              <w:right w:w="173" w:type="dxa"/>
            </w:tcMar>
            <w:vAlign w:val="center"/>
          </w:tcPr>
          <w:p w14:paraId="0B687E22"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81</w:t>
            </w:r>
          </w:p>
        </w:tc>
      </w:tr>
      <w:tr w:rsidR="00047BAB" w:rsidRPr="00B8199C" w14:paraId="5E929D46" w14:textId="77777777" w:rsidTr="00047BAB">
        <w:trPr>
          <w:cantSplit/>
        </w:trPr>
        <w:tc>
          <w:tcPr>
            <w:tcW w:w="8275" w:type="dxa"/>
            <w:shd w:val="clear" w:color="auto" w:fill="auto"/>
            <w:vAlign w:val="center"/>
            <w:hideMark/>
          </w:tcPr>
          <w:p w14:paraId="3232140A"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Conférence téléphonique afin de fournir des informations sur les pratiques du Fonds multilatéral concernant les prêts à des conditions de faveur et les surcoûts.</w:t>
            </w:r>
          </w:p>
        </w:tc>
        <w:tc>
          <w:tcPr>
            <w:tcW w:w="1080" w:type="dxa"/>
            <w:shd w:val="clear" w:color="auto" w:fill="auto"/>
            <w:tcMar>
              <w:left w:w="115" w:type="dxa"/>
              <w:right w:w="173" w:type="dxa"/>
            </w:tcMar>
            <w:vAlign w:val="center"/>
          </w:tcPr>
          <w:p w14:paraId="46379D19"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80</w:t>
            </w:r>
          </w:p>
        </w:tc>
      </w:tr>
      <w:tr w:rsidR="00047BAB" w:rsidRPr="00B8199C" w14:paraId="0DBC4B7F" w14:textId="77777777" w:rsidTr="00047BAB">
        <w:trPr>
          <w:cantSplit/>
        </w:trPr>
        <w:tc>
          <w:tcPr>
            <w:tcW w:w="8275" w:type="dxa"/>
            <w:shd w:val="clear" w:color="auto" w:fill="auto"/>
            <w:vAlign w:val="center"/>
          </w:tcPr>
          <w:p w14:paraId="39A8746D"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Offre d’un lien aux documents d’intérêt pour le Groupe de l’évaluation technique et économique, le Groupe d’évaluation scientifique et le Groupe d’évaluation des effets sur l’environnement sur le site Web du Secrétariat de l’ozone, et une rencontre d’introduction avec le spécialiste des communications du Secrétariat de l’ozone ;</w:t>
            </w:r>
          </w:p>
          <w:p w14:paraId="0E8745F4"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Des documents ont été fournis, dont le document d’introduction du Comité exécutif ; les politiques, procédures, lignes directrices et critères du Fonds multilatéral ; la présentation sur la Gouvernance, le modèle d’affaires, les réalisations et les défis du Fonds multilatéral ; des exemples de documents de présession sur la planification des affaires et des propositions de projets ; des programmes de travail de suivi et évaluation et des rapports d’achèvement de projet ; des modèles de plans d’activités ; des lignes directrices sur l’établissement des rapports périodiques ; des rapports de deux évaluations du renforcement des institutions, et le programme de travail de suivi et évaluation.</w:t>
            </w:r>
          </w:p>
        </w:tc>
        <w:tc>
          <w:tcPr>
            <w:tcW w:w="1080" w:type="dxa"/>
            <w:shd w:val="clear" w:color="auto" w:fill="auto"/>
            <w:tcMar>
              <w:left w:w="115" w:type="dxa"/>
              <w:right w:w="173" w:type="dxa"/>
            </w:tcMar>
            <w:vAlign w:val="center"/>
          </w:tcPr>
          <w:p w14:paraId="769358A3"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77</w:t>
            </w:r>
          </w:p>
        </w:tc>
      </w:tr>
      <w:tr w:rsidR="00047BAB" w:rsidRPr="00B8199C" w14:paraId="5E69D26C" w14:textId="77777777" w:rsidTr="00047BAB">
        <w:trPr>
          <w:cantSplit/>
        </w:trPr>
        <w:tc>
          <w:tcPr>
            <w:tcW w:w="8275" w:type="dxa"/>
            <w:shd w:val="clear" w:color="auto" w:fill="auto"/>
            <w:vAlign w:val="center"/>
            <w:hideMark/>
          </w:tcPr>
          <w:p w14:paraId="0BA8F85E"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L’expérience du Secrétariat du Fonds concernant l’établissement d’arrangements légaux avec les organes d’exécution et la mise en place d’un système de rapports périodiques pour le Fonds multilatéral.</w:t>
            </w:r>
          </w:p>
        </w:tc>
        <w:tc>
          <w:tcPr>
            <w:tcW w:w="1080" w:type="dxa"/>
            <w:shd w:val="clear" w:color="auto" w:fill="auto"/>
            <w:tcMar>
              <w:left w:w="115" w:type="dxa"/>
              <w:right w:w="173" w:type="dxa"/>
            </w:tcMar>
            <w:vAlign w:val="center"/>
            <w:hideMark/>
          </w:tcPr>
          <w:p w14:paraId="6C4CEE96"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76</w:t>
            </w:r>
          </w:p>
        </w:tc>
      </w:tr>
      <w:tr w:rsidR="00047BAB" w:rsidRPr="00B8199C" w14:paraId="67DD2E22" w14:textId="77777777" w:rsidTr="00047BAB">
        <w:trPr>
          <w:cantSplit/>
        </w:trPr>
        <w:tc>
          <w:tcPr>
            <w:tcW w:w="8275" w:type="dxa"/>
            <w:shd w:val="clear" w:color="auto" w:fill="auto"/>
            <w:vAlign w:val="center"/>
            <w:hideMark/>
          </w:tcPr>
          <w:p w14:paraId="1CBA62A9"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lastRenderedPageBreak/>
              <w:t>Renseignements sur les indicateurs d’efficacité développés pour le Fonds multilatéral ;</w:t>
            </w:r>
          </w:p>
          <w:p w14:paraId="3567B6AD"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Renseignements sur les échanges lors de récentes réunions du Protocole de Montréal concernant les propositions d’amendement au Protocole de Montréal ;</w:t>
            </w:r>
          </w:p>
          <w:p w14:paraId="66D7D70C"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Renseignements sur le cadre de suivi et de comptabilité du Fonds multilatéral, dont le chapitre XI des politiques, procédures, lignes directrices et critères du Fonds multilatéral (suivi et évaluation) ;</w:t>
            </w:r>
          </w:p>
          <w:p w14:paraId="0161DD27"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Présentation sur le renforcement des capacités au titre du Protocole de Montréal.</w:t>
            </w:r>
          </w:p>
        </w:tc>
        <w:tc>
          <w:tcPr>
            <w:tcW w:w="1080" w:type="dxa"/>
            <w:shd w:val="clear" w:color="auto" w:fill="auto"/>
            <w:tcMar>
              <w:left w:w="115" w:type="dxa"/>
              <w:right w:w="173" w:type="dxa"/>
            </w:tcMar>
            <w:vAlign w:val="center"/>
            <w:hideMark/>
          </w:tcPr>
          <w:p w14:paraId="226DC2F6"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75</w:t>
            </w:r>
          </w:p>
        </w:tc>
      </w:tr>
      <w:tr w:rsidR="00047BAB" w:rsidRPr="00B8199C" w14:paraId="4EA0AF79" w14:textId="77777777" w:rsidTr="00047BAB">
        <w:trPr>
          <w:cantSplit/>
        </w:trPr>
        <w:tc>
          <w:tcPr>
            <w:tcW w:w="8275" w:type="dxa"/>
            <w:shd w:val="clear" w:color="auto" w:fill="auto"/>
            <w:vAlign w:val="center"/>
            <w:hideMark/>
          </w:tcPr>
          <w:p w14:paraId="2B3FC0BB"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Présentation sur le Fonds multilatéral et exemples de documents clés, dont les activités du Secrétariat, l’état du Fonds, le plan d’activités général et les rapports périodiques, et un échantillonnage de propositions de projets et de documents d’orientation. D’autres détails et échanges sur le Fonds multilatéral.</w:t>
            </w:r>
          </w:p>
        </w:tc>
        <w:tc>
          <w:tcPr>
            <w:tcW w:w="1080" w:type="dxa"/>
            <w:shd w:val="clear" w:color="auto" w:fill="auto"/>
            <w:tcMar>
              <w:left w:w="115" w:type="dxa"/>
              <w:right w:w="173" w:type="dxa"/>
            </w:tcMar>
            <w:vAlign w:val="center"/>
            <w:hideMark/>
          </w:tcPr>
          <w:p w14:paraId="47D19728"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74</w:t>
            </w:r>
          </w:p>
        </w:tc>
      </w:tr>
      <w:tr w:rsidR="00047BAB" w:rsidRPr="00B8199C" w14:paraId="0B3FA9EA" w14:textId="77777777" w:rsidTr="00047BAB">
        <w:trPr>
          <w:cantSplit/>
        </w:trPr>
        <w:tc>
          <w:tcPr>
            <w:tcW w:w="8275" w:type="dxa"/>
            <w:shd w:val="clear" w:color="auto" w:fill="auto"/>
            <w:vAlign w:val="center"/>
            <w:hideMark/>
          </w:tcPr>
          <w:p w14:paraId="05789BEA"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Aperçu des objectifs et du fonctionnement du Fonds multilatéral, y compris son processus d’examen des projets, l’élaboration de politiques, le processus de réunion et la mise en œuvre des décisions du Comité exécutif.</w:t>
            </w:r>
          </w:p>
        </w:tc>
        <w:tc>
          <w:tcPr>
            <w:tcW w:w="1080" w:type="dxa"/>
            <w:shd w:val="clear" w:color="auto" w:fill="auto"/>
            <w:tcMar>
              <w:left w:w="115" w:type="dxa"/>
              <w:right w:w="173" w:type="dxa"/>
            </w:tcMar>
            <w:vAlign w:val="center"/>
            <w:hideMark/>
          </w:tcPr>
          <w:p w14:paraId="7F020325"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72</w:t>
            </w:r>
          </w:p>
        </w:tc>
      </w:tr>
      <w:tr w:rsidR="00047BAB" w:rsidRPr="00B8199C" w14:paraId="4F65B47E" w14:textId="77777777" w:rsidTr="00047BAB">
        <w:trPr>
          <w:cantSplit/>
        </w:trPr>
        <w:tc>
          <w:tcPr>
            <w:tcW w:w="8275" w:type="dxa"/>
            <w:shd w:val="clear" w:color="auto" w:fill="auto"/>
            <w:vAlign w:val="center"/>
            <w:hideMark/>
          </w:tcPr>
          <w:p w14:paraId="24663912"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Le Secrétariat intérimaire du FEM a écrit au Fonds multilatéral le 24 septembre 2013 afin de l’inviter à assister à la 5</w:t>
            </w:r>
            <w:r w:rsidRPr="00B8199C">
              <w:rPr>
                <w:color w:val="000000" w:themeColor="text1"/>
                <w:sz w:val="20"/>
                <w:szCs w:val="20"/>
                <w:vertAlign w:val="superscript"/>
                <w:lang w:val="fr-CA"/>
              </w:rPr>
              <w:t>e</w:t>
            </w:r>
            <w:r w:rsidRPr="00B8199C">
              <w:rPr>
                <w:color w:val="000000" w:themeColor="text1"/>
                <w:sz w:val="20"/>
                <w:szCs w:val="20"/>
                <w:lang w:val="fr-CA"/>
              </w:rPr>
              <w:t xml:space="preserve"> réunion du conseil du FEM en qualité d’observateur, en précisant toutefois que la qualité d’observateur du Fonds multilatéral n’avait pas encore été approuvée. Le Secrétariat du Fonds n’a pas pu assister à la réunion du conseil, qui s’est déroulée du 8 au 10 octobre, à cause des préparatifs pour la 71</w:t>
            </w:r>
            <w:r w:rsidRPr="00B8199C">
              <w:rPr>
                <w:color w:val="000000" w:themeColor="text1"/>
                <w:sz w:val="20"/>
                <w:szCs w:val="20"/>
                <w:vertAlign w:val="superscript"/>
                <w:lang w:val="fr-CA"/>
              </w:rPr>
              <w:t>e</w:t>
            </w:r>
            <w:r w:rsidRPr="00B8199C">
              <w:rPr>
                <w:color w:val="000000" w:themeColor="text1"/>
                <w:sz w:val="20"/>
                <w:szCs w:val="20"/>
                <w:lang w:val="fr-CA"/>
              </w:rPr>
              <w:t xml:space="preserve"> réunion. Le Secrétariat a été informé dans une lettre datée du 21 octobre 2013 que la prochaine réunion du conseil aurait lieu en Indonésie du 19 au 21 février 2014 et que la qualité d’observateur du Fonds multilatéral avait été approuvée par un amendement à la décision B.04/15. Le Fonds multilatéral a aussi été invité à nommer une personne</w:t>
            </w:r>
            <w:r w:rsidRPr="00B8199C">
              <w:rPr>
                <w:color w:val="000000" w:themeColor="text1"/>
                <w:sz w:val="20"/>
                <w:szCs w:val="20"/>
                <w:lang w:val="fr-CA"/>
              </w:rPr>
              <w:noBreakHyphen/>
              <w:t>ressource.</w:t>
            </w:r>
          </w:p>
        </w:tc>
        <w:tc>
          <w:tcPr>
            <w:tcW w:w="1080" w:type="dxa"/>
            <w:shd w:val="clear" w:color="auto" w:fill="auto"/>
            <w:tcMar>
              <w:left w:w="115" w:type="dxa"/>
              <w:right w:w="173" w:type="dxa"/>
            </w:tcMar>
            <w:vAlign w:val="center"/>
            <w:hideMark/>
          </w:tcPr>
          <w:p w14:paraId="00A830D3"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71</w:t>
            </w:r>
          </w:p>
        </w:tc>
      </w:tr>
      <w:tr w:rsidR="00047BAB" w:rsidRPr="00775610" w14:paraId="629C1925" w14:textId="77777777" w:rsidTr="00047BAB">
        <w:trPr>
          <w:cantSplit/>
        </w:trPr>
        <w:tc>
          <w:tcPr>
            <w:tcW w:w="9355" w:type="dxa"/>
            <w:gridSpan w:val="2"/>
            <w:shd w:val="clear" w:color="auto" w:fill="auto"/>
            <w:tcMar>
              <w:left w:w="115" w:type="dxa"/>
              <w:right w:w="173" w:type="dxa"/>
            </w:tcMar>
            <w:vAlign w:val="center"/>
          </w:tcPr>
          <w:p w14:paraId="0BCA1534" w14:textId="77777777" w:rsidR="00047BAB" w:rsidRPr="00B8199C" w:rsidRDefault="00047BAB" w:rsidP="00047BAB">
            <w:pPr>
              <w:keepNext/>
              <w:spacing w:before="60" w:after="60"/>
              <w:rPr>
                <w:color w:val="000000" w:themeColor="text1"/>
                <w:sz w:val="20"/>
                <w:szCs w:val="20"/>
                <w:lang w:val="fr-CA"/>
              </w:rPr>
            </w:pPr>
            <w:r w:rsidRPr="00B8199C">
              <w:rPr>
                <w:b/>
                <w:color w:val="000000" w:themeColor="text1"/>
                <w:sz w:val="20"/>
                <w:szCs w:val="20"/>
                <w:lang w:val="fr-CA"/>
              </w:rPr>
              <w:t>École de gestion de Grenoble</w:t>
            </w:r>
          </w:p>
        </w:tc>
      </w:tr>
      <w:tr w:rsidR="00047BAB" w:rsidRPr="00B8199C" w14:paraId="6C77479B" w14:textId="77777777" w:rsidTr="00047BAB">
        <w:trPr>
          <w:cantSplit/>
        </w:trPr>
        <w:tc>
          <w:tcPr>
            <w:tcW w:w="8275" w:type="dxa"/>
            <w:shd w:val="clear" w:color="auto" w:fill="auto"/>
            <w:vAlign w:val="center"/>
            <w:hideMark/>
          </w:tcPr>
          <w:p w14:paraId="197D958F"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Renseignements sur les politiques et directives du Fonds multilatéral et le processus d’approbation de projet pour une étude sur les courbes d’apprentissage de la technologie.</w:t>
            </w:r>
          </w:p>
        </w:tc>
        <w:tc>
          <w:tcPr>
            <w:tcW w:w="1080" w:type="dxa"/>
            <w:shd w:val="clear" w:color="auto" w:fill="auto"/>
            <w:tcMar>
              <w:left w:w="115" w:type="dxa"/>
              <w:right w:w="173" w:type="dxa"/>
            </w:tcMar>
            <w:vAlign w:val="center"/>
            <w:hideMark/>
          </w:tcPr>
          <w:p w14:paraId="01DF3EC2"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80</w:t>
            </w:r>
          </w:p>
        </w:tc>
      </w:tr>
      <w:tr w:rsidR="00047BAB" w:rsidRPr="00775610" w14:paraId="05AA6CE0" w14:textId="77777777" w:rsidTr="00047BAB">
        <w:trPr>
          <w:cantSplit/>
        </w:trPr>
        <w:tc>
          <w:tcPr>
            <w:tcW w:w="9355" w:type="dxa"/>
            <w:gridSpan w:val="2"/>
            <w:shd w:val="clear" w:color="auto" w:fill="auto"/>
            <w:tcMar>
              <w:left w:w="115" w:type="dxa"/>
              <w:right w:w="173" w:type="dxa"/>
            </w:tcMar>
            <w:vAlign w:val="center"/>
          </w:tcPr>
          <w:p w14:paraId="3702E8D1" w14:textId="77777777" w:rsidR="00047BAB" w:rsidRPr="00B8199C" w:rsidRDefault="00047BAB" w:rsidP="00047BAB">
            <w:pPr>
              <w:spacing w:before="60" w:after="60"/>
              <w:rPr>
                <w:color w:val="000000" w:themeColor="text1"/>
                <w:sz w:val="20"/>
                <w:szCs w:val="20"/>
                <w:lang w:val="fr-CA"/>
              </w:rPr>
            </w:pPr>
            <w:r w:rsidRPr="00B8199C">
              <w:rPr>
                <w:b/>
                <w:color w:val="000000" w:themeColor="text1"/>
                <w:sz w:val="20"/>
                <w:szCs w:val="20"/>
                <w:lang w:val="fr-CA"/>
              </w:rPr>
              <w:t>Plateforme intergouvernementale scientifique et politique sur la biodiversité et les services écosystémiques (IPBES)</w:t>
            </w:r>
          </w:p>
        </w:tc>
      </w:tr>
      <w:tr w:rsidR="00047BAB" w:rsidRPr="00B8199C" w14:paraId="0811CBDA" w14:textId="77777777" w:rsidTr="00047BAB">
        <w:trPr>
          <w:cantSplit/>
        </w:trPr>
        <w:tc>
          <w:tcPr>
            <w:tcW w:w="8275" w:type="dxa"/>
            <w:shd w:val="clear" w:color="auto" w:fill="auto"/>
            <w:vAlign w:val="center"/>
            <w:hideMark/>
          </w:tcPr>
          <w:p w14:paraId="761F83C5"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Renseignements sur les pratiques entourant le soutien financier offert aux participants/délégués aux réunions.</w:t>
            </w:r>
          </w:p>
        </w:tc>
        <w:tc>
          <w:tcPr>
            <w:tcW w:w="1080" w:type="dxa"/>
            <w:shd w:val="clear" w:color="auto" w:fill="auto"/>
            <w:tcMar>
              <w:left w:w="115" w:type="dxa"/>
              <w:right w:w="173" w:type="dxa"/>
            </w:tcMar>
            <w:vAlign w:val="center"/>
            <w:hideMark/>
          </w:tcPr>
          <w:p w14:paraId="320F17D3"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75</w:t>
            </w:r>
          </w:p>
        </w:tc>
      </w:tr>
      <w:tr w:rsidR="00047BAB" w:rsidRPr="00775610" w14:paraId="25EB6FF5" w14:textId="77777777" w:rsidTr="00047BAB">
        <w:trPr>
          <w:cantSplit/>
        </w:trPr>
        <w:tc>
          <w:tcPr>
            <w:tcW w:w="9355" w:type="dxa"/>
            <w:gridSpan w:val="2"/>
            <w:shd w:val="clear" w:color="auto" w:fill="auto"/>
            <w:tcMar>
              <w:left w:w="115" w:type="dxa"/>
              <w:right w:w="173" w:type="dxa"/>
            </w:tcMar>
            <w:vAlign w:val="center"/>
          </w:tcPr>
          <w:p w14:paraId="2DC627A3" w14:textId="77777777" w:rsidR="00047BAB" w:rsidRPr="00B8199C" w:rsidRDefault="00047BAB" w:rsidP="00047BAB">
            <w:pPr>
              <w:keepNext/>
              <w:spacing w:before="60" w:after="60"/>
              <w:rPr>
                <w:color w:val="000000" w:themeColor="text1"/>
                <w:sz w:val="20"/>
                <w:szCs w:val="20"/>
                <w:lang w:val="fr-CA"/>
              </w:rPr>
            </w:pPr>
            <w:r w:rsidRPr="00B8199C">
              <w:rPr>
                <w:b/>
                <w:color w:val="000000" w:themeColor="text1"/>
                <w:sz w:val="20"/>
                <w:szCs w:val="20"/>
                <w:lang w:val="fr-CA"/>
              </w:rPr>
              <w:t>Agence internationale de l’énergie (AIE)</w:t>
            </w:r>
          </w:p>
        </w:tc>
      </w:tr>
      <w:tr w:rsidR="00047BAB" w:rsidRPr="00B8199C" w14:paraId="5212A032" w14:textId="77777777" w:rsidTr="00047BAB">
        <w:trPr>
          <w:cantSplit/>
        </w:trPr>
        <w:tc>
          <w:tcPr>
            <w:tcW w:w="8275" w:type="dxa"/>
            <w:shd w:val="clear" w:color="auto" w:fill="auto"/>
            <w:vAlign w:val="center"/>
            <w:hideMark/>
          </w:tcPr>
          <w:p w14:paraId="5432D861"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Le Secrétariat et le Secrétaire exécutif du Secrétariat de l’ozone ont rencontré un représentant de l’AIE. Le Secrétariat a expliqué les travaux sur l’efficacité énergétique dans le contexte de l’Amendement de Kigali. Le représentant de l’AIE a indiqué que l’organisation avait entrepris une compilation des politiques et normes sur l’efficacité énergétique dans différents pays, qu’elle a ensuite mise à la disposition du Secrétariat. Le représentant aussi partagé un rapport sur le refroidissement préparé par l’AEI.</w:t>
            </w:r>
          </w:p>
        </w:tc>
        <w:tc>
          <w:tcPr>
            <w:tcW w:w="1080" w:type="dxa"/>
            <w:shd w:val="clear" w:color="auto" w:fill="auto"/>
            <w:tcMar>
              <w:left w:w="115" w:type="dxa"/>
              <w:right w:w="173" w:type="dxa"/>
            </w:tcMar>
            <w:vAlign w:val="center"/>
            <w:hideMark/>
          </w:tcPr>
          <w:p w14:paraId="3DA3DAEE"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83</w:t>
            </w:r>
          </w:p>
        </w:tc>
      </w:tr>
      <w:tr w:rsidR="00047BAB" w:rsidRPr="00775610" w14:paraId="086B8297" w14:textId="77777777" w:rsidTr="00047BAB">
        <w:trPr>
          <w:cantSplit/>
        </w:trPr>
        <w:tc>
          <w:tcPr>
            <w:tcW w:w="9355" w:type="dxa"/>
            <w:gridSpan w:val="2"/>
            <w:shd w:val="clear" w:color="auto" w:fill="auto"/>
            <w:tcMar>
              <w:left w:w="115" w:type="dxa"/>
              <w:right w:w="173" w:type="dxa"/>
            </w:tcMar>
            <w:vAlign w:val="center"/>
          </w:tcPr>
          <w:p w14:paraId="2F987FCC" w14:textId="77777777" w:rsidR="00047BAB" w:rsidRPr="00B8199C" w:rsidRDefault="00047BAB" w:rsidP="00047BAB">
            <w:pPr>
              <w:spacing w:before="60" w:after="60"/>
              <w:rPr>
                <w:color w:val="000000" w:themeColor="text1"/>
                <w:sz w:val="20"/>
                <w:szCs w:val="20"/>
                <w:lang w:val="fr-CA"/>
              </w:rPr>
            </w:pPr>
            <w:r w:rsidRPr="00B8199C">
              <w:rPr>
                <w:b/>
                <w:color w:val="000000" w:themeColor="text1"/>
                <w:sz w:val="20"/>
                <w:szCs w:val="20"/>
                <w:lang w:val="fr-CA"/>
              </w:rPr>
              <w:t>Corps commun d’inspection des Nations Unies</w:t>
            </w:r>
          </w:p>
        </w:tc>
      </w:tr>
      <w:tr w:rsidR="00047BAB" w:rsidRPr="00B8199C" w14:paraId="1E0E2CE4" w14:textId="77777777" w:rsidTr="00047BAB">
        <w:trPr>
          <w:cantSplit/>
        </w:trPr>
        <w:tc>
          <w:tcPr>
            <w:tcW w:w="8275" w:type="dxa"/>
            <w:shd w:val="clear" w:color="auto" w:fill="auto"/>
            <w:vAlign w:val="center"/>
          </w:tcPr>
          <w:p w14:paraId="1F7D874A"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Le Secrétariat a rempli un questionnaire portant sur l’examen de politiques et pratiques écologiquement durables à l’échelle du système des Nations Unies.</w:t>
            </w:r>
          </w:p>
        </w:tc>
        <w:tc>
          <w:tcPr>
            <w:tcW w:w="1080" w:type="dxa"/>
            <w:shd w:val="clear" w:color="auto" w:fill="auto"/>
            <w:tcMar>
              <w:left w:w="115" w:type="dxa"/>
              <w:right w:w="173" w:type="dxa"/>
            </w:tcMar>
            <w:vAlign w:val="center"/>
          </w:tcPr>
          <w:p w14:paraId="2DBBF0B5"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86</w:t>
            </w:r>
          </w:p>
        </w:tc>
      </w:tr>
      <w:tr w:rsidR="00047BAB" w:rsidRPr="00B8199C" w14:paraId="7658947D" w14:textId="77777777" w:rsidTr="00047BAB">
        <w:trPr>
          <w:cantSplit/>
        </w:trPr>
        <w:tc>
          <w:tcPr>
            <w:tcW w:w="8275" w:type="dxa"/>
            <w:shd w:val="clear" w:color="auto" w:fill="auto"/>
            <w:vAlign w:val="center"/>
            <w:hideMark/>
          </w:tcPr>
          <w:p w14:paraId="20DCF834"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Sommaire actualisé des renseignements sur l’assistance technique et le financement accordé aux petits États insulaires en développement au titre du Fonds multilatéral, qui avait déjà été distribué en février 2015. D’autres précisions ont été apportées le 20 octobre et le 7 novembre 2016.</w:t>
            </w:r>
          </w:p>
        </w:tc>
        <w:tc>
          <w:tcPr>
            <w:tcW w:w="1080" w:type="dxa"/>
            <w:shd w:val="clear" w:color="auto" w:fill="auto"/>
            <w:tcMar>
              <w:left w:w="115" w:type="dxa"/>
              <w:right w:w="173" w:type="dxa"/>
            </w:tcMar>
            <w:vAlign w:val="center"/>
            <w:hideMark/>
          </w:tcPr>
          <w:p w14:paraId="582AA068"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77</w:t>
            </w:r>
          </w:p>
        </w:tc>
      </w:tr>
      <w:tr w:rsidR="00047BAB" w:rsidRPr="00B8199C" w14:paraId="28E7A162" w14:textId="77777777" w:rsidTr="00047BAB">
        <w:trPr>
          <w:cantSplit/>
        </w:trPr>
        <w:tc>
          <w:tcPr>
            <w:tcW w:w="8275" w:type="dxa"/>
            <w:shd w:val="clear" w:color="auto" w:fill="auto"/>
            <w:vAlign w:val="center"/>
            <w:hideMark/>
          </w:tcPr>
          <w:p w14:paraId="3F457007"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Observations sur le document Examen des activités et des ressources consacrées à la lutte contre les changements climatiques à l’échelle du système des Nations Unies ;</w:t>
            </w:r>
          </w:p>
          <w:p w14:paraId="65E796AE"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Renseignements fondamentaux, dont un sommaire de l’assistance technique et du financement fourni aux petits États insulaires au titre du Fonds multilatéral et renseignements exhaustifs sur les projets du Fonds multilatéral approuvés pour chaque pays.</w:t>
            </w:r>
          </w:p>
        </w:tc>
        <w:tc>
          <w:tcPr>
            <w:tcW w:w="1080" w:type="dxa"/>
            <w:shd w:val="clear" w:color="auto" w:fill="auto"/>
            <w:tcMar>
              <w:left w:w="115" w:type="dxa"/>
              <w:right w:w="173" w:type="dxa"/>
            </w:tcMar>
            <w:vAlign w:val="center"/>
          </w:tcPr>
          <w:p w14:paraId="008C7EC3"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74</w:t>
            </w:r>
          </w:p>
        </w:tc>
      </w:tr>
      <w:tr w:rsidR="00047BAB" w:rsidRPr="00B8199C" w14:paraId="03206D8C" w14:textId="77777777" w:rsidTr="00047BAB">
        <w:trPr>
          <w:cantSplit/>
        </w:trPr>
        <w:tc>
          <w:tcPr>
            <w:tcW w:w="8275" w:type="dxa"/>
            <w:shd w:val="clear" w:color="auto" w:fill="auto"/>
            <w:vAlign w:val="center"/>
            <w:hideMark/>
          </w:tcPr>
          <w:p w14:paraId="5926FC53"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lastRenderedPageBreak/>
              <w:t>Le Secrétariat a rempli un questionnaire sur l’examen des activités et ressources consacrées à la lutte contre les changements climatiques.</w:t>
            </w:r>
          </w:p>
        </w:tc>
        <w:tc>
          <w:tcPr>
            <w:tcW w:w="1080" w:type="dxa"/>
            <w:shd w:val="clear" w:color="auto" w:fill="auto"/>
            <w:tcMar>
              <w:left w:w="115" w:type="dxa"/>
              <w:right w:w="173" w:type="dxa"/>
            </w:tcMar>
            <w:vAlign w:val="center"/>
          </w:tcPr>
          <w:p w14:paraId="47AAEBAF"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73</w:t>
            </w:r>
          </w:p>
        </w:tc>
      </w:tr>
      <w:tr w:rsidR="00047BAB" w:rsidRPr="00B8199C" w14:paraId="2E30017F" w14:textId="77777777" w:rsidTr="00047BAB">
        <w:trPr>
          <w:cantSplit/>
        </w:trPr>
        <w:tc>
          <w:tcPr>
            <w:tcW w:w="8275" w:type="dxa"/>
            <w:shd w:val="clear" w:color="auto" w:fill="auto"/>
            <w:vAlign w:val="center"/>
            <w:hideMark/>
          </w:tcPr>
          <w:p w14:paraId="0E174697"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Observations et correction des faits concernant l’information sur le Fonds multilatéral dans le rapport sur l’Examen de la gouvernance environnementale dans le système des Nations Unies après Rio + 20.</w:t>
            </w:r>
          </w:p>
        </w:tc>
        <w:tc>
          <w:tcPr>
            <w:tcW w:w="1080" w:type="dxa"/>
            <w:shd w:val="clear" w:color="auto" w:fill="auto"/>
            <w:tcMar>
              <w:left w:w="115" w:type="dxa"/>
              <w:right w:w="173" w:type="dxa"/>
            </w:tcMar>
            <w:vAlign w:val="center"/>
          </w:tcPr>
          <w:p w14:paraId="2DFBC136"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72</w:t>
            </w:r>
          </w:p>
        </w:tc>
      </w:tr>
      <w:tr w:rsidR="00047BAB" w:rsidRPr="00B8199C" w14:paraId="7445B8CE" w14:textId="77777777" w:rsidTr="00047BAB">
        <w:trPr>
          <w:cantSplit/>
        </w:trPr>
        <w:tc>
          <w:tcPr>
            <w:tcW w:w="8275" w:type="dxa"/>
            <w:shd w:val="clear" w:color="auto" w:fill="auto"/>
            <w:noWrap/>
            <w:vAlign w:val="center"/>
            <w:hideMark/>
          </w:tcPr>
          <w:p w14:paraId="02B6268E"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En ce qui concerne l’évaluation/examen de 2013 intitulée Examen de la gouvernance environnementale dans le système des Nations Unies après Rio + 20, le Secrétariat a remis au Corps commun d’inspection des Nations Unies des renseignements sur la structure du Fonds, les niveaux de financement, le nombre et les caractéristiques des réunions, les participants aux réunions, le processus d’approbation des projets, les coûts d’appui, les niveaux de personnel du Secrétariat, l’historique des approbations de 2006 à 2013, les modalités de mise en œuvre, la conformité, le cadre de gouvernance, la planification stratégique, les synergies et la coordination avec d’autres accords multilatéraux sur l’environnement, les évaluations scientifiques, la promotion et la vulgarisation, l’administration, la répartition des genres et l’équilibre géographique du Comité exécutif et du Secrétariat.</w:t>
            </w:r>
          </w:p>
        </w:tc>
        <w:tc>
          <w:tcPr>
            <w:tcW w:w="1080" w:type="dxa"/>
            <w:shd w:val="clear" w:color="auto" w:fill="auto"/>
            <w:tcMar>
              <w:left w:w="115" w:type="dxa"/>
              <w:right w:w="173" w:type="dxa"/>
            </w:tcMar>
            <w:vAlign w:val="center"/>
            <w:hideMark/>
          </w:tcPr>
          <w:p w14:paraId="20F1B8A8"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70</w:t>
            </w:r>
          </w:p>
        </w:tc>
      </w:tr>
      <w:tr w:rsidR="00047BAB" w:rsidRPr="00775610" w14:paraId="095484E2" w14:textId="77777777" w:rsidTr="00047BAB">
        <w:trPr>
          <w:cantSplit/>
        </w:trPr>
        <w:tc>
          <w:tcPr>
            <w:tcW w:w="9355" w:type="dxa"/>
            <w:gridSpan w:val="2"/>
            <w:shd w:val="clear" w:color="auto" w:fill="auto"/>
            <w:noWrap/>
            <w:tcMar>
              <w:left w:w="115" w:type="dxa"/>
              <w:right w:w="173" w:type="dxa"/>
            </w:tcMar>
            <w:vAlign w:val="center"/>
          </w:tcPr>
          <w:p w14:paraId="31CFBB63" w14:textId="77777777" w:rsidR="00047BAB" w:rsidRPr="00B8199C" w:rsidRDefault="00047BAB" w:rsidP="00047BAB">
            <w:pPr>
              <w:spacing w:before="60" w:after="60"/>
              <w:rPr>
                <w:b/>
                <w:color w:val="000000" w:themeColor="text1"/>
                <w:sz w:val="20"/>
                <w:szCs w:val="20"/>
                <w:lang w:val="fr-CA"/>
              </w:rPr>
            </w:pPr>
            <w:r w:rsidRPr="00B8199C">
              <w:rPr>
                <w:b/>
                <w:color w:val="000000" w:themeColor="text1"/>
                <w:sz w:val="20"/>
                <w:szCs w:val="20"/>
                <w:lang w:val="fr-CA"/>
              </w:rPr>
              <w:t>Programme d’efficacité du refroidissement de Kigali (K-CEP)</w:t>
            </w:r>
          </w:p>
        </w:tc>
      </w:tr>
      <w:tr w:rsidR="00047BAB" w:rsidRPr="00B8199C" w14:paraId="65ABC134" w14:textId="77777777" w:rsidTr="00047BAB">
        <w:trPr>
          <w:cantSplit/>
        </w:trPr>
        <w:tc>
          <w:tcPr>
            <w:tcW w:w="8275" w:type="dxa"/>
            <w:shd w:val="clear" w:color="auto" w:fill="auto"/>
            <w:noWrap/>
            <w:vAlign w:val="center"/>
          </w:tcPr>
          <w:p w14:paraId="0A7A8342"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Participation au webinaire du 28 février 2020 sur le mécanisme de financement des contributions déterminées au niveau national pour un refroidissement efficace et écologique (mécanisme de soutien des contributions déterminées au niveau national), une nouvelle initiative qui offre un soutien financier et une orientation aux entités qui soutiennent les pays dans l’intégration de solutions de refroidissement dans le prochain cycle de leurs contributions déterminées au niveau national.</w:t>
            </w:r>
          </w:p>
          <w:p w14:paraId="190A3473"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En réponse à la demande de précisions du Secrétariat, qui voulait savoir si les propositions de projet à présenter comprendraient des mesures de protection pour éviter l’adoption de solutions de refroidissement à base de frigorigènes à PRG élevé, le K-CEP a indiqué que le mécanisme de soutien des contributions déterminées au niveau national ferait la promotion de technologies à faible PRG.</w:t>
            </w:r>
          </w:p>
        </w:tc>
        <w:tc>
          <w:tcPr>
            <w:tcW w:w="1080" w:type="dxa"/>
            <w:shd w:val="clear" w:color="auto" w:fill="auto"/>
            <w:tcMar>
              <w:left w:w="115" w:type="dxa"/>
              <w:right w:w="173" w:type="dxa"/>
            </w:tcMar>
            <w:vAlign w:val="center"/>
          </w:tcPr>
          <w:p w14:paraId="378ADF78"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85</w:t>
            </w:r>
          </w:p>
        </w:tc>
      </w:tr>
      <w:tr w:rsidR="00047BAB" w:rsidRPr="00B8199C" w14:paraId="2CB30EE9" w14:textId="77777777" w:rsidTr="00047BAB">
        <w:trPr>
          <w:cantSplit/>
        </w:trPr>
        <w:tc>
          <w:tcPr>
            <w:tcW w:w="8275" w:type="dxa"/>
            <w:shd w:val="clear" w:color="auto" w:fill="auto"/>
            <w:noWrap/>
            <w:vAlign w:val="center"/>
          </w:tcPr>
          <w:p w14:paraId="091FD417" w14:textId="77777777" w:rsidR="00047BAB" w:rsidRPr="00B8199C" w:rsidRDefault="00047BAB" w:rsidP="00047BAB">
            <w:pPr>
              <w:spacing w:before="60" w:after="60"/>
              <w:rPr>
                <w:sz w:val="20"/>
                <w:szCs w:val="20"/>
                <w:lang w:val="fr-CA"/>
              </w:rPr>
            </w:pPr>
            <w:r w:rsidRPr="00B8199C">
              <w:rPr>
                <w:sz w:val="20"/>
                <w:szCs w:val="20"/>
                <w:lang w:val="fr-CA"/>
              </w:rPr>
              <w:t>En réponse à une demande de communiquer des observations à ITAD Ltée, une organisation chargée de mieux faire comprendre le rôle du K-CEP dans la promotion de l’efficacité énergétique dans le secteur du refroidissement, le Secrétariat a participé à une conférence téléphonique avec un membre du personnel d’ITAD afin de l’informer de la contribution du Secrétariat au K-CEP lors de la phase initiale de sa mise sur pied et sa compréhension du lien entre les activités du K-CEP et les activités de projet du Protocole de Montréal, surtout en ce qui concerne les projets de réduction progressive des HFC.</w:t>
            </w:r>
          </w:p>
        </w:tc>
        <w:tc>
          <w:tcPr>
            <w:tcW w:w="1080" w:type="dxa"/>
            <w:shd w:val="clear" w:color="auto" w:fill="auto"/>
            <w:tcMar>
              <w:left w:w="115" w:type="dxa"/>
              <w:right w:w="173" w:type="dxa"/>
            </w:tcMar>
            <w:vAlign w:val="center"/>
          </w:tcPr>
          <w:p w14:paraId="251834EC"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84</w:t>
            </w:r>
          </w:p>
        </w:tc>
      </w:tr>
      <w:tr w:rsidR="00047BAB" w:rsidRPr="00B8199C" w14:paraId="13FFAB35" w14:textId="77777777" w:rsidTr="00047BAB">
        <w:trPr>
          <w:cantSplit/>
        </w:trPr>
        <w:tc>
          <w:tcPr>
            <w:tcW w:w="8275" w:type="dxa"/>
            <w:shd w:val="clear" w:color="auto" w:fill="auto"/>
            <w:noWrap/>
            <w:vAlign w:val="center"/>
            <w:hideMark/>
          </w:tcPr>
          <w:p w14:paraId="6C4FDDEE"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Partage informel permanent de renseignements sur l’expérience du Fonds multilatéral.</w:t>
            </w:r>
          </w:p>
        </w:tc>
        <w:tc>
          <w:tcPr>
            <w:tcW w:w="1080" w:type="dxa"/>
            <w:shd w:val="clear" w:color="auto" w:fill="auto"/>
            <w:tcMar>
              <w:left w:w="115" w:type="dxa"/>
              <w:right w:w="173" w:type="dxa"/>
            </w:tcMar>
            <w:vAlign w:val="center"/>
          </w:tcPr>
          <w:p w14:paraId="4F01D2C5"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80</w:t>
            </w:r>
          </w:p>
        </w:tc>
      </w:tr>
      <w:tr w:rsidR="00047BAB" w:rsidRPr="00B8199C" w14:paraId="114AA577" w14:textId="77777777" w:rsidTr="00047BAB">
        <w:trPr>
          <w:cantSplit/>
        </w:trPr>
        <w:tc>
          <w:tcPr>
            <w:tcW w:w="8275" w:type="dxa"/>
            <w:shd w:val="clear" w:color="auto" w:fill="auto"/>
            <w:vAlign w:val="center"/>
            <w:hideMark/>
          </w:tcPr>
          <w:p w14:paraId="5257C959"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Le directeur et un autre représentant du K-CEP responsable de la coordination des travaux de 19 fondations philanthropiques sur les questions liées à l’efficacité énergétique et le refroidissement dans le contexte de la mise en œuvre de l’Amendement de Kigali ont rendu visite au Secrétariat le 26 janvier 2017, afin d’en apprendre davantage sur le Fonds multilatéral. Le K-CEP souhaite attribuer environ 53 millions $US de ses fondations philanthropiques d’ici la fin de 2017 par le biais du soutien ciblé aux programmes de pays de plusieurs petits pays et un soutien plus général à plus de 100 pays, afin d’améliorer l’efficacité énergétique.</w:t>
            </w:r>
          </w:p>
          <w:p w14:paraId="0CD444E9"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Le document d’introduction du Comité exécutif ; une présentation résumant le fonctionnement du Fonds multilatéral ; les lignes directrices pour la présentation des rapports périodiques et financiers ; le guide de préparation des propositions de projets ; les modèles de rapport d’achèvement de projet, le document UNEP/OzL.Pro/ExCom/74/51 sur l’examen du renforcement des institutions et la décision connexe du 74/51 figuraient parmi les informations fournies.</w:t>
            </w:r>
          </w:p>
        </w:tc>
        <w:tc>
          <w:tcPr>
            <w:tcW w:w="1080" w:type="dxa"/>
            <w:shd w:val="clear" w:color="auto" w:fill="auto"/>
            <w:tcMar>
              <w:left w:w="115" w:type="dxa"/>
              <w:right w:w="173" w:type="dxa"/>
            </w:tcMar>
            <w:vAlign w:val="center"/>
          </w:tcPr>
          <w:p w14:paraId="46644F7F"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78</w:t>
            </w:r>
          </w:p>
        </w:tc>
      </w:tr>
      <w:tr w:rsidR="00047BAB" w:rsidRPr="00B8199C" w14:paraId="4669171C" w14:textId="77777777" w:rsidTr="00047BAB">
        <w:trPr>
          <w:cantSplit/>
        </w:trPr>
        <w:tc>
          <w:tcPr>
            <w:tcW w:w="9355" w:type="dxa"/>
            <w:gridSpan w:val="2"/>
            <w:shd w:val="clear" w:color="auto" w:fill="auto"/>
            <w:tcMar>
              <w:left w:w="115" w:type="dxa"/>
              <w:right w:w="173" w:type="dxa"/>
            </w:tcMar>
            <w:vAlign w:val="center"/>
          </w:tcPr>
          <w:p w14:paraId="77BA700A" w14:textId="77777777" w:rsidR="00047BAB" w:rsidRPr="00B8199C" w:rsidRDefault="00047BAB" w:rsidP="00047BAB">
            <w:pPr>
              <w:keepNext/>
              <w:keepLines/>
              <w:spacing w:before="60" w:after="60"/>
              <w:rPr>
                <w:b/>
                <w:color w:val="000000" w:themeColor="text1"/>
                <w:sz w:val="20"/>
                <w:szCs w:val="20"/>
                <w:lang w:val="fr-CA"/>
              </w:rPr>
            </w:pPr>
            <w:r w:rsidRPr="00B8199C">
              <w:rPr>
                <w:b/>
                <w:color w:val="000000" w:themeColor="text1"/>
                <w:sz w:val="20"/>
                <w:szCs w:val="20"/>
                <w:lang w:val="fr-CA"/>
              </w:rPr>
              <w:lastRenderedPageBreak/>
              <w:t>Laboratoire national Lawrence Berkeley</w:t>
            </w:r>
          </w:p>
        </w:tc>
      </w:tr>
      <w:tr w:rsidR="00047BAB" w:rsidRPr="00B8199C" w14:paraId="06E361C3" w14:textId="77777777" w:rsidTr="00047BAB">
        <w:trPr>
          <w:cantSplit/>
        </w:trPr>
        <w:tc>
          <w:tcPr>
            <w:tcW w:w="8275" w:type="dxa"/>
            <w:shd w:val="clear" w:color="auto" w:fill="auto"/>
            <w:vAlign w:val="center"/>
            <w:hideMark/>
          </w:tcPr>
          <w:p w14:paraId="48A8612B" w14:textId="6468395F"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 xml:space="preserve">Le Secrétariat a transmis ses observations sur un projet de rapport sur les possibilités et risques associés à l’amélioration de l’efficacité énergétiques et </w:t>
            </w:r>
            <w:r w:rsidR="00530D29" w:rsidRPr="00B8199C">
              <w:rPr>
                <w:color w:val="000000" w:themeColor="text1"/>
                <w:sz w:val="20"/>
                <w:szCs w:val="20"/>
                <w:lang w:val="fr-CA"/>
              </w:rPr>
              <w:t>les changements</w:t>
            </w:r>
            <w:r w:rsidRPr="00B8199C">
              <w:rPr>
                <w:color w:val="000000" w:themeColor="text1"/>
                <w:sz w:val="20"/>
                <w:szCs w:val="20"/>
                <w:lang w:val="fr-CA"/>
              </w:rPr>
              <w:t xml:space="preserve"> de frigorigènes dans les climatiseurs de pièce.</w:t>
            </w:r>
          </w:p>
        </w:tc>
        <w:tc>
          <w:tcPr>
            <w:tcW w:w="1080" w:type="dxa"/>
            <w:shd w:val="clear" w:color="auto" w:fill="auto"/>
            <w:tcMar>
              <w:left w:w="115" w:type="dxa"/>
              <w:right w:w="173" w:type="dxa"/>
            </w:tcMar>
            <w:vAlign w:val="center"/>
            <w:hideMark/>
          </w:tcPr>
          <w:p w14:paraId="7EA479D8"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80</w:t>
            </w:r>
          </w:p>
        </w:tc>
      </w:tr>
      <w:tr w:rsidR="00047BAB" w:rsidRPr="00775610" w14:paraId="5823DE3C" w14:textId="77777777" w:rsidTr="00047BAB">
        <w:trPr>
          <w:cantSplit/>
        </w:trPr>
        <w:tc>
          <w:tcPr>
            <w:tcW w:w="9355" w:type="dxa"/>
            <w:gridSpan w:val="2"/>
            <w:shd w:val="clear" w:color="auto" w:fill="auto"/>
            <w:tcMar>
              <w:left w:w="115" w:type="dxa"/>
              <w:right w:w="173" w:type="dxa"/>
            </w:tcMar>
            <w:vAlign w:val="center"/>
          </w:tcPr>
          <w:p w14:paraId="5C2A26EB" w14:textId="77777777" w:rsidR="00047BAB" w:rsidRPr="00B8199C" w:rsidRDefault="00047BAB" w:rsidP="00047BAB">
            <w:pPr>
              <w:spacing w:before="60" w:after="60"/>
              <w:rPr>
                <w:b/>
                <w:color w:val="000000" w:themeColor="text1"/>
                <w:sz w:val="20"/>
                <w:szCs w:val="20"/>
                <w:lang w:val="fr-CA"/>
              </w:rPr>
            </w:pPr>
            <w:r w:rsidRPr="00B8199C">
              <w:rPr>
                <w:b/>
                <w:color w:val="000000" w:themeColor="text1"/>
                <w:sz w:val="20"/>
                <w:szCs w:val="20"/>
                <w:lang w:val="fr-CA"/>
              </w:rPr>
              <w:t>Conseil de défense des ressources naturelles</w:t>
            </w:r>
          </w:p>
        </w:tc>
      </w:tr>
      <w:tr w:rsidR="00047BAB" w:rsidRPr="00B8199C" w14:paraId="6BE4B504" w14:textId="77777777" w:rsidTr="00047BAB">
        <w:trPr>
          <w:cantSplit/>
        </w:trPr>
        <w:tc>
          <w:tcPr>
            <w:tcW w:w="8275" w:type="dxa"/>
            <w:shd w:val="clear" w:color="auto" w:fill="auto"/>
            <w:vAlign w:val="center"/>
          </w:tcPr>
          <w:p w14:paraId="73118DF8"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L’indicateur sur le climat du Fonds multilatéral, y compris l’outil (ficher Excel), le manuel (PDF) et une explication de l’outil (fichier Word).</w:t>
            </w:r>
          </w:p>
        </w:tc>
        <w:tc>
          <w:tcPr>
            <w:tcW w:w="1080" w:type="dxa"/>
            <w:shd w:val="clear" w:color="auto" w:fill="auto"/>
            <w:tcMar>
              <w:left w:w="115" w:type="dxa"/>
              <w:right w:w="173" w:type="dxa"/>
            </w:tcMar>
            <w:vAlign w:val="center"/>
          </w:tcPr>
          <w:p w14:paraId="03804BB3"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81</w:t>
            </w:r>
          </w:p>
        </w:tc>
      </w:tr>
      <w:tr w:rsidR="00047BAB" w:rsidRPr="00775610" w14:paraId="0DFFDC5E" w14:textId="77777777" w:rsidTr="00047BAB">
        <w:trPr>
          <w:cantSplit/>
        </w:trPr>
        <w:tc>
          <w:tcPr>
            <w:tcW w:w="9355" w:type="dxa"/>
            <w:gridSpan w:val="2"/>
            <w:shd w:val="clear" w:color="auto" w:fill="auto"/>
            <w:tcMar>
              <w:left w:w="115" w:type="dxa"/>
              <w:right w:w="173" w:type="dxa"/>
            </w:tcMar>
            <w:vAlign w:val="center"/>
          </w:tcPr>
          <w:p w14:paraId="400153FD" w14:textId="77777777" w:rsidR="00047BAB" w:rsidRPr="00B8199C" w:rsidRDefault="00047BAB" w:rsidP="00047BAB">
            <w:pPr>
              <w:spacing w:before="60" w:after="60"/>
              <w:rPr>
                <w:b/>
                <w:color w:val="000000" w:themeColor="text1"/>
                <w:sz w:val="20"/>
                <w:szCs w:val="20"/>
                <w:lang w:val="fr-CA"/>
              </w:rPr>
            </w:pPr>
            <w:r w:rsidRPr="00B8199C">
              <w:rPr>
                <w:b/>
                <w:color w:val="000000" w:themeColor="text1"/>
                <w:sz w:val="20"/>
                <w:szCs w:val="20"/>
                <w:lang w:val="fr-CA"/>
              </w:rPr>
              <w:t>Convention de Minamata sur le mercure</w:t>
            </w:r>
          </w:p>
        </w:tc>
      </w:tr>
      <w:tr w:rsidR="00047BAB" w:rsidRPr="00B8199C" w14:paraId="0E96AA6C" w14:textId="77777777" w:rsidTr="00047BAB">
        <w:trPr>
          <w:cantSplit/>
        </w:trPr>
        <w:tc>
          <w:tcPr>
            <w:tcW w:w="8275" w:type="dxa"/>
            <w:shd w:val="clear" w:color="auto" w:fill="auto"/>
            <w:vAlign w:val="center"/>
            <w:hideMark/>
          </w:tcPr>
          <w:p w14:paraId="2BB5B241"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En juillet 2013, le Secrétariat a été invité par le gouvernement du Japon à assister à la Conférence des plénipotentiaires sur l’adoption et la signature de la Convention de Minamata sur le mercure, présentée du 9 au 11 octobre 2013 à Kumamoto et à Minamata, au Japon. Malheureusement, le Secrétariat n’a pas pu y assister.</w:t>
            </w:r>
          </w:p>
        </w:tc>
        <w:tc>
          <w:tcPr>
            <w:tcW w:w="1080" w:type="dxa"/>
            <w:shd w:val="clear" w:color="auto" w:fill="auto"/>
            <w:tcMar>
              <w:left w:w="115" w:type="dxa"/>
              <w:right w:w="173" w:type="dxa"/>
            </w:tcMar>
            <w:vAlign w:val="center"/>
            <w:hideMark/>
          </w:tcPr>
          <w:p w14:paraId="7484329D"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71</w:t>
            </w:r>
          </w:p>
        </w:tc>
      </w:tr>
      <w:tr w:rsidR="00047BAB" w:rsidRPr="00775610" w14:paraId="457B1AB8" w14:textId="77777777" w:rsidTr="00047BAB">
        <w:trPr>
          <w:cantSplit/>
        </w:trPr>
        <w:tc>
          <w:tcPr>
            <w:tcW w:w="9355" w:type="dxa"/>
            <w:gridSpan w:val="2"/>
            <w:shd w:val="clear" w:color="auto" w:fill="auto"/>
            <w:tcMar>
              <w:left w:w="115" w:type="dxa"/>
              <w:right w:w="173" w:type="dxa"/>
            </w:tcMar>
            <w:vAlign w:val="center"/>
          </w:tcPr>
          <w:p w14:paraId="4514AE9A" w14:textId="77777777" w:rsidR="00047BAB" w:rsidRPr="00B8199C" w:rsidRDefault="00047BAB" w:rsidP="00047BAB">
            <w:pPr>
              <w:keepNext/>
              <w:spacing w:before="60" w:after="60"/>
              <w:rPr>
                <w:b/>
                <w:bCs/>
                <w:color w:val="000000"/>
                <w:sz w:val="20"/>
                <w:szCs w:val="20"/>
                <w:lang w:val="fr-CA"/>
              </w:rPr>
            </w:pPr>
            <w:r w:rsidRPr="00B8199C">
              <w:rPr>
                <w:b/>
                <w:color w:val="000000" w:themeColor="text1"/>
                <w:sz w:val="20"/>
                <w:szCs w:val="20"/>
                <w:lang w:val="fr-CA"/>
              </w:rPr>
              <w:t>Réseau d’évaluation de la performance des organisations multilatérales</w:t>
            </w:r>
            <w:r w:rsidRPr="00B8199C">
              <w:rPr>
                <w:i/>
                <w:color w:val="000000" w:themeColor="text1"/>
                <w:lang w:val="fr-CA"/>
              </w:rPr>
              <w:t xml:space="preserve"> </w:t>
            </w:r>
            <w:r w:rsidRPr="00B8199C">
              <w:rPr>
                <w:b/>
                <w:bCs/>
                <w:color w:val="000000"/>
                <w:sz w:val="20"/>
                <w:szCs w:val="20"/>
                <w:lang w:val="fr-CA"/>
              </w:rPr>
              <w:t>(MOPAN)</w:t>
            </w:r>
          </w:p>
        </w:tc>
      </w:tr>
      <w:tr w:rsidR="00047BAB" w:rsidRPr="00B8199C" w14:paraId="41230DFE" w14:textId="77777777" w:rsidTr="00047BAB">
        <w:trPr>
          <w:cantSplit/>
        </w:trPr>
        <w:tc>
          <w:tcPr>
            <w:tcW w:w="8275" w:type="dxa"/>
            <w:shd w:val="clear" w:color="auto" w:fill="auto"/>
            <w:vAlign w:val="center"/>
          </w:tcPr>
          <w:p w14:paraId="1EBCD758" w14:textId="319BFCB8" w:rsidR="00047BAB" w:rsidRPr="00DD5FE9" w:rsidRDefault="00047BAB" w:rsidP="00047BAB">
            <w:pPr>
              <w:spacing w:before="60" w:after="60"/>
              <w:rPr>
                <w:sz w:val="20"/>
                <w:szCs w:val="20"/>
                <w:lang w:val="fr-CA"/>
              </w:rPr>
            </w:pPr>
            <w:r w:rsidRPr="00DD5FE9">
              <w:rPr>
                <w:sz w:val="20"/>
                <w:szCs w:val="20"/>
                <w:lang w:val="fr-CA"/>
              </w:rPr>
              <w:t>Une réunion virtuelle a été organisée pour le Secrétariat du MOPAN à la suite de la réception du rapport d’évaluation du Fonds multilatéral, afin de présenter le rapport au Comité exécutif, et des échanges bilatéraux sont prévus entre les deux Secrétariats sur l’évaluation du Fonds multilatéral, la méthode utilisée et la souplesse possible qui permettrait de l’adapter au genre d’organisation à évaluer dans l’avenir.</w:t>
            </w:r>
            <w:r w:rsidR="00530D29" w:rsidRPr="00DD5FE9">
              <w:rPr>
                <w:sz w:val="20"/>
                <w:szCs w:val="20"/>
                <w:lang w:val="fr-CA"/>
              </w:rPr>
              <w:t xml:space="preserve"> </w:t>
            </w:r>
          </w:p>
        </w:tc>
        <w:tc>
          <w:tcPr>
            <w:tcW w:w="1080" w:type="dxa"/>
            <w:shd w:val="clear" w:color="auto" w:fill="auto"/>
            <w:tcMar>
              <w:left w:w="115" w:type="dxa"/>
              <w:right w:w="173" w:type="dxa"/>
            </w:tcMar>
            <w:vAlign w:val="center"/>
          </w:tcPr>
          <w:p w14:paraId="4D9DFDEB" w14:textId="77777777" w:rsidR="00047BAB" w:rsidRPr="00DD5FE9" w:rsidRDefault="00047BAB" w:rsidP="00047BAB">
            <w:pPr>
              <w:spacing w:before="60" w:after="60"/>
              <w:jc w:val="right"/>
              <w:rPr>
                <w:color w:val="000000" w:themeColor="text1"/>
                <w:sz w:val="20"/>
                <w:szCs w:val="20"/>
                <w:lang w:val="fr-CA"/>
              </w:rPr>
            </w:pPr>
            <w:r w:rsidRPr="00DD5FE9">
              <w:rPr>
                <w:color w:val="000000" w:themeColor="text1"/>
                <w:sz w:val="20"/>
                <w:szCs w:val="20"/>
                <w:lang w:val="fr-CA"/>
              </w:rPr>
              <w:t>86</w:t>
            </w:r>
          </w:p>
        </w:tc>
      </w:tr>
      <w:tr w:rsidR="00047BAB" w:rsidRPr="00B8199C" w14:paraId="188B0443" w14:textId="77777777" w:rsidTr="00047BAB">
        <w:trPr>
          <w:cantSplit/>
        </w:trPr>
        <w:tc>
          <w:tcPr>
            <w:tcW w:w="8275" w:type="dxa"/>
            <w:shd w:val="clear" w:color="auto" w:fill="auto"/>
            <w:vAlign w:val="center"/>
          </w:tcPr>
          <w:p w14:paraId="78DC9925" w14:textId="77777777" w:rsidR="00047BAB" w:rsidRPr="00B8199C" w:rsidRDefault="00047BAB" w:rsidP="00047BAB">
            <w:pPr>
              <w:spacing w:before="60" w:after="60"/>
              <w:rPr>
                <w:sz w:val="20"/>
                <w:szCs w:val="20"/>
                <w:lang w:val="fr-CA"/>
              </w:rPr>
            </w:pPr>
            <w:r w:rsidRPr="00B8199C">
              <w:rPr>
                <w:color w:val="000000" w:themeColor="text1"/>
                <w:sz w:val="20"/>
                <w:szCs w:val="20"/>
                <w:lang w:val="fr-CA"/>
              </w:rPr>
              <w:t>Le Secrétariat a examiné le projet de rapport d’évaluation, apporté des corrections de fait et présenté des observations. Un suivi a été effectué entre les deux Secrétariats au sujet de l’échéance du rapport final et des moyens possibles de transmettre les principales conclusions au Comité exécutif.</w:t>
            </w:r>
          </w:p>
        </w:tc>
        <w:tc>
          <w:tcPr>
            <w:tcW w:w="1080" w:type="dxa"/>
            <w:shd w:val="clear" w:color="auto" w:fill="auto"/>
            <w:tcMar>
              <w:left w:w="115" w:type="dxa"/>
              <w:right w:w="173" w:type="dxa"/>
            </w:tcMar>
            <w:vAlign w:val="center"/>
          </w:tcPr>
          <w:p w14:paraId="41EC1268" w14:textId="77777777" w:rsidR="00047BAB" w:rsidRPr="00B8199C" w:rsidRDefault="00047BAB" w:rsidP="00047BAB">
            <w:pPr>
              <w:spacing w:before="60" w:after="60"/>
              <w:jc w:val="right"/>
              <w:rPr>
                <w:color w:val="000000" w:themeColor="text1"/>
                <w:sz w:val="20"/>
                <w:szCs w:val="20"/>
              </w:rPr>
            </w:pPr>
            <w:r w:rsidRPr="00B8199C">
              <w:rPr>
                <w:color w:val="000000" w:themeColor="text1"/>
                <w:sz w:val="20"/>
                <w:szCs w:val="20"/>
              </w:rPr>
              <w:t>86</w:t>
            </w:r>
          </w:p>
        </w:tc>
      </w:tr>
      <w:tr w:rsidR="00047BAB" w:rsidRPr="00B8199C" w14:paraId="6A49D07F" w14:textId="77777777" w:rsidTr="00047BAB">
        <w:trPr>
          <w:cantSplit/>
        </w:trPr>
        <w:tc>
          <w:tcPr>
            <w:tcW w:w="8275" w:type="dxa"/>
            <w:shd w:val="clear" w:color="auto" w:fill="auto"/>
            <w:vAlign w:val="center"/>
          </w:tcPr>
          <w:p w14:paraId="282F4812" w14:textId="77777777" w:rsidR="00047BAB" w:rsidRPr="00B8199C" w:rsidRDefault="00047BAB" w:rsidP="00047BAB">
            <w:pPr>
              <w:spacing w:before="60" w:after="60"/>
              <w:rPr>
                <w:color w:val="000000"/>
                <w:sz w:val="20"/>
                <w:szCs w:val="20"/>
                <w:lang w:val="fr-CA"/>
              </w:rPr>
            </w:pPr>
            <w:r w:rsidRPr="00B8199C">
              <w:rPr>
                <w:sz w:val="20"/>
                <w:szCs w:val="20"/>
                <w:lang w:val="fr-CA"/>
              </w:rPr>
              <w:t>Le Secrétariat a fourni des renseignements supplémentaires et des précisions sur les questions en lien avec le Fonds multilatéral au consultant responsable de l’évaluation du Fonds multilatéral par le MOPAN. Le Secrétariat s’est entretenu davantage avec le Secrétariat du MOPAN, qui lui a indiqué que le projet de rapport d’évaluation en était aux dernières étapes de sa préparation et qu’il serait remis au Secrétariat pour examen avant d’être présenté aux gouvernements membres</w:t>
            </w:r>
            <w:r w:rsidRPr="00B8199C">
              <w:rPr>
                <w:color w:val="000000" w:themeColor="text1"/>
                <w:sz w:val="20"/>
                <w:szCs w:val="20"/>
                <w:lang w:val="fr-CA"/>
              </w:rPr>
              <w:t>.</w:t>
            </w:r>
          </w:p>
        </w:tc>
        <w:tc>
          <w:tcPr>
            <w:tcW w:w="1080" w:type="dxa"/>
            <w:shd w:val="clear" w:color="auto" w:fill="auto"/>
            <w:tcMar>
              <w:left w:w="115" w:type="dxa"/>
              <w:right w:w="173" w:type="dxa"/>
            </w:tcMar>
            <w:vAlign w:val="center"/>
          </w:tcPr>
          <w:p w14:paraId="38ECAA30" w14:textId="77777777" w:rsidR="00047BAB" w:rsidRPr="00B8199C" w:rsidRDefault="00047BAB" w:rsidP="00047BAB">
            <w:pPr>
              <w:spacing w:before="60" w:after="60"/>
              <w:jc w:val="right"/>
              <w:rPr>
                <w:color w:val="000000" w:themeColor="text1"/>
                <w:sz w:val="20"/>
                <w:szCs w:val="20"/>
              </w:rPr>
            </w:pPr>
            <w:r w:rsidRPr="00B8199C">
              <w:rPr>
                <w:color w:val="000000" w:themeColor="text1"/>
                <w:sz w:val="20"/>
                <w:szCs w:val="20"/>
              </w:rPr>
              <w:t>85</w:t>
            </w:r>
          </w:p>
        </w:tc>
      </w:tr>
      <w:tr w:rsidR="00047BAB" w:rsidRPr="00B8199C" w14:paraId="25542EB5" w14:textId="77777777" w:rsidTr="00047BAB">
        <w:trPr>
          <w:cantSplit/>
        </w:trPr>
        <w:tc>
          <w:tcPr>
            <w:tcW w:w="8275" w:type="dxa"/>
            <w:shd w:val="clear" w:color="auto" w:fill="auto"/>
            <w:vAlign w:val="center"/>
          </w:tcPr>
          <w:p w14:paraId="2CD088E8" w14:textId="77777777" w:rsidR="00047BAB" w:rsidRPr="00B8199C" w:rsidRDefault="00047BAB" w:rsidP="00047BAB">
            <w:pPr>
              <w:spacing w:before="60" w:after="60"/>
              <w:rPr>
                <w:color w:val="000000"/>
                <w:sz w:val="20"/>
                <w:szCs w:val="20"/>
                <w:lang w:val="fr-CA"/>
              </w:rPr>
            </w:pPr>
            <w:r w:rsidRPr="00B8199C">
              <w:rPr>
                <w:sz w:val="20"/>
                <w:szCs w:val="20"/>
                <w:lang w:val="fr-CA"/>
              </w:rPr>
              <w:t xml:space="preserve">Les représentants du Secrétariat du MOAP et du fournisseur de services qui réalise l’évaluation ont rendu visite au Secrétariat. </w:t>
            </w:r>
            <w:r w:rsidRPr="00B8199C">
              <w:rPr>
                <w:color w:val="000000"/>
                <w:sz w:val="20"/>
                <w:szCs w:val="20"/>
                <w:lang w:val="fr-CA"/>
              </w:rPr>
              <w:t>Le Chef du Secrétariat a fait une présentation sur le Fonds multilatéral, notamment sa gouvernance, son modèle d’affaires et ses réalisations. Les représentants du MOPAN se sont réunis à maintes reprises avec le personnel du Secrétariat. Le Secrétariat a aussi été informé des réunions organisées par les évaluateurs avec les quatre agences d’exécution du Fonds. Le Secrétariat a fourni les coordonnées des membres du Comité exécutif ; certains d’entre eux seront invités à fournir de l’information sur l’évaluation.</w:t>
            </w:r>
          </w:p>
        </w:tc>
        <w:tc>
          <w:tcPr>
            <w:tcW w:w="1080" w:type="dxa"/>
            <w:shd w:val="clear" w:color="auto" w:fill="auto"/>
            <w:tcMar>
              <w:left w:w="115" w:type="dxa"/>
              <w:right w:w="173" w:type="dxa"/>
            </w:tcMar>
            <w:vAlign w:val="center"/>
          </w:tcPr>
          <w:p w14:paraId="5720EDEB" w14:textId="77777777" w:rsidR="00047BAB" w:rsidRPr="00B8199C" w:rsidRDefault="00047BAB" w:rsidP="00047BAB">
            <w:pPr>
              <w:spacing w:before="60" w:after="60"/>
              <w:jc w:val="right"/>
              <w:rPr>
                <w:color w:val="000000" w:themeColor="text1"/>
                <w:sz w:val="20"/>
                <w:szCs w:val="20"/>
              </w:rPr>
            </w:pPr>
            <w:r w:rsidRPr="00B8199C">
              <w:rPr>
                <w:color w:val="000000" w:themeColor="text1"/>
                <w:sz w:val="20"/>
                <w:szCs w:val="20"/>
              </w:rPr>
              <w:t>84</w:t>
            </w:r>
          </w:p>
        </w:tc>
      </w:tr>
      <w:tr w:rsidR="00047BAB" w:rsidRPr="00B8199C" w14:paraId="6A310AD2" w14:textId="77777777" w:rsidTr="00047BAB">
        <w:trPr>
          <w:cantSplit/>
        </w:trPr>
        <w:tc>
          <w:tcPr>
            <w:tcW w:w="8275" w:type="dxa"/>
            <w:shd w:val="clear" w:color="auto" w:fill="auto"/>
            <w:vAlign w:val="center"/>
            <w:hideMark/>
          </w:tcPr>
          <w:p w14:paraId="2990A388"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Le Secrétariat a assisté à une réunion du Secrétariat du MOPAN, à laquelle le Fonds a été présenté. Les échanges ont porté notamment sur la portée de l’évaluation pour les parties prenantes concernées ; les différences importantes entre le Fonds multilatéral et les autres organisations évaluées, qui mèneraient à une évaluation sur mesure afin que le processus soit juste ; la date d’une première visite au Secrétariat du Fonds et le besoin possible de la présence de l’équipe d’évaluation à une réunion du Comité exécutif.</w:t>
            </w:r>
          </w:p>
        </w:tc>
        <w:tc>
          <w:tcPr>
            <w:tcW w:w="1080" w:type="dxa"/>
            <w:shd w:val="clear" w:color="auto" w:fill="auto"/>
            <w:tcMar>
              <w:left w:w="115" w:type="dxa"/>
              <w:right w:w="173" w:type="dxa"/>
            </w:tcMar>
            <w:vAlign w:val="center"/>
            <w:hideMark/>
          </w:tcPr>
          <w:p w14:paraId="2CDE60B7"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83</w:t>
            </w:r>
          </w:p>
        </w:tc>
      </w:tr>
      <w:tr w:rsidR="00047BAB" w:rsidRPr="00B8199C" w14:paraId="024210F1" w14:textId="77777777" w:rsidTr="00047BAB">
        <w:trPr>
          <w:cantSplit/>
        </w:trPr>
        <w:tc>
          <w:tcPr>
            <w:tcW w:w="8275" w:type="dxa"/>
            <w:shd w:val="clear" w:color="auto" w:fill="auto"/>
            <w:vAlign w:val="center"/>
          </w:tcPr>
          <w:p w14:paraId="7678F8EC" w14:textId="77777777" w:rsidR="00047BAB" w:rsidRPr="00B8199C" w:rsidRDefault="00047BAB" w:rsidP="00047BAB">
            <w:pPr>
              <w:widowControl w:val="0"/>
              <w:spacing w:before="60" w:after="60"/>
              <w:rPr>
                <w:color w:val="000000" w:themeColor="text1"/>
                <w:sz w:val="20"/>
                <w:szCs w:val="20"/>
                <w:lang w:val="fr-CA"/>
              </w:rPr>
            </w:pPr>
            <w:r w:rsidRPr="00B8199C">
              <w:rPr>
                <w:color w:val="000000" w:themeColor="text1"/>
                <w:sz w:val="20"/>
                <w:szCs w:val="20"/>
                <w:lang w:val="fr-CA"/>
              </w:rPr>
              <w:t>Lettres reçues du Secrétariat du MOPAN indiquant que le Comité directeur du MOPAN a décidé d’évaluer le Fonds multilatéral lors de son prochain cycle d’évaluation.</w:t>
            </w:r>
          </w:p>
        </w:tc>
        <w:tc>
          <w:tcPr>
            <w:tcW w:w="1080" w:type="dxa"/>
            <w:shd w:val="clear" w:color="auto" w:fill="auto"/>
            <w:tcMar>
              <w:left w:w="115" w:type="dxa"/>
              <w:right w:w="173" w:type="dxa"/>
            </w:tcMar>
            <w:vAlign w:val="center"/>
          </w:tcPr>
          <w:p w14:paraId="19F25F63"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82</w:t>
            </w:r>
          </w:p>
        </w:tc>
      </w:tr>
      <w:tr w:rsidR="00047BAB" w:rsidRPr="00B8199C" w14:paraId="34AF900A" w14:textId="77777777" w:rsidTr="00047BAB">
        <w:trPr>
          <w:cantSplit/>
        </w:trPr>
        <w:tc>
          <w:tcPr>
            <w:tcW w:w="9355" w:type="dxa"/>
            <w:gridSpan w:val="2"/>
            <w:shd w:val="clear" w:color="auto" w:fill="auto"/>
            <w:tcMar>
              <w:left w:w="115" w:type="dxa"/>
              <w:right w:w="173" w:type="dxa"/>
            </w:tcMar>
            <w:vAlign w:val="center"/>
          </w:tcPr>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5"/>
              <w:gridCol w:w="1080"/>
            </w:tblGrid>
            <w:tr w:rsidR="00047BAB" w:rsidRPr="00B8199C" w14:paraId="1B02A4C2" w14:textId="77777777" w:rsidTr="00047BAB">
              <w:trPr>
                <w:cantSplit/>
              </w:trPr>
              <w:tc>
                <w:tcPr>
                  <w:tcW w:w="9355" w:type="dxa"/>
                  <w:gridSpan w:val="2"/>
                  <w:shd w:val="clear" w:color="auto" w:fill="auto"/>
                  <w:tcMar>
                    <w:left w:w="115" w:type="dxa"/>
                    <w:right w:w="173" w:type="dxa"/>
                  </w:tcMar>
                  <w:vAlign w:val="center"/>
                </w:tcPr>
                <w:p w14:paraId="5BCB22CB" w14:textId="77777777" w:rsidR="00047BAB" w:rsidRPr="00B8199C" w:rsidRDefault="00047BAB" w:rsidP="00047BAB">
                  <w:pPr>
                    <w:keepNext/>
                    <w:keepLines/>
                    <w:spacing w:before="60" w:after="60"/>
                    <w:rPr>
                      <w:b/>
                      <w:color w:val="000000" w:themeColor="text1"/>
                      <w:sz w:val="20"/>
                      <w:szCs w:val="20"/>
                      <w:lang w:val="fr-CA"/>
                    </w:rPr>
                  </w:pPr>
                  <w:r w:rsidRPr="00B8199C">
                    <w:rPr>
                      <w:b/>
                      <w:color w:val="000000" w:themeColor="text1"/>
                      <w:sz w:val="20"/>
                      <w:szCs w:val="20"/>
                      <w:lang w:val="fr-CA"/>
                    </w:rPr>
                    <w:lastRenderedPageBreak/>
                    <w:t>Nations Unies durables</w:t>
                  </w:r>
                </w:p>
              </w:tc>
            </w:tr>
            <w:tr w:rsidR="00047BAB" w:rsidRPr="00B8199C" w14:paraId="5E1B2785" w14:textId="77777777" w:rsidTr="00047BAB">
              <w:trPr>
                <w:cantSplit/>
              </w:trPr>
              <w:tc>
                <w:tcPr>
                  <w:tcW w:w="8275" w:type="dxa"/>
                  <w:shd w:val="clear" w:color="auto" w:fill="auto"/>
                  <w:vAlign w:val="center"/>
                </w:tcPr>
                <w:p w14:paraId="4F77663D" w14:textId="77777777" w:rsidR="00047BAB" w:rsidRPr="00B8199C" w:rsidRDefault="00047BAB" w:rsidP="00047BAB">
                  <w:pPr>
                    <w:widowControl w:val="0"/>
                    <w:spacing w:before="60" w:after="60"/>
                    <w:rPr>
                      <w:lang w:val="fr-CA"/>
                    </w:rPr>
                  </w:pPr>
                  <w:r w:rsidRPr="00B8199C">
                    <w:rPr>
                      <w:color w:val="000000" w:themeColor="text1"/>
                      <w:sz w:val="20"/>
                      <w:szCs w:val="20"/>
                      <w:lang w:val="fr-CA"/>
                    </w:rPr>
                    <w:t>Le Secrétariat a donné une présentation sur la gestion de la durabilité environnementale à la 31</w:t>
                  </w:r>
                  <w:r w:rsidRPr="00B8199C">
                    <w:rPr>
                      <w:color w:val="000000" w:themeColor="text1"/>
                      <w:sz w:val="20"/>
                      <w:szCs w:val="20"/>
                      <w:vertAlign w:val="superscript"/>
                      <w:lang w:val="fr-CA"/>
                    </w:rPr>
                    <w:t>e</w:t>
                  </w:r>
                  <w:r w:rsidRPr="00B8199C">
                    <w:rPr>
                      <w:color w:val="000000" w:themeColor="text1"/>
                      <w:sz w:val="20"/>
                      <w:szCs w:val="20"/>
                      <w:lang w:val="fr-CA"/>
                    </w:rPr>
                    <w:t> réunion du Groupe chargé de questions spécifiques des Nations Unies, qui a lieu à l’OACI, à Montréal, le 11 octobre 2019. Le Secrétariat a expliqué comment les bureaux des Nations Unies peuvent collaborer dans le cadre des activités entreprises par les agences pour la mise en œuvre des projets qui font la promotion de l’adoption des technologies sans danger pour la couche d’ozone et sans HFC aux niveaux national, régional et mondial. Un représentant de la durabilité environnementale des Nations Unies, un bureau qui gère et soutient le Groupe chargé des questions spécifiques pour la gestion de la durabilité environnementale, s’est rendu dans les bureaux du Secrétariat et a présenté les travaux de son bureau aux membres du personnel.</w:t>
                  </w:r>
                </w:p>
              </w:tc>
              <w:tc>
                <w:tcPr>
                  <w:tcW w:w="1080" w:type="dxa"/>
                  <w:shd w:val="clear" w:color="auto" w:fill="auto"/>
                  <w:tcMar>
                    <w:left w:w="115" w:type="dxa"/>
                    <w:right w:w="173" w:type="dxa"/>
                  </w:tcMar>
                  <w:vAlign w:val="center"/>
                </w:tcPr>
                <w:p w14:paraId="329A221B" w14:textId="77777777" w:rsidR="00047BAB" w:rsidRPr="00B8199C" w:rsidRDefault="00047BAB" w:rsidP="00047BAB">
                  <w:pPr>
                    <w:spacing w:before="60" w:after="60"/>
                    <w:jc w:val="right"/>
                    <w:rPr>
                      <w:color w:val="000000" w:themeColor="text1"/>
                      <w:sz w:val="20"/>
                      <w:szCs w:val="20"/>
                      <w:lang w:val="fr-CA"/>
                    </w:rPr>
                  </w:pPr>
                  <w:r w:rsidRPr="00B8199C">
                    <w:rPr>
                      <w:color w:val="000000" w:themeColor="text1"/>
                      <w:sz w:val="20"/>
                      <w:szCs w:val="20"/>
                      <w:lang w:val="fr-CA"/>
                    </w:rPr>
                    <w:t>84</w:t>
                  </w:r>
                </w:p>
              </w:tc>
            </w:tr>
            <w:tr w:rsidR="00047BAB" w:rsidRPr="00B8199C" w14:paraId="5D7FE36A" w14:textId="77777777" w:rsidTr="00047BAB">
              <w:trPr>
                <w:cantSplit/>
              </w:trPr>
              <w:tc>
                <w:tcPr>
                  <w:tcW w:w="9355" w:type="dxa"/>
                  <w:gridSpan w:val="2"/>
                  <w:shd w:val="clear" w:color="auto" w:fill="auto"/>
                  <w:tcMar>
                    <w:left w:w="115" w:type="dxa"/>
                    <w:right w:w="173" w:type="dxa"/>
                  </w:tcMar>
                  <w:vAlign w:val="center"/>
                </w:tcPr>
                <w:p w14:paraId="52C7FE9E" w14:textId="77777777" w:rsidR="00047BAB" w:rsidRPr="00B8199C" w:rsidRDefault="00047BAB" w:rsidP="00047BAB">
                  <w:pPr>
                    <w:widowControl w:val="0"/>
                    <w:spacing w:before="60" w:after="60"/>
                    <w:rPr>
                      <w:b/>
                      <w:color w:val="000000" w:themeColor="text1"/>
                      <w:sz w:val="20"/>
                      <w:szCs w:val="20"/>
                      <w:lang w:val="fr-CA"/>
                    </w:rPr>
                  </w:pPr>
                  <w:r w:rsidRPr="00B8199C">
                    <w:rPr>
                      <w:b/>
                      <w:color w:val="000000" w:themeColor="text1"/>
                      <w:sz w:val="20"/>
                      <w:szCs w:val="20"/>
                      <w:lang w:val="fr-CA"/>
                    </w:rPr>
                    <w:t>Vérificateurs des Nations Unies</w:t>
                  </w:r>
                </w:p>
              </w:tc>
            </w:tr>
            <w:tr w:rsidR="00047BAB" w:rsidRPr="00B8199C" w14:paraId="5787A1CF" w14:textId="77777777" w:rsidTr="00047BAB">
              <w:trPr>
                <w:cantSplit/>
              </w:trPr>
              <w:tc>
                <w:tcPr>
                  <w:tcW w:w="8275" w:type="dxa"/>
                  <w:shd w:val="clear" w:color="auto" w:fill="auto"/>
                  <w:vAlign w:val="center"/>
                </w:tcPr>
                <w:p w14:paraId="0E44488E" w14:textId="77777777" w:rsidR="00047BAB" w:rsidRPr="00DD5FE9" w:rsidRDefault="00047BAB" w:rsidP="00047BAB">
                  <w:pPr>
                    <w:widowControl w:val="0"/>
                    <w:spacing w:before="60" w:after="60"/>
                    <w:rPr>
                      <w:color w:val="000000" w:themeColor="text1"/>
                      <w:sz w:val="20"/>
                      <w:szCs w:val="20"/>
                      <w:lang w:val="fr-CA"/>
                    </w:rPr>
                  </w:pPr>
                  <w:r w:rsidRPr="00DD5FE9">
                    <w:rPr>
                      <w:color w:val="000000" w:themeColor="text1"/>
                      <w:sz w:val="20"/>
                      <w:szCs w:val="20"/>
                      <w:lang w:val="fr-CA"/>
                    </w:rPr>
                    <w:t>Des informations, de la documentation, des réponses aux questions et des précisions ont été fournies pour faciliter la vérification par le Bureau des services de contrôle interne, afin d’évaluer l’efficacité de l’offre de services au Secrétariat du Fonds multilatéral, du 1</w:t>
                  </w:r>
                  <w:r w:rsidRPr="00DD5FE9">
                    <w:rPr>
                      <w:color w:val="000000" w:themeColor="text1"/>
                      <w:sz w:val="20"/>
                      <w:szCs w:val="20"/>
                      <w:vertAlign w:val="superscript"/>
                      <w:lang w:val="fr-CA"/>
                    </w:rPr>
                    <w:t>er</w:t>
                  </w:r>
                  <w:r w:rsidRPr="00DD5FE9">
                    <w:rPr>
                      <w:color w:val="000000" w:themeColor="text1"/>
                      <w:sz w:val="20"/>
                      <w:szCs w:val="20"/>
                      <w:lang w:val="fr-CA"/>
                    </w:rPr>
                    <w:t> janvier 2018 au 31 décembre 2020.</w:t>
                  </w:r>
                </w:p>
              </w:tc>
              <w:tc>
                <w:tcPr>
                  <w:tcW w:w="1080" w:type="dxa"/>
                  <w:shd w:val="clear" w:color="auto" w:fill="auto"/>
                  <w:tcMar>
                    <w:left w:w="115" w:type="dxa"/>
                    <w:right w:w="173" w:type="dxa"/>
                  </w:tcMar>
                  <w:vAlign w:val="center"/>
                </w:tcPr>
                <w:p w14:paraId="6CA02A67" w14:textId="2B3BA63C" w:rsidR="00047BAB" w:rsidRPr="00B8199C" w:rsidRDefault="00047BAB" w:rsidP="00047BAB">
                  <w:pPr>
                    <w:spacing w:before="60" w:after="60"/>
                    <w:jc w:val="right"/>
                    <w:rPr>
                      <w:color w:val="000000" w:themeColor="text1"/>
                      <w:sz w:val="20"/>
                      <w:szCs w:val="20"/>
                      <w:lang w:val="fr-CA"/>
                    </w:rPr>
                  </w:pPr>
                  <w:r w:rsidRPr="00B8199C">
                    <w:rPr>
                      <w:color w:val="000000" w:themeColor="text1"/>
                      <w:sz w:val="20"/>
                      <w:szCs w:val="20"/>
                      <w:lang w:val="fr-CA"/>
                    </w:rPr>
                    <w:t>86</w:t>
                  </w:r>
                  <w:r w:rsidR="00DD5FE9">
                    <w:rPr>
                      <w:color w:val="000000" w:themeColor="text1"/>
                      <w:sz w:val="20"/>
                      <w:szCs w:val="20"/>
                      <w:lang w:val="fr-CA"/>
                    </w:rPr>
                    <w:t>/</w:t>
                  </w:r>
                  <w:r w:rsidR="00DD5FE9" w:rsidRPr="00DD5FE9">
                    <w:rPr>
                      <w:b/>
                      <w:color w:val="000000" w:themeColor="text1"/>
                      <w:sz w:val="20"/>
                      <w:szCs w:val="20"/>
                      <w:lang w:val="fr-CA"/>
                    </w:rPr>
                    <w:t>87</w:t>
                  </w:r>
                </w:p>
              </w:tc>
            </w:tr>
            <w:tr w:rsidR="00047BAB" w:rsidRPr="00B8199C" w14:paraId="30BED0EC" w14:textId="77777777" w:rsidTr="00047BAB">
              <w:trPr>
                <w:cantSplit/>
              </w:trPr>
              <w:tc>
                <w:tcPr>
                  <w:tcW w:w="8275" w:type="dxa"/>
                  <w:shd w:val="clear" w:color="auto" w:fill="auto"/>
                  <w:vAlign w:val="center"/>
                  <w:hideMark/>
                </w:tcPr>
                <w:p w14:paraId="09576DBA"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Renseignements généraux sur le Fonds multilatéral et autres, notamment les états financiers intérimaires du PNUE sur le Fonds multilatéral, le rapport sur les contributions et les décaissements ; les rapports périodiques ; le programme de travail de suivi et évaluation de 2015 ; et le manuel sur les liens avec les politiques et procédures.</w:t>
                  </w:r>
                </w:p>
              </w:tc>
              <w:tc>
                <w:tcPr>
                  <w:tcW w:w="1080" w:type="dxa"/>
                  <w:shd w:val="clear" w:color="auto" w:fill="auto"/>
                  <w:tcMar>
                    <w:left w:w="115" w:type="dxa"/>
                    <w:right w:w="173" w:type="dxa"/>
                  </w:tcMar>
                  <w:vAlign w:val="center"/>
                  <w:hideMark/>
                </w:tcPr>
                <w:p w14:paraId="7A191EC8" w14:textId="77777777" w:rsidR="00047BAB" w:rsidRPr="00B8199C" w:rsidRDefault="00047BAB" w:rsidP="00047BAB">
                  <w:pPr>
                    <w:spacing w:before="60" w:after="60"/>
                    <w:jc w:val="right"/>
                    <w:rPr>
                      <w:color w:val="000000" w:themeColor="text1"/>
                      <w:sz w:val="20"/>
                      <w:szCs w:val="20"/>
                      <w:lang w:val="fr-CA"/>
                    </w:rPr>
                  </w:pPr>
                  <w:r w:rsidRPr="00B8199C">
                    <w:rPr>
                      <w:color w:val="000000" w:themeColor="text1"/>
                      <w:sz w:val="20"/>
                      <w:szCs w:val="20"/>
                      <w:lang w:val="fr-CA"/>
                    </w:rPr>
                    <w:t>75</w:t>
                  </w:r>
                </w:p>
              </w:tc>
            </w:tr>
            <w:tr w:rsidR="00047BAB" w:rsidRPr="00775610" w14:paraId="7937E3D0" w14:textId="77777777" w:rsidTr="00047BAB">
              <w:trPr>
                <w:cantSplit/>
              </w:trPr>
              <w:tc>
                <w:tcPr>
                  <w:tcW w:w="9355" w:type="dxa"/>
                  <w:gridSpan w:val="2"/>
                  <w:shd w:val="clear" w:color="auto" w:fill="auto"/>
                  <w:tcMar>
                    <w:left w:w="115" w:type="dxa"/>
                    <w:right w:w="173" w:type="dxa"/>
                  </w:tcMar>
                  <w:vAlign w:val="center"/>
                </w:tcPr>
                <w:p w14:paraId="2361C7BA" w14:textId="77777777" w:rsidR="00047BAB" w:rsidRPr="00B8199C" w:rsidRDefault="00047BAB" w:rsidP="00047BAB">
                  <w:pPr>
                    <w:keepNext/>
                    <w:spacing w:before="60" w:after="60"/>
                    <w:rPr>
                      <w:b/>
                      <w:color w:val="000000" w:themeColor="text1"/>
                      <w:sz w:val="20"/>
                      <w:szCs w:val="20"/>
                      <w:lang w:val="fr-CA"/>
                    </w:rPr>
                  </w:pPr>
                  <w:r w:rsidRPr="00B8199C">
                    <w:rPr>
                      <w:b/>
                      <w:color w:val="000000" w:themeColor="text1"/>
                      <w:sz w:val="20"/>
                      <w:szCs w:val="20"/>
                      <w:lang w:val="fr-CA"/>
                    </w:rPr>
                    <w:t>Programme des Nations Unies pour l’environnement</w:t>
                  </w:r>
                </w:p>
              </w:tc>
            </w:tr>
            <w:tr w:rsidR="00047BAB" w:rsidRPr="00B8199C" w14:paraId="6B98F164" w14:textId="77777777" w:rsidTr="00047BAB">
              <w:trPr>
                <w:cantSplit/>
              </w:trPr>
              <w:tc>
                <w:tcPr>
                  <w:tcW w:w="8275" w:type="dxa"/>
                  <w:shd w:val="clear" w:color="auto" w:fill="auto"/>
                  <w:vAlign w:val="center"/>
                </w:tcPr>
                <w:p w14:paraId="702B9A12"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Le Secrétariat du Fonds multilatéral, en collaboration avec le Secrétariat de l’Ozone, a communiqué des observations sur le rapport GCO-11 à la Division économique, Service des Substances chimiques et santé du PNUE, plus particulièrement des renseignements portant sur : l’élimination accélérée des HCFC, l’Amendement de Kigali sur les HFC, les émissions accrues de CFC-11 selon la publication de Montzka et al., en 2018, la conformité aux mesures de réglementation du Protocole de Montréal et la communication des données.</w:t>
                  </w:r>
                </w:p>
              </w:tc>
              <w:tc>
                <w:tcPr>
                  <w:tcW w:w="1080" w:type="dxa"/>
                  <w:shd w:val="clear" w:color="auto" w:fill="auto"/>
                  <w:tcMar>
                    <w:left w:w="115" w:type="dxa"/>
                    <w:right w:w="173" w:type="dxa"/>
                  </w:tcMar>
                  <w:vAlign w:val="center"/>
                </w:tcPr>
                <w:p w14:paraId="53C299F3" w14:textId="77777777" w:rsidR="00047BAB" w:rsidRPr="00B8199C" w:rsidRDefault="00047BAB" w:rsidP="00047BAB">
                  <w:pPr>
                    <w:spacing w:before="60" w:after="60"/>
                    <w:jc w:val="right"/>
                    <w:rPr>
                      <w:color w:val="000000" w:themeColor="text1"/>
                      <w:sz w:val="20"/>
                      <w:szCs w:val="20"/>
                      <w:lang w:val="fr-CA"/>
                    </w:rPr>
                  </w:pPr>
                  <w:r w:rsidRPr="00B8199C">
                    <w:rPr>
                      <w:color w:val="000000" w:themeColor="text1"/>
                      <w:sz w:val="20"/>
                      <w:szCs w:val="20"/>
                      <w:lang w:val="fr-CA"/>
                    </w:rPr>
                    <w:t>82</w:t>
                  </w:r>
                </w:p>
              </w:tc>
            </w:tr>
            <w:tr w:rsidR="00047BAB" w:rsidRPr="00775610" w14:paraId="4DA23027" w14:textId="77777777" w:rsidTr="00047BAB">
              <w:trPr>
                <w:cantSplit/>
              </w:trPr>
              <w:tc>
                <w:tcPr>
                  <w:tcW w:w="9355" w:type="dxa"/>
                  <w:gridSpan w:val="2"/>
                  <w:shd w:val="clear" w:color="auto" w:fill="auto"/>
                  <w:tcMar>
                    <w:left w:w="115" w:type="dxa"/>
                    <w:right w:w="173" w:type="dxa"/>
                  </w:tcMar>
                  <w:vAlign w:val="center"/>
                </w:tcPr>
                <w:p w14:paraId="65717BAB" w14:textId="77777777" w:rsidR="00047BAB" w:rsidRPr="00B8199C" w:rsidRDefault="00047BAB" w:rsidP="00047BAB">
                  <w:pPr>
                    <w:spacing w:before="60" w:after="60"/>
                    <w:rPr>
                      <w:b/>
                      <w:color w:val="000000" w:themeColor="text1"/>
                      <w:sz w:val="20"/>
                      <w:szCs w:val="20"/>
                      <w:lang w:val="fr-CA"/>
                    </w:rPr>
                  </w:pPr>
                  <w:r w:rsidRPr="00B8199C">
                    <w:rPr>
                      <w:b/>
                      <w:color w:val="000000" w:themeColor="text1"/>
                      <w:sz w:val="20"/>
                      <w:szCs w:val="20"/>
                      <w:lang w:val="fr-CA"/>
                    </w:rPr>
                    <w:t>Convention-cadre des Nations Unies sur les changements climatiques (CCNUCC)</w:t>
                  </w:r>
                </w:p>
              </w:tc>
            </w:tr>
            <w:tr w:rsidR="00047BAB" w:rsidRPr="00B8199C" w14:paraId="11B84BE0" w14:textId="77777777" w:rsidTr="00047BAB">
              <w:trPr>
                <w:cantSplit/>
              </w:trPr>
              <w:tc>
                <w:tcPr>
                  <w:tcW w:w="8275" w:type="dxa"/>
                  <w:shd w:val="clear" w:color="auto" w:fill="auto"/>
                  <w:vAlign w:val="center"/>
                  <w:hideMark/>
                </w:tcPr>
                <w:p w14:paraId="621E2A9F"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Observations sur un projet de sommaire technique des avantages en matière d’atténuation des mesures, initiatives et scénarios pour éliminer les émissions de gaz à effet de serre ne contenant pas de dioxyde de carbone.</w:t>
                  </w:r>
                </w:p>
              </w:tc>
              <w:tc>
                <w:tcPr>
                  <w:tcW w:w="1080" w:type="dxa"/>
                  <w:shd w:val="clear" w:color="auto" w:fill="auto"/>
                  <w:tcMar>
                    <w:left w:w="115" w:type="dxa"/>
                    <w:right w:w="173" w:type="dxa"/>
                  </w:tcMar>
                  <w:vAlign w:val="center"/>
                </w:tcPr>
                <w:p w14:paraId="3A560987"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74</w:t>
                  </w:r>
                </w:p>
              </w:tc>
            </w:tr>
            <w:tr w:rsidR="00047BAB" w:rsidRPr="00B8199C" w14:paraId="3DF243BA" w14:textId="77777777" w:rsidTr="00047BAB">
              <w:trPr>
                <w:cantSplit/>
              </w:trPr>
              <w:tc>
                <w:tcPr>
                  <w:tcW w:w="8275" w:type="dxa"/>
                  <w:shd w:val="clear" w:color="auto" w:fill="auto"/>
                  <w:vAlign w:val="center"/>
                  <w:hideMark/>
                </w:tcPr>
                <w:p w14:paraId="66437CF5"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Le Secrétariat a été invité au début octobre 2013 à assister à la 19</w:t>
                  </w:r>
                  <w:r w:rsidRPr="00B8199C">
                    <w:rPr>
                      <w:color w:val="000000" w:themeColor="text1"/>
                      <w:sz w:val="20"/>
                      <w:szCs w:val="20"/>
                      <w:vertAlign w:val="superscript"/>
                      <w:lang w:val="fr-CA"/>
                    </w:rPr>
                    <w:t>e</w:t>
                  </w:r>
                  <w:r w:rsidRPr="00B8199C">
                    <w:rPr>
                      <w:color w:val="000000" w:themeColor="text1"/>
                      <w:sz w:val="20"/>
                      <w:szCs w:val="20"/>
                      <w:lang w:val="fr-CA"/>
                    </w:rPr>
                    <w:t xml:space="preserve"> session de la Conférence des Parties à la CCNUCC et à la 9</w:t>
                  </w:r>
                  <w:r w:rsidRPr="00B8199C">
                    <w:rPr>
                      <w:color w:val="000000" w:themeColor="text1"/>
                      <w:sz w:val="20"/>
                      <w:szCs w:val="20"/>
                      <w:vertAlign w:val="superscript"/>
                      <w:lang w:val="fr-CA"/>
                    </w:rPr>
                    <w:t>e</w:t>
                  </w:r>
                  <w:r w:rsidRPr="00B8199C">
                    <w:rPr>
                      <w:color w:val="000000" w:themeColor="text1"/>
                      <w:sz w:val="20"/>
                      <w:szCs w:val="20"/>
                      <w:lang w:val="fr-CA"/>
                    </w:rPr>
                    <w:t xml:space="preserve"> session de la Conférence des Parties siégeant en tant que réunion des Parties au Protocole de Kyoto qui se dérouleraient à Varsovie, en Pologne, du 11 au 22 novembre 2013.</w:t>
                  </w:r>
                </w:p>
                <w:p w14:paraId="461D9FC4"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Le Chef du Secrétariat a répondu qu’il ne pourrait pas y assister à cause des préparatifs pour la 71</w:t>
                  </w:r>
                  <w:r w:rsidRPr="00B8199C">
                    <w:rPr>
                      <w:color w:val="000000" w:themeColor="text1"/>
                      <w:sz w:val="20"/>
                      <w:szCs w:val="20"/>
                      <w:vertAlign w:val="superscript"/>
                      <w:lang w:val="fr-CA"/>
                    </w:rPr>
                    <w:t>e</w:t>
                  </w:r>
                  <w:r w:rsidRPr="00B8199C">
                    <w:rPr>
                      <w:color w:val="000000" w:themeColor="text1"/>
                      <w:sz w:val="20"/>
                      <w:szCs w:val="20"/>
                      <w:lang w:val="fr-CA"/>
                    </w:rPr>
                    <w:t> réunion. Sachant que le Secrétariat de la CCNUCC avait été invité à assister à la vingt</w:t>
                  </w:r>
                  <w:r w:rsidRPr="00B8199C">
                    <w:rPr>
                      <w:color w:val="000000" w:themeColor="text1"/>
                      <w:sz w:val="20"/>
                      <w:szCs w:val="20"/>
                      <w:lang w:val="fr-CA"/>
                    </w:rPr>
                    <w:noBreakHyphen/>
                    <w:t>cinquième réunion de la Conférence des Parties, il a suggéré une rencontre informelle afin de discuter des occasions de collaboration possible entre les deux Secrétariats. Le Secrétaire exécutif du Secrétariat de la CCNUCC a répondu que le Coordonnateur de l’atténuation et du programme de données et d’analyse, qui assisterait à la réunion de la Conférence des Parties, organiserait une rencontre bilatérale avec lui.</w:t>
                  </w:r>
                </w:p>
                <w:p w14:paraId="7986F718"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Les représentants des deux Secrétariats se sont rencontrés et ont discuté de façon informelle d’une future collaboration entre les Secrétariats, lorsque le besoin se présenterait.</w:t>
                  </w:r>
                </w:p>
              </w:tc>
              <w:tc>
                <w:tcPr>
                  <w:tcW w:w="1080" w:type="dxa"/>
                  <w:shd w:val="clear" w:color="auto" w:fill="auto"/>
                  <w:tcMar>
                    <w:left w:w="115" w:type="dxa"/>
                    <w:right w:w="173" w:type="dxa"/>
                  </w:tcMar>
                  <w:vAlign w:val="center"/>
                </w:tcPr>
                <w:p w14:paraId="49C24C34"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71</w:t>
                  </w:r>
                </w:p>
              </w:tc>
            </w:tr>
            <w:tr w:rsidR="00047BAB" w:rsidRPr="00B8199C" w14:paraId="0058FA54" w14:textId="77777777" w:rsidTr="00047BAB">
              <w:trPr>
                <w:cantSplit/>
              </w:trPr>
              <w:tc>
                <w:tcPr>
                  <w:tcW w:w="9355" w:type="dxa"/>
                  <w:gridSpan w:val="2"/>
                  <w:shd w:val="clear" w:color="auto" w:fill="auto"/>
                  <w:tcMar>
                    <w:left w:w="115" w:type="dxa"/>
                    <w:right w:w="173" w:type="dxa"/>
                  </w:tcMar>
                  <w:vAlign w:val="center"/>
                </w:tcPr>
                <w:p w14:paraId="121D126F" w14:textId="77777777" w:rsidR="00047BAB" w:rsidRPr="00B8199C" w:rsidRDefault="00047BAB" w:rsidP="00047BAB">
                  <w:pPr>
                    <w:spacing w:before="60" w:after="60"/>
                    <w:rPr>
                      <w:b/>
                      <w:color w:val="000000" w:themeColor="text1"/>
                      <w:sz w:val="20"/>
                      <w:szCs w:val="20"/>
                      <w:lang w:val="fr-CA"/>
                    </w:rPr>
                  </w:pPr>
                  <w:r w:rsidRPr="00B8199C">
                    <w:rPr>
                      <w:b/>
                      <w:color w:val="000000" w:themeColor="text1"/>
                      <w:sz w:val="20"/>
                      <w:szCs w:val="20"/>
                      <w:lang w:val="fr-CA"/>
                    </w:rPr>
                    <w:t>Université de Bristol</w:t>
                  </w:r>
                </w:p>
              </w:tc>
            </w:tr>
            <w:tr w:rsidR="00047BAB" w:rsidRPr="00B8199C" w14:paraId="683FB8D8" w14:textId="77777777" w:rsidTr="00047BAB">
              <w:trPr>
                <w:cantSplit/>
              </w:trPr>
              <w:tc>
                <w:tcPr>
                  <w:tcW w:w="8275" w:type="dxa"/>
                  <w:shd w:val="clear" w:color="auto" w:fill="auto"/>
                  <w:vAlign w:val="center"/>
                  <w:hideMark/>
                </w:tcPr>
                <w:p w14:paraId="70881F5C" w14:textId="77777777" w:rsidR="00047BAB" w:rsidRPr="00B8199C" w:rsidRDefault="00047BAB" w:rsidP="00047BAB">
                  <w:pPr>
                    <w:spacing w:before="60" w:after="60"/>
                    <w:rPr>
                      <w:color w:val="000000" w:themeColor="text1"/>
                      <w:sz w:val="20"/>
                      <w:szCs w:val="20"/>
                      <w:lang w:val="fr-CA"/>
                    </w:rPr>
                  </w:pPr>
                  <w:r w:rsidRPr="00B8199C">
                    <w:rPr>
                      <w:color w:val="000000" w:themeColor="text1"/>
                      <w:sz w:val="20"/>
                      <w:szCs w:val="20"/>
                      <w:lang w:val="fr-CA"/>
                    </w:rPr>
                    <w:t>Remise d’un sommaire des données contenues dans les documents sur le HFC-23 préparés par le Secrétariat, la consommation globale de HFC-23 déclarée dans les enquêtes sur les substances de remplacement des SAO menées dans 119 pays visés à l’article 5 et les données obtenues dans les ressources publiques lors de la préparation du document UNEP/OzL.Pro/ExCom/79/48.</w:t>
                  </w:r>
                </w:p>
              </w:tc>
              <w:tc>
                <w:tcPr>
                  <w:tcW w:w="1080" w:type="dxa"/>
                  <w:shd w:val="clear" w:color="auto" w:fill="auto"/>
                  <w:tcMar>
                    <w:left w:w="115" w:type="dxa"/>
                    <w:right w:w="173" w:type="dxa"/>
                  </w:tcMar>
                  <w:vAlign w:val="center"/>
                </w:tcPr>
                <w:p w14:paraId="31280B21"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83</w:t>
                  </w:r>
                </w:p>
              </w:tc>
            </w:tr>
          </w:tbl>
          <w:p w14:paraId="3B9094F7" w14:textId="68B3FBAE" w:rsidR="00047BAB" w:rsidRPr="00B8199C" w:rsidRDefault="00047BAB" w:rsidP="00047BAB">
            <w:pPr>
              <w:keepNext/>
              <w:keepLines/>
              <w:spacing w:before="60" w:after="60"/>
              <w:rPr>
                <w:b/>
                <w:color w:val="000000" w:themeColor="text1"/>
                <w:sz w:val="20"/>
                <w:szCs w:val="20"/>
                <w:lang w:val="fr-CA"/>
              </w:rPr>
            </w:pPr>
          </w:p>
        </w:tc>
      </w:tr>
      <w:tr w:rsidR="00047BAB" w:rsidRPr="00B8199C" w14:paraId="523948F8" w14:textId="77777777" w:rsidTr="00047BAB">
        <w:trPr>
          <w:cantSplit/>
        </w:trPr>
        <w:tc>
          <w:tcPr>
            <w:tcW w:w="8275" w:type="dxa"/>
            <w:shd w:val="clear" w:color="auto" w:fill="auto"/>
            <w:vAlign w:val="center"/>
          </w:tcPr>
          <w:p w14:paraId="0B8EDC7D" w14:textId="78ED1820" w:rsidR="00047BAB" w:rsidRPr="00B8199C" w:rsidRDefault="00047BAB" w:rsidP="00047BAB">
            <w:pPr>
              <w:spacing w:before="60" w:after="60"/>
              <w:rPr>
                <w:color w:val="000000" w:themeColor="text1"/>
                <w:sz w:val="20"/>
                <w:szCs w:val="20"/>
                <w:lang w:val="fr-CA"/>
              </w:rPr>
            </w:pPr>
          </w:p>
        </w:tc>
        <w:tc>
          <w:tcPr>
            <w:tcW w:w="1080" w:type="dxa"/>
            <w:shd w:val="clear" w:color="auto" w:fill="auto"/>
            <w:tcMar>
              <w:left w:w="115" w:type="dxa"/>
              <w:right w:w="173" w:type="dxa"/>
            </w:tcMar>
            <w:vAlign w:val="center"/>
          </w:tcPr>
          <w:p w14:paraId="02AD6CF3" w14:textId="46B716A8" w:rsidR="00047BAB" w:rsidRPr="00B8199C" w:rsidRDefault="00047BAB" w:rsidP="00047BAB">
            <w:pPr>
              <w:spacing w:before="60" w:after="60"/>
              <w:jc w:val="right"/>
              <w:rPr>
                <w:color w:val="000000" w:themeColor="text1"/>
                <w:sz w:val="20"/>
                <w:szCs w:val="20"/>
                <w:lang w:val="en-US"/>
              </w:rPr>
            </w:pPr>
          </w:p>
        </w:tc>
      </w:tr>
      <w:tr w:rsidR="00047BAB" w:rsidRPr="00775610" w14:paraId="7A81F1E6" w14:textId="77777777" w:rsidTr="00047BAB">
        <w:trPr>
          <w:cantSplit/>
        </w:trPr>
        <w:tc>
          <w:tcPr>
            <w:tcW w:w="9355" w:type="dxa"/>
            <w:gridSpan w:val="2"/>
            <w:shd w:val="clear" w:color="auto" w:fill="auto"/>
            <w:tcMar>
              <w:left w:w="115" w:type="dxa"/>
              <w:right w:w="173" w:type="dxa"/>
            </w:tcMar>
            <w:vAlign w:val="center"/>
          </w:tcPr>
          <w:p w14:paraId="7AB12FC1" w14:textId="77777777" w:rsidR="00047BAB" w:rsidRPr="00B8199C" w:rsidRDefault="00047BAB" w:rsidP="00047BAB">
            <w:pPr>
              <w:spacing w:before="60" w:after="60"/>
              <w:jc w:val="left"/>
              <w:rPr>
                <w:b/>
                <w:color w:val="000000" w:themeColor="text1"/>
                <w:sz w:val="20"/>
                <w:szCs w:val="20"/>
                <w:lang w:val="fr-CA"/>
              </w:rPr>
            </w:pPr>
            <w:r w:rsidRPr="00B8199C">
              <w:rPr>
                <w:b/>
                <w:color w:val="000000" w:themeColor="text1"/>
                <w:sz w:val="20"/>
                <w:szCs w:val="20"/>
                <w:lang w:val="fr-CA"/>
              </w:rPr>
              <w:lastRenderedPageBreak/>
              <w:t>Division du commerce et de l’environnement de l’Organisation mondiale du commerce</w:t>
            </w:r>
          </w:p>
        </w:tc>
      </w:tr>
      <w:tr w:rsidR="00047BAB" w:rsidRPr="00B8199C" w14:paraId="37984BC2" w14:textId="77777777" w:rsidTr="00047BAB">
        <w:trPr>
          <w:cantSplit/>
        </w:trPr>
        <w:tc>
          <w:tcPr>
            <w:tcW w:w="8275" w:type="dxa"/>
            <w:shd w:val="clear" w:color="auto" w:fill="auto"/>
            <w:vAlign w:val="center"/>
            <w:hideMark/>
          </w:tcPr>
          <w:p w14:paraId="662A0F3F" w14:textId="77777777" w:rsidR="00047BAB" w:rsidRPr="00B8199C" w:rsidRDefault="00047BAB" w:rsidP="00047BAB">
            <w:pPr>
              <w:spacing w:before="60" w:after="60"/>
              <w:jc w:val="left"/>
              <w:rPr>
                <w:color w:val="000000" w:themeColor="text1"/>
                <w:sz w:val="20"/>
                <w:szCs w:val="20"/>
                <w:lang w:val="fr-CA"/>
              </w:rPr>
            </w:pPr>
            <w:r w:rsidRPr="00B8199C">
              <w:rPr>
                <w:color w:val="000000" w:themeColor="text1"/>
                <w:sz w:val="20"/>
                <w:szCs w:val="20"/>
                <w:lang w:val="fr-CA"/>
              </w:rPr>
              <w:t>Mise à jour de la grille des accords multilatéraux sur l’environnement pour le comité du commerce et de l’environnement de l’OMC (https://www.wto.org/english/tratop_e/envir_e/envir_matrix_e.htm)</w:t>
            </w:r>
          </w:p>
        </w:tc>
        <w:tc>
          <w:tcPr>
            <w:tcW w:w="1080" w:type="dxa"/>
            <w:shd w:val="clear" w:color="auto" w:fill="auto"/>
            <w:tcMar>
              <w:left w:w="115" w:type="dxa"/>
              <w:right w:w="173" w:type="dxa"/>
            </w:tcMar>
            <w:vAlign w:val="center"/>
            <w:hideMark/>
          </w:tcPr>
          <w:p w14:paraId="7697C61D" w14:textId="77777777" w:rsidR="00047BAB" w:rsidRPr="00B8199C" w:rsidRDefault="00047BAB" w:rsidP="00047BAB">
            <w:pPr>
              <w:spacing w:before="60" w:after="60"/>
              <w:jc w:val="right"/>
              <w:rPr>
                <w:color w:val="000000" w:themeColor="text1"/>
                <w:sz w:val="20"/>
                <w:szCs w:val="20"/>
                <w:lang w:val="en-US"/>
              </w:rPr>
            </w:pPr>
            <w:r w:rsidRPr="00B8199C">
              <w:rPr>
                <w:color w:val="000000" w:themeColor="text1"/>
                <w:sz w:val="20"/>
                <w:szCs w:val="20"/>
                <w:lang w:val="en-US"/>
              </w:rPr>
              <w:t>75</w:t>
            </w:r>
          </w:p>
        </w:tc>
      </w:tr>
    </w:tbl>
    <w:p w14:paraId="689F29D1" w14:textId="77777777" w:rsidR="00047BAB" w:rsidRPr="00276DAB" w:rsidRDefault="00047BAB" w:rsidP="00047BAB">
      <w:pPr>
        <w:rPr>
          <w:sz w:val="20"/>
          <w:lang w:val="fr-CA"/>
        </w:rPr>
      </w:pPr>
      <w:r w:rsidRPr="00B8199C">
        <w:rPr>
          <w:sz w:val="20"/>
          <w:u w:val="single"/>
          <w:lang w:val="fr-CA"/>
        </w:rPr>
        <w:t>Remarque :</w:t>
      </w:r>
      <w:r w:rsidRPr="00B8199C">
        <w:rPr>
          <w:sz w:val="20"/>
          <w:lang w:val="fr-CA"/>
        </w:rPr>
        <w:t xml:space="preserve"> Nouvelles informations indiquées en </w:t>
      </w:r>
      <w:r w:rsidRPr="00B8199C">
        <w:rPr>
          <w:b/>
          <w:sz w:val="20"/>
          <w:lang w:val="fr-CA"/>
        </w:rPr>
        <w:t>caractères gras</w:t>
      </w:r>
      <w:r w:rsidRPr="00B8199C">
        <w:rPr>
          <w:sz w:val="20"/>
          <w:lang w:val="fr-CA"/>
        </w:rPr>
        <w:t>.</w:t>
      </w:r>
    </w:p>
    <w:p w14:paraId="3D1416AF" w14:textId="77777777" w:rsidR="00047BAB" w:rsidRPr="00276DAB" w:rsidRDefault="00047BAB" w:rsidP="00047BAB">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5238E" w:rsidRPr="00775610" w14:paraId="06C10900" w14:textId="77777777" w:rsidTr="00EB0B6C">
        <w:tc>
          <w:tcPr>
            <w:tcW w:w="1915" w:type="dxa"/>
          </w:tcPr>
          <w:p w14:paraId="7CAA5B0E" w14:textId="77777777" w:rsidR="0045238E" w:rsidRPr="00DD5FE9" w:rsidRDefault="0045238E" w:rsidP="00EB0B6C">
            <w:pPr>
              <w:rPr>
                <w:lang w:val="fr-CA"/>
              </w:rPr>
            </w:pPr>
            <w:bookmarkStart w:id="0" w:name="_GoBack"/>
            <w:bookmarkEnd w:id="0"/>
          </w:p>
        </w:tc>
        <w:tc>
          <w:tcPr>
            <w:tcW w:w="1915" w:type="dxa"/>
          </w:tcPr>
          <w:p w14:paraId="2E7435A0" w14:textId="77777777" w:rsidR="0045238E" w:rsidRPr="00DD5FE9" w:rsidRDefault="0045238E" w:rsidP="00EB0B6C">
            <w:pPr>
              <w:rPr>
                <w:lang w:val="fr-CA"/>
              </w:rPr>
            </w:pPr>
          </w:p>
        </w:tc>
        <w:tc>
          <w:tcPr>
            <w:tcW w:w="1915" w:type="dxa"/>
            <w:tcBorders>
              <w:bottom w:val="single" w:sz="4" w:space="0" w:color="auto"/>
            </w:tcBorders>
          </w:tcPr>
          <w:p w14:paraId="3B3A199C" w14:textId="77777777" w:rsidR="0045238E" w:rsidRPr="00DD5FE9" w:rsidRDefault="0045238E" w:rsidP="00EB0B6C">
            <w:pPr>
              <w:rPr>
                <w:lang w:val="fr-CA"/>
              </w:rPr>
            </w:pPr>
          </w:p>
        </w:tc>
        <w:tc>
          <w:tcPr>
            <w:tcW w:w="1915" w:type="dxa"/>
          </w:tcPr>
          <w:p w14:paraId="3EF55162" w14:textId="77777777" w:rsidR="0045238E" w:rsidRPr="00DD5FE9" w:rsidRDefault="0045238E" w:rsidP="00EB0B6C">
            <w:pPr>
              <w:rPr>
                <w:lang w:val="fr-CA"/>
              </w:rPr>
            </w:pPr>
          </w:p>
        </w:tc>
        <w:tc>
          <w:tcPr>
            <w:tcW w:w="1916" w:type="dxa"/>
          </w:tcPr>
          <w:p w14:paraId="64400307" w14:textId="77777777" w:rsidR="0045238E" w:rsidRPr="00DD5FE9" w:rsidRDefault="0045238E" w:rsidP="00EB0B6C">
            <w:pPr>
              <w:rPr>
                <w:lang w:val="fr-CA"/>
              </w:rPr>
            </w:pPr>
          </w:p>
        </w:tc>
      </w:tr>
    </w:tbl>
    <w:p w14:paraId="3682F63B" w14:textId="77777777" w:rsidR="0045238E" w:rsidRPr="00DD5FE9" w:rsidRDefault="0045238E" w:rsidP="0045238E">
      <w:pPr>
        <w:rPr>
          <w:lang w:val="fr-CA"/>
        </w:rPr>
      </w:pPr>
    </w:p>
    <w:p w14:paraId="117B2323" w14:textId="22868246" w:rsidR="00E137E8" w:rsidRPr="00DD5FE9" w:rsidRDefault="00E137E8">
      <w:pPr>
        <w:rPr>
          <w:lang w:val="fr-CA"/>
        </w:rPr>
      </w:pPr>
    </w:p>
    <w:sectPr w:rsidR="00E137E8" w:rsidRPr="00DD5FE9" w:rsidSect="00DD5FE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34DF9" w14:textId="77777777" w:rsidR="00047BAB" w:rsidRDefault="00047BAB">
      <w:r>
        <w:separator/>
      </w:r>
    </w:p>
  </w:endnote>
  <w:endnote w:type="continuationSeparator" w:id="0">
    <w:p w14:paraId="1C25BA66" w14:textId="77777777" w:rsidR="00047BAB" w:rsidRDefault="00047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DB3AF" w14:textId="57D984BE" w:rsidR="00047BAB" w:rsidRPr="0033525D" w:rsidRDefault="00047BAB">
    <w:pPr>
      <w:jc w:val="center"/>
    </w:pPr>
    <w:r>
      <w:fldChar w:fldCharType="begin"/>
    </w:r>
    <w:r>
      <w:instrText xml:space="preserve"> PAGE </w:instrText>
    </w:r>
    <w:r>
      <w:fldChar w:fldCharType="separate"/>
    </w:r>
    <w:r w:rsidR="00775610">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D0B1C" w14:textId="7352C7FE" w:rsidR="00047BAB" w:rsidRPr="0033525D" w:rsidRDefault="00047BAB">
    <w:pPr>
      <w:jc w:val="center"/>
    </w:pPr>
    <w:r>
      <w:fldChar w:fldCharType="begin"/>
    </w:r>
    <w:r>
      <w:instrText xml:space="preserve"> PAGE </w:instrText>
    </w:r>
    <w:r>
      <w:fldChar w:fldCharType="separate"/>
    </w:r>
    <w:r w:rsidR="0077561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8C891" w14:textId="77777777" w:rsidR="00047BAB" w:rsidRDefault="00047BAB" w:rsidP="008B69B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F8A9398" w14:textId="5F733D30" w:rsidR="00047BAB" w:rsidRPr="00DD5FE9" w:rsidRDefault="00047BAB" w:rsidP="008B69B1">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DD5FE9">
      <w:rPr>
        <w:sz w:val="18"/>
        <w:szCs w:val="18"/>
        <w:lang w:val="fr-CA"/>
      </w:rPr>
      <w:t>.</w:t>
    </w:r>
  </w:p>
  <w:p w14:paraId="324D1D90" w14:textId="77777777" w:rsidR="00047BAB" w:rsidRPr="00DD5FE9" w:rsidRDefault="00047BAB"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8D781" w14:textId="056D0021" w:rsidR="00047BAB" w:rsidRPr="0033525D" w:rsidRDefault="00047BAB">
    <w:pPr>
      <w:jc w:val="center"/>
    </w:pPr>
    <w:r>
      <w:fldChar w:fldCharType="begin"/>
    </w:r>
    <w:r>
      <w:instrText xml:space="preserve"> PAGE </w:instrText>
    </w:r>
    <w:r>
      <w:fldChar w:fldCharType="separate"/>
    </w:r>
    <w:r w:rsidR="00775610">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AEB5D" w14:textId="4844B2CD" w:rsidR="00047BAB" w:rsidRPr="0033525D" w:rsidRDefault="00047BAB">
    <w:pPr>
      <w:jc w:val="center"/>
    </w:pPr>
    <w:r>
      <w:fldChar w:fldCharType="begin"/>
    </w:r>
    <w:r>
      <w:instrText xml:space="preserve"> PAGE </w:instrText>
    </w:r>
    <w:r>
      <w:fldChar w:fldCharType="separate"/>
    </w:r>
    <w:r w:rsidR="00775610">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13026"/>
      <w:docPartObj>
        <w:docPartGallery w:val="Page Numbers (Bottom of Page)"/>
        <w:docPartUnique/>
      </w:docPartObj>
    </w:sdtPr>
    <w:sdtEndPr>
      <w:rPr>
        <w:noProof/>
      </w:rPr>
    </w:sdtEndPr>
    <w:sdtContent>
      <w:p w14:paraId="2E78D403" w14:textId="0D70EDA5" w:rsidR="00047BAB" w:rsidRPr="00DD5FE9" w:rsidRDefault="00DD5FE9" w:rsidP="00DD5FE9">
        <w:pPr>
          <w:pStyle w:val="Footer"/>
          <w:jc w:val="center"/>
        </w:pPr>
        <w:r>
          <w:fldChar w:fldCharType="begin"/>
        </w:r>
        <w:r>
          <w:instrText xml:space="preserve"> PAGE   \* MERGEFORMAT </w:instrText>
        </w:r>
        <w:r>
          <w:fldChar w:fldCharType="separate"/>
        </w:r>
        <w:r w:rsidR="00775610">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1CB74" w14:textId="77777777" w:rsidR="00047BAB" w:rsidRDefault="00047BAB">
      <w:r>
        <w:separator/>
      </w:r>
    </w:p>
  </w:footnote>
  <w:footnote w:type="continuationSeparator" w:id="0">
    <w:p w14:paraId="5AFB3470" w14:textId="77777777" w:rsidR="00047BAB" w:rsidRDefault="00047BAB">
      <w:r>
        <w:continuationSeparator/>
      </w:r>
    </w:p>
  </w:footnote>
  <w:footnote w:id="1">
    <w:p w14:paraId="265E3968" w14:textId="0F1BAA05" w:rsidR="00047BAB" w:rsidRPr="00DD5FE9" w:rsidRDefault="00047BAB" w:rsidP="00E57899">
      <w:pPr>
        <w:pStyle w:val="FootnoteText"/>
        <w:rPr>
          <w:lang w:val="fr-CA"/>
        </w:rPr>
      </w:pPr>
      <w:r>
        <w:rPr>
          <w:rStyle w:val="FootnoteReference"/>
        </w:rPr>
        <w:footnoteRef/>
      </w:r>
      <w:r w:rsidRPr="00DD5FE9">
        <w:rPr>
          <w:lang w:val="fr-CA"/>
        </w:rPr>
        <w:t xml:space="preserve"> </w:t>
      </w:r>
      <w:r w:rsidRPr="00E57899">
        <w:rPr>
          <w:lang w:val="fr-FR"/>
        </w:rPr>
        <w:t>Des réunions et un processus d’approbation en période intersessions (IAP) auront</w:t>
      </w:r>
      <w:r w:rsidR="00530D29">
        <w:rPr>
          <w:lang w:val="fr-FR"/>
        </w:rPr>
        <w:t xml:space="preserve"> </w:t>
      </w:r>
      <w:r w:rsidRPr="00E57899">
        <w:rPr>
          <w:lang w:val="fr-FR"/>
        </w:rPr>
        <w:t>lieu en ligne en juin et juillet 2021 à cause du coronavirus (COVID-19)</w:t>
      </w:r>
    </w:p>
  </w:footnote>
  <w:footnote w:id="2">
    <w:p w14:paraId="5ECAF3CE" w14:textId="5DDCCC83" w:rsidR="00047BAB" w:rsidRPr="00E57899" w:rsidRDefault="00047BAB" w:rsidP="000D65F6">
      <w:pPr>
        <w:pStyle w:val="FootnoteText"/>
      </w:pPr>
      <w:r>
        <w:rPr>
          <w:rStyle w:val="FootnoteReference"/>
        </w:rPr>
        <w:footnoteRef/>
      </w:r>
      <w:r>
        <w:t xml:space="preserve"> </w:t>
      </w:r>
      <w:r w:rsidRPr="00DD5FE9">
        <w:rPr>
          <w:lang w:val="en-US"/>
        </w:rPr>
        <w:t>UNEP/OzL.Pro/ExCom/86/IAPext/3</w:t>
      </w:r>
    </w:p>
  </w:footnote>
  <w:footnote w:id="3">
    <w:p w14:paraId="050630D2" w14:textId="7B45C805" w:rsidR="00047BAB" w:rsidRPr="00DD5FE9" w:rsidRDefault="00047BAB">
      <w:pPr>
        <w:pStyle w:val="FootnoteText"/>
        <w:rPr>
          <w:lang w:val="fr-CA"/>
        </w:rPr>
      </w:pPr>
      <w:r>
        <w:rPr>
          <w:rStyle w:val="FootnoteReference"/>
        </w:rPr>
        <w:footnoteRef/>
      </w:r>
      <w:r w:rsidRPr="00DD5FE9">
        <w:rPr>
          <w:lang w:val="fr-CA"/>
        </w:rPr>
        <w:t xml:space="preserve"> </w:t>
      </w:r>
      <w:r w:rsidRPr="00E57899">
        <w:rPr>
          <w:lang w:val="fr-FR"/>
        </w:rPr>
        <w:t>Ainsi que les rapports pour le processus d'approbation intersessions pour les 85e</w:t>
      </w:r>
      <w:r w:rsidR="00530D29">
        <w:rPr>
          <w:lang w:val="fr-FR"/>
        </w:rPr>
        <w:t xml:space="preserve"> </w:t>
      </w:r>
      <w:r w:rsidRPr="00E57899">
        <w:rPr>
          <w:lang w:val="fr-FR"/>
        </w:rPr>
        <w:t>et 86</w:t>
      </w:r>
      <w:r w:rsidRPr="00E57899">
        <w:rPr>
          <w:vertAlign w:val="superscript"/>
          <w:lang w:val="fr-FR"/>
        </w:rPr>
        <w:t>e</w:t>
      </w:r>
      <w:r w:rsidR="00530D29">
        <w:rPr>
          <w:lang w:val="fr-FR"/>
        </w:rPr>
        <w:t xml:space="preserve"> </w:t>
      </w:r>
      <w:r w:rsidRPr="00E57899">
        <w:rPr>
          <w:lang w:val="fr-FR"/>
        </w:rPr>
        <w:t>réunions à la demande du Comité exécutif.</w:t>
      </w:r>
    </w:p>
  </w:footnote>
  <w:footnote w:id="4">
    <w:p w14:paraId="396B7BDD" w14:textId="4DC1AECA" w:rsidR="00047BAB" w:rsidRDefault="00047BAB" w:rsidP="000D65F6">
      <w:pPr>
        <w:pStyle w:val="FootnoteText"/>
        <w:rPr>
          <w:lang w:val="fr-CA"/>
        </w:rPr>
      </w:pPr>
      <w:r>
        <w:rPr>
          <w:rStyle w:val="FootnoteReference"/>
        </w:rPr>
        <w:footnoteRef/>
      </w:r>
      <w:r w:rsidRPr="00DD5FE9">
        <w:rPr>
          <w:lang w:val="fr-CA"/>
        </w:rPr>
        <w:t xml:space="preserve"> </w:t>
      </w:r>
      <w:r w:rsidRPr="00E57899">
        <w:rPr>
          <w:lang w:val="fr-FR"/>
        </w:rPr>
        <w:t>Inventaire des projets approuvés à la date de juin 2021 et Les politiques, procédures, lignes directrices et critères du Fonds multilatéral à la date de juin 2021</w:t>
      </w:r>
      <w:r w:rsidRPr="00DD5FE9">
        <w:rPr>
          <w:lang w:val="fr-CA"/>
        </w:rPr>
        <w:t xml:space="preserve"> </w:t>
      </w:r>
    </w:p>
    <w:p w14:paraId="1A5B4E8E" w14:textId="1BE72E64" w:rsidR="00775610" w:rsidRDefault="00775610" w:rsidP="000D65F6">
      <w:pPr>
        <w:pStyle w:val="FootnoteText"/>
        <w:rPr>
          <w:lang w:val="fr-CA"/>
        </w:rPr>
      </w:pPr>
    </w:p>
    <w:p w14:paraId="0EEB6176" w14:textId="77777777" w:rsidR="00775610" w:rsidRPr="00DD5FE9" w:rsidRDefault="00775610" w:rsidP="000D65F6">
      <w:pPr>
        <w:pStyle w:val="FootnoteText"/>
        <w:rPr>
          <w:lang w:val="fr-CA"/>
        </w:rPr>
      </w:pPr>
    </w:p>
  </w:footnote>
  <w:footnote w:id="5">
    <w:p w14:paraId="4CE198DF" w14:textId="3BD5DE45" w:rsidR="00047BAB" w:rsidRPr="00E57899" w:rsidRDefault="00047BAB">
      <w:pPr>
        <w:pStyle w:val="FootnoteText"/>
        <w:rPr>
          <w:lang w:val="en-US"/>
        </w:rPr>
      </w:pPr>
      <w:r>
        <w:rPr>
          <w:rStyle w:val="FootnoteReference"/>
        </w:rPr>
        <w:footnoteRef/>
      </w:r>
      <w:r>
        <w:t xml:space="preserve"> </w:t>
      </w:r>
      <w:r w:rsidRPr="00DD5FE9">
        <w:rPr>
          <w:lang w:val="en-US"/>
        </w:rPr>
        <w:t>UNEP/OzL.Pro/ExCom/87/IAP/1/Rev.2.</w:t>
      </w:r>
    </w:p>
  </w:footnote>
  <w:footnote w:id="6">
    <w:p w14:paraId="77767092" w14:textId="3A8FC8D9" w:rsidR="00047BAB" w:rsidRPr="00E57899" w:rsidRDefault="00047BAB">
      <w:pPr>
        <w:pStyle w:val="FootnoteText"/>
        <w:rPr>
          <w:lang w:val="en-US"/>
        </w:rPr>
      </w:pPr>
      <w:r>
        <w:rPr>
          <w:rStyle w:val="FootnoteReference"/>
        </w:rPr>
        <w:footnoteRef/>
      </w:r>
      <w:r>
        <w:t xml:space="preserve"> </w:t>
      </w:r>
      <w:r w:rsidRPr="00E57899">
        <w:rPr>
          <w:lang w:val="fr-FR"/>
        </w:rPr>
        <w:t>UNEP/OzL.Pro/ExCom/84/65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353D6" w14:textId="18B90C55" w:rsidR="00047BAB" w:rsidRPr="0033525D" w:rsidRDefault="00DD5FE9">
    <w:fldSimple w:instr=" DOCPROPERTY &quot;Document number&quot;  \* MERGEFORMAT ">
      <w:r>
        <w:t>UNEP/OzL.Pro/ExCom/87/2</w:t>
      </w:r>
    </w:fldSimple>
  </w:p>
  <w:p w14:paraId="33342012" w14:textId="77777777" w:rsidR="00047BAB" w:rsidRPr="0033525D" w:rsidRDefault="00047BAB"/>
  <w:p w14:paraId="71BF1898" w14:textId="77777777" w:rsidR="00047BAB" w:rsidRPr="0033525D" w:rsidRDefault="00047BA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3CF0D" w14:textId="06567926" w:rsidR="00047BAB" w:rsidRDefault="00DD5FE9">
    <w:pPr>
      <w:jc w:val="right"/>
    </w:pPr>
    <w:fldSimple w:instr=" DOCPROPERTY &quot;Document number&quot;  \* MERGEFORMAT ">
      <w:r>
        <w:t>UNEP/OzL.Pro/ExCom/87/2</w:t>
      </w:r>
    </w:fldSimple>
  </w:p>
  <w:p w14:paraId="22DAEBB5" w14:textId="77777777" w:rsidR="00047BAB" w:rsidRPr="0033525D" w:rsidRDefault="00047BAB" w:rsidP="00FC6246">
    <w:pPr>
      <w:jc w:val="right"/>
    </w:pPr>
  </w:p>
  <w:p w14:paraId="43914B41" w14:textId="77777777" w:rsidR="00047BAB" w:rsidRPr="0033525D" w:rsidRDefault="00047BA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47F6D" w14:textId="7DD92DBE" w:rsidR="00047BAB" w:rsidRDefault="00047BAB" w:rsidP="003F0E46">
    <w:pPr>
      <w:pStyle w:val="Header"/>
      <w:jc w:val="left"/>
    </w:pPr>
    <w:r>
      <w:t>UNEP/OzL.Pro/ExCom/87/2</w:t>
    </w:r>
  </w:p>
  <w:p w14:paraId="79F87721" w14:textId="4C9BEBEC" w:rsidR="00047BAB" w:rsidRPr="0033525D" w:rsidRDefault="00047BAB" w:rsidP="00DD5FE9">
    <w:pPr>
      <w:pStyle w:val="Header"/>
      <w:jc w:val="left"/>
    </w:pPr>
    <w:r>
      <w:t>Annex</w:t>
    </w:r>
    <w:r w:rsidR="00530D29">
      <w:t>e</w:t>
    </w:r>
    <w:r>
      <w:t xml:space="preserve"> I</w:t>
    </w:r>
  </w:p>
  <w:p w14:paraId="4BFF15BD" w14:textId="77777777" w:rsidR="00047BAB" w:rsidRPr="0033525D" w:rsidRDefault="00047BA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8DD87" w14:textId="5F07CC59" w:rsidR="00047BAB" w:rsidRDefault="00047BAB" w:rsidP="003F0E46">
    <w:pPr>
      <w:pStyle w:val="Header"/>
      <w:jc w:val="right"/>
    </w:pPr>
    <w:r>
      <w:t>UNEP/OzL.Pro/ExCom/87/2</w:t>
    </w:r>
  </w:p>
  <w:p w14:paraId="35F75A83" w14:textId="0A924DFF" w:rsidR="00047BAB" w:rsidRDefault="00047BAB" w:rsidP="003F0E46">
    <w:pPr>
      <w:pStyle w:val="Header"/>
      <w:jc w:val="right"/>
    </w:pPr>
    <w:r>
      <w:t>Annex</w:t>
    </w:r>
    <w:r w:rsidR="00530D29">
      <w:t>e</w:t>
    </w:r>
    <w:r>
      <w:t xml:space="preserve"> I</w:t>
    </w:r>
  </w:p>
  <w:p w14:paraId="0D1929E0" w14:textId="77777777" w:rsidR="00047BAB" w:rsidRPr="0033525D" w:rsidRDefault="00047BAB"/>
  <w:p w14:paraId="1968389D" w14:textId="77777777" w:rsidR="00047BAB" w:rsidRPr="0033525D" w:rsidRDefault="00047BA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74217" w14:textId="056B11BA" w:rsidR="00047BAB" w:rsidRDefault="00047BAB" w:rsidP="003F0E46">
    <w:pPr>
      <w:pStyle w:val="Header"/>
      <w:jc w:val="right"/>
    </w:pPr>
    <w:r>
      <w:t>UNEP/OzL.Pro/ExCom/87/2</w:t>
    </w:r>
  </w:p>
  <w:p w14:paraId="4B1F296C" w14:textId="46B4F2E1" w:rsidR="00047BAB" w:rsidRDefault="00047BAB" w:rsidP="003F0E46">
    <w:pPr>
      <w:pStyle w:val="Header"/>
      <w:jc w:val="right"/>
    </w:pPr>
    <w:r>
      <w:t>Annex</w:t>
    </w:r>
    <w:r w:rsidR="00530D29">
      <w:t>e</w:t>
    </w:r>
    <w:r>
      <w:t xml:space="preserve"> I</w:t>
    </w:r>
  </w:p>
  <w:p w14:paraId="78BB23E7" w14:textId="77777777" w:rsidR="00047BAB" w:rsidRDefault="00047BA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8B333B"/>
    <w:multiLevelType w:val="hybridMultilevel"/>
    <w:tmpl w:val="C1DA598E"/>
    <w:lvl w:ilvl="0" w:tplc="0413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0704B7"/>
    <w:rsid w:val="00000FED"/>
    <w:rsid w:val="00002DA8"/>
    <w:rsid w:val="0000434E"/>
    <w:rsid w:val="000211A9"/>
    <w:rsid w:val="00031260"/>
    <w:rsid w:val="0003681A"/>
    <w:rsid w:val="000372B7"/>
    <w:rsid w:val="00047BAB"/>
    <w:rsid w:val="00050F6E"/>
    <w:rsid w:val="00061EC2"/>
    <w:rsid w:val="00066CE8"/>
    <w:rsid w:val="000704B7"/>
    <w:rsid w:val="0008048F"/>
    <w:rsid w:val="00080ED0"/>
    <w:rsid w:val="00085B8F"/>
    <w:rsid w:val="00090481"/>
    <w:rsid w:val="000A3826"/>
    <w:rsid w:val="000A6C26"/>
    <w:rsid w:val="000D52A4"/>
    <w:rsid w:val="000D65F6"/>
    <w:rsid w:val="000E07BC"/>
    <w:rsid w:val="000E3E92"/>
    <w:rsid w:val="000F1CD4"/>
    <w:rsid w:val="000F4103"/>
    <w:rsid w:val="000F70A7"/>
    <w:rsid w:val="00113CCA"/>
    <w:rsid w:val="00122F25"/>
    <w:rsid w:val="00135980"/>
    <w:rsid w:val="0015579F"/>
    <w:rsid w:val="00164719"/>
    <w:rsid w:val="00166FC4"/>
    <w:rsid w:val="001677AC"/>
    <w:rsid w:val="001804EA"/>
    <w:rsid w:val="0018229F"/>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164"/>
    <w:rsid w:val="00224FCD"/>
    <w:rsid w:val="00253222"/>
    <w:rsid w:val="00253C90"/>
    <w:rsid w:val="00262847"/>
    <w:rsid w:val="00281BB2"/>
    <w:rsid w:val="00284C59"/>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2D6A"/>
    <w:rsid w:val="003840E6"/>
    <w:rsid w:val="00384CBC"/>
    <w:rsid w:val="00385CFC"/>
    <w:rsid w:val="0039337A"/>
    <w:rsid w:val="003A3189"/>
    <w:rsid w:val="003A3CA7"/>
    <w:rsid w:val="003B2EE4"/>
    <w:rsid w:val="003B33BD"/>
    <w:rsid w:val="003B558F"/>
    <w:rsid w:val="003B569D"/>
    <w:rsid w:val="003C3C0E"/>
    <w:rsid w:val="003D1307"/>
    <w:rsid w:val="003D42A6"/>
    <w:rsid w:val="003D4F21"/>
    <w:rsid w:val="003D4FAC"/>
    <w:rsid w:val="003E7906"/>
    <w:rsid w:val="003F0E46"/>
    <w:rsid w:val="003F3C50"/>
    <w:rsid w:val="00401870"/>
    <w:rsid w:val="00406A6A"/>
    <w:rsid w:val="00406B22"/>
    <w:rsid w:val="00411908"/>
    <w:rsid w:val="004328A7"/>
    <w:rsid w:val="00434C74"/>
    <w:rsid w:val="00437780"/>
    <w:rsid w:val="00442353"/>
    <w:rsid w:val="0045238E"/>
    <w:rsid w:val="00456EB4"/>
    <w:rsid w:val="00463141"/>
    <w:rsid w:val="004718F3"/>
    <w:rsid w:val="00475040"/>
    <w:rsid w:val="0048390C"/>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24CEA"/>
    <w:rsid w:val="00530D29"/>
    <w:rsid w:val="00532C29"/>
    <w:rsid w:val="00533796"/>
    <w:rsid w:val="00537343"/>
    <w:rsid w:val="00550AB0"/>
    <w:rsid w:val="00555D75"/>
    <w:rsid w:val="00560DF0"/>
    <w:rsid w:val="0056759C"/>
    <w:rsid w:val="0059513E"/>
    <w:rsid w:val="005954A1"/>
    <w:rsid w:val="005A6AA4"/>
    <w:rsid w:val="005A6D9F"/>
    <w:rsid w:val="005A7615"/>
    <w:rsid w:val="005B48FF"/>
    <w:rsid w:val="005D363F"/>
    <w:rsid w:val="005E308B"/>
    <w:rsid w:val="005E4D2F"/>
    <w:rsid w:val="005F7227"/>
    <w:rsid w:val="00601825"/>
    <w:rsid w:val="00604C15"/>
    <w:rsid w:val="006158D5"/>
    <w:rsid w:val="00625D83"/>
    <w:rsid w:val="006431C3"/>
    <w:rsid w:val="00650532"/>
    <w:rsid w:val="00653922"/>
    <w:rsid w:val="006623E7"/>
    <w:rsid w:val="00662B80"/>
    <w:rsid w:val="00665082"/>
    <w:rsid w:val="00670F6C"/>
    <w:rsid w:val="00682C61"/>
    <w:rsid w:val="006852C7"/>
    <w:rsid w:val="006852CE"/>
    <w:rsid w:val="00686E9B"/>
    <w:rsid w:val="00692D14"/>
    <w:rsid w:val="006B28FC"/>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75610"/>
    <w:rsid w:val="007813EE"/>
    <w:rsid w:val="007A1546"/>
    <w:rsid w:val="007A228C"/>
    <w:rsid w:val="007A368E"/>
    <w:rsid w:val="007A5868"/>
    <w:rsid w:val="007B04CE"/>
    <w:rsid w:val="007B6871"/>
    <w:rsid w:val="007B7868"/>
    <w:rsid w:val="007B7A2F"/>
    <w:rsid w:val="007C3D33"/>
    <w:rsid w:val="007D294A"/>
    <w:rsid w:val="007D47D2"/>
    <w:rsid w:val="007D6EC0"/>
    <w:rsid w:val="007D7E1D"/>
    <w:rsid w:val="00804220"/>
    <w:rsid w:val="00805B1B"/>
    <w:rsid w:val="00813557"/>
    <w:rsid w:val="00831979"/>
    <w:rsid w:val="00851352"/>
    <w:rsid w:val="00857077"/>
    <w:rsid w:val="00863230"/>
    <w:rsid w:val="00865BD0"/>
    <w:rsid w:val="008717D8"/>
    <w:rsid w:val="0087215C"/>
    <w:rsid w:val="00875D25"/>
    <w:rsid w:val="00880E35"/>
    <w:rsid w:val="008875FE"/>
    <w:rsid w:val="00887F8E"/>
    <w:rsid w:val="00896234"/>
    <w:rsid w:val="00897E43"/>
    <w:rsid w:val="008A09C1"/>
    <w:rsid w:val="008A4AAA"/>
    <w:rsid w:val="008B69B1"/>
    <w:rsid w:val="008C0A74"/>
    <w:rsid w:val="008C0F0E"/>
    <w:rsid w:val="008C5738"/>
    <w:rsid w:val="008C7EAD"/>
    <w:rsid w:val="008D0CFE"/>
    <w:rsid w:val="008D6152"/>
    <w:rsid w:val="008E1836"/>
    <w:rsid w:val="008E7BA9"/>
    <w:rsid w:val="008F0F81"/>
    <w:rsid w:val="008F27BF"/>
    <w:rsid w:val="009142EC"/>
    <w:rsid w:val="009154C3"/>
    <w:rsid w:val="00923540"/>
    <w:rsid w:val="00926767"/>
    <w:rsid w:val="009361D5"/>
    <w:rsid w:val="009428A4"/>
    <w:rsid w:val="00944249"/>
    <w:rsid w:val="009659F4"/>
    <w:rsid w:val="00970D60"/>
    <w:rsid w:val="0099390E"/>
    <w:rsid w:val="009960E5"/>
    <w:rsid w:val="009A7ADC"/>
    <w:rsid w:val="009B0D30"/>
    <w:rsid w:val="009C19B7"/>
    <w:rsid w:val="009C5ABB"/>
    <w:rsid w:val="009D7C51"/>
    <w:rsid w:val="009E196C"/>
    <w:rsid w:val="009E5204"/>
    <w:rsid w:val="009F36BF"/>
    <w:rsid w:val="00A111B6"/>
    <w:rsid w:val="00A26D27"/>
    <w:rsid w:val="00A376EE"/>
    <w:rsid w:val="00A42A99"/>
    <w:rsid w:val="00A5151A"/>
    <w:rsid w:val="00A55BDC"/>
    <w:rsid w:val="00A57E0A"/>
    <w:rsid w:val="00A61760"/>
    <w:rsid w:val="00A818C8"/>
    <w:rsid w:val="00A823F6"/>
    <w:rsid w:val="00A8719E"/>
    <w:rsid w:val="00AA0A89"/>
    <w:rsid w:val="00AA6429"/>
    <w:rsid w:val="00AC01AA"/>
    <w:rsid w:val="00AC4F72"/>
    <w:rsid w:val="00AE4A71"/>
    <w:rsid w:val="00AF741A"/>
    <w:rsid w:val="00B01ADB"/>
    <w:rsid w:val="00B04161"/>
    <w:rsid w:val="00B056F9"/>
    <w:rsid w:val="00B11E3D"/>
    <w:rsid w:val="00B17E82"/>
    <w:rsid w:val="00B4575A"/>
    <w:rsid w:val="00B575BA"/>
    <w:rsid w:val="00B71608"/>
    <w:rsid w:val="00B76429"/>
    <w:rsid w:val="00B812B8"/>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0775F"/>
    <w:rsid w:val="00C15867"/>
    <w:rsid w:val="00C2296D"/>
    <w:rsid w:val="00C23155"/>
    <w:rsid w:val="00C27696"/>
    <w:rsid w:val="00C40C41"/>
    <w:rsid w:val="00C45885"/>
    <w:rsid w:val="00C50F22"/>
    <w:rsid w:val="00C57971"/>
    <w:rsid w:val="00C65BD7"/>
    <w:rsid w:val="00C76BA4"/>
    <w:rsid w:val="00C83A48"/>
    <w:rsid w:val="00C85865"/>
    <w:rsid w:val="00C85E85"/>
    <w:rsid w:val="00CA0157"/>
    <w:rsid w:val="00CA2EAE"/>
    <w:rsid w:val="00CA4AC1"/>
    <w:rsid w:val="00CB0316"/>
    <w:rsid w:val="00CB0B11"/>
    <w:rsid w:val="00CB291A"/>
    <w:rsid w:val="00CB426A"/>
    <w:rsid w:val="00CB5354"/>
    <w:rsid w:val="00CB674E"/>
    <w:rsid w:val="00CC3C9E"/>
    <w:rsid w:val="00CC5C03"/>
    <w:rsid w:val="00CC6A14"/>
    <w:rsid w:val="00CC70A3"/>
    <w:rsid w:val="00CD4442"/>
    <w:rsid w:val="00CD53C3"/>
    <w:rsid w:val="00CD574E"/>
    <w:rsid w:val="00CD5815"/>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87E22"/>
    <w:rsid w:val="00D90C70"/>
    <w:rsid w:val="00D90E49"/>
    <w:rsid w:val="00D96ADE"/>
    <w:rsid w:val="00DA0CE2"/>
    <w:rsid w:val="00DC6A10"/>
    <w:rsid w:val="00DD5FE9"/>
    <w:rsid w:val="00DE657E"/>
    <w:rsid w:val="00DF10D2"/>
    <w:rsid w:val="00DF1C46"/>
    <w:rsid w:val="00DF4704"/>
    <w:rsid w:val="00E024AA"/>
    <w:rsid w:val="00E137E8"/>
    <w:rsid w:val="00E15C77"/>
    <w:rsid w:val="00E250F1"/>
    <w:rsid w:val="00E3550D"/>
    <w:rsid w:val="00E52838"/>
    <w:rsid w:val="00E54A90"/>
    <w:rsid w:val="00E57899"/>
    <w:rsid w:val="00E614E0"/>
    <w:rsid w:val="00E73F7F"/>
    <w:rsid w:val="00E835C2"/>
    <w:rsid w:val="00E85409"/>
    <w:rsid w:val="00EA429F"/>
    <w:rsid w:val="00EA4F9E"/>
    <w:rsid w:val="00EA63CA"/>
    <w:rsid w:val="00EA6D3B"/>
    <w:rsid w:val="00EB00AD"/>
    <w:rsid w:val="00EB0B6C"/>
    <w:rsid w:val="00EB136C"/>
    <w:rsid w:val="00EB480E"/>
    <w:rsid w:val="00EB5EC6"/>
    <w:rsid w:val="00EB7FC9"/>
    <w:rsid w:val="00EC7760"/>
    <w:rsid w:val="00ED27E8"/>
    <w:rsid w:val="00ED7137"/>
    <w:rsid w:val="00EF06EA"/>
    <w:rsid w:val="00F21088"/>
    <w:rsid w:val="00F327E7"/>
    <w:rsid w:val="00F35746"/>
    <w:rsid w:val="00F447C7"/>
    <w:rsid w:val="00F459B4"/>
    <w:rsid w:val="00F5211B"/>
    <w:rsid w:val="00F52CA2"/>
    <w:rsid w:val="00F554A9"/>
    <w:rsid w:val="00F716FD"/>
    <w:rsid w:val="00F72072"/>
    <w:rsid w:val="00F80355"/>
    <w:rsid w:val="00F87C43"/>
    <w:rsid w:val="00F9607B"/>
    <w:rsid w:val="00FA5722"/>
    <w:rsid w:val="00FB0C81"/>
    <w:rsid w:val="00FC2200"/>
    <w:rsid w:val="00FC2540"/>
    <w:rsid w:val="00FC624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F1FE46B"/>
  <w15:docId w15:val="{08C19243-E61B-4DA1-9DA2-548B9961C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6E126D"/>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6E126D"/>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42353"/>
    <w:pPr>
      <w:spacing w:after="160" w:line="240" w:lineRule="exact"/>
    </w:pPr>
    <w:rPr>
      <w:sz w:val="20"/>
      <w:szCs w:val="20"/>
      <w:vertAlign w:val="superscript"/>
      <w:lang w:val="en-US"/>
    </w:rPr>
  </w:style>
  <w:style w:type="character" w:customStyle="1" w:styleId="normalchar">
    <w:name w:val="normal__char"/>
    <w:basedOn w:val="DefaultParagraphFont"/>
    <w:rsid w:val="00442353"/>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442353"/>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locked/>
    <w:rsid w:val="00442353"/>
    <w:rPr>
      <w:sz w:val="22"/>
      <w:szCs w:val="22"/>
      <w:lang w:val="en-CA"/>
    </w:rPr>
  </w:style>
  <w:style w:type="paragraph" w:styleId="ListParagraph">
    <w:name w:val="List Paragraph"/>
    <w:basedOn w:val="Normal"/>
    <w:uiPriority w:val="34"/>
    <w:qFormat/>
    <w:rsid w:val="007B7868"/>
    <w:pPr>
      <w:ind w:left="720"/>
      <w:contextualSpacing/>
    </w:pPr>
  </w:style>
  <w:style w:type="character" w:customStyle="1" w:styleId="HeaderChar">
    <w:name w:val="Header Char"/>
    <w:basedOn w:val="DefaultParagraphFont"/>
    <w:link w:val="Header"/>
    <w:rsid w:val="003F0E46"/>
    <w:rPr>
      <w:sz w:val="22"/>
      <w:szCs w:val="22"/>
      <w:lang w:val="en-CA"/>
    </w:rPr>
  </w:style>
  <w:style w:type="character" w:customStyle="1" w:styleId="FooterChar">
    <w:name w:val="Footer Char"/>
    <w:basedOn w:val="DefaultParagraphFont"/>
    <w:link w:val="Footer"/>
    <w:uiPriority w:val="99"/>
    <w:rsid w:val="00DD5FE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473731">
      <w:bodyDiv w:val="1"/>
      <w:marLeft w:val="0"/>
      <w:marRight w:val="0"/>
      <w:marTop w:val="0"/>
      <w:marBottom w:val="0"/>
      <w:divBdr>
        <w:top w:val="none" w:sz="0" w:space="0" w:color="auto"/>
        <w:left w:val="none" w:sz="0" w:space="0" w:color="auto"/>
        <w:bottom w:val="none" w:sz="0" w:space="0" w:color="auto"/>
        <w:right w:val="none" w:sz="0" w:space="0" w:color="auto"/>
      </w:divBdr>
    </w:div>
    <w:div w:id="15568161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UNEP/OzL.Pro/ExCom/87/2</Document_x0020_Number>
  </documentManagement>
</p:properties>
</file>

<file path=customXml/itemProps1.xml><?xml version="1.0" encoding="utf-8"?>
<ds:datastoreItem xmlns:ds="http://schemas.openxmlformats.org/officeDocument/2006/customXml" ds:itemID="{3FB2786F-D4AB-42AD-B181-9D8A39E3A18E}"/>
</file>

<file path=customXml/itemProps2.xml><?xml version="1.0" encoding="utf-8"?>
<ds:datastoreItem xmlns:ds="http://schemas.openxmlformats.org/officeDocument/2006/customXml" ds:itemID="{AE87C8D4-2B5F-4D7C-816D-891DE553D9B0}"/>
</file>

<file path=customXml/itemProps3.xml><?xml version="1.0" encoding="utf-8"?>
<ds:datastoreItem xmlns:ds="http://schemas.openxmlformats.org/officeDocument/2006/customXml" ds:itemID="{DCB0D53F-9A74-47A5-80DE-8313419B220E}"/>
</file>

<file path=customXml/itemProps4.xml><?xml version="1.0" encoding="utf-8"?>
<ds:datastoreItem xmlns:ds="http://schemas.openxmlformats.org/officeDocument/2006/customXml" ds:itemID="{71FF027A-5473-4199-A22E-218AA0D0540E}"/>
</file>

<file path=docProps/app.xml><?xml version="1.0" encoding="utf-8"?>
<Properties xmlns="http://schemas.openxmlformats.org/officeDocument/2006/extended-properties" xmlns:vt="http://schemas.openxmlformats.org/officeDocument/2006/docPropsVTypes">
  <Template>Eec87G</Template>
  <TotalTime>247</TotalTime>
  <Pages>12</Pages>
  <Words>5283</Words>
  <Characters>30116</Characters>
  <Application>Microsoft Office Word</Application>
  <DocSecurity>0</DocSecurity>
  <Lines>250</Lines>
  <Paragraphs>70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Activités du secrétariat</vt:lpstr>
      <vt:lpstr/>
    </vt:vector>
  </TitlesOfParts>
  <Company>UNMFS</Company>
  <LinksUpToDate>false</LinksUpToDate>
  <CharactersWithSpaces>35329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dc:title>
  <dc:creator>Kata Koppel</dc:creator>
  <cp:lastModifiedBy>HB</cp:lastModifiedBy>
  <cp:revision>13</cp:revision>
  <cp:lastPrinted>2021-06-26T14:26:00Z</cp:lastPrinted>
  <dcterms:created xsi:type="dcterms:W3CDTF">2021-06-25T16:03:00Z</dcterms:created>
  <dcterms:modified xsi:type="dcterms:W3CDTF">2021-06-29T14:33:00Z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vt:lpwstr>
  </property>
  <property fmtid="{D5CDD505-2E9C-101B-9397-08002B2CF9AE}" pid="3" name="Revision date">
    <vt:lpwstr>6/24/2021</vt:lpwstr>
  </property>
  <property fmtid="{D5CDD505-2E9C-101B-9397-08002B2CF9AE}" pid="4" name="ContentTypeId">
    <vt:lpwstr>0x0101006D54131ACC863C4CBCCC233143506327</vt:lpwstr>
  </property>
</Properties>
</file>