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Ind w:w="-432" w:type="dxa"/>
        <w:tblLayout w:type="fixed"/>
        <w:tblLook w:val="0000" w:firstRow="0" w:lastRow="0" w:firstColumn="0" w:lastColumn="0" w:noHBand="0" w:noVBand="0"/>
      </w:tblPr>
      <w:tblGrid>
        <w:gridCol w:w="1902"/>
        <w:gridCol w:w="4588"/>
        <w:gridCol w:w="3257"/>
      </w:tblGrid>
      <w:tr w:rsidR="00441083" w14:paraId="703225C8" w14:textId="77777777" w:rsidTr="00FD7CA9">
        <w:trPr>
          <w:trHeight w:val="665"/>
        </w:trPr>
        <w:tc>
          <w:tcPr>
            <w:tcW w:w="6490" w:type="dxa"/>
            <w:gridSpan w:val="2"/>
            <w:tcBorders>
              <w:bottom w:val="single" w:sz="18" w:space="0" w:color="auto"/>
            </w:tcBorders>
          </w:tcPr>
          <w:p w14:paraId="438F77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1FA8B8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57" w:type="dxa"/>
            <w:tcBorders>
              <w:bottom w:val="single" w:sz="18" w:space="0" w:color="auto"/>
            </w:tcBorders>
          </w:tcPr>
          <w:p w14:paraId="33C6E45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826A809" w14:textId="77777777" w:rsidTr="00FD7C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0"/>
        </w:trPr>
        <w:tc>
          <w:tcPr>
            <w:tcW w:w="1902" w:type="dxa"/>
            <w:tcBorders>
              <w:top w:val="nil"/>
              <w:left w:val="nil"/>
              <w:bottom w:val="single" w:sz="36" w:space="0" w:color="auto"/>
              <w:right w:val="nil"/>
            </w:tcBorders>
          </w:tcPr>
          <w:p w14:paraId="4EE05D7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DCF652A" wp14:editId="6DB02408">
                  <wp:simplePos x="0" y="0"/>
                  <wp:positionH relativeFrom="column">
                    <wp:posOffset>76835</wp:posOffset>
                  </wp:positionH>
                  <wp:positionV relativeFrom="paragraph">
                    <wp:posOffset>805815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5799FDE2" wp14:editId="49ADB64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88" w:type="dxa"/>
            <w:tcBorders>
              <w:top w:val="nil"/>
              <w:left w:val="nil"/>
              <w:bottom w:val="single" w:sz="36" w:space="0" w:color="auto"/>
              <w:right w:val="nil"/>
            </w:tcBorders>
          </w:tcPr>
          <w:p w14:paraId="7B086632" w14:textId="77777777" w:rsidR="007314A4" w:rsidRDefault="007314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5F69664" w14:textId="677B2A08"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F44F38" w14:textId="77777777" w:rsidR="00441083" w:rsidRDefault="00E60D9C">
            <w:pPr>
              <w:rPr>
                <w:rFonts w:ascii="Univers" w:hAnsi="Univers"/>
                <w:b/>
                <w:sz w:val="32"/>
                <w:lang w:val="fr-CA"/>
              </w:rPr>
            </w:pPr>
            <w:r>
              <w:rPr>
                <w:rFonts w:ascii="Univers" w:hAnsi="Univers"/>
                <w:b/>
                <w:sz w:val="32"/>
                <w:lang w:val="fr-CA"/>
              </w:rPr>
              <w:t>Nations Unies pour</w:t>
            </w:r>
          </w:p>
          <w:p w14:paraId="5A900FD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3BC14DA" w14:textId="77777777" w:rsidR="00441083" w:rsidRDefault="00E60D9C">
            <w:pPr>
              <w:spacing w:before="720"/>
              <w:ind w:left="158"/>
              <w:rPr>
                <w:lang w:val="fr-FR"/>
              </w:rPr>
            </w:pPr>
            <w:r>
              <w:rPr>
                <w:lang w:val="fr-FR"/>
              </w:rPr>
              <w:t xml:space="preserve"> </w:t>
            </w:r>
          </w:p>
        </w:tc>
        <w:tc>
          <w:tcPr>
            <w:tcW w:w="3257" w:type="dxa"/>
            <w:tcBorders>
              <w:top w:val="nil"/>
              <w:left w:val="nil"/>
              <w:bottom w:val="single" w:sz="36" w:space="0" w:color="auto"/>
              <w:right w:val="nil"/>
            </w:tcBorders>
          </w:tcPr>
          <w:p w14:paraId="12192E05" w14:textId="77777777" w:rsidR="007314A4" w:rsidRDefault="007314A4">
            <w:pPr>
              <w:rPr>
                <w:lang w:val="fr-FR"/>
              </w:rPr>
            </w:pPr>
          </w:p>
          <w:p w14:paraId="5212CC73" w14:textId="1E99ECAB" w:rsidR="00441083" w:rsidRPr="00DD3433" w:rsidRDefault="00E60D9C">
            <w:pPr>
              <w:rPr>
                <w:lang w:val="fr-FR"/>
              </w:rPr>
            </w:pPr>
            <w:proofErr w:type="spellStart"/>
            <w:r w:rsidRPr="00DD3433">
              <w:rPr>
                <w:lang w:val="fr-FR"/>
              </w:rPr>
              <w:t>Distr</w:t>
            </w:r>
            <w:proofErr w:type="spellEnd"/>
            <w:r w:rsidRPr="00DD3433">
              <w:rPr>
                <w:lang w:val="fr-FR"/>
              </w:rPr>
              <w:t>.</w:t>
            </w:r>
          </w:p>
          <w:p w14:paraId="363A34FD"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20FA63F" w14:textId="77777777" w:rsidR="00441083" w:rsidRPr="00DD3433" w:rsidRDefault="00441083">
            <w:pPr>
              <w:rPr>
                <w:lang w:val="fr-FR"/>
              </w:rPr>
            </w:pPr>
          </w:p>
          <w:p w14:paraId="5D69C502" w14:textId="7D6CB3BD" w:rsidR="00441083" w:rsidRPr="00FD7CA9" w:rsidRDefault="00E60D9C">
            <w:pPr>
              <w:rPr>
                <w:lang w:val="fr-FR"/>
              </w:rPr>
            </w:pPr>
            <w:r>
              <w:fldChar w:fldCharType="begin"/>
            </w:r>
            <w:r w:rsidRPr="00B07E1C">
              <w:rPr>
                <w:lang w:val="fr-CA"/>
              </w:rPr>
              <w:instrText xml:space="preserve"> DOCPROPERTY "Document number"  \* MERGEFORMAT </w:instrText>
            </w:r>
            <w:r>
              <w:fldChar w:fldCharType="separate"/>
            </w:r>
            <w:r w:rsidR="00B07E1C" w:rsidRPr="00B07E1C">
              <w:rPr>
                <w:lang w:val="fr-CA"/>
              </w:rPr>
              <w:t>UNEP/</w:t>
            </w:r>
            <w:proofErr w:type="spellStart"/>
            <w:r w:rsidR="00B07E1C" w:rsidRPr="00B07E1C">
              <w:rPr>
                <w:lang w:val="fr-CA"/>
              </w:rPr>
              <w:t>OzL.Pro</w:t>
            </w:r>
            <w:proofErr w:type="spellEnd"/>
            <w:r w:rsidR="00B07E1C" w:rsidRPr="00B07E1C">
              <w:rPr>
                <w:lang w:val="fr-CA"/>
              </w:rPr>
              <w:t>/</w:t>
            </w:r>
            <w:proofErr w:type="spellStart"/>
            <w:r w:rsidR="00B07E1C" w:rsidRPr="00B07E1C">
              <w:rPr>
                <w:lang w:val="fr-CA"/>
              </w:rPr>
              <w:t>ExCom</w:t>
            </w:r>
            <w:proofErr w:type="spellEnd"/>
            <w:r w:rsidR="00B07E1C" w:rsidRPr="00B07E1C">
              <w:rPr>
                <w:lang w:val="fr-CA"/>
              </w:rPr>
              <w:t>/9</w:t>
            </w:r>
            <w:r w:rsidR="006C5D12">
              <w:rPr>
                <w:lang w:val="fr-CA"/>
              </w:rPr>
              <w:t>2</w:t>
            </w:r>
            <w:r w:rsidR="00B07E1C" w:rsidRPr="00B07E1C">
              <w:rPr>
                <w:lang w:val="fr-CA"/>
              </w:rPr>
              <w:t>/</w:t>
            </w:r>
            <w:r w:rsidR="006C5D12">
              <w:rPr>
                <w:lang w:val="fr-CA"/>
              </w:rPr>
              <w:t xml:space="preserve">55 </w:t>
            </w:r>
            <w:r>
              <w:fldChar w:fldCharType="end"/>
            </w:r>
          </w:p>
          <w:p w14:paraId="3DB7BCF6" w14:textId="209DA7FF" w:rsidR="002F0B57" w:rsidRPr="00B122F0" w:rsidRDefault="006C5D12" w:rsidP="00C9547D">
            <w:pPr>
              <w:rPr>
                <w:lang w:val="fr-CA"/>
              </w:rPr>
            </w:pPr>
            <w:r>
              <w:rPr>
                <w:lang w:val="fr-CA"/>
              </w:rPr>
              <w:t>2 juin</w:t>
            </w:r>
            <w:r w:rsidR="00B07E1C">
              <w:rPr>
                <w:lang w:val="fr-CA"/>
              </w:rPr>
              <w:t xml:space="preserve"> </w:t>
            </w:r>
            <w:r w:rsidR="002F0B57">
              <w:fldChar w:fldCharType="begin"/>
            </w:r>
            <w:r w:rsidR="002F0B57" w:rsidRPr="00B122F0">
              <w:rPr>
                <w:lang w:val="fr-CA"/>
              </w:rPr>
              <w:instrText xml:space="preserve"> DOCPROPERTY "Revision date" \@ "d MMMM YYYY"  \* MERGEFORMAT </w:instrText>
            </w:r>
            <w:r w:rsidR="002F0B57">
              <w:fldChar w:fldCharType="separate"/>
            </w:r>
            <w:r w:rsidR="00B07E1C" w:rsidRPr="00B122F0">
              <w:rPr>
                <w:lang w:val="fr-CA"/>
              </w:rPr>
              <w:t xml:space="preserve"> 202</w:t>
            </w:r>
            <w:r>
              <w:rPr>
                <w:lang w:val="fr-CA"/>
              </w:rPr>
              <w:t xml:space="preserve">3  </w:t>
            </w:r>
            <w:r w:rsidR="002F0B57">
              <w:fldChar w:fldCharType="end"/>
            </w:r>
          </w:p>
          <w:p w14:paraId="4CD8FE09" w14:textId="77777777" w:rsidR="00441083" w:rsidRDefault="00FC5578">
            <w:pPr>
              <w:rPr>
                <w:caps/>
                <w:lang w:val="fr-FR"/>
              </w:rPr>
            </w:pPr>
            <w:r w:rsidRPr="00B122F0">
              <w:rPr>
                <w:caps/>
                <w:lang w:val="fr-CA"/>
              </w:rPr>
              <w:br/>
            </w:r>
            <w:r w:rsidR="00E60D9C">
              <w:rPr>
                <w:caps/>
                <w:lang w:val="fr-FR"/>
              </w:rPr>
              <w:t>FRANÇAIS</w:t>
            </w:r>
          </w:p>
          <w:p w14:paraId="3B9682DA" w14:textId="77777777" w:rsidR="00441083" w:rsidRDefault="00E60D9C">
            <w:r>
              <w:t xml:space="preserve">ORIGINAL: </w:t>
            </w:r>
            <w:r w:rsidR="0091161A">
              <w:t>ANGLAIS</w:t>
            </w:r>
          </w:p>
        </w:tc>
      </w:tr>
    </w:tbl>
    <w:p w14:paraId="5D903381" w14:textId="6D846E14"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6C5D12">
        <w:rPr>
          <w:lang w:val="fr-CA"/>
        </w:rPr>
        <w:t>dou</w:t>
      </w:r>
      <w:r w:rsidR="004D7878">
        <w:rPr>
          <w:lang w:val="fr-CA"/>
        </w:rPr>
        <w:t>z</w:t>
      </w:r>
      <w:r w:rsidR="00843511">
        <w:rPr>
          <w:lang w:val="fr-CA"/>
        </w:rPr>
        <w:t>i</w:t>
      </w:r>
      <w:r>
        <w:rPr>
          <w:lang w:val="fr-CA"/>
        </w:rPr>
        <w:t>ème</w:t>
      </w:r>
      <w:r w:rsidRPr="00FC5578">
        <w:rPr>
          <w:lang w:val="fr-CA"/>
        </w:rPr>
        <w:t xml:space="preserve"> </w:t>
      </w:r>
      <w:r>
        <w:rPr>
          <w:lang w:val="fr-CA"/>
        </w:rPr>
        <w:t>réunion</w:t>
      </w:r>
    </w:p>
    <w:p w14:paraId="0014D088" w14:textId="4BF99D84" w:rsidR="00A97E14" w:rsidRDefault="00A97E14" w:rsidP="00A97E14">
      <w:pPr>
        <w:jc w:val="left"/>
        <w:rPr>
          <w:lang w:val="fr-FR"/>
        </w:rPr>
      </w:pPr>
      <w:r w:rsidRPr="00B07F02">
        <w:rPr>
          <w:lang w:val="fr-FR"/>
        </w:rPr>
        <w:t xml:space="preserve">Montréal, </w:t>
      </w:r>
      <w:r w:rsidR="006C5D12">
        <w:rPr>
          <w:lang w:val="fr-FR"/>
        </w:rPr>
        <w:t>2</w:t>
      </w:r>
      <w:r w:rsidR="004D7878">
        <w:rPr>
          <w:lang w:val="fr-FR"/>
        </w:rPr>
        <w:t>9</w:t>
      </w:r>
      <w:r w:rsidR="006C5D12">
        <w:rPr>
          <w:lang w:val="fr-FR"/>
        </w:rPr>
        <w:t xml:space="preserve"> mai</w:t>
      </w:r>
      <w:r w:rsidR="002C3A12">
        <w:rPr>
          <w:lang w:val="fr-FR"/>
        </w:rPr>
        <w:t xml:space="preserve"> -</w:t>
      </w:r>
      <w:r w:rsidR="006C5D12">
        <w:rPr>
          <w:lang w:val="fr-FR"/>
        </w:rPr>
        <w:t xml:space="preserve"> 2 juin</w:t>
      </w:r>
      <w:r w:rsidRPr="00B07F02">
        <w:rPr>
          <w:lang w:val="fr-FR"/>
        </w:rPr>
        <w:t xml:space="preserve"> 202</w:t>
      </w:r>
      <w:r w:rsidR="006C5D12">
        <w:rPr>
          <w:lang w:val="fr-FR"/>
        </w:rPr>
        <w:t>3</w:t>
      </w:r>
    </w:p>
    <w:p w14:paraId="19A71555" w14:textId="2C2A8396" w:rsidR="00B122F0" w:rsidRDefault="00B07E1C" w:rsidP="0036467B">
      <w:pPr>
        <w:jc w:val="left"/>
        <w:rPr>
          <w:lang w:val="fr-FR"/>
        </w:rPr>
      </w:pPr>
      <w:r>
        <w:rPr>
          <w:lang w:val="fr-FR"/>
        </w:rPr>
        <w:t>Point 1</w:t>
      </w:r>
      <w:r w:rsidR="006C5D12">
        <w:rPr>
          <w:lang w:val="fr-FR"/>
        </w:rPr>
        <w:t>5</w:t>
      </w:r>
      <w:r>
        <w:rPr>
          <w:lang w:val="fr-FR"/>
        </w:rPr>
        <w:t xml:space="preserve"> de l’ordre du jour provisoire</w:t>
      </w:r>
      <w:r>
        <w:rPr>
          <w:rStyle w:val="FootnoteReference"/>
          <w:lang w:val="fr-FR"/>
        </w:rPr>
        <w:footnoteReference w:id="1"/>
      </w:r>
    </w:p>
    <w:p w14:paraId="354FFE9D" w14:textId="77777777" w:rsidR="0036467B" w:rsidRDefault="0036467B" w:rsidP="00B07E1C">
      <w:pPr>
        <w:pStyle w:val="Title1"/>
        <w:jc w:val="both"/>
        <w:rPr>
          <w:lang w:val="fr-FR"/>
        </w:rPr>
      </w:pPr>
    </w:p>
    <w:p w14:paraId="3DD06937" w14:textId="77777777" w:rsidR="00441083" w:rsidRDefault="00441083">
      <w:pPr>
        <w:pStyle w:val="Title1"/>
        <w:rPr>
          <w:lang w:val="fr-FR"/>
        </w:rPr>
      </w:pPr>
    </w:p>
    <w:p w14:paraId="7F613540" w14:textId="3A71C6A6" w:rsidR="00441083" w:rsidRDefault="00DF149E" w:rsidP="00FD7CA9">
      <w:pPr>
        <w:spacing w:after="240"/>
        <w:jc w:val="center"/>
        <w:rPr>
          <w:lang w:val="fr-CA"/>
        </w:rPr>
      </w:pPr>
      <w:r>
        <w:rPr>
          <w:b/>
          <w:bCs/>
          <w:lang w:val="fr-CA"/>
        </w:rPr>
        <w:t>RAPPORT DU SOUS-GROUPE SUR LE SECTEUR DE LA PRODUCTION</w:t>
      </w:r>
    </w:p>
    <w:p w14:paraId="01B98761" w14:textId="458B54D4" w:rsidR="00B07E1C" w:rsidRPr="00B07E1C" w:rsidRDefault="00B07E1C" w:rsidP="00FD7CA9">
      <w:pPr>
        <w:spacing w:after="240"/>
        <w:rPr>
          <w:b/>
          <w:bCs/>
          <w:lang w:val="fr-CA"/>
        </w:rPr>
      </w:pPr>
      <w:r>
        <w:rPr>
          <w:b/>
          <w:bCs/>
          <w:lang w:val="fr-CA"/>
        </w:rPr>
        <w:t>Introduction</w:t>
      </w:r>
    </w:p>
    <w:p w14:paraId="6D607306" w14:textId="77205647" w:rsidR="00B07E1C" w:rsidRDefault="00B07E1C" w:rsidP="00FD7CA9">
      <w:pPr>
        <w:pStyle w:val="StyleHeading1Para1Heading1CharHeading1Char3CharHeadin"/>
        <w:numPr>
          <w:ilvl w:val="0"/>
          <w:numId w:val="1"/>
        </w:numPr>
        <w:tabs>
          <w:tab w:val="clear" w:pos="0"/>
        </w:tabs>
        <w:rPr>
          <w:lang w:val="fr-CA"/>
        </w:rPr>
      </w:pPr>
      <w:r>
        <w:rPr>
          <w:lang w:val="fr-CA"/>
        </w:rPr>
        <w:t>Le Sous-groupe sur le secteur de la production</w:t>
      </w:r>
      <w:r w:rsidR="002C3A12">
        <w:rPr>
          <w:lang w:val="fr-CA"/>
        </w:rPr>
        <w:t xml:space="preserve"> </w:t>
      </w:r>
      <w:r>
        <w:rPr>
          <w:lang w:val="fr-CA"/>
        </w:rPr>
        <w:t xml:space="preserve">s’est </w:t>
      </w:r>
      <w:r w:rsidR="00B122F0">
        <w:rPr>
          <w:lang w:val="fr-CA"/>
        </w:rPr>
        <w:t xml:space="preserve">réuni </w:t>
      </w:r>
      <w:r>
        <w:rPr>
          <w:lang w:val="fr-CA"/>
        </w:rPr>
        <w:t xml:space="preserve">les </w:t>
      </w:r>
      <w:r w:rsidR="002C3A12">
        <w:rPr>
          <w:lang w:val="fr-CA"/>
        </w:rPr>
        <w:t xml:space="preserve">31 mai et </w:t>
      </w:r>
      <w:r>
        <w:rPr>
          <w:lang w:val="fr-CA"/>
        </w:rPr>
        <w:t>2</w:t>
      </w:r>
      <w:r w:rsidR="002C3A12">
        <w:rPr>
          <w:lang w:val="fr-CA"/>
        </w:rPr>
        <w:t xml:space="preserve"> juin 2023</w:t>
      </w:r>
      <w:r>
        <w:rPr>
          <w:lang w:val="fr-CA"/>
        </w:rPr>
        <w:t>, en marge de la 9</w:t>
      </w:r>
      <w:r w:rsidR="002C3A12">
        <w:rPr>
          <w:lang w:val="fr-CA"/>
        </w:rPr>
        <w:t>2</w:t>
      </w:r>
      <w:r w:rsidRPr="00B07E1C">
        <w:rPr>
          <w:vertAlign w:val="superscript"/>
          <w:lang w:val="fr-CA"/>
        </w:rPr>
        <w:t>e</w:t>
      </w:r>
      <w:r>
        <w:rPr>
          <w:lang w:val="fr-CA"/>
        </w:rPr>
        <w:t xml:space="preserve"> réunion</w:t>
      </w:r>
      <w:r w:rsidR="002C3A12">
        <w:rPr>
          <w:lang w:val="fr-CA"/>
        </w:rPr>
        <w:t xml:space="preserve"> du Comité exécutif du Fonds multilatéral</w:t>
      </w:r>
      <w:r>
        <w:rPr>
          <w:lang w:val="fr-CA"/>
        </w:rPr>
        <w:t xml:space="preserve">. </w:t>
      </w:r>
      <w:r w:rsidR="002C3A12">
        <w:rPr>
          <w:lang w:val="fr-CA"/>
        </w:rPr>
        <w:t xml:space="preserve"> </w:t>
      </w:r>
      <w:r>
        <w:rPr>
          <w:lang w:val="fr-CA"/>
        </w:rPr>
        <w:t xml:space="preserve">Il était composé des représentants </w:t>
      </w:r>
      <w:r w:rsidR="002C3A12">
        <w:rPr>
          <w:lang w:val="fr-CA"/>
        </w:rPr>
        <w:t xml:space="preserve">de l’Australie, </w:t>
      </w:r>
      <w:r w:rsidR="00B122F0">
        <w:rPr>
          <w:lang w:val="fr-CA"/>
        </w:rPr>
        <w:t>du</w:t>
      </w:r>
      <w:r>
        <w:rPr>
          <w:lang w:val="fr-CA"/>
        </w:rPr>
        <w:t xml:space="preserve"> Brésil, </w:t>
      </w:r>
      <w:r w:rsidR="00B122F0">
        <w:rPr>
          <w:lang w:val="fr-CA"/>
        </w:rPr>
        <w:t>d</w:t>
      </w:r>
      <w:r w:rsidR="002C3A12">
        <w:rPr>
          <w:lang w:val="fr-CA"/>
        </w:rPr>
        <w:t xml:space="preserve">e la Chine, </w:t>
      </w:r>
      <w:r w:rsidR="00B122F0">
        <w:rPr>
          <w:lang w:val="fr-CA"/>
        </w:rPr>
        <w:t xml:space="preserve">de </w:t>
      </w:r>
      <w:r>
        <w:rPr>
          <w:lang w:val="fr-CA"/>
        </w:rPr>
        <w:t xml:space="preserve">Cuba, </w:t>
      </w:r>
      <w:r w:rsidR="00B87C98">
        <w:rPr>
          <w:lang w:val="fr-CA"/>
        </w:rPr>
        <w:t xml:space="preserve">des </w:t>
      </w:r>
      <w:r w:rsidR="00A02BDD">
        <w:rPr>
          <w:lang w:val="fr-CA"/>
        </w:rPr>
        <w:t>É</w:t>
      </w:r>
      <w:r w:rsidR="00B87C98">
        <w:rPr>
          <w:lang w:val="fr-CA"/>
        </w:rPr>
        <w:t xml:space="preserve">tats-Unis d’Amérique, </w:t>
      </w:r>
      <w:r w:rsidR="00B122F0">
        <w:rPr>
          <w:lang w:val="fr-CA"/>
        </w:rPr>
        <w:t xml:space="preserve">de la </w:t>
      </w:r>
      <w:r>
        <w:rPr>
          <w:lang w:val="fr-CA"/>
        </w:rPr>
        <w:t xml:space="preserve">Finlande, </w:t>
      </w:r>
      <w:r w:rsidR="00B122F0">
        <w:rPr>
          <w:lang w:val="fr-CA"/>
        </w:rPr>
        <w:t>de l’</w:t>
      </w:r>
      <w:r w:rsidR="00B87C98">
        <w:rPr>
          <w:lang w:val="fr-CA"/>
        </w:rPr>
        <w:t>Italie et</w:t>
      </w:r>
      <w:r>
        <w:rPr>
          <w:lang w:val="fr-CA"/>
        </w:rPr>
        <w:t xml:space="preserve"> </w:t>
      </w:r>
      <w:r w:rsidR="002C3A12">
        <w:rPr>
          <w:lang w:val="fr-CA"/>
        </w:rPr>
        <w:t>du Kenya, et l’Australie agissant</w:t>
      </w:r>
      <w:r>
        <w:rPr>
          <w:lang w:val="fr-CA"/>
        </w:rPr>
        <w:t xml:space="preserve"> comme facilitateur. Des représentants de la Banque mondiale étaient également présents en</w:t>
      </w:r>
      <w:r w:rsidR="00B122F0">
        <w:rPr>
          <w:lang w:val="fr-CA"/>
        </w:rPr>
        <w:t xml:space="preserve"> tant qu</w:t>
      </w:r>
      <w:r>
        <w:rPr>
          <w:lang w:val="fr-CA"/>
        </w:rPr>
        <w:t>’observateurs.</w:t>
      </w:r>
    </w:p>
    <w:p w14:paraId="60F62578" w14:textId="5BC87899" w:rsidR="00B07E1C" w:rsidRPr="00B07E1C" w:rsidRDefault="00B07E1C" w:rsidP="00B07E1C">
      <w:pPr>
        <w:pStyle w:val="StyleHeading1Para1Heading1CharHeading1Char3CharHeadin"/>
        <w:rPr>
          <w:b/>
          <w:bCs/>
          <w:lang w:val="fr-CA"/>
        </w:rPr>
      </w:pPr>
      <w:r>
        <w:rPr>
          <w:b/>
          <w:bCs/>
          <w:lang w:val="fr-CA"/>
        </w:rPr>
        <w:t>Point 1 de l’ordre du jour : Adoption de l’ordre du jour</w:t>
      </w:r>
    </w:p>
    <w:p w14:paraId="04874239" w14:textId="77777777" w:rsidR="00B07E1C" w:rsidRDefault="00B07E1C">
      <w:pPr>
        <w:pStyle w:val="StyleHeading1Para1Heading1CharHeading1Char3CharHeadin"/>
        <w:numPr>
          <w:ilvl w:val="0"/>
          <w:numId w:val="1"/>
        </w:numPr>
        <w:tabs>
          <w:tab w:val="clear" w:pos="0"/>
        </w:tabs>
        <w:rPr>
          <w:lang w:val="fr-CA"/>
        </w:rPr>
      </w:pPr>
      <w:r>
        <w:rPr>
          <w:lang w:val="fr-CA"/>
        </w:rPr>
        <w:t>Le facilitateur du Sous-groupe a souhaité la bienvenue aux participants.</w:t>
      </w:r>
    </w:p>
    <w:p w14:paraId="4240E5C4" w14:textId="2FD993DA" w:rsidR="00441083" w:rsidRDefault="00B07E1C">
      <w:pPr>
        <w:pStyle w:val="StyleHeading1Para1Heading1CharHeading1Char3CharHeadin"/>
        <w:numPr>
          <w:ilvl w:val="0"/>
          <w:numId w:val="1"/>
        </w:numPr>
        <w:tabs>
          <w:tab w:val="clear" w:pos="0"/>
        </w:tabs>
        <w:rPr>
          <w:lang w:val="fr-CA"/>
        </w:rPr>
      </w:pPr>
      <w:r>
        <w:rPr>
          <w:lang w:val="fr-CA"/>
        </w:rPr>
        <w:t xml:space="preserve">Le Sous-groupe </w:t>
      </w:r>
      <w:r w:rsidRPr="002C3A12">
        <w:rPr>
          <w:lang w:val="fr-CA"/>
        </w:rPr>
        <w:t>a</w:t>
      </w:r>
      <w:r w:rsidR="001E626D" w:rsidRPr="002C3A12">
        <w:rPr>
          <w:lang w:val="fr-CA"/>
        </w:rPr>
        <w:t xml:space="preserve"> </w:t>
      </w:r>
      <w:r w:rsidRPr="002C3A12">
        <w:rPr>
          <w:lang w:val="fr-CA"/>
        </w:rPr>
        <w:t xml:space="preserve">adopté </w:t>
      </w:r>
      <w:r>
        <w:rPr>
          <w:lang w:val="fr-CA"/>
        </w:rPr>
        <w:t>l’ordre du jour provisoire, tel qu’énoncé dans le document UNEP/</w:t>
      </w:r>
      <w:proofErr w:type="spellStart"/>
      <w:r>
        <w:rPr>
          <w:lang w:val="fr-CA"/>
        </w:rPr>
        <w:t>OzL.Pro</w:t>
      </w:r>
      <w:proofErr w:type="spellEnd"/>
      <w:r>
        <w:rPr>
          <w:lang w:val="fr-CA"/>
        </w:rPr>
        <w:t>/</w:t>
      </w:r>
      <w:proofErr w:type="spellStart"/>
      <w:r>
        <w:rPr>
          <w:lang w:val="fr-CA"/>
        </w:rPr>
        <w:t>Excom</w:t>
      </w:r>
      <w:proofErr w:type="spellEnd"/>
      <w:r>
        <w:rPr>
          <w:lang w:val="fr-CA"/>
        </w:rPr>
        <w:t>/9</w:t>
      </w:r>
      <w:r w:rsidR="002C3A12">
        <w:rPr>
          <w:lang w:val="fr-CA"/>
        </w:rPr>
        <w:t>2</w:t>
      </w:r>
      <w:r>
        <w:rPr>
          <w:lang w:val="fr-CA"/>
        </w:rPr>
        <w:t>/SGP/1</w:t>
      </w:r>
      <w:r w:rsidR="002C3A12">
        <w:rPr>
          <w:lang w:val="fr-CA"/>
        </w:rPr>
        <w:t xml:space="preserve">, </w:t>
      </w:r>
      <w:r w:rsidR="0036467B">
        <w:rPr>
          <w:lang w:val="fr-CA"/>
        </w:rPr>
        <w:t xml:space="preserve">et </w:t>
      </w:r>
      <w:r w:rsidR="002C3A12">
        <w:rPr>
          <w:lang w:val="fr-CA"/>
        </w:rPr>
        <w:t xml:space="preserve">tel qu’amendé oralement par la suppression de l’examen du point sur le projet de lignes directrices </w:t>
      </w:r>
      <w:r w:rsidR="007E0450">
        <w:rPr>
          <w:lang w:val="fr-CA"/>
        </w:rPr>
        <w:t>sur le secteur de la production de HCFC (décision 91/72) et</w:t>
      </w:r>
      <w:r w:rsidR="00B87C98">
        <w:rPr>
          <w:lang w:val="fr-CA"/>
        </w:rPr>
        <w:t xml:space="preserve"> </w:t>
      </w:r>
      <w:r w:rsidR="00A02BDD">
        <w:rPr>
          <w:lang w:val="fr-CA"/>
        </w:rPr>
        <w:t xml:space="preserve">par l’ajout </w:t>
      </w:r>
      <w:r w:rsidR="00AD761E">
        <w:rPr>
          <w:lang w:val="fr-CA"/>
        </w:rPr>
        <w:t>de deux</w:t>
      </w:r>
      <w:r w:rsidR="007E0450">
        <w:rPr>
          <w:lang w:val="fr-CA"/>
        </w:rPr>
        <w:t xml:space="preserve"> points</w:t>
      </w:r>
      <w:r w:rsidR="00B87C98">
        <w:rPr>
          <w:lang w:val="fr-CA"/>
        </w:rPr>
        <w:t xml:space="preserve"> concernant</w:t>
      </w:r>
      <w:r w:rsidR="007E0450">
        <w:rPr>
          <w:lang w:val="fr-CA"/>
        </w:rPr>
        <w:t xml:space="preserve"> les lignes directrices sur le secteur de la production de HFC et les émissions de HFC-23</w:t>
      </w:r>
      <w:r w:rsidR="00B87C98">
        <w:rPr>
          <w:lang w:val="fr-CA"/>
        </w:rPr>
        <w:t>,</w:t>
      </w:r>
      <w:r w:rsidR="007E0450">
        <w:rPr>
          <w:lang w:val="fr-CA"/>
        </w:rPr>
        <w:t xml:space="preserve"> comme sous-produit du HCFC-22</w:t>
      </w:r>
      <w:r w:rsidR="00B87C98">
        <w:rPr>
          <w:lang w:val="fr-CA"/>
        </w:rPr>
        <w:t>,</w:t>
      </w:r>
      <w:r w:rsidR="007E0450">
        <w:rPr>
          <w:lang w:val="fr-CA"/>
        </w:rPr>
        <w:t xml:space="preserve"> au titre des Questions diverses.</w:t>
      </w:r>
    </w:p>
    <w:p w14:paraId="0B472307" w14:textId="4806E829" w:rsidR="001E626D" w:rsidRPr="001E626D" w:rsidRDefault="001E626D" w:rsidP="001E626D">
      <w:pPr>
        <w:pStyle w:val="StyleHeading1Para1Heading1CharHeading1Char3CharHeadin"/>
        <w:rPr>
          <w:b/>
          <w:bCs/>
          <w:lang w:val="fr-CA"/>
        </w:rPr>
      </w:pPr>
      <w:r>
        <w:rPr>
          <w:b/>
          <w:bCs/>
          <w:lang w:val="fr-CA"/>
        </w:rPr>
        <w:t>Point 2 de l’ordre du jour : Organisation des travaux</w:t>
      </w:r>
    </w:p>
    <w:p w14:paraId="09F4C43A" w14:textId="72BDB9C3" w:rsidR="0036467B" w:rsidRPr="0036467B" w:rsidRDefault="001E626D" w:rsidP="0036467B">
      <w:pPr>
        <w:pStyle w:val="StyleHeading1Para1Heading1CharHeading1Char3CharHeadin"/>
        <w:numPr>
          <w:ilvl w:val="0"/>
          <w:numId w:val="1"/>
        </w:numPr>
        <w:tabs>
          <w:tab w:val="clear" w:pos="0"/>
        </w:tabs>
        <w:rPr>
          <w:lang w:val="fr-CA"/>
        </w:rPr>
      </w:pPr>
      <w:r>
        <w:rPr>
          <w:lang w:val="fr-CA"/>
        </w:rPr>
        <w:t>Le Sous-groupe</w:t>
      </w:r>
      <w:r w:rsidRPr="00B87C98">
        <w:rPr>
          <w:lang w:val="fr-CA"/>
        </w:rPr>
        <w:t xml:space="preserve"> a convenu </w:t>
      </w:r>
      <w:r>
        <w:rPr>
          <w:lang w:val="fr-CA"/>
        </w:rPr>
        <w:t>de suivre l’organisation des travaux proposée par le facilitateur.</w:t>
      </w:r>
    </w:p>
    <w:p w14:paraId="1DF101A3" w14:textId="11D32550" w:rsidR="001E626D" w:rsidRPr="001E626D" w:rsidRDefault="001E626D" w:rsidP="00C01FD4">
      <w:pPr>
        <w:pStyle w:val="StyleHeading1Para1Heading1CharHeading1Char3CharHeadin"/>
        <w:tabs>
          <w:tab w:val="clear" w:pos="720"/>
          <w:tab w:val="left" w:pos="709"/>
        </w:tabs>
        <w:ind w:left="3119" w:hanging="3119"/>
        <w:rPr>
          <w:b/>
          <w:bCs/>
          <w:lang w:val="fr-CA"/>
        </w:rPr>
      </w:pPr>
      <w:r>
        <w:rPr>
          <w:b/>
          <w:bCs/>
          <w:lang w:val="fr-CA"/>
        </w:rPr>
        <w:t xml:space="preserve">Point 3 de l’ordre du jour : </w:t>
      </w:r>
      <w:r w:rsidR="00B87C98">
        <w:rPr>
          <w:b/>
          <w:bCs/>
          <w:lang w:val="fr-CA"/>
        </w:rPr>
        <w:t>Enquête de 2020-</w:t>
      </w:r>
      <w:r w:rsidR="00B122F0">
        <w:rPr>
          <w:b/>
          <w:bCs/>
          <w:lang w:val="fr-CA"/>
        </w:rPr>
        <w:t xml:space="preserve">2021 </w:t>
      </w:r>
      <w:r w:rsidR="00B87C98">
        <w:rPr>
          <w:b/>
          <w:bCs/>
          <w:lang w:val="fr-CA"/>
        </w:rPr>
        <w:t>sur les négociants de</w:t>
      </w:r>
      <w:r>
        <w:rPr>
          <w:b/>
          <w:bCs/>
          <w:lang w:val="fr-CA"/>
        </w:rPr>
        <w:t xml:space="preserve"> HCFC </w:t>
      </w:r>
      <w:r w:rsidR="00B87C98">
        <w:rPr>
          <w:b/>
          <w:bCs/>
          <w:lang w:val="fr-CA"/>
        </w:rPr>
        <w:t>en Chine</w:t>
      </w:r>
      <w:r w:rsidR="00C01FD4">
        <w:rPr>
          <w:b/>
          <w:bCs/>
          <w:lang w:val="fr-CA"/>
        </w:rPr>
        <w:t xml:space="preserve">             </w:t>
      </w:r>
      <w:r w:rsidR="00B87C98">
        <w:rPr>
          <w:b/>
          <w:bCs/>
          <w:lang w:val="fr-CA"/>
        </w:rPr>
        <w:t xml:space="preserve"> </w:t>
      </w:r>
      <w:r w:rsidR="00C01FD4">
        <w:rPr>
          <w:b/>
          <w:bCs/>
          <w:lang w:val="fr-CA"/>
        </w:rPr>
        <w:t xml:space="preserve"> </w:t>
      </w:r>
      <w:r w:rsidR="00B87C98">
        <w:rPr>
          <w:b/>
          <w:bCs/>
          <w:lang w:val="fr-CA"/>
        </w:rPr>
        <w:t>(décision 91/7/(b)(ii)</w:t>
      </w:r>
    </w:p>
    <w:p w14:paraId="034DFF2D" w14:textId="7BC9F1BD" w:rsidR="00564EA9" w:rsidRPr="00564EA9" w:rsidRDefault="001E626D">
      <w:pPr>
        <w:pStyle w:val="StyleHeading1Para1Heading1CharHeading1Char3CharHeadin"/>
        <w:numPr>
          <w:ilvl w:val="0"/>
          <w:numId w:val="1"/>
        </w:numPr>
        <w:tabs>
          <w:tab w:val="clear" w:pos="0"/>
        </w:tabs>
        <w:rPr>
          <w:lang w:val="fr-CA"/>
        </w:rPr>
      </w:pPr>
      <w:r>
        <w:rPr>
          <w:lang w:val="fr-CA"/>
        </w:rPr>
        <w:t>L</w:t>
      </w:r>
      <w:r w:rsidR="00F42146">
        <w:rPr>
          <w:lang w:val="fr-CA"/>
        </w:rPr>
        <w:t>a</w:t>
      </w:r>
      <w:r>
        <w:rPr>
          <w:lang w:val="fr-CA"/>
        </w:rPr>
        <w:t xml:space="preserve"> représentant</w:t>
      </w:r>
      <w:r w:rsidR="00F42146">
        <w:rPr>
          <w:lang w:val="fr-CA"/>
        </w:rPr>
        <w:t>e</w:t>
      </w:r>
      <w:r>
        <w:rPr>
          <w:lang w:val="fr-CA"/>
        </w:rPr>
        <w:t xml:space="preserve"> du Secrétariat a présenté le document UNEP/</w:t>
      </w:r>
      <w:proofErr w:type="spellStart"/>
      <w:r>
        <w:rPr>
          <w:lang w:val="fr-CA"/>
        </w:rPr>
        <w:t>OzL.Pro</w:t>
      </w:r>
      <w:proofErr w:type="spellEnd"/>
      <w:r>
        <w:rPr>
          <w:lang w:val="fr-CA"/>
        </w:rPr>
        <w:t>/</w:t>
      </w:r>
      <w:proofErr w:type="spellStart"/>
      <w:r>
        <w:rPr>
          <w:lang w:val="fr-CA"/>
        </w:rPr>
        <w:t>ExCom</w:t>
      </w:r>
      <w:proofErr w:type="spellEnd"/>
      <w:r>
        <w:rPr>
          <w:lang w:val="fr-CA"/>
        </w:rPr>
        <w:t>/</w:t>
      </w:r>
      <w:r w:rsidR="00F42146">
        <w:rPr>
          <w:lang w:val="fr-CA"/>
        </w:rPr>
        <w:t>9</w:t>
      </w:r>
      <w:r w:rsidR="0036467B">
        <w:rPr>
          <w:lang w:val="fr-CA"/>
        </w:rPr>
        <w:t>2</w:t>
      </w:r>
      <w:r w:rsidR="00F42146">
        <w:rPr>
          <w:lang w:val="fr-CA"/>
        </w:rPr>
        <w:t xml:space="preserve">/SGP/2, </w:t>
      </w:r>
      <w:r w:rsidR="00F42146" w:rsidRPr="00A0327B">
        <w:rPr>
          <w:szCs w:val="22"/>
          <w:lang w:val="fr-CA"/>
        </w:rPr>
        <w:t>contenant l</w:t>
      </w:r>
      <w:r w:rsidR="00A0327B" w:rsidRPr="00A0327B">
        <w:rPr>
          <w:szCs w:val="22"/>
          <w:lang w:val="fr-CA"/>
        </w:rPr>
        <w:t>’enquête de 2020-2021 sur les négociants de HCFC en Chine</w:t>
      </w:r>
      <w:r w:rsidR="00A0327B">
        <w:rPr>
          <w:szCs w:val="22"/>
          <w:lang w:val="fr-CA"/>
        </w:rPr>
        <w:t xml:space="preserve"> (décision 91/71(b)(ii)).  Elle a </w:t>
      </w:r>
      <w:r w:rsidR="00A0327B">
        <w:rPr>
          <w:szCs w:val="22"/>
          <w:lang w:val="fr-CA"/>
        </w:rPr>
        <w:lastRenderedPageBreak/>
        <w:t xml:space="preserve">indiqué que </w:t>
      </w:r>
      <w:r w:rsidR="00A02BDD">
        <w:rPr>
          <w:szCs w:val="22"/>
          <w:lang w:val="fr-CA"/>
        </w:rPr>
        <w:t>l</w:t>
      </w:r>
      <w:r w:rsidR="00A0327B">
        <w:rPr>
          <w:szCs w:val="22"/>
          <w:lang w:val="fr-CA"/>
        </w:rPr>
        <w:t xml:space="preserve">e rapport avait été remis en réponse à la décision 91/71(b)(ii)). </w:t>
      </w:r>
      <w:r w:rsidR="00C01FD4">
        <w:rPr>
          <w:szCs w:val="22"/>
          <w:lang w:val="fr-CA"/>
        </w:rPr>
        <w:t xml:space="preserve"> </w:t>
      </w:r>
      <w:r w:rsidR="00A02BDD">
        <w:rPr>
          <w:szCs w:val="22"/>
          <w:lang w:val="fr-CA"/>
        </w:rPr>
        <w:t>L’</w:t>
      </w:r>
      <w:r w:rsidR="00A0327B">
        <w:rPr>
          <w:szCs w:val="22"/>
          <w:lang w:val="fr-CA"/>
        </w:rPr>
        <w:t xml:space="preserve">enquête avait pour but d’obtenir une pleine compréhension des </w:t>
      </w:r>
      <w:r w:rsidR="00C01FD4">
        <w:rPr>
          <w:szCs w:val="22"/>
          <w:lang w:val="fr-CA"/>
        </w:rPr>
        <w:t>ventes de HCFC par les</w:t>
      </w:r>
      <w:r w:rsidR="00A0327B">
        <w:rPr>
          <w:szCs w:val="22"/>
          <w:lang w:val="fr-CA"/>
        </w:rPr>
        <w:t xml:space="preserve"> négociants de HCFC; d’enquêter sur d’éventuelles reventes de HCFC</w:t>
      </w:r>
      <w:r w:rsidR="00401857">
        <w:rPr>
          <w:szCs w:val="22"/>
          <w:lang w:val="fr-CA"/>
        </w:rPr>
        <w:t>,</w:t>
      </w:r>
      <w:r w:rsidR="00A0327B">
        <w:rPr>
          <w:szCs w:val="22"/>
          <w:lang w:val="fr-CA"/>
        </w:rPr>
        <w:t xml:space="preserve"> </w:t>
      </w:r>
      <w:r w:rsidR="00C01FD4">
        <w:rPr>
          <w:szCs w:val="22"/>
          <w:lang w:val="fr-CA"/>
        </w:rPr>
        <w:t>comme matière première</w:t>
      </w:r>
      <w:r w:rsidR="00401857">
        <w:rPr>
          <w:szCs w:val="22"/>
          <w:lang w:val="fr-CA"/>
        </w:rPr>
        <w:t xml:space="preserve">, </w:t>
      </w:r>
      <w:r w:rsidR="00A0327B">
        <w:rPr>
          <w:szCs w:val="22"/>
          <w:lang w:val="fr-CA"/>
        </w:rPr>
        <w:t xml:space="preserve">par les négociants dans le cadre d’utilisation réglementée; de prévoir les ventes de HCFC par les négociants pour la période 2022-2024; et de fournir des suggestions </w:t>
      </w:r>
      <w:r w:rsidR="008F66BD">
        <w:rPr>
          <w:szCs w:val="22"/>
          <w:lang w:val="fr-CA"/>
        </w:rPr>
        <w:t>afin de</w:t>
      </w:r>
      <w:r w:rsidR="00A0327B">
        <w:rPr>
          <w:szCs w:val="22"/>
          <w:lang w:val="fr-CA"/>
        </w:rPr>
        <w:t xml:space="preserve"> continuer à renforcer la gestion des achats et ventes de HCFC par les négociants.  Il a été </w:t>
      </w:r>
      <w:r w:rsidR="00C01FD4">
        <w:rPr>
          <w:szCs w:val="22"/>
          <w:lang w:val="fr-CA"/>
        </w:rPr>
        <w:t>no</w:t>
      </w:r>
      <w:r w:rsidR="00A0327B">
        <w:rPr>
          <w:szCs w:val="22"/>
          <w:lang w:val="fr-CA"/>
        </w:rPr>
        <w:t>té que l’enquête n’avait révélé aucune revente de HCFC</w:t>
      </w:r>
      <w:r w:rsidR="00401857">
        <w:rPr>
          <w:szCs w:val="22"/>
          <w:lang w:val="fr-CA"/>
        </w:rPr>
        <w:t>, comme matière première,</w:t>
      </w:r>
      <w:r w:rsidR="00A0327B">
        <w:rPr>
          <w:szCs w:val="22"/>
          <w:lang w:val="fr-CA"/>
        </w:rPr>
        <w:t xml:space="preserve"> pour des utilisations réglementées et qu’un système solide semblait être en place pour gérer les ventes de HCFC afin de s’assurer qu’il n’y ait aucun</w:t>
      </w:r>
      <w:r w:rsidR="008F66BD">
        <w:rPr>
          <w:szCs w:val="22"/>
          <w:lang w:val="fr-CA"/>
        </w:rPr>
        <w:t>e redirection</w:t>
      </w:r>
      <w:r w:rsidR="00A0327B">
        <w:rPr>
          <w:szCs w:val="22"/>
          <w:lang w:val="fr-CA"/>
        </w:rPr>
        <w:t xml:space="preserve"> </w:t>
      </w:r>
      <w:r w:rsidR="008F66BD">
        <w:rPr>
          <w:szCs w:val="22"/>
          <w:lang w:val="fr-CA"/>
        </w:rPr>
        <w:t>de matière</w:t>
      </w:r>
      <w:r w:rsidR="00564EA9">
        <w:rPr>
          <w:szCs w:val="22"/>
          <w:lang w:val="fr-CA"/>
        </w:rPr>
        <w:t xml:space="preserve"> première vers </w:t>
      </w:r>
      <w:r w:rsidR="00401857">
        <w:rPr>
          <w:szCs w:val="22"/>
          <w:lang w:val="fr-CA"/>
        </w:rPr>
        <w:t>une</w:t>
      </w:r>
      <w:r w:rsidR="00564EA9">
        <w:rPr>
          <w:szCs w:val="22"/>
          <w:lang w:val="fr-CA"/>
        </w:rPr>
        <w:t xml:space="preserve"> utilisation réglementée.</w:t>
      </w:r>
      <w:r w:rsidR="00856A53">
        <w:rPr>
          <w:szCs w:val="22"/>
          <w:lang w:val="fr-CA"/>
        </w:rPr>
        <w:t xml:space="preserve"> </w:t>
      </w:r>
      <w:r w:rsidR="00564EA9">
        <w:rPr>
          <w:szCs w:val="22"/>
          <w:lang w:val="fr-CA"/>
        </w:rPr>
        <w:t xml:space="preserve"> Le rapport </w:t>
      </w:r>
      <w:r w:rsidR="00A02BDD">
        <w:rPr>
          <w:szCs w:val="22"/>
          <w:lang w:val="fr-CA"/>
        </w:rPr>
        <w:t>éno</w:t>
      </w:r>
      <w:r w:rsidR="00C01FD4">
        <w:rPr>
          <w:szCs w:val="22"/>
          <w:lang w:val="fr-CA"/>
        </w:rPr>
        <w:t>n</w:t>
      </w:r>
      <w:r w:rsidR="00A02BDD">
        <w:rPr>
          <w:szCs w:val="22"/>
          <w:lang w:val="fr-CA"/>
        </w:rPr>
        <w:t>ç</w:t>
      </w:r>
      <w:r w:rsidR="00C01FD4">
        <w:rPr>
          <w:szCs w:val="22"/>
          <w:lang w:val="fr-CA"/>
        </w:rPr>
        <w:t>ait</w:t>
      </w:r>
      <w:r w:rsidR="00564EA9">
        <w:rPr>
          <w:szCs w:val="22"/>
          <w:lang w:val="fr-CA"/>
        </w:rPr>
        <w:t xml:space="preserve"> cin</w:t>
      </w:r>
      <w:r w:rsidR="00C01FD4">
        <w:rPr>
          <w:szCs w:val="22"/>
          <w:lang w:val="fr-CA"/>
        </w:rPr>
        <w:t>q</w:t>
      </w:r>
      <w:r w:rsidR="00564EA9">
        <w:rPr>
          <w:szCs w:val="22"/>
          <w:lang w:val="fr-CA"/>
        </w:rPr>
        <w:t xml:space="preserve"> recommand</w:t>
      </w:r>
      <w:r w:rsidR="00C01FD4">
        <w:rPr>
          <w:szCs w:val="22"/>
          <w:lang w:val="fr-CA"/>
        </w:rPr>
        <w:t>ations</w:t>
      </w:r>
      <w:r w:rsidR="00564EA9">
        <w:rPr>
          <w:szCs w:val="22"/>
          <w:lang w:val="fr-CA"/>
        </w:rPr>
        <w:t xml:space="preserve"> pour améliorer la gestion des ventes de HCFC par les négociants.</w:t>
      </w:r>
    </w:p>
    <w:p w14:paraId="10E32A78" w14:textId="0A82BEDE" w:rsidR="00062325" w:rsidRDefault="00A0327B" w:rsidP="00564EA9">
      <w:pPr>
        <w:pStyle w:val="StyleHeading1Para1Heading1CharHeading1Char3CharHeadin"/>
        <w:numPr>
          <w:ilvl w:val="0"/>
          <w:numId w:val="1"/>
        </w:numPr>
        <w:tabs>
          <w:tab w:val="clear" w:pos="0"/>
        </w:tabs>
        <w:rPr>
          <w:lang w:val="fr-CA"/>
        </w:rPr>
      </w:pPr>
      <w:r>
        <w:rPr>
          <w:szCs w:val="22"/>
          <w:lang w:val="fr-CA"/>
        </w:rPr>
        <w:t xml:space="preserve"> </w:t>
      </w:r>
      <w:r w:rsidR="003B6A57" w:rsidRPr="00564EA9">
        <w:rPr>
          <w:lang w:val="fr-CA"/>
        </w:rPr>
        <w:t>Durant la discussion qui a suivi, les participants ont félicité</w:t>
      </w:r>
      <w:r w:rsidR="00564EA9">
        <w:rPr>
          <w:lang w:val="fr-CA"/>
        </w:rPr>
        <w:t xml:space="preserve"> le gouvernement de la Chine et la Banque mondiale pour le rapport d’enquête sur les négociants de HCFC en Chine.  Constatant que l’enquête vi</w:t>
      </w:r>
      <w:r w:rsidR="003B6A57" w:rsidRPr="00564EA9">
        <w:rPr>
          <w:lang w:val="fr-CA"/>
        </w:rPr>
        <w:t>s</w:t>
      </w:r>
      <w:r w:rsidR="00564EA9">
        <w:rPr>
          <w:lang w:val="fr-CA"/>
        </w:rPr>
        <w:t xml:space="preserve">ait principalement le marché </w:t>
      </w:r>
      <w:r w:rsidR="00401857">
        <w:rPr>
          <w:lang w:val="fr-CA"/>
        </w:rPr>
        <w:t>intérieur</w:t>
      </w:r>
      <w:r w:rsidR="00564EA9">
        <w:rPr>
          <w:lang w:val="fr-CA"/>
        </w:rPr>
        <w:t xml:space="preserve">, un membre a demandé des informations sur la manière dont les négociants géraient les exportations </w:t>
      </w:r>
      <w:r w:rsidR="00401857">
        <w:rPr>
          <w:lang w:val="fr-CA"/>
        </w:rPr>
        <w:t xml:space="preserve">de </w:t>
      </w:r>
      <w:r w:rsidR="00564EA9">
        <w:rPr>
          <w:lang w:val="fr-CA"/>
        </w:rPr>
        <w:t>HCFC</w:t>
      </w:r>
      <w:r w:rsidR="00401857">
        <w:rPr>
          <w:lang w:val="fr-CA"/>
        </w:rPr>
        <w:t>, comme matière première</w:t>
      </w:r>
      <w:r w:rsidR="00564EA9">
        <w:rPr>
          <w:lang w:val="fr-CA"/>
        </w:rPr>
        <w:t xml:space="preserve">.  La représentante de Secrétariat a répondu que la surveillance des exportations était effectuée </w:t>
      </w:r>
      <w:r w:rsidR="008F66BD">
        <w:rPr>
          <w:lang w:val="fr-CA"/>
        </w:rPr>
        <w:t>conformément à</w:t>
      </w:r>
      <w:r w:rsidR="00564EA9">
        <w:rPr>
          <w:lang w:val="fr-CA"/>
        </w:rPr>
        <w:t xml:space="preserve"> la réglementation nationale en Chine, selon laquelle les exportateurs potentiels soumett</w:t>
      </w:r>
      <w:r w:rsidR="008F66BD">
        <w:rPr>
          <w:lang w:val="fr-CA"/>
        </w:rPr>
        <w:t>ai</w:t>
      </w:r>
      <w:r w:rsidR="00564EA9">
        <w:rPr>
          <w:lang w:val="fr-CA"/>
        </w:rPr>
        <w:t>ent une demande d’approbation au bureau de l’import-export</w:t>
      </w:r>
      <w:r w:rsidR="00062325">
        <w:rPr>
          <w:lang w:val="fr-CA"/>
        </w:rPr>
        <w:t xml:space="preserve"> et ensuite le ministère des douanes émet</w:t>
      </w:r>
      <w:r w:rsidR="008F66BD">
        <w:rPr>
          <w:lang w:val="fr-CA"/>
        </w:rPr>
        <w:t>tait</w:t>
      </w:r>
      <w:r w:rsidR="00062325">
        <w:rPr>
          <w:lang w:val="fr-CA"/>
        </w:rPr>
        <w:t xml:space="preserve"> un permis et une déclaration douan</w:t>
      </w:r>
      <w:r w:rsidR="00401857">
        <w:rPr>
          <w:lang w:val="fr-CA"/>
        </w:rPr>
        <w:t>ièr</w:t>
      </w:r>
      <w:r w:rsidR="00062325">
        <w:rPr>
          <w:lang w:val="fr-CA"/>
        </w:rPr>
        <w:t xml:space="preserve">e.  Les producteurs devaient fournir la preuve que la vente était </w:t>
      </w:r>
      <w:r w:rsidR="00401857">
        <w:rPr>
          <w:lang w:val="fr-CA"/>
        </w:rPr>
        <w:t>à titre de</w:t>
      </w:r>
      <w:r w:rsidR="00062325">
        <w:rPr>
          <w:lang w:val="fr-CA"/>
        </w:rPr>
        <w:t xml:space="preserve"> matière première ou pour une utilisation réglementée, sous forme d’un contrat de vente du producteur ou bien de relevés des importateurs sur la nature des importations, et les données pertinentes étaient enregistrées par le bureau de l’import-export.  Le représentant de la Banque mondiale a ajouté que la vérification indépendante effectuée par </w:t>
      </w:r>
      <w:r w:rsidR="00401857">
        <w:rPr>
          <w:lang w:val="fr-CA"/>
        </w:rPr>
        <w:t>son organisation</w:t>
      </w:r>
      <w:r w:rsidR="00062325">
        <w:rPr>
          <w:lang w:val="fr-CA"/>
        </w:rPr>
        <w:t xml:space="preserve"> avait obtenu les documents d’exportation des producteurs et vérifié </w:t>
      </w:r>
      <w:r w:rsidR="008F66BD">
        <w:rPr>
          <w:lang w:val="fr-CA"/>
        </w:rPr>
        <w:t xml:space="preserve">la cohérence de </w:t>
      </w:r>
      <w:r w:rsidR="00062325">
        <w:rPr>
          <w:lang w:val="fr-CA"/>
        </w:rPr>
        <w:t>ces informations avec les données fournies par le bureau d’import-export. Les écarts détectés</w:t>
      </w:r>
      <w:r w:rsidR="00AD761E">
        <w:rPr>
          <w:lang w:val="fr-CA"/>
        </w:rPr>
        <w:t xml:space="preserve"> lors de</w:t>
      </w:r>
      <w:r w:rsidR="00062325">
        <w:rPr>
          <w:lang w:val="fr-CA"/>
        </w:rPr>
        <w:t xml:space="preserve"> cet exercice avaient considérablement diminué par rapport aux années précédentes et étaient désormais minimes.</w:t>
      </w:r>
    </w:p>
    <w:p w14:paraId="16817B28" w14:textId="76B6A085" w:rsidR="004837F1" w:rsidRDefault="00401857" w:rsidP="00564EA9">
      <w:pPr>
        <w:pStyle w:val="StyleHeading1Para1Heading1CharHeading1Char3CharHeadin"/>
        <w:numPr>
          <w:ilvl w:val="0"/>
          <w:numId w:val="1"/>
        </w:numPr>
        <w:tabs>
          <w:tab w:val="clear" w:pos="0"/>
        </w:tabs>
        <w:rPr>
          <w:lang w:val="fr-CA"/>
        </w:rPr>
      </w:pPr>
      <w:r>
        <w:rPr>
          <w:lang w:val="fr-CA"/>
        </w:rPr>
        <w:t>À propos</w:t>
      </w:r>
      <w:r w:rsidR="00062325">
        <w:rPr>
          <w:lang w:val="fr-CA"/>
        </w:rPr>
        <w:t xml:space="preserve"> des cinq recommandations énoncées au paragraphe 21 du document UNEP/</w:t>
      </w:r>
      <w:proofErr w:type="spellStart"/>
      <w:r w:rsidR="00062325">
        <w:rPr>
          <w:lang w:val="fr-CA"/>
        </w:rPr>
        <w:t>OzL.Pro</w:t>
      </w:r>
      <w:proofErr w:type="spellEnd"/>
      <w:r w:rsidR="00062325">
        <w:rPr>
          <w:lang w:val="fr-CA"/>
        </w:rPr>
        <w:t>/</w:t>
      </w:r>
      <w:proofErr w:type="spellStart"/>
      <w:r w:rsidR="00062325">
        <w:rPr>
          <w:lang w:val="fr-CA"/>
        </w:rPr>
        <w:t>ExCom</w:t>
      </w:r>
      <w:proofErr w:type="spellEnd"/>
      <w:r w:rsidR="00062325">
        <w:rPr>
          <w:lang w:val="fr-CA"/>
        </w:rPr>
        <w:t>/92/SGP/2, plusieurs membres ont demandé des précisions</w:t>
      </w:r>
      <w:r>
        <w:rPr>
          <w:lang w:val="fr-CA"/>
        </w:rPr>
        <w:t xml:space="preserve"> concernant l’avenir, incluant</w:t>
      </w:r>
      <w:r w:rsidR="004837F1">
        <w:rPr>
          <w:lang w:val="fr-CA"/>
        </w:rPr>
        <w:t xml:space="preserve"> la forme que prendr</w:t>
      </w:r>
      <w:r>
        <w:rPr>
          <w:lang w:val="fr-CA"/>
        </w:rPr>
        <w:t>aie</w:t>
      </w:r>
      <w:r w:rsidR="004837F1">
        <w:rPr>
          <w:lang w:val="fr-CA"/>
        </w:rPr>
        <w:t>nt la surveillance et la réaction du gouvernement de la Chine et comment ser</w:t>
      </w:r>
      <w:r w:rsidR="00520E5A">
        <w:rPr>
          <w:lang w:val="fr-CA"/>
        </w:rPr>
        <w:t>aie</w:t>
      </w:r>
      <w:r w:rsidR="004837F1">
        <w:rPr>
          <w:lang w:val="fr-CA"/>
        </w:rPr>
        <w:t>nt rapportés</w:t>
      </w:r>
      <w:r w:rsidR="00520E5A">
        <w:rPr>
          <w:lang w:val="fr-CA"/>
        </w:rPr>
        <w:t xml:space="preserve"> d’éventuels changements</w:t>
      </w:r>
      <w:r w:rsidR="004837F1">
        <w:rPr>
          <w:lang w:val="fr-CA"/>
        </w:rPr>
        <w:t xml:space="preserve">.  Le représentant de la Chine a déclaré que le rapport d’enquête </w:t>
      </w:r>
      <w:r w:rsidR="008F66BD">
        <w:rPr>
          <w:lang w:val="fr-CA"/>
        </w:rPr>
        <w:t>avait mis de l’avant</w:t>
      </w:r>
      <w:r w:rsidR="004837F1">
        <w:rPr>
          <w:lang w:val="fr-CA"/>
        </w:rPr>
        <w:t xml:space="preserve"> des suggestions très utiles </w:t>
      </w:r>
      <w:r w:rsidR="00520E5A">
        <w:rPr>
          <w:lang w:val="fr-CA"/>
        </w:rPr>
        <w:t xml:space="preserve">qui seraient prises en compte par le gouvernement </w:t>
      </w:r>
      <w:r w:rsidR="004837F1">
        <w:rPr>
          <w:lang w:val="fr-CA"/>
        </w:rPr>
        <w:t xml:space="preserve">pour la gestion des ventes </w:t>
      </w:r>
      <w:r w:rsidR="00520E5A">
        <w:rPr>
          <w:lang w:val="fr-CA"/>
        </w:rPr>
        <w:t>intérieures</w:t>
      </w:r>
      <w:r w:rsidR="004837F1">
        <w:rPr>
          <w:lang w:val="fr-CA"/>
        </w:rPr>
        <w:t xml:space="preserve"> de substances appauvrissant la couche d’ozone (SAO).  Le Sous-groupe a examiné des </w:t>
      </w:r>
      <w:r w:rsidR="008F66BD">
        <w:rPr>
          <w:lang w:val="fr-CA"/>
        </w:rPr>
        <w:t>amendements</w:t>
      </w:r>
      <w:r w:rsidR="004837F1">
        <w:rPr>
          <w:lang w:val="fr-CA"/>
        </w:rPr>
        <w:t xml:space="preserve"> possibles à la recommandation proposée par le Secrétariat, incluant la nécessité de s’assurer que les recommandations contenues dans le rapport tiennent compte du cadre institutionnel et des rôles applicables du gouvernement dans la gestion des SAO.</w:t>
      </w:r>
    </w:p>
    <w:p w14:paraId="1C16FDE5" w14:textId="1916FF59" w:rsidR="004837F1" w:rsidRDefault="004837F1" w:rsidP="00564EA9">
      <w:pPr>
        <w:pStyle w:val="StyleHeading1Para1Heading1CharHeading1Char3CharHeadin"/>
        <w:numPr>
          <w:ilvl w:val="0"/>
          <w:numId w:val="1"/>
        </w:numPr>
        <w:tabs>
          <w:tab w:val="clear" w:pos="0"/>
        </w:tabs>
        <w:rPr>
          <w:lang w:val="fr-CA"/>
        </w:rPr>
      </w:pPr>
      <w:r>
        <w:rPr>
          <w:lang w:val="fr-CA"/>
        </w:rPr>
        <w:t>Par la suite, à l’issue de consultations informelles menées par les membres du Sous-groupe, le Sous-groupe a examiné un projet de recommandation révisée.</w:t>
      </w:r>
    </w:p>
    <w:p w14:paraId="4F5A5046" w14:textId="77777777" w:rsidR="004837F1" w:rsidRDefault="004837F1" w:rsidP="00564EA9">
      <w:pPr>
        <w:pStyle w:val="StyleHeading1Para1Heading1CharHeading1Char3CharHeadin"/>
        <w:numPr>
          <w:ilvl w:val="0"/>
          <w:numId w:val="1"/>
        </w:numPr>
        <w:tabs>
          <w:tab w:val="clear" w:pos="0"/>
        </w:tabs>
        <w:rPr>
          <w:lang w:val="fr-CA"/>
        </w:rPr>
      </w:pPr>
      <w:r>
        <w:rPr>
          <w:lang w:val="fr-CA"/>
        </w:rPr>
        <w:t xml:space="preserve">Le Sous-groupe sur le secteur de la production </w:t>
      </w:r>
      <w:r>
        <w:rPr>
          <w:u w:val="single"/>
          <w:lang w:val="fr-CA"/>
        </w:rPr>
        <w:t xml:space="preserve">a </w:t>
      </w:r>
      <w:r w:rsidRPr="004837F1">
        <w:rPr>
          <w:u w:val="single"/>
          <w:lang w:val="fr-CA"/>
        </w:rPr>
        <w:t>recommandé</w:t>
      </w:r>
      <w:r>
        <w:rPr>
          <w:lang w:val="fr-CA"/>
        </w:rPr>
        <w:t xml:space="preserve"> au Comité exécutif :</w:t>
      </w:r>
    </w:p>
    <w:p w14:paraId="4FC6E844" w14:textId="030BE7F4" w:rsidR="00626546" w:rsidRDefault="004837F1" w:rsidP="004837F1">
      <w:pPr>
        <w:pStyle w:val="Heading2"/>
        <w:rPr>
          <w:lang w:val="fr-CA"/>
        </w:rPr>
      </w:pPr>
      <w:r>
        <w:rPr>
          <w:lang w:val="fr-CA"/>
        </w:rPr>
        <w:t>De prendre note du rapport d</w:t>
      </w:r>
      <w:r w:rsidR="00520E5A">
        <w:rPr>
          <w:lang w:val="fr-CA"/>
        </w:rPr>
        <w:t>e l</w:t>
      </w:r>
      <w:r>
        <w:rPr>
          <w:lang w:val="fr-CA"/>
        </w:rPr>
        <w:t xml:space="preserve">’enquête </w:t>
      </w:r>
      <w:r w:rsidR="00520E5A">
        <w:rPr>
          <w:lang w:val="fr-CA"/>
        </w:rPr>
        <w:t xml:space="preserve">de 2020-2021 </w:t>
      </w:r>
      <w:r>
        <w:rPr>
          <w:lang w:val="fr-CA"/>
        </w:rPr>
        <w:t xml:space="preserve">sur les négociants </w:t>
      </w:r>
      <w:r w:rsidR="00520E5A">
        <w:rPr>
          <w:lang w:val="fr-CA"/>
        </w:rPr>
        <w:t>d</w:t>
      </w:r>
      <w:r>
        <w:rPr>
          <w:lang w:val="fr-CA"/>
        </w:rPr>
        <w:t xml:space="preserve">e HCFC </w:t>
      </w:r>
      <w:r w:rsidR="00520E5A">
        <w:rPr>
          <w:lang w:val="fr-CA"/>
        </w:rPr>
        <w:t>en Chine</w:t>
      </w:r>
      <w:r w:rsidR="00626546">
        <w:rPr>
          <w:lang w:val="fr-CA"/>
        </w:rPr>
        <w:t xml:space="preserve">, </w:t>
      </w:r>
      <w:r w:rsidR="00520E5A">
        <w:rPr>
          <w:lang w:val="fr-CA"/>
        </w:rPr>
        <w:t>re</w:t>
      </w:r>
      <w:r w:rsidR="00626546">
        <w:rPr>
          <w:lang w:val="fr-CA"/>
        </w:rPr>
        <w:t>mis par le gouvernement de la Chine, par l’intermédiaire de la Ban</w:t>
      </w:r>
      <w:r w:rsidRPr="004837F1">
        <w:rPr>
          <w:lang w:val="fr-CA"/>
        </w:rPr>
        <w:t>qu</w:t>
      </w:r>
      <w:r w:rsidR="00626546">
        <w:rPr>
          <w:lang w:val="fr-CA"/>
        </w:rPr>
        <w:t>e mondiale; et</w:t>
      </w:r>
    </w:p>
    <w:p w14:paraId="6D6259E1" w14:textId="2462142D" w:rsidR="00626546" w:rsidRDefault="00626546" w:rsidP="004837F1">
      <w:pPr>
        <w:pStyle w:val="Heading2"/>
        <w:rPr>
          <w:lang w:val="fr-CA"/>
        </w:rPr>
      </w:pPr>
      <w:r>
        <w:rPr>
          <w:lang w:val="fr-CA"/>
        </w:rPr>
        <w:t>D’inv</w:t>
      </w:r>
      <w:r w:rsidR="004837F1" w:rsidRPr="004837F1">
        <w:rPr>
          <w:lang w:val="fr-CA"/>
        </w:rPr>
        <w:t>i</w:t>
      </w:r>
      <w:r>
        <w:rPr>
          <w:lang w:val="fr-CA"/>
        </w:rPr>
        <w:t>ter</w:t>
      </w:r>
      <w:r w:rsidR="004837F1">
        <w:rPr>
          <w:lang w:val="fr-CA"/>
        </w:rPr>
        <w:t xml:space="preserve"> le gouvernement de la Chine</w:t>
      </w:r>
      <w:r>
        <w:rPr>
          <w:lang w:val="fr-CA"/>
        </w:rPr>
        <w:t>, par l’intermédiaire de la Banque mondiale, à inclure de</w:t>
      </w:r>
      <w:r w:rsidR="007E0BDC">
        <w:rPr>
          <w:lang w:val="fr-CA"/>
        </w:rPr>
        <w:t xml:space="preserve"> l’information </w:t>
      </w:r>
      <w:r>
        <w:rPr>
          <w:lang w:val="fr-CA"/>
        </w:rPr>
        <w:t xml:space="preserve">sur les activités déjà entreprises par le gouvernement ou qu’il entreprendra </w:t>
      </w:r>
      <w:r w:rsidR="00A442CE">
        <w:rPr>
          <w:lang w:val="fr-CA"/>
        </w:rPr>
        <w:t>en vue de la mise</w:t>
      </w:r>
      <w:r>
        <w:rPr>
          <w:lang w:val="fr-CA"/>
        </w:rPr>
        <w:t xml:space="preserve"> en œuvre </w:t>
      </w:r>
      <w:r w:rsidR="00A442CE">
        <w:rPr>
          <w:lang w:val="fr-CA"/>
        </w:rPr>
        <w:t>d</w:t>
      </w:r>
      <w:r>
        <w:rPr>
          <w:lang w:val="fr-CA"/>
        </w:rPr>
        <w:t>es recommandations contenues dans le rapport d’enquête, dans le rapport périodique sur la deuxième tranche, au moment de soumettre la troisième tranche du plan de gestion de l’élimination du secteur de la production de HCFC.</w:t>
      </w:r>
    </w:p>
    <w:p w14:paraId="41F2C806" w14:textId="77777777" w:rsidR="00520E5A" w:rsidRDefault="00520E5A" w:rsidP="00520E5A">
      <w:pPr>
        <w:rPr>
          <w:lang w:val="fr-CA"/>
        </w:rPr>
      </w:pPr>
    </w:p>
    <w:p w14:paraId="3737F4F6" w14:textId="77777777" w:rsidR="00520E5A" w:rsidRDefault="00520E5A" w:rsidP="00520E5A">
      <w:pPr>
        <w:rPr>
          <w:lang w:val="fr-CA"/>
        </w:rPr>
      </w:pPr>
    </w:p>
    <w:p w14:paraId="14B122CC" w14:textId="77777777" w:rsidR="00520E5A" w:rsidRPr="00520E5A" w:rsidRDefault="00520E5A" w:rsidP="00520E5A">
      <w:pPr>
        <w:rPr>
          <w:lang w:val="fr-CA"/>
        </w:rPr>
      </w:pPr>
    </w:p>
    <w:p w14:paraId="2E661853" w14:textId="44B5B163" w:rsidR="00006F89" w:rsidRDefault="00626546" w:rsidP="00A442CE">
      <w:pPr>
        <w:ind w:left="2552" w:hanging="2552"/>
        <w:rPr>
          <w:b/>
          <w:bCs/>
          <w:lang w:val="fr-CA"/>
        </w:rPr>
      </w:pPr>
      <w:r>
        <w:rPr>
          <w:b/>
          <w:bCs/>
          <w:lang w:val="fr-CA"/>
        </w:rPr>
        <w:lastRenderedPageBreak/>
        <w:t>Point 4 de l’ordre du jour : Projet de lignes directrices et m</w:t>
      </w:r>
      <w:r w:rsidR="001F2E9B">
        <w:rPr>
          <w:b/>
          <w:bCs/>
          <w:lang w:val="fr-CA"/>
        </w:rPr>
        <w:t>odèle</w:t>
      </w:r>
      <w:r>
        <w:rPr>
          <w:b/>
          <w:bCs/>
          <w:lang w:val="fr-CA"/>
        </w:rPr>
        <w:t xml:space="preserve"> standard utilisé p</w:t>
      </w:r>
      <w:r w:rsidR="00520E5A">
        <w:rPr>
          <w:b/>
          <w:bCs/>
          <w:lang w:val="fr-CA"/>
        </w:rPr>
        <w:t>our</w:t>
      </w:r>
      <w:r>
        <w:rPr>
          <w:b/>
          <w:bCs/>
          <w:lang w:val="fr-CA"/>
        </w:rPr>
        <w:t xml:space="preserve"> la vérification de l’élimination de la production de SAO</w:t>
      </w:r>
    </w:p>
    <w:p w14:paraId="28CD89FC" w14:textId="77777777" w:rsidR="00A442CE" w:rsidRPr="00A442CE" w:rsidRDefault="00A442CE" w:rsidP="00A442CE">
      <w:pPr>
        <w:ind w:left="2552" w:hanging="2552"/>
        <w:rPr>
          <w:b/>
          <w:bCs/>
          <w:lang w:val="fr-CA"/>
        </w:rPr>
      </w:pPr>
    </w:p>
    <w:p w14:paraId="20582E45" w14:textId="52956A60" w:rsidR="001F2E9B" w:rsidRDefault="0062534B">
      <w:pPr>
        <w:pStyle w:val="StyleHeading1Para1Heading1CharHeading1Char3CharHeadin"/>
        <w:numPr>
          <w:ilvl w:val="0"/>
          <w:numId w:val="1"/>
        </w:numPr>
        <w:tabs>
          <w:tab w:val="clear" w:pos="0"/>
        </w:tabs>
        <w:rPr>
          <w:lang w:val="fr-CA"/>
        </w:rPr>
      </w:pPr>
      <w:r>
        <w:rPr>
          <w:lang w:val="fr-CA"/>
        </w:rPr>
        <w:t>L</w:t>
      </w:r>
      <w:r w:rsidR="00626546">
        <w:rPr>
          <w:lang w:val="fr-CA"/>
        </w:rPr>
        <w:t>e représentant du Secrétariat a présenté le document UNEP/</w:t>
      </w:r>
      <w:proofErr w:type="spellStart"/>
      <w:r w:rsidR="00626546">
        <w:rPr>
          <w:lang w:val="fr-CA"/>
        </w:rPr>
        <w:t>OzL.Pro</w:t>
      </w:r>
      <w:proofErr w:type="spellEnd"/>
      <w:r w:rsidR="00626546">
        <w:rPr>
          <w:lang w:val="fr-CA"/>
        </w:rPr>
        <w:t>/</w:t>
      </w:r>
      <w:proofErr w:type="spellStart"/>
      <w:r w:rsidR="00626546">
        <w:rPr>
          <w:lang w:val="fr-CA"/>
        </w:rPr>
        <w:t>ExCom</w:t>
      </w:r>
      <w:proofErr w:type="spellEnd"/>
      <w:r w:rsidR="00626546">
        <w:rPr>
          <w:lang w:val="fr-CA"/>
        </w:rPr>
        <w:t>/92/SGP/3, contenant le</w:t>
      </w:r>
      <w:r w:rsidR="001F2E9B">
        <w:rPr>
          <w:lang w:val="fr-CA"/>
        </w:rPr>
        <w:t xml:space="preserve"> projet de</w:t>
      </w:r>
      <w:r w:rsidR="00626546">
        <w:rPr>
          <w:lang w:val="fr-CA"/>
        </w:rPr>
        <w:t xml:space="preserve"> lignes directrices et le m</w:t>
      </w:r>
      <w:r w:rsidR="001F2E9B">
        <w:rPr>
          <w:lang w:val="fr-CA"/>
        </w:rPr>
        <w:t>odèle</w:t>
      </w:r>
      <w:r w:rsidR="00626546">
        <w:rPr>
          <w:lang w:val="fr-CA"/>
        </w:rPr>
        <w:t xml:space="preserve"> standard utilisé p</w:t>
      </w:r>
      <w:r w:rsidR="00520E5A">
        <w:rPr>
          <w:lang w:val="fr-CA"/>
        </w:rPr>
        <w:t>our</w:t>
      </w:r>
      <w:r w:rsidR="00626546">
        <w:rPr>
          <w:lang w:val="fr-CA"/>
        </w:rPr>
        <w:t xml:space="preserve"> la vérification de l’élimination de la production de SAO.  </w:t>
      </w:r>
      <w:r w:rsidR="00A442CE">
        <w:rPr>
          <w:lang w:val="fr-CA"/>
        </w:rPr>
        <w:t xml:space="preserve"> </w:t>
      </w:r>
      <w:r w:rsidR="00626546">
        <w:rPr>
          <w:lang w:val="fr-CA"/>
        </w:rPr>
        <w:t xml:space="preserve">Il a indiqué que le document </w:t>
      </w:r>
      <w:r w:rsidR="00B161C4">
        <w:rPr>
          <w:lang w:val="fr-CA"/>
        </w:rPr>
        <w:t>incluait de l’</w:t>
      </w:r>
      <w:r w:rsidR="00626546">
        <w:rPr>
          <w:lang w:val="fr-CA"/>
        </w:rPr>
        <w:t>information pertinente sur l</w:t>
      </w:r>
      <w:r w:rsidR="00B161C4">
        <w:rPr>
          <w:lang w:val="fr-CA"/>
        </w:rPr>
        <w:t>es moyens de</w:t>
      </w:r>
      <w:r w:rsidR="00626546">
        <w:rPr>
          <w:lang w:val="fr-CA"/>
        </w:rPr>
        <w:t xml:space="preserve"> mieux définir l’intégration v</w:t>
      </w:r>
      <w:r w:rsidR="00006F89">
        <w:rPr>
          <w:lang w:val="fr-CA"/>
        </w:rPr>
        <w:t>e</w:t>
      </w:r>
      <w:r w:rsidR="00626546">
        <w:rPr>
          <w:lang w:val="fr-CA"/>
        </w:rPr>
        <w:t>rticale</w:t>
      </w:r>
      <w:r w:rsidR="00B161C4">
        <w:rPr>
          <w:lang w:val="fr-CA"/>
        </w:rPr>
        <w:t>;</w:t>
      </w:r>
      <w:r w:rsidR="00626546">
        <w:rPr>
          <w:lang w:val="fr-CA"/>
        </w:rPr>
        <w:t xml:space="preserve"> </w:t>
      </w:r>
      <w:r w:rsidR="007E0BDC">
        <w:rPr>
          <w:lang w:val="fr-CA"/>
        </w:rPr>
        <w:t xml:space="preserve">ainsi que </w:t>
      </w:r>
      <w:r w:rsidR="00B161C4">
        <w:rPr>
          <w:lang w:val="fr-CA"/>
        </w:rPr>
        <w:t>d</w:t>
      </w:r>
      <w:r w:rsidR="00626546">
        <w:rPr>
          <w:lang w:val="fr-CA"/>
        </w:rPr>
        <w:t xml:space="preserve">es </w:t>
      </w:r>
      <w:r w:rsidR="00B161C4">
        <w:rPr>
          <w:lang w:val="fr-CA"/>
        </w:rPr>
        <w:t>modifications d</w:t>
      </w:r>
      <w:r w:rsidR="00626546">
        <w:rPr>
          <w:lang w:val="fr-CA"/>
        </w:rPr>
        <w:t xml:space="preserve">u projet de lignes directrices </w:t>
      </w:r>
      <w:r w:rsidR="00B161C4">
        <w:rPr>
          <w:lang w:val="fr-CA"/>
        </w:rPr>
        <w:t>actualisées</w:t>
      </w:r>
      <w:r w:rsidR="00DD6C88">
        <w:rPr>
          <w:lang w:val="fr-CA"/>
        </w:rPr>
        <w:t xml:space="preserve"> </w:t>
      </w:r>
      <w:r w:rsidR="00626546">
        <w:rPr>
          <w:lang w:val="fr-CA"/>
        </w:rPr>
        <w:t xml:space="preserve">demandé par la décision 83/70 (b) et </w:t>
      </w:r>
      <w:r w:rsidR="00B161C4">
        <w:rPr>
          <w:lang w:val="fr-CA"/>
        </w:rPr>
        <w:t xml:space="preserve">celles effectuées </w:t>
      </w:r>
      <w:r w:rsidR="00A442CE">
        <w:rPr>
          <w:lang w:val="fr-CA"/>
        </w:rPr>
        <w:t xml:space="preserve">à la </w:t>
      </w:r>
      <w:r w:rsidR="00B161C4">
        <w:rPr>
          <w:lang w:val="fr-CA"/>
        </w:rPr>
        <w:t xml:space="preserve">suite </w:t>
      </w:r>
      <w:r w:rsidR="00A442CE">
        <w:rPr>
          <w:lang w:val="fr-CA"/>
        </w:rPr>
        <w:t>des</w:t>
      </w:r>
      <w:r w:rsidR="00626546">
        <w:rPr>
          <w:lang w:val="fr-CA"/>
        </w:rPr>
        <w:t xml:space="preserve"> consultations </w:t>
      </w:r>
      <w:r w:rsidR="00520E5A">
        <w:rPr>
          <w:lang w:val="fr-CA"/>
        </w:rPr>
        <w:t>intersessions</w:t>
      </w:r>
      <w:r w:rsidR="001F2E9B">
        <w:rPr>
          <w:lang w:val="fr-CA"/>
        </w:rPr>
        <w:t xml:space="preserve"> du Secrétariat avec la Banque mondiale. </w:t>
      </w:r>
      <w:r w:rsidR="00DD6C88">
        <w:rPr>
          <w:lang w:val="fr-CA"/>
        </w:rPr>
        <w:t xml:space="preserve"> </w:t>
      </w:r>
      <w:r w:rsidR="001F2E9B">
        <w:rPr>
          <w:lang w:val="fr-CA"/>
        </w:rPr>
        <w:t xml:space="preserve">Le document </w:t>
      </w:r>
      <w:r w:rsidR="00A442CE">
        <w:rPr>
          <w:lang w:val="fr-CA"/>
        </w:rPr>
        <w:t>inclu</w:t>
      </w:r>
      <w:r w:rsidR="001F2E9B">
        <w:rPr>
          <w:lang w:val="fr-CA"/>
        </w:rPr>
        <w:t xml:space="preserve">ait aussi, parmi les recommandations énoncées au paragraphe 19, une proposition de définition </w:t>
      </w:r>
      <w:r w:rsidR="00DD6C88">
        <w:rPr>
          <w:lang w:val="fr-CA"/>
        </w:rPr>
        <w:t xml:space="preserve">pour </w:t>
      </w:r>
      <w:r w:rsidR="001F2E9B">
        <w:rPr>
          <w:lang w:val="fr-CA"/>
        </w:rPr>
        <w:t>une "installation intégrée verticalement".</w:t>
      </w:r>
    </w:p>
    <w:p w14:paraId="1107C46C" w14:textId="787B44F7" w:rsidR="0014585D" w:rsidRDefault="001F2E9B">
      <w:pPr>
        <w:pStyle w:val="StyleHeading1Para1Heading1CharHeading1Char3CharHeadin"/>
        <w:numPr>
          <w:ilvl w:val="0"/>
          <w:numId w:val="1"/>
        </w:numPr>
        <w:tabs>
          <w:tab w:val="clear" w:pos="0"/>
        </w:tabs>
        <w:rPr>
          <w:lang w:val="fr-CA"/>
        </w:rPr>
      </w:pPr>
      <w:r>
        <w:rPr>
          <w:lang w:val="fr-CA"/>
        </w:rPr>
        <w:t xml:space="preserve">Durant la discussion qui a suivi, plusieurs questions ont été soulevées sur divers aspects de la définition proposée </w:t>
      </w:r>
      <w:r w:rsidR="00DD6C88">
        <w:rPr>
          <w:lang w:val="fr-CA"/>
        </w:rPr>
        <w:t xml:space="preserve">pour </w:t>
      </w:r>
      <w:r>
        <w:rPr>
          <w:lang w:val="fr-CA"/>
        </w:rPr>
        <w:t>une "installation intégrée verticalement",</w:t>
      </w:r>
      <w:r w:rsidR="00DD6C88">
        <w:rPr>
          <w:lang w:val="fr-CA"/>
        </w:rPr>
        <w:t xml:space="preserve"> incluant</w:t>
      </w:r>
      <w:r>
        <w:rPr>
          <w:lang w:val="fr-CA"/>
        </w:rPr>
        <w:t xml:space="preserve"> </w:t>
      </w:r>
      <w:r w:rsidR="00DD6C88">
        <w:rPr>
          <w:lang w:val="fr-CA"/>
        </w:rPr>
        <w:t>l’utilisation de</w:t>
      </w:r>
      <w:r>
        <w:rPr>
          <w:lang w:val="fr-CA"/>
        </w:rPr>
        <w:t xml:space="preserve"> </w:t>
      </w:r>
      <w:r w:rsidR="00DD6C88">
        <w:rPr>
          <w:lang w:val="fr-CA"/>
        </w:rPr>
        <w:t xml:space="preserve">la </w:t>
      </w:r>
      <w:r>
        <w:rPr>
          <w:lang w:val="fr-CA"/>
        </w:rPr>
        <w:t xml:space="preserve">propriété comme critère de définition plutôt que </w:t>
      </w:r>
      <w:r w:rsidR="00FA7345">
        <w:rPr>
          <w:lang w:val="fr-CA"/>
        </w:rPr>
        <w:t>l</w:t>
      </w:r>
      <w:r>
        <w:rPr>
          <w:lang w:val="fr-CA"/>
        </w:rPr>
        <w:t>es procédés techniques, l</w:t>
      </w:r>
      <w:r w:rsidR="00DD6C88">
        <w:rPr>
          <w:lang w:val="fr-CA"/>
        </w:rPr>
        <w:t>e regroupement éventuel de la</w:t>
      </w:r>
      <w:r>
        <w:rPr>
          <w:lang w:val="fr-CA"/>
        </w:rPr>
        <w:t xml:space="preserve"> ligne de production de HCFC et </w:t>
      </w:r>
      <w:r w:rsidR="00DD6C88">
        <w:rPr>
          <w:lang w:val="fr-CA"/>
        </w:rPr>
        <w:t xml:space="preserve">de </w:t>
      </w:r>
      <w:r>
        <w:rPr>
          <w:lang w:val="fr-CA"/>
        </w:rPr>
        <w:t xml:space="preserve">l’installation en aval </w:t>
      </w:r>
      <w:r w:rsidR="00DD6C88">
        <w:rPr>
          <w:lang w:val="fr-CA"/>
        </w:rPr>
        <w:t>sur un même site</w:t>
      </w:r>
      <w:r>
        <w:rPr>
          <w:lang w:val="fr-CA"/>
        </w:rPr>
        <w:t xml:space="preserve">, et </w:t>
      </w:r>
      <w:r w:rsidR="00DD6C88">
        <w:rPr>
          <w:lang w:val="fr-CA"/>
        </w:rPr>
        <w:t>le mode de transport d</w:t>
      </w:r>
      <w:r>
        <w:rPr>
          <w:lang w:val="fr-CA"/>
        </w:rPr>
        <w:t xml:space="preserve">es HCFC entre les deux. </w:t>
      </w:r>
      <w:r w:rsidR="00A442CE">
        <w:rPr>
          <w:lang w:val="fr-CA"/>
        </w:rPr>
        <w:t xml:space="preserve"> </w:t>
      </w:r>
      <w:r>
        <w:rPr>
          <w:lang w:val="fr-CA"/>
        </w:rPr>
        <w:t>Un autre membre a déclaré que l’utilisation du terme "entité légale"</w:t>
      </w:r>
      <w:r w:rsidR="0014585D">
        <w:rPr>
          <w:lang w:val="fr-CA"/>
        </w:rPr>
        <w:t xml:space="preserve"> comme critère d</w:t>
      </w:r>
      <w:r w:rsidR="00FA7345">
        <w:rPr>
          <w:lang w:val="fr-CA"/>
        </w:rPr>
        <w:t>e</w:t>
      </w:r>
      <w:r w:rsidR="0014585D">
        <w:rPr>
          <w:lang w:val="fr-CA"/>
        </w:rPr>
        <w:t xml:space="preserve"> définition d’une installation intégré</w:t>
      </w:r>
      <w:r w:rsidR="00DD6C88">
        <w:rPr>
          <w:lang w:val="fr-CA"/>
        </w:rPr>
        <w:t>e</w:t>
      </w:r>
      <w:r w:rsidR="0014585D">
        <w:rPr>
          <w:lang w:val="fr-CA"/>
        </w:rPr>
        <w:t xml:space="preserve"> verticalement pourrait poser des problèm</w:t>
      </w:r>
      <w:r>
        <w:rPr>
          <w:lang w:val="fr-CA"/>
        </w:rPr>
        <w:t>e</w:t>
      </w:r>
      <w:r w:rsidR="0014585D">
        <w:rPr>
          <w:lang w:val="fr-CA"/>
        </w:rPr>
        <w:t>s dans son pays, où l</w:t>
      </w:r>
      <w:r w:rsidR="00FA7345">
        <w:rPr>
          <w:lang w:val="fr-CA"/>
        </w:rPr>
        <w:t>a législation permet la propriété des</w:t>
      </w:r>
      <w:r w:rsidR="0014585D">
        <w:rPr>
          <w:lang w:val="fr-CA"/>
        </w:rPr>
        <w:t xml:space="preserve"> installations en amont et en aval </w:t>
      </w:r>
      <w:r w:rsidR="00FA7345">
        <w:rPr>
          <w:lang w:val="fr-CA"/>
        </w:rPr>
        <w:t xml:space="preserve">par des </w:t>
      </w:r>
      <w:r w:rsidR="0014585D">
        <w:rPr>
          <w:lang w:val="fr-CA"/>
        </w:rPr>
        <w:t>entités distinctes au sein du même groupe.</w:t>
      </w:r>
    </w:p>
    <w:p w14:paraId="4EACEC91" w14:textId="54E10877" w:rsidR="0014585D" w:rsidRDefault="0014585D">
      <w:pPr>
        <w:pStyle w:val="StyleHeading1Para1Heading1CharHeading1Char3CharHeadin"/>
        <w:numPr>
          <w:ilvl w:val="0"/>
          <w:numId w:val="1"/>
        </w:numPr>
        <w:tabs>
          <w:tab w:val="clear" w:pos="0"/>
        </w:tabs>
        <w:rPr>
          <w:lang w:val="fr-CA"/>
        </w:rPr>
      </w:pPr>
      <w:r>
        <w:rPr>
          <w:lang w:val="fr-CA"/>
        </w:rPr>
        <w:t xml:space="preserve">Le représentant du </w:t>
      </w:r>
      <w:r w:rsidR="001F2E9B">
        <w:rPr>
          <w:lang w:val="fr-CA"/>
        </w:rPr>
        <w:t>S</w:t>
      </w:r>
      <w:r>
        <w:rPr>
          <w:lang w:val="fr-CA"/>
        </w:rPr>
        <w:t xml:space="preserve">ecrétariat a répondu que la définition proposée avait pour prémisse </w:t>
      </w:r>
      <w:r w:rsidR="00FA7345">
        <w:rPr>
          <w:lang w:val="fr-CA"/>
        </w:rPr>
        <w:t>qu</w:t>
      </w:r>
      <w:r w:rsidR="00A442CE">
        <w:rPr>
          <w:lang w:val="fr-CA"/>
        </w:rPr>
        <w:t xml:space="preserve">’un </w:t>
      </w:r>
      <w:r w:rsidR="00FA7345">
        <w:rPr>
          <w:lang w:val="fr-CA"/>
        </w:rPr>
        <w:t xml:space="preserve">mécanisme </w:t>
      </w:r>
      <w:r>
        <w:rPr>
          <w:lang w:val="fr-CA"/>
        </w:rPr>
        <w:t>d’application de la loi garantissant l’absence de toute vente de HCFC en dehors d’</w:t>
      </w:r>
      <w:r w:rsidR="00FA7345">
        <w:rPr>
          <w:lang w:val="fr-CA"/>
        </w:rPr>
        <w:t xml:space="preserve">une </w:t>
      </w:r>
      <w:r>
        <w:rPr>
          <w:lang w:val="fr-CA"/>
        </w:rPr>
        <w:t xml:space="preserve">entreprise constituait une caractéristique </w:t>
      </w:r>
      <w:r w:rsidR="00FA7345">
        <w:rPr>
          <w:lang w:val="fr-CA"/>
        </w:rPr>
        <w:t>plus solide</w:t>
      </w:r>
      <w:r>
        <w:rPr>
          <w:lang w:val="fr-CA"/>
        </w:rPr>
        <w:t xml:space="preserve"> que le mécanisme utilisé pour transporter les HCFC vers l’installation en aval.  </w:t>
      </w:r>
      <w:r w:rsidR="00A442CE">
        <w:rPr>
          <w:lang w:val="fr-CA"/>
        </w:rPr>
        <w:t>Dans la</w:t>
      </w:r>
      <w:r>
        <w:rPr>
          <w:lang w:val="fr-CA"/>
        </w:rPr>
        <w:t xml:space="preserve"> pratique, la plupart de </w:t>
      </w:r>
      <w:r w:rsidR="007E0BDC">
        <w:rPr>
          <w:lang w:val="fr-CA"/>
        </w:rPr>
        <w:t>c</w:t>
      </w:r>
      <w:r>
        <w:rPr>
          <w:lang w:val="fr-CA"/>
        </w:rPr>
        <w:t xml:space="preserve">es entreprises seraient situées </w:t>
      </w:r>
      <w:r w:rsidR="00FA7345">
        <w:rPr>
          <w:lang w:val="fr-CA"/>
        </w:rPr>
        <w:t>sur un seul site</w:t>
      </w:r>
      <w:r>
        <w:rPr>
          <w:lang w:val="fr-CA"/>
        </w:rPr>
        <w:t xml:space="preserve">, adoptant un mode de transport </w:t>
      </w:r>
      <w:r w:rsidR="00FA7345">
        <w:rPr>
          <w:lang w:val="fr-CA"/>
        </w:rPr>
        <w:t>de tuyau à tuyau</w:t>
      </w:r>
      <w:r>
        <w:rPr>
          <w:lang w:val="fr-CA"/>
        </w:rPr>
        <w:t xml:space="preserve">, étant donné le coût plus élevé </w:t>
      </w:r>
      <w:r w:rsidR="007E0BDC">
        <w:rPr>
          <w:lang w:val="fr-CA"/>
        </w:rPr>
        <w:t xml:space="preserve">du transport </w:t>
      </w:r>
      <w:r>
        <w:rPr>
          <w:lang w:val="fr-CA"/>
        </w:rPr>
        <w:t xml:space="preserve">vers d’autres installations distinctes. En outre, les installations intégrées verticalement possédaient </w:t>
      </w:r>
      <w:r w:rsidR="00A442CE">
        <w:rPr>
          <w:lang w:val="fr-CA"/>
        </w:rPr>
        <w:t>généralement</w:t>
      </w:r>
      <w:r>
        <w:rPr>
          <w:lang w:val="fr-CA"/>
        </w:rPr>
        <w:t xml:space="preserve"> des citernes de stockage, selon une pratique courante dans les procédés de production chimique, un contexte </w:t>
      </w:r>
      <w:r w:rsidR="00FA7345">
        <w:rPr>
          <w:lang w:val="fr-CA"/>
        </w:rPr>
        <w:t xml:space="preserve">dans lequel </w:t>
      </w:r>
      <w:r>
        <w:rPr>
          <w:lang w:val="fr-CA"/>
        </w:rPr>
        <w:t xml:space="preserve">la méthode de transport </w:t>
      </w:r>
      <w:r w:rsidR="007E0BDC">
        <w:rPr>
          <w:lang w:val="fr-CA"/>
        </w:rPr>
        <w:t xml:space="preserve">pourrait </w:t>
      </w:r>
      <w:r>
        <w:rPr>
          <w:lang w:val="fr-CA"/>
        </w:rPr>
        <w:t xml:space="preserve">s’avérer une caractéristique </w:t>
      </w:r>
      <w:r w:rsidR="00292B60">
        <w:rPr>
          <w:lang w:val="fr-CA"/>
        </w:rPr>
        <w:t>moins</w:t>
      </w:r>
      <w:r>
        <w:rPr>
          <w:lang w:val="fr-CA"/>
        </w:rPr>
        <w:t xml:space="preserve"> utile.</w:t>
      </w:r>
    </w:p>
    <w:p w14:paraId="7C053515" w14:textId="7826BA90" w:rsidR="008E5F39" w:rsidRDefault="008E5F39">
      <w:pPr>
        <w:pStyle w:val="StyleHeading1Para1Heading1CharHeading1Char3CharHeadin"/>
        <w:numPr>
          <w:ilvl w:val="0"/>
          <w:numId w:val="1"/>
        </w:numPr>
        <w:tabs>
          <w:tab w:val="clear" w:pos="0"/>
        </w:tabs>
        <w:rPr>
          <w:lang w:val="fr-CA"/>
        </w:rPr>
      </w:pPr>
      <w:r>
        <w:rPr>
          <w:lang w:val="fr-CA"/>
        </w:rPr>
        <w:t>À l’issue de la discussion, le Sous-groupe a e</w:t>
      </w:r>
      <w:r w:rsidR="007E0BDC">
        <w:rPr>
          <w:lang w:val="fr-CA"/>
        </w:rPr>
        <w:t>nvisagé</w:t>
      </w:r>
      <w:r>
        <w:rPr>
          <w:lang w:val="fr-CA"/>
        </w:rPr>
        <w:t xml:space="preserve"> amende</w:t>
      </w:r>
      <w:r w:rsidR="007E0BDC">
        <w:rPr>
          <w:lang w:val="fr-CA"/>
        </w:rPr>
        <w:t>r</w:t>
      </w:r>
      <w:r>
        <w:rPr>
          <w:lang w:val="fr-CA"/>
        </w:rPr>
        <w:t xml:space="preserve"> la définition énoncée au paragraphe 19 du document UNEP/</w:t>
      </w:r>
      <w:proofErr w:type="spellStart"/>
      <w:r>
        <w:rPr>
          <w:lang w:val="fr-CA"/>
        </w:rPr>
        <w:t>OzL.Pro</w:t>
      </w:r>
      <w:proofErr w:type="spellEnd"/>
      <w:r>
        <w:rPr>
          <w:lang w:val="fr-CA"/>
        </w:rPr>
        <w:t>/</w:t>
      </w:r>
      <w:proofErr w:type="spellStart"/>
      <w:r>
        <w:rPr>
          <w:lang w:val="fr-CA"/>
        </w:rPr>
        <w:t>ExCom</w:t>
      </w:r>
      <w:proofErr w:type="spellEnd"/>
      <w:r>
        <w:rPr>
          <w:lang w:val="fr-CA"/>
        </w:rPr>
        <w:t>/92/SGP/3</w:t>
      </w:r>
      <w:r w:rsidR="00292B60">
        <w:rPr>
          <w:lang w:val="fr-CA"/>
        </w:rPr>
        <w:t>,</w:t>
      </w:r>
      <w:r>
        <w:rPr>
          <w:lang w:val="fr-CA"/>
        </w:rPr>
        <w:t xml:space="preserve"> par le retrait de la référence à l</w:t>
      </w:r>
      <w:r w:rsidR="00292B60">
        <w:rPr>
          <w:lang w:val="fr-CA"/>
        </w:rPr>
        <w:t>a propriété, l’exploitation et la réglementation de l</w:t>
      </w:r>
      <w:r>
        <w:rPr>
          <w:lang w:val="fr-CA"/>
        </w:rPr>
        <w:t>’installation</w:t>
      </w:r>
      <w:r w:rsidR="00292B60">
        <w:rPr>
          <w:lang w:val="fr-CA"/>
        </w:rPr>
        <w:t xml:space="preserve"> </w:t>
      </w:r>
      <w:r>
        <w:rPr>
          <w:lang w:val="fr-CA"/>
        </w:rPr>
        <w:t>par la même entité légale.</w:t>
      </w:r>
    </w:p>
    <w:p w14:paraId="2BD2AB54" w14:textId="78BDAC30" w:rsidR="00DF7AB8" w:rsidRDefault="008E5F39">
      <w:pPr>
        <w:pStyle w:val="StyleHeading1Para1Heading1CharHeading1Char3CharHeadin"/>
        <w:numPr>
          <w:ilvl w:val="0"/>
          <w:numId w:val="1"/>
        </w:numPr>
        <w:tabs>
          <w:tab w:val="clear" w:pos="0"/>
        </w:tabs>
        <w:rPr>
          <w:lang w:val="fr-CA"/>
        </w:rPr>
      </w:pPr>
      <w:r>
        <w:rPr>
          <w:lang w:val="fr-CA"/>
        </w:rPr>
        <w:t>Par la suite, le Sous-groupe a d</w:t>
      </w:r>
      <w:r w:rsidR="00292B60">
        <w:rPr>
          <w:lang w:val="fr-CA"/>
        </w:rPr>
        <w:t>iscuté d</w:t>
      </w:r>
      <w:r>
        <w:rPr>
          <w:lang w:val="fr-CA"/>
        </w:rPr>
        <w:t>’autres a</w:t>
      </w:r>
      <w:r w:rsidR="005F71D0">
        <w:rPr>
          <w:lang w:val="fr-CA"/>
        </w:rPr>
        <w:t>mend</w:t>
      </w:r>
      <w:r>
        <w:rPr>
          <w:lang w:val="fr-CA"/>
        </w:rPr>
        <w:t>ements à apporter à la recommandation énoncée au paragraphe 19. Un membre a déclaré que p</w:t>
      </w:r>
      <w:r w:rsidR="00292B60">
        <w:rPr>
          <w:lang w:val="fr-CA"/>
        </w:rPr>
        <w:t>a</w:t>
      </w:r>
      <w:r>
        <w:rPr>
          <w:lang w:val="fr-CA"/>
        </w:rPr>
        <w:t xml:space="preserve">r </w:t>
      </w:r>
      <w:r w:rsidR="00292B60">
        <w:rPr>
          <w:lang w:val="fr-CA"/>
        </w:rPr>
        <w:t>souci de</w:t>
      </w:r>
      <w:r>
        <w:rPr>
          <w:lang w:val="fr-CA"/>
        </w:rPr>
        <w:t xml:space="preserve"> cohérence à travers toute la documentation, il faudrait utiliser le terme "substances appauvrissant la couche d’ozone" plutôt que le terme "substances réglementées</w:t>
      </w:r>
      <w:r w:rsidR="00DF7AB8">
        <w:rPr>
          <w:lang w:val="fr-CA"/>
        </w:rPr>
        <w:t>” et le premier terme devrait remplacer le second dans le texte.  Plusieurs membres ont proposé des amendements au texte du projet de recommandation, notamment en ce qui concerne le paragraphe (a) d</w:t>
      </w:r>
      <w:r w:rsidR="00292B60">
        <w:rPr>
          <w:lang w:val="fr-CA"/>
        </w:rPr>
        <w:t>e</w:t>
      </w:r>
      <w:r w:rsidR="00DF7AB8">
        <w:rPr>
          <w:lang w:val="fr-CA"/>
        </w:rPr>
        <w:t xml:space="preserve"> la définition d’une "installation intégrée verticalement” et le paragraphe (b) quant à savoir s’il fallait ou non exiger l’inclusion d’informations nationales sur les changements des niveaux de stock dans </w:t>
      </w:r>
      <w:r w:rsidR="00292B60">
        <w:rPr>
          <w:lang w:val="fr-CA"/>
        </w:rPr>
        <w:t>d</w:t>
      </w:r>
      <w:r w:rsidR="00DF7AB8">
        <w:rPr>
          <w:lang w:val="fr-CA"/>
        </w:rPr>
        <w:t xml:space="preserve">es installations de production intégrées qui ne faisaient pas l’objet </w:t>
      </w:r>
      <w:r w:rsidR="005F71D0">
        <w:rPr>
          <w:lang w:val="fr-CA"/>
        </w:rPr>
        <w:t>d’une</w:t>
      </w:r>
      <w:r w:rsidR="00DF7AB8">
        <w:rPr>
          <w:lang w:val="fr-CA"/>
        </w:rPr>
        <w:t xml:space="preserve"> vérification annuelle. </w:t>
      </w:r>
      <w:r w:rsidR="005F71D0">
        <w:rPr>
          <w:lang w:val="fr-CA"/>
        </w:rPr>
        <w:t xml:space="preserve"> </w:t>
      </w:r>
      <w:r w:rsidR="00DF7AB8">
        <w:rPr>
          <w:lang w:val="fr-CA"/>
        </w:rPr>
        <w:t>Le texte pertinent est resté entre crochets.</w:t>
      </w:r>
    </w:p>
    <w:p w14:paraId="2BC2A101" w14:textId="6FE02BB2" w:rsidR="00DF7AB8" w:rsidRDefault="00DF7AB8">
      <w:pPr>
        <w:pStyle w:val="StyleHeading1Para1Heading1CharHeading1Char3CharHeadin"/>
        <w:numPr>
          <w:ilvl w:val="0"/>
          <w:numId w:val="1"/>
        </w:numPr>
        <w:tabs>
          <w:tab w:val="clear" w:pos="0"/>
        </w:tabs>
        <w:rPr>
          <w:lang w:val="fr-CA"/>
        </w:rPr>
      </w:pPr>
      <w:r>
        <w:rPr>
          <w:lang w:val="fr-CA"/>
        </w:rPr>
        <w:t xml:space="preserve">Les membres ont poursuivi leur discussion sur le projet de lignes directrices </w:t>
      </w:r>
      <w:r w:rsidR="005F71D0">
        <w:rPr>
          <w:lang w:val="fr-CA"/>
        </w:rPr>
        <w:t xml:space="preserve">actualisées </w:t>
      </w:r>
      <w:r>
        <w:rPr>
          <w:lang w:val="fr-CA"/>
        </w:rPr>
        <w:t>et le modèle s</w:t>
      </w:r>
      <w:r w:rsidR="00292B60">
        <w:rPr>
          <w:lang w:val="fr-CA"/>
        </w:rPr>
        <w:t>tandard utilisé pour</w:t>
      </w:r>
      <w:r>
        <w:rPr>
          <w:lang w:val="fr-CA"/>
        </w:rPr>
        <w:t xml:space="preserve"> la vérification de l’élimination de la production de SAO, tel que présenté à l’Annexe I du document UNEP/</w:t>
      </w:r>
      <w:proofErr w:type="spellStart"/>
      <w:r>
        <w:rPr>
          <w:lang w:val="fr-CA"/>
        </w:rPr>
        <w:t>OzL.Pro</w:t>
      </w:r>
      <w:proofErr w:type="spellEnd"/>
      <w:r>
        <w:rPr>
          <w:lang w:val="fr-CA"/>
        </w:rPr>
        <w:t>/</w:t>
      </w:r>
      <w:proofErr w:type="spellStart"/>
      <w:r>
        <w:rPr>
          <w:lang w:val="fr-CA"/>
        </w:rPr>
        <w:t>ExCom</w:t>
      </w:r>
      <w:proofErr w:type="spellEnd"/>
      <w:r>
        <w:rPr>
          <w:lang w:val="fr-CA"/>
        </w:rPr>
        <w:t xml:space="preserve">/92/SGP/3. </w:t>
      </w:r>
      <w:r w:rsidR="00856A53">
        <w:rPr>
          <w:lang w:val="fr-CA"/>
        </w:rPr>
        <w:t xml:space="preserve"> </w:t>
      </w:r>
      <w:r>
        <w:rPr>
          <w:lang w:val="fr-CA"/>
        </w:rPr>
        <w:t>Les membres ont fait des suggestions concernant le texte des paragraphes 3,9,15,17 et 21 du projet de lignes directrices.  Le facilitateur a suggéré que d</w:t>
      </w:r>
      <w:r w:rsidR="00292B60">
        <w:rPr>
          <w:lang w:val="fr-CA"/>
        </w:rPr>
        <w:t>e plus amples</w:t>
      </w:r>
      <w:r>
        <w:rPr>
          <w:lang w:val="fr-CA"/>
        </w:rPr>
        <w:t xml:space="preserve"> discussions intersessions </w:t>
      </w:r>
      <w:r w:rsidR="007E0BDC">
        <w:rPr>
          <w:lang w:val="fr-CA"/>
        </w:rPr>
        <w:t>permettraient de progresser</w:t>
      </w:r>
      <w:r>
        <w:rPr>
          <w:lang w:val="fr-CA"/>
        </w:rPr>
        <w:t xml:space="preserve"> </w:t>
      </w:r>
      <w:r w:rsidR="00292B60">
        <w:rPr>
          <w:lang w:val="fr-CA"/>
        </w:rPr>
        <w:t xml:space="preserve">sur </w:t>
      </w:r>
      <w:r>
        <w:rPr>
          <w:lang w:val="fr-CA"/>
        </w:rPr>
        <w:t>ce sujet et il a incité les membres à limiter les discussions sur ces enjeux lors de la prochaine réunion du Sous-groupe et à ne pas introduire d’enjeux supplémentaires concernant ces lignes directrices.</w:t>
      </w:r>
    </w:p>
    <w:p w14:paraId="2ED5EBA2" w14:textId="4B92992B" w:rsidR="0099061F" w:rsidRDefault="00DF7AB8">
      <w:pPr>
        <w:pStyle w:val="StyleHeading1Para1Heading1CharHeading1Char3CharHeadin"/>
        <w:numPr>
          <w:ilvl w:val="0"/>
          <w:numId w:val="1"/>
        </w:numPr>
        <w:tabs>
          <w:tab w:val="clear" w:pos="0"/>
        </w:tabs>
        <w:rPr>
          <w:lang w:val="fr-CA"/>
        </w:rPr>
      </w:pPr>
      <w:r>
        <w:rPr>
          <w:lang w:val="fr-CA"/>
        </w:rPr>
        <w:t xml:space="preserve">Le </w:t>
      </w:r>
      <w:r w:rsidR="0099061F">
        <w:rPr>
          <w:lang w:val="fr-CA"/>
        </w:rPr>
        <w:t>Sous-groupe a convenu de poursuivre les discussions à ce sujet lors de sa prochaine réunion en marge de la 93</w:t>
      </w:r>
      <w:r w:rsidR="0099061F" w:rsidRPr="0099061F">
        <w:rPr>
          <w:vertAlign w:val="superscript"/>
          <w:lang w:val="fr-CA"/>
        </w:rPr>
        <w:t>e</w:t>
      </w:r>
      <w:r w:rsidR="0099061F">
        <w:rPr>
          <w:lang w:val="fr-CA"/>
        </w:rPr>
        <w:t xml:space="preserve"> réunion du Comité exécutif, à partir notamment du texte de travail ayant fait l’objet de</w:t>
      </w:r>
      <w:r w:rsidR="00856A53">
        <w:rPr>
          <w:lang w:val="fr-CA"/>
        </w:rPr>
        <w:t>s</w:t>
      </w:r>
      <w:r w:rsidR="0099061F">
        <w:rPr>
          <w:lang w:val="fr-CA"/>
        </w:rPr>
        <w:t xml:space="preserve"> discussions </w:t>
      </w:r>
      <w:r w:rsidR="007E0BDC">
        <w:rPr>
          <w:lang w:val="fr-CA"/>
        </w:rPr>
        <w:t xml:space="preserve">à </w:t>
      </w:r>
      <w:r w:rsidR="0099061F">
        <w:rPr>
          <w:lang w:val="fr-CA"/>
        </w:rPr>
        <w:t>la 92</w:t>
      </w:r>
      <w:r w:rsidR="0099061F" w:rsidRPr="0099061F">
        <w:rPr>
          <w:vertAlign w:val="superscript"/>
          <w:lang w:val="fr-CA"/>
        </w:rPr>
        <w:t>e</w:t>
      </w:r>
      <w:r w:rsidR="0099061F">
        <w:rPr>
          <w:lang w:val="fr-CA"/>
        </w:rPr>
        <w:t xml:space="preserve"> réunion.</w:t>
      </w:r>
    </w:p>
    <w:p w14:paraId="05CE6E8F" w14:textId="735F0B29" w:rsidR="0099061F" w:rsidRDefault="0099061F" w:rsidP="0099061F">
      <w:pPr>
        <w:pStyle w:val="StyleHeading1Para1Heading1CharHeading1Char3CharHeadin"/>
        <w:rPr>
          <w:b/>
          <w:bCs/>
          <w:lang w:val="fr-CA"/>
        </w:rPr>
      </w:pPr>
      <w:r>
        <w:rPr>
          <w:b/>
          <w:bCs/>
          <w:lang w:val="fr-CA"/>
        </w:rPr>
        <w:lastRenderedPageBreak/>
        <w:t>Point 5 de l’ordre du jour : Questions diverses</w:t>
      </w:r>
    </w:p>
    <w:p w14:paraId="3A874FC4" w14:textId="60769A40" w:rsidR="0099061F" w:rsidRPr="0099061F" w:rsidRDefault="0099061F" w:rsidP="0099061F">
      <w:pPr>
        <w:pStyle w:val="StyleHeading1Para1Heading1CharHeading1Char3CharHeadin"/>
        <w:rPr>
          <w:b/>
          <w:bCs/>
          <w:lang w:val="fr-CA"/>
        </w:rPr>
      </w:pPr>
      <w:r>
        <w:rPr>
          <w:b/>
          <w:bCs/>
          <w:lang w:val="fr-CA"/>
        </w:rPr>
        <w:t>(i)</w:t>
      </w:r>
      <w:r>
        <w:rPr>
          <w:b/>
          <w:bCs/>
          <w:lang w:val="fr-CA"/>
        </w:rPr>
        <w:tab/>
        <w:t xml:space="preserve">Lignes directrices </w:t>
      </w:r>
      <w:r w:rsidR="0038114A">
        <w:rPr>
          <w:b/>
          <w:bCs/>
          <w:lang w:val="fr-CA"/>
        </w:rPr>
        <w:t>s</w:t>
      </w:r>
      <w:r>
        <w:rPr>
          <w:b/>
          <w:bCs/>
          <w:lang w:val="fr-CA"/>
        </w:rPr>
        <w:t xml:space="preserve">ur le secteur de </w:t>
      </w:r>
      <w:r w:rsidR="0038114A">
        <w:rPr>
          <w:b/>
          <w:bCs/>
          <w:lang w:val="fr-CA"/>
        </w:rPr>
        <w:t xml:space="preserve">la </w:t>
      </w:r>
      <w:r>
        <w:rPr>
          <w:b/>
          <w:bCs/>
          <w:lang w:val="fr-CA"/>
        </w:rPr>
        <w:t xml:space="preserve">production des HFC </w:t>
      </w:r>
    </w:p>
    <w:p w14:paraId="372F965E" w14:textId="481588A8" w:rsidR="00AC110E" w:rsidRPr="0038114A" w:rsidRDefault="0099061F" w:rsidP="0038114A">
      <w:pPr>
        <w:pStyle w:val="StyleHeading1Para1Heading1CharHeading1Char3CharHeadin"/>
        <w:numPr>
          <w:ilvl w:val="0"/>
          <w:numId w:val="1"/>
        </w:numPr>
        <w:tabs>
          <w:tab w:val="clear" w:pos="0"/>
        </w:tabs>
        <w:rPr>
          <w:lang w:val="fr-CA"/>
        </w:rPr>
      </w:pPr>
      <w:r>
        <w:rPr>
          <w:lang w:val="fr-CA"/>
        </w:rPr>
        <w:t xml:space="preserve">Le proposeur de ce point de l’ordre du jour a déclaré qu’il était </w:t>
      </w:r>
      <w:r w:rsidR="0038114A">
        <w:rPr>
          <w:lang w:val="fr-CA"/>
        </w:rPr>
        <w:t>opportun</w:t>
      </w:r>
      <w:r>
        <w:rPr>
          <w:lang w:val="fr-CA"/>
        </w:rPr>
        <w:t xml:space="preserve"> que le Sous-groupe </w:t>
      </w:r>
      <w:r w:rsidR="0038114A">
        <w:rPr>
          <w:lang w:val="fr-CA"/>
        </w:rPr>
        <w:t>se penche sur la nécessit</w:t>
      </w:r>
      <w:r>
        <w:rPr>
          <w:lang w:val="fr-CA"/>
        </w:rPr>
        <w:t>é</w:t>
      </w:r>
      <w:r w:rsidR="0038114A">
        <w:rPr>
          <w:lang w:val="fr-CA"/>
        </w:rPr>
        <w:t xml:space="preserve"> de</w:t>
      </w:r>
      <w:r>
        <w:rPr>
          <w:lang w:val="fr-CA"/>
        </w:rPr>
        <w:t xml:space="preserve"> lignes directrices </w:t>
      </w:r>
      <w:r w:rsidR="0038114A">
        <w:rPr>
          <w:lang w:val="fr-CA"/>
        </w:rPr>
        <w:t>s</w:t>
      </w:r>
      <w:r>
        <w:rPr>
          <w:lang w:val="fr-CA"/>
        </w:rPr>
        <w:t xml:space="preserve">ur le secteur de </w:t>
      </w:r>
      <w:r w:rsidR="0038114A">
        <w:rPr>
          <w:lang w:val="fr-CA"/>
        </w:rPr>
        <w:t xml:space="preserve">la </w:t>
      </w:r>
      <w:r>
        <w:rPr>
          <w:lang w:val="fr-CA"/>
        </w:rPr>
        <w:t>production des HFC</w:t>
      </w:r>
      <w:r w:rsidR="0038114A">
        <w:rPr>
          <w:lang w:val="fr-CA"/>
        </w:rPr>
        <w:t xml:space="preserve">. </w:t>
      </w:r>
      <w:r>
        <w:rPr>
          <w:lang w:val="fr-CA"/>
        </w:rPr>
        <w:t xml:space="preserve"> Le représentant du Secrétariat a rappelé </w:t>
      </w:r>
      <w:r w:rsidR="00AC110E">
        <w:rPr>
          <w:lang w:val="fr-CA"/>
        </w:rPr>
        <w:t xml:space="preserve">que la question avait été examinée précédemment par le Sous-groupe sur le secteur de la production et </w:t>
      </w:r>
      <w:r w:rsidR="0038114A">
        <w:rPr>
          <w:lang w:val="fr-CA"/>
        </w:rPr>
        <w:t>il a fait remarquer</w:t>
      </w:r>
      <w:r w:rsidR="00AC110E">
        <w:rPr>
          <w:lang w:val="fr-CA"/>
        </w:rPr>
        <w:t xml:space="preserve"> que</w:t>
      </w:r>
      <w:r w:rsidR="0038114A">
        <w:rPr>
          <w:lang w:val="fr-CA"/>
        </w:rPr>
        <w:t>,</w:t>
      </w:r>
      <w:r w:rsidR="00AC110E">
        <w:rPr>
          <w:lang w:val="fr-CA"/>
        </w:rPr>
        <w:t xml:space="preserve"> par le passé</w:t>
      </w:r>
      <w:r w:rsidR="0038114A">
        <w:rPr>
          <w:lang w:val="fr-CA"/>
        </w:rPr>
        <w:t>,</w:t>
      </w:r>
      <w:r w:rsidR="00AC110E">
        <w:rPr>
          <w:lang w:val="fr-CA"/>
        </w:rPr>
        <w:t xml:space="preserve"> </w:t>
      </w:r>
      <w:r w:rsidR="0038114A">
        <w:rPr>
          <w:lang w:val="fr-CA"/>
        </w:rPr>
        <w:t xml:space="preserve">l’examen </w:t>
      </w:r>
      <w:r w:rsidR="0038114A" w:rsidRPr="0038114A">
        <w:rPr>
          <w:lang w:val="fr-CA"/>
        </w:rPr>
        <w:t>de lignes directrices par le Comité exécutif</w:t>
      </w:r>
      <w:r w:rsidR="0038114A">
        <w:rPr>
          <w:lang w:val="fr-CA"/>
        </w:rPr>
        <w:t xml:space="preserve"> avait été précédé </w:t>
      </w:r>
      <w:r w:rsidR="005F71D0">
        <w:rPr>
          <w:lang w:val="fr-CA"/>
        </w:rPr>
        <w:t xml:space="preserve">généralement </w:t>
      </w:r>
      <w:r w:rsidR="0038114A">
        <w:rPr>
          <w:lang w:val="fr-CA"/>
        </w:rPr>
        <w:t xml:space="preserve">par </w:t>
      </w:r>
      <w:r w:rsidR="0038114A" w:rsidRPr="0038114A">
        <w:rPr>
          <w:lang w:val="fr-CA"/>
        </w:rPr>
        <w:t>la remise de données de production déclarées officiellement par les pays visés à l’article 5 concernés</w:t>
      </w:r>
      <w:r w:rsidR="0038114A">
        <w:rPr>
          <w:lang w:val="fr-CA"/>
        </w:rPr>
        <w:t>.</w:t>
      </w:r>
    </w:p>
    <w:p w14:paraId="67BAF3C3" w14:textId="440E50F2" w:rsidR="00AC110E" w:rsidRDefault="0038114A">
      <w:pPr>
        <w:pStyle w:val="StyleHeading1Para1Heading1CharHeading1Char3CharHeadin"/>
        <w:numPr>
          <w:ilvl w:val="0"/>
          <w:numId w:val="1"/>
        </w:numPr>
        <w:tabs>
          <w:tab w:val="clear" w:pos="0"/>
        </w:tabs>
        <w:rPr>
          <w:lang w:val="fr-CA"/>
        </w:rPr>
      </w:pPr>
      <w:r>
        <w:rPr>
          <w:lang w:val="fr-CA"/>
        </w:rPr>
        <w:t>Constatant</w:t>
      </w:r>
      <w:r w:rsidR="00AC110E">
        <w:rPr>
          <w:lang w:val="fr-CA"/>
        </w:rPr>
        <w:t xml:space="preserve"> que trois pays seulement avaient communiqué leur production de HFC, le Sous-groupe a convenu d’examiner de tels projets au cas par cas, plutôt que d’élaborer des lignes directrices </w:t>
      </w:r>
      <w:r>
        <w:rPr>
          <w:lang w:val="fr-CA"/>
        </w:rPr>
        <w:t>s</w:t>
      </w:r>
      <w:r w:rsidR="00AC110E">
        <w:rPr>
          <w:lang w:val="fr-CA"/>
        </w:rPr>
        <w:t>ur la réduction progressive de la production de</w:t>
      </w:r>
      <w:r w:rsidR="005F71D0">
        <w:rPr>
          <w:lang w:val="fr-CA"/>
        </w:rPr>
        <w:t>s</w:t>
      </w:r>
      <w:r w:rsidR="00AC110E">
        <w:rPr>
          <w:lang w:val="fr-CA"/>
        </w:rPr>
        <w:t xml:space="preserve"> HFC.</w:t>
      </w:r>
    </w:p>
    <w:p w14:paraId="6218A743" w14:textId="37AA7E1E" w:rsidR="00AC110E" w:rsidRPr="00AC110E" w:rsidRDefault="00AC110E" w:rsidP="00AC110E">
      <w:pPr>
        <w:pStyle w:val="StyleHeading1Para1Heading1CharHeading1Char3CharHeadin"/>
        <w:rPr>
          <w:b/>
          <w:bCs/>
          <w:lang w:val="fr-CA"/>
        </w:rPr>
      </w:pPr>
      <w:r>
        <w:rPr>
          <w:b/>
          <w:bCs/>
          <w:lang w:val="fr-CA"/>
        </w:rPr>
        <w:t>(ii)</w:t>
      </w:r>
      <w:r>
        <w:rPr>
          <w:b/>
          <w:bCs/>
          <w:lang w:val="fr-CA"/>
        </w:rPr>
        <w:tab/>
        <w:t>Émissions de HFC-23</w:t>
      </w:r>
    </w:p>
    <w:p w14:paraId="023BD579" w14:textId="58F6BFBE" w:rsidR="00AC110E" w:rsidRDefault="00AC110E">
      <w:pPr>
        <w:pStyle w:val="StyleHeading1Para1Heading1CharHeading1Char3CharHeadin"/>
        <w:numPr>
          <w:ilvl w:val="0"/>
          <w:numId w:val="1"/>
        </w:numPr>
        <w:tabs>
          <w:tab w:val="clear" w:pos="0"/>
        </w:tabs>
        <w:rPr>
          <w:lang w:val="fr-CA"/>
        </w:rPr>
      </w:pPr>
      <w:r>
        <w:rPr>
          <w:lang w:val="fr-CA"/>
        </w:rPr>
        <w:t xml:space="preserve">Le proposeur de ce point de l’ordre du jour a soulevé la question de l’augmentation troublante des émissions de HFC-23 dans l’atmosphère, mentionnée </w:t>
      </w:r>
      <w:r w:rsidR="00AD761E">
        <w:rPr>
          <w:lang w:val="fr-CA"/>
        </w:rPr>
        <w:t>par</w:t>
      </w:r>
      <w:r>
        <w:rPr>
          <w:lang w:val="fr-CA"/>
        </w:rPr>
        <w:t xml:space="preserve"> des publications scientifiques récentes. </w:t>
      </w:r>
      <w:r w:rsidR="005F71D0">
        <w:rPr>
          <w:lang w:val="fr-CA"/>
        </w:rPr>
        <w:t xml:space="preserve"> Certes, </w:t>
      </w:r>
      <w:r>
        <w:rPr>
          <w:lang w:val="fr-CA"/>
        </w:rPr>
        <w:t xml:space="preserve"> </w:t>
      </w:r>
      <w:r w:rsidR="005F71D0">
        <w:rPr>
          <w:lang w:val="fr-CA"/>
        </w:rPr>
        <w:t>i</w:t>
      </w:r>
      <w:r>
        <w:rPr>
          <w:lang w:val="fr-CA"/>
        </w:rPr>
        <w:t xml:space="preserve">l était encourageant </w:t>
      </w:r>
      <w:r w:rsidR="00BC4278">
        <w:rPr>
          <w:lang w:val="fr-CA"/>
        </w:rPr>
        <w:t xml:space="preserve">de constater </w:t>
      </w:r>
      <w:r>
        <w:rPr>
          <w:lang w:val="fr-CA"/>
        </w:rPr>
        <w:t xml:space="preserve">que des projets récents examinés par le Comité exécutif, pour l’Argentine et le Mexique, </w:t>
      </w:r>
      <w:r w:rsidR="00B161C4">
        <w:rPr>
          <w:lang w:val="fr-CA"/>
        </w:rPr>
        <w:t>s’attaquai</w:t>
      </w:r>
      <w:r>
        <w:rPr>
          <w:lang w:val="fr-CA"/>
        </w:rPr>
        <w:t xml:space="preserve">ent </w:t>
      </w:r>
      <w:r w:rsidR="00B161C4">
        <w:rPr>
          <w:lang w:val="fr-CA"/>
        </w:rPr>
        <w:t>a</w:t>
      </w:r>
      <w:r>
        <w:rPr>
          <w:lang w:val="fr-CA"/>
        </w:rPr>
        <w:t xml:space="preserve">u contrôle des émissions de HFC-23 </w:t>
      </w:r>
      <w:r w:rsidR="00B161C4">
        <w:rPr>
          <w:lang w:val="fr-CA"/>
        </w:rPr>
        <w:t>en</w:t>
      </w:r>
      <w:r>
        <w:rPr>
          <w:lang w:val="fr-CA"/>
        </w:rPr>
        <w:t>g</w:t>
      </w:r>
      <w:r w:rsidR="00B161C4">
        <w:rPr>
          <w:lang w:val="fr-CA"/>
        </w:rPr>
        <w:t>endré</w:t>
      </w:r>
      <w:r>
        <w:rPr>
          <w:lang w:val="fr-CA"/>
        </w:rPr>
        <w:t xml:space="preserve"> dans la production de HCFC-22, </w:t>
      </w:r>
      <w:r w:rsidR="00BC4278">
        <w:rPr>
          <w:lang w:val="fr-CA"/>
        </w:rPr>
        <w:t xml:space="preserve">mais </w:t>
      </w:r>
      <w:r>
        <w:rPr>
          <w:lang w:val="fr-CA"/>
        </w:rPr>
        <w:t xml:space="preserve">d’autres mesures d’atténuation </w:t>
      </w:r>
      <w:r w:rsidR="005F71D0">
        <w:rPr>
          <w:lang w:val="fr-CA"/>
        </w:rPr>
        <w:t>étaient</w:t>
      </w:r>
      <w:r>
        <w:rPr>
          <w:lang w:val="fr-CA"/>
        </w:rPr>
        <w:t xml:space="preserve"> requises de toute urgence. Il a constaté que le plan d’activités pour l’Inde incluait un financement préparatoire pour un éventuel projet de contrôle du sous-produit HFC-23 et </w:t>
      </w:r>
      <w:r w:rsidR="00B161C4">
        <w:rPr>
          <w:lang w:val="fr-CA"/>
        </w:rPr>
        <w:t xml:space="preserve">a </w:t>
      </w:r>
      <w:r>
        <w:rPr>
          <w:lang w:val="fr-CA"/>
        </w:rPr>
        <w:t>demandé de plus amples informations sur son état.  Il a rappelé aussi un écart dans l</w:t>
      </w:r>
      <w:r w:rsidR="00BC4278">
        <w:rPr>
          <w:lang w:val="fr-CA"/>
        </w:rPr>
        <w:t xml:space="preserve">es données déclarées en vertu de </w:t>
      </w:r>
      <w:r>
        <w:rPr>
          <w:lang w:val="fr-CA"/>
        </w:rPr>
        <w:t>l’article 7 au sujet des émissions de HFC-23 pour la Chine et attend la remise d’un rapport à ce sujet à la 93</w:t>
      </w:r>
      <w:r w:rsidRPr="00AC110E">
        <w:rPr>
          <w:vertAlign w:val="superscript"/>
          <w:lang w:val="fr-CA"/>
        </w:rPr>
        <w:t>e</w:t>
      </w:r>
      <w:r>
        <w:rPr>
          <w:lang w:val="fr-CA"/>
        </w:rPr>
        <w:t xml:space="preserve"> réunion du Comité exécutif, tout en prenant note aussi de</w:t>
      </w:r>
      <w:r w:rsidR="008322D2">
        <w:rPr>
          <w:lang w:val="fr-CA"/>
        </w:rPr>
        <w:t>s données encourageantes communiquées par la Chine sur la collecte et la destruction du HFC-23 dans le cadre du PGEPH du pays.</w:t>
      </w:r>
    </w:p>
    <w:p w14:paraId="4E2D37B5" w14:textId="3DF650F8" w:rsidR="008322D2" w:rsidRDefault="008322D2">
      <w:pPr>
        <w:pStyle w:val="StyleHeading1Para1Heading1CharHeading1Char3CharHeadin"/>
        <w:numPr>
          <w:ilvl w:val="0"/>
          <w:numId w:val="1"/>
        </w:numPr>
        <w:tabs>
          <w:tab w:val="clear" w:pos="0"/>
        </w:tabs>
        <w:rPr>
          <w:lang w:val="fr-CA"/>
        </w:rPr>
      </w:pPr>
      <w:r>
        <w:rPr>
          <w:lang w:val="fr-CA"/>
        </w:rPr>
        <w:t>Le représentant de l’Inde a confirmé que le plan d’activités incluait l’examen de projets reliés au HFC-23</w:t>
      </w:r>
      <w:r w:rsidR="00BC4278">
        <w:rPr>
          <w:lang w:val="fr-CA"/>
        </w:rPr>
        <w:t>,</w:t>
      </w:r>
      <w:r>
        <w:rPr>
          <w:lang w:val="fr-CA"/>
        </w:rPr>
        <w:t xml:space="preserve"> mais les consultations avec les parties prenantes ne s’étaient pas terminées à temps pour finaliser les processus internes d’approbation au niveau gouvernemental. </w:t>
      </w:r>
      <w:r w:rsidR="005F71D0">
        <w:rPr>
          <w:lang w:val="fr-CA"/>
        </w:rPr>
        <w:t xml:space="preserve"> </w:t>
      </w:r>
      <w:r>
        <w:rPr>
          <w:lang w:val="fr-CA"/>
        </w:rPr>
        <w:t xml:space="preserve">Le gouvernement </w:t>
      </w:r>
      <w:r w:rsidR="00BC4278">
        <w:rPr>
          <w:lang w:val="fr-CA"/>
        </w:rPr>
        <w:t xml:space="preserve">de son pays </w:t>
      </w:r>
      <w:r>
        <w:rPr>
          <w:lang w:val="fr-CA"/>
        </w:rPr>
        <w:t>a l’intention de soumettre une demande de financement préparatoire à la 93</w:t>
      </w:r>
      <w:r w:rsidRPr="008322D2">
        <w:rPr>
          <w:vertAlign w:val="superscript"/>
          <w:lang w:val="fr-CA"/>
        </w:rPr>
        <w:t>e</w:t>
      </w:r>
      <w:r>
        <w:rPr>
          <w:lang w:val="fr-CA"/>
        </w:rPr>
        <w:t xml:space="preserve"> réunion du Comité exécutif.</w:t>
      </w:r>
    </w:p>
    <w:p w14:paraId="6361B292" w14:textId="589B22C4" w:rsidR="008322D2" w:rsidRDefault="008322D2">
      <w:pPr>
        <w:pStyle w:val="StyleHeading1Para1Heading1CharHeading1Char3CharHeadin"/>
        <w:numPr>
          <w:ilvl w:val="0"/>
          <w:numId w:val="1"/>
        </w:numPr>
        <w:tabs>
          <w:tab w:val="clear" w:pos="0"/>
        </w:tabs>
        <w:rPr>
          <w:lang w:val="fr-CA"/>
        </w:rPr>
      </w:pPr>
      <w:r>
        <w:rPr>
          <w:lang w:val="fr-CA"/>
        </w:rPr>
        <w:t xml:space="preserve">Un autre membre a convenu aussi que des données récentes </w:t>
      </w:r>
      <w:r w:rsidR="00BC4278">
        <w:rPr>
          <w:lang w:val="fr-CA"/>
        </w:rPr>
        <w:t xml:space="preserve">provenant </w:t>
      </w:r>
      <w:r>
        <w:rPr>
          <w:lang w:val="fr-CA"/>
        </w:rPr>
        <w:t>des réseaux de su</w:t>
      </w:r>
      <w:r w:rsidR="00BC4278">
        <w:rPr>
          <w:lang w:val="fr-CA"/>
        </w:rPr>
        <w:t>ivi</w:t>
      </w:r>
      <w:r>
        <w:rPr>
          <w:lang w:val="fr-CA"/>
        </w:rPr>
        <w:t xml:space="preserve"> présentaient un portrait inquiétant de la croissance des émissions de HFC-23, le HFC </w:t>
      </w:r>
      <w:r w:rsidR="005F71D0">
        <w:rPr>
          <w:lang w:val="fr-CA"/>
        </w:rPr>
        <w:t>avec</w:t>
      </w:r>
      <w:r>
        <w:rPr>
          <w:lang w:val="fr-CA"/>
        </w:rPr>
        <w:t xml:space="preserve"> le potentiel de réchauffement de la planète le plus élevé.  Lorsque les premières mesures ont été effectuées en 2008, les concentrations de HFC-23 dans l’atmosphère étaient d’environ 21 particules par billion et depuis elles ont augmenté selon une progression linéaire </w:t>
      </w:r>
      <w:r w:rsidR="005F71D0">
        <w:rPr>
          <w:lang w:val="fr-CA"/>
        </w:rPr>
        <w:t xml:space="preserve">pour atteindre près </w:t>
      </w:r>
      <w:r>
        <w:rPr>
          <w:lang w:val="fr-CA"/>
        </w:rPr>
        <w:t xml:space="preserve">de 35 particules par billion.  Cette situation requiert une </w:t>
      </w:r>
      <w:r w:rsidR="00943EED">
        <w:rPr>
          <w:lang w:val="fr-CA"/>
        </w:rPr>
        <w:t>intervent</w:t>
      </w:r>
      <w:r>
        <w:rPr>
          <w:lang w:val="fr-CA"/>
        </w:rPr>
        <w:t>ion urgente de la part du Protocole de Montréal.</w:t>
      </w:r>
    </w:p>
    <w:p w14:paraId="7A8F807D" w14:textId="3D10F2F9" w:rsidR="008322D2" w:rsidRPr="008322D2" w:rsidRDefault="008322D2" w:rsidP="008322D2">
      <w:pPr>
        <w:pStyle w:val="StyleHeading1Para1Heading1CharHeading1Char3CharHeadin"/>
        <w:rPr>
          <w:b/>
          <w:bCs/>
          <w:lang w:val="fr-CA"/>
        </w:rPr>
      </w:pPr>
      <w:r>
        <w:rPr>
          <w:b/>
          <w:bCs/>
          <w:lang w:val="fr-CA"/>
        </w:rPr>
        <w:t>Point 6 de l’ordre du jour</w:t>
      </w:r>
      <w:r w:rsidR="000D1EA3">
        <w:rPr>
          <w:b/>
          <w:bCs/>
          <w:lang w:val="fr-CA"/>
        </w:rPr>
        <w:t> : Adoption du rapport</w:t>
      </w:r>
    </w:p>
    <w:p w14:paraId="485F3C9E" w14:textId="459CA673" w:rsidR="008322D2" w:rsidRDefault="008322D2" w:rsidP="008322D2">
      <w:pPr>
        <w:pStyle w:val="Heading1"/>
        <w:rPr>
          <w:lang w:val="fr-CA"/>
        </w:rPr>
      </w:pPr>
      <w:r>
        <w:rPr>
          <w:lang w:val="fr-CA"/>
        </w:rPr>
        <w:t>Le présent rapport a été révisé par le facilitateur et soumis au président du Comité exécutif pour être transmis à la 9</w:t>
      </w:r>
      <w:r w:rsidR="000D1EA3">
        <w:rPr>
          <w:lang w:val="fr-CA"/>
        </w:rPr>
        <w:t>2</w:t>
      </w:r>
      <w:r w:rsidRPr="00610910">
        <w:rPr>
          <w:vertAlign w:val="superscript"/>
          <w:lang w:val="fr-CA"/>
        </w:rPr>
        <w:t>e</w:t>
      </w:r>
      <w:r>
        <w:rPr>
          <w:lang w:val="fr-CA"/>
        </w:rPr>
        <w:t xml:space="preserve"> réunion du Comité exécutif.</w:t>
      </w:r>
    </w:p>
    <w:p w14:paraId="08A555F0" w14:textId="12A2EE42" w:rsidR="008322D2" w:rsidRDefault="008322D2" w:rsidP="008322D2">
      <w:pPr>
        <w:spacing w:after="240"/>
        <w:rPr>
          <w:b/>
          <w:bCs/>
          <w:lang w:val="fr-CA"/>
        </w:rPr>
      </w:pPr>
      <w:r>
        <w:rPr>
          <w:b/>
          <w:bCs/>
          <w:lang w:val="fr-CA"/>
        </w:rPr>
        <w:t xml:space="preserve">Point </w:t>
      </w:r>
      <w:r w:rsidR="000D1EA3">
        <w:rPr>
          <w:b/>
          <w:bCs/>
          <w:lang w:val="fr-CA"/>
        </w:rPr>
        <w:t>7</w:t>
      </w:r>
      <w:r>
        <w:rPr>
          <w:b/>
          <w:bCs/>
          <w:lang w:val="fr-CA"/>
        </w:rPr>
        <w:t xml:space="preserve"> de l’ordre du jour : Clôture </w:t>
      </w:r>
    </w:p>
    <w:p w14:paraId="49DE982D" w14:textId="01A21E20" w:rsidR="008322D2" w:rsidRDefault="008322D2" w:rsidP="008322D2">
      <w:pPr>
        <w:pStyle w:val="Heading1"/>
        <w:rPr>
          <w:lang w:val="fr-CA"/>
        </w:rPr>
      </w:pPr>
      <w:r>
        <w:rPr>
          <w:lang w:val="fr-CA"/>
        </w:rPr>
        <w:t xml:space="preserve">La réunion du Sous-groupe sur le secteur de la production s’est terminée à 9 </w:t>
      </w:r>
      <w:r w:rsidR="00BC4278">
        <w:rPr>
          <w:lang w:val="fr-CA"/>
        </w:rPr>
        <w:t>heures, le</w:t>
      </w:r>
      <w:r>
        <w:rPr>
          <w:lang w:val="fr-CA"/>
        </w:rPr>
        <w:t xml:space="preserve"> </w:t>
      </w:r>
      <w:r w:rsidR="000D1EA3">
        <w:rPr>
          <w:lang w:val="fr-CA"/>
        </w:rPr>
        <w:t>2 juin</w:t>
      </w:r>
      <w:r>
        <w:rPr>
          <w:lang w:val="fr-CA"/>
        </w:rPr>
        <w:t xml:space="preserve"> 202</w:t>
      </w:r>
      <w:r w:rsidR="000D1EA3">
        <w:rPr>
          <w:lang w:val="fr-CA"/>
        </w:rPr>
        <w:t>3</w:t>
      </w:r>
      <w:r>
        <w:rPr>
          <w:lang w:val="fr-CA"/>
        </w:rPr>
        <w:t>.</w:t>
      </w:r>
    </w:p>
    <w:p w14:paraId="1271981C" w14:textId="148E2FEF" w:rsidR="000D1EA3" w:rsidRDefault="000D1EA3" w:rsidP="000D1EA3">
      <w:pPr>
        <w:jc w:val="center"/>
        <w:rPr>
          <w:lang w:val="fr-CA"/>
        </w:rPr>
      </w:pPr>
      <w:r>
        <w:rPr>
          <w:lang w:val="fr-CA"/>
        </w:rPr>
        <w:t>_____________</w:t>
      </w:r>
    </w:p>
    <w:p w14:paraId="5E5E02DB" w14:textId="77777777" w:rsidR="000D1EA3" w:rsidRPr="000D1EA3" w:rsidRDefault="000D1EA3" w:rsidP="000D1EA3">
      <w:pPr>
        <w:jc w:val="center"/>
        <w:rPr>
          <w:lang w:val="fr-CA"/>
        </w:rPr>
      </w:pPr>
    </w:p>
    <w:sectPr w:rsidR="000D1EA3" w:rsidRPr="000D1EA3" w:rsidSect="00BC1398">
      <w:headerReference w:type="even" r:id="rId13"/>
      <w:headerReference w:type="default" r:id="rId14"/>
      <w:footerReference w:type="even" r:id="rId15"/>
      <w:footerReference w:type="default" r:id="rId16"/>
      <w:headerReference w:type="first" r:id="rId17"/>
      <w:footerReference w:type="first" r:id="rId18"/>
      <w:pgSz w:w="12240" w:h="15840" w:code="1"/>
      <w:pgMar w:top="1276"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56FAC" w14:textId="77777777" w:rsidR="0047359F" w:rsidRDefault="0047359F">
      <w:r>
        <w:separator/>
      </w:r>
    </w:p>
  </w:endnote>
  <w:endnote w:type="continuationSeparator" w:id="0">
    <w:p w14:paraId="6B574372" w14:textId="77777777" w:rsidR="0047359F" w:rsidRDefault="00473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393866"/>
      <w:docPartObj>
        <w:docPartGallery w:val="Page Numbers (Bottom of Page)"/>
        <w:docPartUnique/>
      </w:docPartObj>
    </w:sdtPr>
    <w:sdtEndPr>
      <w:rPr>
        <w:noProof/>
      </w:rPr>
    </w:sdtEndPr>
    <w:sdtContent>
      <w:p w14:paraId="510633F6" w14:textId="56DBE744" w:rsidR="006A079F" w:rsidRDefault="006A07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8EB52D" w14:textId="77777777" w:rsidR="006A079F" w:rsidRDefault="006A0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077451"/>
      <w:docPartObj>
        <w:docPartGallery w:val="Page Numbers (Bottom of Page)"/>
        <w:docPartUnique/>
      </w:docPartObj>
    </w:sdtPr>
    <w:sdtEndPr>
      <w:rPr>
        <w:noProof/>
      </w:rPr>
    </w:sdtEndPr>
    <w:sdtContent>
      <w:p w14:paraId="2BB45440" w14:textId="47109967" w:rsidR="006A079F" w:rsidRDefault="006A07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F134D1" w14:textId="77777777" w:rsidR="006A079F" w:rsidRDefault="006A07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245769"/>
      <w:docPartObj>
        <w:docPartGallery w:val="Page Numbers (Bottom of Page)"/>
        <w:docPartUnique/>
      </w:docPartObj>
    </w:sdtPr>
    <w:sdtEndPr>
      <w:rPr>
        <w:noProof/>
      </w:rPr>
    </w:sdtEndPr>
    <w:sdtContent>
      <w:p w14:paraId="69198A2A" w14:textId="7FA230BB" w:rsidR="002D2878" w:rsidRDefault="002D28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9376F" w14:textId="77777777" w:rsidR="002D2878" w:rsidRDefault="002D2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12AD3" w14:textId="77777777" w:rsidR="0047359F" w:rsidRDefault="0047359F">
      <w:r>
        <w:separator/>
      </w:r>
    </w:p>
  </w:footnote>
  <w:footnote w:type="continuationSeparator" w:id="0">
    <w:p w14:paraId="07909B7E" w14:textId="77777777" w:rsidR="0047359F" w:rsidRDefault="0047359F">
      <w:r>
        <w:continuationSeparator/>
      </w:r>
    </w:p>
  </w:footnote>
  <w:footnote w:id="1">
    <w:p w14:paraId="490E3D74" w14:textId="4DB7F109" w:rsidR="00B07E1C" w:rsidRDefault="00B07E1C">
      <w:pPr>
        <w:pStyle w:val="FootnoteText"/>
        <w:rPr>
          <w:lang w:val="fr-CA"/>
        </w:rPr>
      </w:pPr>
      <w:r>
        <w:rPr>
          <w:rStyle w:val="FootnoteReference"/>
        </w:rPr>
        <w:footnoteRef/>
      </w:r>
      <w:r>
        <w:t xml:space="preserve"> </w:t>
      </w:r>
      <w:r>
        <w:rPr>
          <w:lang w:val="fr-CA"/>
        </w:rPr>
        <w:t>UNEP/)</w:t>
      </w:r>
      <w:proofErr w:type="spellStart"/>
      <w:r>
        <w:rPr>
          <w:lang w:val="fr-CA"/>
        </w:rPr>
        <w:t>zL.Pro</w:t>
      </w:r>
      <w:proofErr w:type="spellEnd"/>
      <w:r>
        <w:rPr>
          <w:lang w:val="fr-CA"/>
        </w:rPr>
        <w:t>/</w:t>
      </w:r>
      <w:proofErr w:type="spellStart"/>
      <w:r>
        <w:rPr>
          <w:lang w:val="fr-CA"/>
        </w:rPr>
        <w:t>ExCom</w:t>
      </w:r>
      <w:proofErr w:type="spellEnd"/>
      <w:r>
        <w:rPr>
          <w:lang w:val="fr-CA"/>
        </w:rPr>
        <w:t>/9</w:t>
      </w:r>
      <w:r w:rsidR="0036467B">
        <w:rPr>
          <w:lang w:val="fr-CA"/>
        </w:rPr>
        <w:t>2</w:t>
      </w:r>
      <w:r>
        <w:rPr>
          <w:lang w:val="fr-CA"/>
        </w:rPr>
        <w:t>/1</w:t>
      </w:r>
    </w:p>
    <w:p w14:paraId="774913A6" w14:textId="77777777" w:rsidR="00FD7CA9" w:rsidRPr="00B07E1C" w:rsidRDefault="00FD7CA9">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13E0E" w14:textId="77777777" w:rsidR="002D2878" w:rsidRDefault="002D2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0BF1" w14:textId="77777777" w:rsidR="002D2878" w:rsidRDefault="002D2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A828"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589"/>
        </w:tabs>
        <w:ind w:left="1571"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1C"/>
    <w:rsid w:val="00006F89"/>
    <w:rsid w:val="0005110A"/>
    <w:rsid w:val="0005152E"/>
    <w:rsid w:val="00055A51"/>
    <w:rsid w:val="00062325"/>
    <w:rsid w:val="00064659"/>
    <w:rsid w:val="000863DD"/>
    <w:rsid w:val="00094D95"/>
    <w:rsid w:val="000D0C5B"/>
    <w:rsid w:val="000D18A2"/>
    <w:rsid w:val="000D1EA3"/>
    <w:rsid w:val="000F6C8E"/>
    <w:rsid w:val="001240A1"/>
    <w:rsid w:val="0014585D"/>
    <w:rsid w:val="00177D11"/>
    <w:rsid w:val="001C3D0C"/>
    <w:rsid w:val="001D2377"/>
    <w:rsid w:val="001D4CE7"/>
    <w:rsid w:val="001E626D"/>
    <w:rsid w:val="001F2E9B"/>
    <w:rsid w:val="0020419C"/>
    <w:rsid w:val="00243269"/>
    <w:rsid w:val="00260DA8"/>
    <w:rsid w:val="00265AF0"/>
    <w:rsid w:val="002809BB"/>
    <w:rsid w:val="00292B60"/>
    <w:rsid w:val="0029421A"/>
    <w:rsid w:val="002A04DE"/>
    <w:rsid w:val="002A6D46"/>
    <w:rsid w:val="002C038D"/>
    <w:rsid w:val="002C06D4"/>
    <w:rsid w:val="002C3A12"/>
    <w:rsid w:val="002D2878"/>
    <w:rsid w:val="002F0B57"/>
    <w:rsid w:val="003029F8"/>
    <w:rsid w:val="00341BD3"/>
    <w:rsid w:val="0036467B"/>
    <w:rsid w:val="0038114A"/>
    <w:rsid w:val="00393011"/>
    <w:rsid w:val="003A0CA4"/>
    <w:rsid w:val="003B6A57"/>
    <w:rsid w:val="003C34A3"/>
    <w:rsid w:val="003D08FB"/>
    <w:rsid w:val="00401857"/>
    <w:rsid w:val="00403EDF"/>
    <w:rsid w:val="00416CB3"/>
    <w:rsid w:val="00441083"/>
    <w:rsid w:val="00444619"/>
    <w:rsid w:val="0047359F"/>
    <w:rsid w:val="004837F1"/>
    <w:rsid w:val="004A78D9"/>
    <w:rsid w:val="004B1B59"/>
    <w:rsid w:val="004C2C87"/>
    <w:rsid w:val="004D6D00"/>
    <w:rsid w:val="004D7878"/>
    <w:rsid w:val="004E18B7"/>
    <w:rsid w:val="004E3A36"/>
    <w:rsid w:val="00520E5A"/>
    <w:rsid w:val="00521C5E"/>
    <w:rsid w:val="005343D8"/>
    <w:rsid w:val="00561AD4"/>
    <w:rsid w:val="005625D5"/>
    <w:rsid w:val="00564EA9"/>
    <w:rsid w:val="005A2631"/>
    <w:rsid w:val="005A6FD4"/>
    <w:rsid w:val="005B3CAD"/>
    <w:rsid w:val="005C278F"/>
    <w:rsid w:val="005E1AD2"/>
    <w:rsid w:val="005E4CDA"/>
    <w:rsid w:val="005F71D0"/>
    <w:rsid w:val="00605093"/>
    <w:rsid w:val="00607829"/>
    <w:rsid w:val="00610910"/>
    <w:rsid w:val="0062534B"/>
    <w:rsid w:val="00626546"/>
    <w:rsid w:val="00634C30"/>
    <w:rsid w:val="0064580E"/>
    <w:rsid w:val="006A079F"/>
    <w:rsid w:val="006C5D12"/>
    <w:rsid w:val="007034FA"/>
    <w:rsid w:val="00717B0C"/>
    <w:rsid w:val="007314A4"/>
    <w:rsid w:val="00741DA0"/>
    <w:rsid w:val="0075750B"/>
    <w:rsid w:val="00760E03"/>
    <w:rsid w:val="00775FBB"/>
    <w:rsid w:val="007E0450"/>
    <w:rsid w:val="007E0BDC"/>
    <w:rsid w:val="008322D2"/>
    <w:rsid w:val="00841DAC"/>
    <w:rsid w:val="00843511"/>
    <w:rsid w:val="00847BDB"/>
    <w:rsid w:val="00856A53"/>
    <w:rsid w:val="008640E8"/>
    <w:rsid w:val="008A772E"/>
    <w:rsid w:val="008E5F39"/>
    <w:rsid w:val="008F66BD"/>
    <w:rsid w:val="00907DBF"/>
    <w:rsid w:val="0091161A"/>
    <w:rsid w:val="00912332"/>
    <w:rsid w:val="00943BED"/>
    <w:rsid w:val="00943EED"/>
    <w:rsid w:val="0095135B"/>
    <w:rsid w:val="00972E99"/>
    <w:rsid w:val="0099061F"/>
    <w:rsid w:val="009A5180"/>
    <w:rsid w:val="009A5206"/>
    <w:rsid w:val="009F6617"/>
    <w:rsid w:val="009F709E"/>
    <w:rsid w:val="00A02BDD"/>
    <w:rsid w:val="00A0327B"/>
    <w:rsid w:val="00A442CE"/>
    <w:rsid w:val="00A621F2"/>
    <w:rsid w:val="00A97E14"/>
    <w:rsid w:val="00AC013C"/>
    <w:rsid w:val="00AC110E"/>
    <w:rsid w:val="00AD2C8F"/>
    <w:rsid w:val="00AD56D5"/>
    <w:rsid w:val="00AD761E"/>
    <w:rsid w:val="00AE63D8"/>
    <w:rsid w:val="00AF3E10"/>
    <w:rsid w:val="00B07E1C"/>
    <w:rsid w:val="00B122F0"/>
    <w:rsid w:val="00B161C4"/>
    <w:rsid w:val="00B175A3"/>
    <w:rsid w:val="00B55AA4"/>
    <w:rsid w:val="00B811F2"/>
    <w:rsid w:val="00B87C98"/>
    <w:rsid w:val="00BC1398"/>
    <w:rsid w:val="00BC3C7D"/>
    <w:rsid w:val="00BC4278"/>
    <w:rsid w:val="00BF16D1"/>
    <w:rsid w:val="00C01FD4"/>
    <w:rsid w:val="00C03B34"/>
    <w:rsid w:val="00C16E3F"/>
    <w:rsid w:val="00C32F8C"/>
    <w:rsid w:val="00C34C3E"/>
    <w:rsid w:val="00C6443E"/>
    <w:rsid w:val="00C9547D"/>
    <w:rsid w:val="00CC2B33"/>
    <w:rsid w:val="00D7654A"/>
    <w:rsid w:val="00D77949"/>
    <w:rsid w:val="00D86D26"/>
    <w:rsid w:val="00DA100D"/>
    <w:rsid w:val="00DA2EAB"/>
    <w:rsid w:val="00DB4E64"/>
    <w:rsid w:val="00DD0A7B"/>
    <w:rsid w:val="00DD3433"/>
    <w:rsid w:val="00DD6570"/>
    <w:rsid w:val="00DD6C88"/>
    <w:rsid w:val="00DF149E"/>
    <w:rsid w:val="00DF7AB8"/>
    <w:rsid w:val="00E348C6"/>
    <w:rsid w:val="00E42445"/>
    <w:rsid w:val="00E473BD"/>
    <w:rsid w:val="00E50EA0"/>
    <w:rsid w:val="00E54871"/>
    <w:rsid w:val="00E60D9C"/>
    <w:rsid w:val="00EA267E"/>
    <w:rsid w:val="00EB2067"/>
    <w:rsid w:val="00EE5C5B"/>
    <w:rsid w:val="00F218B0"/>
    <w:rsid w:val="00F23F7C"/>
    <w:rsid w:val="00F37A42"/>
    <w:rsid w:val="00F42146"/>
    <w:rsid w:val="00F557F5"/>
    <w:rsid w:val="00FA7345"/>
    <w:rsid w:val="00FC0D87"/>
    <w:rsid w:val="00FC5578"/>
    <w:rsid w:val="00FD22FE"/>
    <w:rsid w:val="00FD27E1"/>
    <w:rsid w:val="00FD7CA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8DCBD"/>
  <w15:docId w15:val="{31CD2AC9-284D-724F-B2F7-7AD4A5E2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tabs>
        <w:tab w:val="clear" w:pos="-589"/>
        <w:tab w:val="num" w:pos="0"/>
      </w:tabs>
      <w:spacing w:after="240"/>
      <w:ind w:left="216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EndnoteText">
    <w:name w:val="endnote text"/>
    <w:basedOn w:val="Normal"/>
    <w:link w:val="EndnoteTextChar"/>
    <w:uiPriority w:val="99"/>
    <w:semiHidden/>
    <w:unhideWhenUsed/>
    <w:rsid w:val="00FD7CA9"/>
    <w:rPr>
      <w:sz w:val="20"/>
      <w:szCs w:val="20"/>
    </w:rPr>
  </w:style>
  <w:style w:type="character" w:customStyle="1" w:styleId="EndnoteTextChar">
    <w:name w:val="Endnote Text Char"/>
    <w:basedOn w:val="DefaultParagraphFont"/>
    <w:link w:val="EndnoteText"/>
    <w:uiPriority w:val="99"/>
    <w:semiHidden/>
    <w:rsid w:val="00FD7CA9"/>
    <w:rPr>
      <w:lang w:val="en-GB"/>
    </w:rPr>
  </w:style>
  <w:style w:type="character" w:styleId="EndnoteReference">
    <w:name w:val="endnote reference"/>
    <w:basedOn w:val="DefaultParagraphFont"/>
    <w:uiPriority w:val="99"/>
    <w:semiHidden/>
    <w:unhideWhenUsed/>
    <w:rsid w:val="00FD7C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4A4F3B95E3684DAFEC5A278F764792" ma:contentTypeVersion="5" ma:contentTypeDescription="Create a new document." ma:contentTypeScope="" ma:versionID="7eeb34ee4be7fd6f6b1161f7e96d950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799E79-93B6-4596-AF44-EBD1DFC840A0}"/>
</file>

<file path=customXml/itemProps2.xml><?xml version="1.0" encoding="utf-8"?>
<ds:datastoreItem xmlns:ds="http://schemas.openxmlformats.org/officeDocument/2006/customXml" ds:itemID="{6C7B0D66-6BE3-4C9D-B47C-118FB8E0E736}"/>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05636FBD-6659-47EF-8B51-299076908886}"/>
</file>

<file path=docProps/app.xml><?xml version="1.0" encoding="utf-8"?>
<Properties xmlns="http://schemas.openxmlformats.org/officeDocument/2006/extended-properties" xmlns:vt="http://schemas.openxmlformats.org/officeDocument/2006/docPropsVTypes">
  <Template>Normal</Template>
  <TotalTime>49</TotalTime>
  <Pages>4</Pages>
  <Words>2134</Words>
  <Characters>11818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Rapport du sous-groupe sur le secteur de la production</vt:lpstr>
    </vt:vector>
  </TitlesOfParts>
  <Company>UNMFS</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                                                                                                             .</dc:title>
  <dc:creator>Microsoft Office User</dc:creator>
  <cp:lastModifiedBy>HBE</cp:lastModifiedBy>
  <cp:revision>7</cp:revision>
  <cp:lastPrinted>2023-07-03T22:07:00Z</cp:lastPrinted>
  <dcterms:created xsi:type="dcterms:W3CDTF">2023-07-04T21:55:00Z</dcterms:created>
  <dcterms:modified xsi:type="dcterms:W3CDTF">2023-07-07T14:59:00Z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UNEP/OzL.Pro/ExCom/91/71</vt:lpwstr>
  </property>
  <property fmtid="{D5CDD505-2E9C-101B-9397-08002B2CF9AE}" pid="3" name="Revision date">
    <vt:lpwstr>6/2/2023</vt:lpwstr>
  </property>
  <property fmtid="{D5CDD505-2E9C-101B-9397-08002B2CF9AE}" pid="4" name="ContentTypeId">
    <vt:lpwstr>0x010100DC4A4F3B95E3684DAFEC5A278F764792</vt:lpwstr>
  </property>
  <property fmtid="{D5CDD505-2E9C-101B-9397-08002B2CF9AE}" pid="5" name="Order">
    <vt:r8>18205000</vt:r8>
  </property>
  <property fmtid="{D5CDD505-2E9C-101B-9397-08002B2CF9AE}" pid="7" name="lcf76f155ced4ddcb4097134ff3c332f">
    <vt:lpwstr/>
  </property>
</Properties>
</file>