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D4CE7" w:rsidRDefault="00E60D9C">
            <w:pPr>
              <w:rPr>
                <w:lang w:val="en-CA"/>
              </w:rPr>
            </w:pPr>
            <w:r w:rsidRPr="001D4CE7">
              <w:rPr>
                <w:lang w:val="en-CA"/>
              </w:rPr>
              <w:t>Distr.</w:t>
            </w:r>
          </w:p>
          <w:p w:rsidR="00441083" w:rsidRPr="001D4CE7" w:rsidRDefault="00E60D9C">
            <w:pPr>
              <w:rPr>
                <w:lang w:val="en-CA"/>
              </w:rPr>
            </w:pPr>
            <w:r w:rsidRPr="001D4CE7">
              <w:rPr>
                <w:lang w:val="en-CA"/>
              </w:rPr>
              <w:t>GENERAL</w:t>
            </w:r>
          </w:p>
          <w:p w:rsidR="00441083" w:rsidRPr="001D4CE7" w:rsidRDefault="00441083">
            <w:pPr>
              <w:rPr>
                <w:lang w:val="en-CA"/>
              </w:rPr>
            </w:pPr>
          </w:p>
          <w:p w:rsidR="00441083" w:rsidRDefault="00E60D9C">
            <w:pPr>
              <w:rPr>
                <w:lang w:val="en-CA"/>
              </w:rPr>
            </w:pPr>
            <w:r>
              <w:fldChar w:fldCharType="begin"/>
            </w:r>
            <w:r>
              <w:rPr>
                <w:lang w:val="en-CA"/>
              </w:rPr>
              <w:instrText xml:space="preserve"> DOCPROPERTY "Document number"  \* MERGEFORMAT </w:instrText>
            </w:r>
            <w:r>
              <w:fldChar w:fldCharType="separate"/>
            </w:r>
            <w:r w:rsidR="000669A6">
              <w:rPr>
                <w:lang w:val="en-CA"/>
              </w:rPr>
              <w:t>UNEP/OzL.Pro/ExCom/83/34</w:t>
            </w:r>
            <w:r>
              <w:fldChar w:fldCharType="end"/>
            </w:r>
          </w:p>
          <w:p w:rsidR="002F0B57" w:rsidRPr="003F73BA" w:rsidRDefault="002F0B57" w:rsidP="001D4CE7">
            <w:r>
              <w:fldChar w:fldCharType="begin"/>
            </w:r>
            <w:r>
              <w:instrText xml:space="preserve"> DOCPROPERTY "Revision date" \@ "d MMMM YYYY"  \* MERGEFORMAT </w:instrText>
            </w:r>
            <w:r>
              <w:fldChar w:fldCharType="separate"/>
            </w:r>
            <w:r w:rsidR="000669A6">
              <w:t>3 May 2019</w:t>
            </w:r>
            <w:r>
              <w:fldChar w:fldCharType="end"/>
            </w:r>
          </w:p>
          <w:p w:rsidR="00441083" w:rsidRDefault="00FC5578">
            <w:pPr>
              <w:rPr>
                <w:caps/>
                <w:lang w:val="fr-FR"/>
              </w:rPr>
            </w:pPr>
            <w:r w:rsidRPr="00AE63D8">
              <w:rPr>
                <w:caps/>
                <w:lang w:val="en-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B75476">
        <w:rPr>
          <w:lang w:val="fr-FR"/>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B75476" w:rsidRPr="00B75476" w:rsidRDefault="00B75476" w:rsidP="00B75476">
      <w:pPr>
        <w:jc w:val="center"/>
        <w:rPr>
          <w:b/>
          <w:lang w:val="fr-FR"/>
        </w:rPr>
      </w:pPr>
      <w:r w:rsidRPr="00B75476">
        <w:rPr>
          <w:b/>
          <w:lang w:val="fr-FR"/>
        </w:rPr>
        <w:t>PROPOSITION DE PROJET : PAKISTAN</w:t>
      </w:r>
    </w:p>
    <w:p w:rsidR="00B75476" w:rsidRPr="008605C4" w:rsidRDefault="00B75476" w:rsidP="00B75476">
      <w:pPr>
        <w:jc w:val="center"/>
        <w:rPr>
          <w:b/>
          <w:lang w:val="fr-FR"/>
        </w:rPr>
      </w:pPr>
    </w:p>
    <w:p w:rsidR="00B75476" w:rsidRPr="008605C4" w:rsidRDefault="00B75476" w:rsidP="00B75476">
      <w:pPr>
        <w:jc w:val="center"/>
        <w:rPr>
          <w:b/>
          <w:lang w:val="fr-FR"/>
        </w:rPr>
      </w:pPr>
    </w:p>
    <w:p w:rsidR="00B75476" w:rsidRPr="008605C4" w:rsidRDefault="00B75476" w:rsidP="00B75476">
      <w:pPr>
        <w:rPr>
          <w:lang w:val="fr-FR"/>
        </w:rPr>
      </w:pPr>
    </w:p>
    <w:p w:rsidR="00B75476" w:rsidRPr="00B75476" w:rsidRDefault="00B75476" w:rsidP="00B75476">
      <w:pPr>
        <w:ind w:firstLine="720"/>
        <w:rPr>
          <w:lang w:val="fr-FR"/>
        </w:rPr>
      </w:pPr>
      <w:r w:rsidRPr="00B75476">
        <w:rPr>
          <w:lang w:val="fr-FR"/>
        </w:rPr>
        <w:t xml:space="preserve">Le présent document contient les observations et la recommandation du Secrétariat du Fonds sur la proposition de projet suivante : </w:t>
      </w:r>
    </w:p>
    <w:p w:rsidR="00B75476" w:rsidRPr="008605C4" w:rsidRDefault="00B75476" w:rsidP="00B75476">
      <w:pPr>
        <w:rPr>
          <w:lang w:val="fr-FR"/>
        </w:rPr>
      </w:pPr>
    </w:p>
    <w:p w:rsidR="00B75476" w:rsidRPr="00894E52" w:rsidRDefault="00B75476" w:rsidP="00B75476">
      <w:pPr>
        <w:rPr>
          <w:u w:val="single"/>
        </w:rPr>
      </w:pPr>
      <w:r>
        <w:rPr>
          <w:u w:val="single"/>
        </w:rPr>
        <w:t>Élimination</w:t>
      </w:r>
    </w:p>
    <w:p w:rsidR="00B75476" w:rsidRPr="00894E52" w:rsidRDefault="00B75476" w:rsidP="00B7547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75476" w:rsidRPr="00894E52" w:rsidTr="00A114AE">
        <w:tc>
          <w:tcPr>
            <w:tcW w:w="6941" w:type="dxa"/>
          </w:tcPr>
          <w:p w:rsidR="00B75476" w:rsidRPr="00894E52" w:rsidRDefault="00B75476" w:rsidP="00B75476">
            <w:pPr>
              <w:pStyle w:val="ListParagraph"/>
              <w:numPr>
                <w:ilvl w:val="0"/>
                <w:numId w:val="23"/>
              </w:numPr>
              <w:ind w:hanging="830"/>
            </w:pPr>
            <w:r>
              <w:t>Plan de gestion de l’élimination des HCFC (phase II, deuxième tranche)</w:t>
            </w:r>
          </w:p>
        </w:tc>
        <w:tc>
          <w:tcPr>
            <w:tcW w:w="2409" w:type="dxa"/>
          </w:tcPr>
          <w:p w:rsidR="00B75476" w:rsidRPr="00894E52" w:rsidRDefault="00B75476" w:rsidP="00A114AE">
            <w:pPr>
              <w:jc w:val="right"/>
            </w:pPr>
            <w:r>
              <w:t>ONUDI et PNUE</w:t>
            </w:r>
          </w:p>
        </w:tc>
      </w:tr>
    </w:tbl>
    <w:p w:rsidR="00B75476" w:rsidRPr="00894E52" w:rsidRDefault="00B75476" w:rsidP="00B75476">
      <w:pPr>
        <w:rPr>
          <w:lang w:val="en-CA"/>
        </w:rPr>
      </w:pPr>
    </w:p>
    <w:p w:rsidR="00B75476" w:rsidRPr="00894E52" w:rsidRDefault="00B75476" w:rsidP="00B75476">
      <w:pPr>
        <w:rPr>
          <w:lang w:val="en-CA"/>
        </w:rPr>
      </w:pPr>
    </w:p>
    <w:p w:rsidR="00B75476" w:rsidRPr="00894E52" w:rsidRDefault="00B75476" w:rsidP="00B75476">
      <w:pPr>
        <w:rPr>
          <w:lang w:val="en-CA"/>
        </w:rPr>
      </w:pPr>
    </w:p>
    <w:p w:rsidR="00B75476" w:rsidRPr="00894E52" w:rsidRDefault="00B75476" w:rsidP="00B75476">
      <w:r>
        <w:br w:type="page"/>
      </w:r>
    </w:p>
    <w:p w:rsidR="00B75476" w:rsidRPr="00B75476" w:rsidRDefault="00B75476" w:rsidP="00B75476">
      <w:pPr>
        <w:jc w:val="center"/>
        <w:rPr>
          <w:b/>
          <w:lang w:val="fr-FR"/>
        </w:rPr>
      </w:pPr>
      <w:r w:rsidRPr="00B75476">
        <w:rPr>
          <w:b/>
          <w:lang w:val="fr-FR"/>
        </w:rPr>
        <w:lastRenderedPageBreak/>
        <w:t>FICHE D’ÉVALUATION DE PROJET – PROJETS PLURIANNUELS</w:t>
      </w:r>
    </w:p>
    <w:p w:rsidR="00B75476" w:rsidRPr="008605C4" w:rsidRDefault="00B75476" w:rsidP="00B75476">
      <w:pPr>
        <w:jc w:val="center"/>
        <w:rPr>
          <w:lang w:val="fr-FR"/>
        </w:rPr>
      </w:pPr>
    </w:p>
    <w:p w:rsidR="00B75476" w:rsidRPr="00894E52" w:rsidRDefault="00B75476" w:rsidP="00B75476">
      <w:pPr>
        <w:jc w:val="center"/>
        <w:rPr>
          <w:b/>
        </w:rPr>
      </w:pPr>
      <w:r>
        <w:rPr>
          <w:b/>
        </w:rPr>
        <w:t>Pakistan</w:t>
      </w:r>
    </w:p>
    <w:p w:rsidR="00B75476" w:rsidRPr="00894E52" w:rsidRDefault="00B75476" w:rsidP="00B75476">
      <w:pPr>
        <w:jc w:val="center"/>
        <w:rPr>
          <w:lang w:val="en-CA"/>
        </w:rPr>
      </w:pPr>
    </w:p>
    <w:tbl>
      <w:tblPr>
        <w:tblStyle w:val="TableGrid"/>
        <w:tblW w:w="10000" w:type="dxa"/>
        <w:tblLook w:val="04A0" w:firstRow="1" w:lastRow="0" w:firstColumn="1" w:lastColumn="0" w:noHBand="0" w:noVBand="1"/>
      </w:tblPr>
      <w:tblGrid>
        <w:gridCol w:w="2830"/>
        <w:gridCol w:w="2390"/>
        <w:gridCol w:w="2390"/>
        <w:gridCol w:w="2390"/>
      </w:tblGrid>
      <w:tr w:rsidR="00B75476" w:rsidRPr="00894E52" w:rsidTr="00A114AE">
        <w:trPr>
          <w:trHeight w:val="240"/>
        </w:trPr>
        <w:tc>
          <w:tcPr>
            <w:tcW w:w="2830" w:type="dxa"/>
            <w:shd w:val="clear" w:color="auto" w:fill="auto"/>
          </w:tcPr>
          <w:p w:rsidR="00B75476" w:rsidRPr="00894E52" w:rsidRDefault="00B75476" w:rsidP="00A114AE">
            <w:pPr>
              <w:spacing w:after="80"/>
              <w:jc w:val="left"/>
              <w:rPr>
                <w:b/>
                <w:sz w:val="18"/>
              </w:rPr>
            </w:pPr>
            <w:r>
              <w:rPr>
                <w:b/>
                <w:sz w:val="18"/>
              </w:rPr>
              <w:t>(I) TITRE DU PROJET</w:t>
            </w:r>
          </w:p>
        </w:tc>
        <w:tc>
          <w:tcPr>
            <w:tcW w:w="2390" w:type="dxa"/>
            <w:shd w:val="clear" w:color="auto" w:fill="auto"/>
          </w:tcPr>
          <w:p w:rsidR="00B75476" w:rsidRPr="00894E52" w:rsidRDefault="00B75476" w:rsidP="00A114AE">
            <w:pPr>
              <w:spacing w:after="80"/>
              <w:jc w:val="center"/>
              <w:rPr>
                <w:b/>
                <w:sz w:val="18"/>
              </w:rPr>
            </w:pPr>
            <w:r>
              <w:rPr>
                <w:b/>
                <w:sz w:val="18"/>
              </w:rPr>
              <w:t>AGENCE</w:t>
            </w:r>
          </w:p>
        </w:tc>
        <w:tc>
          <w:tcPr>
            <w:tcW w:w="2390" w:type="dxa"/>
            <w:shd w:val="clear" w:color="auto" w:fill="auto"/>
          </w:tcPr>
          <w:p w:rsidR="00B75476" w:rsidRPr="00894E52" w:rsidRDefault="00B75476" w:rsidP="00A114AE">
            <w:pPr>
              <w:spacing w:after="80"/>
              <w:jc w:val="center"/>
              <w:rPr>
                <w:b/>
                <w:sz w:val="18"/>
              </w:rPr>
            </w:pPr>
            <w:r>
              <w:rPr>
                <w:b/>
                <w:sz w:val="18"/>
              </w:rPr>
              <w:t>RÉUNION D’APPROBATION</w:t>
            </w:r>
          </w:p>
        </w:tc>
        <w:tc>
          <w:tcPr>
            <w:tcW w:w="2390" w:type="dxa"/>
            <w:shd w:val="clear" w:color="auto" w:fill="auto"/>
          </w:tcPr>
          <w:p w:rsidR="00B75476" w:rsidRPr="00894E52" w:rsidRDefault="00B75476" w:rsidP="00A114AE">
            <w:pPr>
              <w:spacing w:after="80"/>
              <w:jc w:val="center"/>
              <w:rPr>
                <w:b/>
                <w:sz w:val="18"/>
              </w:rPr>
            </w:pPr>
            <w:r>
              <w:rPr>
                <w:b/>
                <w:sz w:val="18"/>
              </w:rPr>
              <w:t>MESURE DE CONTRÔLE</w:t>
            </w:r>
          </w:p>
        </w:tc>
      </w:tr>
      <w:tr w:rsidR="00B75476" w:rsidRPr="00894E52" w:rsidTr="00A114AE">
        <w:trPr>
          <w:trHeight w:val="240"/>
        </w:trPr>
        <w:tc>
          <w:tcPr>
            <w:tcW w:w="2830" w:type="dxa"/>
            <w:shd w:val="clear" w:color="auto" w:fill="auto"/>
          </w:tcPr>
          <w:p w:rsidR="00B75476" w:rsidRPr="00B75476" w:rsidRDefault="00B75476" w:rsidP="00A114AE">
            <w:pPr>
              <w:spacing w:after="80"/>
              <w:jc w:val="center"/>
              <w:rPr>
                <w:sz w:val="18"/>
                <w:lang w:val="fr-FR"/>
              </w:rPr>
            </w:pPr>
            <w:r w:rsidRPr="00B75476">
              <w:rPr>
                <w:sz w:val="18"/>
                <w:lang w:val="fr-FR"/>
              </w:rPr>
              <w:t>Plan de gestion de l’élimination des HCFC (phase II)</w:t>
            </w:r>
          </w:p>
        </w:tc>
        <w:tc>
          <w:tcPr>
            <w:tcW w:w="2390" w:type="dxa"/>
            <w:shd w:val="clear" w:color="auto" w:fill="auto"/>
          </w:tcPr>
          <w:p w:rsidR="00B75476" w:rsidRPr="00894E52" w:rsidRDefault="00B75476" w:rsidP="00A114AE">
            <w:pPr>
              <w:spacing w:after="80"/>
              <w:jc w:val="center"/>
              <w:rPr>
                <w:sz w:val="18"/>
              </w:rPr>
            </w:pPr>
            <w:r>
              <w:rPr>
                <w:sz w:val="18"/>
              </w:rPr>
              <w:t>PNUE, ONUDI (principale)</w:t>
            </w:r>
          </w:p>
        </w:tc>
        <w:tc>
          <w:tcPr>
            <w:tcW w:w="2390" w:type="dxa"/>
            <w:shd w:val="clear" w:color="auto" w:fill="auto"/>
          </w:tcPr>
          <w:p w:rsidR="00B75476" w:rsidRPr="00894E52" w:rsidRDefault="00B75476" w:rsidP="00A114AE">
            <w:pPr>
              <w:spacing w:after="80"/>
              <w:jc w:val="center"/>
              <w:rPr>
                <w:sz w:val="18"/>
              </w:rPr>
            </w:pPr>
            <w:r>
              <w:rPr>
                <w:sz w:val="18"/>
              </w:rPr>
              <w:t>76</w:t>
            </w:r>
            <w:r>
              <w:rPr>
                <w:sz w:val="18"/>
                <w:vertAlign w:val="superscript"/>
              </w:rPr>
              <w:t>e</w:t>
            </w:r>
            <w:r>
              <w:rPr>
                <w:sz w:val="18"/>
              </w:rPr>
              <w:t xml:space="preserve"> </w:t>
            </w:r>
          </w:p>
        </w:tc>
        <w:tc>
          <w:tcPr>
            <w:tcW w:w="2390" w:type="dxa"/>
            <w:shd w:val="clear" w:color="auto" w:fill="auto"/>
          </w:tcPr>
          <w:p w:rsidR="00B75476" w:rsidRPr="00894E52" w:rsidRDefault="00B75476" w:rsidP="00A114AE">
            <w:pPr>
              <w:spacing w:after="80"/>
              <w:jc w:val="center"/>
              <w:rPr>
                <w:sz w:val="18"/>
              </w:rPr>
            </w:pPr>
            <w:r>
              <w:rPr>
                <w:sz w:val="18"/>
              </w:rPr>
              <w:t>50 % d’ici 2020</w:t>
            </w:r>
          </w:p>
        </w:tc>
      </w:tr>
    </w:tbl>
    <w:p w:rsidR="00B75476" w:rsidRPr="00894E52" w:rsidRDefault="00B75476" w:rsidP="00B75476">
      <w:pPr>
        <w:spacing w:after="60"/>
        <w:jc w:val="center"/>
        <w:rPr>
          <w:sz w:val="18"/>
          <w:lang w:val="en-US"/>
        </w:rPr>
      </w:pPr>
    </w:p>
    <w:tbl>
      <w:tblPr>
        <w:tblStyle w:val="TableGrid"/>
        <w:tblW w:w="10000" w:type="dxa"/>
        <w:tblLook w:val="04A0" w:firstRow="1" w:lastRow="0" w:firstColumn="1" w:lastColumn="0" w:noHBand="0" w:noVBand="1"/>
      </w:tblPr>
      <w:tblGrid>
        <w:gridCol w:w="5200"/>
        <w:gridCol w:w="2400"/>
        <w:gridCol w:w="2400"/>
      </w:tblGrid>
      <w:tr w:rsidR="00B75476" w:rsidRPr="00894E52" w:rsidTr="00A114AE">
        <w:trPr>
          <w:trHeight w:val="240"/>
        </w:trPr>
        <w:tc>
          <w:tcPr>
            <w:tcW w:w="5200" w:type="dxa"/>
            <w:shd w:val="clear" w:color="auto" w:fill="auto"/>
          </w:tcPr>
          <w:p w:rsidR="00B75476" w:rsidRPr="00B75476" w:rsidRDefault="00B75476" w:rsidP="00A114AE">
            <w:pPr>
              <w:spacing w:after="60"/>
              <w:jc w:val="left"/>
              <w:rPr>
                <w:b/>
                <w:sz w:val="18"/>
                <w:lang w:val="fr-FR"/>
              </w:rPr>
            </w:pPr>
            <w:r w:rsidRPr="00B75476">
              <w:rPr>
                <w:b/>
                <w:sz w:val="18"/>
                <w:lang w:val="fr-FR"/>
              </w:rPr>
              <w:t>(II) DERNIÈRES DONNÉES COMMUNIQUÉES EN VERTU DE L’ARTICLE 7 (Annexe C Groupe l)</w:t>
            </w:r>
          </w:p>
        </w:tc>
        <w:tc>
          <w:tcPr>
            <w:tcW w:w="2400" w:type="dxa"/>
            <w:shd w:val="clear" w:color="auto" w:fill="auto"/>
          </w:tcPr>
          <w:p w:rsidR="00B75476" w:rsidRPr="00894E52" w:rsidRDefault="00B75476" w:rsidP="00A114AE">
            <w:pPr>
              <w:spacing w:after="60"/>
              <w:jc w:val="center"/>
              <w:rPr>
                <w:sz w:val="18"/>
              </w:rPr>
            </w:pPr>
            <w:r>
              <w:rPr>
                <w:sz w:val="18"/>
              </w:rPr>
              <w:t>Année : 2017</w:t>
            </w:r>
          </w:p>
        </w:tc>
        <w:tc>
          <w:tcPr>
            <w:tcW w:w="2400" w:type="dxa"/>
            <w:shd w:val="clear" w:color="auto" w:fill="auto"/>
          </w:tcPr>
          <w:p w:rsidR="00B75476" w:rsidRPr="00894E52" w:rsidRDefault="00B75476" w:rsidP="00A114AE">
            <w:pPr>
              <w:spacing w:after="60"/>
              <w:jc w:val="right"/>
              <w:rPr>
                <w:sz w:val="18"/>
              </w:rPr>
            </w:pPr>
            <w:r>
              <w:rPr>
                <w:sz w:val="18"/>
              </w:rPr>
              <w:t>206,8 (tonnes PAO)</w:t>
            </w:r>
          </w:p>
        </w:tc>
      </w:tr>
    </w:tbl>
    <w:p w:rsidR="00B75476" w:rsidRPr="00894E52" w:rsidRDefault="00B75476" w:rsidP="00B75476">
      <w:pPr>
        <w:spacing w:after="60"/>
        <w:jc w:val="center"/>
        <w:rPr>
          <w:sz w:val="18"/>
          <w:lang w:val="en-US"/>
        </w:rPr>
      </w:pPr>
    </w:p>
    <w:tbl>
      <w:tblPr>
        <w:tblStyle w:val="TableGrid"/>
        <w:tblW w:w="10000" w:type="dxa"/>
        <w:tblLook w:val="04A0" w:firstRow="1" w:lastRow="0" w:firstColumn="1" w:lastColumn="0" w:noHBand="0" w:noVBand="1"/>
      </w:tblPr>
      <w:tblGrid>
        <w:gridCol w:w="1163"/>
        <w:gridCol w:w="786"/>
        <w:gridCol w:w="777"/>
        <w:gridCol w:w="936"/>
        <w:gridCol w:w="1036"/>
        <w:gridCol w:w="876"/>
        <w:gridCol w:w="837"/>
        <w:gridCol w:w="1276"/>
        <w:gridCol w:w="996"/>
        <w:gridCol w:w="1317"/>
      </w:tblGrid>
      <w:tr w:rsidR="00B75476" w:rsidRPr="00894E52" w:rsidTr="00A114AE">
        <w:trPr>
          <w:trHeight w:val="240"/>
        </w:trPr>
        <w:tc>
          <w:tcPr>
            <w:tcW w:w="0" w:type="auto"/>
            <w:gridSpan w:val="8"/>
            <w:shd w:val="clear" w:color="auto" w:fill="auto"/>
          </w:tcPr>
          <w:p w:rsidR="00B75476" w:rsidRPr="00B75476" w:rsidRDefault="00B75476" w:rsidP="00A114AE">
            <w:pPr>
              <w:spacing w:after="60"/>
              <w:jc w:val="left"/>
              <w:rPr>
                <w:b/>
                <w:sz w:val="18"/>
                <w:lang w:val="fr-FR"/>
              </w:rPr>
            </w:pPr>
            <w:r w:rsidRPr="00B75476">
              <w:rPr>
                <w:b/>
                <w:sz w:val="18"/>
                <w:lang w:val="fr-FR"/>
              </w:rPr>
              <w:t>(III) DERNIÈRES DONNÉES SECTORIELLES DU PROGRAMME DU PAYS (tonnes PAO)</w:t>
            </w:r>
          </w:p>
        </w:tc>
        <w:tc>
          <w:tcPr>
            <w:tcW w:w="0" w:type="auto"/>
            <w:gridSpan w:val="2"/>
            <w:shd w:val="clear" w:color="auto" w:fill="auto"/>
          </w:tcPr>
          <w:p w:rsidR="00B75476" w:rsidRPr="00894E52" w:rsidRDefault="00B75476" w:rsidP="00A114AE">
            <w:pPr>
              <w:spacing w:after="60"/>
              <w:jc w:val="right"/>
              <w:rPr>
                <w:b/>
                <w:sz w:val="18"/>
              </w:rPr>
            </w:pPr>
            <w:r>
              <w:rPr>
                <w:b/>
                <w:sz w:val="18"/>
              </w:rPr>
              <w:t>Année : 2017</w:t>
            </w:r>
          </w:p>
        </w:tc>
      </w:tr>
      <w:tr w:rsidR="00B75476" w:rsidRPr="00894E52" w:rsidTr="00A114AE">
        <w:trPr>
          <w:trHeight w:val="240"/>
        </w:trPr>
        <w:tc>
          <w:tcPr>
            <w:tcW w:w="0" w:type="auto"/>
            <w:shd w:val="clear" w:color="auto" w:fill="auto"/>
          </w:tcPr>
          <w:p w:rsidR="00B75476" w:rsidRPr="00894E52" w:rsidRDefault="00B75476" w:rsidP="00A114AE">
            <w:pPr>
              <w:spacing w:after="60"/>
              <w:jc w:val="center"/>
              <w:rPr>
                <w:sz w:val="18"/>
              </w:rPr>
            </w:pPr>
            <w:r>
              <w:rPr>
                <w:sz w:val="18"/>
              </w:rPr>
              <w:t>Produits chimiques</w:t>
            </w:r>
          </w:p>
        </w:tc>
        <w:tc>
          <w:tcPr>
            <w:tcW w:w="0" w:type="auto"/>
            <w:shd w:val="clear" w:color="auto" w:fill="auto"/>
          </w:tcPr>
          <w:p w:rsidR="00B75476" w:rsidRPr="00894E52" w:rsidRDefault="00B75476" w:rsidP="00A114AE">
            <w:pPr>
              <w:spacing w:after="60"/>
              <w:jc w:val="center"/>
              <w:rPr>
                <w:sz w:val="18"/>
              </w:rPr>
            </w:pPr>
            <w:r>
              <w:rPr>
                <w:sz w:val="18"/>
              </w:rPr>
              <w:t>Aérosol</w:t>
            </w:r>
          </w:p>
        </w:tc>
        <w:tc>
          <w:tcPr>
            <w:tcW w:w="0" w:type="auto"/>
            <w:shd w:val="clear" w:color="auto" w:fill="auto"/>
          </w:tcPr>
          <w:p w:rsidR="00B75476" w:rsidRPr="00894E52" w:rsidRDefault="00B75476" w:rsidP="00A114AE">
            <w:pPr>
              <w:spacing w:after="60"/>
              <w:jc w:val="center"/>
              <w:rPr>
                <w:sz w:val="18"/>
              </w:rPr>
            </w:pPr>
            <w:r>
              <w:rPr>
                <w:sz w:val="18"/>
              </w:rPr>
              <w:t>Mousse</w:t>
            </w:r>
          </w:p>
        </w:tc>
        <w:tc>
          <w:tcPr>
            <w:tcW w:w="0" w:type="auto"/>
            <w:shd w:val="clear" w:color="auto" w:fill="auto"/>
          </w:tcPr>
          <w:p w:rsidR="00B75476" w:rsidRPr="00894E52" w:rsidRDefault="00B75476" w:rsidP="00A114AE">
            <w:pPr>
              <w:spacing w:after="60"/>
              <w:jc w:val="center"/>
              <w:rPr>
                <w:sz w:val="18"/>
              </w:rPr>
            </w:pPr>
            <w:r>
              <w:rPr>
                <w:sz w:val="18"/>
              </w:rPr>
              <w:t>Lutte contre l’incendie</w:t>
            </w:r>
          </w:p>
        </w:tc>
        <w:tc>
          <w:tcPr>
            <w:tcW w:w="0" w:type="auto"/>
            <w:gridSpan w:val="2"/>
            <w:shd w:val="clear" w:color="auto" w:fill="auto"/>
          </w:tcPr>
          <w:p w:rsidR="00B75476" w:rsidRPr="00894E52" w:rsidRDefault="00B75476" w:rsidP="00A114AE">
            <w:pPr>
              <w:spacing w:after="60"/>
              <w:jc w:val="center"/>
              <w:rPr>
                <w:sz w:val="18"/>
              </w:rPr>
            </w:pPr>
            <w:r>
              <w:rPr>
                <w:sz w:val="18"/>
              </w:rPr>
              <w:t>Réfrigération</w:t>
            </w:r>
          </w:p>
        </w:tc>
        <w:tc>
          <w:tcPr>
            <w:tcW w:w="0" w:type="auto"/>
            <w:shd w:val="clear" w:color="auto" w:fill="auto"/>
          </w:tcPr>
          <w:p w:rsidR="00B75476" w:rsidRPr="00894E52" w:rsidRDefault="00B75476" w:rsidP="00A114AE">
            <w:pPr>
              <w:spacing w:after="60"/>
              <w:jc w:val="center"/>
              <w:rPr>
                <w:sz w:val="18"/>
              </w:rPr>
            </w:pPr>
            <w:r>
              <w:rPr>
                <w:sz w:val="18"/>
              </w:rPr>
              <w:t>Solvants</w:t>
            </w:r>
          </w:p>
        </w:tc>
        <w:tc>
          <w:tcPr>
            <w:tcW w:w="0" w:type="auto"/>
            <w:shd w:val="clear" w:color="auto" w:fill="auto"/>
          </w:tcPr>
          <w:p w:rsidR="00B75476" w:rsidRPr="00894E52" w:rsidRDefault="00B75476" w:rsidP="00A114AE">
            <w:pPr>
              <w:spacing w:after="60"/>
              <w:jc w:val="center"/>
              <w:rPr>
                <w:sz w:val="18"/>
              </w:rPr>
            </w:pPr>
            <w:r>
              <w:rPr>
                <w:sz w:val="18"/>
              </w:rPr>
              <w:t>Agent de transformation</w:t>
            </w:r>
          </w:p>
        </w:tc>
        <w:tc>
          <w:tcPr>
            <w:tcW w:w="0" w:type="auto"/>
            <w:shd w:val="clear" w:color="auto" w:fill="auto"/>
          </w:tcPr>
          <w:p w:rsidR="00B75476" w:rsidRPr="00894E52" w:rsidRDefault="00B75476" w:rsidP="00A114AE">
            <w:pPr>
              <w:spacing w:after="60"/>
              <w:jc w:val="center"/>
              <w:rPr>
                <w:sz w:val="18"/>
              </w:rPr>
            </w:pPr>
            <w:r>
              <w:rPr>
                <w:sz w:val="18"/>
              </w:rPr>
              <w:t>Utilisation en laboratoire</w:t>
            </w:r>
          </w:p>
        </w:tc>
        <w:tc>
          <w:tcPr>
            <w:tcW w:w="0" w:type="auto"/>
            <w:shd w:val="clear" w:color="auto" w:fill="auto"/>
          </w:tcPr>
          <w:p w:rsidR="00B75476" w:rsidRPr="00894E52" w:rsidRDefault="00B75476" w:rsidP="00A114AE">
            <w:pPr>
              <w:spacing w:after="60"/>
              <w:jc w:val="center"/>
              <w:rPr>
                <w:sz w:val="18"/>
              </w:rPr>
            </w:pPr>
            <w:r>
              <w:rPr>
                <w:sz w:val="18"/>
              </w:rPr>
              <w:t>Consommation totale du secteur</w:t>
            </w:r>
          </w:p>
        </w:tc>
      </w:tr>
      <w:tr w:rsidR="00B75476" w:rsidRPr="00894E52" w:rsidTr="00A114AE">
        <w:trPr>
          <w:trHeight w:val="240"/>
        </w:trPr>
        <w:tc>
          <w:tcPr>
            <w:tcW w:w="0" w:type="auto"/>
            <w:gridSpan w:val="4"/>
            <w:shd w:val="clear" w:color="auto" w:fill="auto"/>
          </w:tcPr>
          <w:p w:rsidR="00B75476" w:rsidRPr="00894E52" w:rsidRDefault="00B75476" w:rsidP="00A114AE">
            <w:pPr>
              <w:spacing w:after="60"/>
              <w:jc w:val="center"/>
              <w:rPr>
                <w:sz w:val="18"/>
              </w:rPr>
            </w:pPr>
            <w:r>
              <w:rPr>
                <w:sz w:val="18"/>
              </w:rPr>
              <w:t xml:space="preserve"> </w:t>
            </w:r>
          </w:p>
        </w:tc>
        <w:tc>
          <w:tcPr>
            <w:tcW w:w="0" w:type="auto"/>
            <w:shd w:val="clear" w:color="auto" w:fill="auto"/>
          </w:tcPr>
          <w:p w:rsidR="00B75476" w:rsidRPr="00894E52" w:rsidRDefault="00B75476" w:rsidP="00A114AE">
            <w:pPr>
              <w:spacing w:after="60"/>
              <w:jc w:val="center"/>
              <w:rPr>
                <w:sz w:val="18"/>
              </w:rPr>
            </w:pPr>
            <w:r>
              <w:rPr>
                <w:sz w:val="18"/>
              </w:rPr>
              <w:t>Fabrication</w:t>
            </w:r>
          </w:p>
        </w:tc>
        <w:tc>
          <w:tcPr>
            <w:tcW w:w="0" w:type="auto"/>
            <w:shd w:val="clear" w:color="auto" w:fill="auto"/>
          </w:tcPr>
          <w:p w:rsidR="00B75476" w:rsidRPr="00894E52" w:rsidRDefault="00B75476" w:rsidP="00A114AE">
            <w:pPr>
              <w:spacing w:after="60"/>
              <w:jc w:val="center"/>
              <w:rPr>
                <w:sz w:val="18"/>
              </w:rPr>
            </w:pPr>
            <w:r>
              <w:rPr>
                <w:sz w:val="18"/>
              </w:rPr>
              <w:t>Entretien</w:t>
            </w:r>
          </w:p>
        </w:tc>
        <w:tc>
          <w:tcPr>
            <w:tcW w:w="0" w:type="auto"/>
            <w:gridSpan w:val="4"/>
            <w:shd w:val="clear" w:color="auto" w:fill="auto"/>
          </w:tcPr>
          <w:p w:rsidR="00B75476" w:rsidRPr="00894E52" w:rsidRDefault="00B75476" w:rsidP="00A114AE">
            <w:pPr>
              <w:spacing w:after="60"/>
              <w:jc w:val="center"/>
              <w:rPr>
                <w:sz w:val="18"/>
                <w:lang w:val="en-US"/>
              </w:rPr>
            </w:pPr>
          </w:p>
        </w:tc>
      </w:tr>
      <w:tr w:rsidR="00B75476" w:rsidRPr="00894E52" w:rsidTr="00A114AE">
        <w:trPr>
          <w:trHeight w:val="240"/>
        </w:trPr>
        <w:tc>
          <w:tcPr>
            <w:tcW w:w="1200" w:type="dxa"/>
            <w:shd w:val="clear" w:color="auto" w:fill="auto"/>
          </w:tcPr>
          <w:p w:rsidR="00B75476" w:rsidRPr="00894E52" w:rsidRDefault="00B75476" w:rsidP="00A114AE">
            <w:pPr>
              <w:spacing w:after="60"/>
              <w:jc w:val="left"/>
              <w:rPr>
                <w:sz w:val="18"/>
              </w:rPr>
            </w:pPr>
            <w:r>
              <w:rPr>
                <w:sz w:val="18"/>
              </w:rPr>
              <w:t>HCFC-123</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tabs>
                <w:tab w:val="left" w:pos="462"/>
              </w:tabs>
              <w:spacing w:after="60"/>
              <w:jc w:val="right"/>
              <w:rPr>
                <w:sz w:val="18"/>
              </w:rPr>
            </w:pPr>
            <w:r>
              <w:rPr>
                <w:sz w:val="18"/>
              </w:rPr>
              <w:t>0,04</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0,04</w:t>
            </w:r>
          </w:p>
        </w:tc>
      </w:tr>
      <w:tr w:rsidR="00B75476" w:rsidRPr="00894E52" w:rsidTr="00A114AE">
        <w:trPr>
          <w:trHeight w:val="240"/>
        </w:trPr>
        <w:tc>
          <w:tcPr>
            <w:tcW w:w="1200" w:type="dxa"/>
            <w:shd w:val="clear" w:color="auto" w:fill="auto"/>
          </w:tcPr>
          <w:p w:rsidR="00B75476" w:rsidRPr="00894E52" w:rsidRDefault="00B75476" w:rsidP="00A114AE">
            <w:pPr>
              <w:spacing w:after="60"/>
              <w:jc w:val="left"/>
              <w:rPr>
                <w:sz w:val="18"/>
              </w:rPr>
            </w:pPr>
            <w:r>
              <w:rPr>
                <w:sz w:val="18"/>
              </w:rPr>
              <w:t>HCFC-124</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r>
      <w:tr w:rsidR="00B75476" w:rsidRPr="00894E52" w:rsidTr="00A114AE">
        <w:trPr>
          <w:trHeight w:val="240"/>
        </w:trPr>
        <w:tc>
          <w:tcPr>
            <w:tcW w:w="1200" w:type="dxa"/>
            <w:shd w:val="clear" w:color="auto" w:fill="auto"/>
          </w:tcPr>
          <w:p w:rsidR="00B75476" w:rsidRPr="00894E52" w:rsidRDefault="00B75476" w:rsidP="00A114AE">
            <w:pPr>
              <w:spacing w:after="60"/>
              <w:jc w:val="left"/>
              <w:rPr>
                <w:sz w:val="18"/>
              </w:rPr>
            </w:pPr>
            <w:r>
              <w:rPr>
                <w:sz w:val="18"/>
              </w:rPr>
              <w:t>HCFC-141b</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55,46</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55,46</w:t>
            </w:r>
          </w:p>
        </w:tc>
      </w:tr>
      <w:tr w:rsidR="00B75476" w:rsidRPr="00894E52" w:rsidTr="00A114AE">
        <w:trPr>
          <w:trHeight w:val="240"/>
        </w:trPr>
        <w:tc>
          <w:tcPr>
            <w:tcW w:w="1200" w:type="dxa"/>
            <w:shd w:val="clear" w:color="auto" w:fill="auto"/>
          </w:tcPr>
          <w:p w:rsidR="00B75476" w:rsidRPr="00894E52" w:rsidRDefault="00B75476" w:rsidP="00A114AE">
            <w:pPr>
              <w:spacing w:after="60"/>
              <w:jc w:val="left"/>
              <w:rPr>
                <w:sz w:val="18"/>
              </w:rPr>
            </w:pPr>
            <w:r>
              <w:rPr>
                <w:sz w:val="18"/>
              </w:rPr>
              <w:t>HCFC-142b</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2,99</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2,99</w:t>
            </w:r>
          </w:p>
        </w:tc>
      </w:tr>
      <w:tr w:rsidR="00B75476" w:rsidRPr="00894E52" w:rsidTr="00A114AE">
        <w:trPr>
          <w:trHeight w:val="240"/>
        </w:trPr>
        <w:tc>
          <w:tcPr>
            <w:tcW w:w="1200" w:type="dxa"/>
            <w:shd w:val="clear" w:color="auto" w:fill="auto"/>
          </w:tcPr>
          <w:p w:rsidR="00B75476" w:rsidRPr="00894E52" w:rsidRDefault="00B75476" w:rsidP="00A114AE">
            <w:pPr>
              <w:spacing w:after="60"/>
              <w:jc w:val="left"/>
              <w:rPr>
                <w:sz w:val="18"/>
              </w:rPr>
            </w:pPr>
            <w:r>
              <w:rPr>
                <w:sz w:val="18"/>
              </w:rPr>
              <w:t>HCFC-22</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1,69</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44,95</w:t>
            </w:r>
          </w:p>
        </w:tc>
        <w:tc>
          <w:tcPr>
            <w:tcW w:w="0" w:type="auto"/>
            <w:shd w:val="clear" w:color="auto" w:fill="auto"/>
          </w:tcPr>
          <w:p w:rsidR="00B75476" w:rsidRPr="00894E52" w:rsidRDefault="00B75476" w:rsidP="00A114AE">
            <w:pPr>
              <w:spacing w:after="60"/>
              <w:jc w:val="right"/>
              <w:rPr>
                <w:sz w:val="18"/>
              </w:rPr>
            </w:pPr>
            <w:r>
              <w:rPr>
                <w:sz w:val="18"/>
              </w:rPr>
              <w:t>101,69</w:t>
            </w: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lang w:val="en-US"/>
              </w:rPr>
            </w:pPr>
          </w:p>
        </w:tc>
        <w:tc>
          <w:tcPr>
            <w:tcW w:w="0" w:type="auto"/>
            <w:shd w:val="clear" w:color="auto" w:fill="auto"/>
          </w:tcPr>
          <w:p w:rsidR="00B75476" w:rsidRPr="00894E52" w:rsidRDefault="00B75476" w:rsidP="00A114AE">
            <w:pPr>
              <w:spacing w:after="60"/>
              <w:jc w:val="right"/>
              <w:rPr>
                <w:sz w:val="18"/>
              </w:rPr>
            </w:pPr>
            <w:r>
              <w:rPr>
                <w:sz w:val="18"/>
              </w:rPr>
              <w:t>148,33</w:t>
            </w:r>
          </w:p>
        </w:tc>
      </w:tr>
    </w:tbl>
    <w:p w:rsidR="00B75476" w:rsidRPr="00894E52" w:rsidRDefault="00B75476" w:rsidP="00B75476">
      <w:pPr>
        <w:spacing w:after="60"/>
        <w:jc w:val="center"/>
        <w:rPr>
          <w:sz w:val="18"/>
          <w:lang w:val="en-US"/>
        </w:rPr>
      </w:pPr>
    </w:p>
    <w:tbl>
      <w:tblPr>
        <w:tblStyle w:val="TableGrid"/>
        <w:tblW w:w="5380" w:type="pct"/>
        <w:tblLook w:val="04A0" w:firstRow="1" w:lastRow="0" w:firstColumn="1" w:lastColumn="0" w:noHBand="0" w:noVBand="1"/>
      </w:tblPr>
      <w:tblGrid>
        <w:gridCol w:w="2514"/>
        <w:gridCol w:w="881"/>
        <w:gridCol w:w="5338"/>
        <w:gridCol w:w="1328"/>
      </w:tblGrid>
      <w:tr w:rsidR="00B75476" w:rsidRPr="00A02646" w:rsidTr="00A114AE">
        <w:trPr>
          <w:trHeight w:val="240"/>
        </w:trPr>
        <w:tc>
          <w:tcPr>
            <w:tcW w:w="5000" w:type="pct"/>
            <w:gridSpan w:val="4"/>
            <w:shd w:val="clear" w:color="auto" w:fill="auto"/>
          </w:tcPr>
          <w:p w:rsidR="00B75476" w:rsidRPr="00B75476" w:rsidRDefault="00B75476" w:rsidP="00A114AE">
            <w:pPr>
              <w:spacing w:after="60"/>
              <w:jc w:val="left"/>
              <w:rPr>
                <w:b/>
                <w:sz w:val="18"/>
                <w:lang w:val="fr-FR"/>
              </w:rPr>
            </w:pPr>
            <w:r w:rsidRPr="00B75476">
              <w:rPr>
                <w:b/>
                <w:sz w:val="18"/>
                <w:lang w:val="fr-FR"/>
              </w:rPr>
              <w:t>(IV) DONNÉES SUR LA CONSOMMATION (tonnes PAO)</w:t>
            </w:r>
          </w:p>
        </w:tc>
      </w:tr>
      <w:tr w:rsidR="00B75476" w:rsidRPr="00894E52" w:rsidTr="00A114AE">
        <w:trPr>
          <w:trHeight w:val="240"/>
        </w:trPr>
        <w:tc>
          <w:tcPr>
            <w:tcW w:w="1249" w:type="pct"/>
            <w:shd w:val="clear" w:color="auto" w:fill="auto"/>
          </w:tcPr>
          <w:p w:rsidR="00B75476" w:rsidRPr="00894E52" w:rsidRDefault="00B75476" w:rsidP="00A114AE">
            <w:pPr>
              <w:spacing w:after="60"/>
              <w:jc w:val="center"/>
              <w:rPr>
                <w:sz w:val="18"/>
              </w:rPr>
            </w:pPr>
            <w:r>
              <w:rPr>
                <w:sz w:val="18"/>
              </w:rPr>
              <w:t>Référence 2009-2010 :</w:t>
            </w:r>
          </w:p>
        </w:tc>
        <w:tc>
          <w:tcPr>
            <w:tcW w:w="438" w:type="pct"/>
            <w:shd w:val="clear" w:color="auto" w:fill="auto"/>
          </w:tcPr>
          <w:p w:rsidR="00B75476" w:rsidRPr="00894E52" w:rsidRDefault="00B75476" w:rsidP="00A114AE">
            <w:pPr>
              <w:spacing w:after="60"/>
              <w:jc w:val="right"/>
              <w:rPr>
                <w:sz w:val="18"/>
              </w:rPr>
            </w:pPr>
            <w:r>
              <w:rPr>
                <w:sz w:val="18"/>
              </w:rPr>
              <w:t>248,11</w:t>
            </w:r>
          </w:p>
        </w:tc>
        <w:tc>
          <w:tcPr>
            <w:tcW w:w="2653" w:type="pct"/>
            <w:shd w:val="clear" w:color="auto" w:fill="auto"/>
          </w:tcPr>
          <w:p w:rsidR="00B75476" w:rsidRPr="00B75476" w:rsidRDefault="00B75476" w:rsidP="00A114AE">
            <w:pPr>
              <w:spacing w:after="60"/>
              <w:jc w:val="center"/>
              <w:rPr>
                <w:sz w:val="18"/>
                <w:lang w:val="fr-FR"/>
              </w:rPr>
            </w:pPr>
            <w:r w:rsidRPr="00B75476">
              <w:rPr>
                <w:sz w:val="18"/>
                <w:lang w:val="fr-FR"/>
              </w:rPr>
              <w:t>Point de départ des réductions globales durables :</w:t>
            </w:r>
          </w:p>
        </w:tc>
        <w:tc>
          <w:tcPr>
            <w:tcW w:w="661" w:type="pct"/>
            <w:shd w:val="clear" w:color="auto" w:fill="auto"/>
          </w:tcPr>
          <w:p w:rsidR="00B75476" w:rsidRPr="00894E52" w:rsidRDefault="00B75476" w:rsidP="00A114AE">
            <w:pPr>
              <w:spacing w:after="60"/>
              <w:jc w:val="right"/>
              <w:rPr>
                <w:sz w:val="18"/>
              </w:rPr>
            </w:pPr>
            <w:r>
              <w:rPr>
                <w:sz w:val="18"/>
              </w:rPr>
              <w:t>248,11</w:t>
            </w:r>
          </w:p>
        </w:tc>
      </w:tr>
      <w:tr w:rsidR="00B75476" w:rsidRPr="00A02646" w:rsidTr="00A114AE">
        <w:trPr>
          <w:trHeight w:val="240"/>
        </w:trPr>
        <w:tc>
          <w:tcPr>
            <w:tcW w:w="5000" w:type="pct"/>
            <w:gridSpan w:val="4"/>
            <w:shd w:val="clear" w:color="auto" w:fill="auto"/>
          </w:tcPr>
          <w:p w:rsidR="00B75476" w:rsidRPr="00B75476" w:rsidRDefault="00B75476" w:rsidP="00A114AE">
            <w:pPr>
              <w:spacing w:after="60"/>
              <w:jc w:val="center"/>
              <w:rPr>
                <w:b/>
                <w:sz w:val="18"/>
                <w:lang w:val="fr-FR"/>
              </w:rPr>
            </w:pPr>
            <w:r w:rsidRPr="00B75476">
              <w:rPr>
                <w:b/>
                <w:sz w:val="18"/>
                <w:lang w:val="fr-FR"/>
              </w:rPr>
              <w:t>CONSOMMATION ADMISSIBLE AU FINANCEMENT (tonnes PAO)</w:t>
            </w:r>
          </w:p>
        </w:tc>
      </w:tr>
      <w:tr w:rsidR="00B75476" w:rsidRPr="00894E52" w:rsidTr="00A114AE">
        <w:trPr>
          <w:trHeight w:val="240"/>
        </w:trPr>
        <w:tc>
          <w:tcPr>
            <w:tcW w:w="1249" w:type="pct"/>
            <w:shd w:val="clear" w:color="auto" w:fill="auto"/>
          </w:tcPr>
          <w:p w:rsidR="00B75476" w:rsidRPr="00894E52" w:rsidRDefault="00B75476" w:rsidP="00A114AE">
            <w:pPr>
              <w:spacing w:after="60"/>
              <w:jc w:val="center"/>
              <w:rPr>
                <w:sz w:val="18"/>
              </w:rPr>
            </w:pPr>
            <w:r>
              <w:rPr>
                <w:sz w:val="18"/>
              </w:rPr>
              <w:t>Déjà approuvée :</w:t>
            </w:r>
          </w:p>
        </w:tc>
        <w:tc>
          <w:tcPr>
            <w:tcW w:w="438" w:type="pct"/>
            <w:shd w:val="clear" w:color="auto" w:fill="auto"/>
          </w:tcPr>
          <w:p w:rsidR="00B75476" w:rsidRPr="00894E52" w:rsidRDefault="00B75476" w:rsidP="00A114AE">
            <w:pPr>
              <w:spacing w:after="60"/>
              <w:jc w:val="right"/>
              <w:rPr>
                <w:sz w:val="18"/>
              </w:rPr>
            </w:pPr>
            <w:r>
              <w:rPr>
                <w:sz w:val="18"/>
              </w:rPr>
              <w:t>152,08</w:t>
            </w:r>
          </w:p>
        </w:tc>
        <w:tc>
          <w:tcPr>
            <w:tcW w:w="2653" w:type="pct"/>
            <w:shd w:val="clear" w:color="auto" w:fill="auto"/>
          </w:tcPr>
          <w:p w:rsidR="00B75476" w:rsidRPr="00894E52" w:rsidRDefault="00B75476" w:rsidP="00A114AE">
            <w:pPr>
              <w:spacing w:after="60"/>
              <w:jc w:val="center"/>
              <w:rPr>
                <w:sz w:val="18"/>
              </w:rPr>
            </w:pPr>
            <w:r>
              <w:rPr>
                <w:sz w:val="18"/>
              </w:rPr>
              <w:t>Restante :</w:t>
            </w:r>
          </w:p>
        </w:tc>
        <w:tc>
          <w:tcPr>
            <w:tcW w:w="661" w:type="pct"/>
            <w:shd w:val="clear" w:color="auto" w:fill="auto"/>
          </w:tcPr>
          <w:p w:rsidR="00B75476" w:rsidRPr="00894E52" w:rsidRDefault="00B75476" w:rsidP="00A114AE">
            <w:pPr>
              <w:spacing w:after="60"/>
              <w:jc w:val="right"/>
              <w:rPr>
                <w:sz w:val="18"/>
              </w:rPr>
            </w:pPr>
            <w:r>
              <w:rPr>
                <w:sz w:val="18"/>
              </w:rPr>
              <w:t>96,03</w:t>
            </w:r>
          </w:p>
        </w:tc>
      </w:tr>
    </w:tbl>
    <w:p w:rsidR="00B75476" w:rsidRPr="00894E52" w:rsidRDefault="00B75476" w:rsidP="00B75476">
      <w:pPr>
        <w:spacing w:after="60"/>
        <w:jc w:val="center"/>
        <w:rPr>
          <w:sz w:val="18"/>
          <w:lang w:val="en-US"/>
        </w:rPr>
      </w:pPr>
    </w:p>
    <w:tbl>
      <w:tblPr>
        <w:tblStyle w:val="TableGrid"/>
        <w:tblW w:w="5380" w:type="pct"/>
        <w:tblLook w:val="04A0" w:firstRow="1" w:lastRow="0" w:firstColumn="1" w:lastColumn="0" w:noHBand="0" w:noVBand="1"/>
      </w:tblPr>
      <w:tblGrid>
        <w:gridCol w:w="961"/>
        <w:gridCol w:w="2849"/>
        <w:gridCol w:w="2083"/>
        <w:gridCol w:w="2083"/>
        <w:gridCol w:w="2085"/>
      </w:tblGrid>
      <w:tr w:rsidR="00B75476" w:rsidRPr="00894E52" w:rsidTr="00A114AE">
        <w:trPr>
          <w:trHeight w:val="240"/>
        </w:trPr>
        <w:tc>
          <w:tcPr>
            <w:tcW w:w="1894" w:type="pct"/>
            <w:gridSpan w:val="2"/>
            <w:shd w:val="clear" w:color="auto" w:fill="auto"/>
          </w:tcPr>
          <w:p w:rsidR="00B75476" w:rsidRPr="00894E52" w:rsidRDefault="00B75476" w:rsidP="00A114AE">
            <w:pPr>
              <w:spacing w:after="60"/>
              <w:jc w:val="left"/>
              <w:rPr>
                <w:b/>
                <w:sz w:val="18"/>
              </w:rPr>
            </w:pPr>
            <w:r>
              <w:rPr>
                <w:b/>
                <w:sz w:val="18"/>
              </w:rPr>
              <w:t>(V) PLAN D’ACTIVITÉS</w:t>
            </w:r>
          </w:p>
        </w:tc>
        <w:tc>
          <w:tcPr>
            <w:tcW w:w="1035" w:type="pct"/>
            <w:shd w:val="clear" w:color="auto" w:fill="auto"/>
          </w:tcPr>
          <w:p w:rsidR="00B75476" w:rsidRPr="00894E52" w:rsidRDefault="00B75476" w:rsidP="00A114AE">
            <w:pPr>
              <w:spacing w:after="60"/>
              <w:jc w:val="center"/>
              <w:rPr>
                <w:b/>
                <w:sz w:val="18"/>
              </w:rPr>
            </w:pPr>
            <w:r>
              <w:rPr>
                <w:b/>
                <w:sz w:val="18"/>
              </w:rPr>
              <w:t>2019</w:t>
            </w:r>
          </w:p>
        </w:tc>
        <w:tc>
          <w:tcPr>
            <w:tcW w:w="1035" w:type="pct"/>
            <w:shd w:val="clear" w:color="auto" w:fill="auto"/>
          </w:tcPr>
          <w:p w:rsidR="00B75476" w:rsidRPr="00894E52" w:rsidRDefault="00B75476" w:rsidP="00A114AE">
            <w:pPr>
              <w:spacing w:after="60"/>
              <w:jc w:val="center"/>
              <w:rPr>
                <w:b/>
                <w:sz w:val="18"/>
              </w:rPr>
            </w:pPr>
            <w:r>
              <w:rPr>
                <w:b/>
                <w:sz w:val="18"/>
              </w:rPr>
              <w:t>2020</w:t>
            </w:r>
          </w:p>
        </w:tc>
        <w:tc>
          <w:tcPr>
            <w:tcW w:w="1036" w:type="pct"/>
            <w:shd w:val="clear" w:color="auto" w:fill="auto"/>
          </w:tcPr>
          <w:p w:rsidR="00B75476" w:rsidRPr="00894E52" w:rsidRDefault="00B75476" w:rsidP="00A114AE">
            <w:pPr>
              <w:spacing w:after="60"/>
              <w:jc w:val="center"/>
              <w:rPr>
                <w:b/>
                <w:sz w:val="18"/>
              </w:rPr>
            </w:pPr>
            <w:r>
              <w:rPr>
                <w:b/>
                <w:sz w:val="18"/>
              </w:rPr>
              <w:t>Total</w:t>
            </w:r>
          </w:p>
        </w:tc>
      </w:tr>
      <w:tr w:rsidR="00B75476" w:rsidRPr="00894E52" w:rsidTr="00A114AE">
        <w:trPr>
          <w:trHeight w:val="240"/>
        </w:trPr>
        <w:tc>
          <w:tcPr>
            <w:tcW w:w="478" w:type="pct"/>
            <w:vMerge w:val="restart"/>
            <w:shd w:val="clear" w:color="auto" w:fill="auto"/>
          </w:tcPr>
          <w:p w:rsidR="00B75476" w:rsidRPr="00894E52" w:rsidRDefault="00B75476" w:rsidP="00A114AE">
            <w:pPr>
              <w:spacing w:after="60"/>
              <w:jc w:val="center"/>
              <w:rPr>
                <w:sz w:val="18"/>
              </w:rPr>
            </w:pPr>
            <w:r>
              <w:rPr>
                <w:sz w:val="18"/>
              </w:rPr>
              <w:t>ONUDI</w:t>
            </w:r>
          </w:p>
        </w:tc>
        <w:tc>
          <w:tcPr>
            <w:tcW w:w="1416" w:type="pct"/>
            <w:shd w:val="clear" w:color="auto" w:fill="auto"/>
          </w:tcPr>
          <w:p w:rsidR="00B75476" w:rsidRPr="00B75476" w:rsidRDefault="00B75476" w:rsidP="00A114AE">
            <w:pPr>
              <w:spacing w:after="60"/>
              <w:jc w:val="left"/>
              <w:rPr>
                <w:sz w:val="18"/>
                <w:lang w:val="fr-FR"/>
              </w:rPr>
            </w:pPr>
            <w:r w:rsidRPr="00B75476">
              <w:rPr>
                <w:sz w:val="18"/>
                <w:lang w:val="fr-FR"/>
              </w:rPr>
              <w:t>Élimination des SAO (tonnes PAO)</w:t>
            </w:r>
          </w:p>
        </w:tc>
        <w:tc>
          <w:tcPr>
            <w:tcW w:w="1035" w:type="pct"/>
            <w:shd w:val="clear" w:color="auto" w:fill="auto"/>
          </w:tcPr>
          <w:p w:rsidR="00B75476" w:rsidRPr="00894E52" w:rsidRDefault="00B75476" w:rsidP="00A114AE">
            <w:pPr>
              <w:spacing w:after="60"/>
              <w:jc w:val="right"/>
              <w:rPr>
                <w:sz w:val="18"/>
              </w:rPr>
            </w:pPr>
            <w:r>
              <w:rPr>
                <w:sz w:val="18"/>
              </w:rPr>
              <w:t>27,35</w:t>
            </w:r>
          </w:p>
        </w:tc>
        <w:tc>
          <w:tcPr>
            <w:tcW w:w="1035" w:type="pct"/>
            <w:shd w:val="clear" w:color="auto" w:fill="auto"/>
          </w:tcPr>
          <w:p w:rsidR="00B75476" w:rsidRPr="00894E52" w:rsidRDefault="00B75476" w:rsidP="00A114AE">
            <w:pPr>
              <w:spacing w:after="60"/>
              <w:jc w:val="right"/>
              <w:rPr>
                <w:sz w:val="18"/>
              </w:rPr>
            </w:pPr>
            <w:r>
              <w:rPr>
                <w:sz w:val="18"/>
              </w:rPr>
              <w:t>6,17</w:t>
            </w:r>
          </w:p>
        </w:tc>
        <w:tc>
          <w:tcPr>
            <w:tcW w:w="1036" w:type="pct"/>
            <w:shd w:val="clear" w:color="auto" w:fill="auto"/>
          </w:tcPr>
          <w:p w:rsidR="00B75476" w:rsidRPr="00894E52" w:rsidRDefault="00B75476" w:rsidP="00A114AE">
            <w:pPr>
              <w:spacing w:after="60"/>
              <w:jc w:val="right"/>
              <w:rPr>
                <w:sz w:val="18"/>
              </w:rPr>
            </w:pPr>
            <w:r>
              <w:rPr>
                <w:sz w:val="18"/>
              </w:rPr>
              <w:t>33,52</w:t>
            </w:r>
          </w:p>
        </w:tc>
      </w:tr>
      <w:tr w:rsidR="00B75476" w:rsidRPr="00894E52" w:rsidTr="00A114AE">
        <w:trPr>
          <w:trHeight w:val="240"/>
        </w:trPr>
        <w:tc>
          <w:tcPr>
            <w:tcW w:w="478" w:type="pct"/>
            <w:vMerge/>
            <w:shd w:val="clear" w:color="auto" w:fill="auto"/>
          </w:tcPr>
          <w:p w:rsidR="00B75476" w:rsidRPr="00894E52" w:rsidRDefault="00B75476" w:rsidP="00A114AE">
            <w:pPr>
              <w:spacing w:after="60"/>
              <w:jc w:val="center"/>
              <w:rPr>
                <w:sz w:val="18"/>
                <w:lang w:val="en-US"/>
              </w:rPr>
            </w:pPr>
          </w:p>
        </w:tc>
        <w:tc>
          <w:tcPr>
            <w:tcW w:w="1416" w:type="pct"/>
            <w:shd w:val="clear" w:color="auto" w:fill="auto"/>
          </w:tcPr>
          <w:p w:rsidR="00B75476" w:rsidRPr="00894E52" w:rsidRDefault="00B75476" w:rsidP="00A114AE">
            <w:pPr>
              <w:spacing w:after="60"/>
              <w:jc w:val="left"/>
              <w:rPr>
                <w:sz w:val="18"/>
              </w:rPr>
            </w:pPr>
            <w:r>
              <w:rPr>
                <w:sz w:val="18"/>
              </w:rPr>
              <w:t>Financement ($ US)</w:t>
            </w:r>
          </w:p>
        </w:tc>
        <w:tc>
          <w:tcPr>
            <w:tcW w:w="1035" w:type="pct"/>
            <w:shd w:val="clear" w:color="auto" w:fill="auto"/>
          </w:tcPr>
          <w:p w:rsidR="00B75476" w:rsidRPr="00894E52" w:rsidRDefault="00B75476" w:rsidP="00A114AE">
            <w:pPr>
              <w:spacing w:after="60"/>
              <w:jc w:val="right"/>
              <w:rPr>
                <w:sz w:val="18"/>
              </w:rPr>
            </w:pPr>
            <w:r>
              <w:rPr>
                <w:sz w:val="18"/>
              </w:rPr>
              <w:t>2 118 442</w:t>
            </w:r>
          </w:p>
        </w:tc>
        <w:tc>
          <w:tcPr>
            <w:tcW w:w="1035" w:type="pct"/>
            <w:shd w:val="clear" w:color="auto" w:fill="auto"/>
          </w:tcPr>
          <w:p w:rsidR="00B75476" w:rsidRPr="00894E52" w:rsidRDefault="00B75476" w:rsidP="00A114AE">
            <w:pPr>
              <w:spacing w:after="60"/>
              <w:jc w:val="right"/>
              <w:rPr>
                <w:sz w:val="18"/>
              </w:rPr>
            </w:pPr>
            <w:r>
              <w:rPr>
                <w:sz w:val="18"/>
              </w:rPr>
              <w:t>477 990</w:t>
            </w:r>
          </w:p>
        </w:tc>
        <w:tc>
          <w:tcPr>
            <w:tcW w:w="1036" w:type="pct"/>
            <w:shd w:val="clear" w:color="auto" w:fill="auto"/>
          </w:tcPr>
          <w:p w:rsidR="00B75476" w:rsidRPr="00894E52" w:rsidRDefault="00B75476" w:rsidP="00A114AE">
            <w:pPr>
              <w:spacing w:after="60"/>
              <w:jc w:val="right"/>
              <w:rPr>
                <w:sz w:val="18"/>
              </w:rPr>
            </w:pPr>
            <w:r>
              <w:rPr>
                <w:sz w:val="18"/>
              </w:rPr>
              <w:t>2 596 432</w:t>
            </w:r>
          </w:p>
        </w:tc>
      </w:tr>
      <w:tr w:rsidR="00B75476" w:rsidRPr="00894E52" w:rsidTr="00A114AE">
        <w:trPr>
          <w:trHeight w:val="240"/>
        </w:trPr>
        <w:tc>
          <w:tcPr>
            <w:tcW w:w="478" w:type="pct"/>
            <w:vMerge w:val="restart"/>
            <w:shd w:val="clear" w:color="auto" w:fill="auto"/>
          </w:tcPr>
          <w:p w:rsidR="00B75476" w:rsidRPr="00894E52" w:rsidRDefault="00B75476" w:rsidP="00A114AE">
            <w:pPr>
              <w:spacing w:after="60"/>
              <w:jc w:val="center"/>
              <w:rPr>
                <w:sz w:val="18"/>
              </w:rPr>
            </w:pPr>
            <w:r>
              <w:rPr>
                <w:sz w:val="18"/>
              </w:rPr>
              <w:t>PNUE</w:t>
            </w:r>
          </w:p>
        </w:tc>
        <w:tc>
          <w:tcPr>
            <w:tcW w:w="1416" w:type="pct"/>
            <w:shd w:val="clear" w:color="auto" w:fill="auto"/>
          </w:tcPr>
          <w:p w:rsidR="00B75476" w:rsidRPr="00B75476" w:rsidRDefault="00B75476" w:rsidP="00A114AE">
            <w:pPr>
              <w:spacing w:after="60"/>
              <w:jc w:val="left"/>
              <w:rPr>
                <w:sz w:val="18"/>
                <w:lang w:val="fr-FR"/>
              </w:rPr>
            </w:pPr>
            <w:r w:rsidRPr="00B75476">
              <w:rPr>
                <w:sz w:val="18"/>
                <w:lang w:val="fr-FR"/>
              </w:rPr>
              <w:t>Élimination des SAO (tonnes PAO)</w:t>
            </w:r>
          </w:p>
        </w:tc>
        <w:tc>
          <w:tcPr>
            <w:tcW w:w="1035" w:type="pct"/>
            <w:shd w:val="clear" w:color="auto" w:fill="auto"/>
          </w:tcPr>
          <w:p w:rsidR="00B75476" w:rsidRPr="00894E52" w:rsidRDefault="00B75476" w:rsidP="00A114AE">
            <w:pPr>
              <w:spacing w:after="60"/>
              <w:jc w:val="right"/>
              <w:rPr>
                <w:sz w:val="18"/>
              </w:rPr>
            </w:pPr>
            <w:r>
              <w:rPr>
                <w:sz w:val="18"/>
              </w:rPr>
              <w:t>2,76</w:t>
            </w:r>
          </w:p>
        </w:tc>
        <w:tc>
          <w:tcPr>
            <w:tcW w:w="1035" w:type="pct"/>
            <w:shd w:val="clear" w:color="auto" w:fill="auto"/>
          </w:tcPr>
          <w:p w:rsidR="00B75476" w:rsidRPr="00894E52" w:rsidRDefault="00B75476" w:rsidP="00A114AE">
            <w:pPr>
              <w:spacing w:after="60"/>
              <w:jc w:val="right"/>
              <w:rPr>
                <w:sz w:val="18"/>
              </w:rPr>
            </w:pPr>
            <w:r>
              <w:rPr>
                <w:sz w:val="18"/>
              </w:rPr>
              <w:t>1,42</w:t>
            </w:r>
          </w:p>
        </w:tc>
        <w:tc>
          <w:tcPr>
            <w:tcW w:w="1036" w:type="pct"/>
            <w:shd w:val="clear" w:color="auto" w:fill="auto"/>
          </w:tcPr>
          <w:p w:rsidR="00B75476" w:rsidRPr="00894E52" w:rsidRDefault="00B75476" w:rsidP="00A114AE">
            <w:pPr>
              <w:spacing w:after="60"/>
              <w:jc w:val="right"/>
              <w:rPr>
                <w:sz w:val="18"/>
              </w:rPr>
            </w:pPr>
            <w:r>
              <w:rPr>
                <w:sz w:val="18"/>
              </w:rPr>
              <w:t>4,18</w:t>
            </w:r>
          </w:p>
        </w:tc>
      </w:tr>
      <w:tr w:rsidR="00B75476" w:rsidRPr="00894E52" w:rsidTr="00A114AE">
        <w:trPr>
          <w:trHeight w:val="240"/>
        </w:trPr>
        <w:tc>
          <w:tcPr>
            <w:tcW w:w="478" w:type="pct"/>
            <w:vMerge/>
            <w:shd w:val="clear" w:color="auto" w:fill="auto"/>
          </w:tcPr>
          <w:p w:rsidR="00B75476" w:rsidRPr="00894E52" w:rsidRDefault="00B75476" w:rsidP="00A114AE">
            <w:pPr>
              <w:spacing w:after="60"/>
              <w:jc w:val="center"/>
              <w:rPr>
                <w:sz w:val="18"/>
                <w:lang w:val="en-US"/>
              </w:rPr>
            </w:pPr>
          </w:p>
        </w:tc>
        <w:tc>
          <w:tcPr>
            <w:tcW w:w="1416" w:type="pct"/>
            <w:shd w:val="clear" w:color="auto" w:fill="auto"/>
          </w:tcPr>
          <w:p w:rsidR="00B75476" w:rsidRPr="00894E52" w:rsidRDefault="00B75476" w:rsidP="00A114AE">
            <w:pPr>
              <w:spacing w:after="60"/>
              <w:jc w:val="left"/>
              <w:rPr>
                <w:sz w:val="18"/>
              </w:rPr>
            </w:pPr>
            <w:r>
              <w:rPr>
                <w:sz w:val="18"/>
              </w:rPr>
              <w:t>Financement ($ US)</w:t>
            </w:r>
          </w:p>
        </w:tc>
        <w:tc>
          <w:tcPr>
            <w:tcW w:w="1035" w:type="pct"/>
            <w:shd w:val="clear" w:color="auto" w:fill="auto"/>
          </w:tcPr>
          <w:p w:rsidR="00B75476" w:rsidRPr="00894E52" w:rsidRDefault="00B75476" w:rsidP="00A114AE">
            <w:pPr>
              <w:spacing w:after="60"/>
              <w:jc w:val="right"/>
              <w:rPr>
                <w:sz w:val="18"/>
              </w:rPr>
            </w:pPr>
            <w:r>
              <w:rPr>
                <w:sz w:val="18"/>
              </w:rPr>
              <w:t>225 976</w:t>
            </w:r>
          </w:p>
        </w:tc>
        <w:tc>
          <w:tcPr>
            <w:tcW w:w="1035" w:type="pct"/>
            <w:shd w:val="clear" w:color="auto" w:fill="auto"/>
          </w:tcPr>
          <w:p w:rsidR="00B75476" w:rsidRPr="00894E52" w:rsidRDefault="00B75476" w:rsidP="00A114AE">
            <w:pPr>
              <w:spacing w:after="60"/>
              <w:jc w:val="right"/>
              <w:rPr>
                <w:sz w:val="18"/>
              </w:rPr>
            </w:pPr>
            <w:r>
              <w:rPr>
                <w:sz w:val="18"/>
              </w:rPr>
              <w:t>116 378</w:t>
            </w:r>
          </w:p>
        </w:tc>
        <w:tc>
          <w:tcPr>
            <w:tcW w:w="1036" w:type="pct"/>
            <w:shd w:val="clear" w:color="auto" w:fill="auto"/>
          </w:tcPr>
          <w:p w:rsidR="00B75476" w:rsidRPr="00894E52" w:rsidRDefault="00B75476" w:rsidP="00A114AE">
            <w:pPr>
              <w:spacing w:after="60"/>
              <w:jc w:val="right"/>
              <w:rPr>
                <w:sz w:val="18"/>
              </w:rPr>
            </w:pPr>
            <w:r>
              <w:rPr>
                <w:sz w:val="18"/>
              </w:rPr>
              <w:t>342 354</w:t>
            </w:r>
          </w:p>
        </w:tc>
      </w:tr>
    </w:tbl>
    <w:p w:rsidR="00B75476" w:rsidRPr="00894E52" w:rsidRDefault="00B75476" w:rsidP="00B75476">
      <w:pPr>
        <w:spacing w:after="60"/>
        <w:jc w:val="center"/>
        <w:rPr>
          <w:sz w:val="18"/>
          <w:lang w:val="en-US"/>
        </w:rPr>
      </w:pPr>
    </w:p>
    <w:tbl>
      <w:tblPr>
        <w:tblStyle w:val="TableGrid"/>
        <w:tblW w:w="5380" w:type="pct"/>
        <w:tblLayout w:type="fixed"/>
        <w:tblLook w:val="04A0" w:firstRow="1" w:lastRow="0" w:firstColumn="1" w:lastColumn="0" w:noHBand="0" w:noVBand="1"/>
      </w:tblPr>
      <w:tblGrid>
        <w:gridCol w:w="1128"/>
        <w:gridCol w:w="851"/>
        <w:gridCol w:w="1378"/>
        <w:gridCol w:w="1117"/>
        <w:gridCol w:w="1117"/>
        <w:gridCol w:w="1117"/>
        <w:gridCol w:w="1119"/>
        <w:gridCol w:w="1119"/>
        <w:gridCol w:w="1115"/>
      </w:tblGrid>
      <w:tr w:rsidR="00B75476" w:rsidRPr="00894E52" w:rsidTr="000669A6">
        <w:tc>
          <w:tcPr>
            <w:tcW w:w="1668" w:type="pct"/>
            <w:gridSpan w:val="3"/>
            <w:shd w:val="clear" w:color="auto" w:fill="auto"/>
          </w:tcPr>
          <w:p w:rsidR="00B75476" w:rsidRPr="00894E52" w:rsidRDefault="00B75476" w:rsidP="00A114AE">
            <w:pPr>
              <w:jc w:val="left"/>
              <w:rPr>
                <w:b/>
                <w:sz w:val="18"/>
              </w:rPr>
            </w:pPr>
            <w:r>
              <w:rPr>
                <w:b/>
                <w:sz w:val="18"/>
              </w:rPr>
              <w:t>(VI) DONNÉES DU PROJET</w:t>
            </w:r>
          </w:p>
        </w:tc>
        <w:tc>
          <w:tcPr>
            <w:tcW w:w="555" w:type="pct"/>
            <w:shd w:val="clear" w:color="auto" w:fill="auto"/>
          </w:tcPr>
          <w:p w:rsidR="00B75476" w:rsidRPr="00894E52" w:rsidRDefault="00B75476" w:rsidP="00A114AE">
            <w:pPr>
              <w:jc w:val="center"/>
              <w:rPr>
                <w:b/>
                <w:sz w:val="18"/>
              </w:rPr>
            </w:pPr>
            <w:r>
              <w:rPr>
                <w:b/>
                <w:sz w:val="18"/>
              </w:rPr>
              <w:t>2016</w:t>
            </w:r>
          </w:p>
        </w:tc>
        <w:tc>
          <w:tcPr>
            <w:tcW w:w="555" w:type="pct"/>
            <w:shd w:val="clear" w:color="auto" w:fill="auto"/>
          </w:tcPr>
          <w:p w:rsidR="00B75476" w:rsidRPr="00894E52" w:rsidRDefault="00B75476" w:rsidP="00A114AE">
            <w:pPr>
              <w:jc w:val="center"/>
              <w:rPr>
                <w:b/>
                <w:sz w:val="18"/>
              </w:rPr>
            </w:pPr>
            <w:r>
              <w:rPr>
                <w:b/>
                <w:sz w:val="18"/>
              </w:rPr>
              <w:t>2017</w:t>
            </w:r>
          </w:p>
        </w:tc>
        <w:tc>
          <w:tcPr>
            <w:tcW w:w="555" w:type="pct"/>
            <w:shd w:val="clear" w:color="auto" w:fill="auto"/>
          </w:tcPr>
          <w:p w:rsidR="00B75476" w:rsidRPr="00894E52" w:rsidRDefault="00B75476" w:rsidP="00A114AE">
            <w:pPr>
              <w:jc w:val="center"/>
              <w:rPr>
                <w:b/>
                <w:sz w:val="18"/>
              </w:rPr>
            </w:pPr>
            <w:r>
              <w:rPr>
                <w:b/>
                <w:sz w:val="18"/>
              </w:rPr>
              <w:t>2018*</w:t>
            </w:r>
          </w:p>
        </w:tc>
        <w:tc>
          <w:tcPr>
            <w:tcW w:w="556" w:type="pct"/>
            <w:shd w:val="clear" w:color="auto" w:fill="auto"/>
          </w:tcPr>
          <w:p w:rsidR="00B75476" w:rsidRPr="00894E52" w:rsidRDefault="00B75476" w:rsidP="00A114AE">
            <w:pPr>
              <w:jc w:val="center"/>
              <w:rPr>
                <w:b/>
                <w:sz w:val="18"/>
              </w:rPr>
            </w:pPr>
            <w:r>
              <w:rPr>
                <w:b/>
                <w:sz w:val="18"/>
              </w:rPr>
              <w:t>2019</w:t>
            </w:r>
          </w:p>
        </w:tc>
        <w:tc>
          <w:tcPr>
            <w:tcW w:w="556" w:type="pct"/>
            <w:shd w:val="clear" w:color="auto" w:fill="auto"/>
          </w:tcPr>
          <w:p w:rsidR="00B75476" w:rsidRPr="00894E52" w:rsidRDefault="00B75476" w:rsidP="00A114AE">
            <w:pPr>
              <w:jc w:val="center"/>
              <w:rPr>
                <w:b/>
                <w:sz w:val="18"/>
              </w:rPr>
            </w:pPr>
            <w:r>
              <w:rPr>
                <w:b/>
                <w:sz w:val="18"/>
              </w:rPr>
              <w:t>2020</w:t>
            </w:r>
          </w:p>
        </w:tc>
        <w:tc>
          <w:tcPr>
            <w:tcW w:w="554" w:type="pct"/>
            <w:shd w:val="clear" w:color="auto" w:fill="auto"/>
          </w:tcPr>
          <w:p w:rsidR="00B75476" w:rsidRPr="00894E52" w:rsidRDefault="00B75476" w:rsidP="00A114AE">
            <w:pPr>
              <w:jc w:val="center"/>
              <w:rPr>
                <w:b/>
                <w:sz w:val="18"/>
              </w:rPr>
            </w:pPr>
            <w:r>
              <w:rPr>
                <w:b/>
                <w:sz w:val="18"/>
              </w:rPr>
              <w:t>Total</w:t>
            </w:r>
          </w:p>
        </w:tc>
      </w:tr>
      <w:tr w:rsidR="00B75476" w:rsidRPr="00894E52" w:rsidTr="000669A6">
        <w:tc>
          <w:tcPr>
            <w:tcW w:w="1668" w:type="pct"/>
            <w:gridSpan w:val="3"/>
            <w:shd w:val="clear" w:color="auto" w:fill="auto"/>
          </w:tcPr>
          <w:p w:rsidR="00B75476" w:rsidRPr="00B75476" w:rsidRDefault="00B75476" w:rsidP="00A114AE">
            <w:pPr>
              <w:jc w:val="left"/>
              <w:rPr>
                <w:sz w:val="18"/>
                <w:lang w:val="fr-FR"/>
              </w:rPr>
            </w:pPr>
            <w:r w:rsidRPr="00B75476">
              <w:rPr>
                <w:sz w:val="18"/>
                <w:lang w:val="fr-FR"/>
              </w:rPr>
              <w:t>Limites de consommation du Protocole de Montréal</w:t>
            </w:r>
          </w:p>
        </w:tc>
        <w:tc>
          <w:tcPr>
            <w:tcW w:w="555" w:type="pct"/>
            <w:shd w:val="clear" w:color="auto" w:fill="auto"/>
          </w:tcPr>
          <w:p w:rsidR="00B75476" w:rsidRPr="00894E52" w:rsidRDefault="00B75476" w:rsidP="00A114AE">
            <w:pPr>
              <w:jc w:val="right"/>
              <w:rPr>
                <w:color w:val="000000"/>
                <w:sz w:val="18"/>
                <w:szCs w:val="20"/>
              </w:rPr>
            </w:pPr>
            <w:r>
              <w:rPr>
                <w:color w:val="000000"/>
                <w:sz w:val="18"/>
                <w:szCs w:val="20"/>
              </w:rPr>
              <w:t>223,30</w:t>
            </w:r>
          </w:p>
        </w:tc>
        <w:tc>
          <w:tcPr>
            <w:tcW w:w="555" w:type="pct"/>
            <w:shd w:val="clear" w:color="auto" w:fill="auto"/>
          </w:tcPr>
          <w:p w:rsidR="00B75476" w:rsidRPr="00894E52" w:rsidRDefault="00B75476" w:rsidP="00A114AE">
            <w:pPr>
              <w:jc w:val="right"/>
              <w:rPr>
                <w:sz w:val="18"/>
              </w:rPr>
            </w:pPr>
            <w:r>
              <w:rPr>
                <w:color w:val="000000"/>
                <w:sz w:val="18"/>
                <w:szCs w:val="20"/>
              </w:rPr>
              <w:t>223,30</w:t>
            </w:r>
          </w:p>
        </w:tc>
        <w:tc>
          <w:tcPr>
            <w:tcW w:w="555" w:type="pct"/>
            <w:shd w:val="clear" w:color="auto" w:fill="auto"/>
          </w:tcPr>
          <w:p w:rsidR="00B75476" w:rsidRPr="00894E52" w:rsidRDefault="00B75476" w:rsidP="00A114AE">
            <w:pPr>
              <w:jc w:val="right"/>
              <w:rPr>
                <w:sz w:val="18"/>
              </w:rPr>
            </w:pPr>
            <w:r>
              <w:rPr>
                <w:color w:val="000000"/>
                <w:sz w:val="18"/>
                <w:szCs w:val="20"/>
              </w:rPr>
              <w:t>223,30</w:t>
            </w:r>
          </w:p>
        </w:tc>
        <w:tc>
          <w:tcPr>
            <w:tcW w:w="556" w:type="pct"/>
            <w:shd w:val="clear" w:color="auto" w:fill="auto"/>
          </w:tcPr>
          <w:p w:rsidR="00B75476" w:rsidRPr="00894E52" w:rsidRDefault="00B75476" w:rsidP="00A114AE">
            <w:pPr>
              <w:jc w:val="right"/>
              <w:rPr>
                <w:sz w:val="18"/>
              </w:rPr>
            </w:pPr>
            <w:r>
              <w:rPr>
                <w:color w:val="000000"/>
                <w:sz w:val="18"/>
                <w:szCs w:val="20"/>
              </w:rPr>
              <w:t>223,30</w:t>
            </w:r>
          </w:p>
        </w:tc>
        <w:tc>
          <w:tcPr>
            <w:tcW w:w="556" w:type="pct"/>
            <w:shd w:val="clear" w:color="auto" w:fill="auto"/>
          </w:tcPr>
          <w:p w:rsidR="00B75476" w:rsidRPr="00894E52" w:rsidRDefault="00B75476" w:rsidP="00A114AE">
            <w:pPr>
              <w:jc w:val="right"/>
              <w:rPr>
                <w:color w:val="000000"/>
                <w:sz w:val="18"/>
                <w:szCs w:val="20"/>
              </w:rPr>
            </w:pPr>
            <w:r>
              <w:rPr>
                <w:color w:val="000000"/>
                <w:sz w:val="18"/>
                <w:szCs w:val="20"/>
              </w:rPr>
              <w:t>161,27</w:t>
            </w:r>
          </w:p>
        </w:tc>
        <w:tc>
          <w:tcPr>
            <w:tcW w:w="554" w:type="pct"/>
            <w:shd w:val="clear" w:color="auto" w:fill="auto"/>
          </w:tcPr>
          <w:p w:rsidR="00B75476" w:rsidRPr="00894E52" w:rsidRDefault="00B75476" w:rsidP="00A114AE">
            <w:pPr>
              <w:jc w:val="right"/>
              <w:rPr>
                <w:sz w:val="18"/>
              </w:rPr>
            </w:pPr>
            <w:r>
              <w:rPr>
                <w:sz w:val="18"/>
              </w:rPr>
              <w:t>s.o.</w:t>
            </w:r>
          </w:p>
        </w:tc>
      </w:tr>
      <w:tr w:rsidR="00B75476" w:rsidRPr="00894E52" w:rsidTr="000669A6">
        <w:tc>
          <w:tcPr>
            <w:tcW w:w="1668" w:type="pct"/>
            <w:gridSpan w:val="3"/>
            <w:shd w:val="clear" w:color="auto" w:fill="auto"/>
          </w:tcPr>
          <w:p w:rsidR="00B75476" w:rsidRPr="00B75476" w:rsidRDefault="00B75476" w:rsidP="00A114AE">
            <w:pPr>
              <w:jc w:val="left"/>
              <w:rPr>
                <w:sz w:val="18"/>
                <w:lang w:val="fr-FR"/>
              </w:rPr>
            </w:pPr>
            <w:r w:rsidRPr="00B75476">
              <w:rPr>
                <w:sz w:val="18"/>
                <w:lang w:val="fr-FR"/>
              </w:rPr>
              <w:t>Consommation maximale admissible (tonnes PAO)</w:t>
            </w:r>
          </w:p>
        </w:tc>
        <w:tc>
          <w:tcPr>
            <w:tcW w:w="555" w:type="pct"/>
            <w:shd w:val="clear" w:color="auto" w:fill="auto"/>
          </w:tcPr>
          <w:p w:rsidR="00B75476" w:rsidRPr="00894E52" w:rsidRDefault="00B75476" w:rsidP="00A114AE">
            <w:pPr>
              <w:jc w:val="right"/>
              <w:rPr>
                <w:color w:val="000000"/>
                <w:sz w:val="18"/>
                <w:szCs w:val="20"/>
              </w:rPr>
            </w:pPr>
            <w:r>
              <w:rPr>
                <w:color w:val="000000"/>
                <w:sz w:val="18"/>
                <w:szCs w:val="20"/>
              </w:rPr>
              <w:t>223,30</w:t>
            </w:r>
          </w:p>
        </w:tc>
        <w:tc>
          <w:tcPr>
            <w:tcW w:w="555" w:type="pct"/>
            <w:shd w:val="clear" w:color="auto" w:fill="auto"/>
          </w:tcPr>
          <w:p w:rsidR="00B75476" w:rsidRPr="00894E52" w:rsidRDefault="00B75476" w:rsidP="00A114AE">
            <w:pPr>
              <w:jc w:val="right"/>
              <w:rPr>
                <w:sz w:val="18"/>
              </w:rPr>
            </w:pPr>
            <w:r>
              <w:rPr>
                <w:color w:val="000000"/>
                <w:sz w:val="18"/>
                <w:szCs w:val="20"/>
              </w:rPr>
              <w:t>223,30</w:t>
            </w:r>
          </w:p>
        </w:tc>
        <w:tc>
          <w:tcPr>
            <w:tcW w:w="555" w:type="pct"/>
            <w:shd w:val="clear" w:color="auto" w:fill="auto"/>
          </w:tcPr>
          <w:p w:rsidR="00B75476" w:rsidRPr="00894E52" w:rsidRDefault="00B75476" w:rsidP="00A114AE">
            <w:pPr>
              <w:jc w:val="right"/>
              <w:rPr>
                <w:sz w:val="18"/>
              </w:rPr>
            </w:pPr>
            <w:r>
              <w:rPr>
                <w:color w:val="000000"/>
                <w:sz w:val="18"/>
                <w:szCs w:val="20"/>
              </w:rPr>
              <w:t>223,30</w:t>
            </w:r>
          </w:p>
        </w:tc>
        <w:tc>
          <w:tcPr>
            <w:tcW w:w="556" w:type="pct"/>
            <w:shd w:val="clear" w:color="auto" w:fill="auto"/>
          </w:tcPr>
          <w:p w:rsidR="00B75476" w:rsidRPr="00894E52" w:rsidRDefault="00B75476" w:rsidP="00A114AE">
            <w:pPr>
              <w:jc w:val="right"/>
              <w:rPr>
                <w:sz w:val="18"/>
              </w:rPr>
            </w:pPr>
            <w:r>
              <w:rPr>
                <w:color w:val="000000"/>
                <w:sz w:val="18"/>
                <w:szCs w:val="20"/>
              </w:rPr>
              <w:t>223,30</w:t>
            </w:r>
          </w:p>
        </w:tc>
        <w:tc>
          <w:tcPr>
            <w:tcW w:w="556" w:type="pct"/>
            <w:shd w:val="clear" w:color="auto" w:fill="auto"/>
          </w:tcPr>
          <w:p w:rsidR="00B75476" w:rsidRPr="00894E52" w:rsidRDefault="00B75476" w:rsidP="00A114AE">
            <w:pPr>
              <w:jc w:val="right"/>
              <w:rPr>
                <w:color w:val="000000"/>
                <w:sz w:val="18"/>
                <w:szCs w:val="20"/>
              </w:rPr>
            </w:pPr>
            <w:r>
              <w:rPr>
                <w:color w:val="000000"/>
                <w:sz w:val="18"/>
                <w:szCs w:val="20"/>
              </w:rPr>
              <w:t>124,06</w:t>
            </w:r>
          </w:p>
        </w:tc>
        <w:tc>
          <w:tcPr>
            <w:tcW w:w="554" w:type="pct"/>
            <w:shd w:val="clear" w:color="auto" w:fill="auto"/>
          </w:tcPr>
          <w:p w:rsidR="00B75476" w:rsidRPr="00894E52" w:rsidRDefault="00B75476" w:rsidP="00A114AE">
            <w:pPr>
              <w:jc w:val="right"/>
              <w:rPr>
                <w:sz w:val="18"/>
              </w:rPr>
            </w:pPr>
            <w:r>
              <w:rPr>
                <w:sz w:val="18"/>
              </w:rPr>
              <w:t>s.o.</w:t>
            </w:r>
          </w:p>
        </w:tc>
      </w:tr>
      <w:tr w:rsidR="00B75476" w:rsidRPr="00894E52" w:rsidTr="000669A6">
        <w:tc>
          <w:tcPr>
            <w:tcW w:w="561" w:type="pct"/>
            <w:vMerge w:val="restart"/>
            <w:shd w:val="clear" w:color="auto" w:fill="auto"/>
          </w:tcPr>
          <w:p w:rsidR="000669A6" w:rsidRDefault="00B75476" w:rsidP="00A114AE">
            <w:pPr>
              <w:jc w:val="left"/>
              <w:rPr>
                <w:sz w:val="18"/>
              </w:rPr>
            </w:pPr>
            <w:r>
              <w:rPr>
                <w:sz w:val="18"/>
              </w:rPr>
              <w:t xml:space="preserve">Financement convenu </w:t>
            </w:r>
          </w:p>
          <w:p w:rsidR="00B75476" w:rsidRPr="00894E52" w:rsidRDefault="00B75476" w:rsidP="00A114AE">
            <w:pPr>
              <w:jc w:val="left"/>
              <w:rPr>
                <w:sz w:val="18"/>
              </w:rPr>
            </w:pPr>
            <w:r>
              <w:rPr>
                <w:sz w:val="18"/>
              </w:rPr>
              <w:t>($ US)</w:t>
            </w:r>
          </w:p>
        </w:tc>
        <w:tc>
          <w:tcPr>
            <w:tcW w:w="422" w:type="pct"/>
            <w:vMerge w:val="restart"/>
            <w:shd w:val="clear" w:color="auto" w:fill="auto"/>
          </w:tcPr>
          <w:p w:rsidR="00B75476" w:rsidRPr="00894E52" w:rsidRDefault="00B75476" w:rsidP="00A114AE">
            <w:pPr>
              <w:jc w:val="center"/>
              <w:rPr>
                <w:sz w:val="18"/>
              </w:rPr>
            </w:pPr>
            <w:r>
              <w:rPr>
                <w:sz w:val="18"/>
              </w:rPr>
              <w:t>PNUE</w:t>
            </w:r>
          </w:p>
        </w:tc>
        <w:tc>
          <w:tcPr>
            <w:tcW w:w="685" w:type="pct"/>
            <w:shd w:val="clear" w:color="auto" w:fill="auto"/>
          </w:tcPr>
          <w:p w:rsidR="00B75476" w:rsidRPr="00894E52" w:rsidRDefault="00B75476" w:rsidP="00A114AE">
            <w:pPr>
              <w:jc w:val="left"/>
              <w:rPr>
                <w:sz w:val="18"/>
              </w:rPr>
            </w:pPr>
            <w:r>
              <w:rPr>
                <w:sz w:val="18"/>
              </w:rPr>
              <w:t>Coûts du projet</w:t>
            </w:r>
          </w:p>
        </w:tc>
        <w:tc>
          <w:tcPr>
            <w:tcW w:w="555" w:type="pct"/>
            <w:shd w:val="clear" w:color="auto" w:fill="auto"/>
          </w:tcPr>
          <w:p w:rsidR="00B75476" w:rsidRPr="00894E52" w:rsidRDefault="00B75476" w:rsidP="00A114AE">
            <w:pPr>
              <w:jc w:val="right"/>
              <w:rPr>
                <w:sz w:val="18"/>
              </w:rPr>
            </w:pPr>
            <w:r>
              <w:rPr>
                <w:sz w:val="18"/>
              </w:rPr>
              <w:t>200 000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200 000</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103 000</w:t>
            </w:r>
          </w:p>
        </w:tc>
        <w:tc>
          <w:tcPr>
            <w:tcW w:w="554" w:type="pct"/>
            <w:shd w:val="clear" w:color="auto" w:fill="auto"/>
          </w:tcPr>
          <w:p w:rsidR="00B75476" w:rsidRPr="00894E52" w:rsidRDefault="00B75476" w:rsidP="00A114AE">
            <w:pPr>
              <w:jc w:val="right"/>
              <w:rPr>
                <w:sz w:val="18"/>
              </w:rPr>
            </w:pPr>
            <w:r>
              <w:rPr>
                <w:sz w:val="18"/>
              </w:rPr>
              <w:t>503 000</w:t>
            </w:r>
          </w:p>
        </w:tc>
      </w:tr>
      <w:tr w:rsidR="00B75476" w:rsidRPr="00894E52" w:rsidTr="000669A6">
        <w:tc>
          <w:tcPr>
            <w:tcW w:w="561" w:type="pct"/>
            <w:vMerge/>
            <w:shd w:val="clear" w:color="auto" w:fill="auto"/>
          </w:tcPr>
          <w:p w:rsidR="00B75476" w:rsidRPr="00894E52" w:rsidRDefault="00B75476" w:rsidP="00A114AE">
            <w:pPr>
              <w:jc w:val="center"/>
              <w:rPr>
                <w:sz w:val="18"/>
                <w:lang w:val="en-US"/>
              </w:rPr>
            </w:pPr>
          </w:p>
        </w:tc>
        <w:tc>
          <w:tcPr>
            <w:tcW w:w="422" w:type="pct"/>
            <w:vMerge/>
            <w:shd w:val="clear" w:color="auto" w:fill="auto"/>
          </w:tcPr>
          <w:p w:rsidR="00B75476" w:rsidRPr="00894E52" w:rsidRDefault="00B75476" w:rsidP="00A114AE">
            <w:pPr>
              <w:jc w:val="center"/>
              <w:rPr>
                <w:sz w:val="18"/>
                <w:lang w:val="en-US"/>
              </w:rPr>
            </w:pPr>
          </w:p>
        </w:tc>
        <w:tc>
          <w:tcPr>
            <w:tcW w:w="685" w:type="pct"/>
            <w:shd w:val="clear" w:color="auto" w:fill="auto"/>
          </w:tcPr>
          <w:p w:rsidR="00B75476" w:rsidRPr="00894E52" w:rsidRDefault="00B75476" w:rsidP="00A114AE">
            <w:pPr>
              <w:jc w:val="left"/>
              <w:rPr>
                <w:sz w:val="18"/>
              </w:rPr>
            </w:pPr>
            <w:r>
              <w:rPr>
                <w:sz w:val="18"/>
              </w:rPr>
              <w:t>Coûts d’appui</w:t>
            </w:r>
          </w:p>
        </w:tc>
        <w:tc>
          <w:tcPr>
            <w:tcW w:w="555" w:type="pct"/>
            <w:shd w:val="clear" w:color="auto" w:fill="auto"/>
          </w:tcPr>
          <w:p w:rsidR="00B75476" w:rsidRPr="00894E52" w:rsidRDefault="00B75476" w:rsidP="00A114AE">
            <w:pPr>
              <w:jc w:val="right"/>
              <w:rPr>
                <w:sz w:val="18"/>
              </w:rPr>
            </w:pPr>
            <w:r>
              <w:rPr>
                <w:sz w:val="18"/>
              </w:rPr>
              <w:t>25 976</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25 976</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13 378</w:t>
            </w:r>
          </w:p>
        </w:tc>
        <w:tc>
          <w:tcPr>
            <w:tcW w:w="554" w:type="pct"/>
            <w:shd w:val="clear" w:color="auto" w:fill="auto"/>
          </w:tcPr>
          <w:p w:rsidR="00B75476" w:rsidRPr="00894E52" w:rsidRDefault="00B75476" w:rsidP="00A114AE">
            <w:pPr>
              <w:jc w:val="right"/>
              <w:rPr>
                <w:sz w:val="18"/>
              </w:rPr>
            </w:pPr>
            <w:r>
              <w:rPr>
                <w:sz w:val="18"/>
              </w:rPr>
              <w:t>65 330</w:t>
            </w:r>
          </w:p>
        </w:tc>
      </w:tr>
      <w:tr w:rsidR="00B75476" w:rsidRPr="00894E52" w:rsidTr="000669A6">
        <w:tc>
          <w:tcPr>
            <w:tcW w:w="561" w:type="pct"/>
            <w:vMerge/>
            <w:shd w:val="clear" w:color="auto" w:fill="auto"/>
          </w:tcPr>
          <w:p w:rsidR="00B75476" w:rsidRPr="00894E52" w:rsidRDefault="00B75476" w:rsidP="00A114AE">
            <w:pPr>
              <w:jc w:val="center"/>
              <w:rPr>
                <w:sz w:val="18"/>
                <w:lang w:val="en-US"/>
              </w:rPr>
            </w:pPr>
          </w:p>
        </w:tc>
        <w:tc>
          <w:tcPr>
            <w:tcW w:w="422" w:type="pct"/>
            <w:vMerge w:val="restart"/>
            <w:shd w:val="clear" w:color="auto" w:fill="auto"/>
          </w:tcPr>
          <w:p w:rsidR="00B75476" w:rsidRPr="00894E52" w:rsidRDefault="00B75476" w:rsidP="00A114AE">
            <w:pPr>
              <w:jc w:val="center"/>
              <w:rPr>
                <w:sz w:val="18"/>
              </w:rPr>
            </w:pPr>
            <w:r>
              <w:rPr>
                <w:sz w:val="18"/>
              </w:rPr>
              <w:t>ONUDI</w:t>
            </w:r>
          </w:p>
        </w:tc>
        <w:tc>
          <w:tcPr>
            <w:tcW w:w="685" w:type="pct"/>
            <w:shd w:val="clear" w:color="auto" w:fill="auto"/>
          </w:tcPr>
          <w:p w:rsidR="00B75476" w:rsidRPr="00894E52" w:rsidRDefault="00B75476" w:rsidP="00A114AE">
            <w:pPr>
              <w:jc w:val="left"/>
              <w:rPr>
                <w:sz w:val="18"/>
              </w:rPr>
            </w:pPr>
            <w:r>
              <w:rPr>
                <w:sz w:val="18"/>
              </w:rPr>
              <w:t>Coûts du projet</w:t>
            </w:r>
          </w:p>
        </w:tc>
        <w:tc>
          <w:tcPr>
            <w:tcW w:w="555" w:type="pct"/>
            <w:shd w:val="clear" w:color="auto" w:fill="auto"/>
          </w:tcPr>
          <w:p w:rsidR="00B75476" w:rsidRPr="00894E52" w:rsidRDefault="00B75476" w:rsidP="00A114AE">
            <w:pPr>
              <w:jc w:val="right"/>
              <w:rPr>
                <w:sz w:val="18"/>
              </w:rPr>
            </w:pPr>
            <w:r>
              <w:rPr>
                <w:sz w:val="18"/>
              </w:rPr>
              <w:t>2 350 200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1 979 852</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446 720</w:t>
            </w:r>
          </w:p>
        </w:tc>
        <w:tc>
          <w:tcPr>
            <w:tcW w:w="554" w:type="pct"/>
            <w:shd w:val="clear" w:color="auto" w:fill="auto"/>
          </w:tcPr>
          <w:p w:rsidR="00B75476" w:rsidRPr="00894E52" w:rsidRDefault="00B75476" w:rsidP="00A114AE">
            <w:pPr>
              <w:jc w:val="right"/>
              <w:rPr>
                <w:sz w:val="18"/>
              </w:rPr>
            </w:pPr>
            <w:r>
              <w:rPr>
                <w:sz w:val="18"/>
              </w:rPr>
              <w:t>4 776 772</w:t>
            </w:r>
          </w:p>
        </w:tc>
      </w:tr>
      <w:tr w:rsidR="00B75476" w:rsidRPr="00894E52" w:rsidTr="000669A6">
        <w:tc>
          <w:tcPr>
            <w:tcW w:w="561" w:type="pct"/>
            <w:vMerge/>
            <w:shd w:val="clear" w:color="auto" w:fill="auto"/>
          </w:tcPr>
          <w:p w:rsidR="00B75476" w:rsidRPr="00894E52" w:rsidRDefault="00B75476" w:rsidP="00A114AE">
            <w:pPr>
              <w:jc w:val="center"/>
              <w:rPr>
                <w:sz w:val="18"/>
                <w:lang w:val="en-US"/>
              </w:rPr>
            </w:pPr>
          </w:p>
        </w:tc>
        <w:tc>
          <w:tcPr>
            <w:tcW w:w="422" w:type="pct"/>
            <w:vMerge/>
            <w:shd w:val="clear" w:color="auto" w:fill="auto"/>
          </w:tcPr>
          <w:p w:rsidR="00B75476" w:rsidRPr="00894E52" w:rsidRDefault="00B75476" w:rsidP="00A114AE">
            <w:pPr>
              <w:jc w:val="center"/>
              <w:rPr>
                <w:sz w:val="18"/>
                <w:lang w:val="en-US"/>
              </w:rPr>
            </w:pPr>
          </w:p>
        </w:tc>
        <w:tc>
          <w:tcPr>
            <w:tcW w:w="685" w:type="pct"/>
            <w:shd w:val="clear" w:color="auto" w:fill="auto"/>
          </w:tcPr>
          <w:p w:rsidR="00B75476" w:rsidRPr="00894E52" w:rsidRDefault="00B75476" w:rsidP="00A114AE">
            <w:pPr>
              <w:jc w:val="left"/>
              <w:rPr>
                <w:sz w:val="18"/>
              </w:rPr>
            </w:pPr>
            <w:r>
              <w:rPr>
                <w:sz w:val="18"/>
              </w:rPr>
              <w:t>Coûts d’appui</w:t>
            </w:r>
          </w:p>
        </w:tc>
        <w:tc>
          <w:tcPr>
            <w:tcW w:w="555" w:type="pct"/>
            <w:shd w:val="clear" w:color="auto" w:fill="auto"/>
          </w:tcPr>
          <w:p w:rsidR="00B75476" w:rsidRPr="00894E52" w:rsidRDefault="00B75476" w:rsidP="00A114AE">
            <w:pPr>
              <w:jc w:val="right"/>
              <w:rPr>
                <w:sz w:val="18"/>
              </w:rPr>
            </w:pPr>
            <w:r>
              <w:rPr>
                <w:sz w:val="18"/>
              </w:rPr>
              <w:t>164 514</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138 590</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31 270</w:t>
            </w:r>
          </w:p>
        </w:tc>
        <w:tc>
          <w:tcPr>
            <w:tcW w:w="554" w:type="pct"/>
            <w:shd w:val="clear" w:color="auto" w:fill="auto"/>
          </w:tcPr>
          <w:p w:rsidR="00B75476" w:rsidRPr="00894E52" w:rsidRDefault="00B75476" w:rsidP="00A114AE">
            <w:pPr>
              <w:jc w:val="right"/>
              <w:rPr>
                <w:sz w:val="18"/>
              </w:rPr>
            </w:pPr>
            <w:r>
              <w:rPr>
                <w:sz w:val="18"/>
              </w:rPr>
              <w:t>334 374</w:t>
            </w:r>
          </w:p>
        </w:tc>
      </w:tr>
      <w:tr w:rsidR="00B75476" w:rsidRPr="00894E52" w:rsidTr="000669A6">
        <w:tc>
          <w:tcPr>
            <w:tcW w:w="984" w:type="pct"/>
            <w:gridSpan w:val="2"/>
            <w:vMerge w:val="restart"/>
            <w:shd w:val="clear" w:color="auto" w:fill="auto"/>
          </w:tcPr>
          <w:p w:rsidR="00B75476" w:rsidRPr="00B75476" w:rsidRDefault="00B75476" w:rsidP="00A114AE">
            <w:pPr>
              <w:jc w:val="left"/>
              <w:rPr>
                <w:sz w:val="18"/>
                <w:lang w:val="fr-FR"/>
              </w:rPr>
            </w:pPr>
            <w:r w:rsidRPr="00B75476">
              <w:rPr>
                <w:sz w:val="18"/>
                <w:lang w:val="fr-FR"/>
              </w:rPr>
              <w:t>Financement approuvé par ExCom ($ US)</w:t>
            </w:r>
          </w:p>
        </w:tc>
        <w:tc>
          <w:tcPr>
            <w:tcW w:w="685" w:type="pct"/>
            <w:shd w:val="clear" w:color="auto" w:fill="auto"/>
          </w:tcPr>
          <w:p w:rsidR="00B75476" w:rsidRPr="00894E52" w:rsidRDefault="00B75476" w:rsidP="00A114AE">
            <w:pPr>
              <w:jc w:val="left"/>
              <w:rPr>
                <w:sz w:val="18"/>
              </w:rPr>
            </w:pPr>
            <w:r>
              <w:rPr>
                <w:sz w:val="18"/>
              </w:rPr>
              <w:t>Coûts du projet</w:t>
            </w:r>
          </w:p>
        </w:tc>
        <w:tc>
          <w:tcPr>
            <w:tcW w:w="555" w:type="pct"/>
            <w:shd w:val="clear" w:color="auto" w:fill="auto"/>
          </w:tcPr>
          <w:p w:rsidR="00B75476" w:rsidRPr="00894E52" w:rsidRDefault="00B75476" w:rsidP="00A114AE">
            <w:pPr>
              <w:jc w:val="right"/>
              <w:rPr>
                <w:sz w:val="18"/>
              </w:rPr>
            </w:pPr>
            <w:r>
              <w:rPr>
                <w:sz w:val="18"/>
              </w:rPr>
              <w:t>2 550 200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0</w:t>
            </w:r>
          </w:p>
        </w:tc>
        <w:tc>
          <w:tcPr>
            <w:tcW w:w="554" w:type="pct"/>
            <w:shd w:val="clear" w:color="auto" w:fill="auto"/>
          </w:tcPr>
          <w:p w:rsidR="00B75476" w:rsidRPr="00894E52" w:rsidRDefault="00B75476" w:rsidP="00A114AE">
            <w:pPr>
              <w:jc w:val="right"/>
              <w:rPr>
                <w:sz w:val="18"/>
              </w:rPr>
            </w:pPr>
            <w:r>
              <w:rPr>
                <w:sz w:val="18"/>
              </w:rPr>
              <w:t>2 550 200</w:t>
            </w:r>
          </w:p>
        </w:tc>
      </w:tr>
      <w:tr w:rsidR="00B75476" w:rsidRPr="00894E52" w:rsidTr="000669A6">
        <w:tc>
          <w:tcPr>
            <w:tcW w:w="984" w:type="pct"/>
            <w:gridSpan w:val="2"/>
            <w:vMerge/>
            <w:shd w:val="clear" w:color="auto" w:fill="auto"/>
          </w:tcPr>
          <w:p w:rsidR="00B75476" w:rsidRPr="00894E52" w:rsidRDefault="00B75476" w:rsidP="00A114AE">
            <w:pPr>
              <w:jc w:val="center"/>
              <w:rPr>
                <w:sz w:val="18"/>
                <w:lang w:val="en-US"/>
              </w:rPr>
            </w:pPr>
          </w:p>
        </w:tc>
        <w:tc>
          <w:tcPr>
            <w:tcW w:w="685" w:type="pct"/>
            <w:shd w:val="clear" w:color="auto" w:fill="auto"/>
          </w:tcPr>
          <w:p w:rsidR="00B75476" w:rsidRPr="00894E52" w:rsidRDefault="00B75476" w:rsidP="00A114AE">
            <w:pPr>
              <w:jc w:val="left"/>
              <w:rPr>
                <w:sz w:val="18"/>
              </w:rPr>
            </w:pPr>
            <w:r>
              <w:rPr>
                <w:sz w:val="18"/>
              </w:rPr>
              <w:t>Coûts d’appui</w:t>
            </w:r>
          </w:p>
        </w:tc>
        <w:tc>
          <w:tcPr>
            <w:tcW w:w="555" w:type="pct"/>
            <w:shd w:val="clear" w:color="auto" w:fill="auto"/>
          </w:tcPr>
          <w:p w:rsidR="00B75476" w:rsidRPr="00894E52" w:rsidRDefault="00B75476" w:rsidP="00A114AE">
            <w:pPr>
              <w:jc w:val="right"/>
              <w:rPr>
                <w:sz w:val="18"/>
              </w:rPr>
            </w:pPr>
            <w:r>
              <w:rPr>
                <w:sz w:val="18"/>
              </w:rPr>
              <w:t>190 490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0</w:t>
            </w:r>
          </w:p>
        </w:tc>
        <w:tc>
          <w:tcPr>
            <w:tcW w:w="554" w:type="pct"/>
            <w:shd w:val="clear" w:color="auto" w:fill="auto"/>
          </w:tcPr>
          <w:p w:rsidR="00B75476" w:rsidRPr="00894E52" w:rsidRDefault="00B75476" w:rsidP="00A114AE">
            <w:pPr>
              <w:jc w:val="right"/>
              <w:rPr>
                <w:sz w:val="18"/>
              </w:rPr>
            </w:pPr>
            <w:r>
              <w:rPr>
                <w:sz w:val="18"/>
              </w:rPr>
              <w:t>190 490</w:t>
            </w:r>
          </w:p>
        </w:tc>
      </w:tr>
      <w:tr w:rsidR="00B75476" w:rsidRPr="00894E52" w:rsidTr="000669A6">
        <w:tc>
          <w:tcPr>
            <w:tcW w:w="984" w:type="pct"/>
            <w:gridSpan w:val="2"/>
            <w:vMerge w:val="restart"/>
            <w:shd w:val="clear" w:color="auto" w:fill="auto"/>
          </w:tcPr>
          <w:p w:rsidR="00B75476" w:rsidRPr="00B75476" w:rsidRDefault="00B75476" w:rsidP="00A114AE">
            <w:pPr>
              <w:jc w:val="left"/>
              <w:rPr>
                <w:sz w:val="18"/>
                <w:lang w:val="fr-FR"/>
              </w:rPr>
            </w:pPr>
            <w:r w:rsidRPr="00B75476">
              <w:rPr>
                <w:sz w:val="18"/>
                <w:lang w:val="fr-FR"/>
              </w:rPr>
              <w:t>Total des fonds demandés pour approbation à cette réunion ($ US)</w:t>
            </w:r>
          </w:p>
        </w:tc>
        <w:tc>
          <w:tcPr>
            <w:tcW w:w="685" w:type="pct"/>
            <w:shd w:val="clear" w:color="auto" w:fill="auto"/>
          </w:tcPr>
          <w:p w:rsidR="00B75476" w:rsidRPr="00894E52" w:rsidRDefault="00B75476" w:rsidP="00A114AE">
            <w:pPr>
              <w:jc w:val="left"/>
              <w:rPr>
                <w:sz w:val="18"/>
              </w:rPr>
            </w:pPr>
            <w:r>
              <w:rPr>
                <w:sz w:val="18"/>
              </w:rPr>
              <w:t>Coûts du projet</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2 179 852*</w:t>
            </w:r>
          </w:p>
        </w:tc>
        <w:tc>
          <w:tcPr>
            <w:tcW w:w="556" w:type="pct"/>
            <w:shd w:val="clear" w:color="auto" w:fill="auto"/>
          </w:tcPr>
          <w:p w:rsidR="00B75476" w:rsidRPr="00894E52" w:rsidRDefault="00B75476" w:rsidP="00A114AE">
            <w:pPr>
              <w:jc w:val="right"/>
              <w:rPr>
                <w:sz w:val="18"/>
                <w:lang w:val="en-US"/>
              </w:rPr>
            </w:pPr>
          </w:p>
        </w:tc>
        <w:tc>
          <w:tcPr>
            <w:tcW w:w="554" w:type="pct"/>
            <w:shd w:val="clear" w:color="auto" w:fill="auto"/>
          </w:tcPr>
          <w:p w:rsidR="00B75476" w:rsidRPr="00894E52" w:rsidRDefault="00B75476" w:rsidP="00A114AE">
            <w:pPr>
              <w:jc w:val="right"/>
              <w:rPr>
                <w:sz w:val="18"/>
              </w:rPr>
            </w:pPr>
            <w:r>
              <w:rPr>
                <w:sz w:val="18"/>
              </w:rPr>
              <w:t>2 179 852</w:t>
            </w:r>
          </w:p>
        </w:tc>
      </w:tr>
      <w:tr w:rsidR="00B75476" w:rsidRPr="00894E52" w:rsidTr="000669A6">
        <w:tc>
          <w:tcPr>
            <w:tcW w:w="984" w:type="pct"/>
            <w:gridSpan w:val="2"/>
            <w:vMerge/>
            <w:shd w:val="clear" w:color="auto" w:fill="auto"/>
          </w:tcPr>
          <w:p w:rsidR="00B75476" w:rsidRPr="00894E52" w:rsidRDefault="00B75476" w:rsidP="00A114AE">
            <w:pPr>
              <w:jc w:val="center"/>
              <w:rPr>
                <w:sz w:val="18"/>
                <w:lang w:val="en-US"/>
              </w:rPr>
            </w:pPr>
          </w:p>
        </w:tc>
        <w:tc>
          <w:tcPr>
            <w:tcW w:w="685" w:type="pct"/>
            <w:shd w:val="clear" w:color="auto" w:fill="auto"/>
          </w:tcPr>
          <w:p w:rsidR="00B75476" w:rsidRPr="00894E52" w:rsidRDefault="00B75476" w:rsidP="00A114AE">
            <w:pPr>
              <w:jc w:val="left"/>
              <w:rPr>
                <w:sz w:val="18"/>
              </w:rPr>
            </w:pPr>
            <w:r>
              <w:rPr>
                <w:sz w:val="18"/>
              </w:rPr>
              <w:t>Coûts d’appui</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5" w:type="pct"/>
            <w:shd w:val="clear" w:color="auto" w:fill="auto"/>
          </w:tcPr>
          <w:p w:rsidR="00B75476" w:rsidRPr="00894E52" w:rsidRDefault="00B75476" w:rsidP="00A114AE">
            <w:pPr>
              <w:jc w:val="right"/>
              <w:rPr>
                <w:sz w:val="18"/>
              </w:rPr>
            </w:pPr>
            <w:r>
              <w:rPr>
                <w:sz w:val="18"/>
              </w:rPr>
              <w:t>0</w:t>
            </w:r>
          </w:p>
        </w:tc>
        <w:tc>
          <w:tcPr>
            <w:tcW w:w="556" w:type="pct"/>
            <w:shd w:val="clear" w:color="auto" w:fill="auto"/>
          </w:tcPr>
          <w:p w:rsidR="00B75476" w:rsidRPr="00894E52" w:rsidRDefault="00B75476" w:rsidP="00A114AE">
            <w:pPr>
              <w:jc w:val="right"/>
              <w:rPr>
                <w:sz w:val="18"/>
              </w:rPr>
            </w:pPr>
            <w:r>
              <w:rPr>
                <w:sz w:val="18"/>
              </w:rPr>
              <w:t>164 566</w:t>
            </w:r>
          </w:p>
        </w:tc>
        <w:tc>
          <w:tcPr>
            <w:tcW w:w="556" w:type="pct"/>
            <w:shd w:val="clear" w:color="auto" w:fill="auto"/>
          </w:tcPr>
          <w:p w:rsidR="00B75476" w:rsidRPr="00894E52" w:rsidRDefault="00B75476" w:rsidP="00A114AE">
            <w:pPr>
              <w:jc w:val="right"/>
              <w:rPr>
                <w:sz w:val="18"/>
                <w:lang w:val="en-US"/>
              </w:rPr>
            </w:pPr>
          </w:p>
        </w:tc>
        <w:tc>
          <w:tcPr>
            <w:tcW w:w="554" w:type="pct"/>
            <w:shd w:val="clear" w:color="auto" w:fill="auto"/>
          </w:tcPr>
          <w:p w:rsidR="00B75476" w:rsidRPr="00894E52" w:rsidRDefault="00B75476" w:rsidP="00A114AE">
            <w:pPr>
              <w:jc w:val="right"/>
              <w:rPr>
                <w:sz w:val="18"/>
              </w:rPr>
            </w:pPr>
            <w:r>
              <w:rPr>
                <w:sz w:val="18"/>
              </w:rPr>
              <w:t>164 566</w:t>
            </w:r>
          </w:p>
        </w:tc>
      </w:tr>
    </w:tbl>
    <w:p w:rsidR="00B75476" w:rsidRPr="00B75476" w:rsidRDefault="00B75476" w:rsidP="00B75476">
      <w:pPr>
        <w:spacing w:after="60"/>
        <w:rPr>
          <w:sz w:val="18"/>
          <w:lang w:val="fr-FR"/>
        </w:rPr>
      </w:pPr>
      <w:r w:rsidRPr="00B75476">
        <w:rPr>
          <w:sz w:val="18"/>
          <w:lang w:val="fr-FR"/>
        </w:rPr>
        <w:t>*La deuxième tranche aurait dû être présentée en 2018.</w:t>
      </w:r>
    </w:p>
    <w:tbl>
      <w:tblPr>
        <w:tblStyle w:val="TableGrid"/>
        <w:tblW w:w="5380" w:type="pct"/>
        <w:tblLook w:val="04A0" w:firstRow="1" w:lastRow="0" w:firstColumn="1" w:lastColumn="0" w:noHBand="0" w:noVBand="1"/>
      </w:tblPr>
      <w:tblGrid>
        <w:gridCol w:w="2805"/>
        <w:gridCol w:w="7256"/>
      </w:tblGrid>
      <w:tr w:rsidR="00B75476" w:rsidRPr="00894E52" w:rsidTr="00A114AE">
        <w:trPr>
          <w:trHeight w:val="240"/>
        </w:trPr>
        <w:tc>
          <w:tcPr>
            <w:tcW w:w="1394" w:type="pct"/>
            <w:shd w:val="clear" w:color="auto" w:fill="auto"/>
          </w:tcPr>
          <w:p w:rsidR="00B75476" w:rsidRPr="00894E52" w:rsidRDefault="00B75476" w:rsidP="00A114AE">
            <w:pPr>
              <w:spacing w:after="60"/>
              <w:jc w:val="left"/>
              <w:rPr>
                <w:b/>
                <w:sz w:val="18"/>
              </w:rPr>
            </w:pPr>
            <w:r>
              <w:rPr>
                <w:b/>
                <w:sz w:val="18"/>
              </w:rPr>
              <w:t>Recommandation du Secrétariat :</w:t>
            </w:r>
          </w:p>
        </w:tc>
        <w:tc>
          <w:tcPr>
            <w:tcW w:w="3606" w:type="pct"/>
            <w:shd w:val="clear" w:color="auto" w:fill="auto"/>
          </w:tcPr>
          <w:p w:rsidR="00B75476" w:rsidRPr="00894E52" w:rsidRDefault="00B75476" w:rsidP="00A114AE">
            <w:pPr>
              <w:spacing w:after="60"/>
              <w:jc w:val="center"/>
              <w:rPr>
                <w:sz w:val="18"/>
              </w:rPr>
            </w:pPr>
            <w:r>
              <w:rPr>
                <w:sz w:val="18"/>
              </w:rPr>
              <w:t>Approbation globale</w:t>
            </w:r>
          </w:p>
        </w:tc>
      </w:tr>
    </w:tbl>
    <w:p w:rsidR="00B75476" w:rsidRPr="00894E52" w:rsidRDefault="00B75476" w:rsidP="00B75476">
      <w:pPr>
        <w:spacing w:after="240"/>
        <w:jc w:val="center"/>
        <w:rPr>
          <w:b/>
        </w:rPr>
      </w:pPr>
      <w:r>
        <w:br w:type="page"/>
      </w:r>
    </w:p>
    <w:p w:rsidR="00B75476" w:rsidRPr="00894E52" w:rsidRDefault="00B75476" w:rsidP="00B75476">
      <w:pPr>
        <w:spacing w:after="240"/>
        <w:jc w:val="center"/>
        <w:rPr>
          <w:b/>
        </w:rPr>
      </w:pPr>
      <w:r>
        <w:rPr>
          <w:b/>
        </w:rPr>
        <w:lastRenderedPageBreak/>
        <w:t>DESCRIPTION DU PROJET</w:t>
      </w:r>
    </w:p>
    <w:p w:rsidR="00B75476" w:rsidRPr="00B75476" w:rsidRDefault="00B75476" w:rsidP="00B75476">
      <w:pPr>
        <w:pStyle w:val="Heading1"/>
        <w:rPr>
          <w:lang w:val="fr-FR"/>
        </w:rPr>
      </w:pPr>
      <w:r w:rsidRPr="00B75476">
        <w:rPr>
          <w:lang w:val="fr-FR"/>
        </w:rPr>
        <w:t>Au nom du gouvernement du Pakistan, l’ONUDI, en tant que principale agence d’exécution, a présenté une demande de financement pour la deuxième tranche de la phase II du plan de gestion de l’élimination des HCFC (PGEH) d’un montant total de 2 344 418 $ US, soit 1 979 852 $ US, plus les coûts d’appui d’agence de 138 590 $ US pour l’ONUDI, et de 200 000 $ US, plus les coûts d’appui d’agence de 25 976 $ US pour le PNUE.</w:t>
      </w:r>
      <w:r w:rsidRPr="00894E52">
        <w:rPr>
          <w:rStyle w:val="FootnoteReference"/>
          <w:lang w:val="en-CA"/>
        </w:rPr>
        <w:footnoteReference w:id="1"/>
      </w:r>
      <w:r w:rsidRPr="00B75476">
        <w:rPr>
          <w:lang w:val="fr-FR"/>
        </w:rPr>
        <w:t xml:space="preserve"> La demande comprend un rapport périodique sur la mise en œuvre de la première tranche, la vérification du rapport de consommation des HCFC pour 2016 à 2017, ainsi que le plan de mise en œuvre de la tranche pour 2019 à 2020.</w:t>
      </w:r>
    </w:p>
    <w:p w:rsidR="00B75476" w:rsidRPr="00B75476" w:rsidRDefault="00B75476" w:rsidP="00B75476">
      <w:pPr>
        <w:pStyle w:val="Heading1"/>
        <w:numPr>
          <w:ilvl w:val="0"/>
          <w:numId w:val="0"/>
        </w:numPr>
        <w:rPr>
          <w:u w:val="single"/>
          <w:lang w:val="fr-FR"/>
        </w:rPr>
      </w:pPr>
      <w:r w:rsidRPr="00B75476">
        <w:rPr>
          <w:u w:val="single"/>
          <w:lang w:val="fr-FR"/>
        </w:rPr>
        <w:t>Rapport sur la consommation de HCFC</w:t>
      </w:r>
    </w:p>
    <w:p w:rsidR="00B75476" w:rsidRPr="00B75476" w:rsidRDefault="00B75476" w:rsidP="00B75476">
      <w:pPr>
        <w:pStyle w:val="Heading1"/>
        <w:rPr>
          <w:lang w:val="fr-FR"/>
        </w:rPr>
      </w:pPr>
      <w:r w:rsidRPr="00B75476">
        <w:rPr>
          <w:lang w:val="fr-FR"/>
        </w:rPr>
        <w:t>Le gouvernement du Pakistan a déclaré une consommation de 206,82 tonnes PAO de HCFC en 2017, ce qui est inférieur de 17 pour cent à la valeur de référence révisée des HCFC de 248,11 tonnes PAO établie aux fins de conformité</w:t>
      </w:r>
      <w:r w:rsidRPr="00894E52">
        <w:rPr>
          <w:rStyle w:val="FootnoteReference"/>
          <w:lang w:val="en-CA"/>
        </w:rPr>
        <w:footnoteReference w:id="2"/>
      </w:r>
      <w:r w:rsidRPr="00B75476">
        <w:rPr>
          <w:lang w:val="fr-FR"/>
        </w:rPr>
        <w:t>, et de 7 pour cent inférieur à la cible pour 2017 établie dans l’accord conclu avec le Comité exécutif. La consommation de HCFC en 2014-2017 est indiquée dans le Tableau 1.</w:t>
      </w:r>
    </w:p>
    <w:p w:rsidR="00B75476" w:rsidRPr="00B75476" w:rsidRDefault="00B75476" w:rsidP="00B75476">
      <w:pPr>
        <w:rPr>
          <w:b/>
          <w:lang w:val="fr-FR"/>
        </w:rPr>
      </w:pPr>
      <w:r w:rsidRPr="00B75476">
        <w:rPr>
          <w:b/>
          <w:lang w:val="fr-FR"/>
        </w:rPr>
        <w:t>Tableau 1. Consommation de HCFC au Pakistan (2014-2017, données au titre de l’article 7)</w:t>
      </w:r>
    </w:p>
    <w:tbl>
      <w:tblPr>
        <w:tblW w:w="5000" w:type="pct"/>
        <w:tblLook w:val="04A0" w:firstRow="1" w:lastRow="0" w:firstColumn="1" w:lastColumn="0" w:noHBand="0" w:noVBand="1"/>
      </w:tblPr>
      <w:tblGrid>
        <w:gridCol w:w="2982"/>
        <w:gridCol w:w="1116"/>
        <w:gridCol w:w="1116"/>
        <w:gridCol w:w="1116"/>
        <w:gridCol w:w="1116"/>
        <w:gridCol w:w="1904"/>
      </w:tblGrid>
      <w:tr w:rsidR="00B75476" w:rsidRPr="00894E52" w:rsidTr="00A114AE">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b/>
                <w:bCs/>
                <w:color w:val="000000"/>
                <w:sz w:val="20"/>
                <w:szCs w:val="20"/>
              </w:rPr>
            </w:pPr>
            <w:r>
              <w:rPr>
                <w:b/>
                <w:bCs/>
                <w:color w:val="000000"/>
                <w:sz w:val="20"/>
                <w:szCs w:val="20"/>
              </w:rPr>
              <w:t>HCFC</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rPr>
            </w:pPr>
            <w:r>
              <w:rPr>
                <w:b/>
                <w:bCs/>
                <w:color w:val="000000"/>
                <w:sz w:val="20"/>
                <w:szCs w:val="20"/>
              </w:rPr>
              <w:t>2014</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rPr>
            </w:pPr>
            <w:r>
              <w:rPr>
                <w:b/>
                <w:bCs/>
                <w:color w:val="000000"/>
                <w:sz w:val="20"/>
                <w:szCs w:val="20"/>
              </w:rPr>
              <w:t>2015</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rPr>
            </w:pPr>
            <w:r>
              <w:rPr>
                <w:b/>
                <w:bCs/>
                <w:color w:val="000000"/>
                <w:sz w:val="20"/>
                <w:szCs w:val="20"/>
              </w:rPr>
              <w:t>2016</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center"/>
              <w:rPr>
                <w:b/>
                <w:bCs/>
                <w:color w:val="000000"/>
                <w:sz w:val="20"/>
                <w:szCs w:val="20"/>
              </w:rPr>
            </w:pPr>
            <w:r>
              <w:rPr>
                <w:b/>
                <w:bCs/>
                <w:color w:val="000000"/>
                <w:sz w:val="20"/>
                <w:szCs w:val="20"/>
              </w:rPr>
              <w:t>2017</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rPr>
            </w:pPr>
            <w:r>
              <w:rPr>
                <w:b/>
                <w:bCs/>
                <w:color w:val="000000"/>
                <w:sz w:val="20"/>
                <w:szCs w:val="20"/>
              </w:rPr>
              <w:t>Valeur de référence</w:t>
            </w: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b/>
                <w:bCs/>
                <w:color w:val="000000"/>
                <w:sz w:val="20"/>
                <w:szCs w:val="20"/>
              </w:rPr>
            </w:pPr>
            <w:r>
              <w:rPr>
                <w:b/>
                <w:bCs/>
                <w:color w:val="000000"/>
                <w:sz w:val="20"/>
                <w:szCs w:val="20"/>
              </w:rPr>
              <w:t>Tonnes métriques</w:t>
            </w:r>
          </w:p>
        </w:tc>
        <w:tc>
          <w:tcPr>
            <w:tcW w:w="667" w:type="pct"/>
            <w:tcBorders>
              <w:top w:val="nil"/>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lang w:val="en-CA"/>
              </w:rPr>
            </w:pPr>
          </w:p>
        </w:tc>
        <w:tc>
          <w:tcPr>
            <w:tcW w:w="667" w:type="pct"/>
            <w:tcBorders>
              <w:top w:val="nil"/>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lang w:val="en-CA"/>
              </w:rPr>
            </w:pPr>
          </w:p>
        </w:tc>
        <w:tc>
          <w:tcPr>
            <w:tcW w:w="667" w:type="pct"/>
            <w:tcBorders>
              <w:top w:val="nil"/>
              <w:left w:val="nil"/>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lang w:val="en-CA"/>
              </w:rPr>
            </w:pP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center"/>
              <w:rPr>
                <w:b/>
                <w:bCs/>
                <w:color w:val="000000"/>
                <w:sz w:val="20"/>
                <w:szCs w:val="20"/>
                <w:lang w:val="en-CA"/>
              </w:rPr>
            </w:pPr>
          </w:p>
        </w:tc>
        <w:tc>
          <w:tcPr>
            <w:tcW w:w="667" w:type="pct"/>
            <w:tcBorders>
              <w:top w:val="nil"/>
              <w:left w:val="single" w:sz="4" w:space="0" w:color="auto"/>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center"/>
              <w:rPr>
                <w:b/>
                <w:bCs/>
                <w:color w:val="000000"/>
                <w:sz w:val="20"/>
                <w:szCs w:val="20"/>
                <w:lang w:val="en-CA"/>
              </w:rPr>
            </w:pP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HCFC-22</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3 245,01</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2 562,39</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2 802,00</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2 696,84</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1 908,25</w:t>
            </w: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HCFC-123</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0,00</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0,00</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2,09</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HCFC-141b</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546,50</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555,75</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552,89</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504,16</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1 259,10</w:t>
            </w: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HCFC-142b</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18,44</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sz w:val="20"/>
                <w:szCs w:val="20"/>
              </w:rPr>
            </w:pPr>
            <w:r>
              <w:rPr>
                <w:sz w:val="20"/>
                <w:szCs w:val="20"/>
              </w:rPr>
              <w:t>16,42</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16,50</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46,02</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71,55</w:t>
            </w:r>
          </w:p>
        </w:tc>
      </w:tr>
      <w:tr w:rsidR="00B75476" w:rsidRPr="00894E52" w:rsidTr="00A114AE">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75476" w:rsidRPr="00894E52" w:rsidRDefault="00B75476" w:rsidP="00A114AE">
            <w:pPr>
              <w:jc w:val="left"/>
              <w:rPr>
                <w:rFonts w:eastAsiaTheme="minorHAnsi"/>
                <w:b/>
                <w:color w:val="000000"/>
                <w:sz w:val="20"/>
                <w:szCs w:val="20"/>
              </w:rPr>
            </w:pPr>
            <w:r>
              <w:rPr>
                <w:b/>
                <w:color w:val="000000"/>
                <w:sz w:val="20"/>
                <w:szCs w:val="20"/>
              </w:rPr>
              <w:t>Total (tm)</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3 809,95</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3 134,56</w:t>
            </w:r>
          </w:p>
        </w:tc>
        <w:tc>
          <w:tcPr>
            <w:tcW w:w="667" w:type="pct"/>
            <w:tcBorders>
              <w:top w:val="nil"/>
              <w:left w:val="nil"/>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3 371,39</w:t>
            </w:r>
          </w:p>
        </w:tc>
        <w:tc>
          <w:tcPr>
            <w:tcW w:w="667" w:type="pct"/>
            <w:tcBorders>
              <w:top w:val="single" w:sz="4" w:space="0" w:color="auto"/>
              <w:left w:val="nil"/>
              <w:bottom w:val="single" w:sz="4" w:space="0" w:color="auto"/>
              <w:right w:val="single" w:sz="4" w:space="0" w:color="auto"/>
            </w:tcBorders>
          </w:tcPr>
          <w:p w:rsidR="00B75476" w:rsidRPr="00894E52" w:rsidRDefault="00B75476" w:rsidP="00A114AE">
            <w:pPr>
              <w:widowControl w:val="0"/>
              <w:jc w:val="right"/>
              <w:rPr>
                <w:b/>
                <w:color w:val="000000"/>
                <w:sz w:val="20"/>
                <w:szCs w:val="20"/>
              </w:rPr>
            </w:pPr>
            <w:r>
              <w:rPr>
                <w:b/>
                <w:color w:val="000000"/>
                <w:sz w:val="20"/>
                <w:szCs w:val="20"/>
              </w:rPr>
              <w:t>3 249,11</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3 238,90</w:t>
            </w: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b/>
                <w:bCs/>
                <w:color w:val="000000"/>
                <w:sz w:val="20"/>
                <w:szCs w:val="20"/>
              </w:rPr>
            </w:pPr>
            <w:r>
              <w:rPr>
                <w:b/>
                <w:bCs/>
                <w:color w:val="000000"/>
                <w:sz w:val="20"/>
                <w:szCs w:val="20"/>
              </w:rPr>
              <w:t>Tonnes PAO</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5476" w:rsidRPr="00894E52" w:rsidRDefault="00B75476" w:rsidP="00A114AE">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lang w:val="en-CA"/>
              </w:rPr>
            </w:pP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HCFC-22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178,48</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140,93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154,11</w:t>
            </w: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148,33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104,95</w:t>
            </w: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HCFC-123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0,04</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0,00</w:t>
            </w: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HCFC-141b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60,12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61,13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60,82</w:t>
            </w: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55,46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138,50</w:t>
            </w: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5476" w:rsidRPr="00894E52" w:rsidRDefault="00B75476" w:rsidP="00A114AE">
            <w:pPr>
              <w:widowControl w:val="0"/>
              <w:jc w:val="left"/>
              <w:rPr>
                <w:color w:val="000000"/>
                <w:sz w:val="20"/>
                <w:szCs w:val="20"/>
              </w:rPr>
            </w:pPr>
            <w:r>
              <w:rPr>
                <w:color w:val="000000"/>
                <w:sz w:val="20"/>
                <w:szCs w:val="20"/>
              </w:rPr>
              <w:t>HCFC-142b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1,20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1,06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1,07</w:t>
            </w: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widowControl w:val="0"/>
              <w:jc w:val="right"/>
              <w:rPr>
                <w:color w:val="000000"/>
                <w:sz w:val="20"/>
                <w:szCs w:val="20"/>
              </w:rPr>
            </w:pPr>
            <w:r>
              <w:rPr>
                <w:color w:val="000000"/>
                <w:sz w:val="20"/>
                <w:szCs w:val="20"/>
              </w:rPr>
              <w:t>2,99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color w:val="000000"/>
                <w:sz w:val="20"/>
                <w:szCs w:val="20"/>
              </w:rPr>
            </w:pPr>
            <w:r>
              <w:rPr>
                <w:color w:val="000000"/>
                <w:sz w:val="20"/>
                <w:szCs w:val="20"/>
              </w:rPr>
              <w:t>4,66</w:t>
            </w:r>
          </w:p>
        </w:tc>
      </w:tr>
      <w:tr w:rsidR="00B75476" w:rsidRPr="00894E52" w:rsidTr="00A114AE">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75476" w:rsidRPr="00894E52" w:rsidRDefault="00B75476" w:rsidP="00A114AE">
            <w:pPr>
              <w:jc w:val="left"/>
              <w:rPr>
                <w:rFonts w:eastAsiaTheme="minorHAnsi"/>
                <w:b/>
                <w:sz w:val="20"/>
                <w:szCs w:val="20"/>
              </w:rPr>
            </w:pPr>
            <w:r>
              <w:rPr>
                <w:b/>
                <w:sz w:val="20"/>
                <w:szCs w:val="20"/>
              </w:rPr>
              <w:t>Total (tonnes PAO)</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239,79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203,13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5476" w:rsidRPr="00894E52" w:rsidRDefault="00B75476" w:rsidP="00A114AE">
            <w:pPr>
              <w:widowControl w:val="0"/>
              <w:jc w:val="right"/>
              <w:rPr>
                <w:b/>
                <w:color w:val="000000"/>
                <w:sz w:val="20"/>
                <w:szCs w:val="20"/>
              </w:rPr>
            </w:pPr>
            <w:r>
              <w:rPr>
                <w:b/>
                <w:color w:val="000000"/>
                <w:sz w:val="20"/>
                <w:szCs w:val="20"/>
              </w:rPr>
              <w:t>216,00</w:t>
            </w:r>
          </w:p>
        </w:tc>
        <w:tc>
          <w:tcPr>
            <w:tcW w:w="667" w:type="pct"/>
            <w:tcBorders>
              <w:top w:val="single" w:sz="4" w:space="0" w:color="auto"/>
              <w:left w:val="single" w:sz="4" w:space="0" w:color="auto"/>
              <w:bottom w:val="single" w:sz="4" w:space="0" w:color="auto"/>
              <w:right w:val="single" w:sz="4" w:space="0" w:color="auto"/>
            </w:tcBorders>
          </w:tcPr>
          <w:p w:rsidR="00B75476" w:rsidRPr="00894E52" w:rsidRDefault="00B75476" w:rsidP="00A114AE">
            <w:pPr>
              <w:jc w:val="right"/>
              <w:rPr>
                <w:b/>
                <w:color w:val="000000"/>
                <w:sz w:val="20"/>
                <w:szCs w:val="20"/>
              </w:rPr>
            </w:pPr>
            <w:r>
              <w:rPr>
                <w:b/>
                <w:color w:val="000000"/>
                <w:sz w:val="20"/>
                <w:szCs w:val="20"/>
              </w:rPr>
              <w:t>206,82</w:t>
            </w:r>
          </w:p>
        </w:tc>
        <w:tc>
          <w:tcPr>
            <w:tcW w:w="667" w:type="pct"/>
            <w:tcBorders>
              <w:top w:val="single" w:sz="4" w:space="0" w:color="auto"/>
              <w:left w:val="single" w:sz="4" w:space="0" w:color="auto"/>
              <w:bottom w:val="single" w:sz="4" w:space="0" w:color="auto"/>
              <w:right w:val="single" w:sz="4" w:space="0" w:color="auto"/>
            </w:tcBorders>
            <w:shd w:val="clear" w:color="auto" w:fill="auto"/>
            <w:noWrap/>
          </w:tcPr>
          <w:p w:rsidR="00B75476" w:rsidRPr="00894E52" w:rsidRDefault="00B75476" w:rsidP="00A114AE">
            <w:pPr>
              <w:jc w:val="right"/>
              <w:rPr>
                <w:rFonts w:eastAsiaTheme="minorHAnsi"/>
                <w:b/>
                <w:color w:val="000000"/>
                <w:sz w:val="20"/>
                <w:szCs w:val="20"/>
              </w:rPr>
            </w:pPr>
            <w:r>
              <w:rPr>
                <w:b/>
                <w:color w:val="000000"/>
                <w:sz w:val="20"/>
                <w:szCs w:val="20"/>
              </w:rPr>
              <w:t>248,11</w:t>
            </w:r>
          </w:p>
        </w:tc>
      </w:tr>
    </w:tbl>
    <w:p w:rsidR="00B75476" w:rsidRPr="00894E52" w:rsidRDefault="00B75476" w:rsidP="00B75476">
      <w:pPr>
        <w:rPr>
          <w:lang w:val="en-CA"/>
        </w:rPr>
      </w:pPr>
    </w:p>
    <w:p w:rsidR="00B75476" w:rsidRPr="00B75476" w:rsidRDefault="00B75476" w:rsidP="00B75476">
      <w:pPr>
        <w:pStyle w:val="Heading1"/>
        <w:rPr>
          <w:lang w:val="fr-FR"/>
        </w:rPr>
      </w:pPr>
      <w:r w:rsidRPr="00B75476">
        <w:rPr>
          <w:lang w:val="fr-FR"/>
        </w:rPr>
        <w:t xml:space="preserve">Alors que la consommation globale de HCFC avait diminué, les fluctuations de la consommation en 2015 par rapport à 2014, et en 2017 par rapport à 2016, ont été attribuées à l’évolution normale de l’offre et de la demande de ces substances, en prenant note du fait que ces niveaux de consommation étaient inférieurs aux quotas d’importation établis par le gouvernement. La consommation de HCFC-142b a augmenté en raison d’une hausse de la demande en panneaux de mousse de polystyrène extrudé (XPS) pour l’isolation. La consommation de HCFC-123 rapportée en 2017 était destinée à l’entretien des équipements de réfrigération. On estime que la consommation de HCFC en 2018 ne devrait pas dépasser 210 tonnes PAO, soit un chiffre similaire au quota attribué pour 2017. </w:t>
      </w:r>
    </w:p>
    <w:p w:rsidR="00B75476" w:rsidRPr="00B75476" w:rsidRDefault="00B75476" w:rsidP="00B75476">
      <w:pPr>
        <w:keepNext/>
        <w:spacing w:after="240"/>
        <w:rPr>
          <w:i/>
          <w:lang w:val="fr-FR"/>
        </w:rPr>
      </w:pPr>
      <w:r w:rsidRPr="00B75476">
        <w:rPr>
          <w:i/>
          <w:lang w:val="fr-FR"/>
        </w:rPr>
        <w:t>Rapport de mise en œuvre du programme du pays</w:t>
      </w:r>
    </w:p>
    <w:p w:rsidR="00B75476" w:rsidRPr="00B75476" w:rsidRDefault="00B75476" w:rsidP="00B75476">
      <w:pPr>
        <w:pStyle w:val="Heading1"/>
        <w:rPr>
          <w:lang w:val="fr-FR"/>
        </w:rPr>
      </w:pPr>
      <w:r w:rsidRPr="00B75476">
        <w:rPr>
          <w:lang w:val="fr-FR"/>
        </w:rPr>
        <w:t>Le gouvernement du Pakistan a fait état des données de sa consommation de HCFC du secteur pour 2017 dans le rapport de mise en œuvre du programme de pays, lesquelles correspondent aux données indiquées en vertu de l’article 7 du Protocole de Montréal. Le rapport de données du programme de pays de 2018 sera soumis au 1er mai 2019 au plus tard.</w:t>
      </w:r>
    </w:p>
    <w:p w:rsidR="00B75476" w:rsidRPr="00894E52" w:rsidRDefault="00B75476" w:rsidP="00B75476">
      <w:pPr>
        <w:keepNext/>
        <w:spacing w:after="240"/>
        <w:rPr>
          <w:i/>
        </w:rPr>
      </w:pPr>
      <w:r>
        <w:rPr>
          <w:i/>
        </w:rPr>
        <w:lastRenderedPageBreak/>
        <w:t xml:space="preserve">Rapport de vérification </w:t>
      </w:r>
    </w:p>
    <w:p w:rsidR="00B75476" w:rsidRPr="00B75476" w:rsidRDefault="00B75476" w:rsidP="00B75476">
      <w:pPr>
        <w:pStyle w:val="Heading1"/>
        <w:rPr>
          <w:lang w:val="fr-FR"/>
        </w:rPr>
      </w:pPr>
      <w:r w:rsidRPr="00B75476">
        <w:rPr>
          <w:lang w:val="fr-FR"/>
        </w:rPr>
        <w:t xml:space="preserve">Le rapport de vérification de la consommation de HCFC a confirmé que le gouvernement mettait actuellement en place un système d’octroi de permis et de quotas pour les importations et les exportations de HCFC, et que la consommation totale de HCFC pour 2016 et 2017 avait été de 216,00 et 206,81 tonnes PAO, respectivement. La vérification a conclu que le Pakistan était conforme aux cibles établies dans l’Accord avec le Comité exécutif pour 2016 et 2017, et qu’il avait réduit son usage de HCFC dans le pays sous les cibles. </w:t>
      </w:r>
    </w:p>
    <w:p w:rsidR="00B75476" w:rsidRPr="00B75476" w:rsidRDefault="00B75476" w:rsidP="00B75476">
      <w:pPr>
        <w:pStyle w:val="Heading1"/>
        <w:rPr>
          <w:lang w:val="fr-FR"/>
        </w:rPr>
      </w:pPr>
      <w:r w:rsidRPr="00B75476">
        <w:rPr>
          <w:lang w:val="fr-FR"/>
        </w:rPr>
        <w:t>Le rapport ne comprend pas la vérification de la consommation pour 2018 car celui-ci a été commandé en 2017 pour appuyer la présentation de la deuxième tranche qui était attendue en 2018. Les données de consommation de 2018 ne sont pas encore officiellement disponibles et doivent être approuvées à un niveau élevé avant de pouvoir être présentées. L’ONUDI a confirmé que la consommation pour 2018 ne serait pas supérieure au quota fixé pour 2018.</w:t>
      </w:r>
      <w:r>
        <w:rPr>
          <w:lang w:val="fr-FR"/>
        </w:rPr>
        <w:t xml:space="preserve"> </w:t>
      </w:r>
    </w:p>
    <w:p w:rsidR="00B75476" w:rsidRPr="00B75476" w:rsidRDefault="00B75476" w:rsidP="00B75476">
      <w:pPr>
        <w:pStyle w:val="Heading1"/>
        <w:rPr>
          <w:lang w:val="fr-FR"/>
        </w:rPr>
      </w:pPr>
      <w:r w:rsidRPr="00B75476">
        <w:rPr>
          <w:lang w:val="fr-FR"/>
        </w:rPr>
        <w:t>Le rapport recommande de poursuivre l’utilisation de codes individuels du Système harmonisé (SH) pour les substances de remplacement fluorées des HCFC et des CFC les plus couramment commercialisées afin d’améliorer la collecte des données pour l’importation des SAO et de leurs mélanges.</w:t>
      </w:r>
    </w:p>
    <w:p w:rsidR="00B75476" w:rsidRPr="00B75476" w:rsidRDefault="00B75476" w:rsidP="00B75476">
      <w:pPr>
        <w:pStyle w:val="Heading1"/>
        <w:keepNext/>
        <w:numPr>
          <w:ilvl w:val="0"/>
          <w:numId w:val="0"/>
        </w:numPr>
        <w:rPr>
          <w:u w:val="single"/>
          <w:lang w:val="fr-FR"/>
        </w:rPr>
      </w:pPr>
      <w:r w:rsidRPr="00B75476">
        <w:rPr>
          <w:u w:val="single"/>
          <w:lang w:val="fr-FR"/>
        </w:rPr>
        <w:t>Rapport périodique sur la mise en œuvre de la première tranche du PGEH</w:t>
      </w:r>
    </w:p>
    <w:p w:rsidR="00B75476" w:rsidRPr="00894E52" w:rsidRDefault="00B75476" w:rsidP="00B75476">
      <w:pPr>
        <w:keepNext/>
        <w:spacing w:after="240"/>
        <w:rPr>
          <w:i/>
        </w:rPr>
      </w:pPr>
      <w:r>
        <w:rPr>
          <w:i/>
        </w:rPr>
        <w:t>Cadre juridique</w:t>
      </w:r>
    </w:p>
    <w:p w:rsidR="00B75476" w:rsidRPr="00B75476" w:rsidRDefault="00B75476" w:rsidP="00B75476">
      <w:pPr>
        <w:pStyle w:val="Heading1"/>
        <w:rPr>
          <w:lang w:val="fr-FR"/>
        </w:rPr>
      </w:pPr>
      <w:r w:rsidRPr="00B75476">
        <w:rPr>
          <w:lang w:val="fr-FR"/>
        </w:rPr>
        <w:t xml:space="preserve">Les systèmes d’octroi de permis et de quotas pour l’importation et/ou l’exportation de HCFC continuent d’être opérationnels depuis 2013 ; l’importation des substances qui ont été éliminées auparavant (à savoir, les CFC et les halons) est interdite ; le HCFC-142b sera ajouté à la liste des substances réglementées conformément à la réglementation SRO 634(1), Règles douanières du Pakistan mises à jour en 2014. Le gouvernement étudie également la mise en œuvre de nouvelles dispositions législatives, y compris entre autres l’interdiction de l’importation des produits et des équipements utilisant ou contenant des HCFC et des mélanges de HCFC, des allégements fiscaux sur les </w:t>
      </w:r>
      <w:r w:rsidRPr="00B75476">
        <w:rPr>
          <w:lang w:val="fr-FR"/>
        </w:rPr>
        <w:noBreakHyphen/>
        <w:t xml:space="preserve">produits sans HCFC et une taxation plus importante des </w:t>
      </w:r>
      <w:r w:rsidRPr="00B75476">
        <w:rPr>
          <w:lang w:val="fr-FR"/>
        </w:rPr>
        <w:noBreakHyphen/>
        <w:t xml:space="preserve">produits à base de HCFC. Le gouvernement a également pris des mesures pour élaborer des réglementations visant à soutenir la réduction progressive des HFC et des mélanges à base de HFC, y compris avec l’inclusion de ces substances dans le système actuel de quotas d’importation. </w:t>
      </w:r>
    </w:p>
    <w:p w:rsidR="00B75476" w:rsidRPr="00B75476" w:rsidRDefault="00B75476" w:rsidP="00B75476">
      <w:pPr>
        <w:pStyle w:val="Heading1"/>
        <w:rPr>
          <w:lang w:val="fr-FR"/>
        </w:rPr>
      </w:pPr>
      <w:r w:rsidRPr="00B75476">
        <w:rPr>
          <w:lang w:val="fr-FR"/>
        </w:rPr>
        <w:t xml:space="preserve">23 agents ont été formés à la réglementation sur la prévention du commerce illicite de SAO et la manipulation et le stockage des gaz inflammables ; huit identifiants de frigorigènes ont été achetés et distribués dans les principaux ports d’entrée ; trois agents des douanes ont participé à un atelier organisé par le PNUE sur le profilage des risques dans le cadre des indicateurs de risque associés au commerce illicite de SAO ; et un agent des douanes a participé au dialogue frontalier sur la coordination et le rapprochement des données pour le commerce de SAO avec des homologues de l’Afghanistan et de la République islamique d’Iran. </w:t>
      </w:r>
    </w:p>
    <w:p w:rsidR="00B75476" w:rsidRPr="00B75476" w:rsidRDefault="00B75476" w:rsidP="00B75476">
      <w:pPr>
        <w:pStyle w:val="Heading1"/>
        <w:rPr>
          <w:lang w:val="fr-FR"/>
        </w:rPr>
      </w:pPr>
      <w:r w:rsidRPr="00B75476">
        <w:rPr>
          <w:lang w:val="fr-FR"/>
        </w:rPr>
        <w:t>L’Agence nationale pour la préservation de l’énergie en collaboration avec l’Autorité des normes et du contrôle qualité du Pakistan (Pakistan Standards Quality Control Authority, PSQCA) a élaboré des normes minimales de performance énergétique (MEPS) pour les climatiseurs de type fenêtre et ceux à condenseur séparé (de 12 000 BTU à 48 000 BTU) ainsi que pour les réfrigérateurs domestiques. La PSQCA a également adopté des normes applicables à la manipulation en toute sécurité des frigorigènes dans le secteur de la réfrigération et de la climatisation (RAC) en accord avec les normes ISO. Ces normes (ISO-817</w:t>
      </w:r>
      <w:r w:rsidRPr="00894E52">
        <w:rPr>
          <w:rStyle w:val="FootnoteReference"/>
          <w:lang w:val="en-CA"/>
        </w:rPr>
        <w:footnoteReference w:id="3"/>
      </w:r>
      <w:r w:rsidRPr="00B75476">
        <w:rPr>
          <w:lang w:val="fr-FR"/>
        </w:rPr>
        <w:t xml:space="preserve"> et ISO-5149</w:t>
      </w:r>
      <w:r w:rsidRPr="00894E52">
        <w:rPr>
          <w:rStyle w:val="FootnoteReference"/>
          <w:lang w:val="en-CA"/>
        </w:rPr>
        <w:footnoteReference w:id="4"/>
      </w:r>
      <w:r w:rsidRPr="00B75476">
        <w:rPr>
          <w:lang w:val="fr-FR"/>
        </w:rPr>
        <w:t xml:space="preserve">) seront incluses dans le programme de formation des techniciens. </w:t>
      </w:r>
    </w:p>
    <w:p w:rsidR="00B75476" w:rsidRPr="00B75476" w:rsidRDefault="00B75476" w:rsidP="00B75476">
      <w:pPr>
        <w:spacing w:after="240"/>
        <w:rPr>
          <w:i/>
          <w:lang w:val="fr-FR"/>
        </w:rPr>
      </w:pPr>
      <w:r w:rsidRPr="00B75476">
        <w:rPr>
          <w:i/>
          <w:lang w:val="fr-FR"/>
        </w:rPr>
        <w:lastRenderedPageBreak/>
        <w:t>Secteur de fabrication du polyuréthane (PU)</w:t>
      </w:r>
    </w:p>
    <w:p w:rsidR="00B75476" w:rsidRPr="00B75476" w:rsidRDefault="00B75476" w:rsidP="00B75476">
      <w:pPr>
        <w:pStyle w:val="Heading1"/>
        <w:rPr>
          <w:lang w:val="fr-FR"/>
        </w:rPr>
      </w:pPr>
      <w:r w:rsidRPr="00B75476">
        <w:rPr>
          <w:lang w:val="fr-FR"/>
        </w:rPr>
        <w:t>La phase II du PGEH a inclus les reconversions de sept entreprises de fabrication d’équipements thermiques à base de PU en vue de l’élimination de 34,06 tonnes PAO et de quatre entreprises de fabrication de panneaux discontinus dans le but d’éliminer 24,64 tonnes PAO. Des contrats ont été signés avec les sept entreprises spécialisées en équipements thermiques en suivant les procédures de l’ONUDI. Les équipements ont été achetés (par exemple, une machine de moussage à faible dosage et à haute pression comprenant un panneau de commande et des refroidisseurs) et livrés et sont actuellement en cours d’installation. La mise en service, le démarrage et la formation seront assurés par le fournisseur de l’équipement en mai 2019. L’appel d’offres a été lancé pour les principaux équipements et accessoires des quatre entreprises spécialisées dans les panneaux discontinus ; les achats ont été retardés pour des raisons techniques liées aux spécifications finales de l’équipement. Cette étape devrait être achevée avant la fin du premier semestre 2019.</w:t>
      </w:r>
    </w:p>
    <w:p w:rsidR="00B75476" w:rsidRPr="00B75476" w:rsidRDefault="00B75476" w:rsidP="00B75476">
      <w:pPr>
        <w:rPr>
          <w:i/>
          <w:lang w:val="fr-FR"/>
        </w:rPr>
      </w:pPr>
      <w:r w:rsidRPr="00B75476">
        <w:rPr>
          <w:i/>
          <w:lang w:val="fr-FR"/>
        </w:rPr>
        <w:t>Secteur des mousses de polystyrène extrudé</w:t>
      </w:r>
    </w:p>
    <w:p w:rsidR="00B75476" w:rsidRPr="008605C4" w:rsidRDefault="00B75476" w:rsidP="00B75476">
      <w:pPr>
        <w:rPr>
          <w:lang w:val="fr-FR"/>
        </w:rPr>
      </w:pPr>
    </w:p>
    <w:p w:rsidR="00B75476" w:rsidRPr="00B75476" w:rsidRDefault="00B75476" w:rsidP="00B75476">
      <w:pPr>
        <w:pStyle w:val="Heading1"/>
        <w:rPr>
          <w:u w:val="single"/>
          <w:lang w:val="fr-FR"/>
        </w:rPr>
      </w:pPr>
      <w:r w:rsidRPr="00B75476">
        <w:rPr>
          <w:lang w:val="fr-FR"/>
        </w:rPr>
        <w:t>Conformément à la décision 76/39(f)</w:t>
      </w:r>
      <w:r w:rsidRPr="00894E52">
        <w:rPr>
          <w:rStyle w:val="FootnoteReference"/>
          <w:lang w:val="en-CA"/>
        </w:rPr>
        <w:footnoteReference w:id="5"/>
      </w:r>
      <w:r w:rsidRPr="00B75476">
        <w:rPr>
          <w:lang w:val="fr-FR"/>
        </w:rPr>
        <w:t>, l’ONUDI a également présenté un projet d’élimination de 76,68 tonnes métriques (4,68 tonnes PAO) de HCFC-142b et de HCFC-22 via la reconversion vers l’éther diméthylique (DME), le CO</w:t>
      </w:r>
      <w:r w:rsidRPr="00B75476">
        <w:rPr>
          <w:vertAlign w:val="subscript"/>
          <w:lang w:val="fr-FR"/>
        </w:rPr>
        <w:t>2</w:t>
      </w:r>
      <w:r w:rsidRPr="00B75476">
        <w:rPr>
          <w:lang w:val="fr-FR"/>
        </w:rPr>
        <w:t xml:space="preserve"> et le HFO d’une entreprise spécialisée dans la mousse XPS (Symbol Industry). Le coût total du projet présenté était de 871 527 $ US (surcoûts d’investissement de 694 700 $ US et surcoûts d’exploitation de 107 357 $ US), plus les coûts d’appui pour l’ONUDI. Le rapport coût-efficacité du projet tel que présenté est de 11,36 $ US/kg.</w:t>
      </w:r>
      <w:r w:rsidRPr="00894E52">
        <w:rPr>
          <w:rStyle w:val="FootnoteReference"/>
          <w:lang w:val="en-CA"/>
        </w:rPr>
        <w:footnoteReference w:id="6"/>
      </w:r>
    </w:p>
    <w:p w:rsidR="00B75476" w:rsidRPr="00B75476" w:rsidRDefault="00B75476" w:rsidP="00B75476">
      <w:pPr>
        <w:keepNext/>
        <w:spacing w:after="240"/>
        <w:rPr>
          <w:i/>
          <w:lang w:val="fr-FR"/>
        </w:rPr>
      </w:pPr>
      <w:r w:rsidRPr="00B75476">
        <w:rPr>
          <w:i/>
          <w:lang w:val="fr-FR"/>
        </w:rPr>
        <w:t>Secteur de l’entretien des systèmes de réfrigération</w:t>
      </w:r>
    </w:p>
    <w:p w:rsidR="00B75476" w:rsidRPr="00B75476" w:rsidRDefault="00B75476" w:rsidP="00B75476">
      <w:pPr>
        <w:pStyle w:val="Heading1"/>
        <w:rPr>
          <w:lang w:val="fr-FR"/>
        </w:rPr>
      </w:pPr>
      <w:r w:rsidRPr="00B75476">
        <w:rPr>
          <w:lang w:val="fr-FR"/>
        </w:rPr>
        <w:t>91 techniciens ont été formés aux technologies émergentes, à la manipulation et au stockage en toute sécurité des frigorigènes inflammables ; le code de pratique sur la manipulation des frigorigènes par les techniciens en entretien et des ateliers ont été élaborés et sont en cours d’examen par un comité technique ; l’achat de matériel de formation et d’outils (par exemple, des pompes à vide, des unités de récupération des frigorigènes et des détecteurs de fuites d’hydrocarbures) pour la Commission nationale de la formation professionnelle et technique (NVTTC) a commencé. Le programme de formation des techniciens en entretien des équipements de réfrigération et de climatisation est en cours de révision afin d’inclure des informations sur les nouveaux</w:t>
      </w:r>
      <w:r>
        <w:rPr>
          <w:lang w:val="fr-FR"/>
        </w:rPr>
        <w:t xml:space="preserve"> </w:t>
      </w:r>
      <w:r w:rsidRPr="00B75476">
        <w:rPr>
          <w:lang w:val="fr-FR"/>
        </w:rPr>
        <w:t>frigorigènes et les technologies connexes, ainsi que des éléments sur la manipulation en toute sécurité des frigorigènes inflammables. La mise en œuvre pilote du programme de certification des techniciens est actuellement en cours avec le Conseil Sindh de l’enseignement technique (SBTE). Elle implique la révision du programme de formation sur les équipements RAC. Ce système de certification est conçu pour s’adapter au sein du processus national de mise en œuvre du cadre de qualification professionnelle.</w:t>
      </w:r>
    </w:p>
    <w:p w:rsidR="00B75476" w:rsidRPr="00B75476" w:rsidRDefault="00B75476" w:rsidP="00B75476">
      <w:pPr>
        <w:pStyle w:val="Heading1"/>
        <w:rPr>
          <w:lang w:val="fr-FR"/>
        </w:rPr>
      </w:pPr>
      <w:r w:rsidRPr="00B75476">
        <w:rPr>
          <w:lang w:val="fr-FR"/>
        </w:rPr>
        <w:t>Des séances de sensibilisation ont été menées pour promouvoir les technologies de remplacement à faible potentiel de réchauffement global (PRG) ainsi que la manipulation et le stockage des frigorigènes inflammables ; le guide du PNUE sur les frigorigènes inflammables a été traduit et remis aux techniciens.</w:t>
      </w:r>
    </w:p>
    <w:p w:rsidR="00B75476" w:rsidRPr="00B75476" w:rsidRDefault="00B75476" w:rsidP="00B75476">
      <w:pPr>
        <w:spacing w:after="240"/>
        <w:rPr>
          <w:i/>
          <w:lang w:val="fr-FR"/>
        </w:rPr>
      </w:pPr>
      <w:r w:rsidRPr="00B75476">
        <w:rPr>
          <w:i/>
          <w:lang w:val="fr-FR"/>
        </w:rPr>
        <w:t>Unité de mise en œuvre et de suivi du projet (UGP)</w:t>
      </w:r>
    </w:p>
    <w:p w:rsidR="00B75476" w:rsidRPr="00B75476" w:rsidRDefault="00B75476" w:rsidP="00B75476">
      <w:pPr>
        <w:pStyle w:val="Heading1"/>
        <w:rPr>
          <w:lang w:val="fr-FR"/>
        </w:rPr>
      </w:pPr>
      <w:r w:rsidRPr="00B75476">
        <w:rPr>
          <w:lang w:val="fr-FR"/>
        </w:rPr>
        <w:t xml:space="preserve">L’UNO ou Unité nationale de l’Ozone au sein du Ministère du changement climatique (MoCC) est responsable de la gestion, de la coordination, de l’évaluation et du suivi des projets. Elle est également chargée de faciliter la communication entre les principales parties prenantes et de mieux sensibiliser aux </w:t>
      </w:r>
      <w:r w:rsidRPr="00B75476">
        <w:rPr>
          <w:lang w:val="fr-FR"/>
        </w:rPr>
        <w:lastRenderedPageBreak/>
        <w:t xml:space="preserve">questions des SAO parmi les décideurs. Un consultant a été recruté par l’UNO pour accompagner la mise en œuvre des activités liées au volet PNUE dans le PGEH. </w:t>
      </w:r>
    </w:p>
    <w:p w:rsidR="00B75476" w:rsidRPr="00894E52" w:rsidRDefault="00B75476" w:rsidP="00B75476">
      <w:pPr>
        <w:spacing w:after="240"/>
        <w:rPr>
          <w:u w:val="single"/>
        </w:rPr>
      </w:pPr>
      <w:r>
        <w:rPr>
          <w:u w:val="single"/>
        </w:rPr>
        <w:t>Niveau de décaissement des fonds</w:t>
      </w:r>
    </w:p>
    <w:p w:rsidR="00B75476" w:rsidRPr="00894E52" w:rsidRDefault="00B75476" w:rsidP="00B75476">
      <w:pPr>
        <w:pStyle w:val="Heading1"/>
      </w:pPr>
      <w:r w:rsidRPr="00B75476">
        <w:rPr>
          <w:lang w:val="fr-FR"/>
        </w:rPr>
        <w:t xml:space="preserve">Au mois de mars 2019, sur le montant de 2 550 200 $ US approuvé jusqu’ici (2 350 200 $ US pour l’ONUDI et 200 000 $ US pour le PNUE), 619 469 $ US (24 pour cent) avaient été décaissés (487 469 $ US pour l’ONUDI et 132 000 $ US pour le PNUE). </w:t>
      </w:r>
      <w:r>
        <w:t>Le solde de 1 930 731 $ US sera décaissé en 2019</w:t>
      </w:r>
      <w:r w:rsidR="00A114AE">
        <w:noBreakHyphen/>
      </w:r>
      <w:r>
        <w:t>2020.</w:t>
      </w:r>
    </w:p>
    <w:p w:rsidR="00B75476" w:rsidRPr="00B75476" w:rsidRDefault="00B75476" w:rsidP="00B75476">
      <w:pPr>
        <w:spacing w:after="240"/>
        <w:rPr>
          <w:u w:val="single"/>
          <w:lang w:val="fr-FR"/>
        </w:rPr>
      </w:pPr>
      <w:r w:rsidRPr="00B75476">
        <w:rPr>
          <w:u w:val="single"/>
          <w:lang w:val="fr-FR"/>
        </w:rPr>
        <w:t>Plan de mise en œuvre de la deuxième tranche du PGEH</w:t>
      </w:r>
    </w:p>
    <w:p w:rsidR="00B75476" w:rsidRPr="00B75476" w:rsidRDefault="00B75476" w:rsidP="00B75476">
      <w:pPr>
        <w:pStyle w:val="Heading1"/>
        <w:rPr>
          <w:lang w:val="fr-FR"/>
        </w:rPr>
      </w:pPr>
      <w:r w:rsidRPr="00B75476">
        <w:rPr>
          <w:lang w:val="fr-FR"/>
        </w:rPr>
        <w:t>Les activités suivantes seront mises en œuvre entre juin 2019 et décembre 2020 :</w:t>
      </w:r>
      <w:r w:rsidRPr="00894E52">
        <w:rPr>
          <w:rStyle w:val="FootnoteReference"/>
          <w:lang w:val="en-CA"/>
        </w:rPr>
        <w:footnoteReference w:id="7"/>
      </w:r>
    </w:p>
    <w:p w:rsidR="00B75476" w:rsidRPr="00B75476" w:rsidRDefault="00B75476" w:rsidP="00B75476">
      <w:pPr>
        <w:pStyle w:val="Heading2"/>
        <w:keepNext/>
        <w:keepLines/>
        <w:numPr>
          <w:ilvl w:val="1"/>
          <w:numId w:val="1"/>
        </w:numPr>
        <w:rPr>
          <w:lang w:val="fr-FR"/>
        </w:rPr>
      </w:pPr>
      <w:r w:rsidRPr="00B75476">
        <w:rPr>
          <w:i/>
          <w:lang w:val="fr-FR"/>
        </w:rPr>
        <w:t>Fabrication de climatiseurs </w:t>
      </w:r>
      <w:r w:rsidRPr="00B75476">
        <w:rPr>
          <w:lang w:val="fr-FR"/>
        </w:rPr>
        <w:t>: Reconversion d’une entreprise jugée admissible (Dawlance Industry) du HCFC-22 au R</w:t>
      </w:r>
      <w:r w:rsidRPr="00B75476">
        <w:rPr>
          <w:lang w:val="fr-FR"/>
        </w:rPr>
        <w:noBreakHyphen/>
        <w:t>290 (ONUDI) (1 115 000 $ US) ;</w:t>
      </w:r>
    </w:p>
    <w:p w:rsidR="00B75476" w:rsidRPr="00B75476" w:rsidRDefault="00B75476" w:rsidP="00B75476">
      <w:pPr>
        <w:pStyle w:val="Heading2"/>
        <w:numPr>
          <w:ilvl w:val="1"/>
          <w:numId w:val="1"/>
        </w:numPr>
        <w:rPr>
          <w:lang w:val="fr-FR"/>
        </w:rPr>
      </w:pPr>
      <w:r w:rsidRPr="00B75476">
        <w:rPr>
          <w:i/>
          <w:lang w:val="fr-FR"/>
        </w:rPr>
        <w:t xml:space="preserve">Fabrication de mousse de polyuréthane </w:t>
      </w:r>
      <w:r w:rsidRPr="00B75476">
        <w:rPr>
          <w:lang w:val="fr-FR"/>
        </w:rPr>
        <w:t>: Finalisation de la reconversion des sept entreprises spécialisées en équipements thermiques ; achèvement de l’achat et de l’installation des équipements pour les quatre entreprises spécialisées dans les panneaux discontinus en PU en vue de finaliser la reconversion (ONUDI) (570 352 $ US plus les fonds issus de la tranche précédente) ;</w:t>
      </w:r>
    </w:p>
    <w:p w:rsidR="00B75476" w:rsidRPr="00B75476" w:rsidRDefault="00B75476" w:rsidP="00B75476">
      <w:pPr>
        <w:pStyle w:val="Heading2"/>
        <w:numPr>
          <w:ilvl w:val="1"/>
          <w:numId w:val="1"/>
        </w:numPr>
        <w:rPr>
          <w:lang w:val="fr-FR"/>
        </w:rPr>
      </w:pPr>
      <w:r w:rsidRPr="00B75476">
        <w:rPr>
          <w:i/>
          <w:lang w:val="fr-FR"/>
        </w:rPr>
        <w:t>Secteur de l’entretien des systèmes de réfrigération</w:t>
      </w:r>
      <w:r w:rsidRPr="00B75476">
        <w:rPr>
          <w:lang w:val="fr-FR"/>
        </w:rPr>
        <w:t> : Formation de 100 agents des douanes et des forces de l’ordre aux réglementations sur la prévention du commerce illicite de SAO ; formation de 500 techniciens supplémentaires à la manipulation et au stockage en toute sécurité des frigorigènes inflammables ; deux ateliers de sensibilisation aux programmes de formation et de certification dans d’autres provinces (à savoir le Khyber Pakhtunkhwa et le Gilgit-Baltistan) ; traduction en langues locales d’un guide rapide sur les frigorigènes inflammables ; ateliers de consultation sur la finalisation du code de pratique ou de la procédure standard applicable aux ateliers d’entretien impliquant la manipulation de frigorigènes inflammables ; sensibilisation du public et de l’industrie concernée à la manipulation et à l’utilisation en toute sécurité des frigorigènes inflammables (PNUE) (170 000 $ US plus les fonds de la tranche précédente) ; et</w:t>
      </w:r>
    </w:p>
    <w:p w:rsidR="00B75476" w:rsidRPr="00B75476" w:rsidRDefault="00B75476" w:rsidP="00B75476">
      <w:pPr>
        <w:pStyle w:val="Heading2"/>
        <w:numPr>
          <w:ilvl w:val="1"/>
          <w:numId w:val="1"/>
        </w:numPr>
        <w:rPr>
          <w:lang w:val="fr-FR"/>
        </w:rPr>
      </w:pPr>
      <w:r w:rsidRPr="00B75476">
        <w:rPr>
          <w:lang w:val="fr-FR"/>
        </w:rPr>
        <w:t>Coordination, gestion et suivi du projet (30 000 $ US pour le PNUE et 294 500 $ US pour l’ONUDI).</w:t>
      </w:r>
    </w:p>
    <w:p w:rsidR="00B75476" w:rsidRPr="00B75476" w:rsidRDefault="00B75476" w:rsidP="00B75476">
      <w:pPr>
        <w:keepNext/>
        <w:spacing w:after="240"/>
        <w:jc w:val="center"/>
        <w:rPr>
          <w:b/>
          <w:lang w:val="fr-FR"/>
        </w:rPr>
      </w:pPr>
      <w:r w:rsidRPr="00B75476">
        <w:rPr>
          <w:b/>
          <w:lang w:val="fr-FR"/>
        </w:rPr>
        <w:t>OBSERVATIONS ET RECOMMANDATIONS DU SECRÉTARIAT</w:t>
      </w:r>
    </w:p>
    <w:p w:rsidR="00B75476" w:rsidRPr="00B75476" w:rsidRDefault="00B75476" w:rsidP="00B75476">
      <w:pPr>
        <w:keepNext/>
        <w:spacing w:after="240"/>
        <w:rPr>
          <w:b/>
          <w:lang w:val="fr-FR"/>
        </w:rPr>
      </w:pPr>
      <w:r w:rsidRPr="00B75476">
        <w:rPr>
          <w:b/>
          <w:lang w:val="fr-FR"/>
        </w:rPr>
        <w:t>OBSERVATIONS</w:t>
      </w:r>
    </w:p>
    <w:p w:rsidR="00B75476" w:rsidRPr="00B75476" w:rsidRDefault="00B75476" w:rsidP="00B75476">
      <w:pPr>
        <w:rPr>
          <w:u w:val="single"/>
          <w:lang w:val="fr-FR"/>
        </w:rPr>
      </w:pPr>
      <w:r w:rsidRPr="00B75476">
        <w:rPr>
          <w:u w:val="single"/>
          <w:lang w:val="fr-FR"/>
        </w:rPr>
        <w:t>Révision du point de départ, et modification de l’Accord</w:t>
      </w:r>
    </w:p>
    <w:p w:rsidR="00B75476" w:rsidRPr="00B75476" w:rsidRDefault="00B75476" w:rsidP="00B75476">
      <w:pPr>
        <w:rPr>
          <w:u w:val="single"/>
          <w:lang w:val="fr-FR"/>
        </w:rPr>
      </w:pPr>
    </w:p>
    <w:p w:rsidR="00B75476" w:rsidRPr="00B75476" w:rsidRDefault="00B75476" w:rsidP="00B75476">
      <w:pPr>
        <w:pStyle w:val="Heading1"/>
        <w:rPr>
          <w:lang w:val="fr-FR"/>
        </w:rPr>
      </w:pPr>
      <w:r w:rsidRPr="00B75476">
        <w:rPr>
          <w:lang w:val="fr-FR"/>
        </w:rPr>
        <w:t>Le Secrétariat a fait remarquer que la valeur de référence établie aux fins de conformité pour les HCFC pour le Pakistan avait été révisée par la Réunion des Parties au Protocole de Montréal</w:t>
      </w:r>
      <w:r w:rsidRPr="00894E52">
        <w:rPr>
          <w:rStyle w:val="FootnoteReference"/>
          <w:lang w:val="en-CA"/>
        </w:rPr>
        <w:footnoteReference w:id="8"/>
      </w:r>
      <w:r w:rsidRPr="00B75476">
        <w:rPr>
          <w:lang w:val="fr-FR"/>
        </w:rPr>
        <w:t xml:space="preserve"> afin d’inclure le HCFC-142b, comme le montre le Tableau 2 ci-dessous.</w:t>
      </w:r>
    </w:p>
    <w:p w:rsidR="00B75476" w:rsidRPr="00B75476" w:rsidRDefault="00B75476" w:rsidP="00A114AE">
      <w:pPr>
        <w:keepNext/>
        <w:rPr>
          <w:b/>
          <w:szCs w:val="20"/>
          <w:lang w:val="fr-FR"/>
        </w:rPr>
      </w:pPr>
      <w:r w:rsidRPr="00B75476">
        <w:rPr>
          <w:b/>
          <w:szCs w:val="20"/>
          <w:lang w:val="fr-FR"/>
        </w:rPr>
        <w:lastRenderedPageBreak/>
        <w:t>Tableau 2 : Révision de la valeur de référence pour le Pakistan</w:t>
      </w:r>
    </w:p>
    <w:tbl>
      <w:tblPr>
        <w:tblStyle w:val="TableGrid"/>
        <w:tblW w:w="5000" w:type="pct"/>
        <w:tblLook w:val="04A0" w:firstRow="1" w:lastRow="0" w:firstColumn="1" w:lastColumn="0" w:noHBand="0" w:noVBand="1"/>
      </w:tblPr>
      <w:tblGrid>
        <w:gridCol w:w="1875"/>
        <w:gridCol w:w="1440"/>
        <w:gridCol w:w="1311"/>
        <w:gridCol w:w="1182"/>
        <w:gridCol w:w="1182"/>
        <w:gridCol w:w="1182"/>
        <w:gridCol w:w="1178"/>
      </w:tblGrid>
      <w:tr w:rsidR="00B75476" w:rsidRPr="00A02646" w:rsidTr="00A114AE">
        <w:trPr>
          <w:trHeight w:val="300"/>
        </w:trPr>
        <w:tc>
          <w:tcPr>
            <w:tcW w:w="1003" w:type="pct"/>
            <w:vMerge w:val="restart"/>
            <w:vAlign w:val="center"/>
            <w:hideMark/>
          </w:tcPr>
          <w:p w:rsidR="00B75476" w:rsidRPr="00894E52" w:rsidRDefault="00B75476" w:rsidP="00A114AE">
            <w:pPr>
              <w:keepNext/>
              <w:jc w:val="center"/>
              <w:rPr>
                <w:b/>
                <w:iCs/>
                <w:sz w:val="20"/>
                <w:szCs w:val="20"/>
              </w:rPr>
            </w:pPr>
            <w:r>
              <w:rPr>
                <w:b/>
                <w:iCs/>
                <w:sz w:val="20"/>
                <w:szCs w:val="20"/>
              </w:rPr>
              <w:t>Substance</w:t>
            </w:r>
          </w:p>
        </w:tc>
        <w:tc>
          <w:tcPr>
            <w:tcW w:w="2103" w:type="pct"/>
            <w:gridSpan w:val="3"/>
            <w:hideMark/>
          </w:tcPr>
          <w:p w:rsidR="00B75476" w:rsidRPr="00B75476" w:rsidRDefault="00B75476" w:rsidP="00A114AE">
            <w:pPr>
              <w:keepNext/>
              <w:jc w:val="center"/>
              <w:rPr>
                <w:b/>
                <w:iCs/>
                <w:sz w:val="20"/>
                <w:szCs w:val="20"/>
                <w:lang w:val="fr-FR"/>
              </w:rPr>
            </w:pPr>
            <w:r w:rsidRPr="00B75476">
              <w:rPr>
                <w:b/>
                <w:iCs/>
                <w:sz w:val="20"/>
                <w:szCs w:val="20"/>
                <w:lang w:val="fr-FR"/>
              </w:rPr>
              <w:t>Valeur de référence précédente (tonnes PAO)</w:t>
            </w:r>
          </w:p>
        </w:tc>
        <w:tc>
          <w:tcPr>
            <w:tcW w:w="1894" w:type="pct"/>
            <w:gridSpan w:val="3"/>
            <w:hideMark/>
          </w:tcPr>
          <w:p w:rsidR="00B75476" w:rsidRPr="00B75476" w:rsidRDefault="00B75476" w:rsidP="00A114AE">
            <w:pPr>
              <w:keepNext/>
              <w:jc w:val="center"/>
              <w:rPr>
                <w:b/>
                <w:iCs/>
                <w:sz w:val="20"/>
                <w:szCs w:val="20"/>
                <w:lang w:val="fr-FR"/>
              </w:rPr>
            </w:pPr>
            <w:r w:rsidRPr="00B75476">
              <w:rPr>
                <w:b/>
                <w:iCs/>
                <w:sz w:val="20"/>
                <w:szCs w:val="20"/>
                <w:lang w:val="fr-FR"/>
              </w:rPr>
              <w:t>Valeur de référence révisée (tonnes PAO)</w:t>
            </w:r>
          </w:p>
        </w:tc>
      </w:tr>
      <w:tr w:rsidR="00B75476" w:rsidRPr="00894E52" w:rsidTr="00A114AE">
        <w:trPr>
          <w:trHeight w:val="300"/>
        </w:trPr>
        <w:tc>
          <w:tcPr>
            <w:tcW w:w="1003" w:type="pct"/>
            <w:vMerge/>
            <w:hideMark/>
          </w:tcPr>
          <w:p w:rsidR="00B75476" w:rsidRPr="00B75476" w:rsidRDefault="00B75476" w:rsidP="00A114AE">
            <w:pPr>
              <w:keepNext/>
              <w:rPr>
                <w:i/>
                <w:iCs/>
                <w:sz w:val="20"/>
                <w:szCs w:val="20"/>
                <w:lang w:val="fr-FR"/>
              </w:rPr>
            </w:pPr>
          </w:p>
        </w:tc>
        <w:tc>
          <w:tcPr>
            <w:tcW w:w="770" w:type="pct"/>
            <w:hideMark/>
          </w:tcPr>
          <w:p w:rsidR="00B75476" w:rsidRPr="00894E52" w:rsidRDefault="00B75476" w:rsidP="00A114AE">
            <w:pPr>
              <w:keepNext/>
              <w:jc w:val="center"/>
              <w:rPr>
                <w:b/>
                <w:iCs/>
                <w:sz w:val="20"/>
                <w:szCs w:val="20"/>
              </w:rPr>
            </w:pPr>
            <w:r>
              <w:rPr>
                <w:b/>
                <w:iCs/>
                <w:sz w:val="20"/>
                <w:szCs w:val="20"/>
              </w:rPr>
              <w:t>2009</w:t>
            </w:r>
          </w:p>
        </w:tc>
        <w:tc>
          <w:tcPr>
            <w:tcW w:w="701" w:type="pct"/>
            <w:hideMark/>
          </w:tcPr>
          <w:p w:rsidR="00B75476" w:rsidRPr="00894E52" w:rsidRDefault="00B75476" w:rsidP="00A114AE">
            <w:pPr>
              <w:keepNext/>
              <w:jc w:val="center"/>
              <w:rPr>
                <w:b/>
                <w:iCs/>
                <w:sz w:val="20"/>
                <w:szCs w:val="20"/>
              </w:rPr>
            </w:pPr>
            <w:r>
              <w:rPr>
                <w:b/>
                <w:iCs/>
                <w:sz w:val="20"/>
                <w:szCs w:val="20"/>
              </w:rPr>
              <w:t>2010</w:t>
            </w:r>
          </w:p>
        </w:tc>
        <w:tc>
          <w:tcPr>
            <w:tcW w:w="632" w:type="pct"/>
            <w:hideMark/>
          </w:tcPr>
          <w:p w:rsidR="00B75476" w:rsidRPr="00894E52" w:rsidRDefault="00B75476" w:rsidP="00A114AE">
            <w:pPr>
              <w:keepNext/>
              <w:jc w:val="center"/>
              <w:rPr>
                <w:b/>
                <w:iCs/>
                <w:sz w:val="20"/>
                <w:szCs w:val="20"/>
              </w:rPr>
            </w:pPr>
            <w:r>
              <w:rPr>
                <w:b/>
                <w:iCs/>
                <w:sz w:val="20"/>
                <w:szCs w:val="20"/>
              </w:rPr>
              <w:t>Valeur de référence</w:t>
            </w:r>
          </w:p>
        </w:tc>
        <w:tc>
          <w:tcPr>
            <w:tcW w:w="632" w:type="pct"/>
            <w:hideMark/>
          </w:tcPr>
          <w:p w:rsidR="00B75476" w:rsidRPr="00894E52" w:rsidRDefault="00B75476" w:rsidP="00A114AE">
            <w:pPr>
              <w:keepNext/>
              <w:jc w:val="center"/>
              <w:rPr>
                <w:b/>
                <w:iCs/>
                <w:sz w:val="20"/>
                <w:szCs w:val="20"/>
              </w:rPr>
            </w:pPr>
            <w:r>
              <w:rPr>
                <w:b/>
                <w:iCs/>
                <w:sz w:val="20"/>
                <w:szCs w:val="20"/>
              </w:rPr>
              <w:t>2009</w:t>
            </w:r>
          </w:p>
        </w:tc>
        <w:tc>
          <w:tcPr>
            <w:tcW w:w="632" w:type="pct"/>
            <w:hideMark/>
          </w:tcPr>
          <w:p w:rsidR="00B75476" w:rsidRPr="00894E52" w:rsidRDefault="00B75476" w:rsidP="00A114AE">
            <w:pPr>
              <w:keepNext/>
              <w:jc w:val="center"/>
              <w:rPr>
                <w:b/>
                <w:iCs/>
                <w:sz w:val="20"/>
                <w:szCs w:val="20"/>
              </w:rPr>
            </w:pPr>
            <w:r>
              <w:rPr>
                <w:b/>
                <w:iCs/>
                <w:sz w:val="20"/>
                <w:szCs w:val="20"/>
              </w:rPr>
              <w:t>2010</w:t>
            </w:r>
          </w:p>
        </w:tc>
        <w:tc>
          <w:tcPr>
            <w:tcW w:w="630" w:type="pct"/>
            <w:hideMark/>
          </w:tcPr>
          <w:p w:rsidR="00B75476" w:rsidRPr="00894E52" w:rsidRDefault="00B75476" w:rsidP="00A114AE">
            <w:pPr>
              <w:keepNext/>
              <w:jc w:val="center"/>
              <w:rPr>
                <w:b/>
                <w:iCs/>
                <w:sz w:val="20"/>
                <w:szCs w:val="20"/>
              </w:rPr>
            </w:pPr>
            <w:r>
              <w:rPr>
                <w:b/>
                <w:iCs/>
                <w:sz w:val="20"/>
                <w:szCs w:val="20"/>
              </w:rPr>
              <w:t>Valeur de référence</w:t>
            </w:r>
          </w:p>
        </w:tc>
      </w:tr>
      <w:tr w:rsidR="00B75476" w:rsidRPr="00894E52" w:rsidTr="00A114AE">
        <w:trPr>
          <w:trHeight w:val="300"/>
        </w:trPr>
        <w:tc>
          <w:tcPr>
            <w:tcW w:w="1003" w:type="pct"/>
            <w:hideMark/>
          </w:tcPr>
          <w:p w:rsidR="00B75476" w:rsidRPr="00894E52" w:rsidRDefault="00B75476" w:rsidP="00A114AE">
            <w:pPr>
              <w:rPr>
                <w:sz w:val="20"/>
                <w:szCs w:val="20"/>
              </w:rPr>
            </w:pPr>
            <w:r>
              <w:rPr>
                <w:sz w:val="20"/>
                <w:szCs w:val="20"/>
              </w:rPr>
              <w:t>HCFC-141b</w:t>
            </w:r>
          </w:p>
        </w:tc>
        <w:tc>
          <w:tcPr>
            <w:tcW w:w="770" w:type="pct"/>
            <w:hideMark/>
          </w:tcPr>
          <w:p w:rsidR="00B75476" w:rsidRPr="00894E52" w:rsidRDefault="00B75476" w:rsidP="00A114AE">
            <w:pPr>
              <w:jc w:val="right"/>
              <w:rPr>
                <w:sz w:val="20"/>
                <w:szCs w:val="20"/>
              </w:rPr>
            </w:pPr>
            <w:r>
              <w:rPr>
                <w:sz w:val="20"/>
                <w:szCs w:val="20"/>
              </w:rPr>
              <w:t>134,2</w:t>
            </w:r>
          </w:p>
        </w:tc>
        <w:tc>
          <w:tcPr>
            <w:tcW w:w="701" w:type="pct"/>
            <w:hideMark/>
          </w:tcPr>
          <w:p w:rsidR="00B75476" w:rsidRPr="00894E52" w:rsidRDefault="00B75476" w:rsidP="00A114AE">
            <w:pPr>
              <w:jc w:val="right"/>
              <w:rPr>
                <w:sz w:val="20"/>
                <w:szCs w:val="20"/>
              </w:rPr>
            </w:pPr>
            <w:r>
              <w:rPr>
                <w:sz w:val="20"/>
                <w:szCs w:val="20"/>
              </w:rPr>
              <w:t>142,8</w:t>
            </w:r>
          </w:p>
        </w:tc>
        <w:tc>
          <w:tcPr>
            <w:tcW w:w="632" w:type="pct"/>
            <w:hideMark/>
          </w:tcPr>
          <w:p w:rsidR="00B75476" w:rsidRPr="00894E52" w:rsidRDefault="00B75476" w:rsidP="00A114AE">
            <w:pPr>
              <w:jc w:val="right"/>
              <w:rPr>
                <w:sz w:val="20"/>
                <w:szCs w:val="20"/>
              </w:rPr>
            </w:pPr>
            <w:r>
              <w:rPr>
                <w:sz w:val="20"/>
                <w:szCs w:val="20"/>
              </w:rPr>
              <w:t>138,50</w:t>
            </w:r>
          </w:p>
        </w:tc>
        <w:tc>
          <w:tcPr>
            <w:tcW w:w="632" w:type="pct"/>
            <w:hideMark/>
          </w:tcPr>
          <w:p w:rsidR="00B75476" w:rsidRPr="00894E52" w:rsidRDefault="00B75476" w:rsidP="00A114AE">
            <w:pPr>
              <w:jc w:val="right"/>
              <w:rPr>
                <w:sz w:val="20"/>
                <w:szCs w:val="20"/>
              </w:rPr>
            </w:pPr>
            <w:r>
              <w:rPr>
                <w:sz w:val="20"/>
                <w:szCs w:val="20"/>
              </w:rPr>
              <w:t>134,2</w:t>
            </w:r>
          </w:p>
        </w:tc>
        <w:tc>
          <w:tcPr>
            <w:tcW w:w="632" w:type="pct"/>
            <w:hideMark/>
          </w:tcPr>
          <w:p w:rsidR="00B75476" w:rsidRPr="00894E52" w:rsidRDefault="00B75476" w:rsidP="00A114AE">
            <w:pPr>
              <w:jc w:val="right"/>
              <w:rPr>
                <w:sz w:val="20"/>
                <w:szCs w:val="20"/>
              </w:rPr>
            </w:pPr>
            <w:r>
              <w:rPr>
                <w:sz w:val="20"/>
                <w:szCs w:val="20"/>
              </w:rPr>
              <w:t>142,8</w:t>
            </w:r>
          </w:p>
        </w:tc>
        <w:tc>
          <w:tcPr>
            <w:tcW w:w="630" w:type="pct"/>
            <w:hideMark/>
          </w:tcPr>
          <w:p w:rsidR="00B75476" w:rsidRPr="00894E52" w:rsidRDefault="00B75476" w:rsidP="00A114AE">
            <w:pPr>
              <w:jc w:val="right"/>
              <w:rPr>
                <w:sz w:val="20"/>
                <w:szCs w:val="20"/>
              </w:rPr>
            </w:pPr>
            <w:r>
              <w:rPr>
                <w:sz w:val="20"/>
                <w:szCs w:val="20"/>
              </w:rPr>
              <w:t>138,50</w:t>
            </w:r>
          </w:p>
        </w:tc>
      </w:tr>
      <w:tr w:rsidR="00B75476" w:rsidRPr="00894E52" w:rsidTr="00A114AE">
        <w:trPr>
          <w:trHeight w:val="290"/>
        </w:trPr>
        <w:tc>
          <w:tcPr>
            <w:tcW w:w="1003" w:type="pct"/>
            <w:hideMark/>
          </w:tcPr>
          <w:p w:rsidR="00B75476" w:rsidRPr="00894E52" w:rsidRDefault="00B75476" w:rsidP="00A114AE">
            <w:pPr>
              <w:rPr>
                <w:sz w:val="20"/>
                <w:szCs w:val="20"/>
              </w:rPr>
            </w:pPr>
            <w:r>
              <w:rPr>
                <w:sz w:val="20"/>
                <w:szCs w:val="20"/>
              </w:rPr>
              <w:t>HCFC-142b</w:t>
            </w:r>
          </w:p>
        </w:tc>
        <w:tc>
          <w:tcPr>
            <w:tcW w:w="770" w:type="pct"/>
            <w:hideMark/>
          </w:tcPr>
          <w:p w:rsidR="00B75476" w:rsidRPr="00894E52" w:rsidRDefault="00B75476" w:rsidP="00A114AE">
            <w:pPr>
              <w:jc w:val="right"/>
              <w:rPr>
                <w:sz w:val="20"/>
                <w:szCs w:val="20"/>
              </w:rPr>
            </w:pPr>
            <w:r>
              <w:rPr>
                <w:sz w:val="20"/>
                <w:szCs w:val="20"/>
              </w:rPr>
              <w:t>-</w:t>
            </w:r>
          </w:p>
        </w:tc>
        <w:tc>
          <w:tcPr>
            <w:tcW w:w="701" w:type="pct"/>
            <w:hideMark/>
          </w:tcPr>
          <w:p w:rsidR="00B75476" w:rsidRPr="00894E52" w:rsidRDefault="00B75476" w:rsidP="00A114AE">
            <w:pPr>
              <w:jc w:val="right"/>
              <w:rPr>
                <w:sz w:val="20"/>
                <w:szCs w:val="20"/>
              </w:rPr>
            </w:pPr>
            <w:r>
              <w:rPr>
                <w:sz w:val="20"/>
                <w:szCs w:val="20"/>
              </w:rPr>
              <w:t>-</w:t>
            </w:r>
          </w:p>
        </w:tc>
        <w:tc>
          <w:tcPr>
            <w:tcW w:w="632" w:type="pct"/>
            <w:hideMark/>
          </w:tcPr>
          <w:p w:rsidR="00B75476" w:rsidRPr="00894E52" w:rsidRDefault="00B75476" w:rsidP="00A114AE">
            <w:pPr>
              <w:jc w:val="right"/>
              <w:rPr>
                <w:sz w:val="20"/>
                <w:szCs w:val="20"/>
              </w:rPr>
            </w:pPr>
            <w:r>
              <w:rPr>
                <w:sz w:val="20"/>
                <w:szCs w:val="20"/>
              </w:rPr>
              <w:t>-</w:t>
            </w:r>
          </w:p>
        </w:tc>
        <w:tc>
          <w:tcPr>
            <w:tcW w:w="632" w:type="pct"/>
            <w:hideMark/>
          </w:tcPr>
          <w:p w:rsidR="00B75476" w:rsidRPr="00894E52" w:rsidRDefault="00B75476" w:rsidP="00A114AE">
            <w:pPr>
              <w:jc w:val="right"/>
              <w:rPr>
                <w:sz w:val="20"/>
                <w:szCs w:val="20"/>
              </w:rPr>
            </w:pPr>
            <w:r>
              <w:rPr>
                <w:sz w:val="20"/>
                <w:szCs w:val="20"/>
              </w:rPr>
              <w:t>4,62</w:t>
            </w:r>
          </w:p>
        </w:tc>
        <w:tc>
          <w:tcPr>
            <w:tcW w:w="632" w:type="pct"/>
            <w:hideMark/>
          </w:tcPr>
          <w:p w:rsidR="00B75476" w:rsidRPr="00894E52" w:rsidRDefault="00B75476" w:rsidP="00A114AE">
            <w:pPr>
              <w:jc w:val="right"/>
              <w:rPr>
                <w:sz w:val="20"/>
                <w:szCs w:val="20"/>
              </w:rPr>
            </w:pPr>
            <w:r>
              <w:rPr>
                <w:sz w:val="20"/>
                <w:szCs w:val="20"/>
              </w:rPr>
              <w:t>4,68</w:t>
            </w:r>
          </w:p>
        </w:tc>
        <w:tc>
          <w:tcPr>
            <w:tcW w:w="630" w:type="pct"/>
            <w:hideMark/>
          </w:tcPr>
          <w:p w:rsidR="00B75476" w:rsidRPr="00894E52" w:rsidRDefault="00B75476" w:rsidP="00A114AE">
            <w:pPr>
              <w:jc w:val="right"/>
              <w:rPr>
                <w:sz w:val="20"/>
                <w:szCs w:val="20"/>
              </w:rPr>
            </w:pPr>
            <w:r>
              <w:rPr>
                <w:sz w:val="20"/>
                <w:szCs w:val="20"/>
              </w:rPr>
              <w:t>4,65</w:t>
            </w:r>
          </w:p>
        </w:tc>
      </w:tr>
      <w:tr w:rsidR="00B75476" w:rsidRPr="00894E52" w:rsidTr="00A114AE">
        <w:trPr>
          <w:trHeight w:val="300"/>
        </w:trPr>
        <w:tc>
          <w:tcPr>
            <w:tcW w:w="1003" w:type="pct"/>
            <w:hideMark/>
          </w:tcPr>
          <w:p w:rsidR="00B75476" w:rsidRPr="00894E52" w:rsidRDefault="00B75476" w:rsidP="00A114AE">
            <w:pPr>
              <w:rPr>
                <w:sz w:val="20"/>
                <w:szCs w:val="20"/>
              </w:rPr>
            </w:pPr>
            <w:r>
              <w:rPr>
                <w:sz w:val="20"/>
                <w:szCs w:val="20"/>
              </w:rPr>
              <w:t>HCFC-22</w:t>
            </w:r>
          </w:p>
        </w:tc>
        <w:tc>
          <w:tcPr>
            <w:tcW w:w="770" w:type="pct"/>
            <w:hideMark/>
          </w:tcPr>
          <w:p w:rsidR="00B75476" w:rsidRPr="00894E52" w:rsidRDefault="00B75476" w:rsidP="00A114AE">
            <w:pPr>
              <w:jc w:val="right"/>
              <w:rPr>
                <w:sz w:val="20"/>
                <w:szCs w:val="20"/>
              </w:rPr>
            </w:pPr>
            <w:r>
              <w:rPr>
                <w:sz w:val="20"/>
                <w:szCs w:val="20"/>
              </w:rPr>
              <w:t>105,6</w:t>
            </w:r>
          </w:p>
        </w:tc>
        <w:tc>
          <w:tcPr>
            <w:tcW w:w="701" w:type="pct"/>
            <w:hideMark/>
          </w:tcPr>
          <w:p w:rsidR="00B75476" w:rsidRPr="00894E52" w:rsidRDefault="00B75476" w:rsidP="00A114AE">
            <w:pPr>
              <w:jc w:val="right"/>
              <w:rPr>
                <w:sz w:val="20"/>
                <w:szCs w:val="20"/>
              </w:rPr>
            </w:pPr>
            <w:r>
              <w:rPr>
                <w:sz w:val="20"/>
                <w:szCs w:val="20"/>
              </w:rPr>
              <w:t>112,2</w:t>
            </w:r>
          </w:p>
        </w:tc>
        <w:tc>
          <w:tcPr>
            <w:tcW w:w="632" w:type="pct"/>
            <w:hideMark/>
          </w:tcPr>
          <w:p w:rsidR="00B75476" w:rsidRPr="00894E52" w:rsidRDefault="00B75476" w:rsidP="00A114AE">
            <w:pPr>
              <w:jc w:val="right"/>
              <w:rPr>
                <w:sz w:val="20"/>
                <w:szCs w:val="20"/>
              </w:rPr>
            </w:pPr>
            <w:r>
              <w:rPr>
                <w:sz w:val="20"/>
                <w:szCs w:val="20"/>
              </w:rPr>
              <w:t>108,90</w:t>
            </w:r>
          </w:p>
        </w:tc>
        <w:tc>
          <w:tcPr>
            <w:tcW w:w="632" w:type="pct"/>
            <w:hideMark/>
          </w:tcPr>
          <w:p w:rsidR="00B75476" w:rsidRPr="00894E52" w:rsidRDefault="00B75476" w:rsidP="00A114AE">
            <w:pPr>
              <w:jc w:val="right"/>
              <w:rPr>
                <w:sz w:val="20"/>
                <w:szCs w:val="20"/>
              </w:rPr>
            </w:pPr>
            <w:r>
              <w:rPr>
                <w:sz w:val="20"/>
                <w:szCs w:val="20"/>
              </w:rPr>
              <w:t>101,69</w:t>
            </w:r>
          </w:p>
        </w:tc>
        <w:tc>
          <w:tcPr>
            <w:tcW w:w="632" w:type="pct"/>
            <w:hideMark/>
          </w:tcPr>
          <w:p w:rsidR="00B75476" w:rsidRPr="00894E52" w:rsidRDefault="00B75476" w:rsidP="00A114AE">
            <w:pPr>
              <w:jc w:val="right"/>
              <w:rPr>
                <w:sz w:val="20"/>
                <w:szCs w:val="20"/>
              </w:rPr>
            </w:pPr>
            <w:r>
              <w:rPr>
                <w:sz w:val="20"/>
                <w:szCs w:val="20"/>
              </w:rPr>
              <w:t>108,22</w:t>
            </w:r>
          </w:p>
        </w:tc>
        <w:tc>
          <w:tcPr>
            <w:tcW w:w="630" w:type="pct"/>
            <w:hideMark/>
          </w:tcPr>
          <w:p w:rsidR="00B75476" w:rsidRPr="00894E52" w:rsidRDefault="00B75476" w:rsidP="00A114AE">
            <w:pPr>
              <w:jc w:val="right"/>
              <w:rPr>
                <w:sz w:val="20"/>
                <w:szCs w:val="20"/>
              </w:rPr>
            </w:pPr>
            <w:r>
              <w:rPr>
                <w:sz w:val="20"/>
                <w:szCs w:val="20"/>
              </w:rPr>
              <w:t>104,96</w:t>
            </w:r>
          </w:p>
        </w:tc>
      </w:tr>
      <w:tr w:rsidR="00B75476" w:rsidRPr="00894E52" w:rsidTr="00A114AE">
        <w:trPr>
          <w:trHeight w:val="300"/>
        </w:trPr>
        <w:tc>
          <w:tcPr>
            <w:tcW w:w="1003" w:type="pct"/>
            <w:hideMark/>
          </w:tcPr>
          <w:p w:rsidR="00B75476" w:rsidRPr="00894E52" w:rsidRDefault="00B75476" w:rsidP="00A114AE">
            <w:pPr>
              <w:rPr>
                <w:b/>
                <w:bCs/>
                <w:sz w:val="20"/>
                <w:szCs w:val="20"/>
              </w:rPr>
            </w:pPr>
            <w:r>
              <w:rPr>
                <w:b/>
                <w:bCs/>
                <w:sz w:val="20"/>
                <w:szCs w:val="20"/>
              </w:rPr>
              <w:t>Total</w:t>
            </w:r>
          </w:p>
        </w:tc>
        <w:tc>
          <w:tcPr>
            <w:tcW w:w="770" w:type="pct"/>
            <w:hideMark/>
          </w:tcPr>
          <w:p w:rsidR="00B75476" w:rsidRPr="00894E52" w:rsidRDefault="00B75476" w:rsidP="00A114AE">
            <w:pPr>
              <w:jc w:val="right"/>
              <w:rPr>
                <w:b/>
                <w:bCs/>
                <w:sz w:val="20"/>
                <w:szCs w:val="20"/>
              </w:rPr>
            </w:pPr>
            <w:r>
              <w:rPr>
                <w:b/>
                <w:bCs/>
                <w:sz w:val="20"/>
                <w:szCs w:val="20"/>
              </w:rPr>
              <w:t>239,8</w:t>
            </w:r>
          </w:p>
        </w:tc>
        <w:tc>
          <w:tcPr>
            <w:tcW w:w="701" w:type="pct"/>
            <w:hideMark/>
          </w:tcPr>
          <w:p w:rsidR="00B75476" w:rsidRPr="00894E52" w:rsidRDefault="00B75476" w:rsidP="00A114AE">
            <w:pPr>
              <w:jc w:val="right"/>
              <w:rPr>
                <w:b/>
                <w:bCs/>
                <w:sz w:val="20"/>
                <w:szCs w:val="20"/>
              </w:rPr>
            </w:pPr>
            <w:r>
              <w:rPr>
                <w:b/>
                <w:bCs/>
                <w:sz w:val="20"/>
                <w:szCs w:val="20"/>
              </w:rPr>
              <w:t>255</w:t>
            </w:r>
          </w:p>
        </w:tc>
        <w:tc>
          <w:tcPr>
            <w:tcW w:w="632" w:type="pct"/>
            <w:hideMark/>
          </w:tcPr>
          <w:p w:rsidR="00B75476" w:rsidRPr="00894E52" w:rsidRDefault="00B75476" w:rsidP="00A114AE">
            <w:pPr>
              <w:jc w:val="right"/>
              <w:rPr>
                <w:b/>
                <w:bCs/>
                <w:sz w:val="20"/>
                <w:szCs w:val="20"/>
              </w:rPr>
            </w:pPr>
            <w:r>
              <w:rPr>
                <w:b/>
                <w:bCs/>
                <w:sz w:val="20"/>
                <w:szCs w:val="20"/>
              </w:rPr>
              <w:t>247,4</w:t>
            </w:r>
          </w:p>
        </w:tc>
        <w:tc>
          <w:tcPr>
            <w:tcW w:w="632" w:type="pct"/>
            <w:hideMark/>
          </w:tcPr>
          <w:p w:rsidR="00B75476" w:rsidRPr="00894E52" w:rsidRDefault="00B75476" w:rsidP="00A114AE">
            <w:pPr>
              <w:jc w:val="right"/>
              <w:rPr>
                <w:b/>
                <w:bCs/>
                <w:sz w:val="20"/>
                <w:szCs w:val="20"/>
              </w:rPr>
            </w:pPr>
            <w:r>
              <w:rPr>
                <w:b/>
                <w:bCs/>
                <w:sz w:val="20"/>
                <w:szCs w:val="20"/>
              </w:rPr>
              <w:t>240,51</w:t>
            </w:r>
          </w:p>
        </w:tc>
        <w:tc>
          <w:tcPr>
            <w:tcW w:w="632" w:type="pct"/>
            <w:hideMark/>
          </w:tcPr>
          <w:p w:rsidR="00B75476" w:rsidRPr="00894E52" w:rsidRDefault="00B75476" w:rsidP="00A114AE">
            <w:pPr>
              <w:jc w:val="right"/>
              <w:rPr>
                <w:b/>
                <w:bCs/>
                <w:sz w:val="20"/>
                <w:szCs w:val="20"/>
              </w:rPr>
            </w:pPr>
            <w:r>
              <w:rPr>
                <w:b/>
                <w:bCs/>
                <w:sz w:val="20"/>
                <w:szCs w:val="20"/>
              </w:rPr>
              <w:t>255,7</w:t>
            </w:r>
          </w:p>
        </w:tc>
        <w:tc>
          <w:tcPr>
            <w:tcW w:w="630" w:type="pct"/>
            <w:hideMark/>
          </w:tcPr>
          <w:p w:rsidR="00B75476" w:rsidRPr="00894E52" w:rsidRDefault="00B75476" w:rsidP="00A114AE">
            <w:pPr>
              <w:jc w:val="right"/>
              <w:rPr>
                <w:b/>
                <w:bCs/>
                <w:sz w:val="20"/>
                <w:szCs w:val="20"/>
              </w:rPr>
            </w:pPr>
            <w:r>
              <w:rPr>
                <w:b/>
                <w:bCs/>
                <w:sz w:val="20"/>
                <w:szCs w:val="20"/>
              </w:rPr>
              <w:t>248,11</w:t>
            </w:r>
          </w:p>
        </w:tc>
      </w:tr>
    </w:tbl>
    <w:p w:rsidR="00B75476" w:rsidRPr="00894E52" w:rsidRDefault="00B75476" w:rsidP="00B75476">
      <w:pPr>
        <w:rPr>
          <w:lang w:val="en-CA"/>
        </w:rPr>
      </w:pPr>
    </w:p>
    <w:p w:rsidR="00B75476" w:rsidRPr="00B75476" w:rsidRDefault="00B75476" w:rsidP="00B75476">
      <w:pPr>
        <w:pStyle w:val="Heading1"/>
        <w:rPr>
          <w:u w:val="single"/>
          <w:lang w:val="fr-FR"/>
        </w:rPr>
      </w:pPr>
      <w:r w:rsidRPr="00B75476">
        <w:rPr>
          <w:lang w:val="fr-FR"/>
        </w:rPr>
        <w:t>Comme le gouvernement du Pakistan a choisi la valeur de référence établie aux fins de conformité comme point de départ de la réduction globale de la consommation de HCFC, une révision de l’Accord entre le gouvernement et le Comité exécutif est nécessaire. Aussi, l’Annexe I au présent document présente les modifications qu’il faut apporter à l’Accord. La totalité de l’Accord mis à jour sera jointe au rapport final de la 83</w:t>
      </w:r>
      <w:r w:rsidRPr="00B75476">
        <w:rPr>
          <w:vertAlign w:val="superscript"/>
          <w:lang w:val="fr-FR"/>
        </w:rPr>
        <w:t>e</w:t>
      </w:r>
      <w:r w:rsidRPr="00B75476">
        <w:rPr>
          <w:lang w:val="fr-FR"/>
        </w:rPr>
        <w:t xml:space="preserve"> réunion. </w:t>
      </w:r>
    </w:p>
    <w:p w:rsidR="00B75476" w:rsidRPr="00B75476" w:rsidRDefault="00B75476" w:rsidP="00B75476">
      <w:pPr>
        <w:pStyle w:val="Heading1"/>
        <w:keepNext/>
        <w:numPr>
          <w:ilvl w:val="0"/>
          <w:numId w:val="0"/>
        </w:numPr>
        <w:rPr>
          <w:u w:val="single"/>
          <w:lang w:val="fr-FR"/>
        </w:rPr>
      </w:pPr>
      <w:r w:rsidRPr="00B75476">
        <w:rPr>
          <w:u w:val="single"/>
          <w:lang w:val="fr-FR"/>
        </w:rPr>
        <w:t>Rapport périodique sur la mise en œuvre de la première tranche du PGEH</w:t>
      </w:r>
    </w:p>
    <w:p w:rsidR="00B75476" w:rsidRPr="00894E52" w:rsidRDefault="00B75476" w:rsidP="00B75476">
      <w:pPr>
        <w:keepNext/>
        <w:rPr>
          <w:i/>
        </w:rPr>
      </w:pPr>
      <w:r>
        <w:rPr>
          <w:i/>
        </w:rPr>
        <w:t>Cadre juridique</w:t>
      </w:r>
    </w:p>
    <w:p w:rsidR="00B75476" w:rsidRPr="00894E52" w:rsidRDefault="00B75476" w:rsidP="00B75476">
      <w:pPr>
        <w:keepNext/>
        <w:rPr>
          <w:lang w:val="en-CA"/>
        </w:rPr>
      </w:pPr>
    </w:p>
    <w:p w:rsidR="00B75476" w:rsidRPr="00B75476" w:rsidRDefault="00B75476" w:rsidP="00B75476">
      <w:pPr>
        <w:pStyle w:val="Heading1"/>
        <w:rPr>
          <w:lang w:val="fr-FR"/>
        </w:rPr>
      </w:pPr>
      <w:r w:rsidRPr="00B75476">
        <w:rPr>
          <w:lang w:val="fr-FR"/>
        </w:rPr>
        <w:t>Le gouvernement du Pakistan a déjà émis des quotas d’importation de HCFC à hauteur de 210</w:t>
      </w:r>
      <w:r w:rsidR="00476532">
        <w:rPr>
          <w:lang w:val="fr-FR"/>
        </w:rPr>
        <w:t> </w:t>
      </w:r>
      <w:r w:rsidRPr="00B75476">
        <w:rPr>
          <w:lang w:val="fr-FR"/>
        </w:rPr>
        <w:t>tonnes PAO pour 2019, ce qui est inférieur aux objectifs de réglementation du Protocole de Montréal.</w:t>
      </w:r>
    </w:p>
    <w:p w:rsidR="00B75476" w:rsidRPr="00B75476" w:rsidRDefault="00B75476" w:rsidP="00B75476">
      <w:pPr>
        <w:keepNext/>
        <w:rPr>
          <w:i/>
          <w:lang w:val="fr-FR"/>
        </w:rPr>
      </w:pPr>
      <w:r w:rsidRPr="00B75476">
        <w:rPr>
          <w:i/>
          <w:lang w:val="fr-FR"/>
        </w:rPr>
        <w:t>Secteur de fabrication des mousses en PU</w:t>
      </w:r>
    </w:p>
    <w:p w:rsidR="00B75476" w:rsidRPr="00B75476" w:rsidRDefault="00B75476" w:rsidP="00B75476">
      <w:pPr>
        <w:keepNext/>
        <w:rPr>
          <w:lang w:val="fr-FR"/>
        </w:rPr>
      </w:pPr>
    </w:p>
    <w:p w:rsidR="00B75476" w:rsidRPr="00B75476" w:rsidRDefault="00B75476" w:rsidP="00B75476">
      <w:pPr>
        <w:pStyle w:val="Heading1"/>
        <w:rPr>
          <w:i/>
          <w:u w:val="single"/>
          <w:lang w:val="fr-FR"/>
        </w:rPr>
      </w:pPr>
      <w:r w:rsidRPr="00B75476">
        <w:rPr>
          <w:lang w:val="fr-FR"/>
        </w:rPr>
        <w:t>L’ONUDI a expliqué que le retard dans la mise en œuvre des projets de mousse PU était dû à un changement dans le NOU qui avait nécessité des consultations supplémentaires pour expliquer le processus de sélection de la technologie et des entreprises admissibles. Ce problème a été résolu et la reconversion des projets de mousse est en cours.</w:t>
      </w:r>
    </w:p>
    <w:p w:rsidR="00B75476" w:rsidRPr="00B75476" w:rsidRDefault="00B75476" w:rsidP="00B75476">
      <w:pPr>
        <w:pStyle w:val="Heading1"/>
        <w:rPr>
          <w:i/>
          <w:u w:val="single"/>
          <w:lang w:val="fr-FR"/>
        </w:rPr>
      </w:pPr>
      <w:r w:rsidRPr="00B75476">
        <w:rPr>
          <w:lang w:val="fr-FR"/>
        </w:rPr>
        <w:t xml:space="preserve">En ce qui concerne les progrès limités constatés au niveau de la reconversion des entreprises de fabrication de panneaux discontinus en mousse, l’ONUDI a précisé que le processus d’appel d’offres avait pris plus de temps que prévu. Toutefois, les offres ont été reçues. Elles sont en cours d’évaluation par le personnel technique des entreprises bénéficiaires, et devraient être achevées d’ici juin 2019. Les entreprises devraient avoir achevé leur reconversion d’ici le milieu de l’année 2020. L’ONUDI a également indiqué que le gouvernement avait connaissance de son engagement de réduire la consommation de HCFC de 50 pour cent par rapport à la valeur de référence d’ici 2020, et qu’il ferait tout son possible pour assurer la réalisation de ces projets d’investissement. </w:t>
      </w:r>
    </w:p>
    <w:p w:rsidR="00B75476" w:rsidRPr="00B75476" w:rsidRDefault="00B75476" w:rsidP="00B75476">
      <w:pPr>
        <w:pStyle w:val="Heading1"/>
        <w:rPr>
          <w:lang w:val="fr-FR"/>
        </w:rPr>
      </w:pPr>
      <w:r w:rsidRPr="00B75476">
        <w:rPr>
          <w:lang w:val="fr-FR"/>
        </w:rPr>
        <w:t xml:space="preserve">En examinant les informations fournies sur les décaissements de fonds, le Secrétariat a fait remarquer qu’aucune allocation n’était rapportée pour chaque entreprise bénéficiaire mais que seul un montant global était indiqué. D’après l’ONUDI, l’organisation chargée de l’achat des équipements, son processus interne de décaissement et de financement exige que ces coûts soient aggrégés. Le financement versé directement aux entreprises ne devrait être destiné qu’aux activités qu’elles doivent mettre en œuvre elles-mêmes (par exemple pour les travaux de génie civil, la mise à la terre). Le Secrétariat a rappelé à l’ONUDI de veiller à ce que les coûts d’investissement et d’exploitation des reconversions des entreprises soient conformes à ce qui avait été approuvé pour chacune d’elles, et d’en faire rapport au Comité exécutif. </w:t>
      </w:r>
    </w:p>
    <w:p w:rsidR="00B75476" w:rsidRPr="00B75476" w:rsidRDefault="00B75476" w:rsidP="00B75476">
      <w:pPr>
        <w:rPr>
          <w:i/>
          <w:lang w:val="fr-FR"/>
        </w:rPr>
      </w:pPr>
      <w:r w:rsidRPr="00B75476">
        <w:rPr>
          <w:i/>
          <w:lang w:val="fr-FR"/>
        </w:rPr>
        <w:t>Secteur de l’entretien des systèmes de réfrigération</w:t>
      </w:r>
    </w:p>
    <w:p w:rsidR="00B75476" w:rsidRPr="00B75476" w:rsidRDefault="00B75476" w:rsidP="00B75476">
      <w:pPr>
        <w:rPr>
          <w:lang w:val="fr-FR"/>
        </w:rPr>
      </w:pPr>
    </w:p>
    <w:p w:rsidR="00B75476" w:rsidRPr="00B75476" w:rsidRDefault="00B75476" w:rsidP="00B75476">
      <w:pPr>
        <w:pStyle w:val="Heading1"/>
        <w:rPr>
          <w:lang w:val="fr-FR"/>
        </w:rPr>
      </w:pPr>
      <w:r w:rsidRPr="00B75476">
        <w:rPr>
          <w:lang w:val="fr-FR"/>
        </w:rPr>
        <w:t xml:space="preserve">Concernant les identificateurs de frigorigènes et leur livraison, il a expliqué que les unités prévues au titre de la première tranche ne seraient livrées qu’à la fin de l’année 2019, et que le PNUE utilisait ces identificateurs achetés au titre de la phase I pour former les agents des douanes. La formation des agents </w:t>
      </w:r>
      <w:r w:rsidRPr="00B75476">
        <w:rPr>
          <w:lang w:val="fr-FR"/>
        </w:rPr>
        <w:lastRenderedPageBreak/>
        <w:t>des douanes se concentrera sur la mise en œuvre effective des codes du SH en vue d’améliorer la collecte des données sur l’importation de SAO et de leurs mélanges en accord avec les recommandations du rapport de vérification sur la consommation de HCFC.</w:t>
      </w:r>
    </w:p>
    <w:p w:rsidR="00B75476" w:rsidRPr="00B75476" w:rsidRDefault="00B75476" w:rsidP="00B75476">
      <w:pPr>
        <w:pStyle w:val="Heading1"/>
        <w:rPr>
          <w:lang w:val="fr-FR"/>
        </w:rPr>
      </w:pPr>
      <w:r w:rsidRPr="00B75476">
        <w:rPr>
          <w:lang w:val="fr-FR"/>
        </w:rPr>
        <w:t>Le Secrétariat s’est également enquis des progrès réalisés au niveau du volet de promotion des technologies de remplacement, en faisant remarquer que seule la traduction des documents dans la langue locale avait été rapportée. Le PNUE a expliqué que l’UNO, en collaboration avec l’association de réfrigération du Pakistan avait organisé des ateliers dans le cadre de l’Assemblée annuelle sur les équipements de chauffage, ventilation, réfrigération et climatisation (HVRAC), lesquels ont également consisté à mettre en place un kiosque d’information pour diffuser des documents de sensibilisation sur les efforts déployés par le pays pour éliminer les HCFC.</w:t>
      </w:r>
    </w:p>
    <w:p w:rsidR="00B75476" w:rsidRPr="00B75476" w:rsidRDefault="00B75476" w:rsidP="00B75476">
      <w:pPr>
        <w:pStyle w:val="Heading1"/>
        <w:rPr>
          <w:lang w:val="fr-FR"/>
        </w:rPr>
      </w:pPr>
      <w:r w:rsidRPr="00B75476">
        <w:rPr>
          <w:lang w:val="fr-FR"/>
        </w:rPr>
        <w:t>En ce qui concerne la viabilité du programme de formation, le PNUE a souligné que les liens institutionnels qui existent avec les écoles professionnelles et le conseil de l’éducation permettraient qu’ils soient intégrés dans les programmes normaux.</w:t>
      </w:r>
    </w:p>
    <w:p w:rsidR="00B75476" w:rsidRPr="00894E52" w:rsidRDefault="00B75476" w:rsidP="00B75476">
      <w:pPr>
        <w:keepNext/>
        <w:rPr>
          <w:u w:val="single"/>
        </w:rPr>
      </w:pPr>
      <w:r>
        <w:rPr>
          <w:u w:val="single"/>
        </w:rPr>
        <w:t>Secteur des mousses XPS</w:t>
      </w:r>
    </w:p>
    <w:p w:rsidR="00B75476" w:rsidRPr="00894E52" w:rsidRDefault="00B75476" w:rsidP="00B75476">
      <w:pPr>
        <w:keepNext/>
        <w:rPr>
          <w:u w:val="single"/>
          <w:lang w:val="en-CA"/>
        </w:rPr>
      </w:pPr>
    </w:p>
    <w:p w:rsidR="00B75476" w:rsidRPr="00B75476" w:rsidRDefault="00B75476" w:rsidP="00B75476">
      <w:pPr>
        <w:pStyle w:val="Heading1"/>
        <w:keepNext/>
        <w:rPr>
          <w:lang w:val="fr-FR"/>
        </w:rPr>
      </w:pPr>
      <w:r w:rsidRPr="00B75476">
        <w:rPr>
          <w:lang w:val="fr-FR"/>
        </w:rPr>
        <w:t>Le Secrétariat a entrepris un examen minutieux de la proposition de projet pour la reconversion de Symbol Industry du HCFC-142b/HCFC-22 (rapport de 60:40) vers le CO</w:t>
      </w:r>
      <w:r w:rsidRPr="00B75476">
        <w:rPr>
          <w:vertAlign w:val="subscript"/>
          <w:lang w:val="fr-FR"/>
        </w:rPr>
        <w:t>2</w:t>
      </w:r>
      <w:r w:rsidRPr="00B75476">
        <w:rPr>
          <w:lang w:val="fr-FR"/>
        </w:rPr>
        <w:t>/DME/HFO. En résumé, après examen, il a été noté que : la consommation de HCFC-142b de l’entreprise et sa production qui en découlait semblaient avoir été déclarées d’après la consommation de base de HCFC-142b révisée ; le rapport coût-efficacité du projet présenté était supérieur au seuil de rentabilité défini pour le secteur des mousses XPS ; il se pourrait que la technologie retenue (à savoir le HFO) ne soit pas commercialisée dans le pays au moment où l’entreprise sera reconvertie</w:t>
      </w:r>
      <w:r w:rsidRPr="00894E52">
        <w:rPr>
          <w:rStyle w:val="FootnoteReference"/>
          <w:lang w:val="en-CA"/>
        </w:rPr>
        <w:footnoteReference w:id="9"/>
      </w:r>
      <w:r w:rsidRPr="00B75476">
        <w:rPr>
          <w:lang w:val="fr-FR"/>
        </w:rPr>
        <w:t xml:space="preserve"> ; les éléments de coûts d’investissement n’étaient pas clairement compatibles avec les équipements de base décrits et étaient plus élevés que les coûts d’éléments similaires dans des projets approuvés ; et les calculs des surcoûts d’exploitation n’ont pas été fournis. </w:t>
      </w:r>
    </w:p>
    <w:p w:rsidR="00B75476" w:rsidRPr="00B75476" w:rsidRDefault="00B75476" w:rsidP="00B75476">
      <w:pPr>
        <w:pStyle w:val="Heading1"/>
        <w:rPr>
          <w:lang w:val="fr-FR"/>
        </w:rPr>
      </w:pPr>
      <w:r w:rsidRPr="00B75476">
        <w:rPr>
          <w:lang w:val="fr-FR"/>
        </w:rPr>
        <w:t xml:space="preserve">Les débats entre l’ONUDI et le Secrétariat ont consisté entre autre à étudier la nécessité de l’ensemble des équipements requis, en particulier du remplacement de la ligne d’extrusion, celle du coût des éléments liés à la sécurité, de l’assistance technique et des essais. Le Secrétariat a proposé des ajustements aux coûts d’investissement en accord avec les projets XPS similaires déjà approuvés, et en tenant compte des besoins spécifiques de Symbol Industry. </w:t>
      </w:r>
    </w:p>
    <w:p w:rsidR="00B75476" w:rsidRPr="00B75476" w:rsidRDefault="00B75476" w:rsidP="00B75476">
      <w:pPr>
        <w:pStyle w:val="Heading1"/>
        <w:rPr>
          <w:lang w:val="fr-FR"/>
        </w:rPr>
      </w:pPr>
      <w:r w:rsidRPr="00B75476">
        <w:rPr>
          <w:lang w:val="fr-FR"/>
        </w:rPr>
        <w:t xml:space="preserve">En ce qui concerne les surcoûts d’exploitation, le Secrétariat a fait remarquer que la demande correspondait au niveau maximum de 1,4 $/kg sans les calculs à l’appui ; lorsque les informations complémentaires sur le calcul ont été fournies, il a été noté que les coûts des composants du système étaient plus élevés que les projets XPS précédemment approuvés (par exemple, le coût du HFO était de 20 $ US/kg alors qu’il était de 10 $ US/kg dans d’autres projets). </w:t>
      </w:r>
    </w:p>
    <w:p w:rsidR="00B75476" w:rsidRPr="00B75476" w:rsidRDefault="00B75476" w:rsidP="00B75476">
      <w:pPr>
        <w:pStyle w:val="Heading1"/>
        <w:rPr>
          <w:lang w:val="fr-FR"/>
        </w:rPr>
      </w:pPr>
      <w:r w:rsidRPr="00B75476">
        <w:rPr>
          <w:lang w:val="fr-FR"/>
        </w:rPr>
        <w:t>En dépit de consultations exhaustives, l’ONUDI et le Secrétariat n’ont pas pu parvenir à un accord sur le total du surcoût admissible du projet avant sa date limite de négociation. Par conséquent, l’ONUDI a été invitée à présenter à nouveau la proposition lors de la 84</w:t>
      </w:r>
      <w:r w:rsidRPr="00B75476">
        <w:rPr>
          <w:vertAlign w:val="superscript"/>
          <w:lang w:val="fr-FR"/>
        </w:rPr>
        <w:t xml:space="preserve">e </w:t>
      </w:r>
      <w:r w:rsidRPr="00B75476">
        <w:rPr>
          <w:lang w:val="fr-FR"/>
        </w:rPr>
        <w:t>réunion. Le Secrétariat a noté en outre que le report de la présentation de ce projet à une prochaine réunion n’aurait pas d’incidence sur la conformité du Pakistan étant donné que le gouvernement avait déjà accepté de réduire la consommation de HCFC de 50</w:t>
      </w:r>
      <w:r w:rsidR="00541F46">
        <w:rPr>
          <w:lang w:val="fr-FR"/>
        </w:rPr>
        <w:t> </w:t>
      </w:r>
      <w:r w:rsidRPr="00B75476">
        <w:rPr>
          <w:lang w:val="fr-FR"/>
        </w:rPr>
        <w:t>pour</w:t>
      </w:r>
      <w:r w:rsidR="00541F46">
        <w:rPr>
          <w:lang w:val="fr-FR"/>
        </w:rPr>
        <w:t> </w:t>
      </w:r>
      <w:r w:rsidRPr="00B75476">
        <w:rPr>
          <w:lang w:val="fr-FR"/>
        </w:rPr>
        <w:t>cent par rapport à la valeur de référence d’ici 2020 par le biais des activités incluses au titre des phases</w:t>
      </w:r>
      <w:r w:rsidR="00541F46">
        <w:rPr>
          <w:lang w:val="fr-FR"/>
        </w:rPr>
        <w:t> </w:t>
      </w:r>
      <w:r w:rsidRPr="00B75476">
        <w:rPr>
          <w:lang w:val="fr-FR"/>
        </w:rPr>
        <w:t xml:space="preserve">I et II du PGEH (et ne comprenait pas la reconversion du plan du secteur des mousses XPS). </w:t>
      </w:r>
    </w:p>
    <w:p w:rsidR="00B75476" w:rsidRPr="00894E52" w:rsidRDefault="00B75476" w:rsidP="00B75476">
      <w:pPr>
        <w:keepNext/>
        <w:rPr>
          <w:u w:val="single"/>
        </w:rPr>
      </w:pPr>
      <w:r>
        <w:rPr>
          <w:u w:val="single"/>
        </w:rPr>
        <w:lastRenderedPageBreak/>
        <w:t xml:space="preserve">Conclusion </w:t>
      </w:r>
    </w:p>
    <w:p w:rsidR="00B75476" w:rsidRPr="00894E52" w:rsidRDefault="00B75476" w:rsidP="00B75476">
      <w:pPr>
        <w:keepNext/>
        <w:rPr>
          <w:lang w:val="en-CA"/>
        </w:rPr>
      </w:pPr>
    </w:p>
    <w:p w:rsidR="00B75476" w:rsidRPr="00B75476" w:rsidRDefault="00B75476" w:rsidP="00B75476">
      <w:pPr>
        <w:pStyle w:val="Heading1"/>
        <w:rPr>
          <w:lang w:val="fr-FR"/>
        </w:rPr>
      </w:pPr>
      <w:r w:rsidRPr="00B75476">
        <w:rPr>
          <w:lang w:val="fr-FR"/>
        </w:rPr>
        <w:t xml:space="preserve">Le gouvernement du Pakistan est en conformité avec le Protocole de Montréal et son Accord avec le Comité exécutif. La consommation de HCFC en 2017 est de 17 pour cent inférieure à la valeur de référence établie aux fins de conformité, et de 7 pour cent inférieure aux limites fixées dans l’Accord pour la même année. Le taux de décaissement est de 24 pour cent. Une formation a été dispensée sur les technologies émergentes ainsi que sur la manipulation et le stockage en toute sécurité des frigorigènes inflammables, et un code des bonnes pratiques d’entretien des systèmes de réfrigération est actuellement en cours d’élaboration. Les retards pris dans la reconversion des entreprises spécialisées dans les mousses PU ont été résolus, et celle-ci devrait s’achever bientôt. Les activités prévues pour la reconversion des entreprises spécialisées dans les équipements thermiques sont en cours, le matériel a été acheté et est en cours d’installation. Les activités prévues dans le cadre de la deuxième tranche, notamment la formation des agents des douanes et des forces de l’ordre, la progression de la reconversion de 11 entreprises spécialisées dans la mousse PU et d’une entreprise de fabrication de climatiseurs, la formation de 500 techniciens en réfrigération et la mise en place du système de certification des techniciens sont autant d’éléments qui garantiront l’élimination pérenne des HCFC. </w:t>
      </w:r>
    </w:p>
    <w:p w:rsidR="00B75476" w:rsidRPr="00894E52" w:rsidRDefault="00B75476" w:rsidP="00B75476">
      <w:pPr>
        <w:keepNext/>
        <w:keepLines/>
      </w:pPr>
      <w:r>
        <w:rPr>
          <w:b/>
        </w:rPr>
        <w:t xml:space="preserve">RECOMMANDATION </w:t>
      </w:r>
    </w:p>
    <w:p w:rsidR="00B75476" w:rsidRPr="00894E52" w:rsidRDefault="00B75476" w:rsidP="00B75476">
      <w:pPr>
        <w:keepNext/>
        <w:keepLines/>
        <w:rPr>
          <w:lang w:val="en-CA"/>
        </w:rPr>
      </w:pPr>
    </w:p>
    <w:p w:rsidR="00B75476" w:rsidRPr="00B75476" w:rsidRDefault="00B75476" w:rsidP="00B75476">
      <w:pPr>
        <w:pStyle w:val="Heading1"/>
        <w:keepNext/>
        <w:keepLines/>
        <w:rPr>
          <w:lang w:val="fr-FR"/>
        </w:rPr>
      </w:pPr>
      <w:r w:rsidRPr="00B75476">
        <w:rPr>
          <w:lang w:val="fr-FR"/>
        </w:rPr>
        <w:t xml:space="preserve">Le Secrétariat du Fonds recommande au Comité exécutif de prendre note : </w:t>
      </w:r>
    </w:p>
    <w:p w:rsidR="00B75476" w:rsidRPr="00B75476" w:rsidRDefault="00B75476" w:rsidP="00B75476">
      <w:pPr>
        <w:pStyle w:val="Heading2"/>
        <w:keepNext/>
        <w:keepLines/>
        <w:numPr>
          <w:ilvl w:val="1"/>
          <w:numId w:val="1"/>
        </w:numPr>
        <w:rPr>
          <w:lang w:val="fr-FR"/>
        </w:rPr>
      </w:pPr>
      <w:r w:rsidRPr="00B75476">
        <w:rPr>
          <w:lang w:val="fr-FR"/>
        </w:rPr>
        <w:t>Du rapport périodique sur la mise en œuvre de la première tranche de la phase II du plan de gestion de l’élimination des HCFC (PGEH) au Pakistan ;</w:t>
      </w:r>
    </w:p>
    <w:p w:rsidR="00B75476" w:rsidRPr="00B75476" w:rsidRDefault="00B75476" w:rsidP="00B75476">
      <w:pPr>
        <w:pStyle w:val="Heading2"/>
        <w:numPr>
          <w:ilvl w:val="1"/>
          <w:numId w:val="1"/>
        </w:numPr>
        <w:rPr>
          <w:lang w:val="fr-FR"/>
        </w:rPr>
      </w:pPr>
      <w:r w:rsidRPr="00B75476">
        <w:rPr>
          <w:lang w:val="fr-FR"/>
        </w:rPr>
        <w:t>Que le Secrétariat du Fonds a actualisé l’Accord entre le gouvernement du Pakistan et le Comité exécutif, joint à l’annexe I au présent document, en particulier le paragraphe 1 et les Appendices 1-A et 2-A, afin de refléter le point de départ et le niveau de financement révisés, et qu’un nouveau paragraphe 16 a été ajouté en vue d’indiquer que l’Accord actualisé remplace l’Accord approuvé à la 76</w:t>
      </w:r>
      <w:r w:rsidRPr="00B75476">
        <w:rPr>
          <w:vertAlign w:val="superscript"/>
          <w:lang w:val="fr-FR"/>
        </w:rPr>
        <w:t>e</w:t>
      </w:r>
      <w:r w:rsidRPr="00B75476">
        <w:rPr>
          <w:lang w:val="fr-FR"/>
        </w:rPr>
        <w:t xml:space="preserve"> réunion ; et</w:t>
      </w:r>
    </w:p>
    <w:p w:rsidR="00B75476" w:rsidRPr="00B75476" w:rsidRDefault="00B75476" w:rsidP="00B75476">
      <w:pPr>
        <w:pStyle w:val="Heading1"/>
        <w:rPr>
          <w:lang w:val="fr-FR"/>
        </w:rPr>
      </w:pPr>
      <w:r w:rsidRPr="00B75476">
        <w:rPr>
          <w:lang w:val="fr-FR"/>
        </w:rPr>
        <w:t>Le Secrétariat du Fonds recommande par ailleurs l’approbation générale de la deuxième tranche de la phase II du PGEH au Pakistan, et le plan de mise en œuvre de la tranche correspondante pour 2019-2020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75476" w:rsidRPr="00894E52" w:rsidTr="00A114AE">
        <w:tc>
          <w:tcPr>
            <w:tcW w:w="540" w:type="dxa"/>
          </w:tcPr>
          <w:p w:rsidR="00B75476" w:rsidRPr="00B75476" w:rsidRDefault="00B75476" w:rsidP="00A114AE">
            <w:pPr>
              <w:jc w:val="center"/>
              <w:rPr>
                <w:b/>
                <w:bCs/>
                <w:sz w:val="20"/>
                <w:szCs w:val="20"/>
                <w:lang w:val="fr-FR"/>
              </w:rPr>
            </w:pPr>
          </w:p>
        </w:tc>
        <w:tc>
          <w:tcPr>
            <w:tcW w:w="4320" w:type="dxa"/>
          </w:tcPr>
          <w:p w:rsidR="00B75476" w:rsidRPr="00894E52" w:rsidRDefault="00B75476" w:rsidP="00A114AE">
            <w:pPr>
              <w:jc w:val="center"/>
              <w:rPr>
                <w:b/>
                <w:bCs/>
                <w:sz w:val="20"/>
                <w:szCs w:val="20"/>
              </w:rPr>
            </w:pPr>
            <w:r>
              <w:rPr>
                <w:b/>
                <w:bCs/>
                <w:sz w:val="20"/>
                <w:szCs w:val="20"/>
              </w:rPr>
              <w:t>Titre du projet</w:t>
            </w:r>
          </w:p>
        </w:tc>
        <w:tc>
          <w:tcPr>
            <w:tcW w:w="1461" w:type="dxa"/>
            <w:tcMar>
              <w:left w:w="29" w:type="dxa"/>
              <w:right w:w="29" w:type="dxa"/>
            </w:tcMar>
          </w:tcPr>
          <w:p w:rsidR="00B75476" w:rsidRPr="00894E52" w:rsidRDefault="00B75476" w:rsidP="00A114AE">
            <w:pPr>
              <w:jc w:val="center"/>
              <w:rPr>
                <w:b/>
                <w:bCs/>
                <w:sz w:val="20"/>
                <w:szCs w:val="20"/>
              </w:rPr>
            </w:pPr>
            <w:r>
              <w:rPr>
                <w:b/>
                <w:bCs/>
                <w:sz w:val="20"/>
                <w:szCs w:val="20"/>
              </w:rPr>
              <w:t>Financement du projet ($ US)</w:t>
            </w:r>
          </w:p>
        </w:tc>
        <w:tc>
          <w:tcPr>
            <w:tcW w:w="1461" w:type="dxa"/>
            <w:tcMar>
              <w:left w:w="29" w:type="dxa"/>
              <w:right w:w="29" w:type="dxa"/>
            </w:tcMar>
          </w:tcPr>
          <w:p w:rsidR="00B75476" w:rsidRPr="00894E52" w:rsidRDefault="00B75476" w:rsidP="00A114AE">
            <w:pPr>
              <w:jc w:val="center"/>
              <w:rPr>
                <w:b/>
                <w:bCs/>
                <w:sz w:val="20"/>
                <w:szCs w:val="20"/>
              </w:rPr>
            </w:pPr>
            <w:r>
              <w:rPr>
                <w:b/>
                <w:bCs/>
                <w:sz w:val="20"/>
                <w:szCs w:val="20"/>
              </w:rPr>
              <w:t>Coûts d’appui ($ US)</w:t>
            </w:r>
          </w:p>
        </w:tc>
        <w:tc>
          <w:tcPr>
            <w:tcW w:w="1461" w:type="dxa"/>
            <w:tcMar>
              <w:left w:w="29" w:type="dxa"/>
              <w:right w:w="29" w:type="dxa"/>
            </w:tcMar>
          </w:tcPr>
          <w:p w:rsidR="00B75476" w:rsidRPr="00894E52" w:rsidRDefault="00B75476" w:rsidP="00A114AE">
            <w:pPr>
              <w:jc w:val="center"/>
              <w:rPr>
                <w:b/>
                <w:bCs/>
                <w:sz w:val="20"/>
                <w:szCs w:val="20"/>
              </w:rPr>
            </w:pPr>
            <w:r>
              <w:rPr>
                <w:b/>
                <w:bCs/>
                <w:sz w:val="20"/>
                <w:szCs w:val="20"/>
              </w:rPr>
              <w:t>Agence d’exécution</w:t>
            </w:r>
          </w:p>
        </w:tc>
      </w:tr>
      <w:tr w:rsidR="00B75476" w:rsidRPr="00894E52" w:rsidTr="00A114AE">
        <w:tc>
          <w:tcPr>
            <w:tcW w:w="540" w:type="dxa"/>
          </w:tcPr>
          <w:p w:rsidR="00B75476" w:rsidRPr="00894E52" w:rsidRDefault="00B75476" w:rsidP="00A114AE">
            <w:pPr>
              <w:rPr>
                <w:sz w:val="20"/>
                <w:szCs w:val="20"/>
              </w:rPr>
            </w:pPr>
            <w:r>
              <w:rPr>
                <w:sz w:val="20"/>
                <w:szCs w:val="20"/>
              </w:rPr>
              <w:t>(a)</w:t>
            </w:r>
          </w:p>
        </w:tc>
        <w:tc>
          <w:tcPr>
            <w:tcW w:w="4320" w:type="dxa"/>
          </w:tcPr>
          <w:p w:rsidR="00B75476" w:rsidRPr="00B75476" w:rsidRDefault="00B75476" w:rsidP="00A114AE">
            <w:pPr>
              <w:rPr>
                <w:sz w:val="20"/>
                <w:szCs w:val="20"/>
                <w:lang w:val="fr-FR"/>
              </w:rPr>
            </w:pPr>
            <w:r w:rsidRPr="00B75476">
              <w:rPr>
                <w:sz w:val="20"/>
                <w:szCs w:val="20"/>
                <w:lang w:val="fr-FR"/>
              </w:rPr>
              <w:t>Plan de gestion de l’élimination des HCFC (phase II, deuxième tranche)</w:t>
            </w:r>
          </w:p>
        </w:tc>
        <w:tc>
          <w:tcPr>
            <w:tcW w:w="1461" w:type="dxa"/>
          </w:tcPr>
          <w:p w:rsidR="00B75476" w:rsidRPr="00894E52" w:rsidRDefault="00B75476" w:rsidP="00A114AE">
            <w:pPr>
              <w:jc w:val="right"/>
              <w:rPr>
                <w:sz w:val="20"/>
                <w:szCs w:val="20"/>
              </w:rPr>
            </w:pPr>
            <w:r>
              <w:rPr>
                <w:sz w:val="20"/>
                <w:szCs w:val="20"/>
              </w:rPr>
              <w:t>1 979 852</w:t>
            </w:r>
          </w:p>
        </w:tc>
        <w:tc>
          <w:tcPr>
            <w:tcW w:w="1461" w:type="dxa"/>
          </w:tcPr>
          <w:p w:rsidR="00B75476" w:rsidRPr="00894E52" w:rsidRDefault="00B75476" w:rsidP="00A114AE">
            <w:pPr>
              <w:jc w:val="right"/>
              <w:rPr>
                <w:sz w:val="20"/>
                <w:szCs w:val="20"/>
              </w:rPr>
            </w:pPr>
            <w:r>
              <w:rPr>
                <w:sz w:val="20"/>
                <w:szCs w:val="20"/>
              </w:rPr>
              <w:t xml:space="preserve">138 590 </w:t>
            </w:r>
          </w:p>
        </w:tc>
        <w:tc>
          <w:tcPr>
            <w:tcW w:w="1461" w:type="dxa"/>
          </w:tcPr>
          <w:p w:rsidR="00B75476" w:rsidRPr="00894E52" w:rsidRDefault="00B75476" w:rsidP="00A114AE">
            <w:pPr>
              <w:jc w:val="center"/>
              <w:rPr>
                <w:sz w:val="20"/>
                <w:szCs w:val="20"/>
              </w:rPr>
            </w:pPr>
            <w:r>
              <w:rPr>
                <w:sz w:val="20"/>
                <w:szCs w:val="20"/>
              </w:rPr>
              <w:t>ONUDI</w:t>
            </w:r>
          </w:p>
        </w:tc>
      </w:tr>
      <w:tr w:rsidR="00B75476" w:rsidRPr="00894E52" w:rsidTr="00A114AE">
        <w:tc>
          <w:tcPr>
            <w:tcW w:w="540" w:type="dxa"/>
          </w:tcPr>
          <w:p w:rsidR="00B75476" w:rsidRPr="00894E52" w:rsidRDefault="00B75476" w:rsidP="00A114AE">
            <w:pPr>
              <w:rPr>
                <w:sz w:val="20"/>
                <w:szCs w:val="20"/>
              </w:rPr>
            </w:pPr>
            <w:r>
              <w:rPr>
                <w:sz w:val="20"/>
                <w:szCs w:val="20"/>
              </w:rPr>
              <w:t>(b)</w:t>
            </w:r>
          </w:p>
        </w:tc>
        <w:tc>
          <w:tcPr>
            <w:tcW w:w="4320" w:type="dxa"/>
          </w:tcPr>
          <w:p w:rsidR="00B75476" w:rsidRPr="00B75476" w:rsidRDefault="00B75476" w:rsidP="00A114AE">
            <w:pPr>
              <w:rPr>
                <w:sz w:val="20"/>
                <w:szCs w:val="20"/>
                <w:lang w:val="fr-FR"/>
              </w:rPr>
            </w:pPr>
            <w:r w:rsidRPr="00B75476">
              <w:rPr>
                <w:sz w:val="20"/>
                <w:szCs w:val="20"/>
                <w:lang w:val="fr-FR"/>
              </w:rPr>
              <w:t>Plan de gestion de l’élimination des HCFC (phase II, deuxième tranche)</w:t>
            </w:r>
          </w:p>
        </w:tc>
        <w:tc>
          <w:tcPr>
            <w:tcW w:w="1461" w:type="dxa"/>
          </w:tcPr>
          <w:p w:rsidR="00B75476" w:rsidRPr="00894E52" w:rsidRDefault="00B75476" w:rsidP="00A114AE">
            <w:pPr>
              <w:jc w:val="right"/>
              <w:rPr>
                <w:sz w:val="20"/>
                <w:szCs w:val="20"/>
              </w:rPr>
            </w:pPr>
            <w:r>
              <w:rPr>
                <w:sz w:val="20"/>
                <w:szCs w:val="20"/>
              </w:rPr>
              <w:t>200 000</w:t>
            </w:r>
          </w:p>
        </w:tc>
        <w:tc>
          <w:tcPr>
            <w:tcW w:w="1461" w:type="dxa"/>
          </w:tcPr>
          <w:p w:rsidR="00B75476" w:rsidRPr="00894E52" w:rsidRDefault="00B75476" w:rsidP="00A114AE">
            <w:pPr>
              <w:jc w:val="right"/>
              <w:rPr>
                <w:sz w:val="20"/>
                <w:szCs w:val="20"/>
              </w:rPr>
            </w:pPr>
            <w:r>
              <w:rPr>
                <w:sz w:val="20"/>
                <w:szCs w:val="20"/>
              </w:rPr>
              <w:t>25 976</w:t>
            </w:r>
          </w:p>
        </w:tc>
        <w:tc>
          <w:tcPr>
            <w:tcW w:w="1461" w:type="dxa"/>
          </w:tcPr>
          <w:p w:rsidR="00B75476" w:rsidRPr="00894E52" w:rsidRDefault="00B75476" w:rsidP="00A114AE">
            <w:pPr>
              <w:jc w:val="center"/>
              <w:rPr>
                <w:sz w:val="20"/>
                <w:szCs w:val="20"/>
              </w:rPr>
            </w:pPr>
            <w:r>
              <w:rPr>
                <w:sz w:val="20"/>
                <w:szCs w:val="20"/>
              </w:rPr>
              <w:t>PNUE</w:t>
            </w:r>
          </w:p>
        </w:tc>
      </w:tr>
    </w:tbl>
    <w:p w:rsidR="00B75476" w:rsidRPr="00894E52" w:rsidRDefault="00B75476" w:rsidP="00B75476">
      <w:pPr>
        <w:pStyle w:val="Heading2"/>
        <w:keepNext/>
        <w:widowControl/>
        <w:numPr>
          <w:ilvl w:val="0"/>
          <w:numId w:val="0"/>
        </w:numPr>
        <w:rPr>
          <w:lang w:val="en-CA"/>
        </w:rPr>
      </w:pPr>
    </w:p>
    <w:p w:rsidR="00B75476" w:rsidRPr="00894E52" w:rsidRDefault="00B75476" w:rsidP="00B75476">
      <w:pPr>
        <w:pStyle w:val="Heading2"/>
        <w:keepNext/>
        <w:widowControl/>
        <w:numPr>
          <w:ilvl w:val="0"/>
          <w:numId w:val="0"/>
        </w:numPr>
        <w:rPr>
          <w:lang w:val="en-CA"/>
        </w:rPr>
        <w:sectPr w:rsidR="00B75476" w:rsidRPr="00894E52" w:rsidSect="00A114A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B75476" w:rsidRPr="00295323" w:rsidRDefault="00B75476" w:rsidP="00B75476">
      <w:pPr>
        <w:jc w:val="center"/>
        <w:rPr>
          <w:b/>
          <w:lang w:val="fr-FR"/>
        </w:rPr>
      </w:pPr>
      <w:r w:rsidRPr="00295323">
        <w:rPr>
          <w:b/>
          <w:lang w:val="fr-FR"/>
        </w:rPr>
        <w:lastRenderedPageBreak/>
        <w:t>Annexe I</w:t>
      </w:r>
    </w:p>
    <w:p w:rsidR="00B75476" w:rsidRPr="00295323" w:rsidRDefault="00B75476" w:rsidP="00B75476">
      <w:pPr>
        <w:jc w:val="center"/>
        <w:rPr>
          <w:lang w:val="fr-FR"/>
        </w:rPr>
      </w:pPr>
    </w:p>
    <w:p w:rsidR="00B75476" w:rsidRPr="00B75476" w:rsidRDefault="00B75476" w:rsidP="00B75476">
      <w:pPr>
        <w:jc w:val="center"/>
        <w:rPr>
          <w:b/>
          <w:lang w:val="fr-FR"/>
        </w:rPr>
      </w:pPr>
      <w:r w:rsidRPr="00B75476">
        <w:rPr>
          <w:b/>
          <w:lang w:val="fr-FR"/>
        </w:rPr>
        <w:t>TEXTE À INCLURE DANS L’ACCORD MIS À JOUR ENTRE LE GOUVERNEMENT DU PAKISTAN ET LE COMITÉ EXÉCUTIF DU FONDS MULTILATÉRAL POUR LA RÉDUCTION DE LA CONSOMMATION DES HYDROCHLOROFLUOROCARBURES EN ACCORD AVEC LA PHASE II DU PLAN DE GESTION DE L’ÉLIMINATION DES HCFC</w:t>
      </w:r>
    </w:p>
    <w:p w:rsidR="00B75476" w:rsidRPr="00B75476" w:rsidRDefault="00B75476" w:rsidP="00B75476">
      <w:pPr>
        <w:jc w:val="center"/>
        <w:rPr>
          <w:lang w:val="fr-FR"/>
        </w:rPr>
      </w:pPr>
      <w:r w:rsidRPr="00B75476">
        <w:rPr>
          <w:lang w:val="fr-FR"/>
        </w:rPr>
        <w:t>(Les changements importants sont indiqués en gras pour plus de clarté)</w:t>
      </w:r>
    </w:p>
    <w:p w:rsidR="00B75476" w:rsidRPr="00B75476" w:rsidRDefault="00B75476" w:rsidP="00B75476">
      <w:pPr>
        <w:rPr>
          <w:lang w:val="fr-FR"/>
        </w:rPr>
      </w:pPr>
    </w:p>
    <w:p w:rsidR="00B75476" w:rsidRPr="00B75476" w:rsidRDefault="00B75476" w:rsidP="00B75476">
      <w:pPr>
        <w:pStyle w:val="Heading1"/>
        <w:numPr>
          <w:ilvl w:val="0"/>
          <w:numId w:val="24"/>
        </w:numPr>
        <w:rPr>
          <w:lang w:val="fr-FR"/>
        </w:rPr>
      </w:pPr>
      <w:r w:rsidRPr="00B75476">
        <w:rPr>
          <w:lang w:val="fr-FR"/>
        </w:rPr>
        <w:t xml:space="preserve">Le présent Accord représente l’entente conclue entre le gouvernement du Pakistan (le « Pays ») et le Comité exécutif concernant la réduction de l’usage réglementé des substances appauvrissant la couche d’ozone (SAO) indiquées à l’appendice 1-A (les « Substances ») à un niveau durable de </w:t>
      </w:r>
      <w:r w:rsidRPr="00B75476">
        <w:rPr>
          <w:b/>
          <w:lang w:val="fr-FR"/>
        </w:rPr>
        <w:t xml:space="preserve">124,06 </w:t>
      </w:r>
      <w:r w:rsidRPr="00B75476">
        <w:rPr>
          <w:lang w:val="fr-FR"/>
        </w:rPr>
        <w:t>tonnes PAO d’ici au 1er janvier 2020 en conformité avec le calendrier de réduction du Protocole Montréal.</w:t>
      </w:r>
    </w:p>
    <w:p w:rsidR="00B75476" w:rsidRPr="00B75476" w:rsidRDefault="00B75476" w:rsidP="00B75476">
      <w:pPr>
        <w:pStyle w:val="Heading1"/>
        <w:numPr>
          <w:ilvl w:val="0"/>
          <w:numId w:val="0"/>
        </w:numPr>
        <w:rPr>
          <w:b/>
          <w:lang w:val="fr-FR"/>
        </w:rPr>
      </w:pPr>
      <w:r w:rsidRPr="00B75476">
        <w:rPr>
          <w:b/>
          <w:lang w:val="fr-FR"/>
        </w:rPr>
        <w:t>16.</w:t>
      </w:r>
      <w:r w:rsidRPr="00B75476">
        <w:rPr>
          <w:b/>
          <w:lang w:val="fr-FR"/>
        </w:rPr>
        <w:tab/>
        <w:t>Le présent Accord révisé remplace l’Accord conclu entre le gouvernement du Pakistan et le Comité exécutif à la 76</w:t>
      </w:r>
      <w:r w:rsidRPr="00B75476">
        <w:rPr>
          <w:b/>
          <w:vertAlign w:val="superscript"/>
          <w:lang w:val="fr-FR"/>
        </w:rPr>
        <w:t xml:space="preserve">e </w:t>
      </w:r>
      <w:r w:rsidRPr="00B75476">
        <w:rPr>
          <w:b/>
          <w:lang w:val="fr-FR"/>
        </w:rPr>
        <w:t>réunion de ce dernier.</w:t>
      </w:r>
    </w:p>
    <w:p w:rsidR="00B75476" w:rsidRPr="00894E52" w:rsidRDefault="00A54ACF" w:rsidP="00B75476">
      <w:pPr>
        <w:pStyle w:val="Heading1"/>
        <w:numPr>
          <w:ilvl w:val="0"/>
          <w:numId w:val="0"/>
        </w:numPr>
        <w:rPr>
          <w:b/>
        </w:rPr>
      </w:pPr>
      <w:r>
        <w:rPr>
          <w:b/>
        </w:rPr>
        <w:t>APPENDICE 1</w:t>
      </w:r>
      <w:r>
        <w:rPr>
          <w:b/>
        </w:rPr>
        <w:noBreakHyphen/>
        <w:t>A</w:t>
      </w:r>
      <w:r w:rsidR="00B75476">
        <w:rPr>
          <w:b/>
        </w:rPr>
        <w:t>: LES SUBSTANCES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383"/>
      </w:tblGrid>
      <w:tr w:rsidR="00B75476" w:rsidRPr="00A02646" w:rsidTr="00A114AE">
        <w:tc>
          <w:tcPr>
            <w:tcW w:w="3304" w:type="dxa"/>
          </w:tcPr>
          <w:p w:rsidR="00B75476" w:rsidRPr="00894E52" w:rsidRDefault="00B75476" w:rsidP="00A114AE">
            <w:pPr>
              <w:jc w:val="center"/>
              <w:rPr>
                <w:sz w:val="20"/>
                <w:szCs w:val="20"/>
              </w:rPr>
            </w:pPr>
            <w:r>
              <w:rPr>
                <w:sz w:val="20"/>
                <w:szCs w:val="20"/>
              </w:rPr>
              <w:t>Substance</w:t>
            </w:r>
          </w:p>
        </w:tc>
        <w:tc>
          <w:tcPr>
            <w:tcW w:w="804" w:type="dxa"/>
          </w:tcPr>
          <w:p w:rsidR="00B75476" w:rsidRPr="00894E52" w:rsidRDefault="00B75476" w:rsidP="00A114AE">
            <w:pPr>
              <w:jc w:val="center"/>
              <w:rPr>
                <w:sz w:val="20"/>
                <w:szCs w:val="20"/>
              </w:rPr>
            </w:pPr>
            <w:r>
              <w:rPr>
                <w:sz w:val="20"/>
                <w:szCs w:val="20"/>
              </w:rPr>
              <w:t>Annexe</w:t>
            </w:r>
          </w:p>
        </w:tc>
        <w:tc>
          <w:tcPr>
            <w:tcW w:w="842" w:type="dxa"/>
          </w:tcPr>
          <w:p w:rsidR="00B75476" w:rsidRPr="00894E52" w:rsidRDefault="00B75476" w:rsidP="00A114AE">
            <w:pPr>
              <w:jc w:val="center"/>
              <w:rPr>
                <w:sz w:val="20"/>
                <w:szCs w:val="20"/>
              </w:rPr>
            </w:pPr>
            <w:r>
              <w:rPr>
                <w:sz w:val="20"/>
                <w:szCs w:val="20"/>
              </w:rPr>
              <w:t>Groupe</w:t>
            </w:r>
          </w:p>
        </w:tc>
        <w:tc>
          <w:tcPr>
            <w:tcW w:w="4383" w:type="dxa"/>
            <w:tcBorders>
              <w:bottom w:val="single" w:sz="4" w:space="0" w:color="auto"/>
            </w:tcBorders>
          </w:tcPr>
          <w:p w:rsidR="00B75476" w:rsidRPr="00B75476" w:rsidRDefault="00B75476" w:rsidP="00A114AE">
            <w:pPr>
              <w:jc w:val="center"/>
              <w:rPr>
                <w:sz w:val="20"/>
                <w:szCs w:val="20"/>
                <w:lang w:val="fr-FR"/>
              </w:rPr>
            </w:pPr>
            <w:r w:rsidRPr="00B75476">
              <w:rPr>
                <w:sz w:val="20"/>
                <w:szCs w:val="20"/>
                <w:lang w:val="fr-FR"/>
              </w:rPr>
              <w:t>Point de départ des réductions globales de consommation (tonnes PAO)</w:t>
            </w:r>
          </w:p>
        </w:tc>
      </w:tr>
      <w:tr w:rsidR="00B75476" w:rsidRPr="00894E52" w:rsidTr="00A114AE">
        <w:tc>
          <w:tcPr>
            <w:tcW w:w="3304" w:type="dxa"/>
          </w:tcPr>
          <w:p w:rsidR="00B75476" w:rsidRPr="00894E52" w:rsidRDefault="00B75476" w:rsidP="00A114AE">
            <w:pPr>
              <w:keepNext/>
              <w:rPr>
                <w:sz w:val="20"/>
                <w:szCs w:val="20"/>
              </w:rPr>
            </w:pPr>
            <w:r>
              <w:rPr>
                <w:sz w:val="20"/>
                <w:szCs w:val="20"/>
              </w:rPr>
              <w:t>HCFC</w:t>
            </w:r>
            <w:r>
              <w:rPr>
                <w:sz w:val="20"/>
                <w:szCs w:val="20"/>
              </w:rPr>
              <w:noBreakHyphen/>
              <w:t>22</w:t>
            </w:r>
          </w:p>
        </w:tc>
        <w:tc>
          <w:tcPr>
            <w:tcW w:w="804" w:type="dxa"/>
          </w:tcPr>
          <w:p w:rsidR="00B75476" w:rsidRPr="00894E52" w:rsidRDefault="00B75476" w:rsidP="00A114AE">
            <w:pPr>
              <w:keepNext/>
              <w:rPr>
                <w:sz w:val="20"/>
                <w:szCs w:val="20"/>
              </w:rPr>
            </w:pPr>
            <w:r>
              <w:rPr>
                <w:sz w:val="20"/>
                <w:szCs w:val="20"/>
              </w:rPr>
              <w:t>C</w:t>
            </w:r>
          </w:p>
        </w:tc>
        <w:tc>
          <w:tcPr>
            <w:tcW w:w="842" w:type="dxa"/>
          </w:tcPr>
          <w:p w:rsidR="00B75476" w:rsidRPr="00894E52" w:rsidRDefault="00B75476" w:rsidP="00A114AE">
            <w:pPr>
              <w:rPr>
                <w:sz w:val="20"/>
                <w:szCs w:val="20"/>
              </w:rPr>
            </w:pPr>
            <w:r>
              <w:rPr>
                <w:sz w:val="20"/>
                <w:szCs w:val="20"/>
              </w:rPr>
              <w:t>I</w:t>
            </w:r>
          </w:p>
        </w:tc>
        <w:tc>
          <w:tcPr>
            <w:tcW w:w="4383" w:type="dxa"/>
            <w:shd w:val="clear" w:color="auto" w:fill="auto"/>
          </w:tcPr>
          <w:p w:rsidR="00B75476" w:rsidRPr="00894E52" w:rsidRDefault="00B75476" w:rsidP="00A114AE">
            <w:pPr>
              <w:widowControl w:val="0"/>
              <w:autoSpaceDE w:val="0"/>
              <w:autoSpaceDN w:val="0"/>
              <w:adjustRightInd w:val="0"/>
              <w:ind w:left="102" w:right="-20"/>
              <w:jc w:val="right"/>
              <w:rPr>
                <w:b/>
                <w:sz w:val="20"/>
                <w:szCs w:val="20"/>
              </w:rPr>
            </w:pPr>
            <w:r>
              <w:rPr>
                <w:b/>
                <w:sz w:val="20"/>
                <w:szCs w:val="20"/>
              </w:rPr>
              <w:t>104,96</w:t>
            </w:r>
          </w:p>
        </w:tc>
      </w:tr>
      <w:tr w:rsidR="00B75476" w:rsidRPr="00894E52" w:rsidTr="00A114AE">
        <w:tblPrEx>
          <w:tblLook w:val="0000" w:firstRow="0" w:lastRow="0" w:firstColumn="0" w:lastColumn="0" w:noHBand="0" w:noVBand="0"/>
        </w:tblPrEx>
        <w:tc>
          <w:tcPr>
            <w:tcW w:w="3304" w:type="dxa"/>
          </w:tcPr>
          <w:p w:rsidR="00B75476" w:rsidRPr="00894E52" w:rsidRDefault="00B75476" w:rsidP="00A114AE">
            <w:pPr>
              <w:rPr>
                <w:sz w:val="20"/>
              </w:rPr>
            </w:pPr>
            <w:r>
              <w:rPr>
                <w:sz w:val="20"/>
              </w:rPr>
              <w:t>HCFC</w:t>
            </w:r>
            <w:r>
              <w:rPr>
                <w:sz w:val="20"/>
              </w:rPr>
              <w:noBreakHyphen/>
              <w:t>141b</w:t>
            </w:r>
          </w:p>
        </w:tc>
        <w:tc>
          <w:tcPr>
            <w:tcW w:w="804" w:type="dxa"/>
          </w:tcPr>
          <w:p w:rsidR="00B75476" w:rsidRPr="00894E52" w:rsidRDefault="00B75476" w:rsidP="00A114AE">
            <w:pPr>
              <w:rPr>
                <w:sz w:val="20"/>
              </w:rPr>
            </w:pPr>
            <w:r>
              <w:rPr>
                <w:sz w:val="20"/>
              </w:rPr>
              <w:t>C</w:t>
            </w:r>
          </w:p>
        </w:tc>
        <w:tc>
          <w:tcPr>
            <w:tcW w:w="842" w:type="dxa"/>
            <w:shd w:val="clear" w:color="auto" w:fill="auto"/>
          </w:tcPr>
          <w:p w:rsidR="00B75476" w:rsidRPr="00894E52" w:rsidRDefault="00B75476" w:rsidP="00A114AE">
            <w:pPr>
              <w:rPr>
                <w:sz w:val="20"/>
              </w:rPr>
            </w:pPr>
            <w:r>
              <w:rPr>
                <w:sz w:val="20"/>
              </w:rPr>
              <w:t>I</w:t>
            </w:r>
          </w:p>
        </w:tc>
        <w:tc>
          <w:tcPr>
            <w:tcW w:w="4383" w:type="dxa"/>
            <w:shd w:val="clear" w:color="auto" w:fill="auto"/>
          </w:tcPr>
          <w:p w:rsidR="00B75476" w:rsidRPr="00894E52" w:rsidRDefault="00B75476" w:rsidP="00A114AE">
            <w:pPr>
              <w:widowControl w:val="0"/>
              <w:autoSpaceDE w:val="0"/>
              <w:autoSpaceDN w:val="0"/>
              <w:adjustRightInd w:val="0"/>
              <w:ind w:left="102" w:right="-20"/>
              <w:jc w:val="right"/>
              <w:rPr>
                <w:sz w:val="20"/>
                <w:szCs w:val="20"/>
              </w:rPr>
            </w:pPr>
            <w:r>
              <w:rPr>
                <w:sz w:val="20"/>
                <w:szCs w:val="20"/>
              </w:rPr>
              <w:t>138,50</w:t>
            </w:r>
          </w:p>
        </w:tc>
      </w:tr>
      <w:tr w:rsidR="00B75476" w:rsidRPr="00894E52" w:rsidTr="00A114AE">
        <w:tblPrEx>
          <w:tblLook w:val="0000" w:firstRow="0" w:lastRow="0" w:firstColumn="0" w:lastColumn="0" w:noHBand="0" w:noVBand="0"/>
        </w:tblPrEx>
        <w:tc>
          <w:tcPr>
            <w:tcW w:w="3304" w:type="dxa"/>
          </w:tcPr>
          <w:p w:rsidR="00B75476" w:rsidRPr="00894E52" w:rsidRDefault="00B75476" w:rsidP="00A114AE">
            <w:pPr>
              <w:rPr>
                <w:b/>
                <w:sz w:val="20"/>
              </w:rPr>
            </w:pPr>
            <w:r>
              <w:rPr>
                <w:b/>
                <w:sz w:val="20"/>
              </w:rPr>
              <w:t>HCFC-142b</w:t>
            </w:r>
          </w:p>
        </w:tc>
        <w:tc>
          <w:tcPr>
            <w:tcW w:w="804" w:type="dxa"/>
          </w:tcPr>
          <w:p w:rsidR="00B75476" w:rsidRPr="00894E52" w:rsidRDefault="00B75476" w:rsidP="00A114AE">
            <w:pPr>
              <w:rPr>
                <w:b/>
                <w:sz w:val="20"/>
              </w:rPr>
            </w:pPr>
            <w:r>
              <w:rPr>
                <w:b/>
                <w:sz w:val="20"/>
              </w:rPr>
              <w:t>C</w:t>
            </w:r>
          </w:p>
        </w:tc>
        <w:tc>
          <w:tcPr>
            <w:tcW w:w="842" w:type="dxa"/>
            <w:shd w:val="clear" w:color="auto" w:fill="auto"/>
          </w:tcPr>
          <w:p w:rsidR="00B75476" w:rsidRPr="00894E52" w:rsidRDefault="00B75476" w:rsidP="00A114AE">
            <w:pPr>
              <w:rPr>
                <w:b/>
                <w:sz w:val="20"/>
              </w:rPr>
            </w:pPr>
            <w:r>
              <w:rPr>
                <w:b/>
                <w:sz w:val="20"/>
              </w:rPr>
              <w:t>I</w:t>
            </w:r>
          </w:p>
        </w:tc>
        <w:tc>
          <w:tcPr>
            <w:tcW w:w="4383" w:type="dxa"/>
            <w:shd w:val="clear" w:color="auto" w:fill="auto"/>
          </w:tcPr>
          <w:p w:rsidR="00B75476" w:rsidRPr="00894E52" w:rsidRDefault="00B75476" w:rsidP="00A114AE">
            <w:pPr>
              <w:widowControl w:val="0"/>
              <w:autoSpaceDE w:val="0"/>
              <w:autoSpaceDN w:val="0"/>
              <w:adjustRightInd w:val="0"/>
              <w:ind w:left="102" w:right="-20"/>
              <w:jc w:val="right"/>
              <w:rPr>
                <w:b/>
                <w:sz w:val="20"/>
                <w:szCs w:val="20"/>
              </w:rPr>
            </w:pPr>
            <w:r>
              <w:rPr>
                <w:b/>
                <w:sz w:val="20"/>
                <w:szCs w:val="20"/>
              </w:rPr>
              <w:t>4,65</w:t>
            </w:r>
          </w:p>
        </w:tc>
      </w:tr>
      <w:tr w:rsidR="00B75476" w:rsidRPr="00894E52" w:rsidTr="00A114AE">
        <w:tc>
          <w:tcPr>
            <w:tcW w:w="3304" w:type="dxa"/>
          </w:tcPr>
          <w:p w:rsidR="00B75476" w:rsidRPr="00894E52" w:rsidRDefault="00B75476" w:rsidP="00A114AE">
            <w:pPr>
              <w:widowControl w:val="0"/>
              <w:autoSpaceDE w:val="0"/>
              <w:autoSpaceDN w:val="0"/>
              <w:adjustRightInd w:val="0"/>
              <w:rPr>
                <w:color w:val="000000"/>
                <w:sz w:val="20"/>
                <w:szCs w:val="24"/>
              </w:rPr>
            </w:pPr>
            <w:r>
              <w:rPr>
                <w:color w:val="000000"/>
                <w:sz w:val="20"/>
                <w:szCs w:val="24"/>
              </w:rPr>
              <w:t>Total</w:t>
            </w:r>
          </w:p>
        </w:tc>
        <w:tc>
          <w:tcPr>
            <w:tcW w:w="804" w:type="dxa"/>
          </w:tcPr>
          <w:p w:rsidR="00B75476" w:rsidRPr="00894E52" w:rsidRDefault="00B75476" w:rsidP="00A114AE">
            <w:pPr>
              <w:widowControl w:val="0"/>
              <w:autoSpaceDE w:val="0"/>
              <w:autoSpaceDN w:val="0"/>
              <w:adjustRightInd w:val="0"/>
              <w:rPr>
                <w:color w:val="000000"/>
                <w:sz w:val="20"/>
                <w:szCs w:val="24"/>
              </w:rPr>
            </w:pPr>
            <w:r>
              <w:rPr>
                <w:color w:val="000000"/>
                <w:sz w:val="20"/>
                <w:szCs w:val="20"/>
              </w:rPr>
              <w:t>C</w:t>
            </w:r>
          </w:p>
        </w:tc>
        <w:tc>
          <w:tcPr>
            <w:tcW w:w="842" w:type="dxa"/>
          </w:tcPr>
          <w:p w:rsidR="00B75476" w:rsidRPr="00894E52" w:rsidRDefault="00B75476" w:rsidP="00A114AE">
            <w:pPr>
              <w:widowControl w:val="0"/>
              <w:autoSpaceDE w:val="0"/>
              <w:autoSpaceDN w:val="0"/>
              <w:adjustRightInd w:val="0"/>
              <w:rPr>
                <w:color w:val="000000"/>
                <w:sz w:val="20"/>
                <w:szCs w:val="24"/>
              </w:rPr>
            </w:pPr>
            <w:r>
              <w:rPr>
                <w:color w:val="000000"/>
                <w:sz w:val="20"/>
                <w:szCs w:val="20"/>
              </w:rPr>
              <w:t>I</w:t>
            </w:r>
          </w:p>
        </w:tc>
        <w:tc>
          <w:tcPr>
            <w:tcW w:w="4383" w:type="dxa"/>
            <w:shd w:val="clear" w:color="auto" w:fill="auto"/>
          </w:tcPr>
          <w:p w:rsidR="00B75476" w:rsidRPr="00894E52" w:rsidRDefault="00B75476" w:rsidP="00A114AE">
            <w:pPr>
              <w:widowControl w:val="0"/>
              <w:autoSpaceDE w:val="0"/>
              <w:autoSpaceDN w:val="0"/>
              <w:adjustRightInd w:val="0"/>
              <w:jc w:val="right"/>
              <w:rPr>
                <w:b/>
                <w:color w:val="000000"/>
                <w:sz w:val="20"/>
                <w:szCs w:val="20"/>
              </w:rPr>
            </w:pPr>
            <w:r>
              <w:rPr>
                <w:b/>
                <w:color w:val="000000"/>
                <w:sz w:val="20"/>
                <w:szCs w:val="20"/>
              </w:rPr>
              <w:t>248,11</w:t>
            </w:r>
          </w:p>
        </w:tc>
      </w:tr>
    </w:tbl>
    <w:p w:rsidR="00B75476" w:rsidRPr="00894E52" w:rsidRDefault="00B75476" w:rsidP="00B75476">
      <w:pPr>
        <w:keepNext/>
        <w:keepLines/>
      </w:pPr>
    </w:p>
    <w:p w:rsidR="00B75476" w:rsidRPr="00B75476" w:rsidRDefault="00B75476" w:rsidP="00B75476">
      <w:pPr>
        <w:keepNext/>
        <w:keepLines/>
        <w:spacing w:after="240"/>
        <w:rPr>
          <w:b/>
          <w:lang w:val="fr-FR"/>
        </w:rPr>
      </w:pPr>
      <w:r w:rsidRPr="00B75476">
        <w:rPr>
          <w:b/>
          <w:lang w:val="fr-FR"/>
        </w:rPr>
        <w:t>APPENDICE 2</w:t>
      </w:r>
      <w:r w:rsidRPr="00B75476">
        <w:rPr>
          <w:b/>
          <w:lang w:val="fr-FR"/>
        </w:rPr>
        <w:noBreakHyphen/>
        <w:t>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199"/>
        <w:gridCol w:w="1016"/>
        <w:gridCol w:w="766"/>
        <w:gridCol w:w="1016"/>
        <w:gridCol w:w="766"/>
        <w:gridCol w:w="866"/>
        <w:gridCol w:w="1016"/>
      </w:tblGrid>
      <w:tr w:rsidR="00B75476" w:rsidRPr="00894E52" w:rsidTr="00A114AE">
        <w:trPr>
          <w:cantSplit/>
          <w:trHeight w:val="98"/>
          <w:tblHeader/>
          <w:jc w:val="center"/>
        </w:trPr>
        <w:tc>
          <w:tcPr>
            <w:tcW w:w="329"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Ligne</w:t>
            </w:r>
          </w:p>
        </w:tc>
        <w:tc>
          <w:tcPr>
            <w:tcW w:w="1757"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Caractéristiques</w:t>
            </w:r>
          </w:p>
        </w:tc>
        <w:tc>
          <w:tcPr>
            <w:tcW w:w="543"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2016</w:t>
            </w:r>
          </w:p>
        </w:tc>
        <w:tc>
          <w:tcPr>
            <w:tcW w:w="410"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2017</w:t>
            </w:r>
          </w:p>
        </w:tc>
        <w:tc>
          <w:tcPr>
            <w:tcW w:w="543"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2018</w:t>
            </w:r>
          </w:p>
        </w:tc>
        <w:tc>
          <w:tcPr>
            <w:tcW w:w="410"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2019</w:t>
            </w:r>
          </w:p>
        </w:tc>
        <w:tc>
          <w:tcPr>
            <w:tcW w:w="464"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2020</w:t>
            </w:r>
          </w:p>
        </w:tc>
        <w:tc>
          <w:tcPr>
            <w:tcW w:w="543" w:type="pct"/>
            <w:shd w:val="clear" w:color="auto" w:fill="auto"/>
            <w:hideMark/>
          </w:tcPr>
          <w:p w:rsidR="00B75476" w:rsidRPr="00894E52" w:rsidRDefault="00B75476" w:rsidP="00A114AE">
            <w:pPr>
              <w:keepNext/>
              <w:keepLines/>
              <w:jc w:val="center"/>
              <w:rPr>
                <w:b/>
                <w:bCs/>
                <w:color w:val="000000"/>
                <w:sz w:val="20"/>
                <w:szCs w:val="20"/>
              </w:rPr>
            </w:pPr>
            <w:r>
              <w:rPr>
                <w:b/>
                <w:bCs/>
                <w:color w:val="000000"/>
                <w:sz w:val="20"/>
                <w:szCs w:val="20"/>
              </w:rPr>
              <w:t>Total</w:t>
            </w:r>
          </w:p>
        </w:tc>
      </w:tr>
      <w:tr w:rsidR="00B75476" w:rsidRPr="00894E52" w:rsidTr="00A114AE">
        <w:trPr>
          <w:trHeight w:val="408"/>
          <w:jc w:val="center"/>
        </w:trPr>
        <w:tc>
          <w:tcPr>
            <w:tcW w:w="329" w:type="pct"/>
            <w:shd w:val="clear" w:color="auto" w:fill="auto"/>
            <w:hideMark/>
          </w:tcPr>
          <w:p w:rsidR="00B75476" w:rsidRPr="00894E52" w:rsidRDefault="00B75476" w:rsidP="00A114AE">
            <w:pPr>
              <w:keepNext/>
              <w:keepLines/>
              <w:rPr>
                <w:color w:val="000000"/>
                <w:sz w:val="20"/>
                <w:szCs w:val="20"/>
              </w:rPr>
            </w:pPr>
            <w:r>
              <w:rPr>
                <w:color w:val="000000"/>
                <w:sz w:val="20"/>
                <w:szCs w:val="20"/>
              </w:rPr>
              <w:t>1,1</w:t>
            </w:r>
          </w:p>
        </w:tc>
        <w:tc>
          <w:tcPr>
            <w:tcW w:w="1757" w:type="pct"/>
            <w:shd w:val="clear" w:color="auto" w:fill="auto"/>
            <w:hideMark/>
          </w:tcPr>
          <w:p w:rsidR="00B75476" w:rsidRPr="00B75476" w:rsidRDefault="00B75476" w:rsidP="00A114AE">
            <w:pPr>
              <w:keepNext/>
              <w:keepLines/>
              <w:rPr>
                <w:color w:val="000000"/>
                <w:sz w:val="20"/>
                <w:szCs w:val="20"/>
                <w:lang w:val="fr-FR"/>
              </w:rPr>
            </w:pPr>
            <w:r w:rsidRPr="00B75476">
              <w:rPr>
                <w:color w:val="000000"/>
                <w:sz w:val="20"/>
                <w:szCs w:val="20"/>
                <w:lang w:val="fr-FR"/>
              </w:rPr>
              <w:t>Calendrier de réduction des substances du groupe I de l’annexe C du Protocole de Montréal (tonnes PAO)</w:t>
            </w:r>
          </w:p>
        </w:tc>
        <w:tc>
          <w:tcPr>
            <w:tcW w:w="543" w:type="pct"/>
            <w:shd w:val="clear" w:color="auto" w:fill="auto"/>
          </w:tcPr>
          <w:p w:rsidR="00B75476" w:rsidRPr="00894E52" w:rsidRDefault="00B75476" w:rsidP="00A114AE">
            <w:pPr>
              <w:jc w:val="right"/>
              <w:rPr>
                <w:b/>
                <w:color w:val="000000"/>
                <w:sz w:val="20"/>
                <w:szCs w:val="20"/>
              </w:rPr>
            </w:pPr>
            <w:r>
              <w:rPr>
                <w:b/>
                <w:color w:val="000000"/>
                <w:sz w:val="20"/>
                <w:szCs w:val="20"/>
              </w:rPr>
              <w:t>223,30</w:t>
            </w:r>
          </w:p>
        </w:tc>
        <w:tc>
          <w:tcPr>
            <w:tcW w:w="410" w:type="pct"/>
            <w:shd w:val="clear" w:color="auto" w:fill="auto"/>
          </w:tcPr>
          <w:p w:rsidR="00B75476" w:rsidRPr="00894E52" w:rsidRDefault="00B75476" w:rsidP="00A114AE">
            <w:pPr>
              <w:jc w:val="right"/>
              <w:rPr>
                <w:b/>
              </w:rPr>
            </w:pPr>
            <w:r>
              <w:rPr>
                <w:b/>
                <w:color w:val="000000"/>
                <w:sz w:val="20"/>
                <w:szCs w:val="20"/>
              </w:rPr>
              <w:t>223,30</w:t>
            </w:r>
          </w:p>
        </w:tc>
        <w:tc>
          <w:tcPr>
            <w:tcW w:w="543" w:type="pct"/>
            <w:shd w:val="clear" w:color="auto" w:fill="auto"/>
          </w:tcPr>
          <w:p w:rsidR="00B75476" w:rsidRPr="00894E52" w:rsidRDefault="00B75476" w:rsidP="00A114AE">
            <w:pPr>
              <w:jc w:val="right"/>
              <w:rPr>
                <w:b/>
              </w:rPr>
            </w:pPr>
            <w:r>
              <w:rPr>
                <w:b/>
                <w:color w:val="000000"/>
                <w:sz w:val="20"/>
                <w:szCs w:val="20"/>
              </w:rPr>
              <w:t>223,30</w:t>
            </w:r>
          </w:p>
        </w:tc>
        <w:tc>
          <w:tcPr>
            <w:tcW w:w="410" w:type="pct"/>
            <w:shd w:val="clear" w:color="auto" w:fill="auto"/>
          </w:tcPr>
          <w:p w:rsidR="00B75476" w:rsidRPr="00894E52" w:rsidRDefault="00B75476" w:rsidP="00A114AE">
            <w:pPr>
              <w:jc w:val="right"/>
              <w:rPr>
                <w:b/>
              </w:rPr>
            </w:pPr>
            <w:r>
              <w:rPr>
                <w:b/>
                <w:color w:val="000000"/>
                <w:sz w:val="20"/>
                <w:szCs w:val="20"/>
              </w:rPr>
              <w:t>223,30</w:t>
            </w:r>
          </w:p>
        </w:tc>
        <w:tc>
          <w:tcPr>
            <w:tcW w:w="464" w:type="pct"/>
            <w:shd w:val="clear" w:color="auto" w:fill="auto"/>
          </w:tcPr>
          <w:p w:rsidR="00B75476" w:rsidRPr="00894E52" w:rsidRDefault="00B75476" w:rsidP="00A114AE">
            <w:pPr>
              <w:jc w:val="right"/>
              <w:rPr>
                <w:b/>
                <w:color w:val="000000"/>
                <w:sz w:val="20"/>
                <w:szCs w:val="20"/>
              </w:rPr>
            </w:pPr>
            <w:r>
              <w:rPr>
                <w:b/>
                <w:color w:val="000000"/>
                <w:sz w:val="20"/>
                <w:szCs w:val="20"/>
              </w:rPr>
              <w:t>161,27</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s.o.</w:t>
            </w:r>
          </w:p>
        </w:tc>
      </w:tr>
      <w:tr w:rsidR="00B75476" w:rsidRPr="00894E52" w:rsidTr="00A114AE">
        <w:trPr>
          <w:trHeight w:val="408"/>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1,2</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Consommation totale maximum autorisée des substances du groupe I de l’annexe C (tonnes PAO)</w:t>
            </w:r>
          </w:p>
        </w:tc>
        <w:tc>
          <w:tcPr>
            <w:tcW w:w="543" w:type="pct"/>
            <w:shd w:val="clear" w:color="auto" w:fill="auto"/>
          </w:tcPr>
          <w:p w:rsidR="00B75476" w:rsidRPr="00894E52" w:rsidRDefault="00B75476" w:rsidP="00A114AE">
            <w:pPr>
              <w:jc w:val="right"/>
              <w:rPr>
                <w:b/>
                <w:color w:val="000000"/>
                <w:sz w:val="20"/>
                <w:szCs w:val="20"/>
              </w:rPr>
            </w:pPr>
            <w:r>
              <w:rPr>
                <w:b/>
                <w:color w:val="000000"/>
                <w:sz w:val="20"/>
                <w:szCs w:val="20"/>
              </w:rPr>
              <w:t>223,30</w:t>
            </w:r>
          </w:p>
        </w:tc>
        <w:tc>
          <w:tcPr>
            <w:tcW w:w="410" w:type="pct"/>
            <w:shd w:val="clear" w:color="auto" w:fill="auto"/>
          </w:tcPr>
          <w:p w:rsidR="00B75476" w:rsidRPr="00894E52" w:rsidRDefault="00B75476" w:rsidP="00A114AE">
            <w:pPr>
              <w:jc w:val="right"/>
              <w:rPr>
                <w:b/>
              </w:rPr>
            </w:pPr>
            <w:r>
              <w:rPr>
                <w:b/>
                <w:color w:val="000000"/>
                <w:sz w:val="20"/>
                <w:szCs w:val="20"/>
              </w:rPr>
              <w:t>223,30</w:t>
            </w:r>
          </w:p>
        </w:tc>
        <w:tc>
          <w:tcPr>
            <w:tcW w:w="543" w:type="pct"/>
            <w:shd w:val="clear" w:color="auto" w:fill="auto"/>
          </w:tcPr>
          <w:p w:rsidR="00B75476" w:rsidRPr="00894E52" w:rsidRDefault="00B75476" w:rsidP="00A114AE">
            <w:pPr>
              <w:jc w:val="right"/>
              <w:rPr>
                <w:b/>
              </w:rPr>
            </w:pPr>
            <w:r>
              <w:rPr>
                <w:b/>
                <w:color w:val="000000"/>
                <w:sz w:val="20"/>
                <w:szCs w:val="20"/>
              </w:rPr>
              <w:t>223,30</w:t>
            </w:r>
          </w:p>
        </w:tc>
        <w:tc>
          <w:tcPr>
            <w:tcW w:w="410" w:type="pct"/>
            <w:shd w:val="clear" w:color="auto" w:fill="auto"/>
          </w:tcPr>
          <w:p w:rsidR="00B75476" w:rsidRPr="00894E52" w:rsidRDefault="00B75476" w:rsidP="00A114AE">
            <w:pPr>
              <w:jc w:val="right"/>
              <w:rPr>
                <w:b/>
              </w:rPr>
            </w:pPr>
            <w:r>
              <w:rPr>
                <w:b/>
                <w:color w:val="000000"/>
                <w:sz w:val="20"/>
                <w:szCs w:val="20"/>
              </w:rPr>
              <w:t>223,30</w:t>
            </w:r>
          </w:p>
        </w:tc>
        <w:tc>
          <w:tcPr>
            <w:tcW w:w="464" w:type="pct"/>
            <w:shd w:val="clear" w:color="auto" w:fill="auto"/>
          </w:tcPr>
          <w:p w:rsidR="00B75476" w:rsidRPr="00894E52" w:rsidRDefault="00B75476" w:rsidP="00A114AE">
            <w:pPr>
              <w:jc w:val="right"/>
              <w:rPr>
                <w:b/>
                <w:color w:val="000000"/>
                <w:sz w:val="20"/>
                <w:szCs w:val="20"/>
              </w:rPr>
            </w:pPr>
            <w:r>
              <w:rPr>
                <w:b/>
                <w:color w:val="000000"/>
                <w:sz w:val="20"/>
                <w:szCs w:val="20"/>
              </w:rPr>
              <w:t>124,06</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s.o.</w:t>
            </w:r>
          </w:p>
        </w:tc>
      </w:tr>
      <w:tr w:rsidR="00B75476" w:rsidRPr="00894E52" w:rsidTr="00A114AE">
        <w:trPr>
          <w:trHeight w:val="116"/>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2,1</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Financement convenu pour l’ONUDI, agence principale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2 350 200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1 979 852</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446 720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4 776 772</w:t>
            </w:r>
          </w:p>
        </w:tc>
      </w:tr>
      <w:tr w:rsidR="00B75476" w:rsidRPr="00894E52" w:rsidTr="00A114AE">
        <w:trPr>
          <w:trHeight w:val="56"/>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2,2</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Coûts d’appui pour l’agence principale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164 514</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138 590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31 270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334 374</w:t>
            </w:r>
          </w:p>
        </w:tc>
      </w:tr>
      <w:tr w:rsidR="00B75476" w:rsidRPr="00894E52" w:rsidTr="00A114AE">
        <w:trPr>
          <w:trHeight w:val="161"/>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2,3</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Financement convenu pour le PNUE, agence coopérative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200 000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200 000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103 000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503 000</w:t>
            </w:r>
          </w:p>
        </w:tc>
      </w:tr>
      <w:tr w:rsidR="00B75476" w:rsidRPr="00894E52" w:rsidTr="00A114AE">
        <w:trPr>
          <w:trHeight w:val="60"/>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2,4</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Coûts d’appui pour l’agence coopérative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25 976</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25 976</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13 378</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65 330</w:t>
            </w:r>
          </w:p>
        </w:tc>
      </w:tr>
      <w:tr w:rsidR="00B75476" w:rsidRPr="00894E52" w:rsidTr="00A114AE">
        <w:trPr>
          <w:trHeight w:val="62"/>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3,1</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Total du financement convenu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2 550 200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2 179 852</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549 720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5 279 772</w:t>
            </w:r>
          </w:p>
        </w:tc>
      </w:tr>
      <w:tr w:rsidR="00B75476" w:rsidRPr="00894E52" w:rsidTr="00A114AE">
        <w:trPr>
          <w:trHeight w:val="62"/>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3,2</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Total des coûts d’appui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190 490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164 566</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44 648</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399 704</w:t>
            </w:r>
          </w:p>
        </w:tc>
      </w:tr>
      <w:tr w:rsidR="00B75476" w:rsidRPr="00894E52" w:rsidTr="00A114AE">
        <w:trPr>
          <w:trHeight w:val="53"/>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3,3</w:t>
            </w:r>
          </w:p>
        </w:tc>
        <w:tc>
          <w:tcPr>
            <w:tcW w:w="1757" w:type="pct"/>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Total des coûts convenus ($ US)</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2 740 690</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2 344 418</w:t>
            </w:r>
          </w:p>
        </w:tc>
        <w:tc>
          <w:tcPr>
            <w:tcW w:w="410" w:type="pct"/>
            <w:shd w:val="clear" w:color="auto" w:fill="auto"/>
          </w:tcPr>
          <w:p w:rsidR="00B75476" w:rsidRPr="00894E52" w:rsidRDefault="00B75476" w:rsidP="00A114AE">
            <w:pPr>
              <w:jc w:val="right"/>
              <w:rPr>
                <w:color w:val="000000"/>
                <w:sz w:val="20"/>
                <w:szCs w:val="20"/>
              </w:rPr>
            </w:pPr>
            <w:r>
              <w:rPr>
                <w:color w:val="000000"/>
                <w:sz w:val="20"/>
                <w:szCs w:val="20"/>
              </w:rPr>
              <w:t>0</w:t>
            </w:r>
          </w:p>
        </w:tc>
        <w:tc>
          <w:tcPr>
            <w:tcW w:w="464" w:type="pct"/>
            <w:shd w:val="clear" w:color="auto" w:fill="auto"/>
          </w:tcPr>
          <w:p w:rsidR="00B75476" w:rsidRPr="00894E52" w:rsidRDefault="00B75476" w:rsidP="00A114AE">
            <w:pPr>
              <w:jc w:val="right"/>
              <w:rPr>
                <w:color w:val="000000"/>
                <w:sz w:val="20"/>
                <w:szCs w:val="20"/>
              </w:rPr>
            </w:pPr>
            <w:r>
              <w:rPr>
                <w:color w:val="000000"/>
                <w:sz w:val="20"/>
                <w:szCs w:val="20"/>
              </w:rPr>
              <w:t>594 368</w:t>
            </w:r>
          </w:p>
        </w:tc>
        <w:tc>
          <w:tcPr>
            <w:tcW w:w="543" w:type="pct"/>
            <w:shd w:val="clear" w:color="auto" w:fill="auto"/>
          </w:tcPr>
          <w:p w:rsidR="00B75476" w:rsidRPr="00894E52" w:rsidRDefault="00B75476" w:rsidP="00A114AE">
            <w:pPr>
              <w:jc w:val="right"/>
              <w:rPr>
                <w:color w:val="000000"/>
                <w:sz w:val="20"/>
                <w:szCs w:val="20"/>
              </w:rPr>
            </w:pPr>
            <w:r>
              <w:rPr>
                <w:color w:val="000000"/>
                <w:sz w:val="20"/>
                <w:szCs w:val="20"/>
              </w:rPr>
              <w:t>5 679 476</w:t>
            </w:r>
          </w:p>
        </w:tc>
      </w:tr>
      <w:tr w:rsidR="00B75476" w:rsidRPr="00894E52" w:rsidTr="00A114AE">
        <w:trPr>
          <w:trHeight w:val="53"/>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4.1.1</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Élimination totale de HCFC-22 convenue de réaliser en vertu dy présent Accord (tonnes PAO)</w:t>
            </w:r>
          </w:p>
        </w:tc>
        <w:tc>
          <w:tcPr>
            <w:tcW w:w="543" w:type="pct"/>
            <w:shd w:val="clear" w:color="auto" w:fill="auto"/>
            <w:vAlign w:val="bottom"/>
          </w:tcPr>
          <w:p w:rsidR="00B75476" w:rsidRPr="00894E52" w:rsidRDefault="00B75476" w:rsidP="00A114AE">
            <w:pPr>
              <w:jc w:val="right"/>
              <w:rPr>
                <w:color w:val="000000"/>
                <w:sz w:val="20"/>
                <w:szCs w:val="20"/>
              </w:rPr>
            </w:pPr>
            <w:r>
              <w:rPr>
                <w:color w:val="000000"/>
                <w:sz w:val="20"/>
                <w:szCs w:val="20"/>
              </w:rPr>
              <w:t>14,29</w:t>
            </w:r>
          </w:p>
        </w:tc>
      </w:tr>
      <w:tr w:rsidR="00B75476" w:rsidRPr="00894E52" w:rsidTr="00A114AE">
        <w:trPr>
          <w:trHeight w:val="116"/>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4.1.2</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Élimination de HCFC</w:t>
            </w:r>
            <w:r w:rsidRPr="00B75476">
              <w:rPr>
                <w:color w:val="000000"/>
                <w:sz w:val="20"/>
                <w:szCs w:val="20"/>
                <w:lang w:val="fr-FR"/>
              </w:rPr>
              <w:noBreakHyphen/>
              <w:t>22 à réaliser dans le cadre de projets approuvés antérieurement (tonnes PAO)</w:t>
            </w:r>
          </w:p>
        </w:tc>
        <w:tc>
          <w:tcPr>
            <w:tcW w:w="543" w:type="pct"/>
            <w:shd w:val="clear" w:color="auto" w:fill="auto"/>
            <w:vAlign w:val="bottom"/>
          </w:tcPr>
          <w:p w:rsidR="00B75476" w:rsidRPr="00894E52" w:rsidRDefault="00B75476" w:rsidP="00A114AE">
            <w:pPr>
              <w:jc w:val="right"/>
              <w:rPr>
                <w:color w:val="000000"/>
                <w:sz w:val="20"/>
                <w:szCs w:val="20"/>
              </w:rPr>
            </w:pPr>
            <w:r>
              <w:rPr>
                <w:color w:val="000000"/>
                <w:sz w:val="20"/>
                <w:szCs w:val="20"/>
              </w:rPr>
              <w:t>7,40</w:t>
            </w:r>
          </w:p>
        </w:tc>
      </w:tr>
      <w:tr w:rsidR="00B75476" w:rsidRPr="00894E52" w:rsidTr="00A114AE">
        <w:trPr>
          <w:trHeight w:val="98"/>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4.1.3</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Consommation restante admissible pour le HCFC-22 (tonnes PAO)</w:t>
            </w:r>
          </w:p>
        </w:tc>
        <w:tc>
          <w:tcPr>
            <w:tcW w:w="543" w:type="pct"/>
            <w:shd w:val="clear" w:color="auto" w:fill="auto"/>
            <w:vAlign w:val="bottom"/>
          </w:tcPr>
          <w:p w:rsidR="00B75476" w:rsidRPr="00894E52" w:rsidRDefault="00B75476" w:rsidP="00A114AE">
            <w:pPr>
              <w:jc w:val="right"/>
              <w:rPr>
                <w:b/>
                <w:color w:val="000000"/>
                <w:sz w:val="20"/>
                <w:szCs w:val="20"/>
              </w:rPr>
            </w:pPr>
            <w:r>
              <w:rPr>
                <w:b/>
                <w:color w:val="000000"/>
                <w:sz w:val="20"/>
                <w:szCs w:val="20"/>
              </w:rPr>
              <w:t>83,27</w:t>
            </w:r>
          </w:p>
        </w:tc>
      </w:tr>
      <w:tr w:rsidR="00B75476" w:rsidRPr="00894E52" w:rsidTr="00A114AE">
        <w:trPr>
          <w:trHeight w:val="89"/>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4.2.1</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Élimination totale de HCFC</w:t>
            </w:r>
            <w:r w:rsidRPr="00B75476">
              <w:rPr>
                <w:color w:val="000000"/>
                <w:sz w:val="20"/>
                <w:szCs w:val="20"/>
                <w:lang w:val="fr-FR"/>
              </w:rPr>
              <w:noBreakHyphen/>
              <w:t>141b convenue de réaliser en vertu du présent Accord (tonnes PAO)</w:t>
            </w:r>
          </w:p>
        </w:tc>
        <w:tc>
          <w:tcPr>
            <w:tcW w:w="543" w:type="pct"/>
            <w:shd w:val="clear" w:color="auto" w:fill="auto"/>
            <w:vAlign w:val="bottom"/>
          </w:tcPr>
          <w:p w:rsidR="00B75476" w:rsidRPr="00894E52" w:rsidRDefault="00B75476" w:rsidP="00A114AE">
            <w:pPr>
              <w:jc w:val="right"/>
              <w:rPr>
                <w:color w:val="000000"/>
                <w:sz w:val="20"/>
                <w:szCs w:val="20"/>
              </w:rPr>
            </w:pPr>
            <w:r>
              <w:rPr>
                <w:color w:val="000000"/>
                <w:sz w:val="20"/>
                <w:szCs w:val="20"/>
              </w:rPr>
              <w:t>58,69</w:t>
            </w:r>
          </w:p>
        </w:tc>
      </w:tr>
      <w:tr w:rsidR="00B75476" w:rsidRPr="00894E52" w:rsidTr="00A114AE">
        <w:trPr>
          <w:trHeight w:val="71"/>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t>4.2.2</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Élimination de HCFC-141b à réaliser dans le cadre de projets approuvés antérieurement (tonnes PAO)</w:t>
            </w:r>
          </w:p>
        </w:tc>
        <w:tc>
          <w:tcPr>
            <w:tcW w:w="543" w:type="pct"/>
            <w:shd w:val="clear" w:color="auto" w:fill="auto"/>
            <w:vAlign w:val="bottom"/>
          </w:tcPr>
          <w:p w:rsidR="00B75476" w:rsidRPr="00894E52" w:rsidRDefault="00B75476" w:rsidP="00A114AE">
            <w:pPr>
              <w:jc w:val="right"/>
              <w:rPr>
                <w:color w:val="000000"/>
                <w:sz w:val="20"/>
                <w:szCs w:val="20"/>
              </w:rPr>
            </w:pPr>
            <w:r>
              <w:rPr>
                <w:color w:val="000000"/>
                <w:sz w:val="20"/>
                <w:szCs w:val="20"/>
              </w:rPr>
              <w:t>71,70</w:t>
            </w:r>
          </w:p>
        </w:tc>
      </w:tr>
      <w:tr w:rsidR="00B75476" w:rsidRPr="00894E52" w:rsidTr="00A114AE">
        <w:trPr>
          <w:trHeight w:val="134"/>
          <w:jc w:val="center"/>
        </w:trPr>
        <w:tc>
          <w:tcPr>
            <w:tcW w:w="329" w:type="pct"/>
            <w:shd w:val="clear" w:color="auto" w:fill="auto"/>
            <w:hideMark/>
          </w:tcPr>
          <w:p w:rsidR="00B75476" w:rsidRPr="00894E52" w:rsidRDefault="00B75476" w:rsidP="00A114AE">
            <w:pPr>
              <w:rPr>
                <w:color w:val="000000"/>
                <w:sz w:val="20"/>
                <w:szCs w:val="20"/>
              </w:rPr>
            </w:pPr>
            <w:r>
              <w:rPr>
                <w:color w:val="000000"/>
                <w:sz w:val="20"/>
                <w:szCs w:val="20"/>
              </w:rPr>
              <w:lastRenderedPageBreak/>
              <w:t>4.2.3</w:t>
            </w:r>
          </w:p>
        </w:tc>
        <w:tc>
          <w:tcPr>
            <w:tcW w:w="4127" w:type="pct"/>
            <w:gridSpan w:val="6"/>
            <w:shd w:val="clear" w:color="auto" w:fill="auto"/>
            <w:hideMark/>
          </w:tcPr>
          <w:p w:rsidR="00B75476" w:rsidRPr="00B75476" w:rsidRDefault="00B75476" w:rsidP="00A114AE">
            <w:pPr>
              <w:rPr>
                <w:color w:val="000000"/>
                <w:sz w:val="20"/>
                <w:szCs w:val="20"/>
                <w:lang w:val="fr-FR"/>
              </w:rPr>
            </w:pPr>
            <w:r w:rsidRPr="00B75476">
              <w:rPr>
                <w:color w:val="000000"/>
                <w:sz w:val="20"/>
                <w:szCs w:val="20"/>
                <w:lang w:val="fr-FR"/>
              </w:rPr>
              <w:t>Consommation restante admissible de HCFC-141b (tonnes PAO)</w:t>
            </w:r>
          </w:p>
        </w:tc>
        <w:tc>
          <w:tcPr>
            <w:tcW w:w="543" w:type="pct"/>
            <w:shd w:val="clear" w:color="auto" w:fill="auto"/>
            <w:vAlign w:val="bottom"/>
          </w:tcPr>
          <w:p w:rsidR="00B75476" w:rsidRPr="00894E52" w:rsidRDefault="00B75476" w:rsidP="00A114AE">
            <w:pPr>
              <w:jc w:val="right"/>
              <w:rPr>
                <w:color w:val="000000"/>
                <w:sz w:val="20"/>
                <w:szCs w:val="20"/>
              </w:rPr>
            </w:pPr>
            <w:r>
              <w:rPr>
                <w:color w:val="000000"/>
                <w:sz w:val="20"/>
                <w:szCs w:val="20"/>
              </w:rPr>
              <w:t>8,11</w:t>
            </w:r>
          </w:p>
        </w:tc>
      </w:tr>
      <w:tr w:rsidR="00B75476" w:rsidRPr="00894E52" w:rsidTr="00A114AE">
        <w:trPr>
          <w:trHeight w:val="134"/>
          <w:jc w:val="center"/>
        </w:trPr>
        <w:tc>
          <w:tcPr>
            <w:tcW w:w="329" w:type="pct"/>
            <w:shd w:val="clear" w:color="auto" w:fill="auto"/>
          </w:tcPr>
          <w:p w:rsidR="00B75476" w:rsidRPr="00894E52" w:rsidRDefault="00B75476" w:rsidP="00A114AE">
            <w:pPr>
              <w:rPr>
                <w:b/>
                <w:color w:val="000000"/>
                <w:sz w:val="20"/>
                <w:szCs w:val="20"/>
              </w:rPr>
            </w:pPr>
            <w:r>
              <w:rPr>
                <w:b/>
                <w:color w:val="000000"/>
                <w:sz w:val="20"/>
                <w:szCs w:val="20"/>
              </w:rPr>
              <w:t>4.3.1</w:t>
            </w:r>
          </w:p>
        </w:tc>
        <w:tc>
          <w:tcPr>
            <w:tcW w:w="4127" w:type="pct"/>
            <w:gridSpan w:val="6"/>
            <w:shd w:val="clear" w:color="auto" w:fill="auto"/>
          </w:tcPr>
          <w:p w:rsidR="00B75476" w:rsidRPr="00B75476" w:rsidRDefault="00B75476" w:rsidP="00A114AE">
            <w:pPr>
              <w:rPr>
                <w:b/>
                <w:color w:val="000000"/>
                <w:sz w:val="20"/>
                <w:szCs w:val="20"/>
                <w:lang w:val="fr-FR"/>
              </w:rPr>
            </w:pPr>
            <w:r w:rsidRPr="00B75476">
              <w:rPr>
                <w:b/>
                <w:color w:val="000000"/>
                <w:sz w:val="20"/>
                <w:szCs w:val="20"/>
                <w:lang w:val="fr-FR"/>
              </w:rPr>
              <w:t>Élimination totale de HCFC</w:t>
            </w:r>
            <w:r w:rsidRPr="00B75476">
              <w:rPr>
                <w:b/>
                <w:color w:val="000000"/>
                <w:sz w:val="20"/>
                <w:szCs w:val="20"/>
                <w:lang w:val="fr-FR"/>
              </w:rPr>
              <w:noBreakHyphen/>
              <w:t>142b convenue de réaliser en vertu du présent Accord (tonnes PAO)</w:t>
            </w:r>
          </w:p>
        </w:tc>
        <w:tc>
          <w:tcPr>
            <w:tcW w:w="543" w:type="pct"/>
            <w:shd w:val="clear" w:color="auto" w:fill="auto"/>
            <w:vAlign w:val="bottom"/>
          </w:tcPr>
          <w:p w:rsidR="00B75476" w:rsidRPr="00894E52" w:rsidRDefault="00B75476" w:rsidP="00A114AE">
            <w:pPr>
              <w:jc w:val="right"/>
              <w:rPr>
                <w:b/>
                <w:color w:val="000000"/>
                <w:sz w:val="20"/>
                <w:szCs w:val="20"/>
              </w:rPr>
            </w:pPr>
            <w:r>
              <w:rPr>
                <w:b/>
                <w:color w:val="000000"/>
                <w:sz w:val="20"/>
                <w:szCs w:val="20"/>
              </w:rPr>
              <w:t>0,00</w:t>
            </w:r>
          </w:p>
        </w:tc>
      </w:tr>
      <w:tr w:rsidR="00B75476" w:rsidRPr="00894E52" w:rsidTr="00A114AE">
        <w:trPr>
          <w:trHeight w:val="134"/>
          <w:jc w:val="center"/>
        </w:trPr>
        <w:tc>
          <w:tcPr>
            <w:tcW w:w="329" w:type="pct"/>
            <w:shd w:val="clear" w:color="auto" w:fill="auto"/>
          </w:tcPr>
          <w:p w:rsidR="00B75476" w:rsidRPr="00894E52" w:rsidRDefault="00B75476" w:rsidP="00A114AE">
            <w:pPr>
              <w:rPr>
                <w:b/>
                <w:color w:val="000000"/>
                <w:sz w:val="20"/>
                <w:szCs w:val="20"/>
              </w:rPr>
            </w:pPr>
            <w:r>
              <w:rPr>
                <w:b/>
                <w:color w:val="000000"/>
                <w:sz w:val="20"/>
                <w:szCs w:val="20"/>
              </w:rPr>
              <w:t>4.3.2</w:t>
            </w:r>
          </w:p>
        </w:tc>
        <w:tc>
          <w:tcPr>
            <w:tcW w:w="4127" w:type="pct"/>
            <w:gridSpan w:val="6"/>
            <w:shd w:val="clear" w:color="auto" w:fill="auto"/>
          </w:tcPr>
          <w:p w:rsidR="00B75476" w:rsidRPr="00B75476" w:rsidRDefault="00B75476" w:rsidP="00A114AE">
            <w:pPr>
              <w:rPr>
                <w:b/>
                <w:color w:val="000000"/>
                <w:sz w:val="20"/>
                <w:szCs w:val="20"/>
                <w:lang w:val="fr-FR"/>
              </w:rPr>
            </w:pPr>
            <w:r w:rsidRPr="00B75476">
              <w:rPr>
                <w:b/>
                <w:color w:val="000000"/>
                <w:sz w:val="20"/>
                <w:szCs w:val="20"/>
                <w:lang w:val="fr-FR"/>
              </w:rPr>
              <w:t>Élimination de HCFC-142b à réaliser dans le cadre de projets approuvés antérieurement (tonnes PAO)</w:t>
            </w:r>
          </w:p>
        </w:tc>
        <w:tc>
          <w:tcPr>
            <w:tcW w:w="543" w:type="pct"/>
            <w:shd w:val="clear" w:color="auto" w:fill="auto"/>
            <w:vAlign w:val="bottom"/>
          </w:tcPr>
          <w:p w:rsidR="00B75476" w:rsidRPr="00894E52" w:rsidRDefault="00B75476" w:rsidP="00A114AE">
            <w:pPr>
              <w:jc w:val="right"/>
              <w:rPr>
                <w:b/>
                <w:color w:val="000000"/>
                <w:sz w:val="20"/>
                <w:szCs w:val="20"/>
              </w:rPr>
            </w:pPr>
            <w:r>
              <w:rPr>
                <w:b/>
                <w:color w:val="000000"/>
                <w:sz w:val="20"/>
                <w:szCs w:val="20"/>
              </w:rPr>
              <w:t>0,00</w:t>
            </w:r>
          </w:p>
        </w:tc>
      </w:tr>
      <w:tr w:rsidR="00B75476" w:rsidRPr="007E041D" w:rsidTr="00A114AE">
        <w:trPr>
          <w:trHeight w:val="134"/>
          <w:jc w:val="center"/>
        </w:trPr>
        <w:tc>
          <w:tcPr>
            <w:tcW w:w="329" w:type="pct"/>
            <w:shd w:val="clear" w:color="auto" w:fill="auto"/>
          </w:tcPr>
          <w:p w:rsidR="00B75476" w:rsidRPr="00894E52" w:rsidRDefault="00B75476" w:rsidP="00A114AE">
            <w:pPr>
              <w:rPr>
                <w:b/>
                <w:color w:val="000000"/>
                <w:sz w:val="20"/>
                <w:szCs w:val="20"/>
              </w:rPr>
            </w:pPr>
            <w:r>
              <w:rPr>
                <w:b/>
                <w:color w:val="000000"/>
                <w:sz w:val="20"/>
                <w:szCs w:val="20"/>
              </w:rPr>
              <w:t>4.3.3</w:t>
            </w:r>
          </w:p>
        </w:tc>
        <w:tc>
          <w:tcPr>
            <w:tcW w:w="4127" w:type="pct"/>
            <w:gridSpan w:val="6"/>
            <w:shd w:val="clear" w:color="auto" w:fill="auto"/>
          </w:tcPr>
          <w:p w:rsidR="00B75476" w:rsidRPr="00B75476" w:rsidRDefault="00B75476" w:rsidP="00A114AE">
            <w:pPr>
              <w:rPr>
                <w:b/>
                <w:color w:val="000000"/>
                <w:sz w:val="20"/>
                <w:szCs w:val="20"/>
                <w:lang w:val="fr-FR"/>
              </w:rPr>
            </w:pPr>
            <w:r w:rsidRPr="00B75476">
              <w:rPr>
                <w:b/>
                <w:color w:val="000000"/>
                <w:sz w:val="20"/>
                <w:szCs w:val="20"/>
                <w:lang w:val="fr-FR"/>
              </w:rPr>
              <w:t>Consommation restante admissible de HCFC-142b (tonnes PAO)</w:t>
            </w:r>
          </w:p>
        </w:tc>
        <w:tc>
          <w:tcPr>
            <w:tcW w:w="543" w:type="pct"/>
            <w:shd w:val="clear" w:color="auto" w:fill="auto"/>
            <w:vAlign w:val="bottom"/>
          </w:tcPr>
          <w:p w:rsidR="00B75476" w:rsidRPr="007E041D" w:rsidRDefault="00B75476" w:rsidP="00A114AE">
            <w:pPr>
              <w:jc w:val="right"/>
              <w:rPr>
                <w:b/>
                <w:color w:val="000000"/>
                <w:sz w:val="20"/>
                <w:szCs w:val="20"/>
              </w:rPr>
            </w:pPr>
            <w:r>
              <w:rPr>
                <w:b/>
                <w:color w:val="000000"/>
                <w:sz w:val="20"/>
                <w:szCs w:val="20"/>
              </w:rPr>
              <w:t>4,65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5476" w:rsidRPr="00052C5C" w:rsidTr="00A114AE">
        <w:tc>
          <w:tcPr>
            <w:tcW w:w="1871" w:type="dxa"/>
          </w:tcPr>
          <w:p w:rsidR="00B75476" w:rsidRPr="00052C5C" w:rsidRDefault="00B75476" w:rsidP="00A114AE">
            <w:pPr>
              <w:tabs>
                <w:tab w:val="left" w:pos="8280"/>
              </w:tabs>
            </w:pPr>
          </w:p>
        </w:tc>
        <w:tc>
          <w:tcPr>
            <w:tcW w:w="1872" w:type="dxa"/>
          </w:tcPr>
          <w:p w:rsidR="00B75476" w:rsidRPr="00052C5C" w:rsidRDefault="00B75476" w:rsidP="00A114AE">
            <w:pPr>
              <w:tabs>
                <w:tab w:val="left" w:pos="8280"/>
              </w:tabs>
            </w:pPr>
          </w:p>
        </w:tc>
        <w:tc>
          <w:tcPr>
            <w:tcW w:w="1872" w:type="dxa"/>
            <w:tcBorders>
              <w:bottom w:val="single" w:sz="4" w:space="0" w:color="auto"/>
            </w:tcBorders>
          </w:tcPr>
          <w:p w:rsidR="00B75476" w:rsidRPr="00052C5C" w:rsidRDefault="00B75476" w:rsidP="00A114AE">
            <w:pPr>
              <w:tabs>
                <w:tab w:val="left" w:pos="8280"/>
              </w:tabs>
            </w:pPr>
          </w:p>
        </w:tc>
        <w:tc>
          <w:tcPr>
            <w:tcW w:w="1872" w:type="dxa"/>
          </w:tcPr>
          <w:p w:rsidR="00B75476" w:rsidRPr="00052C5C" w:rsidRDefault="00B75476" w:rsidP="00A114AE">
            <w:pPr>
              <w:tabs>
                <w:tab w:val="left" w:pos="8280"/>
              </w:tabs>
            </w:pPr>
          </w:p>
        </w:tc>
        <w:tc>
          <w:tcPr>
            <w:tcW w:w="1873" w:type="dxa"/>
          </w:tcPr>
          <w:p w:rsidR="00B75476" w:rsidRPr="00052C5C" w:rsidRDefault="00B75476" w:rsidP="00A114AE">
            <w:pPr>
              <w:tabs>
                <w:tab w:val="left" w:pos="8280"/>
              </w:tabs>
            </w:pPr>
          </w:p>
        </w:tc>
      </w:tr>
    </w:tbl>
    <w:p w:rsidR="00295323" w:rsidRDefault="00295323">
      <w:pPr>
        <w:rPr>
          <w:lang w:val="fr-FR"/>
        </w:rPr>
        <w:sectPr w:rsidR="00295323">
          <w:headerReference w:type="even" r:id="rId16"/>
          <w:headerReference w:type="first" r:id="rId17"/>
          <w:footerReference w:type="first" r:id="rId18"/>
          <w:pgSz w:w="12240" w:h="15840" w:code="1"/>
          <w:pgMar w:top="720" w:right="1440" w:bottom="864" w:left="1440" w:header="720" w:footer="475" w:gutter="0"/>
          <w:pgNumType w:start="1"/>
          <w:cols w:space="720"/>
          <w:titlePg/>
        </w:sectPr>
      </w:pPr>
    </w:p>
    <w:p w:rsidR="00441083" w:rsidRDefault="00441083" w:rsidP="00295323">
      <w:pPr>
        <w:rPr>
          <w:lang w:val="fr-FR"/>
        </w:rPr>
      </w:pPr>
    </w:p>
    <w:sectPr w:rsidR="00441083">
      <w:head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4AE" w:rsidRDefault="00A114AE">
      <w:r>
        <w:separator/>
      </w:r>
    </w:p>
  </w:endnote>
  <w:endnote w:type="continuationSeparator" w:id="0">
    <w:p w:rsidR="00A114AE" w:rsidRDefault="00A11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Pr="0033525D" w:rsidRDefault="00A114AE">
    <w:pPr>
      <w:jc w:val="center"/>
    </w:pPr>
    <w:r>
      <w:fldChar w:fldCharType="begin"/>
    </w:r>
    <w:r>
      <w:instrText xml:space="preserve"> PAGE </w:instrText>
    </w:r>
    <w:r>
      <w:fldChar w:fldCharType="separate"/>
    </w:r>
    <w:r w:rsidR="00A02646">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Pr="0033525D" w:rsidRDefault="00A114AE">
    <w:pPr>
      <w:jc w:val="center"/>
    </w:pPr>
    <w:r>
      <w:fldChar w:fldCharType="begin"/>
    </w:r>
    <w:r>
      <w:instrText xml:space="preserve"> PAGE </w:instrText>
    </w:r>
    <w:r>
      <w:fldChar w:fldCharType="separate"/>
    </w:r>
    <w:r w:rsidR="00A02646">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Pr="00B75476" w:rsidRDefault="00A114AE" w:rsidP="00A114AE">
    <w:pPr>
      <w:pBdr>
        <w:top w:val="single" w:sz="4" w:space="1" w:color="auto"/>
        <w:left w:val="single" w:sz="4" w:space="4" w:color="auto"/>
        <w:bottom w:val="single" w:sz="4" w:space="1" w:color="auto"/>
        <w:right w:val="single" w:sz="4" w:space="4" w:color="auto"/>
      </w:pBdr>
      <w:jc w:val="center"/>
      <w:rPr>
        <w:sz w:val="18"/>
        <w:szCs w:val="18"/>
        <w:lang w:val="fr-FR"/>
      </w:rPr>
    </w:pPr>
    <w:r w:rsidRPr="00B7547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rsidR="00A114AE" w:rsidRPr="00B75476" w:rsidRDefault="00A114AE" w:rsidP="00A114AE">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A114AE" w:rsidRDefault="00A114AE">
        <w:pPr>
          <w:pStyle w:val="Footer"/>
          <w:jc w:val="center"/>
        </w:pPr>
        <w:r>
          <w:fldChar w:fldCharType="begin"/>
        </w:r>
        <w:r>
          <w:instrText xml:space="preserve"> PAGE   \* MERGEFORMAT </w:instrText>
        </w:r>
        <w:r>
          <w:fldChar w:fldCharType="separate"/>
        </w:r>
        <w:r w:rsidR="00A02646">
          <w:rPr>
            <w:noProof/>
          </w:rPr>
          <w:t>1</w:t>
        </w:r>
        <w:r>
          <w:rPr>
            <w:noProof/>
          </w:rPr>
          <w:fldChar w:fldCharType="end"/>
        </w:r>
      </w:p>
    </w:sdtContent>
  </w:sdt>
  <w:p w:rsidR="00A114AE" w:rsidRDefault="00A114A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4AE" w:rsidRDefault="00A114AE">
      <w:r>
        <w:separator/>
      </w:r>
    </w:p>
  </w:footnote>
  <w:footnote w:type="continuationSeparator" w:id="0">
    <w:p w:rsidR="00A114AE" w:rsidRDefault="00A114AE">
      <w:r>
        <w:continuationSeparator/>
      </w:r>
    </w:p>
  </w:footnote>
  <w:footnote w:id="1">
    <w:p w:rsidR="00A114AE" w:rsidRPr="00FE3307" w:rsidRDefault="00A114AE" w:rsidP="00B75476">
      <w:pPr>
        <w:pStyle w:val="FootnoteText"/>
      </w:pPr>
      <w:r>
        <w:rPr>
          <w:rStyle w:val="FootnoteReference"/>
        </w:rPr>
        <w:footnoteRef/>
      </w:r>
      <w:r>
        <w:t xml:space="preserve"> Selon la lettre du 13 mars 2019 du Ministère du changement climatique du Pakistan adressée à l’ONUDI.</w:t>
      </w:r>
    </w:p>
  </w:footnote>
  <w:footnote w:id="2">
    <w:p w:rsidR="00A114AE" w:rsidRPr="00623DA4" w:rsidRDefault="00A114AE" w:rsidP="00B75476">
      <w:pPr>
        <w:pStyle w:val="FootnoteText"/>
      </w:pPr>
      <w:r>
        <w:rPr>
          <w:rStyle w:val="FootnoteReference"/>
        </w:rPr>
        <w:footnoteRef/>
      </w:r>
      <w:r>
        <w:t xml:space="preserve"> Les données de consommation de HCFC pour les années de référence 2009 et 2010 ont été révisées pour inclure la consommation de HCFC-142b dans le secteur de fabrication des mousses (décision XXIX/16).</w:t>
      </w:r>
    </w:p>
  </w:footnote>
  <w:footnote w:id="3">
    <w:p w:rsidR="00A114AE" w:rsidRPr="00D31149" w:rsidRDefault="00A114AE" w:rsidP="00B75476">
      <w:pPr>
        <w:pStyle w:val="FootnoteText"/>
      </w:pPr>
      <w:r>
        <w:rPr>
          <w:rStyle w:val="FootnoteReference"/>
        </w:rPr>
        <w:footnoteRef/>
      </w:r>
      <w:r>
        <w:t xml:space="preserve"> ISO 817:2014, Fluides frigorigènes -- Désignation et classification de sécurité.</w:t>
      </w:r>
    </w:p>
  </w:footnote>
  <w:footnote w:id="4">
    <w:p w:rsidR="00A114AE" w:rsidRPr="00D31149" w:rsidRDefault="00A114AE" w:rsidP="00B75476">
      <w:pPr>
        <w:pStyle w:val="FootnoteText"/>
      </w:pPr>
      <w:r>
        <w:rPr>
          <w:rStyle w:val="FootnoteReference"/>
        </w:rPr>
        <w:footnoteRef/>
      </w:r>
      <w:r>
        <w:t xml:space="preserve"> ISO 5149-1:2014, Systèmes frigorifiques et pompes à chaleur -- Exigences de sécurité et d’environnement.</w:t>
      </w:r>
    </w:p>
  </w:footnote>
  <w:footnote w:id="5">
    <w:p w:rsidR="00A114AE" w:rsidRPr="002A4123" w:rsidRDefault="00A114AE" w:rsidP="00B75476">
      <w:pPr>
        <w:pStyle w:val="FootnoteText"/>
      </w:pPr>
      <w:r>
        <w:rPr>
          <w:rStyle w:val="FootnoteReference"/>
        </w:rPr>
        <w:footnoteRef/>
      </w:r>
      <w:r>
        <w:t xml:space="preserve"> Le Comité exécutif a décidé de prendre note du fait que lors de la mise en œuvre de la phase II du PGEH, le gouvernement du Pakistan pourrait présenter un projet d’investissement visant à éliminer le HCFC-142b dans le secteur de la fabrication de la mousse XPS à condition que la consommation de référence du pays soit révisée pour inclure le HCFC-142b et qu’elle soit approuvée par la réunion des Parties.</w:t>
      </w:r>
    </w:p>
  </w:footnote>
  <w:footnote w:id="6">
    <w:p w:rsidR="00A114AE" w:rsidRPr="00204FAA" w:rsidRDefault="00A114AE" w:rsidP="00B75476">
      <w:pPr>
        <w:pStyle w:val="FootnoteText"/>
      </w:pPr>
      <w:r>
        <w:rPr>
          <w:rStyle w:val="FootnoteReference"/>
        </w:rPr>
        <w:footnoteRef/>
      </w:r>
      <w:r>
        <w:t xml:space="preserve"> Le seuil de rentabilité établi par le Comité exécutif pour le secteur de la mousse XPS est de 10,27 $ US/kg.</w:t>
      </w:r>
    </w:p>
  </w:footnote>
  <w:footnote w:id="7">
    <w:p w:rsidR="00A114AE" w:rsidRPr="00661C0D" w:rsidRDefault="00A114AE" w:rsidP="00B75476">
      <w:pPr>
        <w:pStyle w:val="FootnoteText"/>
      </w:pPr>
      <w:r>
        <w:rPr>
          <w:rStyle w:val="FootnoteReference"/>
        </w:rPr>
        <w:footnoteRef/>
      </w:r>
      <w:r>
        <w:t xml:space="preserve"> Le solde de la tranche précédente sera utilisé en plus des fonds demandés.</w:t>
      </w:r>
    </w:p>
  </w:footnote>
  <w:footnote w:id="8">
    <w:p w:rsidR="00A114AE" w:rsidRPr="00204FAA" w:rsidRDefault="00A114AE" w:rsidP="00B75476">
      <w:pPr>
        <w:pStyle w:val="FootnoteText"/>
      </w:pPr>
      <w:r>
        <w:rPr>
          <w:rStyle w:val="FootnoteReference"/>
        </w:rPr>
        <w:footnoteRef/>
      </w:r>
      <w:r>
        <w:t xml:space="preserve"> Décision XXIX/16</w:t>
      </w:r>
    </w:p>
  </w:footnote>
  <w:footnote w:id="9">
    <w:p w:rsidR="00A114AE" w:rsidRPr="00F720D6" w:rsidRDefault="00A114AE" w:rsidP="00B75476">
      <w:pPr>
        <w:pStyle w:val="FootnoteText"/>
      </w:pPr>
      <w:r>
        <w:rPr>
          <w:rStyle w:val="FootnoteReference"/>
        </w:rPr>
        <w:footnoteRef/>
      </w:r>
      <w:r>
        <w:t xml:space="preserve"> Décisions 74/20(a) et 77/35(a)(v)</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Pr="0033525D" w:rsidRDefault="00A114AE">
    <w:fldSimple w:instr=" DOCPROPERTY &quot;Document number&quot;  \* MERGEFORMAT ">
      <w:r>
        <w:t>UNEP/OzL.Pro/ExCom/83/34</w:t>
      </w:r>
    </w:fldSimple>
  </w:p>
  <w:p w:rsidR="004825E1" w:rsidRDefault="004825E1"/>
  <w:p w:rsidR="004825E1" w:rsidRPr="0033525D" w:rsidRDefault="004825E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Pr="0033525D" w:rsidRDefault="00A114AE">
    <w:pPr>
      <w:jc w:val="right"/>
    </w:pPr>
    <w:fldSimple w:instr=" DOCPROPERTY &quot;Document number&quot;  \* MERGEFORMAT ">
      <w:r>
        <w:t>UNEP/OzL.Pro/ExCom/83/34</w:t>
      </w:r>
    </w:fldSimple>
  </w:p>
  <w:p w:rsidR="00A114AE" w:rsidRPr="0033525D" w:rsidRDefault="00A114AE"/>
  <w:p w:rsidR="00A114AE" w:rsidRPr="0033525D" w:rsidRDefault="00A114A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323" w:rsidRPr="0033525D" w:rsidRDefault="00295323" w:rsidP="00295323">
    <w:pPr>
      <w:jc w:val="right"/>
    </w:pPr>
  </w:p>
  <w:p w:rsidR="00295323" w:rsidRDefault="0029532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5E1" w:rsidRPr="0033525D" w:rsidRDefault="004825E1">
    <w:fldSimple w:instr=" DOCPROPERTY &quot;Document number&quot;  \* MERGEFORMAT ">
      <w:r>
        <w:t>UNEP/OzL.Pro/ExCom/83/34</w:t>
      </w:r>
    </w:fldSimple>
  </w:p>
  <w:p w:rsidR="004825E1" w:rsidRDefault="004825E1">
    <w:r>
      <w:t>Annexe I</w:t>
    </w:r>
  </w:p>
  <w:p w:rsidR="004825E1" w:rsidRDefault="004825E1"/>
  <w:p w:rsidR="004825E1" w:rsidRPr="0033525D" w:rsidRDefault="004825E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AE" w:rsidRDefault="00A114AE">
    <w:pPr>
      <w:jc w:val="right"/>
    </w:pPr>
    <w:fldSimple w:instr=" DOCPROPERTY &quot;Document number&quot;  \* MERGEFORMAT ">
      <w:r w:rsidR="00295323">
        <w:t>UNEP/OzL.Pro/ExCom/83/34</w:t>
      </w:r>
    </w:fldSimple>
  </w:p>
  <w:p w:rsidR="00A114AE" w:rsidRDefault="00295323">
    <w:pPr>
      <w:jc w:val="right"/>
    </w:pPr>
    <w:r>
      <w:t>Annexe I</w:t>
    </w:r>
  </w:p>
  <w:p w:rsidR="00A114AE" w:rsidRDefault="00A114A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323" w:rsidRPr="00295323" w:rsidRDefault="00295323" w:rsidP="002953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476"/>
    <w:rsid w:val="00005917"/>
    <w:rsid w:val="000669A6"/>
    <w:rsid w:val="001C3D0C"/>
    <w:rsid w:val="001D4CE7"/>
    <w:rsid w:val="00265AF0"/>
    <w:rsid w:val="00295323"/>
    <w:rsid w:val="002F0B57"/>
    <w:rsid w:val="00441083"/>
    <w:rsid w:val="00476532"/>
    <w:rsid w:val="004825E1"/>
    <w:rsid w:val="004C2C87"/>
    <w:rsid w:val="004E3A36"/>
    <w:rsid w:val="00541F46"/>
    <w:rsid w:val="005E0A46"/>
    <w:rsid w:val="00605093"/>
    <w:rsid w:val="006A461E"/>
    <w:rsid w:val="007034FA"/>
    <w:rsid w:val="0075750B"/>
    <w:rsid w:val="0091161A"/>
    <w:rsid w:val="009A5180"/>
    <w:rsid w:val="009C569B"/>
    <w:rsid w:val="00A02646"/>
    <w:rsid w:val="00A114AE"/>
    <w:rsid w:val="00A54ACF"/>
    <w:rsid w:val="00AE63D8"/>
    <w:rsid w:val="00B75476"/>
    <w:rsid w:val="00B811F2"/>
    <w:rsid w:val="00BC3C7D"/>
    <w:rsid w:val="00C6443E"/>
    <w:rsid w:val="00E54871"/>
    <w:rsid w:val="00E60D9C"/>
    <w:rsid w:val="00F37A42"/>
    <w:rsid w:val="00F557F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C91E8B3-5225-48CF-9B2D-8B92D615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75476"/>
    <w:pPr>
      <w:ind w:left="720"/>
      <w:contextualSpacing/>
    </w:pPr>
    <w:rPr>
      <w:lang w:val="fr-FR"/>
    </w:rPr>
  </w:style>
  <w:style w:type="paragraph" w:styleId="FootnoteText">
    <w:name w:val="footnote text"/>
    <w:basedOn w:val="Normal"/>
    <w:link w:val="FootnoteTextChar"/>
    <w:uiPriority w:val="99"/>
    <w:semiHidden/>
    <w:unhideWhenUsed/>
    <w:rsid w:val="00B75476"/>
    <w:rPr>
      <w:sz w:val="20"/>
      <w:szCs w:val="20"/>
      <w:lang w:val="fr-FR"/>
    </w:rPr>
  </w:style>
  <w:style w:type="character" w:customStyle="1" w:styleId="FootnoteTextChar">
    <w:name w:val="Footnote Text Char"/>
    <w:basedOn w:val="DefaultParagraphFont"/>
    <w:link w:val="FootnoteText"/>
    <w:uiPriority w:val="99"/>
    <w:semiHidden/>
    <w:rsid w:val="00B75476"/>
    <w:rPr>
      <w:lang w:val="fr-FR"/>
    </w:rPr>
  </w:style>
  <w:style w:type="character" w:styleId="FootnoteReference">
    <w:name w:val="footnote reference"/>
    <w:basedOn w:val="DefaultParagraphFont"/>
    <w:uiPriority w:val="99"/>
    <w:semiHidden/>
    <w:unhideWhenUsed/>
    <w:rsid w:val="00B75476"/>
    <w:rPr>
      <w:vertAlign w:val="superscript"/>
    </w:rPr>
  </w:style>
  <w:style w:type="character" w:customStyle="1" w:styleId="HeaderChar">
    <w:name w:val="Header Char"/>
    <w:basedOn w:val="DefaultParagraphFont"/>
    <w:link w:val="Header"/>
    <w:uiPriority w:val="99"/>
    <w:rsid w:val="00B754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19\05%20Mai%202019\Upwelling\Montreal\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UNEP/OzL.Pro/ExCom/83/34</Document_x0020_Number>
  </documentManagement>
</p:properties>
</file>

<file path=customXml/itemProps1.xml><?xml version="1.0" encoding="utf-8"?>
<ds:datastoreItem xmlns:ds="http://schemas.openxmlformats.org/officeDocument/2006/customXml" ds:itemID="{6C4BED9F-0AB1-4E53-9341-155F00BDC921}"/>
</file>

<file path=customXml/itemProps2.xml><?xml version="1.0" encoding="utf-8"?>
<ds:datastoreItem xmlns:ds="http://schemas.openxmlformats.org/officeDocument/2006/customXml" ds:itemID="{0FEA7C98-E3EF-40C3-B1F0-B2BF6E32762F}"/>
</file>

<file path=customXml/itemProps3.xml><?xml version="1.0" encoding="utf-8"?>
<ds:datastoreItem xmlns:ds="http://schemas.openxmlformats.org/officeDocument/2006/customXml" ds:itemID="{7384A30C-C0C7-4E67-8EA2-75165BB7F0A9}"/>
</file>

<file path=customXml/itemProps4.xml><?xml version="1.0" encoding="utf-8"?>
<ds:datastoreItem xmlns:ds="http://schemas.openxmlformats.org/officeDocument/2006/customXml" ds:itemID="{046FF2FD-CB98-45AA-8190-662DB566B500}"/>
</file>

<file path=docProps/app.xml><?xml version="1.0" encoding="utf-8"?>
<Properties xmlns="http://schemas.openxmlformats.org/officeDocument/2006/extended-properties" xmlns:vt="http://schemas.openxmlformats.org/officeDocument/2006/docPropsVTypes">
  <Template>F83-Template</Template>
  <TotalTime>90</TotalTime>
  <Pages>13</Pages>
  <Words>4629</Words>
  <Characters>23884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Proposition de projet: Pakistan</vt:lpstr>
    </vt:vector>
  </TitlesOfParts>
  <Company>UNMFS</Company>
  <LinksUpToDate>false</LinksUpToDate>
  <CharactersWithSpaces>28457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Pakistan</dc:title>
  <dc:creator>Kevin</dc:creator>
  <cp:lastModifiedBy>HBE</cp:lastModifiedBy>
  <cp:revision>9</cp:revision>
  <cp:lastPrinted>2001-05-26T16:40:00Z</cp:lastPrinted>
  <dcterms:created xsi:type="dcterms:W3CDTF">2019-05-07T07:10:00Z</dcterms:created>
  <dcterms:modified xsi:type="dcterms:W3CDTF">2019-05-23T13:29:00Z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UNEP/OzL.Pro/ExCom/83/34</vt:lpwstr>
  </property>
  <property fmtid="{D5CDD505-2E9C-101B-9397-08002B2CF9AE}" pid="3" name="Revision date">
    <vt:lpwstr>5/3/2019</vt:lpwstr>
  </property>
  <property fmtid="{D5CDD505-2E9C-101B-9397-08002B2CF9AE}" pid="4" name="ContentTypeId">
    <vt:lpwstr>0x01010021E4441DB9763A4B9F4793D394AD28DA</vt:lpwstr>
  </property>
</Properties>
</file>