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olors1.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7205F8" w14:paraId="4E28B6AF" w14:textId="77777777">
        <w:trPr>
          <w:trHeight w:val="720"/>
        </w:trPr>
        <w:tc>
          <w:tcPr>
            <w:tcW w:w="7061" w:type="dxa"/>
            <w:gridSpan w:val="2"/>
            <w:tcBorders>
              <w:bottom w:val="single" w:sz="18" w:space="0" w:color="auto"/>
            </w:tcBorders>
          </w:tcPr>
          <w:p w14:paraId="657EC0E8" w14:textId="77777777" w:rsidR="00441083" w:rsidRPr="007205F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7205F8">
              <w:rPr>
                <w:rFonts w:ascii="Univers" w:hAnsi="Univers"/>
                <w:b/>
                <w:sz w:val="28"/>
                <w:szCs w:val="28"/>
                <w:lang w:val="fr-FR"/>
              </w:rPr>
              <w:t>NATIONS</w:t>
            </w:r>
          </w:p>
          <w:p w14:paraId="4ABB8010" w14:textId="77777777" w:rsidR="00441083" w:rsidRPr="007205F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7205F8">
              <w:rPr>
                <w:rFonts w:ascii="Univers" w:hAnsi="Univers"/>
                <w:b/>
                <w:sz w:val="28"/>
                <w:szCs w:val="28"/>
                <w:lang w:val="fr-FR"/>
              </w:rPr>
              <w:t xml:space="preserve">UNIES </w:t>
            </w:r>
          </w:p>
        </w:tc>
        <w:tc>
          <w:tcPr>
            <w:tcW w:w="3544" w:type="dxa"/>
            <w:tcBorders>
              <w:bottom w:val="single" w:sz="18" w:space="0" w:color="auto"/>
            </w:tcBorders>
          </w:tcPr>
          <w:p w14:paraId="162CC25A" w14:textId="77777777" w:rsidR="00441083" w:rsidRPr="007205F8" w:rsidRDefault="00E60D9C">
            <w:pPr>
              <w:tabs>
                <w:tab w:val="left" w:pos="3010"/>
              </w:tabs>
              <w:jc w:val="center"/>
              <w:rPr>
                <w:sz w:val="52"/>
                <w:szCs w:val="52"/>
                <w:lang w:val="fr-FR"/>
              </w:rPr>
            </w:pPr>
            <w:r w:rsidRPr="007205F8">
              <w:rPr>
                <w:rFonts w:ascii="Univers Bold" w:hAnsi="Univers Bold"/>
                <w:b/>
                <w:sz w:val="72"/>
                <w:lang w:val="fr-FR"/>
              </w:rPr>
              <w:t xml:space="preserve">          EP</w:t>
            </w:r>
          </w:p>
        </w:tc>
      </w:tr>
      <w:tr w:rsidR="00441083" w:rsidRPr="007205F8" w14:paraId="11366A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F53610" w14:textId="77777777" w:rsidR="00441083" w:rsidRPr="007205F8" w:rsidRDefault="00C6443E">
            <w:pPr>
              <w:spacing w:before="120"/>
              <w:rPr>
                <w:lang w:val="fr-FR"/>
              </w:rPr>
            </w:pPr>
            <w:r w:rsidRPr="007205F8">
              <w:rPr>
                <w:noProof/>
                <w:lang w:val="en-US"/>
              </w:rPr>
              <w:drawing>
                <wp:anchor distT="0" distB="0" distL="114300" distR="114300" simplePos="0" relativeHeight="251660288" behindDoc="0" locked="0" layoutInCell="1" allowOverlap="1" wp14:anchorId="0BBE1273" wp14:editId="15E8AEB5">
                  <wp:simplePos x="0" y="0"/>
                  <wp:positionH relativeFrom="column">
                    <wp:posOffset>391160</wp:posOffset>
                  </wp:positionH>
                  <wp:positionV relativeFrom="paragraph">
                    <wp:posOffset>910590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205F8">
              <w:rPr>
                <w:noProof/>
                <w:lang w:val="en-US"/>
              </w:rPr>
              <w:drawing>
                <wp:anchor distT="0" distB="0" distL="114300" distR="114300" simplePos="0" relativeHeight="251661312" behindDoc="1" locked="0" layoutInCell="0" allowOverlap="1" wp14:anchorId="5EC8B1DD" wp14:editId="545C4F6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C27B928" w14:textId="77777777" w:rsidR="00441083" w:rsidRPr="007205F8"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AF74053" w14:textId="77777777" w:rsidR="00441083" w:rsidRPr="007205F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7205F8">
              <w:rPr>
                <w:rFonts w:ascii="Univers" w:hAnsi="Univers"/>
                <w:b/>
                <w:sz w:val="32"/>
                <w:lang w:val="fr-FR"/>
              </w:rPr>
              <w:t>Programme des</w:t>
            </w:r>
          </w:p>
          <w:p w14:paraId="1A6B6F52" w14:textId="77777777" w:rsidR="00441083" w:rsidRPr="007205F8" w:rsidRDefault="00E60D9C">
            <w:pPr>
              <w:rPr>
                <w:rFonts w:ascii="Univers" w:hAnsi="Univers"/>
                <w:b/>
                <w:sz w:val="32"/>
                <w:lang w:val="fr-FR"/>
              </w:rPr>
            </w:pPr>
            <w:r w:rsidRPr="007205F8">
              <w:rPr>
                <w:rFonts w:ascii="Univers" w:hAnsi="Univers"/>
                <w:b/>
                <w:sz w:val="32"/>
                <w:lang w:val="fr-FR"/>
              </w:rPr>
              <w:t>Nations Unies pour</w:t>
            </w:r>
          </w:p>
          <w:p w14:paraId="269A54FD" w14:textId="77777777" w:rsidR="00441083" w:rsidRPr="007205F8" w:rsidRDefault="00E60D9C">
            <w:pPr>
              <w:rPr>
                <w:rFonts w:ascii="Univers" w:hAnsi="Univers"/>
                <w:b/>
                <w:sz w:val="32"/>
                <w:lang w:val="fr-FR"/>
              </w:rPr>
            </w:pPr>
            <w:r w:rsidRPr="007205F8">
              <w:rPr>
                <w:rFonts w:ascii="Univers" w:hAnsi="Univers"/>
                <w:b/>
                <w:sz w:val="32"/>
                <w:lang w:val="fr-FR"/>
              </w:rPr>
              <w:t>l’environnement</w:t>
            </w:r>
          </w:p>
          <w:p w14:paraId="09BB2A3B" w14:textId="77777777" w:rsidR="00441083" w:rsidRPr="007205F8" w:rsidRDefault="00E60D9C">
            <w:pPr>
              <w:spacing w:before="720"/>
              <w:ind w:left="158"/>
              <w:rPr>
                <w:lang w:val="fr-FR"/>
              </w:rPr>
            </w:pPr>
            <w:r w:rsidRPr="007205F8">
              <w:rPr>
                <w:lang w:val="fr-FR"/>
              </w:rPr>
              <w:t xml:space="preserve"> </w:t>
            </w:r>
          </w:p>
        </w:tc>
        <w:tc>
          <w:tcPr>
            <w:tcW w:w="3544" w:type="dxa"/>
            <w:tcBorders>
              <w:top w:val="nil"/>
              <w:left w:val="nil"/>
              <w:bottom w:val="single" w:sz="36" w:space="0" w:color="auto"/>
              <w:right w:val="nil"/>
            </w:tcBorders>
          </w:tcPr>
          <w:p w14:paraId="6C4FD560" w14:textId="77777777" w:rsidR="00441083" w:rsidRPr="007205F8" w:rsidRDefault="00441083">
            <w:pPr>
              <w:rPr>
                <w:lang w:val="fr-FR"/>
              </w:rPr>
            </w:pPr>
          </w:p>
          <w:p w14:paraId="4DB9A9B4" w14:textId="77777777" w:rsidR="00441083" w:rsidRPr="007205F8" w:rsidRDefault="00E60D9C">
            <w:pPr>
              <w:rPr>
                <w:lang w:val="fr-FR"/>
              </w:rPr>
            </w:pPr>
            <w:r w:rsidRPr="007205F8">
              <w:rPr>
                <w:lang w:val="fr-FR"/>
              </w:rPr>
              <w:t>Distr.</w:t>
            </w:r>
          </w:p>
          <w:p w14:paraId="66B03288" w14:textId="77777777" w:rsidR="00441083" w:rsidRPr="007205F8" w:rsidRDefault="00E60D9C" w:rsidP="00DD3433">
            <w:pPr>
              <w:rPr>
                <w:lang w:val="fr-FR"/>
              </w:rPr>
            </w:pPr>
            <w:r w:rsidRPr="007205F8">
              <w:rPr>
                <w:lang w:val="fr-FR"/>
              </w:rPr>
              <w:t>G</w:t>
            </w:r>
            <w:r w:rsidR="00DD3433" w:rsidRPr="007205F8">
              <w:rPr>
                <w:lang w:val="fr-FR"/>
              </w:rPr>
              <w:t>É</w:t>
            </w:r>
            <w:r w:rsidRPr="007205F8">
              <w:rPr>
                <w:lang w:val="fr-FR"/>
              </w:rPr>
              <w:t>N</w:t>
            </w:r>
            <w:r w:rsidR="00DD3433" w:rsidRPr="007205F8">
              <w:rPr>
                <w:lang w:val="fr-FR"/>
              </w:rPr>
              <w:t>É</w:t>
            </w:r>
            <w:r w:rsidRPr="007205F8">
              <w:rPr>
                <w:lang w:val="fr-FR"/>
              </w:rPr>
              <w:t>RAL</w:t>
            </w:r>
            <w:r w:rsidR="00FF3CF1" w:rsidRPr="007205F8">
              <w:rPr>
                <w:lang w:val="fr-FR"/>
              </w:rPr>
              <w:t>E</w:t>
            </w:r>
          </w:p>
          <w:p w14:paraId="108F8AF0" w14:textId="77777777" w:rsidR="00441083" w:rsidRPr="007205F8" w:rsidRDefault="00441083">
            <w:pPr>
              <w:rPr>
                <w:lang w:val="fr-FR"/>
              </w:rPr>
            </w:pPr>
          </w:p>
          <w:p w14:paraId="6DD1D281" w14:textId="05A48B38" w:rsidR="00441083" w:rsidRPr="00B27685" w:rsidRDefault="00E60D9C">
            <w:pPr>
              <w:rPr>
                <w:lang w:val="en-CA"/>
              </w:rPr>
            </w:pPr>
            <w:r w:rsidRPr="007205F8">
              <w:rPr>
                <w:lang w:val="fr-FR"/>
              </w:rPr>
              <w:fldChar w:fldCharType="begin"/>
            </w:r>
            <w:r w:rsidRPr="00B27685">
              <w:rPr>
                <w:lang w:val="en-CA"/>
              </w:rPr>
              <w:instrText xml:space="preserve"> DOCPROPERTY "Document number"  \* MERGEFORMAT </w:instrText>
            </w:r>
            <w:r w:rsidRPr="007205F8">
              <w:rPr>
                <w:lang w:val="fr-FR"/>
              </w:rPr>
              <w:fldChar w:fldCharType="separate"/>
            </w:r>
            <w:r w:rsidR="00B27685" w:rsidRPr="00B27685">
              <w:rPr>
                <w:lang w:val="en-CA"/>
              </w:rPr>
              <w:t>UNEP/</w:t>
            </w:r>
            <w:proofErr w:type="spellStart"/>
            <w:r w:rsidR="00B27685" w:rsidRPr="00B27685">
              <w:rPr>
                <w:lang w:val="en-CA"/>
              </w:rPr>
              <w:t>OzL.Pro</w:t>
            </w:r>
            <w:proofErr w:type="spellEnd"/>
            <w:r w:rsidR="00B27685" w:rsidRPr="00B27685">
              <w:rPr>
                <w:lang w:val="en-CA"/>
              </w:rPr>
              <w:t>/ExCom/85/64</w:t>
            </w:r>
            <w:r w:rsidRPr="007205F8">
              <w:rPr>
                <w:lang w:val="fr-FR"/>
              </w:rPr>
              <w:fldChar w:fldCharType="end"/>
            </w:r>
          </w:p>
          <w:p w14:paraId="25859D58" w14:textId="33011197" w:rsidR="002F0B57" w:rsidRPr="00B27685" w:rsidRDefault="002F0B57" w:rsidP="000F6C8E">
            <w:pPr>
              <w:rPr>
                <w:lang w:val="en-CA"/>
              </w:rPr>
            </w:pPr>
            <w:r w:rsidRPr="007205F8">
              <w:rPr>
                <w:lang w:val="fr-FR"/>
              </w:rPr>
              <w:fldChar w:fldCharType="begin"/>
            </w:r>
            <w:r w:rsidRPr="00B27685">
              <w:rPr>
                <w:lang w:val="en-CA"/>
              </w:rPr>
              <w:instrText xml:space="preserve"> DOCPROPERTY "Revision date" \@ "d MMMM YYYY"  \* MERGEFORMAT </w:instrText>
            </w:r>
            <w:r w:rsidRPr="007205F8">
              <w:rPr>
                <w:lang w:val="fr-FR"/>
              </w:rPr>
              <w:fldChar w:fldCharType="separate"/>
            </w:r>
            <w:r w:rsidR="00B27685">
              <w:rPr>
                <w:lang w:val="en-CA"/>
              </w:rPr>
              <w:t xml:space="preserve">8 </w:t>
            </w:r>
            <w:proofErr w:type="spellStart"/>
            <w:r w:rsidR="00B27685">
              <w:rPr>
                <w:lang w:val="en-CA"/>
              </w:rPr>
              <w:t>mai</w:t>
            </w:r>
            <w:proofErr w:type="spellEnd"/>
            <w:r w:rsidR="00B27685">
              <w:rPr>
                <w:lang w:val="en-CA"/>
              </w:rPr>
              <w:t xml:space="preserve"> 2020</w:t>
            </w:r>
            <w:r w:rsidRPr="007205F8">
              <w:rPr>
                <w:lang w:val="fr-FR"/>
              </w:rPr>
              <w:fldChar w:fldCharType="end"/>
            </w:r>
          </w:p>
          <w:p w14:paraId="11F203D3" w14:textId="77777777" w:rsidR="00441083" w:rsidRPr="007205F8" w:rsidRDefault="00FC5578">
            <w:pPr>
              <w:rPr>
                <w:caps/>
                <w:lang w:val="fr-FR"/>
              </w:rPr>
            </w:pPr>
            <w:r w:rsidRPr="00B27685">
              <w:rPr>
                <w:caps/>
                <w:lang w:val="en-CA"/>
              </w:rPr>
              <w:br/>
            </w:r>
            <w:r w:rsidR="00E60D9C" w:rsidRPr="007205F8">
              <w:rPr>
                <w:caps/>
                <w:lang w:val="fr-FR"/>
              </w:rPr>
              <w:t>FRANÇAIS</w:t>
            </w:r>
          </w:p>
          <w:p w14:paraId="0C897ABD" w14:textId="77777777" w:rsidR="00441083" w:rsidRPr="007205F8" w:rsidRDefault="00E60D9C">
            <w:pPr>
              <w:rPr>
                <w:lang w:val="fr-FR"/>
              </w:rPr>
            </w:pPr>
            <w:r w:rsidRPr="007205F8">
              <w:rPr>
                <w:lang w:val="fr-FR"/>
              </w:rPr>
              <w:t xml:space="preserve">ORIGINAL: </w:t>
            </w:r>
            <w:r w:rsidR="0091161A" w:rsidRPr="007205F8">
              <w:rPr>
                <w:lang w:val="fr-FR"/>
              </w:rPr>
              <w:t>ANGLAIS</w:t>
            </w:r>
          </w:p>
        </w:tc>
      </w:tr>
    </w:tbl>
    <w:p w14:paraId="6F97A916" w14:textId="77777777" w:rsidR="00441083" w:rsidRPr="007205F8" w:rsidRDefault="00441083">
      <w:pPr>
        <w:jc w:val="left"/>
        <w:rPr>
          <w:lang w:val="fr-FR"/>
        </w:rPr>
      </w:pPr>
    </w:p>
    <w:p w14:paraId="283EB0E6" w14:textId="77777777" w:rsidR="00441083" w:rsidRPr="007205F8" w:rsidRDefault="00E60D9C" w:rsidP="00DD3433">
      <w:pPr>
        <w:jc w:val="left"/>
        <w:rPr>
          <w:lang w:val="fr-FR"/>
        </w:rPr>
      </w:pPr>
      <w:r w:rsidRPr="007205F8">
        <w:rPr>
          <w:lang w:val="fr-FR"/>
        </w:rPr>
        <w:t>COMIT</w:t>
      </w:r>
      <w:r w:rsidR="00DD3433" w:rsidRPr="007205F8">
        <w:rPr>
          <w:lang w:val="fr-FR"/>
        </w:rPr>
        <w:t>É</w:t>
      </w:r>
      <w:r w:rsidRPr="007205F8">
        <w:rPr>
          <w:lang w:val="fr-FR"/>
        </w:rPr>
        <w:t xml:space="preserve"> EX</w:t>
      </w:r>
      <w:r w:rsidR="00DD3433" w:rsidRPr="007205F8">
        <w:rPr>
          <w:lang w:val="fr-FR"/>
        </w:rPr>
        <w:t xml:space="preserve">ÉCUTIF </w:t>
      </w:r>
      <w:r w:rsidR="00DD3433" w:rsidRPr="007205F8">
        <w:rPr>
          <w:lang w:val="fr-FR"/>
        </w:rPr>
        <w:br/>
        <w:t xml:space="preserve">  DU FONDS MULTILATÉ</w:t>
      </w:r>
      <w:r w:rsidRPr="007205F8">
        <w:rPr>
          <w:lang w:val="fr-FR"/>
        </w:rPr>
        <w:t xml:space="preserve">RAL AUX FINS </w:t>
      </w:r>
      <w:r w:rsidRPr="007205F8">
        <w:rPr>
          <w:lang w:val="fr-FR"/>
        </w:rPr>
        <w:br/>
        <w:t xml:space="preserve">  D’APPLICATION DU PROTOCOLE DE MONTR</w:t>
      </w:r>
      <w:r w:rsidR="00DD3433" w:rsidRPr="007205F8">
        <w:rPr>
          <w:lang w:val="fr-FR"/>
        </w:rPr>
        <w:t>É</w:t>
      </w:r>
      <w:r w:rsidRPr="007205F8">
        <w:rPr>
          <w:lang w:val="fr-FR"/>
        </w:rPr>
        <w:t>AL</w:t>
      </w:r>
      <w:r w:rsidRPr="007205F8">
        <w:rPr>
          <w:lang w:val="fr-FR"/>
        </w:rPr>
        <w:br/>
      </w:r>
      <w:r w:rsidR="00E54871" w:rsidRPr="007205F8">
        <w:rPr>
          <w:lang w:val="fr-FR"/>
        </w:rPr>
        <w:t>Quatre</w:t>
      </w:r>
      <w:r w:rsidRPr="007205F8">
        <w:rPr>
          <w:lang w:val="fr-FR"/>
        </w:rPr>
        <w:t>-</w:t>
      </w:r>
      <w:r w:rsidR="00E54871" w:rsidRPr="007205F8">
        <w:rPr>
          <w:lang w:val="fr-FR"/>
        </w:rPr>
        <w:t>vingt</w:t>
      </w:r>
      <w:r w:rsidR="009666A1" w:rsidRPr="007205F8">
        <w:rPr>
          <w:lang w:val="fr-FR"/>
        </w:rPr>
        <w:t>-cin</w:t>
      </w:r>
      <w:r w:rsidR="00AC013C" w:rsidRPr="007205F8">
        <w:rPr>
          <w:lang w:val="fr-FR"/>
        </w:rPr>
        <w:t>q</w:t>
      </w:r>
      <w:r w:rsidR="009666A1" w:rsidRPr="007205F8">
        <w:rPr>
          <w:lang w:val="fr-FR"/>
        </w:rPr>
        <w:t>u</w:t>
      </w:r>
      <w:r w:rsidR="004C2C87" w:rsidRPr="007205F8">
        <w:rPr>
          <w:lang w:val="fr-FR"/>
        </w:rPr>
        <w:t>i</w:t>
      </w:r>
      <w:r w:rsidR="00E54871" w:rsidRPr="007205F8">
        <w:rPr>
          <w:lang w:val="fr-FR"/>
        </w:rPr>
        <w:t>ème</w:t>
      </w:r>
      <w:r w:rsidR="00FC5578" w:rsidRPr="007205F8">
        <w:rPr>
          <w:lang w:val="fr-FR"/>
        </w:rPr>
        <w:t xml:space="preserve"> </w:t>
      </w:r>
      <w:r w:rsidRPr="007205F8">
        <w:rPr>
          <w:lang w:val="fr-FR"/>
        </w:rPr>
        <w:t>réunion</w:t>
      </w:r>
    </w:p>
    <w:p w14:paraId="08151D6F" w14:textId="77777777" w:rsidR="00C27322" w:rsidRPr="007205F8" w:rsidRDefault="00C27322" w:rsidP="00C27322">
      <w:pPr>
        <w:jc w:val="left"/>
        <w:rPr>
          <w:lang w:val="fr-FR"/>
        </w:rPr>
      </w:pPr>
      <w:r w:rsidRPr="007205F8">
        <w:rPr>
          <w:lang w:val="fr-FR"/>
        </w:rPr>
        <w:t>Montréal, 25 – 29 mai 2020</w:t>
      </w:r>
    </w:p>
    <w:p w14:paraId="2D16CF71" w14:textId="34B9A010" w:rsidR="00441083" w:rsidRPr="007205F8" w:rsidRDefault="00C27322" w:rsidP="00AC013C">
      <w:pPr>
        <w:jc w:val="left"/>
        <w:rPr>
          <w:lang w:val="fr-FR"/>
        </w:rPr>
      </w:pPr>
      <w:r w:rsidRPr="007205F8">
        <w:rPr>
          <w:lang w:val="fr-FR"/>
        </w:rPr>
        <w:t>Reportée</w:t>
      </w:r>
      <w:r w:rsidR="007205F8" w:rsidRPr="007205F8">
        <w:rPr>
          <w:lang w:val="fr-FR"/>
        </w:rPr>
        <w:t> </w:t>
      </w:r>
      <w:r w:rsidRPr="007205F8">
        <w:rPr>
          <w:lang w:val="fr-FR"/>
        </w:rPr>
        <w:t>:</w:t>
      </w:r>
      <w:r w:rsidR="00FC5578" w:rsidRPr="007205F8">
        <w:rPr>
          <w:lang w:val="fr-FR"/>
        </w:rPr>
        <w:t xml:space="preserve"> </w:t>
      </w:r>
      <w:r w:rsidR="00AC013C" w:rsidRPr="007205F8">
        <w:rPr>
          <w:lang w:val="fr-FR"/>
        </w:rPr>
        <w:t>1</w:t>
      </w:r>
      <w:r w:rsidR="009666A1" w:rsidRPr="007205F8">
        <w:rPr>
          <w:lang w:val="fr-FR"/>
        </w:rPr>
        <w:t>9</w:t>
      </w:r>
      <w:r w:rsidR="00AC013C" w:rsidRPr="007205F8">
        <w:rPr>
          <w:lang w:val="fr-FR"/>
        </w:rPr>
        <w:t xml:space="preserve"> </w:t>
      </w:r>
      <w:r w:rsidR="00E60D9C" w:rsidRPr="007205F8">
        <w:rPr>
          <w:lang w:val="fr-FR"/>
        </w:rPr>
        <w:t xml:space="preserve">– </w:t>
      </w:r>
      <w:r w:rsidR="00AC013C" w:rsidRPr="007205F8">
        <w:rPr>
          <w:lang w:val="fr-FR"/>
        </w:rPr>
        <w:t>2</w:t>
      </w:r>
      <w:r w:rsidR="009666A1" w:rsidRPr="007205F8">
        <w:rPr>
          <w:lang w:val="fr-FR"/>
        </w:rPr>
        <w:t>2 juillet 2020</w:t>
      </w:r>
      <w:r w:rsidRPr="007205F8">
        <w:rPr>
          <w:lang w:val="fr-FR"/>
        </w:rPr>
        <w:t>*</w:t>
      </w:r>
    </w:p>
    <w:p w14:paraId="5F20EAA8" w14:textId="77777777" w:rsidR="00441083" w:rsidRPr="007205F8" w:rsidRDefault="00441083">
      <w:pPr>
        <w:jc w:val="left"/>
        <w:rPr>
          <w:lang w:val="fr-FR"/>
        </w:rPr>
      </w:pPr>
    </w:p>
    <w:p w14:paraId="308A840A" w14:textId="77777777" w:rsidR="00441083" w:rsidRPr="007205F8" w:rsidRDefault="00441083">
      <w:pPr>
        <w:pStyle w:val="Title1"/>
        <w:rPr>
          <w:lang w:val="fr-FR"/>
        </w:rPr>
      </w:pPr>
    </w:p>
    <w:p w14:paraId="4CF8386B" w14:textId="77777777" w:rsidR="00441083" w:rsidRPr="007205F8" w:rsidRDefault="00441083">
      <w:pPr>
        <w:pStyle w:val="Title1"/>
        <w:rPr>
          <w:lang w:val="fr-FR"/>
        </w:rPr>
      </w:pPr>
    </w:p>
    <w:p w14:paraId="3C1D70C8" w14:textId="77777777" w:rsidR="00B27685" w:rsidRDefault="00317CC6">
      <w:pPr>
        <w:jc w:val="center"/>
        <w:rPr>
          <w:b/>
          <w:lang w:val="fr-FR"/>
        </w:rPr>
      </w:pPr>
      <w:r w:rsidRPr="007205F8">
        <w:rPr>
          <w:b/>
          <w:lang w:val="fr-FR"/>
        </w:rPr>
        <w:t xml:space="preserve">PRINCIPAUX ASPECTS LIÉS AUX TECHNOLOGIES DE CONTRÔLE </w:t>
      </w:r>
    </w:p>
    <w:p w14:paraId="699930F8" w14:textId="4B0C90D7" w:rsidR="00441083" w:rsidRPr="007205F8" w:rsidRDefault="00317CC6">
      <w:pPr>
        <w:jc w:val="center"/>
        <w:rPr>
          <w:lang w:val="fr-FR"/>
        </w:rPr>
      </w:pPr>
      <w:r w:rsidRPr="007205F8">
        <w:rPr>
          <w:b/>
          <w:lang w:val="fr-FR"/>
        </w:rPr>
        <w:t>DU SOUS-PRODUIT HFC-23 : ARGENTINE (DÉCISION 84/90)</w:t>
      </w:r>
    </w:p>
    <w:p w14:paraId="34F87A9A" w14:textId="77777777" w:rsidR="00441083" w:rsidRPr="007205F8" w:rsidRDefault="00441083">
      <w:pPr>
        <w:jc w:val="center"/>
        <w:rPr>
          <w:lang w:val="fr-FR"/>
        </w:rPr>
      </w:pPr>
    </w:p>
    <w:p w14:paraId="3B843DFD" w14:textId="77777777" w:rsidR="00441083" w:rsidRPr="007205F8" w:rsidRDefault="00441083" w:rsidP="00317CC6">
      <w:pPr>
        <w:rPr>
          <w:lang w:val="fr-FR"/>
        </w:rPr>
      </w:pPr>
    </w:p>
    <w:p w14:paraId="5B4AD6CB" w14:textId="37DA470A" w:rsidR="00441083" w:rsidRPr="007205F8" w:rsidRDefault="00317CC6" w:rsidP="00317CC6">
      <w:pPr>
        <w:rPr>
          <w:lang w:val="fr-FR"/>
        </w:rPr>
      </w:pPr>
      <w:r w:rsidRPr="007205F8">
        <w:rPr>
          <w:b/>
          <w:lang w:val="fr-FR"/>
        </w:rPr>
        <w:t>Contexte</w:t>
      </w:r>
    </w:p>
    <w:p w14:paraId="7C458843" w14:textId="77777777" w:rsidR="00317CC6" w:rsidRPr="007205F8" w:rsidRDefault="00317CC6" w:rsidP="00317CC6">
      <w:pPr>
        <w:rPr>
          <w:lang w:val="fr-FR"/>
        </w:rPr>
      </w:pPr>
    </w:p>
    <w:p w14:paraId="611F1950" w14:textId="7269B1E6" w:rsidR="00441083" w:rsidRPr="007205F8" w:rsidRDefault="00317CC6">
      <w:pPr>
        <w:pStyle w:val="StyleHeading1Para1Heading1CharHeading1Char3CharHeadin"/>
        <w:numPr>
          <w:ilvl w:val="0"/>
          <w:numId w:val="1"/>
        </w:numPr>
        <w:tabs>
          <w:tab w:val="clear" w:pos="0"/>
        </w:tabs>
        <w:rPr>
          <w:lang w:val="fr-FR"/>
        </w:rPr>
      </w:pPr>
      <w:r w:rsidRPr="007205F8">
        <w:rPr>
          <w:lang w:val="fr-FR"/>
        </w:rPr>
        <w:t>Le Comité exécutif à sa 84</w:t>
      </w:r>
      <w:r w:rsidRPr="007205F8">
        <w:rPr>
          <w:vertAlign w:val="superscript"/>
          <w:lang w:val="fr-FR"/>
        </w:rPr>
        <w:t>e</w:t>
      </w:r>
      <w:r w:rsidRPr="007205F8">
        <w:rPr>
          <w:lang w:val="fr-FR"/>
        </w:rPr>
        <w:t> réunion a examiné des options de proposition de projet visant à contrôler et éliminer les émissions de HFC-23 à l’usine Frio Industrias Argentinas (FIASA), pour un coût total s’élevant entre 10 867 000 $ US et 59 667 000 $ US, plus les coûts d’appui d’agence,</w:t>
      </w:r>
      <w:r w:rsidRPr="007205F8">
        <w:rPr>
          <w:rStyle w:val="FootnoteReference"/>
          <w:lang w:val="fr-FR"/>
        </w:rPr>
        <w:footnoteReference w:id="1"/>
      </w:r>
      <w:r w:rsidRPr="007205F8">
        <w:rPr>
          <w:lang w:val="fr-FR"/>
        </w:rPr>
        <w:t xml:space="preserve"> conformément aux soumissions initiales et aux décisions 82/85(e) et 83/66(b).</w:t>
      </w:r>
    </w:p>
    <w:p w14:paraId="011AFDAA" w14:textId="656AAE9A" w:rsidR="00441083" w:rsidRPr="007205F8" w:rsidRDefault="00317CC6">
      <w:pPr>
        <w:pStyle w:val="StyleHeading1Para1Heading1CharHeading1Char3CharHeadin"/>
        <w:numPr>
          <w:ilvl w:val="0"/>
          <w:numId w:val="1"/>
        </w:numPr>
        <w:tabs>
          <w:tab w:val="clear" w:pos="0"/>
        </w:tabs>
        <w:rPr>
          <w:lang w:val="fr-FR"/>
        </w:rPr>
      </w:pPr>
      <w:r w:rsidRPr="007205F8">
        <w:rPr>
          <w:lang w:val="fr-FR"/>
        </w:rPr>
        <w:t>Le Comité exécutif à sa 84</w:t>
      </w:r>
      <w:r w:rsidRPr="007205F8">
        <w:rPr>
          <w:vertAlign w:val="superscript"/>
          <w:lang w:val="fr-FR"/>
        </w:rPr>
        <w:t>e</w:t>
      </w:r>
      <w:r w:rsidRPr="007205F8">
        <w:rPr>
          <w:lang w:val="fr-FR"/>
        </w:rPr>
        <w:t> réunion a souligné la nécessité de réfléchir à un certain nombre d’éléments,</w:t>
      </w:r>
      <w:r w:rsidRPr="007205F8">
        <w:rPr>
          <w:rStyle w:val="FootnoteReference"/>
          <w:lang w:val="fr-FR"/>
        </w:rPr>
        <w:footnoteReference w:id="2"/>
      </w:r>
      <w:r w:rsidRPr="007205F8">
        <w:rPr>
          <w:lang w:val="fr-FR"/>
        </w:rPr>
        <w:t xml:space="preserve"> notamment l’importance de : fonder le niveau du soutien financier sur l’option la plus rentable dans les cas de figure où les émissions du sous-produit HFC-23 ne sont pas encore réglementées; fonder les surcoûts d’exploitation sur la production de HCFC-22 en se basant sur les années antérieures et non sur les prochaines années; tenir compte des améliorations apportées aux processus de production qui réduiraient les taux de génération avec le temps; garantir une élimination durable des émissions de HFC</w:t>
      </w:r>
      <w:r w:rsidRPr="007205F8">
        <w:rPr>
          <w:lang w:val="fr-FR"/>
        </w:rPr>
        <w:noBreakHyphen/>
        <w:t>23; prendre en considération le rôle que jouent les politiques et réglementations nationales au regard de la destruction durable du HFC-23; et prendre en considération la recevabilité des systèmes de secours, s’ils sont vraiment nécessaires.</w:t>
      </w:r>
    </w:p>
    <w:p w14:paraId="48B942F5" w14:textId="16567BB1" w:rsidR="00317CC6" w:rsidRPr="007205F8" w:rsidRDefault="00317CC6">
      <w:pPr>
        <w:pStyle w:val="StyleHeading1Para1Heading1CharHeading1Char3CharHeadin"/>
        <w:numPr>
          <w:ilvl w:val="0"/>
          <w:numId w:val="1"/>
        </w:numPr>
        <w:tabs>
          <w:tab w:val="clear" w:pos="0"/>
        </w:tabs>
        <w:rPr>
          <w:lang w:val="fr-FR"/>
        </w:rPr>
      </w:pPr>
      <w:r w:rsidRPr="007205F8">
        <w:rPr>
          <w:lang w:val="fr-FR"/>
        </w:rPr>
        <w:t>Le Comité a accepté de créer un groupe de contact ayant pour mission le projet pour le contrôle des émissions du sous-produit HFC-23 en Argentine, le projet pour le contrôle des émissions du sous-produit HFC-23 à Quimobásicos au Mexique,</w:t>
      </w:r>
      <w:r w:rsidRPr="007205F8">
        <w:rPr>
          <w:rStyle w:val="FootnoteReference"/>
          <w:lang w:val="fr-FR"/>
        </w:rPr>
        <w:footnoteReference w:id="3"/>
      </w:r>
      <w:r w:rsidRPr="007205F8">
        <w:rPr>
          <w:lang w:val="fr-FR"/>
        </w:rPr>
        <w:t xml:space="preserve"> et le document présentant les questions de politique</w:t>
      </w:r>
      <w:r w:rsidRPr="007205F8">
        <w:rPr>
          <w:rStyle w:val="FootnoteReference"/>
          <w:lang w:val="fr-FR"/>
        </w:rPr>
        <w:footnoteReference w:id="4"/>
      </w:r>
      <w:r w:rsidRPr="007205F8">
        <w:rPr>
          <w:lang w:val="fr-FR"/>
        </w:rPr>
        <w:t xml:space="preserve"> </w:t>
      </w:r>
      <w:r w:rsidRPr="007205F8">
        <w:rPr>
          <w:lang w:val="fr-FR"/>
        </w:rPr>
        <w:lastRenderedPageBreak/>
        <w:t>associées au contrôle des émissions du sous-produit HFC-23 dans les pays visés à l’article 5 qui ont été soulevées après examen de ces projets par le Secrétariat.</w:t>
      </w:r>
    </w:p>
    <w:p w14:paraId="48BE9AF6" w14:textId="7D15EC36" w:rsidR="00317CC6" w:rsidRPr="007205F8" w:rsidRDefault="00317CC6" w:rsidP="00317CC6">
      <w:pPr>
        <w:pStyle w:val="StyleHeading1Para1Heading1CharHeading1Char3CharHeadin"/>
        <w:numPr>
          <w:ilvl w:val="0"/>
          <w:numId w:val="1"/>
        </w:numPr>
        <w:tabs>
          <w:tab w:val="clear" w:pos="0"/>
        </w:tabs>
        <w:rPr>
          <w:lang w:val="fr-FR"/>
        </w:rPr>
      </w:pPr>
      <w:r w:rsidRPr="007205F8">
        <w:rPr>
          <w:lang w:val="fr-FR"/>
        </w:rPr>
        <w:t>Par la suite, le coordonnateur du groupe de contact a indiqué que le groupe n’a pas été en mesure de conclure ses délibérations sur la proposition de contrôle du sous-produit HFC-23 en Argentine. En conséquence, le Comité a décidé de reporter à la 85</w:t>
      </w:r>
      <w:r w:rsidRPr="007205F8">
        <w:rPr>
          <w:vertAlign w:val="superscript"/>
          <w:lang w:val="fr-FR"/>
        </w:rPr>
        <w:t>e</w:t>
      </w:r>
      <w:r w:rsidRPr="007205F8">
        <w:rPr>
          <w:lang w:val="fr-FR"/>
        </w:rPr>
        <w:t xml:space="preserve"> réunion l’examen de la proposition de projet pour le contrôle des émissions du sous-produit HFC</w:t>
      </w:r>
      <w:r w:rsidRPr="007205F8">
        <w:rPr>
          <w:lang w:val="fr-FR"/>
        </w:rPr>
        <w:noBreakHyphen/>
        <w:t>23 en Argentine, et a demandé au Secrétariat de fournir une analyse plus approfondie du projet à la 85</w:t>
      </w:r>
      <w:r w:rsidRPr="007205F8">
        <w:rPr>
          <w:vertAlign w:val="superscript"/>
          <w:lang w:val="fr-FR"/>
        </w:rPr>
        <w:t>e</w:t>
      </w:r>
      <w:r w:rsidRPr="007205F8">
        <w:rPr>
          <w:lang w:val="fr-FR"/>
        </w:rPr>
        <w:t> réunion en se basant sur les informations complémentaires fournies par le gouvernement de l’Argentine par le biais de l'ONUDI (décision 84/90).</w:t>
      </w:r>
    </w:p>
    <w:p w14:paraId="534BAAB4" w14:textId="6C792D7D" w:rsidR="00317CC6" w:rsidRPr="007205F8" w:rsidRDefault="00317CC6" w:rsidP="00317CC6">
      <w:pPr>
        <w:rPr>
          <w:lang w:val="fr-FR"/>
        </w:rPr>
      </w:pPr>
      <w:r w:rsidRPr="007205F8">
        <w:rPr>
          <w:b/>
          <w:lang w:val="fr-FR"/>
        </w:rPr>
        <w:t>Informations complémentaires présentées à la 85</w:t>
      </w:r>
      <w:r w:rsidRPr="007205F8">
        <w:rPr>
          <w:b/>
          <w:vertAlign w:val="superscript"/>
          <w:lang w:val="fr-FR"/>
        </w:rPr>
        <w:t>e</w:t>
      </w:r>
      <w:r w:rsidRPr="007205F8">
        <w:rPr>
          <w:b/>
          <w:lang w:val="fr-FR"/>
        </w:rPr>
        <w:t xml:space="preserve"> réunion</w:t>
      </w:r>
    </w:p>
    <w:p w14:paraId="18E0A558" w14:textId="77777777" w:rsidR="00317CC6" w:rsidRPr="007205F8" w:rsidRDefault="00317CC6" w:rsidP="00317CC6">
      <w:pPr>
        <w:rPr>
          <w:lang w:val="fr-FR"/>
        </w:rPr>
      </w:pPr>
    </w:p>
    <w:p w14:paraId="35A72B08" w14:textId="017A0AE9" w:rsidR="00317CC6" w:rsidRPr="007205F8" w:rsidRDefault="00317CC6">
      <w:pPr>
        <w:pStyle w:val="StyleHeading1Para1Heading1CharHeading1Char3CharHeadin"/>
        <w:numPr>
          <w:ilvl w:val="0"/>
          <w:numId w:val="1"/>
        </w:numPr>
        <w:tabs>
          <w:tab w:val="clear" w:pos="0"/>
        </w:tabs>
        <w:rPr>
          <w:lang w:val="fr-FR"/>
        </w:rPr>
      </w:pPr>
      <w:r w:rsidRPr="007205F8">
        <w:rPr>
          <w:lang w:val="fr-FR"/>
        </w:rPr>
        <w:t>Compte tenu de l’urgence d’approuver la proposition de projet pour le contrôle des émissions du sous-produit HFC-23 en Argentine étant donné les obligations de contrôle au 1</w:t>
      </w:r>
      <w:r w:rsidRPr="007205F8">
        <w:rPr>
          <w:vertAlign w:val="superscript"/>
          <w:lang w:val="fr-FR"/>
        </w:rPr>
        <w:t>er</w:t>
      </w:r>
      <w:r w:rsidRPr="007205F8">
        <w:rPr>
          <w:lang w:val="fr-FR"/>
        </w:rPr>
        <w:t> janvier 2020 au titre de l'Amendement de Kigali, le Secrétariat a demandé à l’ONUDI de lui fournir des informations sur la production de HCFC-22 en 2019 à l’usine FIASA, les conséquences potentielles de la crise économique d’août 2019 sur l’usine FIASA, et la gestion du sous-produit HFC-23 par l’usine FIASA.</w:t>
      </w:r>
    </w:p>
    <w:p w14:paraId="42012CA4" w14:textId="1B340A93" w:rsidR="00317CC6" w:rsidRPr="007205F8" w:rsidRDefault="00317CC6">
      <w:pPr>
        <w:pStyle w:val="StyleHeading1Para1Heading1CharHeading1Char3CharHeadin"/>
        <w:numPr>
          <w:ilvl w:val="0"/>
          <w:numId w:val="1"/>
        </w:numPr>
        <w:tabs>
          <w:tab w:val="clear" w:pos="0"/>
        </w:tabs>
        <w:rPr>
          <w:lang w:val="fr-FR"/>
        </w:rPr>
      </w:pPr>
      <w:r w:rsidRPr="007205F8">
        <w:rPr>
          <w:lang w:val="fr-FR"/>
        </w:rPr>
        <w:t>Le présent document expose les informations complémentaires fournies par l’ONUDI, une mise jour de l’analyse effectuée par le Secrétariat, les opinions exprimées par le gouvernement de l’Argentine, les conclusions et une recommandation. Pour l’examen et la mise à jour de l’analyse, le Secrétariat a sollicité les conseils techniques et économiques du consultant indépendant qui était déjà intervenu dans l’examen du projet. Pour faciliter l’étude par le Comité exécutif des informations complémentaires et de l’analyse approfondie, le Secrétariat a joint le descriptif de projet de la 84</w:t>
      </w:r>
      <w:r w:rsidRPr="007205F8">
        <w:rPr>
          <w:vertAlign w:val="superscript"/>
          <w:lang w:val="fr-FR"/>
        </w:rPr>
        <w:t>e</w:t>
      </w:r>
      <w:r w:rsidRPr="007205F8">
        <w:rPr>
          <w:lang w:val="fr-FR"/>
        </w:rPr>
        <w:t> réunion au présent document.</w:t>
      </w:r>
    </w:p>
    <w:p w14:paraId="4882702F" w14:textId="77777777" w:rsidR="00317CC6" w:rsidRPr="007205F8" w:rsidRDefault="00317CC6" w:rsidP="00317CC6">
      <w:pPr>
        <w:rPr>
          <w:u w:val="single"/>
          <w:lang w:val="fr-FR"/>
        </w:rPr>
      </w:pPr>
      <w:r w:rsidRPr="007205F8">
        <w:rPr>
          <w:u w:val="single"/>
          <w:lang w:val="fr-FR"/>
        </w:rPr>
        <w:t>Mise à jour sur l’état de production de HCFC-22 et le contrôle du sous produit HFC-23 à l’usine FIASA</w:t>
      </w:r>
    </w:p>
    <w:p w14:paraId="4F16900B" w14:textId="77777777" w:rsidR="00317CC6" w:rsidRPr="007205F8" w:rsidRDefault="00317CC6" w:rsidP="00317CC6">
      <w:pPr>
        <w:rPr>
          <w:lang w:val="fr-FR"/>
        </w:rPr>
      </w:pPr>
    </w:p>
    <w:p w14:paraId="36865DA1" w14:textId="7A6049AA" w:rsidR="00317CC6" w:rsidRPr="007205F8" w:rsidRDefault="00317CC6">
      <w:pPr>
        <w:pStyle w:val="StyleHeading1Para1Heading1CharHeading1Char3CharHeadin"/>
        <w:numPr>
          <w:ilvl w:val="0"/>
          <w:numId w:val="1"/>
        </w:numPr>
        <w:tabs>
          <w:tab w:val="clear" w:pos="0"/>
        </w:tabs>
        <w:rPr>
          <w:lang w:val="fr-FR"/>
        </w:rPr>
      </w:pPr>
      <w:r w:rsidRPr="007205F8">
        <w:rPr>
          <w:lang w:val="fr-FR"/>
        </w:rPr>
        <w:t>En 2019, la production de HCFC-22 à FIASA s’est élevée à 1 606 tonnes métriques (tm), soit 35 pour cent de plus qu’en 2018; les ventes en 2019 ont augmenté de 14 pour cent par rapport à 2018. Par rapport à 2018, le prix moyen du HCFC</w:t>
      </w:r>
      <w:r w:rsidRPr="007205F8">
        <w:rPr>
          <w:lang w:val="fr-FR"/>
        </w:rPr>
        <w:noBreakHyphen/>
        <w:t>22 vendu par FIASA a augmenté de 121 pour cent en peso argentin (ARS) en 2019 (autrement dit, il a plus que doublé), et d’environ 200 pour cent (soit presque triplé) en janvier 2020.</w:t>
      </w:r>
    </w:p>
    <w:p w14:paraId="5AF7039B" w14:textId="5A8D050F" w:rsidR="00317CC6" w:rsidRPr="007205F8" w:rsidRDefault="00317CC6">
      <w:pPr>
        <w:pStyle w:val="StyleHeading1Para1Heading1CharHeading1Char3CharHeadin"/>
        <w:numPr>
          <w:ilvl w:val="0"/>
          <w:numId w:val="1"/>
        </w:numPr>
        <w:tabs>
          <w:tab w:val="clear" w:pos="0"/>
        </w:tabs>
        <w:rPr>
          <w:lang w:val="fr-FR"/>
        </w:rPr>
      </w:pPr>
      <w:r w:rsidRPr="007205F8">
        <w:rPr>
          <w:lang w:val="fr-FR"/>
        </w:rPr>
        <w:t>D’après les données sur la production et les ventes</w:t>
      </w:r>
      <w:r w:rsidRPr="007205F8">
        <w:rPr>
          <w:rStyle w:val="FootnoteReference"/>
          <w:lang w:val="fr-FR"/>
        </w:rPr>
        <w:footnoteReference w:id="5"/>
      </w:r>
      <w:r w:rsidRPr="007205F8">
        <w:rPr>
          <w:lang w:val="fr-FR"/>
        </w:rPr>
        <w:t xml:space="preserve"> pour la période de 2014 à 2019, les stocks de HCFC-22 en fin d’année 2019 étaient d’environ 353 tm, soit environ 25 pour cent des ventes totales de l’entreprise en 2019. Malgré ces stocks, FIASA a continué de produire du HCFC-22 en 2020. Par conséquent, le sous-produit HFC-23 continue d’être rejeté dans l’atmosphère.</w:t>
      </w:r>
    </w:p>
    <w:p w14:paraId="3ABB94A0" w14:textId="77777777" w:rsidR="00317CC6" w:rsidRPr="007205F8" w:rsidRDefault="00317CC6" w:rsidP="00317CC6">
      <w:pPr>
        <w:pStyle w:val="StyleHeading1Para1Heading1CharHeading1Char3CharHeadin"/>
        <w:numPr>
          <w:ilvl w:val="0"/>
          <w:numId w:val="1"/>
        </w:numPr>
        <w:tabs>
          <w:tab w:val="clear" w:pos="0"/>
        </w:tabs>
        <w:rPr>
          <w:lang w:val="fr-FR"/>
        </w:rPr>
      </w:pPr>
      <w:r w:rsidRPr="007205F8">
        <w:rPr>
          <w:lang w:val="fr-FR"/>
        </w:rPr>
        <w:t>En 2014, la chaîne de production de HCFC-22 à FIASA a fonctionné la plupart des jours de l’année (environ 78 pour cent de l’année); jusqu’en 2018, le nombre de jours de service de la chaîne de production est passé à 41 pour cent; en 2019, ce nombre a augmenté de 38 pour cent par rapport à 2018. Bien qu’une partie du personnel de l’usine FIASA ait été renouvelée, l’effectif travaillant sur la chaîne de production du HCFC-22 est resté le même par rapport à 2018.</w:t>
      </w:r>
    </w:p>
    <w:p w14:paraId="22121EBB" w14:textId="6C580B02" w:rsidR="00317CC6" w:rsidRPr="0006771D" w:rsidRDefault="00317CC6" w:rsidP="0006771D">
      <w:pPr>
        <w:keepNext/>
        <w:keepLines/>
        <w:spacing w:after="240"/>
        <w:rPr>
          <w:u w:val="single"/>
          <w:lang w:val="fr-FR"/>
        </w:rPr>
      </w:pPr>
      <w:r w:rsidRPr="007205F8">
        <w:rPr>
          <w:u w:val="single"/>
          <w:lang w:val="fr-FR"/>
        </w:rPr>
        <w:t>Mise à jour sur la situation économique en Argentine</w:t>
      </w:r>
    </w:p>
    <w:p w14:paraId="4302B52F" w14:textId="77777777" w:rsidR="00317CC6" w:rsidRPr="007205F8" w:rsidRDefault="00317CC6" w:rsidP="00317CC6">
      <w:pPr>
        <w:pStyle w:val="Heading1"/>
        <w:rPr>
          <w:lang w:val="fr-FR"/>
        </w:rPr>
      </w:pPr>
      <w:r w:rsidRPr="007205F8">
        <w:rPr>
          <w:lang w:val="fr-FR"/>
        </w:rPr>
        <w:t>Dans une publication parue en 2019, le Groupe de la Banque mondiale fait état de l’équilibre économique précaire de l’Argentine.</w:t>
      </w:r>
      <w:r w:rsidRPr="007205F8">
        <w:rPr>
          <w:rStyle w:val="FootnoteReference"/>
          <w:lang w:val="fr-FR"/>
        </w:rPr>
        <w:footnoteReference w:id="6"/>
      </w:r>
      <w:r w:rsidRPr="007205F8">
        <w:rPr>
          <w:lang w:val="fr-FR"/>
        </w:rPr>
        <w:t xml:space="preserve"> En 2019, l’ARS a subi une dévaluation significative, l’inflation </w:t>
      </w:r>
      <w:r w:rsidRPr="007205F8">
        <w:rPr>
          <w:lang w:val="fr-FR"/>
        </w:rPr>
        <w:lastRenderedPageBreak/>
        <w:t>annuelle était de 54 pour cent, et le produit intérieur brut (PIB) qui avait baissé de 2,5 pour cent en 2018, subissait une nouvelle baisse de 2,5 pour cent au cours du premier semestre 2019. À partir du 1</w:t>
      </w:r>
      <w:r w:rsidRPr="007205F8">
        <w:rPr>
          <w:vertAlign w:val="superscript"/>
          <w:lang w:val="fr-FR"/>
        </w:rPr>
        <w:t>er</w:t>
      </w:r>
      <w:r w:rsidRPr="007205F8">
        <w:rPr>
          <w:lang w:val="fr-FR"/>
        </w:rPr>
        <w:t xml:space="preserve"> mai 2020, le peso argentin a perdu 60 pour cent de sa valeur par rapport au taux de change moyen de 2018 (figure 1), alors que le taux d’inflation a baissé et atteint 50 pour cent en février 2020.</w:t>
      </w:r>
    </w:p>
    <w:p w14:paraId="59EDB187" w14:textId="77777777" w:rsidR="00317CC6" w:rsidRPr="007205F8" w:rsidRDefault="00317CC6" w:rsidP="00317CC6">
      <w:pPr>
        <w:pStyle w:val="Heading1"/>
        <w:numPr>
          <w:ilvl w:val="0"/>
          <w:numId w:val="0"/>
        </w:numPr>
        <w:jc w:val="center"/>
        <w:rPr>
          <w:b/>
          <w:lang w:val="fr-FR"/>
        </w:rPr>
      </w:pPr>
    </w:p>
    <w:p w14:paraId="0EC05FA3" w14:textId="77777777" w:rsidR="00317CC6" w:rsidRPr="007205F8" w:rsidRDefault="00317CC6" w:rsidP="00317CC6">
      <w:pPr>
        <w:pStyle w:val="Heading1"/>
        <w:numPr>
          <w:ilvl w:val="0"/>
          <w:numId w:val="0"/>
        </w:numPr>
        <w:jc w:val="center"/>
        <w:rPr>
          <w:b/>
          <w:lang w:val="fr-FR"/>
        </w:rPr>
      </w:pPr>
      <w:r w:rsidRPr="007205F8">
        <w:rPr>
          <w:b/>
          <w:lang w:val="fr-FR"/>
        </w:rPr>
        <w:t>Figure 1. Taux de change : peso argentin en dollar US ($ US)</w:t>
      </w:r>
    </w:p>
    <w:p w14:paraId="0521B0A8" w14:textId="77777777" w:rsidR="00317CC6" w:rsidRPr="007205F8" w:rsidRDefault="00317CC6" w:rsidP="00317CC6">
      <w:pPr>
        <w:jc w:val="center"/>
        <w:rPr>
          <w:lang w:val="fr-FR"/>
        </w:rPr>
      </w:pPr>
      <w:r w:rsidRPr="007205F8">
        <w:rPr>
          <w:noProof/>
          <w:lang w:val="en-US"/>
        </w:rPr>
        <w:drawing>
          <wp:inline distT="0" distB="0" distL="0" distR="0" wp14:anchorId="292CE94A" wp14:editId="3AFE73C8">
            <wp:extent cx="4000086" cy="3236181"/>
            <wp:effectExtent l="0" t="0" r="635" b="25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882D899" w14:textId="77777777" w:rsidR="00317CC6" w:rsidRPr="007205F8" w:rsidRDefault="00317CC6" w:rsidP="00317CC6">
      <w:pPr>
        <w:rPr>
          <w:lang w:val="fr-FR"/>
        </w:rPr>
      </w:pPr>
    </w:p>
    <w:p w14:paraId="3E996F28" w14:textId="77777777" w:rsidR="00317CC6" w:rsidRPr="007205F8" w:rsidRDefault="00317CC6" w:rsidP="00317CC6">
      <w:pPr>
        <w:pStyle w:val="StyleHeading1Para1Heading1CharHeading1Char3CharHeadin"/>
        <w:numPr>
          <w:ilvl w:val="0"/>
          <w:numId w:val="1"/>
        </w:numPr>
        <w:tabs>
          <w:tab w:val="clear" w:pos="0"/>
        </w:tabs>
        <w:rPr>
          <w:lang w:val="fr-FR"/>
        </w:rPr>
      </w:pPr>
      <w:r w:rsidRPr="007205F8">
        <w:rPr>
          <w:lang w:val="fr-FR"/>
        </w:rPr>
        <w:t>À la lumière de la situation économique prévalant dans le pays, le ministre de la justice et des droits de l’homme a pris, le 13 décembre 2019, un décret portant sur une urgence publique relevant du domaine professionnel,</w:t>
      </w:r>
      <w:r w:rsidRPr="007205F8">
        <w:rPr>
          <w:rStyle w:val="FootnoteReference"/>
          <w:lang w:val="fr-FR"/>
        </w:rPr>
        <w:footnoteReference w:id="7"/>
      </w:r>
      <w:r w:rsidRPr="007205F8">
        <w:rPr>
          <w:lang w:val="fr-FR"/>
        </w:rPr>
        <w:t xml:space="preserve"> en vertu duquel les travailleurs qui sont licenciés sans motif valable auront le droit de percevoir le double de l’indemnité correspondante conformément à la législation vigueur; le décret était rendu pour une période de 180 jours.</w:t>
      </w:r>
    </w:p>
    <w:p w14:paraId="751948C5" w14:textId="6B380378" w:rsidR="00317CC6" w:rsidRPr="007205F8" w:rsidRDefault="00317CC6" w:rsidP="0006771D">
      <w:pPr>
        <w:pStyle w:val="StyleHeading1Para1Heading1CharHeading1Char3CharHeadin"/>
        <w:numPr>
          <w:ilvl w:val="0"/>
          <w:numId w:val="1"/>
        </w:numPr>
        <w:tabs>
          <w:tab w:val="clear" w:pos="0"/>
        </w:tabs>
        <w:rPr>
          <w:lang w:val="fr-FR"/>
        </w:rPr>
      </w:pPr>
      <w:r w:rsidRPr="007205F8">
        <w:rPr>
          <w:lang w:val="fr-FR"/>
        </w:rPr>
        <w:t>D’après les informations provenant de la Banque centrale de la République d’Argentine, le taux d’intérêt nominal annuel pour les prêts du secteur privé en monnaie nationale (c’est-à-dire le taux d’intérêt qu’une entreprise peut s’attendre à payer pour un prêt) variait entre 60,7 et 84,7 pour cent en 2019, avec un taux moyen de 70,9 pour cent; ce taux d'intérêt nominal a baissé à 53,1 pour cent en février 2020. Le taux d'intérêt des dépôts (c’est-à-dire le taux de rendement qu’une entreprise peut s’attendre à percevoir en déposant de l’argent) en 2019 variait entre 34,6 et 59,5 pour cent, avec un taux moyen de 47,6 pour cent; le taux le plus récent (30 décembre 2019) était de 38,1 pour cent.</w:t>
      </w:r>
    </w:p>
    <w:p w14:paraId="75B9DB4A" w14:textId="16EF722A" w:rsidR="00317CC6" w:rsidRPr="007205F8" w:rsidRDefault="00317CC6" w:rsidP="0006771D">
      <w:pPr>
        <w:keepNext/>
        <w:keepLines/>
        <w:spacing w:after="240"/>
        <w:rPr>
          <w:u w:val="single"/>
          <w:lang w:val="fr-FR"/>
        </w:rPr>
      </w:pPr>
      <w:r w:rsidRPr="007205F8">
        <w:rPr>
          <w:u w:val="single"/>
          <w:lang w:val="fr-FR"/>
        </w:rPr>
        <w:t>Changements proposés par le gouvernement de l’Argentine à la proposition de projet présentée à la 84</w:t>
      </w:r>
      <w:r w:rsidRPr="007205F8">
        <w:rPr>
          <w:u w:val="single"/>
          <w:vertAlign w:val="superscript"/>
          <w:lang w:val="fr-FR"/>
        </w:rPr>
        <w:t>e</w:t>
      </w:r>
      <w:r w:rsidRPr="007205F8">
        <w:rPr>
          <w:u w:val="single"/>
          <w:lang w:val="fr-FR"/>
        </w:rPr>
        <w:t> réunion</w:t>
      </w:r>
    </w:p>
    <w:p w14:paraId="32CBE211" w14:textId="5D337CBA" w:rsidR="00317CC6" w:rsidRPr="007205F8" w:rsidRDefault="00317CC6" w:rsidP="0006771D">
      <w:pPr>
        <w:pStyle w:val="StyleHeading1Para1Heading1CharHeading1Char3CharHeadin"/>
        <w:numPr>
          <w:ilvl w:val="0"/>
          <w:numId w:val="1"/>
        </w:numPr>
        <w:tabs>
          <w:tab w:val="clear" w:pos="0"/>
        </w:tabs>
        <w:rPr>
          <w:lang w:val="fr-FR"/>
        </w:rPr>
      </w:pPr>
      <w:r w:rsidRPr="007205F8">
        <w:rPr>
          <w:lang w:val="fr-FR"/>
        </w:rPr>
        <w:t>Le gouvernement de l’Argentine, par le biais de l'ONUDI, a demandé que pour l’option de fermeture, l’indemnité de départ accordée aux travailleurs soit de 3 805 567 $ US (au lieu des 1 189 000 $ US demandés à la 84</w:t>
      </w:r>
      <w:r w:rsidRPr="007205F8">
        <w:rPr>
          <w:vertAlign w:val="superscript"/>
          <w:lang w:val="fr-FR"/>
        </w:rPr>
        <w:t>e</w:t>
      </w:r>
      <w:r w:rsidRPr="007205F8">
        <w:rPr>
          <w:lang w:val="fr-FR"/>
        </w:rPr>
        <w:t> réunion) sur la base des éléments suivants :</w:t>
      </w:r>
    </w:p>
    <w:p w14:paraId="03820FF2" w14:textId="3F4B4F03" w:rsidR="00441083" w:rsidRPr="007205F8" w:rsidRDefault="00317CC6">
      <w:pPr>
        <w:pStyle w:val="Heading2"/>
        <w:numPr>
          <w:ilvl w:val="1"/>
          <w:numId w:val="1"/>
        </w:numPr>
        <w:tabs>
          <w:tab w:val="clear" w:pos="0"/>
          <w:tab w:val="left" w:pos="720"/>
          <w:tab w:val="num" w:pos="1440"/>
        </w:tabs>
        <w:rPr>
          <w:lang w:val="fr-FR"/>
        </w:rPr>
      </w:pPr>
      <w:r w:rsidRPr="007205F8">
        <w:rPr>
          <w:lang w:val="fr-FR"/>
        </w:rPr>
        <w:lastRenderedPageBreak/>
        <w:t>Multiplication par deux de l’indemnité accordée aux employés conformément au décret du ministre de la justice et des droits de l’homme actuellement en vigueur;</w:t>
      </w:r>
    </w:p>
    <w:p w14:paraId="2FAA5856" w14:textId="7D66D8CE" w:rsidR="00441083" w:rsidRPr="007205F8" w:rsidRDefault="00317CC6">
      <w:pPr>
        <w:pStyle w:val="Heading2"/>
        <w:numPr>
          <w:ilvl w:val="1"/>
          <w:numId w:val="1"/>
        </w:numPr>
        <w:tabs>
          <w:tab w:val="clear" w:pos="0"/>
          <w:tab w:val="left" w:pos="720"/>
          <w:tab w:val="num" w:pos="1440"/>
        </w:tabs>
        <w:rPr>
          <w:lang w:val="fr-FR"/>
        </w:rPr>
      </w:pPr>
      <w:r w:rsidRPr="007205F8">
        <w:rPr>
          <w:lang w:val="fr-FR"/>
        </w:rPr>
        <w:t>Mise à jour des salaires des travailleurs reflétant la hausse des rémunérations et le nombre d'années pendant lesquelles chaque travailleur a été employé par FIASA, deux facteurs qui sont utilisés pour déterminer l’indemnité de départ admissible;</w:t>
      </w:r>
    </w:p>
    <w:p w14:paraId="05005437" w14:textId="77777777" w:rsidR="00317CC6" w:rsidRPr="007205F8" w:rsidRDefault="00317CC6" w:rsidP="00317CC6">
      <w:pPr>
        <w:pStyle w:val="Heading2"/>
        <w:numPr>
          <w:ilvl w:val="1"/>
          <w:numId w:val="1"/>
        </w:numPr>
        <w:tabs>
          <w:tab w:val="clear" w:pos="0"/>
          <w:tab w:val="left" w:pos="720"/>
          <w:tab w:val="num" w:pos="1440"/>
        </w:tabs>
        <w:rPr>
          <w:lang w:val="fr-FR"/>
        </w:rPr>
      </w:pPr>
      <w:r w:rsidRPr="007205F8">
        <w:rPr>
          <w:lang w:val="fr-FR"/>
        </w:rPr>
        <w:t>Taux de change de 65 peso argentin pour un dollar US; et</w:t>
      </w:r>
    </w:p>
    <w:p w14:paraId="6CBDCCA6" w14:textId="2B1CA215" w:rsidR="00317CC6" w:rsidRPr="007205F8" w:rsidRDefault="00317CC6" w:rsidP="00317CC6">
      <w:pPr>
        <w:pStyle w:val="Heading2"/>
        <w:numPr>
          <w:ilvl w:val="1"/>
          <w:numId w:val="1"/>
        </w:numPr>
        <w:tabs>
          <w:tab w:val="clear" w:pos="0"/>
          <w:tab w:val="left" w:pos="720"/>
          <w:tab w:val="num" w:pos="1440"/>
        </w:tabs>
        <w:rPr>
          <w:lang w:val="fr-FR"/>
        </w:rPr>
      </w:pPr>
      <w:r w:rsidRPr="007205F8">
        <w:rPr>
          <w:lang w:val="fr-FR"/>
        </w:rPr>
        <w:t>Indemnisation de 65 employés au lieu des 48 mentionnés dans la proposition de projet présentée à la 84</w:t>
      </w:r>
      <w:r w:rsidRPr="007205F8">
        <w:rPr>
          <w:vertAlign w:val="superscript"/>
          <w:lang w:val="fr-FR"/>
        </w:rPr>
        <w:t>e</w:t>
      </w:r>
      <w:r w:rsidRPr="007205F8">
        <w:rPr>
          <w:lang w:val="fr-FR"/>
        </w:rPr>
        <w:t> réunion, le transfert de 20 employés n’étant plus possible, et trois employés ayant par ailleurs quitté l’usine FIASA.</w:t>
      </w:r>
    </w:p>
    <w:p w14:paraId="230946A9" w14:textId="4598A905" w:rsidR="00317CC6" w:rsidRPr="007205F8" w:rsidRDefault="00317CC6" w:rsidP="00317CC6">
      <w:pPr>
        <w:pStyle w:val="StyleHeading1Para1Heading1CharHeading1Char3CharHeadin"/>
        <w:numPr>
          <w:ilvl w:val="0"/>
          <w:numId w:val="1"/>
        </w:numPr>
        <w:tabs>
          <w:tab w:val="clear" w:pos="0"/>
        </w:tabs>
        <w:rPr>
          <w:lang w:val="fr-FR"/>
        </w:rPr>
      </w:pPr>
      <w:r w:rsidRPr="007205F8">
        <w:rPr>
          <w:lang w:val="fr-FR"/>
        </w:rPr>
        <w:t>L’ONUDI a également expliqué que le gouvernement ne peut pas obliger l’usine FIASA à fermer la chaîne de production de HCFC-22; une fermeture serait basée sur un contrat d’indemnisation avec FIASA.</w:t>
      </w:r>
    </w:p>
    <w:p w14:paraId="08BAAB5D" w14:textId="7F30FE47" w:rsidR="00317CC6" w:rsidRPr="007205F8" w:rsidRDefault="00317CC6" w:rsidP="00317CC6">
      <w:pPr>
        <w:rPr>
          <w:lang w:val="fr-FR"/>
        </w:rPr>
      </w:pPr>
      <w:r w:rsidRPr="007205F8">
        <w:rPr>
          <w:b/>
          <w:lang w:val="fr-FR"/>
        </w:rPr>
        <w:t>Analyse approfondie basée sur les informations complémentaires</w:t>
      </w:r>
    </w:p>
    <w:p w14:paraId="7C4CCDF2" w14:textId="77777777" w:rsidR="00317CC6" w:rsidRPr="007205F8" w:rsidRDefault="00317CC6" w:rsidP="00317CC6">
      <w:pPr>
        <w:rPr>
          <w:lang w:val="fr-FR"/>
        </w:rPr>
      </w:pPr>
    </w:p>
    <w:p w14:paraId="6F8F469C" w14:textId="77777777" w:rsidR="00317CC6" w:rsidRPr="007205F8" w:rsidRDefault="00317CC6" w:rsidP="00317CC6">
      <w:pPr>
        <w:pStyle w:val="StyleHeading1Para1Heading1CharHeading1Char3CharHeadin"/>
        <w:numPr>
          <w:ilvl w:val="0"/>
          <w:numId w:val="1"/>
        </w:numPr>
        <w:tabs>
          <w:tab w:val="clear" w:pos="0"/>
        </w:tabs>
        <w:rPr>
          <w:lang w:val="fr-FR"/>
        </w:rPr>
      </w:pPr>
      <w:r w:rsidRPr="007205F8">
        <w:rPr>
          <w:lang w:val="fr-FR"/>
        </w:rPr>
        <w:t>Les informations complémentaires ont permis au Secrétariat d’entreprendre une analyse approfondie de la fermeture de l’installation de production de HCFC-22 (option 1) et du redémarrage de l’incinérateur pour la poursuite de la production de HCFC-22 (option 2). Aucune information nouvelle n’a été apportée pour démontrer un quelconque changement des contraintes réglementaires qui empêchent l'option de destruction hors site; l’analyse de cette option n’a donc pas été mise à jour par le Secrétariat.</w:t>
      </w:r>
    </w:p>
    <w:p w14:paraId="6694CE6C" w14:textId="0AAEB803" w:rsidR="00317CC6" w:rsidRPr="007205F8" w:rsidRDefault="00F27841" w:rsidP="00317CC6">
      <w:pPr>
        <w:rPr>
          <w:u w:val="single"/>
          <w:lang w:val="fr-FR"/>
        </w:rPr>
      </w:pPr>
      <w:r w:rsidRPr="007205F8">
        <w:rPr>
          <w:u w:val="single"/>
          <w:lang w:val="fr-FR"/>
        </w:rPr>
        <w:t>Analyse approfondie de l’option 1 : fermeture de l’installation de production de HCFC-22 à FIASA</w:t>
      </w:r>
    </w:p>
    <w:p w14:paraId="75D0CEA5" w14:textId="77777777" w:rsidR="00317CC6" w:rsidRPr="007205F8" w:rsidRDefault="00317CC6" w:rsidP="00317CC6">
      <w:pPr>
        <w:rPr>
          <w:u w:val="single"/>
          <w:lang w:val="fr-FR"/>
        </w:rPr>
      </w:pPr>
    </w:p>
    <w:p w14:paraId="56965D09" w14:textId="2D21484B" w:rsidR="00317CC6" w:rsidRPr="007205F8" w:rsidRDefault="00F27841" w:rsidP="00317CC6">
      <w:pPr>
        <w:pStyle w:val="StyleHeading1Para1Heading1CharHeading1Char3CharHeadin"/>
        <w:numPr>
          <w:ilvl w:val="0"/>
          <w:numId w:val="1"/>
        </w:numPr>
        <w:tabs>
          <w:tab w:val="clear" w:pos="0"/>
        </w:tabs>
        <w:rPr>
          <w:lang w:val="fr-FR"/>
        </w:rPr>
      </w:pPr>
      <w:r w:rsidRPr="007205F8">
        <w:rPr>
          <w:lang w:val="fr-FR"/>
        </w:rPr>
        <w:t>Les propositions de projet présentées aux 83</w:t>
      </w:r>
      <w:r w:rsidRPr="007205F8">
        <w:rPr>
          <w:vertAlign w:val="superscript"/>
          <w:lang w:val="fr-FR"/>
        </w:rPr>
        <w:t>e</w:t>
      </w:r>
      <w:r w:rsidRPr="007205F8">
        <w:rPr>
          <w:lang w:val="fr-FR"/>
        </w:rPr>
        <w:t xml:space="preserve"> et 84</w:t>
      </w:r>
      <w:r w:rsidRPr="007205F8">
        <w:rPr>
          <w:vertAlign w:val="superscript"/>
          <w:lang w:val="fr-FR"/>
        </w:rPr>
        <w:t>e</w:t>
      </w:r>
      <w:r w:rsidRPr="007205F8">
        <w:rPr>
          <w:lang w:val="fr-FR"/>
        </w:rPr>
        <w:t> réunions ont examiné deux modèles pour estimer les pertes de profits associées à la fermeture de l’usine FIASA : le modèle basé sur l’audit technique réalisé par un consultant indépendant, et le modèle élaboré par l'ONUDI</w:t>
      </w:r>
      <w:r w:rsidRPr="007205F8">
        <w:rPr>
          <w:rStyle w:val="FootnoteReference"/>
          <w:lang w:val="fr-FR"/>
        </w:rPr>
        <w:footnoteReference w:id="8"/>
      </w:r>
      <w:r w:rsidRPr="007205F8">
        <w:rPr>
          <w:lang w:val="fr-FR"/>
        </w:rPr>
        <w:t xml:space="preserve"> et approuvé par le gouvernement.</w:t>
      </w:r>
    </w:p>
    <w:p w14:paraId="6E44F153" w14:textId="77777777"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Mais dans la situation économique actuelle prévalant dans le pays, les deux modèles ne reflètent plus réellement l’économie de production de l’usine. Par conséquent, le Secrétariat a entrepris un examen détaillé de la viabilité financière de FIASA en utilisant le modèle élaboré par l'ONUDI, avec les modifications suivantes :</w:t>
      </w:r>
    </w:p>
    <w:p w14:paraId="65EAFD94" w14:textId="338B5EC5"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Maintien des ventes 2019</w:t>
      </w:r>
      <w:r w:rsidRPr="007205F8">
        <w:rPr>
          <w:rStyle w:val="FootnoteReference"/>
          <w:lang w:val="fr-FR"/>
        </w:rPr>
        <w:footnoteReference w:id="9"/>
      </w:r>
      <w:r w:rsidRPr="007205F8">
        <w:rPr>
          <w:lang w:val="fr-FR"/>
        </w:rPr>
        <w:t xml:space="preserve"> du HCFC-22 jusqu’en 2024 puis ventes de 1 300 tm/an entre 2025 et 2029, au lieu de ce qui était proposé par l'ONUDI, à savoir une hausse des ventes de 2 000 à 2 600 tm/an entre 2020 et 2024, et ventes de 1 300 tm/an entre 2025 et 2029;</w:t>
      </w:r>
    </w:p>
    <w:p w14:paraId="030EFD7F" w14:textId="3323994A"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Prix du chloroforme et du fluorure d'hydrogène anhydre (AHF) (achetés sur le marché international) comme soumis par l'ONUDI, alors que le prix de toutes les autres matières premières, à coûts variables et fixes (par exemple main d'œuvre, électricité, gaz naturel), qui sont achetées localement, ont baissé de 18 pour cent, par rapport au prix soumis par l'ONUDI, en se basant sur le taux de change moyen de 2019 et une année d’inflation; on part du principe que tous les prix après 2019 restent constants tout au long du projet;</w:t>
      </w:r>
    </w:p>
    <w:p w14:paraId="711FA5BC" w14:textId="46967597"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lastRenderedPageBreak/>
        <w:t>Maintien du prix moyen de 2019</w:t>
      </w:r>
      <w:r w:rsidRPr="007205F8">
        <w:rPr>
          <w:rStyle w:val="FootnoteReference"/>
          <w:lang w:val="fr-FR"/>
        </w:rPr>
        <w:footnoteReference w:id="10"/>
      </w:r>
      <w:r w:rsidRPr="007205F8">
        <w:rPr>
          <w:lang w:val="fr-FR"/>
        </w:rPr>
        <w:t xml:space="preserve"> du HCFC-22 tout au long du projet (conforme à la pratique utilisée par le sous-groupe du secteur de la production), au lieu d’une hausse du prix du HCFC</w:t>
      </w:r>
      <w:r w:rsidRPr="007205F8">
        <w:rPr>
          <w:lang w:val="fr-FR"/>
        </w:rPr>
        <w:noBreakHyphen/>
        <w:t>22 présentée par l'ONUDI;</w:t>
      </w:r>
    </w:p>
    <w:p w14:paraId="0E0D4CF4" w14:textId="77777777"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Calcul de la valeur actuelle nette (VAN) des pertes de profits, en se basant sur le dernier taux d'intérêt des dépôts en Argentine de 38,1 pour cent, au lieu d’un taux d’actualisation de 10 pour cent utilisé par l'ONUDI;</w:t>
      </w:r>
      <w:r w:rsidRPr="007205F8">
        <w:rPr>
          <w:rStyle w:val="FootnoteReference"/>
          <w:lang w:val="fr-FR"/>
        </w:rPr>
        <w:footnoteReference w:id="11"/>
      </w:r>
      <w:r w:rsidRPr="007205F8">
        <w:rPr>
          <w:lang w:val="fr-FR"/>
        </w:rPr>
        <w:t xml:space="preserve"> et</w:t>
      </w:r>
    </w:p>
    <w:p w14:paraId="6C7B07B9" w14:textId="69987D47" w:rsidR="00F27841" w:rsidRPr="007205F8" w:rsidRDefault="00F27841" w:rsidP="0006771D">
      <w:pPr>
        <w:pStyle w:val="Heading2"/>
        <w:numPr>
          <w:ilvl w:val="1"/>
          <w:numId w:val="1"/>
        </w:numPr>
        <w:tabs>
          <w:tab w:val="clear" w:pos="0"/>
          <w:tab w:val="left" w:pos="720"/>
          <w:tab w:val="num" w:pos="1440"/>
        </w:tabs>
        <w:rPr>
          <w:lang w:val="fr-FR"/>
        </w:rPr>
      </w:pPr>
      <w:r w:rsidRPr="007205F8">
        <w:rPr>
          <w:lang w:val="fr-FR"/>
        </w:rPr>
        <w:t>Taux d'intérêt nominal moyen de 2019 pour les prêts du secteur privé de 70,9 pour cent au lieu de 7,5 pour cent utilisé par l’ONUDI.</w:t>
      </w:r>
      <w:r w:rsidRPr="007205F8">
        <w:rPr>
          <w:rStyle w:val="FootnoteReference"/>
          <w:lang w:val="fr-FR"/>
        </w:rPr>
        <w:footnoteReference w:id="12"/>
      </w:r>
    </w:p>
    <w:p w14:paraId="2B522852" w14:textId="77777777"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Compte tenu de ce qui précède, la production de HCFC-22 à FIASA n’est plus viable financièrement, avec des pertes de profits nulles à cause de la fermeture. Ce résultat était confirmé par le consultant indépendant. De nombreux facteurs participent à la baisse de la viabilité financière de l’entreprise, mais les facteurs suivants sont particulièrement importants :</w:t>
      </w:r>
    </w:p>
    <w:p w14:paraId="09E19527" w14:textId="354823F0"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L’intérêt de 70,9 pour cent sur le fonds de roulement que l’usine FIASA est tenue de payer est prohibitif. En 2019, les stocks de fin d’année de FIASA représentaient environ un quart des ventes annuelles totales de l’entreprise. Les matières premières et autres facteurs de production nécessaires pour produire le HCFC-22 sont achetés et payés d’avance, alors que les revenus tirés du produit sont retardés en attendant la vente des stocks, ce qui contribue au montant élevé du fonds de roulement de l’entreprise. Par ailleurs, le chloroforme et l’AHF doivent obligatoirement être importés dans des conteneurs pour vrac; étant donné le niveau de production relativement faible de l’entreprise, cette importation contribue à accroître encore le montant du fonds de roulement;</w:t>
      </w:r>
    </w:p>
    <w:p w14:paraId="2E23B7F6" w14:textId="5533272E"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Les informations complémentaires fournies par l'ONUDI pour la 85</w:t>
      </w:r>
      <w:r w:rsidRPr="007205F8">
        <w:rPr>
          <w:vertAlign w:val="superscript"/>
          <w:lang w:val="fr-FR"/>
        </w:rPr>
        <w:t>e</w:t>
      </w:r>
      <w:r w:rsidRPr="007205F8">
        <w:rPr>
          <w:lang w:val="fr-FR"/>
        </w:rPr>
        <w:t> réunion indiquent qu’entre juillet 2018 et février 2020 le taux d'inflation annuel des rémunérations des travailleurs à l’usine FIASA était d’environ 66 pour cent. Le modèle maintient des prix constants après 2019 et n’inclut donc pas les effets de l’inflation sur les prix futurs, qui aggraveraient encore l’économie de production du HCFC-22 de l’usine;</w:t>
      </w:r>
      <w:r w:rsidRPr="007205F8">
        <w:rPr>
          <w:rStyle w:val="FootnoteReference"/>
          <w:lang w:val="fr-FR"/>
        </w:rPr>
        <w:footnoteReference w:id="13"/>
      </w:r>
      <w:r w:rsidRPr="007205F8">
        <w:rPr>
          <w:lang w:val="fr-FR"/>
        </w:rPr>
        <w:t xml:space="preserve"> et</w:t>
      </w:r>
    </w:p>
    <w:p w14:paraId="79F060E9" w14:textId="76A6B9A6"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On part du principe que les ventes de HCFC-22 restent constantes entre 2020 et 2024, et qu’elles tombent à 1 300 tm/an entre 2025 et 2029. Cependant, comme mentionné dans l’audit technique présenté à la 83</w:t>
      </w:r>
      <w:r w:rsidRPr="007205F8">
        <w:rPr>
          <w:vertAlign w:val="superscript"/>
          <w:lang w:val="fr-FR"/>
        </w:rPr>
        <w:t>e</w:t>
      </w:r>
      <w:r w:rsidRPr="007205F8">
        <w:rPr>
          <w:lang w:val="fr-FR"/>
        </w:rPr>
        <w:t> réunion,</w:t>
      </w:r>
      <w:r w:rsidRPr="007205F8">
        <w:rPr>
          <w:rStyle w:val="FootnoteReference"/>
          <w:lang w:val="fr-FR"/>
        </w:rPr>
        <w:footnoteReference w:id="14"/>
      </w:r>
      <w:r w:rsidRPr="007205F8">
        <w:rPr>
          <w:lang w:val="fr-FR"/>
        </w:rPr>
        <w:t xml:space="preserve"> la demande en HCFC-22 est susceptible de chuter entre 2020 et 2025. Cette baisse concorde avec les activités d'élimination des HCFC qui ont été mises en œuvre dans le cadre du plan de gestion de l’élimination des HCFC (PGEH) pour l’Argentine (qui incluait la reconversion du secteur de la fabrication </w:t>
      </w:r>
      <w:r w:rsidRPr="007205F8">
        <w:rPr>
          <w:lang w:val="fr-FR"/>
        </w:rPr>
        <w:lastRenderedPageBreak/>
        <w:t>d’équipements de climatisation utilisant le HCFC-22 en 2014); l’introduction de nouveaux équipements n’utilisant pas de HCFC</w:t>
      </w:r>
      <w:r w:rsidRPr="007205F8">
        <w:rPr>
          <w:lang w:val="fr-FR"/>
        </w:rPr>
        <w:noBreakHyphen/>
        <w:t>22</w:t>
      </w:r>
      <w:r w:rsidRPr="007205F8">
        <w:rPr>
          <w:lang w:val="fr-FR"/>
        </w:rPr>
        <w:noBreakHyphen/>
        <w:t xml:space="preserve"> dans le pays; et l'augmentation du prix du HCFC</w:t>
      </w:r>
      <w:r w:rsidRPr="007205F8">
        <w:rPr>
          <w:lang w:val="fr-FR"/>
        </w:rPr>
        <w:noBreakHyphen/>
        <w:t>22 vendu par FIASA.</w:t>
      </w:r>
    </w:p>
    <w:p w14:paraId="3885A684" w14:textId="4806257E" w:rsidR="00F27841" w:rsidRPr="007205F8" w:rsidRDefault="00F27841" w:rsidP="00F27841">
      <w:pPr>
        <w:pStyle w:val="Heading2"/>
        <w:numPr>
          <w:ilvl w:val="0"/>
          <w:numId w:val="0"/>
        </w:numPr>
        <w:tabs>
          <w:tab w:val="left" w:pos="720"/>
        </w:tabs>
        <w:rPr>
          <w:lang w:val="fr-FR"/>
        </w:rPr>
      </w:pPr>
      <w:r w:rsidRPr="007205F8">
        <w:rPr>
          <w:i/>
          <w:lang w:val="fr-FR"/>
        </w:rPr>
        <w:t>Autre scénario possible si les conditions économiques sont plus stables</w:t>
      </w:r>
    </w:p>
    <w:p w14:paraId="160FB024" w14:textId="77777777"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Compte tenu de la situation économique prévalant en Argentine en 2019 et de ses effets sur la rentabilité de la production de HCFC-22 par FIASA, le Secrétariat a jugé qu’il était important d’envisager un autre scénario pour l’année 2020 dans des conditions économiques plus favorables et stables, comme suit :</w:t>
      </w:r>
    </w:p>
    <w:p w14:paraId="72E50F72" w14:textId="1EAE6BAD"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Un taux d’inflation de 37,8 pour cent et un taux d'intérêt nominal pour les prêts du secteur privé de 50,7 pour cent, en se basant sur la moyenne de chacune des valeurs pendant la période 2017-2019;</w:t>
      </w:r>
    </w:p>
    <w:p w14:paraId="588E755C" w14:textId="5E397857"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Une augmentation de 7 pour cent du prix du HCFC-22 (conformément au prix du dollar US rapporté par l'entreprise en janvier 2020) et une augmentation de 4 pour cent des ventes (en se basant sur la moyenne des ventes pendant la période 2017-2019), par rapport à 2019;</w:t>
      </w:r>
    </w:p>
    <w:p w14:paraId="0EF6CBC6" w14:textId="77777777"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Le prix du chloroforme et celui de l’AHF restent constants alors que le prix de toutes les autres matières premières et facteurs de production augmentent de 5,8 pour cent par rapport à 2019, en se basant sur le taux d'inflation de 37,8 pour cent et un taux de change de 65 ARS pour un dollar US; et</w:t>
      </w:r>
    </w:p>
    <w:p w14:paraId="16C27466" w14:textId="259E5A9E" w:rsidR="00F27841" w:rsidRPr="007205F8" w:rsidRDefault="00F27841" w:rsidP="0006771D">
      <w:pPr>
        <w:pStyle w:val="Heading2"/>
        <w:numPr>
          <w:ilvl w:val="1"/>
          <w:numId w:val="1"/>
        </w:numPr>
        <w:tabs>
          <w:tab w:val="clear" w:pos="0"/>
          <w:tab w:val="left" w:pos="720"/>
          <w:tab w:val="num" w:pos="1440"/>
        </w:tabs>
        <w:rPr>
          <w:lang w:val="fr-FR"/>
        </w:rPr>
      </w:pPr>
      <w:r w:rsidRPr="007205F8">
        <w:rPr>
          <w:lang w:val="fr-FR"/>
        </w:rPr>
        <w:t>Aucune baisse des ventes de HCFC-22 dans le temps, et aucune incidence sur la demande de HCFC-22 à cause du coronavirus (COVID-19),</w:t>
      </w:r>
      <w:r w:rsidRPr="007205F8">
        <w:rPr>
          <w:rStyle w:val="FootnoteReference"/>
          <w:lang w:val="fr-FR"/>
        </w:rPr>
        <w:footnoteReference w:id="15"/>
      </w:r>
      <w:r w:rsidRPr="007205F8">
        <w:rPr>
          <w:lang w:val="fr-FR"/>
        </w:rPr>
        <w:t xml:space="preserve"> ni sur l’économie de production de FIASA.</w:t>
      </w:r>
    </w:p>
    <w:p w14:paraId="7D21C77B" w14:textId="20BCDAD9"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Compte tenu de ce qui précède, FIASA serait viable financièrement jusqu’en 2029. Si l’usine FIASA devait fermer en août 2020, la VAN des pertes de profits entre 2020 et 2029 s'élèverait à 1 422 701 $ US.</w:t>
      </w:r>
    </w:p>
    <w:p w14:paraId="13EEC368" w14:textId="001790D7" w:rsidR="00F27841" w:rsidRPr="007205F8" w:rsidRDefault="00F27841" w:rsidP="00F27841">
      <w:pPr>
        <w:pStyle w:val="Heading2"/>
        <w:numPr>
          <w:ilvl w:val="0"/>
          <w:numId w:val="0"/>
        </w:numPr>
        <w:tabs>
          <w:tab w:val="left" w:pos="720"/>
        </w:tabs>
        <w:rPr>
          <w:lang w:val="fr-FR"/>
        </w:rPr>
      </w:pPr>
      <w:r w:rsidRPr="007205F8">
        <w:rPr>
          <w:i/>
          <w:lang w:val="fr-FR"/>
        </w:rPr>
        <w:t>Remplacement de la production de HCFC-22 par une augmentation des importations</w:t>
      </w:r>
    </w:p>
    <w:p w14:paraId="22C3162C" w14:textId="4C6697FD"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Étant donné le coût de production élevé du HCFC-22 pour FIASA, il serait plus avantageux pour l’usine d’importer le HCFC</w:t>
      </w:r>
      <w:r w:rsidRPr="007205F8">
        <w:rPr>
          <w:lang w:val="fr-FR"/>
        </w:rPr>
        <w:noBreakHyphen/>
        <w:t>22 depuis le marché international que de le produire au niveau national. Cependant, d’après le gouvernement de l’Argentine, il n’est pas possible pour une entreprise de remplacer des quotas de production par des quotas d’importation, cette option n’est donc pas envisageable pour FIASA. Comme mentionné dans le document UNEP/OzL.Pro/ExCom/85/63, le Comité exécutif pourrait souhaiter étudier dans quelle mesure la rentabilité d’une chaîne de production de HCFC-22 devrait dépendre du prix du marché local par rapport au prix du marché international.</w:t>
      </w:r>
    </w:p>
    <w:p w14:paraId="31366A94" w14:textId="02C05DDC" w:rsidR="00F27841" w:rsidRPr="007205F8" w:rsidRDefault="00F27841" w:rsidP="00F27841">
      <w:pPr>
        <w:pStyle w:val="Heading2"/>
        <w:numPr>
          <w:ilvl w:val="0"/>
          <w:numId w:val="0"/>
        </w:numPr>
        <w:tabs>
          <w:tab w:val="left" w:pos="720"/>
        </w:tabs>
        <w:rPr>
          <w:lang w:val="fr-FR"/>
        </w:rPr>
      </w:pPr>
      <w:r w:rsidRPr="007205F8">
        <w:rPr>
          <w:i/>
          <w:lang w:val="fr-FR"/>
        </w:rPr>
        <w:t>Indemnité de départ pour les travailleurs</w:t>
      </w:r>
    </w:p>
    <w:p w14:paraId="0FA38C61" w14:textId="33ED2F7C"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La proposition de projet présentée à la 85</w:t>
      </w:r>
      <w:r w:rsidRPr="007205F8">
        <w:rPr>
          <w:vertAlign w:val="superscript"/>
          <w:lang w:val="fr-FR"/>
        </w:rPr>
        <w:t>e</w:t>
      </w:r>
      <w:r w:rsidRPr="007205F8">
        <w:rPr>
          <w:lang w:val="fr-FR"/>
        </w:rPr>
        <w:t> réunion inclut une demande d'indemnité de départ pour 65 employés. Cependant, les données préliminaires soumises par le gouvernement d’Argentine à la 80</w:t>
      </w:r>
      <w:r w:rsidRPr="007205F8">
        <w:rPr>
          <w:vertAlign w:val="superscript"/>
          <w:lang w:val="fr-FR"/>
        </w:rPr>
        <w:t>e</w:t>
      </w:r>
      <w:r w:rsidRPr="007205F8">
        <w:rPr>
          <w:lang w:val="fr-FR"/>
        </w:rPr>
        <w:t> réunion</w:t>
      </w:r>
      <w:r w:rsidRPr="007205F8">
        <w:rPr>
          <w:rStyle w:val="FootnoteReference"/>
          <w:lang w:val="fr-FR"/>
        </w:rPr>
        <w:footnoteReference w:id="16"/>
      </w:r>
      <w:r w:rsidRPr="007205F8">
        <w:rPr>
          <w:lang w:val="fr-FR"/>
        </w:rPr>
        <w:t xml:space="preserve"> indiquaient que l’usine FIASA employait entre 33 et 37 travailleurs sur sa chaîne de production du HCFC-22; les données fournies par l’entreprise à la 82</w:t>
      </w:r>
      <w:r w:rsidRPr="007205F8">
        <w:rPr>
          <w:vertAlign w:val="superscript"/>
          <w:lang w:val="fr-FR"/>
        </w:rPr>
        <w:t>e</w:t>
      </w:r>
      <w:r w:rsidRPr="007205F8">
        <w:rPr>
          <w:lang w:val="fr-FR"/>
        </w:rPr>
        <w:t> réunion mentionnaient 29 travailleurs; et les données fournies par l'ONUDI à la 84</w:t>
      </w:r>
      <w:r w:rsidRPr="007205F8">
        <w:rPr>
          <w:vertAlign w:val="superscript"/>
          <w:lang w:val="fr-FR"/>
        </w:rPr>
        <w:t>e</w:t>
      </w:r>
      <w:r w:rsidRPr="007205F8">
        <w:rPr>
          <w:lang w:val="fr-FR"/>
        </w:rPr>
        <w:t xml:space="preserve"> réunion faisaient état de 48 travailleurs. Le </w:t>
      </w:r>
      <w:r w:rsidRPr="007205F8">
        <w:rPr>
          <w:lang w:val="fr-FR"/>
        </w:rPr>
        <w:lastRenderedPageBreak/>
        <w:t>modèle de l'ONUDI, que le Secrétariat a utilisé à la 85</w:t>
      </w:r>
      <w:r w:rsidRPr="007205F8">
        <w:rPr>
          <w:vertAlign w:val="superscript"/>
          <w:lang w:val="fr-FR"/>
        </w:rPr>
        <w:t>e</w:t>
      </w:r>
      <w:r w:rsidRPr="007205F8">
        <w:rPr>
          <w:lang w:val="fr-FR"/>
        </w:rPr>
        <w:t> réunion pour estimer les pertes de profits, n’a pas tenu compte d’un effectif de 65 employés pour le coût de la main d'œuvre; si tel avait été le cas, les pertes de profits seraient inférieures.</w:t>
      </w:r>
    </w:p>
    <w:p w14:paraId="36DDFC38" w14:textId="74E8F03E" w:rsidR="00F27841" w:rsidRPr="007205F8" w:rsidRDefault="00F27841" w:rsidP="0006771D">
      <w:pPr>
        <w:pStyle w:val="StyleHeading1Para1Heading1CharHeading1Char3CharHeadin"/>
        <w:numPr>
          <w:ilvl w:val="0"/>
          <w:numId w:val="1"/>
        </w:numPr>
        <w:tabs>
          <w:tab w:val="clear" w:pos="0"/>
        </w:tabs>
        <w:rPr>
          <w:lang w:val="fr-FR"/>
        </w:rPr>
      </w:pPr>
      <w:r w:rsidRPr="007205F8">
        <w:rPr>
          <w:lang w:val="fr-FR"/>
        </w:rPr>
        <w:t>Le Secrétariat a par ailleurs noté que l’entreprise avait diversifié ses activités en commercialisant d’autres gaz réfrigérants (importation de HFC-125 et HFC-32 pour le mélange sur place du R-410A; et importation de HFC-134a et R-404A pour la vente); en installant une usine de production d’acide nitrique; et en distribuant ces produits avec sa propre flotte de transport. En cas de fermeture, une indemnité de départ sera accordée aux employés travaillant sur la chaîne de production de HCFC-22 de FIASA, les employés travaillant sur une autre chaîne de production ne percevront pas cette indemnité. En 2018, la chaîne de production de HCFC-22 de FIASA a fonctionné pendant moins de la moitié de l’année; l’ONUDI a signalé que les employés peuvent participer à l’activité de l’usine de fabrication d’acide nitrique ou assurer l’entretien sur site lorsque la chaîne de production de HCFC-22 n’est pas en service.</w:t>
      </w:r>
    </w:p>
    <w:p w14:paraId="6BCAA2C1" w14:textId="2BE5FDEF"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Après une étude plus approfondie du développement des activités commerciales de l’usine FIASA et de l’éligibilité à l’indemnisation des travailleurs associés à la production de HCFC-22, le Secrétariat a considéré que les 48 travailleurs identifiés par l'ONUDI à la 84</w:t>
      </w:r>
      <w:r w:rsidRPr="007205F8">
        <w:rPr>
          <w:vertAlign w:val="superscript"/>
          <w:lang w:val="fr-FR"/>
        </w:rPr>
        <w:t>e</w:t>
      </w:r>
      <w:r w:rsidRPr="007205F8">
        <w:rPr>
          <w:lang w:val="fr-FR"/>
        </w:rPr>
        <w:t> réunion représentent l’effectif travaillant principalement dans la production de HCFC-22. Au moment de la finalisation du présent document, le décret du ministre de la justice et des droits de l’homme en vertu duquel les travailleurs qui sont licenciés sans motif valable ont le droit de percevoir le double de l’indemnité correspondante était toujours en vigueur. À partir de là, l’indemnité de départ pour les 48 travailleurs devrait s’élever à 2 122 816 $ US.</w:t>
      </w:r>
      <w:r w:rsidRPr="007205F8">
        <w:rPr>
          <w:rStyle w:val="FootnoteReference"/>
          <w:lang w:val="fr-FR"/>
        </w:rPr>
        <w:footnoteReference w:id="17"/>
      </w:r>
      <w:r w:rsidRPr="007205F8">
        <w:rPr>
          <w:lang w:val="fr-FR"/>
        </w:rPr>
        <w:t xml:space="preserve"> Cependant, le Secrétariat signale que les termes actuels du décret prennent fin le 10 juin 2020, avant la 85</w:t>
      </w:r>
      <w:r w:rsidRPr="007205F8">
        <w:rPr>
          <w:vertAlign w:val="superscript"/>
          <w:lang w:val="fr-FR"/>
        </w:rPr>
        <w:t>e</w:t>
      </w:r>
      <w:r w:rsidRPr="007205F8">
        <w:rPr>
          <w:lang w:val="fr-FR"/>
        </w:rPr>
        <w:t> réunion; si le décret n’est pas renouvelé, l'indemnité de départ accordée aux 48 travailleurs s’élèverait à 1 146 989 $ US. Le Secrétariat fera le point sur ce sujet pendant la 85</w:t>
      </w:r>
      <w:r w:rsidRPr="007205F8">
        <w:rPr>
          <w:vertAlign w:val="superscript"/>
          <w:lang w:val="fr-FR"/>
        </w:rPr>
        <w:t>e</w:t>
      </w:r>
      <w:r w:rsidRPr="007205F8">
        <w:rPr>
          <w:lang w:val="fr-FR"/>
        </w:rPr>
        <w:t> </w:t>
      </w:r>
      <w:r w:rsidR="007205F8" w:rsidRPr="007205F8">
        <w:rPr>
          <w:lang w:val="fr-FR"/>
        </w:rPr>
        <w:t>réunion</w:t>
      </w:r>
      <w:r w:rsidRPr="007205F8">
        <w:rPr>
          <w:lang w:val="fr-FR"/>
        </w:rPr>
        <w:t>.</w:t>
      </w:r>
    </w:p>
    <w:p w14:paraId="57D2B53B" w14:textId="5A69D862" w:rsidR="00F27841" w:rsidRPr="007205F8" w:rsidRDefault="00F27841" w:rsidP="00F27841">
      <w:pPr>
        <w:pStyle w:val="Heading2"/>
        <w:numPr>
          <w:ilvl w:val="0"/>
          <w:numId w:val="0"/>
        </w:numPr>
        <w:tabs>
          <w:tab w:val="left" w:pos="720"/>
        </w:tabs>
        <w:rPr>
          <w:lang w:val="fr-FR"/>
        </w:rPr>
      </w:pPr>
      <w:r w:rsidRPr="007205F8">
        <w:rPr>
          <w:i/>
          <w:lang w:val="fr-FR"/>
        </w:rPr>
        <w:t>Restitution des fonds associés à la vérification de la production de HCFC-22</w:t>
      </w:r>
    </w:p>
    <w:p w14:paraId="68915320" w14:textId="77777777"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À sa 84</w:t>
      </w:r>
      <w:r w:rsidRPr="007205F8">
        <w:rPr>
          <w:vertAlign w:val="superscript"/>
          <w:lang w:val="fr-FR"/>
        </w:rPr>
        <w:t>e</w:t>
      </w:r>
      <w:r w:rsidRPr="007205F8">
        <w:rPr>
          <w:lang w:val="fr-FR"/>
        </w:rPr>
        <w:t> réunion, le Comité exécutif a approuvé la deuxième tranche de la phase II du PGEH pour l’Argentine (décision 84/64). La phase II incluait un montant de 8 333$ US/an pour le suivi annuel de la production et des stocks de HCFC-22, et la vérification sur place par des experts (pour un montant total de 50 000 $ US). Si le Comité exécutif venait à choisir l’option 1, le Comité exécutif pourrait souhaiter envisager de demander à l'ONUDI de restituer à la 86</w:t>
      </w:r>
      <w:r w:rsidRPr="007205F8">
        <w:rPr>
          <w:vertAlign w:val="superscript"/>
          <w:lang w:val="fr-FR"/>
        </w:rPr>
        <w:t>e</w:t>
      </w:r>
      <w:r w:rsidRPr="007205F8">
        <w:rPr>
          <w:lang w:val="fr-FR"/>
        </w:rPr>
        <w:t> réunion la somme de 16 667 $ US, plus les coûts d'appui d'agence de 1 167 $ US, associés au suivi de la production pour l’année 2021 et 2022.</w:t>
      </w:r>
    </w:p>
    <w:p w14:paraId="2A2ED2FC" w14:textId="326BBD0C" w:rsidR="00F27841" w:rsidRPr="007205F8" w:rsidRDefault="00F27841" w:rsidP="00F27841">
      <w:pPr>
        <w:rPr>
          <w:u w:val="single"/>
          <w:lang w:val="fr-FR"/>
        </w:rPr>
      </w:pPr>
      <w:r w:rsidRPr="007205F8">
        <w:rPr>
          <w:u w:val="single"/>
          <w:lang w:val="fr-FR"/>
        </w:rPr>
        <w:t>Option 2 : Redémarrage de l’incinérateur et poursuite de la production de HCFC-22</w:t>
      </w:r>
    </w:p>
    <w:p w14:paraId="6160D7A6" w14:textId="77777777" w:rsidR="00F27841" w:rsidRPr="007205F8" w:rsidRDefault="00F27841" w:rsidP="00F27841">
      <w:pPr>
        <w:rPr>
          <w:lang w:val="fr-FR"/>
        </w:rPr>
      </w:pPr>
    </w:p>
    <w:p w14:paraId="4DDA84ED" w14:textId="77777777" w:rsidR="00F27841" w:rsidRPr="007205F8" w:rsidRDefault="00F27841" w:rsidP="00F27841">
      <w:pPr>
        <w:pStyle w:val="StyleHeading1Para1Heading1CharHeading1Char3CharHeadin"/>
        <w:numPr>
          <w:ilvl w:val="0"/>
          <w:numId w:val="1"/>
        </w:numPr>
        <w:tabs>
          <w:tab w:val="clear" w:pos="0"/>
        </w:tabs>
        <w:rPr>
          <w:lang w:val="fr-FR"/>
        </w:rPr>
      </w:pPr>
      <w:r w:rsidRPr="007205F8">
        <w:rPr>
          <w:lang w:val="fr-FR"/>
        </w:rPr>
        <w:t>Les surcoûts d'investissement pour la remise en état de l’incinérateur s’élèvent à 1 168 801 $ US (ceux qui ont été proposés par le Secrétariat à la 83</w:t>
      </w:r>
      <w:r w:rsidRPr="007205F8">
        <w:rPr>
          <w:vertAlign w:val="superscript"/>
          <w:lang w:val="fr-FR"/>
        </w:rPr>
        <w:t>e</w:t>
      </w:r>
      <w:r w:rsidRPr="007205F8">
        <w:rPr>
          <w:lang w:val="fr-FR"/>
        </w:rPr>
        <w:t> réunion). Cependant, le niveau des surcoûts d’exploitation a été ajusté comme suit :</w:t>
      </w:r>
    </w:p>
    <w:p w14:paraId="532A4533" w14:textId="36D6742B"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Production de 1 540 tm/an (production moyenne pour 2017-2019) de HCFC-22 entre 2020 et 2024, et de 1 300 tm/an entre 2025 et 2029;</w:t>
      </w:r>
    </w:p>
    <w:p w14:paraId="17AD8BD9" w14:textId="32091C88"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Taux d'actualisation de 38,1 pour cent; et</w:t>
      </w:r>
    </w:p>
    <w:p w14:paraId="77DAC0E5" w14:textId="652BD085" w:rsidR="00F27841" w:rsidRPr="007205F8" w:rsidRDefault="00F27841" w:rsidP="00F27841">
      <w:pPr>
        <w:pStyle w:val="Heading2"/>
        <w:numPr>
          <w:ilvl w:val="1"/>
          <w:numId w:val="1"/>
        </w:numPr>
        <w:tabs>
          <w:tab w:val="clear" w:pos="0"/>
          <w:tab w:val="left" w:pos="720"/>
          <w:tab w:val="num" w:pos="1440"/>
        </w:tabs>
        <w:rPr>
          <w:lang w:val="fr-FR"/>
        </w:rPr>
      </w:pPr>
      <w:r w:rsidRPr="007205F8">
        <w:rPr>
          <w:lang w:val="fr-FR"/>
        </w:rPr>
        <w:t>Élimination du HFC-23 démarrant en principe à compter du 1</w:t>
      </w:r>
      <w:r w:rsidRPr="007205F8">
        <w:rPr>
          <w:vertAlign w:val="superscript"/>
          <w:lang w:val="fr-FR"/>
        </w:rPr>
        <w:t>er</w:t>
      </w:r>
      <w:r w:rsidRPr="007205F8">
        <w:rPr>
          <w:lang w:val="fr-FR"/>
        </w:rPr>
        <w:t> janvier 2021 (durée nécessaire pour remettre en état l’incinérateur estimée à six mois).</w:t>
      </w:r>
    </w:p>
    <w:p w14:paraId="586C5ACB" w14:textId="5DF23666" w:rsidR="00F27841" w:rsidRPr="007205F8" w:rsidRDefault="00F27841" w:rsidP="00F27841">
      <w:pPr>
        <w:pStyle w:val="Heading1"/>
        <w:rPr>
          <w:lang w:val="fr-FR"/>
        </w:rPr>
      </w:pPr>
      <w:r w:rsidRPr="007205F8">
        <w:rPr>
          <w:lang w:val="fr-FR"/>
        </w:rPr>
        <w:lastRenderedPageBreak/>
        <w:t xml:space="preserve">La valeur actuelle nette (VAN) pour redémarrer l’incinérateur </w:t>
      </w:r>
      <w:r w:rsidR="00720BD7">
        <w:rPr>
          <w:lang w:val="fr-FR"/>
        </w:rPr>
        <w:t>et continuer à produire du HCFC</w:t>
      </w:r>
      <w:r w:rsidR="00720BD7">
        <w:rPr>
          <w:lang w:val="fr-FR"/>
        </w:rPr>
        <w:noBreakHyphen/>
      </w:r>
      <w:r w:rsidRPr="007205F8">
        <w:rPr>
          <w:lang w:val="fr-FR"/>
        </w:rPr>
        <w:t xml:space="preserve">22 varie entre 1 207 771 $ US (surcoûts d’exploitation d’un an) et 1 306 104 $ US (surcoûts d’exploitation de neuf ans) comme le montre le tableau 1. </w:t>
      </w:r>
    </w:p>
    <w:p w14:paraId="4FE40632" w14:textId="77777777" w:rsidR="00F27841" w:rsidRPr="007205F8" w:rsidRDefault="00F27841" w:rsidP="00F27841">
      <w:pPr>
        <w:rPr>
          <w:b/>
          <w:lang w:val="fr-FR"/>
        </w:rPr>
      </w:pPr>
      <w:r w:rsidRPr="007205F8">
        <w:rPr>
          <w:b/>
          <w:lang w:val="fr-FR"/>
        </w:rPr>
        <w:t>Tableau 1. VAN ($ US) de l’option 2 en fonction du nombre d’années de surcoûts d’exploitation</w:t>
      </w:r>
    </w:p>
    <w:tbl>
      <w:tblPr>
        <w:tblW w:w="9473" w:type="dxa"/>
        <w:tblInd w:w="-113" w:type="dxa"/>
        <w:tblLayout w:type="fixed"/>
        <w:tblLook w:val="04A0" w:firstRow="1" w:lastRow="0" w:firstColumn="1" w:lastColumn="0" w:noHBand="0" w:noVBand="1"/>
      </w:tblPr>
      <w:tblGrid>
        <w:gridCol w:w="838"/>
        <w:gridCol w:w="959"/>
        <w:gridCol w:w="959"/>
        <w:gridCol w:w="960"/>
        <w:gridCol w:w="959"/>
        <w:gridCol w:w="960"/>
        <w:gridCol w:w="959"/>
        <w:gridCol w:w="960"/>
        <w:gridCol w:w="959"/>
        <w:gridCol w:w="960"/>
      </w:tblGrid>
      <w:tr w:rsidR="00F27841" w:rsidRPr="007205F8" w14:paraId="26CC51CE" w14:textId="77777777" w:rsidTr="00720BD7">
        <w:tc>
          <w:tcPr>
            <w:tcW w:w="83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CE8DF1" w14:textId="77777777" w:rsidR="00F27841" w:rsidRPr="007205F8" w:rsidRDefault="00F27841" w:rsidP="0006771D">
            <w:pPr>
              <w:jc w:val="left"/>
              <w:rPr>
                <w:sz w:val="20"/>
                <w:szCs w:val="20"/>
                <w:lang w:val="fr-FR"/>
              </w:rPr>
            </w:pPr>
            <w:r w:rsidRPr="007205F8">
              <w:rPr>
                <w:sz w:val="20"/>
                <w:lang w:val="fr-FR"/>
              </w:rPr>
              <w:t>Nombre d’années</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4285855" w14:textId="77777777" w:rsidR="00F27841" w:rsidRPr="007205F8" w:rsidRDefault="00F27841" w:rsidP="0006771D">
            <w:pPr>
              <w:jc w:val="center"/>
              <w:rPr>
                <w:sz w:val="20"/>
                <w:szCs w:val="20"/>
                <w:lang w:val="fr-FR"/>
              </w:rPr>
            </w:pPr>
            <w:r w:rsidRPr="007205F8">
              <w:rPr>
                <w:sz w:val="20"/>
                <w:lang w:val="fr-FR"/>
              </w:rPr>
              <w:t>1</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AD15912" w14:textId="77777777" w:rsidR="00F27841" w:rsidRPr="007205F8" w:rsidRDefault="00F27841" w:rsidP="0006771D">
            <w:pPr>
              <w:jc w:val="center"/>
              <w:rPr>
                <w:sz w:val="20"/>
                <w:szCs w:val="20"/>
                <w:lang w:val="fr-FR"/>
              </w:rPr>
            </w:pPr>
            <w:r w:rsidRPr="007205F8">
              <w:rPr>
                <w:sz w:val="20"/>
                <w:lang w:val="fr-FR"/>
              </w:rPr>
              <w:t>2</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C52D71C" w14:textId="77777777" w:rsidR="00F27841" w:rsidRPr="007205F8" w:rsidRDefault="00F27841" w:rsidP="0006771D">
            <w:pPr>
              <w:jc w:val="center"/>
              <w:rPr>
                <w:sz w:val="20"/>
                <w:szCs w:val="20"/>
                <w:lang w:val="fr-FR"/>
              </w:rPr>
            </w:pPr>
            <w:r w:rsidRPr="007205F8">
              <w:rPr>
                <w:sz w:val="20"/>
                <w:lang w:val="fr-FR"/>
              </w:rPr>
              <w:t>3</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11349A1" w14:textId="77777777" w:rsidR="00F27841" w:rsidRPr="007205F8" w:rsidRDefault="00F27841" w:rsidP="0006771D">
            <w:pPr>
              <w:jc w:val="center"/>
              <w:rPr>
                <w:sz w:val="20"/>
                <w:szCs w:val="20"/>
                <w:lang w:val="fr-FR"/>
              </w:rPr>
            </w:pPr>
            <w:r w:rsidRPr="007205F8">
              <w:rPr>
                <w:sz w:val="20"/>
                <w:lang w:val="fr-FR"/>
              </w:rPr>
              <w:t>4</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BFC7417" w14:textId="77777777" w:rsidR="00F27841" w:rsidRPr="007205F8" w:rsidRDefault="00F27841" w:rsidP="0006771D">
            <w:pPr>
              <w:jc w:val="center"/>
              <w:rPr>
                <w:sz w:val="20"/>
                <w:szCs w:val="20"/>
                <w:lang w:val="fr-FR"/>
              </w:rPr>
            </w:pPr>
            <w:r w:rsidRPr="007205F8">
              <w:rPr>
                <w:sz w:val="20"/>
                <w:lang w:val="fr-FR"/>
              </w:rPr>
              <w:t>5</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EFE5E96" w14:textId="77777777" w:rsidR="00F27841" w:rsidRPr="007205F8" w:rsidRDefault="00F27841" w:rsidP="0006771D">
            <w:pPr>
              <w:jc w:val="center"/>
              <w:rPr>
                <w:sz w:val="20"/>
                <w:szCs w:val="20"/>
                <w:lang w:val="fr-FR"/>
              </w:rPr>
            </w:pPr>
            <w:r w:rsidRPr="007205F8">
              <w:rPr>
                <w:sz w:val="20"/>
                <w:lang w:val="fr-FR"/>
              </w:rPr>
              <w:t>6</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F7F7E3A" w14:textId="77777777" w:rsidR="00F27841" w:rsidRPr="007205F8" w:rsidRDefault="00F27841" w:rsidP="0006771D">
            <w:pPr>
              <w:jc w:val="center"/>
              <w:rPr>
                <w:sz w:val="20"/>
                <w:szCs w:val="20"/>
                <w:lang w:val="fr-FR"/>
              </w:rPr>
            </w:pPr>
            <w:r w:rsidRPr="007205F8">
              <w:rPr>
                <w:sz w:val="20"/>
                <w:lang w:val="fr-FR"/>
              </w:rPr>
              <w:t>7</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91A59D4" w14:textId="77777777" w:rsidR="00F27841" w:rsidRPr="007205F8" w:rsidRDefault="00F27841" w:rsidP="0006771D">
            <w:pPr>
              <w:jc w:val="center"/>
              <w:rPr>
                <w:sz w:val="20"/>
                <w:szCs w:val="20"/>
                <w:lang w:val="fr-FR"/>
              </w:rPr>
            </w:pPr>
            <w:r w:rsidRPr="007205F8">
              <w:rPr>
                <w:sz w:val="20"/>
                <w:lang w:val="fr-FR"/>
              </w:rPr>
              <w:t>8</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2F4DCEE" w14:textId="77777777" w:rsidR="00F27841" w:rsidRPr="007205F8" w:rsidRDefault="00F27841" w:rsidP="0006771D">
            <w:pPr>
              <w:jc w:val="center"/>
              <w:rPr>
                <w:sz w:val="20"/>
                <w:szCs w:val="20"/>
                <w:lang w:val="fr-FR"/>
              </w:rPr>
            </w:pPr>
            <w:r w:rsidRPr="007205F8">
              <w:rPr>
                <w:sz w:val="20"/>
                <w:lang w:val="fr-FR"/>
              </w:rPr>
              <w:t>9</w:t>
            </w:r>
          </w:p>
        </w:tc>
      </w:tr>
      <w:tr w:rsidR="00F27841" w:rsidRPr="007205F8" w14:paraId="68063041" w14:textId="77777777" w:rsidTr="00720BD7">
        <w:tc>
          <w:tcPr>
            <w:tcW w:w="838"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6B2049" w14:textId="77777777" w:rsidR="00F27841" w:rsidRPr="007205F8" w:rsidRDefault="00F27841" w:rsidP="0006771D">
            <w:pPr>
              <w:jc w:val="left"/>
              <w:rPr>
                <w:sz w:val="20"/>
                <w:szCs w:val="20"/>
                <w:lang w:val="fr-FR"/>
              </w:rPr>
            </w:pPr>
            <w:r w:rsidRPr="007205F8">
              <w:rPr>
                <w:sz w:val="20"/>
                <w:lang w:val="fr-FR"/>
              </w:rPr>
              <w:t xml:space="preserve">VAN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33C238D5" w14:textId="77777777" w:rsidR="00F27841" w:rsidRPr="007205F8" w:rsidRDefault="00F27841" w:rsidP="0006771D">
            <w:pPr>
              <w:jc w:val="right"/>
              <w:rPr>
                <w:sz w:val="20"/>
                <w:szCs w:val="20"/>
                <w:lang w:val="fr-FR"/>
              </w:rPr>
            </w:pPr>
            <w:r w:rsidRPr="007205F8">
              <w:rPr>
                <w:sz w:val="20"/>
                <w:lang w:val="fr-FR"/>
              </w:rPr>
              <w:t xml:space="preserve">1 207 771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3D0B1294" w14:textId="77777777" w:rsidR="00F27841" w:rsidRPr="007205F8" w:rsidRDefault="00F27841" w:rsidP="0006771D">
            <w:pPr>
              <w:jc w:val="right"/>
              <w:rPr>
                <w:sz w:val="20"/>
                <w:szCs w:val="20"/>
                <w:lang w:val="fr-FR"/>
              </w:rPr>
            </w:pPr>
            <w:r w:rsidRPr="007205F8">
              <w:rPr>
                <w:sz w:val="20"/>
                <w:lang w:val="fr-FR"/>
              </w:rPr>
              <w:t xml:space="preserve">1 235 989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6CD49161" w14:textId="77777777" w:rsidR="00F27841" w:rsidRPr="007205F8" w:rsidRDefault="00F27841" w:rsidP="0006771D">
            <w:pPr>
              <w:jc w:val="right"/>
              <w:rPr>
                <w:sz w:val="20"/>
                <w:szCs w:val="20"/>
                <w:lang w:val="fr-FR"/>
              </w:rPr>
            </w:pPr>
            <w:r w:rsidRPr="007205F8">
              <w:rPr>
                <w:sz w:val="20"/>
                <w:lang w:val="fr-FR"/>
              </w:rPr>
              <w:t xml:space="preserve">1 258 027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31DA195F" w14:textId="77777777" w:rsidR="00F27841" w:rsidRPr="007205F8" w:rsidRDefault="00F27841" w:rsidP="0006771D">
            <w:pPr>
              <w:jc w:val="right"/>
              <w:rPr>
                <w:sz w:val="20"/>
                <w:szCs w:val="20"/>
                <w:lang w:val="fr-FR"/>
              </w:rPr>
            </w:pPr>
            <w:r w:rsidRPr="007205F8">
              <w:rPr>
                <w:sz w:val="20"/>
                <w:lang w:val="fr-FR"/>
              </w:rPr>
              <w:t xml:space="preserve">1 273 984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170C10FB" w14:textId="77777777" w:rsidR="00F27841" w:rsidRPr="007205F8" w:rsidRDefault="00F27841" w:rsidP="0006771D">
            <w:pPr>
              <w:jc w:val="right"/>
              <w:rPr>
                <w:sz w:val="20"/>
                <w:szCs w:val="20"/>
                <w:lang w:val="fr-FR"/>
              </w:rPr>
            </w:pPr>
            <w:r w:rsidRPr="007205F8">
              <w:rPr>
                <w:sz w:val="20"/>
                <w:lang w:val="fr-FR"/>
              </w:rPr>
              <w:t xml:space="preserve">1 285 048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44F41AE4" w14:textId="77777777" w:rsidR="00F27841" w:rsidRPr="007205F8" w:rsidRDefault="00F27841" w:rsidP="0006771D">
            <w:pPr>
              <w:jc w:val="right"/>
              <w:rPr>
                <w:sz w:val="20"/>
                <w:szCs w:val="20"/>
                <w:lang w:val="fr-FR"/>
              </w:rPr>
            </w:pPr>
            <w:r w:rsidRPr="007205F8">
              <w:rPr>
                <w:sz w:val="20"/>
                <w:lang w:val="fr-FR"/>
              </w:rPr>
              <w:t xml:space="preserve">1 293 060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63B86F06" w14:textId="77777777" w:rsidR="00F27841" w:rsidRPr="007205F8" w:rsidRDefault="00F27841" w:rsidP="0006771D">
            <w:pPr>
              <w:jc w:val="right"/>
              <w:rPr>
                <w:sz w:val="20"/>
                <w:szCs w:val="20"/>
                <w:lang w:val="fr-FR"/>
              </w:rPr>
            </w:pPr>
            <w:r w:rsidRPr="007205F8">
              <w:rPr>
                <w:sz w:val="20"/>
                <w:lang w:val="fr-FR"/>
              </w:rPr>
              <w:t xml:space="preserve">1 298 862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35881CFC" w14:textId="77777777" w:rsidR="00F27841" w:rsidRPr="007205F8" w:rsidRDefault="00F27841" w:rsidP="0006771D">
            <w:pPr>
              <w:jc w:val="right"/>
              <w:rPr>
                <w:sz w:val="20"/>
                <w:szCs w:val="20"/>
                <w:lang w:val="fr-FR"/>
              </w:rPr>
            </w:pPr>
            <w:r w:rsidRPr="007205F8">
              <w:rPr>
                <w:sz w:val="20"/>
                <w:lang w:val="fr-FR"/>
              </w:rPr>
              <w:t xml:space="preserve">1 303 063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41CCC74A" w14:textId="77777777" w:rsidR="00F27841" w:rsidRPr="007205F8" w:rsidRDefault="00F27841" w:rsidP="0006771D">
            <w:pPr>
              <w:jc w:val="right"/>
              <w:rPr>
                <w:sz w:val="20"/>
                <w:szCs w:val="20"/>
                <w:lang w:val="fr-FR"/>
              </w:rPr>
            </w:pPr>
            <w:r w:rsidRPr="007205F8">
              <w:rPr>
                <w:sz w:val="20"/>
                <w:lang w:val="fr-FR"/>
              </w:rPr>
              <w:t xml:space="preserve">1 306 104 </w:t>
            </w:r>
          </w:p>
        </w:tc>
      </w:tr>
    </w:tbl>
    <w:p w14:paraId="6C2C8742" w14:textId="77777777" w:rsidR="00F27841" w:rsidRPr="007205F8" w:rsidRDefault="00F27841" w:rsidP="00DC000F">
      <w:pPr>
        <w:pStyle w:val="Heading1"/>
        <w:numPr>
          <w:ilvl w:val="0"/>
          <w:numId w:val="0"/>
        </w:numPr>
        <w:rPr>
          <w:lang w:val="fr-FR"/>
        </w:rPr>
      </w:pPr>
    </w:p>
    <w:p w14:paraId="1AA0C3D4" w14:textId="11E58042" w:rsidR="00F27841" w:rsidRPr="007205F8" w:rsidRDefault="00DC000F" w:rsidP="00F27841">
      <w:pPr>
        <w:pStyle w:val="Heading1"/>
        <w:rPr>
          <w:lang w:val="fr-FR"/>
        </w:rPr>
      </w:pPr>
      <w:r w:rsidRPr="007205F8">
        <w:rPr>
          <w:lang w:val="fr-FR"/>
        </w:rPr>
        <w:t>Si, pour la période 2021-2024, on utilisait la production de 1 606 tm/an de 2019 à la place de la valeur moyenne obtenue pour 2017-2019, la VAN oscillerait alors entre 1 208 257 $ US (surcoûts d’exploitation d’un an) et 1 307 382 $ US (surcoûts d’exploitation de neuf ans).</w:t>
      </w:r>
    </w:p>
    <w:p w14:paraId="40D8BFAD" w14:textId="7B454FD2"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Le Secrétariat prend note que l’incinérateur ne commencerait à fonctionner qu’à partir du 1</w:t>
      </w:r>
      <w:r w:rsidRPr="007205F8">
        <w:rPr>
          <w:vertAlign w:val="superscript"/>
          <w:lang w:val="fr-FR"/>
        </w:rPr>
        <w:t>er</w:t>
      </w:r>
      <w:r w:rsidRPr="007205F8">
        <w:rPr>
          <w:lang w:val="fr-FR"/>
        </w:rPr>
        <w:t> janvier 2021 étant donné le temps nécessaire à sa remise en état, ce qui entraînerait une hausse des émissions du sous-produit HFC</w:t>
      </w:r>
      <w:r w:rsidRPr="007205F8">
        <w:rPr>
          <w:lang w:val="fr-FR"/>
        </w:rPr>
        <w:noBreakHyphen/>
        <w:t>23 pendant quatre mois (c'est-à-dire 16,64 tm de HFC-23, soit 246,208 tm-CO</w:t>
      </w:r>
      <w:r w:rsidRPr="007205F8">
        <w:rPr>
          <w:vertAlign w:val="subscript"/>
          <w:lang w:val="fr-FR"/>
        </w:rPr>
        <w:t>2</w:t>
      </w:r>
      <w:r w:rsidRPr="007205F8">
        <w:rPr>
          <w:lang w:val="fr-FR"/>
        </w:rPr>
        <w:t>eq) par rapport à l’option 1.</w:t>
      </w:r>
    </w:p>
    <w:p w14:paraId="2D347DF2" w14:textId="77777777"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À la 84</w:t>
      </w:r>
      <w:r w:rsidRPr="007205F8">
        <w:rPr>
          <w:vertAlign w:val="superscript"/>
          <w:lang w:val="fr-FR"/>
        </w:rPr>
        <w:t>e</w:t>
      </w:r>
      <w:r w:rsidRPr="007205F8">
        <w:rPr>
          <w:lang w:val="fr-FR"/>
        </w:rPr>
        <w:t> réunion, l'ONUDI avait noté que l’option de remise en état de l’incinérateur incluait le remplacement du brûleur de métaux exotiques par un brûleur de plus petite taille pour permettre d’incinérer un débit inférieur de masse de HFC-23, avec une efficacité supérieure et une capacité inférieure à celle du brûleur d’origine, permettant une exploitation en continu de l’incinérateur lorsque la chaîne de production du HCFC-22 était en service. Si l’incinérateur n’était pas utilisé en continu, l’usine FIASA aurait besoin de stocker temporairement le HFC-23 dans son réservoir cryogénique, obligeant l’entreprise à s’enregistrer comme producteur de déchets dangereux et comme installation de traitement des déchets dangereux, ce que le gouvernement ne pourrait pas imposer. Cependant, le Secrétariat a noté que FIASA était soumise aux mêmes exigences réglementaires lorsque l’entreprise générait des crédits au titre du projet de mécanisme pour un développement propre (MDP); pendant cette période, FIASA stockait le sous-produit HFC</w:t>
      </w:r>
      <w:r w:rsidRPr="007205F8">
        <w:rPr>
          <w:lang w:val="fr-FR"/>
        </w:rPr>
        <w:noBreakHyphen/>
        <w:t>23 dans son réservoir cryogénique et utilisait l’incinérateur dans les campagnes. Par ailleurs, l'utilisation de l’incinérateur dans les campagnes a réduit les coûts de la main d'œuvre et autres coûts fixes. Par conséquent, le Secrétariat n’a pas recommandé de réduire la capacité du brûleur, mais plutôt de le remplacer par un brûleur de la même capacité que celle du brûleur d’origine.</w:t>
      </w:r>
    </w:p>
    <w:p w14:paraId="3C7C8B57" w14:textId="77777777" w:rsidR="00DC000F" w:rsidRPr="007205F8" w:rsidRDefault="00DC000F" w:rsidP="00DC000F">
      <w:pPr>
        <w:rPr>
          <w:b/>
          <w:lang w:val="fr-FR"/>
        </w:rPr>
      </w:pPr>
      <w:r w:rsidRPr="007205F8">
        <w:rPr>
          <w:b/>
          <w:lang w:val="fr-FR"/>
        </w:rPr>
        <w:t>Unité de gestion du projet (PMU) pour l’option 1 ou l'option 2</w:t>
      </w:r>
    </w:p>
    <w:p w14:paraId="473332C5" w14:textId="77777777" w:rsidR="00DC000F" w:rsidRPr="007205F8" w:rsidRDefault="00DC000F" w:rsidP="00DC000F">
      <w:pPr>
        <w:rPr>
          <w:lang w:val="fr-FR"/>
        </w:rPr>
      </w:pPr>
    </w:p>
    <w:p w14:paraId="462B85CE" w14:textId="77777777"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Le gouvernement de l'Argentine a demandé un financement pour une unité de gestion du projet, à hauteur de 8 pour cent du financement total du projet dans le cas de l’option 2 (c'est-à-dire la poursuite de l’exploitation de l’usine FIASA), ou de 6,2 pour cent en cas de fermeture de l’usine de production. Dans l’évaluation de l’option de remise en état de l’incinérateur, le Secrétariat a inclus les coûts liés au suivi gouvernemental; en accord avec les pratiques passées, l’évaluation du Secrétariat ne comprenait pas d’unité de gestion du projet pour l’option de fermeture.</w:t>
      </w:r>
    </w:p>
    <w:p w14:paraId="6964DE29" w14:textId="0066E3E7" w:rsidR="00DC000F" w:rsidRPr="00720BD7" w:rsidRDefault="00DC000F" w:rsidP="00720BD7">
      <w:pPr>
        <w:keepNext/>
        <w:keepLines/>
        <w:spacing w:after="240"/>
        <w:rPr>
          <w:b/>
          <w:lang w:val="fr-FR"/>
        </w:rPr>
      </w:pPr>
      <w:r w:rsidRPr="007205F8">
        <w:rPr>
          <w:b/>
          <w:lang w:val="fr-FR"/>
        </w:rPr>
        <w:t>Opinions exprimées par le gouvernement de l’Argentine</w:t>
      </w:r>
    </w:p>
    <w:p w14:paraId="6219E92A" w14:textId="77777777"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Concernant la fermeture de l’usine FIASA, le gouvernement de l'Argentine, par le biais de l'ONUDI, a noté les éléments suivants :</w:t>
      </w:r>
    </w:p>
    <w:p w14:paraId="7CE47EA8" w14:textId="77777777"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 xml:space="preserve">Étant donné la crise économique de 2019, FIASA n’a pas pu atteindre la valeur initialement prévue pour la production, à savoir une quantité comprise entre 2 000 et 2 600 tm en 2019; cependant, les ventes de HCFC-22 ont augmenté de 14 pour cent par rapport à 2018, et le prix du HCFC-22 a été conforme aux prévisions établies par le modèle de l'ONUDI. Par conséquent, le gouvernement pourrait accepter, comme base </w:t>
      </w:r>
      <w:r w:rsidRPr="007205F8">
        <w:rPr>
          <w:lang w:val="fr-FR"/>
        </w:rPr>
        <w:lastRenderedPageBreak/>
        <w:t>pour la détermination de l’indemnisation, la valeur moyenne des ventes réalisées entre 2017 et 2019 pour la période comprise entre 2020 et 2024, et la valeur de 1 300 tm/an pour la période comprise entre 2025 et 2029;</w:t>
      </w:r>
    </w:p>
    <w:p w14:paraId="45E0522D" w14:textId="77777777"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Le modèle financier élaboré par l'ONUDI à la 83</w:t>
      </w:r>
      <w:r w:rsidRPr="007205F8">
        <w:rPr>
          <w:vertAlign w:val="superscript"/>
          <w:lang w:val="fr-FR"/>
        </w:rPr>
        <w:t>e</w:t>
      </w:r>
      <w:r w:rsidRPr="007205F8">
        <w:rPr>
          <w:lang w:val="fr-FR"/>
        </w:rPr>
        <w:t> réunion reposait sur les meilleures données disponibles à ce moment-là, la méthodologie était conforme aux pratiques passées au titre du Fonds; et le financent accordé par le Fonds multilatéral est fourni en dollars US. Par conséquent, le modèle financier devrait être basé sur une seule devise (dollars US) et non plusieurs. S’il n’était pas possible pour l'ONUDI à l’époque d’élaborer un nouveau modèle financier, il était de la plus haute importance d’étudier la capacité de l’entreprise à maintenir le prix du produit en dollars US. Le prix du HCFC-22 produit par FIASA a augmenté de 7 pour cent en dollars US entre 2019 et 2020, ce qui démontre la capacité de l’entreprise à augmenter le prix à la fois en devise nationale et en dollars US, ce qui lui est possible de faire grâce au fonctionnement en duopole. Par ailleurs, les coûts locaux de production, qui sont en ARS, diminuaient lorsqu’ils étaient évalués en dollars US;</w:t>
      </w:r>
    </w:p>
    <w:p w14:paraId="43500F6E" w14:textId="77777777"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Le rôle de l’usine FIASA dans le duopole a été renforcé à cause de la réduction des quotas d'importation au vu des objectifs de contrôle définis pour 2020. Cette influence sera encore plus forte en 2025, lorsque les quotas d'importation seront de nouveau diminués;</w:t>
      </w:r>
    </w:p>
    <w:p w14:paraId="01627401" w14:textId="77777777"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Le gouvernement a fermement contesté le taux d'actualisation utilisé par le Secrétariat pour calculer la VAN de l’indemnisation. Malgré les taux d’intérêt faibles prévalant en Argentine pour les prêts contractés en dollars US oscillant entre 1,9 pour cent (90 jours) et 2,9 pour cent (un an), l'ONUDI a utilisé un taux d'actualisation beaucoup plus élevé (10 pour cent);</w:t>
      </w:r>
    </w:p>
    <w:p w14:paraId="26D21B60" w14:textId="44C75D20"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Au vu de la situation économique difficile et des taux d'intérêt élevés prévalant dans le pays, les propriétaires d’appareils préfèrent les réparer plutôt que les remplacer. Par conséquent, les appareils à base de HCFC-22 continuent d’être utilisés même si le taux de fuite qui leur est associé augmente avec l’âge; il est donc peu probable que la demande actuelle en HCFC-22 diminue;</w:t>
      </w:r>
    </w:p>
    <w:p w14:paraId="6570FF80" w14:textId="547E398B"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Il serait plus exact de décrire le prix du HCFC-22 pour FIASA en 2019 à une valeur équivalant à peu près à trois fois le prix international pratiqué par un fournisseur asiatique pour le produit en vrac fourni à un grand nombre de consommateurs sur un marché à gros volume. L’usine FIASA fournit de petites quantités en bonbonnes aux revendeurs ou consommateurs locaux. Il s’agit-là de deux produits différents avec deux prix différents; et</w:t>
      </w:r>
    </w:p>
    <w:p w14:paraId="4C7CA455" w14:textId="1A53D77F" w:rsidR="00DC000F" w:rsidRPr="00720BD7" w:rsidRDefault="00DC000F" w:rsidP="00DC000F">
      <w:pPr>
        <w:pStyle w:val="Heading2"/>
        <w:numPr>
          <w:ilvl w:val="1"/>
          <w:numId w:val="1"/>
        </w:numPr>
        <w:tabs>
          <w:tab w:val="clear" w:pos="0"/>
          <w:tab w:val="left" w:pos="720"/>
          <w:tab w:val="num" w:pos="1440"/>
        </w:tabs>
        <w:rPr>
          <w:lang w:val="fr-FR"/>
        </w:rPr>
      </w:pPr>
      <w:r w:rsidRPr="007205F8">
        <w:rPr>
          <w:lang w:val="fr-FR"/>
        </w:rPr>
        <w:t>Il est pratique courante en Argentine qu'un décret entre en vigueur pour une première période de 180 jours et qu’il soit ensuite reconduit tous les 180 jours pendant plusieurs années. Le décret actuellement en vigueur, qui multiplie par deux l’indemnité, a été renforcé après la déclaration de l'état d'urgence sanitaire pour la pandémie du coronavirus (COVID</w:t>
      </w:r>
      <w:r w:rsidRPr="007205F8">
        <w:rPr>
          <w:lang w:val="fr-FR"/>
        </w:rPr>
        <w:noBreakHyphen/>
        <w:t>19) et, à l’heure actuelle, tout licenciement doit impérativement être validé par le ministère du travail.</w:t>
      </w:r>
    </w:p>
    <w:p w14:paraId="5DABA93A" w14:textId="14523CFF"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Concernant la remise en état de l’incinérateur, le gouvernement de l'Argentine a noté que le remplacement du brûleur de métaux exotiques était inévitable puisqu’il n’est pas opérationnel. Le fabricant de l’équipement d’origine a suggéré de remplacer le brûleur par un brûleur plus adapté au débit réduit actuel de génération du sous-produit HFC-23. Le gouvernement a donc jugé le remplacement du brûleur recevable.</w:t>
      </w:r>
    </w:p>
    <w:p w14:paraId="663F0AA0" w14:textId="77777777"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lastRenderedPageBreak/>
        <w:t>Le gouvernement a aussi fourni des déclarations vérifiées reflétant le montant des profits réalisés par l’usine FIASA en 2017 et 2018, qui s’élevaient à une valeur comprise entre 1,9 million $ US et 2,4 millions $ US. Le Secrétariat souligne que ces déclarations englobent toutes les opérations de FIASA mais ne précisent pas le montant des profits, le cas échéant, dérivés de la production de HCFC-22.</w:t>
      </w:r>
    </w:p>
    <w:p w14:paraId="4EC25426" w14:textId="4E33A1AD" w:rsidR="00F27841" w:rsidRPr="007205F8" w:rsidRDefault="00DC000F" w:rsidP="0006771D">
      <w:pPr>
        <w:pStyle w:val="StyleHeading1Para1Heading1CharHeading1Char3CharHeadin"/>
        <w:numPr>
          <w:ilvl w:val="0"/>
          <w:numId w:val="1"/>
        </w:numPr>
        <w:tabs>
          <w:tab w:val="clear" w:pos="0"/>
        </w:tabs>
        <w:rPr>
          <w:lang w:val="fr-FR"/>
        </w:rPr>
      </w:pPr>
      <w:r w:rsidRPr="007205F8">
        <w:rPr>
          <w:lang w:val="fr-FR"/>
        </w:rPr>
        <w:t>Le gouvernement considère que l’usine FIASA continue d’être financièrement viable, sinon elle ne pourrait plus obtenir de prêts de la part d’une banque. Par conséquent, le gouvernement n’était pas d’accord avec le calcul des pertes de profits présenté par le Secrétariat.</w:t>
      </w:r>
    </w:p>
    <w:p w14:paraId="79EAC53E" w14:textId="77777777"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Le gouvernement de l'Argentine pourrait accepter un montant minimum de 6 millions $ US (incluant l'indemnité de départ pour les travailleurs et l’indemnisation pour les pertes de profits) pour la fermeture de l’usine FIASA. Si un accord de fermeture de l’usine ne peut pas être trouvé, l’entreprise poursuivra la production de HCFC-22 et commencera l’élimination du sous-produit HFC</w:t>
      </w:r>
      <w:r w:rsidRPr="007205F8">
        <w:rPr>
          <w:lang w:val="fr-FR"/>
        </w:rPr>
        <w:noBreakHyphen/>
        <w:t>23 dès que le financement sera convenu et la remise en état de l'équipement requise terminée.</w:t>
      </w:r>
    </w:p>
    <w:p w14:paraId="3E9DCE77" w14:textId="0AB45B82" w:rsidR="00DC000F" w:rsidRPr="007205F8" w:rsidRDefault="00DC000F" w:rsidP="00DC000F">
      <w:pPr>
        <w:rPr>
          <w:b/>
          <w:lang w:val="fr-FR"/>
        </w:rPr>
      </w:pPr>
      <w:r w:rsidRPr="007205F8">
        <w:rPr>
          <w:b/>
          <w:lang w:val="fr-FR"/>
        </w:rPr>
        <w:t>Conclusion</w:t>
      </w:r>
    </w:p>
    <w:p w14:paraId="47067748" w14:textId="77777777" w:rsidR="00DC000F" w:rsidRPr="007205F8" w:rsidRDefault="00DC000F" w:rsidP="00DC000F">
      <w:pPr>
        <w:rPr>
          <w:lang w:val="fr-FR"/>
        </w:rPr>
      </w:pPr>
    </w:p>
    <w:p w14:paraId="01CB740E" w14:textId="7DEE1D00"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Depuis la 83</w:t>
      </w:r>
      <w:r w:rsidRPr="007205F8">
        <w:rPr>
          <w:vertAlign w:val="superscript"/>
          <w:lang w:val="fr-FR"/>
        </w:rPr>
        <w:t>e</w:t>
      </w:r>
      <w:r w:rsidRPr="007205F8">
        <w:rPr>
          <w:lang w:val="fr-FR"/>
        </w:rPr>
        <w:t> réunion, l’Argentine souffre d’une crise économique profonde qui, d’après l’évaluation faite par le Secrétariat, aboutit à une situation qui n’est plus viable financièrement pour l’usine FIASA. Cette situation ne signifie pas pour autant que l’entreprise doive arrêter immédiatement sa production de HCFC-22. Elle a pu continuer de produire du HCFC-22 en augmentant son prix, ce qui lui est possible de faire car elle fonctionne dans ce qui est effectivement un duopole, avec des importateurs qui utilisent presque entièrement leurs quotas d'importations et l’usine FIASA qui satisfait au reste de la demande du marché. Dans un marché libre, la hausse du prix d’un produit conduirait à une baisse de la demande de ce produit, cette baisse étant dépendante de l'élasticité de la demande. Dans un duopole, l’élasticité de la demande est limitée. Cependant, si le marché du HCFC-22 peut effectivement être un duopole en Argentine, le marché des frigorigènes ne l’est pas : lorsque le prix du HCFC-22 augmente, d’autres frigorigènes risquent de remplacer la demande en HCFC-22. Il est probable que FIASA puisse continuer de produire du HCFC-22 en augmentant son prix pendant une durée indéterminée, selon un cycle où le prix du HCFC-22 croit et conduit à une baisse consécutive de la demande et de la production qui conduit elle-même à une hausse consécutive du prix du HCFC-22, et ainsi de suite. La dévaluation de l’ARS contribuera aussi à alimenter ce cycle car les consommateurs achètent le HCFC</w:t>
      </w:r>
      <w:r w:rsidRPr="007205F8">
        <w:rPr>
          <w:lang w:val="fr-FR"/>
        </w:rPr>
        <w:noBreakHyphen/>
        <w:t>22 auprès de FIASA en devise nationale.</w:t>
      </w:r>
    </w:p>
    <w:p w14:paraId="3EEC2AEB" w14:textId="77777777"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Depuis la 80</w:t>
      </w:r>
      <w:r w:rsidRPr="007205F8">
        <w:rPr>
          <w:vertAlign w:val="superscript"/>
          <w:lang w:val="fr-FR"/>
        </w:rPr>
        <w:t>e</w:t>
      </w:r>
      <w:r w:rsidRPr="007205F8">
        <w:rPr>
          <w:lang w:val="fr-FR"/>
        </w:rPr>
        <w:t> réunion, lorsque le gouvernement de l'Argentine a fourni les données préliminaires pour la fermeture de son usine mixte produisant du HCFC-22 ,</w:t>
      </w:r>
      <w:r w:rsidRPr="007205F8">
        <w:rPr>
          <w:rStyle w:val="FootnoteReference"/>
          <w:lang w:val="fr-FR"/>
        </w:rPr>
        <w:footnoteReference w:id="18"/>
      </w:r>
      <w:r w:rsidRPr="007205F8">
        <w:rPr>
          <w:lang w:val="fr-FR"/>
        </w:rPr>
        <w:t xml:space="preserve"> le gouvernement a demandé une aide de la part du Fonds multilatéral pour traiter la question des émissions du sous-produit HCF-23. À sa 82</w:t>
      </w:r>
      <w:r w:rsidRPr="007205F8">
        <w:rPr>
          <w:vertAlign w:val="superscript"/>
          <w:lang w:val="fr-FR"/>
        </w:rPr>
        <w:t>e</w:t>
      </w:r>
      <w:r w:rsidRPr="007205F8">
        <w:rPr>
          <w:lang w:val="fr-FR"/>
        </w:rPr>
        <w:t xml:space="preserve"> réunion, le Comité exécutif a examiné les informations concernant, entre autres, les options et la totalité des coûts et des économies associés au contrôle des émissions du sous </w:t>
      </w:r>
      <w:r w:rsidRPr="007205F8">
        <w:rPr>
          <w:lang w:val="fr-FR"/>
        </w:rPr>
        <w:noBreakHyphen/>
        <w:t>produit HFC-23 en Argentine,</w:t>
      </w:r>
      <w:r w:rsidRPr="007205F8">
        <w:rPr>
          <w:rStyle w:val="FootnoteReference"/>
          <w:lang w:val="fr-FR"/>
        </w:rPr>
        <w:footnoteReference w:id="19"/>
      </w:r>
      <w:r w:rsidRPr="007205F8">
        <w:rPr>
          <w:lang w:val="fr-FR"/>
        </w:rPr>
        <w:t xml:space="preserve"> et aux 83</w:t>
      </w:r>
      <w:r w:rsidRPr="007205F8">
        <w:rPr>
          <w:vertAlign w:val="superscript"/>
          <w:lang w:val="fr-FR"/>
        </w:rPr>
        <w:t>e</w:t>
      </w:r>
      <w:r w:rsidRPr="007205F8">
        <w:rPr>
          <w:lang w:val="fr-FR"/>
        </w:rPr>
        <w:t xml:space="preserve"> et 84</w:t>
      </w:r>
      <w:r w:rsidRPr="007205F8">
        <w:rPr>
          <w:vertAlign w:val="superscript"/>
          <w:lang w:val="fr-FR"/>
        </w:rPr>
        <w:t>e</w:t>
      </w:r>
      <w:r w:rsidRPr="007205F8">
        <w:rPr>
          <w:lang w:val="fr-FR"/>
        </w:rPr>
        <w:t> réunions, il a examiné les propositions faites par le gouvernement pour traiter cette question des émissions.</w:t>
      </w:r>
      <w:r w:rsidRPr="007205F8">
        <w:rPr>
          <w:rStyle w:val="FootnoteReference"/>
          <w:lang w:val="fr-FR"/>
        </w:rPr>
        <w:footnoteReference w:id="20"/>
      </w:r>
      <w:r w:rsidRPr="007205F8">
        <w:rPr>
          <w:lang w:val="fr-FR"/>
        </w:rPr>
        <w:t xml:space="preserve"> Le Secrétariat souligne que l’acceptation d’un projet pour l’Argentine à la présente réunion permettrait le contrôle des émissions du sous-produit HFC-23 dès que possible et qu’il contribuerait par conséquent à optimiser la lutte contre le réchauffement climatique au titre de l’Amendement de Kigali.</w:t>
      </w:r>
    </w:p>
    <w:p w14:paraId="5E412AA4" w14:textId="77777777"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À sa 16</w:t>
      </w:r>
      <w:r w:rsidRPr="007205F8">
        <w:rPr>
          <w:vertAlign w:val="superscript"/>
          <w:lang w:val="fr-FR"/>
        </w:rPr>
        <w:t>e</w:t>
      </w:r>
      <w:r w:rsidRPr="007205F8">
        <w:rPr>
          <w:lang w:val="fr-FR"/>
        </w:rPr>
        <w:t xml:space="preserve"> réunion, le Comité exécutif a décidé que la consommation de SAO devait être calculée en se basant sur l’année, ou sur une moyenne des trois années, précédant immédiatement la préparation de projet. Cette approche permettait de garantir qu’en cas de situation anormale vécue par les pays visés à l'article 5 pendant l’année précédant la préparation de projet, il était possible de considérer une base plus </w:t>
      </w:r>
      <w:r w:rsidRPr="007205F8">
        <w:rPr>
          <w:lang w:val="fr-FR"/>
        </w:rPr>
        <w:lastRenderedPageBreak/>
        <w:t>représentative (c'est-à-dire la moyenne des trois années). Si l'évaluation du Secrétariat estime que l’usine FIASA n’est plus financièrement viable selon les critères de l'économie de production de 2019, le Secrétariat considère néanmoins que la crise économique de 2019 en Argentine est une situation anormale. Les pays visés à l'article 5 devraient solliciter l’assistance du Fonds multilatéral lorsqu’ils ont besoin d’aide pour pouvoir répondre à leurs obligations au titre du Protocole et indépendamment du fait que les conditions dans le pays à ce moment-là affectent ou non le niveau d’indemnisation. Dans sa sagesse, le Comité exécutif a décidé, à sa 16</w:t>
      </w:r>
      <w:r w:rsidRPr="007205F8">
        <w:rPr>
          <w:vertAlign w:val="superscript"/>
          <w:lang w:val="fr-FR"/>
        </w:rPr>
        <w:t>e</w:t>
      </w:r>
      <w:r w:rsidRPr="007205F8">
        <w:rPr>
          <w:lang w:val="fr-FR"/>
        </w:rPr>
        <w:t> réunion, d’accorder une certaine souplesse aux pays visés à l'article 5 pour résoudre la question des années anormales. Le Comité exécutif pourrait souhaiter envisager d’accorder une souplesse similaire au cas de l’usine FIASA.</w:t>
      </w:r>
    </w:p>
    <w:p w14:paraId="74CDD360" w14:textId="58F39FF1" w:rsidR="00F27841" w:rsidRPr="007205F8" w:rsidRDefault="00DC000F" w:rsidP="0006771D">
      <w:pPr>
        <w:pStyle w:val="StyleHeading1Para1Heading1CharHeading1Char3CharHeadin"/>
        <w:numPr>
          <w:ilvl w:val="0"/>
          <w:numId w:val="1"/>
        </w:numPr>
        <w:tabs>
          <w:tab w:val="clear" w:pos="0"/>
        </w:tabs>
        <w:rPr>
          <w:lang w:val="fr-FR"/>
        </w:rPr>
      </w:pPr>
      <w:r w:rsidRPr="007205F8">
        <w:rPr>
          <w:lang w:val="fr-FR"/>
        </w:rPr>
        <w:t>Le Secrétariat a estimé le coût de l’option de fermeture à une valeur comprise entre 1 146 989$ US (taux de financement minimum), en partant du principe que le décret qui double l’indemnité pour les travailleurs qui sont licenciés sans motif valable n’est pas renouvelé et en se basant sur l’économie de production de 2019 (c'est-à-dire des pertes de profits nulles), et 3 545 517 $ US (taux de financement maximum), en partant du principe que le décret est renouvelé et dans une situation économique plus favorable en Argentine que celle qui prévalait en 2019. Le taux de financement pour la poursuite de la production de HCFC-22 et la destruction du HFC-23 oscillait entre 1 207 771 $ US et 1 307 382 $ US, selon le nombre d’années pendant lesquelles l’aide financière est apportée et selon que les surcoûts d’exploitation sont déterminés en utilisant la production moyenne pour 2017</w:t>
      </w:r>
      <w:r w:rsidRPr="007205F8">
        <w:rPr>
          <w:lang w:val="fr-FR"/>
        </w:rPr>
        <w:noBreakHyphen/>
        <w:t>2019 ou la production de 2019.</w:t>
      </w:r>
    </w:p>
    <w:p w14:paraId="154BC050" w14:textId="15F2ACF8" w:rsidR="00DC000F" w:rsidRPr="007205F8" w:rsidRDefault="00DC000F" w:rsidP="0006771D">
      <w:pPr>
        <w:pStyle w:val="StyleHeading1Para1Heading1CharHeading1Char3CharHeadin"/>
        <w:numPr>
          <w:ilvl w:val="0"/>
          <w:numId w:val="1"/>
        </w:numPr>
        <w:tabs>
          <w:tab w:val="clear" w:pos="0"/>
        </w:tabs>
        <w:rPr>
          <w:lang w:val="fr-FR"/>
        </w:rPr>
      </w:pPr>
      <w:r w:rsidRPr="007205F8">
        <w:rPr>
          <w:lang w:val="fr-FR"/>
        </w:rPr>
        <w:t>Malgré les discussions constructives avec l'ONUDI et le gouvernement de l'Argentine, un accord sur les coûts du projet n’a pas pu être trouvé. Afin de faciliter l’étude du projet par le Comité exécutif, le Secrétariat a joint au présent document une recommandation, soulignant que les coûts finaux du projet dépendront des délibérations prises par le Comité exécutif.</w:t>
      </w:r>
    </w:p>
    <w:p w14:paraId="013CA591" w14:textId="77777777"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En l’absence d’accord sur les coûts, le Secrétariat pourrait présenter un projet d’accord entre le gouvernement de l'Argentine et le Comité exécutif à la 86</w:t>
      </w:r>
      <w:r w:rsidRPr="007205F8">
        <w:rPr>
          <w:vertAlign w:val="superscript"/>
          <w:lang w:val="fr-FR"/>
        </w:rPr>
        <w:t>e</w:t>
      </w:r>
      <w:r w:rsidRPr="007205F8">
        <w:rPr>
          <w:lang w:val="fr-FR"/>
        </w:rPr>
        <w:t> réunion qui refléterait les orientations proposées à la 85</w:t>
      </w:r>
      <w:r w:rsidRPr="007205F8">
        <w:rPr>
          <w:vertAlign w:val="superscript"/>
          <w:lang w:val="fr-FR"/>
        </w:rPr>
        <w:t>e</w:t>
      </w:r>
      <w:r w:rsidRPr="007205F8">
        <w:rPr>
          <w:lang w:val="fr-FR"/>
        </w:rPr>
        <w:t> réunion. Le projet d’accord préciserait les taux de financement, les cibles et les obligations, et aborderait entre autres les questions suivantes :</w:t>
      </w:r>
    </w:p>
    <w:p w14:paraId="0EA84C33" w14:textId="13B871EC"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En cas de poursuite des opérations de la chaîne de production de HCFC-22 et la remise en état de l’incinérateur :</w:t>
      </w:r>
    </w:p>
    <w:p w14:paraId="72ECCB28" w14:textId="77777777" w:rsidR="00DC000F" w:rsidRPr="007205F8" w:rsidRDefault="00DC000F" w:rsidP="00DC000F">
      <w:pPr>
        <w:pStyle w:val="StyleHeading1Para1Heading1CharHeading1Char3CharHeadin"/>
        <w:numPr>
          <w:ilvl w:val="2"/>
          <w:numId w:val="1"/>
        </w:numPr>
        <w:tabs>
          <w:tab w:val="clear" w:pos="0"/>
          <w:tab w:val="num" w:pos="360"/>
        </w:tabs>
        <w:rPr>
          <w:lang w:val="fr-FR"/>
        </w:rPr>
      </w:pPr>
      <w:r w:rsidRPr="007205F8">
        <w:rPr>
          <w:lang w:val="fr-FR"/>
        </w:rPr>
        <w:t>La présentation de rapports périodiques annuels, jusqu’à ce que le projet soit achevé, de l’état du projet, y compris le niveau de décaissement, la quantité de HCFC-22 produite et la quantité de HFC-23 générée, détruite, vendue, stockée et rejetée, ainsi qu'un rapport de vérification annuel indépendant documentant la conformité du gouvernement de l'Argentine; et</w:t>
      </w:r>
    </w:p>
    <w:p w14:paraId="76217DF0" w14:textId="76DC5C6D" w:rsidR="00DC000F" w:rsidRPr="007205F8" w:rsidRDefault="00DC000F" w:rsidP="00DC000F">
      <w:pPr>
        <w:pStyle w:val="StyleHeading1Para1Heading1CharHeading1Char3CharHeadin"/>
        <w:numPr>
          <w:ilvl w:val="2"/>
          <w:numId w:val="1"/>
        </w:numPr>
        <w:tabs>
          <w:tab w:val="clear" w:pos="0"/>
          <w:tab w:val="num" w:pos="360"/>
        </w:tabs>
        <w:rPr>
          <w:lang w:val="fr-FR"/>
        </w:rPr>
      </w:pPr>
      <w:r w:rsidRPr="007205F8">
        <w:rPr>
          <w:lang w:val="fr-FR"/>
        </w:rPr>
        <w:t>Le niveau de sanction qui serait appliqué si la suppression des émissions du sous-produit HFC</w:t>
      </w:r>
      <w:r w:rsidRPr="007205F8">
        <w:rPr>
          <w:lang w:val="fr-FR"/>
        </w:rPr>
        <w:noBreakHyphen/>
        <w:t>23 n’atteignait pas le niveau défini;</w:t>
      </w:r>
    </w:p>
    <w:p w14:paraId="7DE949C2" w14:textId="06B6BA4A"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En cas de fermeture de la chaîne de production du HCFC-22 :</w:t>
      </w:r>
    </w:p>
    <w:p w14:paraId="79BF9521" w14:textId="3CEB1FDF" w:rsidR="00DC000F" w:rsidRPr="007205F8" w:rsidRDefault="00DC000F" w:rsidP="00DC000F">
      <w:pPr>
        <w:pStyle w:val="StyleHeading1Para1Heading1CharHeading1Char3CharHeadin"/>
        <w:numPr>
          <w:ilvl w:val="2"/>
          <w:numId w:val="1"/>
        </w:numPr>
        <w:tabs>
          <w:tab w:val="clear" w:pos="0"/>
          <w:tab w:val="num" w:pos="360"/>
        </w:tabs>
        <w:rPr>
          <w:lang w:val="fr-FR"/>
        </w:rPr>
      </w:pPr>
      <w:r w:rsidRPr="007205F8">
        <w:rPr>
          <w:lang w:val="fr-FR"/>
        </w:rPr>
        <w:t>La présentation de rapports périodiques annuels, jusqu’à ce que le projet soit achevé, de l’état du projet, y compris le niveau de décaissement, et la présentation d’un rapport de vérification indépendant, en accord avec les consignes et les procédures validées par le Comité exécutif, y compris les données attestant le démantèlement de l’équipement principal; et</w:t>
      </w:r>
    </w:p>
    <w:p w14:paraId="215BF25C" w14:textId="77777777" w:rsidR="00DC000F" w:rsidRPr="007205F8" w:rsidRDefault="00DC000F" w:rsidP="00DC000F">
      <w:pPr>
        <w:pStyle w:val="StyleHeading1Para1Heading1CharHeading1Char3CharHeadin"/>
        <w:numPr>
          <w:ilvl w:val="2"/>
          <w:numId w:val="1"/>
        </w:numPr>
        <w:tabs>
          <w:tab w:val="clear" w:pos="0"/>
          <w:tab w:val="num" w:pos="360"/>
        </w:tabs>
        <w:rPr>
          <w:lang w:val="fr-FR"/>
        </w:rPr>
      </w:pPr>
      <w:r w:rsidRPr="007205F8">
        <w:rPr>
          <w:lang w:val="fr-FR"/>
        </w:rPr>
        <w:t>Le niveau de sanction qui serait appliqué si les émissions du sous-produit HFC</w:t>
      </w:r>
      <w:r w:rsidRPr="007205F8">
        <w:rPr>
          <w:lang w:val="fr-FR"/>
        </w:rPr>
        <w:noBreakHyphen/>
        <w:t>23 continuaient au-delà de la date indiquée par le Comité;</w:t>
      </w:r>
    </w:p>
    <w:p w14:paraId="5F6D6C4A" w14:textId="1FD5A536"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lastRenderedPageBreak/>
        <w:t>Le niveau des coûts d'appui d'agence et le rôle de l’agence dans le projet; et</w:t>
      </w:r>
    </w:p>
    <w:p w14:paraId="60BC436F" w14:textId="51B7A372"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Le fait que l'ONUDI présenterait le rapport d'achèvement du projet six mois après sa date d’achèvement, à convenir à la 85</w:t>
      </w:r>
      <w:r w:rsidRPr="007205F8">
        <w:rPr>
          <w:vertAlign w:val="superscript"/>
          <w:lang w:val="fr-FR"/>
        </w:rPr>
        <w:t>e</w:t>
      </w:r>
      <w:r w:rsidRPr="007205F8">
        <w:rPr>
          <w:lang w:val="fr-FR"/>
        </w:rPr>
        <w:t> réunion, et que tout solde restant après la date d’achèvement du projet serait restitué au Fonds multilatéral dans un délai de 12 mois suivant la date d’achèvement du projet.</w:t>
      </w:r>
    </w:p>
    <w:p w14:paraId="793A6F32" w14:textId="77777777" w:rsidR="00DC000F" w:rsidRPr="007205F8" w:rsidRDefault="00DC000F" w:rsidP="00DC000F">
      <w:pPr>
        <w:rPr>
          <w:b/>
          <w:lang w:val="fr-FR"/>
        </w:rPr>
      </w:pPr>
      <w:r w:rsidRPr="007205F8">
        <w:rPr>
          <w:b/>
          <w:lang w:val="fr-FR"/>
        </w:rPr>
        <w:t>Recommandation</w:t>
      </w:r>
    </w:p>
    <w:p w14:paraId="51C8BAD0" w14:textId="77777777" w:rsidR="00DC000F" w:rsidRPr="007205F8" w:rsidRDefault="00DC000F" w:rsidP="00DC000F">
      <w:pPr>
        <w:rPr>
          <w:lang w:val="fr-FR"/>
        </w:rPr>
      </w:pPr>
    </w:p>
    <w:p w14:paraId="39BC0808" w14:textId="6D71FF4D" w:rsidR="00DC000F" w:rsidRPr="007205F8" w:rsidRDefault="00DC000F" w:rsidP="00DC000F">
      <w:pPr>
        <w:pStyle w:val="StyleHeading1Para1Heading1CharHeading1Char3CharHeadin"/>
        <w:numPr>
          <w:ilvl w:val="0"/>
          <w:numId w:val="1"/>
        </w:numPr>
        <w:tabs>
          <w:tab w:val="clear" w:pos="0"/>
        </w:tabs>
        <w:rPr>
          <w:lang w:val="fr-FR"/>
        </w:rPr>
      </w:pPr>
      <w:r w:rsidRPr="007205F8">
        <w:rPr>
          <w:lang w:val="fr-FR"/>
        </w:rPr>
        <w:t>Le Comité exécutif pourrait souhaiter :</w:t>
      </w:r>
    </w:p>
    <w:p w14:paraId="46F7492F" w14:textId="7C3D27EA"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Prendre note des principaux aspects relatifs aux technologies de contrôle du sous-produit HFC-23 : Argentine (décision 84/90) figurant dans le document UNEP/OzL.Pro/ExCom/85/64;</w:t>
      </w:r>
    </w:p>
    <w:p w14:paraId="78A7DEE0" w14:textId="77777777" w:rsidR="00DC000F" w:rsidRPr="007205F8" w:rsidRDefault="00DC000F" w:rsidP="00DC000F">
      <w:pPr>
        <w:pStyle w:val="Heading2"/>
        <w:numPr>
          <w:ilvl w:val="1"/>
          <w:numId w:val="1"/>
        </w:numPr>
        <w:tabs>
          <w:tab w:val="clear" w:pos="0"/>
          <w:tab w:val="left" w:pos="720"/>
          <w:tab w:val="num" w:pos="1440"/>
        </w:tabs>
        <w:rPr>
          <w:lang w:val="fr-FR"/>
        </w:rPr>
      </w:pPr>
      <w:r w:rsidRPr="007205F8">
        <w:rPr>
          <w:lang w:val="fr-FR"/>
        </w:rPr>
        <w:t>Approuver, en principe, le montant de [XXX] $ US, plus les coûts d’appui d’agence de [XXX] $ US pour l'ONUDI, pour permettre au gouvernement de l’Argentine de répondre aux obligations en matière de contrôle des émissions du sous-produit HFC-23 au titre de l'Amendement de Kigali du Protocole de Montréal, étant entendu que :</w:t>
      </w:r>
    </w:p>
    <w:p w14:paraId="2C6DE820" w14:textId="531394F2" w:rsidR="00DC000F" w:rsidRPr="007205F8" w:rsidRDefault="00DC000F" w:rsidP="00DC000F">
      <w:pPr>
        <w:pStyle w:val="StyleHeading1Para1Heading1CharHeading1Char3CharHeadin"/>
        <w:numPr>
          <w:ilvl w:val="2"/>
          <w:numId w:val="1"/>
        </w:numPr>
        <w:tabs>
          <w:tab w:val="clear" w:pos="0"/>
          <w:tab w:val="num" w:pos="360"/>
        </w:tabs>
        <w:rPr>
          <w:lang w:val="fr-FR"/>
        </w:rPr>
      </w:pPr>
      <w:r w:rsidRPr="007205F8">
        <w:rPr>
          <w:lang w:val="fr-FR"/>
        </w:rPr>
        <w:t>[</w:t>
      </w:r>
      <w:r w:rsidRPr="007205F8">
        <w:rPr>
          <w:i/>
          <w:lang w:val="fr-FR"/>
        </w:rPr>
        <w:t>En cas de fermeture </w:t>
      </w:r>
      <w:r w:rsidRPr="007205F8">
        <w:rPr>
          <w:lang w:val="fr-FR"/>
        </w:rPr>
        <w:t>: Le gouvernement de l’Argentine assurerait qu’avant le [date], la production de HCFC-22 et la génération du sous-produit HFC-23 en Argentine soient nulles;</w:t>
      </w:r>
    </w:p>
    <w:p w14:paraId="3145EB1F" w14:textId="2E0FA8E2" w:rsidR="00DC000F" w:rsidRPr="007205F8" w:rsidRDefault="00DC000F" w:rsidP="00DC000F">
      <w:pPr>
        <w:pStyle w:val="StyleHeading1Para1Heading1CharHeading1Char3CharHeadin"/>
        <w:ind w:left="2160"/>
        <w:rPr>
          <w:lang w:val="fr-FR"/>
        </w:rPr>
      </w:pPr>
      <w:r w:rsidRPr="007205F8">
        <w:rPr>
          <w:lang w:val="fr-FR"/>
        </w:rPr>
        <w:t>OU</w:t>
      </w:r>
    </w:p>
    <w:p w14:paraId="46089A48" w14:textId="288FC681" w:rsidR="00DC000F" w:rsidRPr="007205F8" w:rsidRDefault="00AF52A1" w:rsidP="00AF52A1">
      <w:pPr>
        <w:pStyle w:val="StyleHeading1Para1Heading1CharHeading1Char3CharHeadin"/>
        <w:ind w:left="2160"/>
        <w:rPr>
          <w:lang w:val="fr-FR"/>
        </w:rPr>
      </w:pPr>
      <w:r w:rsidRPr="007205F8">
        <w:rPr>
          <w:i/>
          <w:lang w:val="fr-FR"/>
        </w:rPr>
        <w:t>En cas de poursuite des opérations :</w:t>
      </w:r>
      <w:r w:rsidRPr="007205F8">
        <w:rPr>
          <w:lang w:val="fr-FR"/>
        </w:rPr>
        <w:t xml:space="preserve"> Le gouvernement de l’Argentine assurerait qu’avant le [date], les émissions du sous-produit HFC-23 résultant de la production de HCFC-22 en Argentine soient détruites conformément au Protocole de Montréal;]</w:t>
      </w:r>
    </w:p>
    <w:p w14:paraId="2EBF0E9E" w14:textId="3AA68512" w:rsidR="00AF52A1" w:rsidRPr="007205F8" w:rsidRDefault="00AF52A1" w:rsidP="00DC000F">
      <w:pPr>
        <w:pStyle w:val="StyleHeading1Para1Heading1CharHeading1Char3CharHeadin"/>
        <w:numPr>
          <w:ilvl w:val="2"/>
          <w:numId w:val="1"/>
        </w:numPr>
        <w:tabs>
          <w:tab w:val="clear" w:pos="0"/>
          <w:tab w:val="num" w:pos="360"/>
        </w:tabs>
        <w:rPr>
          <w:lang w:val="fr-FR"/>
        </w:rPr>
      </w:pPr>
      <w:r w:rsidRPr="007205F8">
        <w:rPr>
          <w:lang w:val="fr-FR"/>
        </w:rPr>
        <w:t>Le projet serait achevé avant le [date] ;</w:t>
      </w:r>
    </w:p>
    <w:p w14:paraId="572C7C6F" w14:textId="77777777" w:rsidR="00AF52A1" w:rsidRPr="007205F8" w:rsidRDefault="00AF52A1" w:rsidP="00AF52A1">
      <w:pPr>
        <w:pStyle w:val="Heading2"/>
        <w:numPr>
          <w:ilvl w:val="1"/>
          <w:numId w:val="1"/>
        </w:numPr>
        <w:tabs>
          <w:tab w:val="clear" w:pos="0"/>
          <w:tab w:val="left" w:pos="720"/>
          <w:tab w:val="num" w:pos="1440"/>
        </w:tabs>
        <w:rPr>
          <w:lang w:val="fr-FR"/>
        </w:rPr>
      </w:pPr>
      <w:r w:rsidRPr="007205F8">
        <w:rPr>
          <w:lang w:val="fr-FR"/>
        </w:rPr>
        <w:t>[</w:t>
      </w:r>
      <w:r w:rsidRPr="007205F8">
        <w:rPr>
          <w:i/>
          <w:lang w:val="fr-FR"/>
        </w:rPr>
        <w:t xml:space="preserve">En cas de fermeture: </w:t>
      </w:r>
      <w:r w:rsidRPr="007205F8">
        <w:rPr>
          <w:lang w:val="fr-FR"/>
        </w:rPr>
        <w:t>Demander à l'ONUDI de restituer à la 86</w:t>
      </w:r>
      <w:r w:rsidRPr="007205F8">
        <w:rPr>
          <w:vertAlign w:val="superscript"/>
          <w:lang w:val="fr-FR"/>
        </w:rPr>
        <w:t>e</w:t>
      </w:r>
      <w:r w:rsidRPr="007205F8">
        <w:rPr>
          <w:lang w:val="fr-FR"/>
        </w:rPr>
        <w:t> réunion 16 667 $ US, plus les coûts d'appui d'agence de 1 167 $ US, associés au suivi de la production pour 2021 et 2022;]</w:t>
      </w:r>
    </w:p>
    <w:p w14:paraId="0E982943" w14:textId="080F9A9B" w:rsidR="00AF52A1" w:rsidRPr="007205F8" w:rsidRDefault="00AF52A1" w:rsidP="0006771D">
      <w:pPr>
        <w:pStyle w:val="Heading2"/>
        <w:numPr>
          <w:ilvl w:val="1"/>
          <w:numId w:val="1"/>
        </w:numPr>
        <w:tabs>
          <w:tab w:val="clear" w:pos="0"/>
          <w:tab w:val="left" w:pos="720"/>
          <w:tab w:val="num" w:pos="1440"/>
        </w:tabs>
        <w:rPr>
          <w:lang w:val="fr-FR"/>
        </w:rPr>
      </w:pPr>
      <w:r w:rsidRPr="007205F8">
        <w:rPr>
          <w:lang w:val="fr-FR"/>
        </w:rPr>
        <w:t>Prendre note que le financement de principe figurant dans le sous-paragraphe (b) ci-dessus est le montant total qu’accorderait le Fonds multilatéral à l’Argentine aux fins du contrôle des émissions du sous-produit HFC</w:t>
      </w:r>
      <w:r w:rsidRPr="007205F8">
        <w:rPr>
          <w:lang w:val="fr-FR"/>
        </w:rPr>
        <w:noBreakHyphen/>
        <w:t>23; [et]</w:t>
      </w:r>
    </w:p>
    <w:p w14:paraId="35F69C27" w14:textId="0C7EDCD4" w:rsidR="00AF52A1" w:rsidRPr="007205F8" w:rsidRDefault="00AF52A1" w:rsidP="00AF52A1">
      <w:pPr>
        <w:pStyle w:val="Heading2"/>
        <w:numPr>
          <w:ilvl w:val="1"/>
          <w:numId w:val="1"/>
        </w:numPr>
        <w:tabs>
          <w:tab w:val="clear" w:pos="0"/>
          <w:tab w:val="left" w:pos="720"/>
          <w:tab w:val="num" w:pos="1440"/>
        </w:tabs>
        <w:rPr>
          <w:lang w:val="fr-FR"/>
        </w:rPr>
      </w:pPr>
      <w:r w:rsidRPr="007205F8">
        <w:rPr>
          <w:lang w:val="fr-FR"/>
        </w:rPr>
        <w:t>Demander au Secrétariat, en coopération avec l'ONUDI, de préparer un projet d’Accord entre le gouvernement de l’Argentine et le Comité exécutif pour le contrôle des émissions du sous-produit HFC-23 à étudier à la 86</w:t>
      </w:r>
      <w:r w:rsidRPr="007205F8">
        <w:rPr>
          <w:vertAlign w:val="superscript"/>
          <w:lang w:val="fr-FR"/>
        </w:rPr>
        <w:t>e</w:t>
      </w:r>
      <w:r w:rsidRPr="007205F8">
        <w:rPr>
          <w:lang w:val="fr-FR"/>
        </w:rPr>
        <w:t> réunion, à la lumière des orientations proposées par le Comité exécutif à la présente réunion [; et]</w:t>
      </w:r>
    </w:p>
    <w:p w14:paraId="53768E14" w14:textId="4C80DEA2" w:rsidR="00AF52A1" w:rsidRPr="007205F8" w:rsidRDefault="00AF52A1" w:rsidP="00AF52A1">
      <w:pPr>
        <w:pStyle w:val="Heading2"/>
        <w:numPr>
          <w:ilvl w:val="1"/>
          <w:numId w:val="1"/>
        </w:numPr>
        <w:tabs>
          <w:tab w:val="clear" w:pos="0"/>
          <w:tab w:val="left" w:pos="720"/>
          <w:tab w:val="num" w:pos="1440"/>
        </w:tabs>
        <w:rPr>
          <w:lang w:val="fr-FR"/>
        </w:rPr>
      </w:pPr>
      <w:r w:rsidRPr="007205F8">
        <w:rPr>
          <w:lang w:val="fr-FR"/>
        </w:rPr>
        <w:t>[Approuver la première tranche du projet visant à contrôler les émissions du HFC-23 pour l’Argentine, et le plan de mise en œuvre 2020- 2021 correspondant, d’un montant de [XXX] $ US, plus des coûts d’appui d’agence de [XXX] $ US pour l’ONUDI.]</w:t>
      </w:r>
    </w:p>
    <w:p w14:paraId="79EA6311" w14:textId="77777777" w:rsidR="00AF52A1" w:rsidRPr="007205F8" w:rsidRDefault="00AF52A1" w:rsidP="00AF52A1">
      <w:pPr>
        <w:rPr>
          <w:lang w:val="fr-FR"/>
        </w:rPr>
      </w:pPr>
    </w:p>
    <w:p w14:paraId="59AAF357" w14:textId="77777777" w:rsidR="00AF52A1" w:rsidRPr="007205F8" w:rsidRDefault="00AF52A1" w:rsidP="00AF52A1">
      <w:pPr>
        <w:rPr>
          <w:lang w:val="fr-FR"/>
        </w:rPr>
      </w:pPr>
    </w:p>
    <w:p w14:paraId="6F2C0ABD" w14:textId="6E53FB2B" w:rsidR="00441083" w:rsidRPr="007205F8" w:rsidRDefault="00441083" w:rsidP="00171F5F">
      <w:pPr>
        <w:pStyle w:val="StyleHeader4Para4Left0Firstline0"/>
        <w:numPr>
          <w:ilvl w:val="0"/>
          <w:numId w:val="0"/>
        </w:numPr>
        <w:rPr>
          <w:lang w:val="fr-FR"/>
        </w:rPr>
      </w:pPr>
    </w:p>
    <w:p w14:paraId="07A4F05F" w14:textId="77777777" w:rsidR="00441083" w:rsidRPr="007205F8" w:rsidRDefault="00441083">
      <w:pPr>
        <w:pStyle w:val="StyleHeader4Para4Left0Firstline0"/>
        <w:numPr>
          <w:ilvl w:val="0"/>
          <w:numId w:val="0"/>
        </w:numPr>
        <w:rPr>
          <w:lang w:val="fr-FR"/>
        </w:rPr>
      </w:pPr>
    </w:p>
    <w:p w14:paraId="5DA61BCA" w14:textId="77777777" w:rsidR="00441083" w:rsidRPr="007205F8" w:rsidRDefault="00441083">
      <w:pPr>
        <w:pStyle w:val="StyleHeader4Para4Left0Firstline0"/>
        <w:numPr>
          <w:ilvl w:val="0"/>
          <w:numId w:val="0"/>
        </w:numPr>
        <w:rPr>
          <w:lang w:val="fr-FR"/>
        </w:rPr>
      </w:pPr>
    </w:p>
    <w:p w14:paraId="323D49A4" w14:textId="1BD3E623" w:rsidR="00441083" w:rsidRPr="007205F8" w:rsidRDefault="00441083" w:rsidP="00171F5F">
      <w:pPr>
        <w:pStyle w:val="StyleHeader4Para4Left0Firstline0"/>
        <w:numPr>
          <w:ilvl w:val="0"/>
          <w:numId w:val="0"/>
        </w:numPr>
        <w:rPr>
          <w:lang w:val="fr-FR"/>
        </w:rPr>
        <w:sectPr w:rsidR="00441083" w:rsidRPr="007205F8">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743EF82F" w14:textId="07BA78C3" w:rsidR="00441083" w:rsidRPr="007205F8" w:rsidRDefault="00441083">
      <w:pPr>
        <w:jc w:val="center"/>
        <w:rPr>
          <w:b/>
          <w:lang w:val="fr-FR"/>
        </w:rPr>
      </w:pPr>
    </w:p>
    <w:p w14:paraId="2EC41A96" w14:textId="77777777" w:rsidR="00441083" w:rsidRPr="007205F8" w:rsidRDefault="00441083">
      <w:pPr>
        <w:rPr>
          <w:lang w:val="fr-FR"/>
        </w:rPr>
      </w:pPr>
    </w:p>
    <w:p w14:paraId="343CBB8B" w14:textId="77777777" w:rsidR="00441083" w:rsidRPr="007205F8" w:rsidRDefault="00441083">
      <w:pPr>
        <w:rPr>
          <w:lang w:val="fr-FR"/>
        </w:rPr>
      </w:pPr>
    </w:p>
    <w:p w14:paraId="18F38F2D" w14:textId="77777777" w:rsidR="00441083" w:rsidRPr="007205F8" w:rsidRDefault="00441083">
      <w:pPr>
        <w:rPr>
          <w:lang w:val="fr-FR"/>
        </w:rPr>
      </w:pPr>
    </w:p>
    <w:p w14:paraId="52C8765B" w14:textId="77777777" w:rsidR="00441083" w:rsidRPr="007205F8" w:rsidRDefault="00441083">
      <w:pPr>
        <w:rPr>
          <w:lang w:val="fr-FR"/>
        </w:rPr>
      </w:pPr>
    </w:p>
    <w:p w14:paraId="6F71660F" w14:textId="77777777" w:rsidR="00441083" w:rsidRPr="007205F8" w:rsidRDefault="00441083">
      <w:pPr>
        <w:rPr>
          <w:lang w:val="fr-FR"/>
        </w:rPr>
      </w:pPr>
    </w:p>
    <w:p w14:paraId="6C6547F4" w14:textId="77777777" w:rsidR="00441083" w:rsidRPr="007205F8" w:rsidRDefault="00441083">
      <w:pPr>
        <w:rPr>
          <w:lang w:val="fr-FR"/>
        </w:rPr>
      </w:pPr>
    </w:p>
    <w:p w14:paraId="04865B3F" w14:textId="77777777" w:rsidR="00441083" w:rsidRPr="007205F8" w:rsidRDefault="00441083">
      <w:pPr>
        <w:rPr>
          <w:lang w:val="fr-FR"/>
        </w:rPr>
      </w:pPr>
    </w:p>
    <w:p w14:paraId="31674040" w14:textId="77777777" w:rsidR="00441083" w:rsidRPr="007205F8" w:rsidRDefault="00441083">
      <w:pPr>
        <w:rPr>
          <w:lang w:val="fr-FR"/>
        </w:rPr>
      </w:pPr>
    </w:p>
    <w:p w14:paraId="6118B236" w14:textId="77777777" w:rsidR="00441083" w:rsidRPr="007205F8" w:rsidRDefault="00441083">
      <w:pPr>
        <w:rPr>
          <w:lang w:val="fr-FR"/>
        </w:rPr>
      </w:pPr>
    </w:p>
    <w:p w14:paraId="0B79AF17" w14:textId="77777777" w:rsidR="00441083" w:rsidRPr="007205F8" w:rsidRDefault="00441083">
      <w:pPr>
        <w:rPr>
          <w:lang w:val="fr-FR"/>
        </w:rPr>
      </w:pPr>
    </w:p>
    <w:p w14:paraId="563EC74B" w14:textId="77777777" w:rsidR="00441083" w:rsidRPr="007205F8" w:rsidRDefault="00441083">
      <w:pPr>
        <w:rPr>
          <w:lang w:val="fr-FR"/>
        </w:rPr>
      </w:pPr>
    </w:p>
    <w:p w14:paraId="41705C17" w14:textId="77777777" w:rsidR="00441083" w:rsidRPr="007205F8" w:rsidRDefault="00441083">
      <w:pPr>
        <w:rPr>
          <w:lang w:val="fr-FR"/>
        </w:rPr>
      </w:pPr>
    </w:p>
    <w:p w14:paraId="0E89C203" w14:textId="77777777" w:rsidR="00441083" w:rsidRPr="007205F8" w:rsidRDefault="00441083">
      <w:pPr>
        <w:rPr>
          <w:lang w:val="fr-FR"/>
        </w:rPr>
      </w:pPr>
    </w:p>
    <w:p w14:paraId="55E4B6E5" w14:textId="77777777" w:rsidR="00441083" w:rsidRPr="007205F8" w:rsidRDefault="00441083">
      <w:pPr>
        <w:rPr>
          <w:lang w:val="fr-FR"/>
        </w:rPr>
      </w:pPr>
    </w:p>
    <w:p w14:paraId="424945CF" w14:textId="77777777" w:rsidR="00441083" w:rsidRPr="007205F8" w:rsidRDefault="00441083">
      <w:pPr>
        <w:rPr>
          <w:lang w:val="fr-FR"/>
        </w:rPr>
      </w:pPr>
    </w:p>
    <w:p w14:paraId="1007EF24" w14:textId="77777777" w:rsidR="00441083" w:rsidRPr="007205F8" w:rsidRDefault="00441083">
      <w:pPr>
        <w:rPr>
          <w:lang w:val="fr-FR"/>
        </w:rPr>
      </w:pPr>
    </w:p>
    <w:p w14:paraId="1B6E02DC" w14:textId="77777777" w:rsidR="00441083" w:rsidRPr="007205F8" w:rsidRDefault="00441083">
      <w:pPr>
        <w:rPr>
          <w:lang w:val="fr-FR"/>
        </w:rPr>
      </w:pPr>
    </w:p>
    <w:p w14:paraId="66707009" w14:textId="77777777" w:rsidR="00441083" w:rsidRPr="007205F8" w:rsidRDefault="00441083">
      <w:pPr>
        <w:rPr>
          <w:lang w:val="fr-FR"/>
        </w:rPr>
      </w:pPr>
    </w:p>
    <w:p w14:paraId="0286F95E" w14:textId="77777777" w:rsidR="00441083" w:rsidRPr="007205F8" w:rsidRDefault="00441083">
      <w:pPr>
        <w:rPr>
          <w:lang w:val="fr-FR"/>
        </w:rPr>
      </w:pPr>
    </w:p>
    <w:p w14:paraId="0F193470" w14:textId="77777777" w:rsidR="00441083" w:rsidRPr="007205F8" w:rsidRDefault="00441083">
      <w:pPr>
        <w:rPr>
          <w:lang w:val="fr-FR"/>
        </w:rPr>
      </w:pPr>
    </w:p>
    <w:p w14:paraId="54FD6363" w14:textId="77777777" w:rsidR="00441083" w:rsidRPr="007205F8" w:rsidRDefault="00441083">
      <w:pPr>
        <w:rPr>
          <w:lang w:val="fr-FR"/>
        </w:rPr>
      </w:pPr>
    </w:p>
    <w:p w14:paraId="17DAAE60" w14:textId="77777777" w:rsidR="00441083" w:rsidRPr="007205F8" w:rsidRDefault="00441083">
      <w:pPr>
        <w:rPr>
          <w:lang w:val="fr-FR"/>
        </w:rPr>
      </w:pPr>
    </w:p>
    <w:p w14:paraId="3B605172" w14:textId="77777777" w:rsidR="00441083" w:rsidRPr="007205F8" w:rsidRDefault="00441083">
      <w:pPr>
        <w:rPr>
          <w:lang w:val="fr-FR"/>
        </w:rPr>
      </w:pPr>
    </w:p>
    <w:p w14:paraId="79216192" w14:textId="77777777" w:rsidR="00441083" w:rsidRPr="007205F8" w:rsidRDefault="00441083">
      <w:pPr>
        <w:rPr>
          <w:lang w:val="fr-FR"/>
        </w:rPr>
      </w:pPr>
    </w:p>
    <w:p w14:paraId="10A9121B" w14:textId="77777777" w:rsidR="00441083" w:rsidRPr="007205F8" w:rsidRDefault="00441083">
      <w:pPr>
        <w:rPr>
          <w:lang w:val="fr-FR"/>
        </w:rPr>
      </w:pPr>
    </w:p>
    <w:p w14:paraId="41285739" w14:textId="77777777" w:rsidR="00441083" w:rsidRPr="007205F8" w:rsidRDefault="00441083">
      <w:pPr>
        <w:rPr>
          <w:lang w:val="fr-FR"/>
        </w:rPr>
      </w:pPr>
    </w:p>
    <w:p w14:paraId="43A6EF23" w14:textId="77777777" w:rsidR="00441083" w:rsidRPr="007205F8" w:rsidRDefault="00441083">
      <w:pPr>
        <w:rPr>
          <w:lang w:val="fr-FR"/>
        </w:rPr>
      </w:pPr>
    </w:p>
    <w:p w14:paraId="7630EBDA" w14:textId="77777777" w:rsidR="00441083" w:rsidRPr="007205F8" w:rsidRDefault="00441083">
      <w:pPr>
        <w:rPr>
          <w:lang w:val="fr-FR"/>
        </w:rPr>
      </w:pPr>
    </w:p>
    <w:p w14:paraId="4DD4F7BD" w14:textId="77777777" w:rsidR="00441083" w:rsidRPr="007205F8" w:rsidRDefault="00441083">
      <w:pPr>
        <w:rPr>
          <w:lang w:val="fr-FR"/>
        </w:rPr>
      </w:pPr>
    </w:p>
    <w:p w14:paraId="7E30FD13" w14:textId="77777777" w:rsidR="00441083" w:rsidRPr="007205F8" w:rsidRDefault="00441083">
      <w:pPr>
        <w:rPr>
          <w:lang w:val="fr-FR"/>
        </w:rPr>
      </w:pPr>
    </w:p>
    <w:p w14:paraId="3869C5ED" w14:textId="77777777" w:rsidR="00441083" w:rsidRPr="007205F8" w:rsidRDefault="00441083">
      <w:pPr>
        <w:rPr>
          <w:lang w:val="fr-FR"/>
        </w:rPr>
      </w:pPr>
    </w:p>
    <w:p w14:paraId="4CDAF109" w14:textId="77777777" w:rsidR="00441083" w:rsidRPr="007205F8" w:rsidRDefault="00441083">
      <w:pPr>
        <w:rPr>
          <w:lang w:val="fr-FR"/>
        </w:rPr>
      </w:pPr>
    </w:p>
    <w:p w14:paraId="065DBB3E" w14:textId="77777777" w:rsidR="00441083" w:rsidRPr="007205F8" w:rsidRDefault="00441083">
      <w:pPr>
        <w:rPr>
          <w:lang w:val="fr-FR"/>
        </w:rPr>
      </w:pPr>
    </w:p>
    <w:p w14:paraId="54E4EC40" w14:textId="77777777" w:rsidR="00441083" w:rsidRPr="007205F8" w:rsidRDefault="00441083">
      <w:pPr>
        <w:rPr>
          <w:lang w:val="fr-FR"/>
        </w:rPr>
      </w:pPr>
    </w:p>
    <w:p w14:paraId="6D482BF6" w14:textId="77777777" w:rsidR="00441083" w:rsidRPr="007205F8" w:rsidRDefault="00441083">
      <w:pPr>
        <w:rPr>
          <w:lang w:val="fr-FR"/>
        </w:rPr>
      </w:pPr>
    </w:p>
    <w:p w14:paraId="04CB7EF9" w14:textId="77777777" w:rsidR="00441083" w:rsidRPr="007205F8" w:rsidRDefault="00441083">
      <w:pPr>
        <w:rPr>
          <w:lang w:val="fr-FR"/>
        </w:rPr>
      </w:pPr>
    </w:p>
    <w:p w14:paraId="0DD2BAA7" w14:textId="77777777" w:rsidR="00441083" w:rsidRPr="007205F8" w:rsidRDefault="00441083">
      <w:pPr>
        <w:rPr>
          <w:lang w:val="fr-FR"/>
        </w:rPr>
      </w:pPr>
    </w:p>
    <w:p w14:paraId="684F41E0" w14:textId="77777777" w:rsidR="00441083" w:rsidRPr="007205F8" w:rsidRDefault="00441083">
      <w:pPr>
        <w:rPr>
          <w:lang w:val="fr-FR"/>
        </w:rPr>
      </w:pPr>
    </w:p>
    <w:p w14:paraId="439F2AD5" w14:textId="77777777" w:rsidR="00441083" w:rsidRPr="007205F8" w:rsidRDefault="00441083">
      <w:pPr>
        <w:rPr>
          <w:lang w:val="fr-FR"/>
        </w:rPr>
      </w:pPr>
    </w:p>
    <w:p w14:paraId="4C3AFBE7" w14:textId="77777777" w:rsidR="00441083" w:rsidRPr="007205F8" w:rsidRDefault="00441083">
      <w:pPr>
        <w:rPr>
          <w:lang w:val="fr-FR"/>
        </w:rPr>
      </w:pPr>
    </w:p>
    <w:p w14:paraId="0DDEB48C" w14:textId="77777777" w:rsidR="00441083" w:rsidRPr="007205F8" w:rsidRDefault="00441083">
      <w:pPr>
        <w:rPr>
          <w:lang w:val="fr-FR"/>
        </w:rPr>
      </w:pPr>
    </w:p>
    <w:p w14:paraId="33C11A5A" w14:textId="77777777" w:rsidR="00441083" w:rsidRPr="007205F8" w:rsidRDefault="00441083">
      <w:pPr>
        <w:rPr>
          <w:lang w:val="fr-FR"/>
        </w:rPr>
      </w:pPr>
    </w:p>
    <w:p w14:paraId="121CD114" w14:textId="77777777" w:rsidR="00441083" w:rsidRPr="007205F8"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B27685" w14:paraId="0148CF71" w14:textId="77777777">
        <w:tc>
          <w:tcPr>
            <w:tcW w:w="1915" w:type="dxa"/>
          </w:tcPr>
          <w:p w14:paraId="768DB2B2" w14:textId="77777777" w:rsidR="00441083" w:rsidRPr="007205F8" w:rsidRDefault="00441083">
            <w:pPr>
              <w:rPr>
                <w:lang w:val="fr-FR"/>
              </w:rPr>
            </w:pPr>
          </w:p>
        </w:tc>
        <w:tc>
          <w:tcPr>
            <w:tcW w:w="1915" w:type="dxa"/>
          </w:tcPr>
          <w:p w14:paraId="350D4CFA" w14:textId="77777777" w:rsidR="00441083" w:rsidRPr="007205F8" w:rsidRDefault="00441083">
            <w:pPr>
              <w:rPr>
                <w:lang w:val="fr-FR"/>
              </w:rPr>
            </w:pPr>
          </w:p>
        </w:tc>
        <w:tc>
          <w:tcPr>
            <w:tcW w:w="1915" w:type="dxa"/>
            <w:tcBorders>
              <w:bottom w:val="single" w:sz="4" w:space="0" w:color="auto"/>
            </w:tcBorders>
          </w:tcPr>
          <w:p w14:paraId="5A4EE577" w14:textId="77777777" w:rsidR="00441083" w:rsidRPr="007205F8" w:rsidRDefault="00441083">
            <w:pPr>
              <w:rPr>
                <w:b/>
                <w:bCs/>
                <w:lang w:val="fr-FR"/>
              </w:rPr>
            </w:pPr>
          </w:p>
        </w:tc>
        <w:tc>
          <w:tcPr>
            <w:tcW w:w="1915" w:type="dxa"/>
          </w:tcPr>
          <w:p w14:paraId="1FC5ED7C" w14:textId="77777777" w:rsidR="00441083" w:rsidRPr="007205F8" w:rsidRDefault="00441083">
            <w:pPr>
              <w:rPr>
                <w:lang w:val="fr-FR"/>
              </w:rPr>
            </w:pPr>
          </w:p>
        </w:tc>
        <w:tc>
          <w:tcPr>
            <w:tcW w:w="1916" w:type="dxa"/>
          </w:tcPr>
          <w:p w14:paraId="07346D11" w14:textId="77777777" w:rsidR="00441083" w:rsidRPr="007205F8" w:rsidRDefault="00441083">
            <w:pPr>
              <w:rPr>
                <w:lang w:val="fr-FR"/>
              </w:rPr>
            </w:pPr>
          </w:p>
        </w:tc>
      </w:tr>
    </w:tbl>
    <w:p w14:paraId="614AC03F" w14:textId="77777777" w:rsidR="00441083" w:rsidRPr="007205F8" w:rsidRDefault="00441083">
      <w:pPr>
        <w:rPr>
          <w:lang w:val="fr-FR"/>
        </w:rPr>
      </w:pPr>
    </w:p>
    <w:sectPr w:rsidR="00441083" w:rsidRPr="007205F8">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B51B37" w14:textId="77777777" w:rsidR="00636AF8" w:rsidRDefault="00636AF8">
      <w:r>
        <w:separator/>
      </w:r>
    </w:p>
  </w:endnote>
  <w:endnote w:type="continuationSeparator" w:id="0">
    <w:p w14:paraId="3E683326" w14:textId="77777777" w:rsidR="00636AF8" w:rsidRDefault="00636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1E2AD" w14:textId="77777777" w:rsidR="0006771D" w:rsidRDefault="0006771D">
    <w:pPr>
      <w:jc w:val="center"/>
    </w:pPr>
    <w:r>
      <w:fldChar w:fldCharType="begin"/>
    </w:r>
    <w:r>
      <w:instrText xml:space="preserve"> PAGE </w:instrText>
    </w:r>
    <w:r>
      <w:fldChar w:fldCharType="separate"/>
    </w:r>
    <w:r w:rsidR="00720BD7">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0739B" w14:textId="77777777" w:rsidR="0006771D" w:rsidRDefault="0006771D">
    <w:pPr>
      <w:jc w:val="center"/>
    </w:pPr>
    <w:r>
      <w:fldChar w:fldCharType="begin"/>
    </w:r>
    <w:r>
      <w:instrText xml:space="preserve"> PAGE </w:instrText>
    </w:r>
    <w:r>
      <w:fldChar w:fldCharType="separate"/>
    </w:r>
    <w:r w:rsidR="00720BD7">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6DA3C" w14:textId="77777777" w:rsidR="0006771D" w:rsidRDefault="0006771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F0F1D44" w14:textId="77777777" w:rsidR="0006771D" w:rsidRDefault="0006771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1E2A202" w14:textId="77777777" w:rsidR="0006771D" w:rsidRDefault="0006771D">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38B03EA1" w14:textId="77777777" w:rsidR="0006771D" w:rsidRDefault="0006771D">
        <w:pPr>
          <w:pStyle w:val="Footer"/>
          <w:jc w:val="center"/>
        </w:pPr>
        <w:r>
          <w:fldChar w:fldCharType="begin"/>
        </w:r>
        <w:r>
          <w:instrText xml:space="preserve"> PAGE   \* MERGEFORMAT </w:instrText>
        </w:r>
        <w:r>
          <w:fldChar w:fldCharType="separate"/>
        </w:r>
        <w:r w:rsidR="00720BD7">
          <w:rPr>
            <w:noProof/>
          </w:rPr>
          <w:t>1</w:t>
        </w:r>
        <w:r>
          <w:rPr>
            <w:noProof/>
          </w:rPr>
          <w:fldChar w:fldCharType="end"/>
        </w:r>
      </w:p>
    </w:sdtContent>
  </w:sdt>
  <w:p w14:paraId="5C5F8B1E" w14:textId="77777777" w:rsidR="0006771D" w:rsidRDefault="0006771D">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897A3E" w14:textId="77777777" w:rsidR="00636AF8" w:rsidRDefault="00636AF8">
      <w:r>
        <w:separator/>
      </w:r>
    </w:p>
  </w:footnote>
  <w:footnote w:type="continuationSeparator" w:id="0">
    <w:p w14:paraId="27D4D542" w14:textId="77777777" w:rsidR="00636AF8" w:rsidRDefault="00636AF8">
      <w:r>
        <w:continuationSeparator/>
      </w:r>
    </w:p>
  </w:footnote>
  <w:footnote w:id="1">
    <w:p w14:paraId="1E456AF4" w14:textId="77777777" w:rsidR="0006771D" w:rsidRPr="00B27685" w:rsidRDefault="0006771D" w:rsidP="00317CC6">
      <w:pPr>
        <w:tabs>
          <w:tab w:val="left" w:pos="8280"/>
        </w:tabs>
        <w:rPr>
          <w:sz w:val="20"/>
          <w:szCs w:val="20"/>
          <w:lang w:val="fr-CA"/>
        </w:rPr>
      </w:pPr>
      <w:r w:rsidRPr="00B27685">
        <w:rPr>
          <w:sz w:val="20"/>
          <w:lang w:val="fr-CA"/>
        </w:rPr>
        <w:t>* À cause du coronavirus (COVID-19).</w:t>
      </w:r>
    </w:p>
    <w:p w14:paraId="6824D9F8" w14:textId="77777777" w:rsidR="0006771D" w:rsidRPr="00EE1470" w:rsidRDefault="0006771D" w:rsidP="00317CC6">
      <w:pPr>
        <w:pStyle w:val="FootnoteText"/>
      </w:pPr>
      <w:r>
        <w:rPr>
          <w:rStyle w:val="FootnoteReference"/>
        </w:rPr>
        <w:footnoteRef/>
      </w:r>
      <w:r>
        <w:t xml:space="preserve"> UNEP/</w:t>
      </w:r>
      <w:proofErr w:type="spellStart"/>
      <w:r>
        <w:t>OzL.Pro</w:t>
      </w:r>
      <w:proofErr w:type="spellEnd"/>
      <w:r>
        <w:t>/</w:t>
      </w:r>
      <w:proofErr w:type="spellStart"/>
      <w:r>
        <w:t>ExCom</w:t>
      </w:r>
      <w:proofErr w:type="spellEnd"/>
      <w:r>
        <w:t>/84/71.</w:t>
      </w:r>
    </w:p>
  </w:footnote>
  <w:footnote w:id="2">
    <w:p w14:paraId="412C6426" w14:textId="77777777" w:rsidR="0006771D" w:rsidRPr="00AC6756" w:rsidRDefault="0006771D" w:rsidP="00317CC6">
      <w:pPr>
        <w:pStyle w:val="FootnoteText"/>
        <w:tabs>
          <w:tab w:val="left" w:pos="7410"/>
        </w:tabs>
      </w:pPr>
      <w:r>
        <w:rPr>
          <w:rStyle w:val="FootnoteReference"/>
        </w:rPr>
        <w:footnoteRef/>
      </w:r>
      <w:r>
        <w:t xml:space="preserve"> Paragraphes 354 et 355 du UNEP/OzL.Pro/ExCom/84/75.</w:t>
      </w:r>
    </w:p>
  </w:footnote>
  <w:footnote w:id="3">
    <w:p w14:paraId="740874E3" w14:textId="507C78FB" w:rsidR="0006771D" w:rsidRDefault="0006771D" w:rsidP="00317CC6">
      <w:pPr>
        <w:pStyle w:val="FootnoteText"/>
      </w:pPr>
      <w:r>
        <w:rPr>
          <w:rStyle w:val="FootnoteReference"/>
        </w:rPr>
        <w:footnoteRef/>
      </w:r>
      <w:r>
        <w:t xml:space="preserve"> UNEP/</w:t>
      </w:r>
      <w:proofErr w:type="spellStart"/>
      <w:r>
        <w:t>OzL.Pro</w:t>
      </w:r>
      <w:proofErr w:type="spellEnd"/>
      <w:r>
        <w:t>/</w:t>
      </w:r>
      <w:proofErr w:type="spellStart"/>
      <w:r>
        <w:t>ExCom</w:t>
      </w:r>
      <w:proofErr w:type="spellEnd"/>
      <w:r>
        <w:t>/84/72.</w:t>
      </w:r>
    </w:p>
    <w:p w14:paraId="523A043B" w14:textId="77777777" w:rsidR="00B27685" w:rsidRPr="006B4B8B" w:rsidRDefault="00B27685" w:rsidP="00317CC6">
      <w:pPr>
        <w:pStyle w:val="FootnoteText"/>
      </w:pPr>
    </w:p>
  </w:footnote>
  <w:footnote w:id="4">
    <w:p w14:paraId="037916FD" w14:textId="77777777" w:rsidR="0006771D" w:rsidRPr="006B4B8B" w:rsidRDefault="0006771D" w:rsidP="00317CC6">
      <w:pPr>
        <w:pStyle w:val="FootnoteText"/>
      </w:pPr>
      <w:r>
        <w:rPr>
          <w:rStyle w:val="FootnoteReference"/>
        </w:rPr>
        <w:footnoteRef/>
      </w:r>
      <w:r>
        <w:t xml:space="preserve"> UNEP/OzL.Pro/ExCom/84/70.</w:t>
      </w:r>
    </w:p>
  </w:footnote>
  <w:footnote w:id="5">
    <w:p w14:paraId="4B6804AD" w14:textId="77777777" w:rsidR="0006771D" w:rsidRPr="00623651" w:rsidRDefault="0006771D" w:rsidP="00317CC6">
      <w:pPr>
        <w:pStyle w:val="FootnoteText"/>
      </w:pPr>
      <w:r>
        <w:rPr>
          <w:rStyle w:val="FootnoteReference"/>
        </w:rPr>
        <w:footnoteRef/>
      </w:r>
      <w:r>
        <w:t xml:space="preserve"> Ces informations sont jugées confidentielles. Les membres du Comité exécutif qui souhaitent consulter ces informations peuvent en faire la demande au Secrétariat, étant entendu que les informations ne doivent servir qu’à évaluer le projet et ne doivent en aucun cas être communiquées à une tierce partie.</w:t>
      </w:r>
    </w:p>
  </w:footnote>
  <w:footnote w:id="6">
    <w:p w14:paraId="31D690F4" w14:textId="77777777" w:rsidR="0006771D" w:rsidRPr="00BF6CED" w:rsidRDefault="0006771D" w:rsidP="00317CC6">
      <w:pPr>
        <w:pStyle w:val="FootnoteText"/>
      </w:pPr>
      <w:r>
        <w:rPr>
          <w:rStyle w:val="FootnoteReference"/>
        </w:rPr>
        <w:footnoteRef/>
      </w:r>
      <w:r>
        <w:t xml:space="preserve"> </w:t>
      </w:r>
      <w:hyperlink r:id="rId1" w:history="1">
        <w:r>
          <w:rPr>
            <w:rStyle w:val="Hyperlink"/>
          </w:rPr>
          <w:t>https://www.worldbank.org/en/country/argentina/overview</w:t>
        </w:r>
      </w:hyperlink>
      <w:r>
        <w:t>. Consultable au 24 mars 2020.</w:t>
      </w:r>
    </w:p>
  </w:footnote>
  <w:footnote w:id="7">
    <w:p w14:paraId="791CC7D1" w14:textId="77777777" w:rsidR="0006771D" w:rsidRPr="00AE503F" w:rsidRDefault="0006771D" w:rsidP="00317CC6">
      <w:pPr>
        <w:pStyle w:val="FootnoteText"/>
      </w:pPr>
      <w:r>
        <w:rPr>
          <w:rStyle w:val="FootnoteReference"/>
        </w:rPr>
        <w:footnoteRef/>
      </w:r>
      <w:r>
        <w:t xml:space="preserve"> </w:t>
      </w:r>
      <w:hyperlink r:id="rId2" w:history="1">
        <w:r>
          <w:rPr>
            <w:rStyle w:val="Hyperlink"/>
          </w:rPr>
          <w:t>http://servicios.infoleg.gob.ar/infolegInternet/anexos/330000-334999/333435/norma.htm</w:t>
        </w:r>
      </w:hyperlink>
    </w:p>
  </w:footnote>
  <w:footnote w:id="8">
    <w:p w14:paraId="3B9E24A9" w14:textId="77777777" w:rsidR="0006771D" w:rsidRPr="00EC4849" w:rsidRDefault="0006771D" w:rsidP="00F27841">
      <w:pPr>
        <w:pStyle w:val="FootnoteText"/>
      </w:pPr>
      <w:r>
        <w:rPr>
          <w:rStyle w:val="FootnoteReference"/>
        </w:rPr>
        <w:footnoteRef/>
      </w:r>
      <w:r>
        <w:t xml:space="preserve"> Afin de développer ce modèle, l'ONUDI a recueilli les données financières par le biais d’un questionnaire, complété les données manquantes, demandé des précisions, recoupé les informations et recueilli les justificatifs papier concernant toutes les données financières de FIASA.</w:t>
      </w:r>
    </w:p>
  </w:footnote>
  <w:footnote w:id="9">
    <w:p w14:paraId="1E83FC56" w14:textId="77777777" w:rsidR="0006771D" w:rsidRPr="0077257A" w:rsidRDefault="0006771D" w:rsidP="00F27841">
      <w:pPr>
        <w:pStyle w:val="FootnoteText"/>
      </w:pPr>
      <w:r>
        <w:rPr>
          <w:rStyle w:val="FootnoteReference"/>
        </w:rPr>
        <w:footnoteRef/>
      </w:r>
      <w:r>
        <w:t xml:space="preserve"> Informations jugées confidentielles.</w:t>
      </w:r>
    </w:p>
  </w:footnote>
  <w:footnote w:id="10">
    <w:p w14:paraId="152A0D75" w14:textId="77777777" w:rsidR="0006771D" w:rsidRPr="002C1D2D" w:rsidRDefault="0006771D" w:rsidP="00F27841">
      <w:pPr>
        <w:pStyle w:val="FootnoteText"/>
      </w:pPr>
      <w:r>
        <w:rPr>
          <w:rStyle w:val="FootnoteReference"/>
        </w:rPr>
        <w:footnoteRef/>
      </w:r>
      <w:r>
        <w:t xml:space="preserve"> </w:t>
      </w:r>
      <w:r>
        <w:rPr>
          <w:i/>
          <w:iCs/>
        </w:rPr>
        <w:t>Ibid</w:t>
      </w:r>
      <w:r>
        <w:t>.</w:t>
      </w:r>
    </w:p>
  </w:footnote>
  <w:footnote w:id="11">
    <w:p w14:paraId="39BF83E6" w14:textId="77777777" w:rsidR="0006771D" w:rsidRPr="006F503D" w:rsidRDefault="0006771D" w:rsidP="00F27841">
      <w:pPr>
        <w:pStyle w:val="FootnoteText"/>
      </w:pPr>
      <w:r>
        <w:rPr>
          <w:rStyle w:val="FootnoteReference"/>
        </w:rPr>
        <w:footnoteRef/>
      </w:r>
      <w:r>
        <w:t xml:space="preserve"> En 2019, le taux d'inflation médian était de 1,5 pour cent dans les pays non visés à l’article 5 et de 2,6 pour cent dans les pays visés à l’article 5, alors qu’il était de 54 pour cent en Argentine. Les taux d'intérêt dans un pays sont liés au taux d’inflation dans ce pays, les banques prêtant de l’argent à des taux d'intérêt supérieurs au taux d’inflation et payant des intérêts sur les comptes de dépôts à des taux qui sont généralement inférieurs au taux d'inflation.</w:t>
      </w:r>
    </w:p>
  </w:footnote>
  <w:footnote w:id="12">
    <w:p w14:paraId="1A0B0102" w14:textId="77777777" w:rsidR="0006771D" w:rsidRPr="001720FA" w:rsidRDefault="0006771D" w:rsidP="00F27841">
      <w:pPr>
        <w:pStyle w:val="FootnoteText"/>
      </w:pPr>
      <w:r>
        <w:rPr>
          <w:rStyle w:val="FootnoteReference"/>
        </w:rPr>
        <w:footnoteRef/>
      </w:r>
      <w:r>
        <w:t xml:space="preserve"> L'ONUDI a envisagé un taux d'intérêt de 7,5 pour cent car FIASA est solidement implantée et opérationnelle depuis longtemps, qu’elle a les capacités de continuer de produire du HCFC-22 pendant plus de 15 ans, qu’elle est la seule usine productrice de HCFC-22 dans le pays, et qu’elle a élargi ses activités en commercialisant d’autres gaz réfrigérants. Le Secrétariat a pris note, cependant, que quelle que soit la solidité de l’implantation d'une entreprise, et quel que soit le faible niveau de risque qu’elle puisse représenter, une banque ne peut prêter de l’argent qu’à un taux supérieur au taux d’inflation dans le pays concerné.</w:t>
      </w:r>
    </w:p>
  </w:footnote>
  <w:footnote w:id="13">
    <w:p w14:paraId="2672ED13" w14:textId="77777777" w:rsidR="0006771D" w:rsidRPr="00045E48" w:rsidRDefault="0006771D" w:rsidP="00F27841">
      <w:pPr>
        <w:pStyle w:val="FootnoteText"/>
      </w:pPr>
      <w:r>
        <w:rPr>
          <w:rStyle w:val="FootnoteReference"/>
        </w:rPr>
        <w:footnoteRef/>
      </w:r>
      <w:r>
        <w:t xml:space="preserve"> La nouvelle dévaluation du peso argentin peut éventuellement réduire l’effet de cette inflation; mais dans ce cas, le prix des matières premières nécessaires pour produire le HCFC-22 (c’est-à-dire le chloroforme et l’AHF) augmenterait en ARS; et cette augmentation se répercuterait sur les consommateurs argentins.</w:t>
      </w:r>
    </w:p>
  </w:footnote>
  <w:footnote w:id="14">
    <w:p w14:paraId="13D3139A" w14:textId="77777777" w:rsidR="0006771D" w:rsidRPr="004D1C9B" w:rsidRDefault="0006771D" w:rsidP="00F27841">
      <w:pPr>
        <w:pStyle w:val="FootnoteText"/>
      </w:pPr>
      <w:r>
        <w:rPr>
          <w:rStyle w:val="FootnoteReference"/>
        </w:rPr>
        <w:footnoteRef/>
      </w:r>
      <w:r>
        <w:t xml:space="preserve"> UNEP/OzL.Pro/ExCom/83/44.</w:t>
      </w:r>
    </w:p>
  </w:footnote>
  <w:footnote w:id="15">
    <w:p w14:paraId="11A92102" w14:textId="77777777" w:rsidR="0006771D" w:rsidRPr="00EA0D2C" w:rsidRDefault="0006771D" w:rsidP="00F27841">
      <w:pPr>
        <w:pStyle w:val="FootnoteText"/>
      </w:pPr>
      <w:r>
        <w:rPr>
          <w:rStyle w:val="FootnoteReference"/>
        </w:rPr>
        <w:footnoteRef/>
      </w:r>
      <w:r>
        <w:t xml:space="preserve"> Le Fonds monétaire international prévoit que le PIB de l’Argentine diminuera de 5,7 pour cent en 2020, </w:t>
      </w:r>
      <w:hyperlink r:id="rId3" w:history="1">
        <w:r>
          <w:rPr>
            <w:rStyle w:val="Hyperlink"/>
          </w:rPr>
          <w:t>https://www.imf.org/~/media/Files/Publications/WEO/2020/April/English/StatsAppendixA.ashx?la=en</w:t>
        </w:r>
      </w:hyperlink>
    </w:p>
  </w:footnote>
  <w:footnote w:id="16">
    <w:p w14:paraId="2D437201" w14:textId="77777777" w:rsidR="0006771D" w:rsidRPr="00B45032" w:rsidRDefault="0006771D" w:rsidP="00F27841">
      <w:pPr>
        <w:pStyle w:val="FootnoteText"/>
      </w:pPr>
      <w:r>
        <w:rPr>
          <w:rStyle w:val="FootnoteReference"/>
        </w:rPr>
        <w:footnoteRef/>
      </w:r>
      <w:r>
        <w:t xml:space="preserve"> UNEP/OzL.Pro/ExCom/80/56.</w:t>
      </w:r>
    </w:p>
  </w:footnote>
  <w:footnote w:id="17">
    <w:p w14:paraId="11317F15" w14:textId="77777777" w:rsidR="0006771D" w:rsidRPr="006B03EC" w:rsidRDefault="0006771D" w:rsidP="00F27841">
      <w:pPr>
        <w:pStyle w:val="FootnoteText"/>
      </w:pPr>
      <w:r>
        <w:rPr>
          <w:rStyle w:val="FootnoteReference"/>
        </w:rPr>
        <w:footnoteRef/>
      </w:r>
      <w:r>
        <w:t xml:space="preserve"> D’après le dernier taux de change au moment de la finalisation du présent document : 66,685 ARS pour un dollar US, à compter du 1</w:t>
      </w:r>
      <w:r>
        <w:rPr>
          <w:vertAlign w:val="superscript"/>
        </w:rPr>
        <w:t>er</w:t>
      </w:r>
      <w:r>
        <w:t> mai 2020.</w:t>
      </w:r>
    </w:p>
  </w:footnote>
  <w:footnote w:id="18">
    <w:p w14:paraId="604905CC" w14:textId="77777777" w:rsidR="0006771D" w:rsidRPr="00E00F10" w:rsidRDefault="0006771D" w:rsidP="00DC000F">
      <w:pPr>
        <w:pStyle w:val="FootnoteText"/>
      </w:pPr>
      <w:r>
        <w:rPr>
          <w:rStyle w:val="FootnoteReference"/>
        </w:rPr>
        <w:footnoteRef/>
      </w:r>
      <w:r>
        <w:t xml:space="preserve"> UNEP/OzL.Pro/ExCom/80/56.</w:t>
      </w:r>
    </w:p>
  </w:footnote>
  <w:footnote w:id="19">
    <w:p w14:paraId="6C705B24" w14:textId="77777777" w:rsidR="0006771D" w:rsidRPr="000A15FC" w:rsidRDefault="0006771D" w:rsidP="00DC000F">
      <w:pPr>
        <w:pStyle w:val="FootnoteText"/>
      </w:pPr>
      <w:r>
        <w:rPr>
          <w:rStyle w:val="FootnoteReference"/>
        </w:rPr>
        <w:footnoteRef/>
      </w:r>
      <w:r>
        <w:t xml:space="preserve"> UNEP/OzL.Pro/ExCom/82/69.</w:t>
      </w:r>
    </w:p>
  </w:footnote>
  <w:footnote w:id="20">
    <w:p w14:paraId="2D6573D5" w14:textId="77777777" w:rsidR="0006771D" w:rsidRPr="00B27685" w:rsidRDefault="0006771D" w:rsidP="00DC000F">
      <w:pPr>
        <w:pStyle w:val="FootnoteText"/>
        <w:rPr>
          <w:lang w:val="en-CA"/>
        </w:rPr>
      </w:pPr>
      <w:r>
        <w:rPr>
          <w:rStyle w:val="FootnoteReference"/>
        </w:rPr>
        <w:footnoteRef/>
      </w:r>
      <w:r w:rsidRPr="00B27685">
        <w:rPr>
          <w:lang w:val="en-CA"/>
        </w:rPr>
        <w:t xml:space="preserve"> UNEP/</w:t>
      </w:r>
      <w:proofErr w:type="spellStart"/>
      <w:r w:rsidRPr="00B27685">
        <w:rPr>
          <w:lang w:val="en-CA"/>
        </w:rPr>
        <w:t>OzL.Pro</w:t>
      </w:r>
      <w:proofErr w:type="spellEnd"/>
      <w:r w:rsidRPr="00B27685">
        <w:rPr>
          <w:lang w:val="en-CA"/>
        </w:rPr>
        <w:t>/ExCom/83/44 and UNEP/</w:t>
      </w:r>
      <w:proofErr w:type="spellStart"/>
      <w:r w:rsidRPr="00B27685">
        <w:rPr>
          <w:lang w:val="en-CA"/>
        </w:rPr>
        <w:t>OzL.Pro</w:t>
      </w:r>
      <w:proofErr w:type="spellEnd"/>
      <w:r w:rsidRPr="00B27685">
        <w:rPr>
          <w:lang w:val="en-CA"/>
        </w:rPr>
        <w:t>/ExCom/84/71.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102BE" w14:textId="68FBC092" w:rsidR="0006771D" w:rsidRDefault="00636AF8">
    <w:r>
      <w:fldChar w:fldCharType="begin"/>
    </w:r>
    <w:r>
      <w:instrText xml:space="preserve"> DOCPROPERTY "Document number"  \* MERGEFORMAT </w:instrText>
    </w:r>
    <w:r>
      <w:fldChar w:fldCharType="separate"/>
    </w:r>
    <w:r w:rsidR="00B27685">
      <w:t>UNEP/</w:t>
    </w:r>
    <w:proofErr w:type="spellStart"/>
    <w:r w:rsidR="00B27685">
      <w:t>OzL.Pro</w:t>
    </w:r>
    <w:proofErr w:type="spellEnd"/>
    <w:r w:rsidR="00B27685">
      <w:t>/ExCom/85/64</w:t>
    </w:r>
    <w:r>
      <w:fldChar w:fldCharType="end"/>
    </w:r>
  </w:p>
  <w:p w14:paraId="07B300A7" w14:textId="77777777" w:rsidR="0006771D" w:rsidRDefault="0006771D"/>
  <w:p w14:paraId="792CC109" w14:textId="77777777" w:rsidR="0006771D" w:rsidRDefault="000677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91304" w14:textId="32B0DD46" w:rsidR="0006771D" w:rsidRDefault="00636AF8">
    <w:pPr>
      <w:jc w:val="right"/>
    </w:pPr>
    <w:r>
      <w:fldChar w:fldCharType="begin"/>
    </w:r>
    <w:r>
      <w:instrText xml:space="preserve"> DOCPROPERTY "Document number"  \* MERGEFORMAT </w:instrText>
    </w:r>
    <w:r>
      <w:fldChar w:fldCharType="separate"/>
    </w:r>
    <w:r w:rsidR="00B27685">
      <w:t>UNEP/</w:t>
    </w:r>
    <w:proofErr w:type="spellStart"/>
    <w:r w:rsidR="00B27685">
      <w:t>OzL.Pro</w:t>
    </w:r>
    <w:proofErr w:type="spellEnd"/>
    <w:r w:rsidR="00B27685">
      <w:t>/ExCom/85/64</w:t>
    </w:r>
    <w:r>
      <w:fldChar w:fldCharType="end"/>
    </w:r>
  </w:p>
  <w:p w14:paraId="7D6B58B7" w14:textId="77777777" w:rsidR="0006771D" w:rsidRDefault="0006771D"/>
  <w:p w14:paraId="1A3763A3" w14:textId="77777777" w:rsidR="0006771D" w:rsidRDefault="000677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2D8E9" w14:textId="77777777" w:rsidR="0006771D" w:rsidRDefault="00636AF8">
    <w:pPr>
      <w:jc w:val="right"/>
    </w:pPr>
    <w:r>
      <w:fldChar w:fldCharType="begin"/>
    </w:r>
    <w:r>
      <w:instrText xml:space="preserve"> DOCPROPERTY "Document number"  \* MERGEFORMAT </w:instrText>
    </w:r>
    <w:r>
      <w:fldChar w:fldCharType="separate"/>
    </w:r>
    <w:r w:rsidR="0006771D">
      <w:t>UNEP/OzL.Pro/ExCom/85/1</w:t>
    </w:r>
    <w:r>
      <w:fldChar w:fldCharType="end"/>
    </w:r>
  </w:p>
  <w:p w14:paraId="4EF82C73" w14:textId="77777777" w:rsidR="0006771D" w:rsidRDefault="0006771D">
    <w:pPr>
      <w:jc w:val="right"/>
    </w:pPr>
  </w:p>
  <w:p w14:paraId="21CE0E66" w14:textId="77777777" w:rsidR="0006771D" w:rsidRDefault="0006771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0BF8"/>
    <w:rsid w:val="0006771D"/>
    <w:rsid w:val="000F6C8E"/>
    <w:rsid w:val="00117655"/>
    <w:rsid w:val="00125F83"/>
    <w:rsid w:val="00171F5F"/>
    <w:rsid w:val="001C3D0C"/>
    <w:rsid w:val="001D4CE7"/>
    <w:rsid w:val="00265AF0"/>
    <w:rsid w:val="002F0B57"/>
    <w:rsid w:val="00317CC6"/>
    <w:rsid w:val="003A0CA4"/>
    <w:rsid w:val="00441083"/>
    <w:rsid w:val="004C2C87"/>
    <w:rsid w:val="004E3A36"/>
    <w:rsid w:val="005B3CAD"/>
    <w:rsid w:val="005C278F"/>
    <w:rsid w:val="00605093"/>
    <w:rsid w:val="00636AF8"/>
    <w:rsid w:val="007034FA"/>
    <w:rsid w:val="007205F8"/>
    <w:rsid w:val="00720BD7"/>
    <w:rsid w:val="0075750B"/>
    <w:rsid w:val="008A31BD"/>
    <w:rsid w:val="008E3A0C"/>
    <w:rsid w:val="0091161A"/>
    <w:rsid w:val="009666A1"/>
    <w:rsid w:val="00972E99"/>
    <w:rsid w:val="00980BF8"/>
    <w:rsid w:val="009A5180"/>
    <w:rsid w:val="00AC013C"/>
    <w:rsid w:val="00AE63D8"/>
    <w:rsid w:val="00AF52A1"/>
    <w:rsid w:val="00B27685"/>
    <w:rsid w:val="00B811F2"/>
    <w:rsid w:val="00BC3C7D"/>
    <w:rsid w:val="00C27322"/>
    <w:rsid w:val="00C6443E"/>
    <w:rsid w:val="00D24B79"/>
    <w:rsid w:val="00D7654A"/>
    <w:rsid w:val="00DB4E64"/>
    <w:rsid w:val="00DC000F"/>
    <w:rsid w:val="00DD3433"/>
    <w:rsid w:val="00E348C6"/>
    <w:rsid w:val="00E54871"/>
    <w:rsid w:val="00E60D9C"/>
    <w:rsid w:val="00EB2067"/>
    <w:rsid w:val="00F21458"/>
    <w:rsid w:val="00F27841"/>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E70469"/>
  <w15:docId w15:val="{B99209F8-0D01-4EA7-8F66-E973403F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317CC6"/>
    <w:rPr>
      <w:sz w:val="20"/>
      <w:szCs w:val="20"/>
      <w:lang w:val="fr-FR"/>
    </w:rPr>
  </w:style>
  <w:style w:type="character" w:customStyle="1" w:styleId="FootnoteTextChar">
    <w:name w:val="Footnote Text Char"/>
    <w:basedOn w:val="DefaultParagraphFont"/>
    <w:link w:val="FootnoteText"/>
    <w:uiPriority w:val="99"/>
    <w:rsid w:val="00317CC6"/>
    <w:rPr>
      <w:lang w:val="fr-FR"/>
    </w:rPr>
  </w:style>
  <w:style w:type="character" w:styleId="FootnoteReference">
    <w:name w:val="footnote reference"/>
    <w:basedOn w:val="DefaultParagraphFont"/>
    <w:uiPriority w:val="99"/>
    <w:unhideWhenUsed/>
    <w:rsid w:val="00317CC6"/>
    <w:rPr>
      <w:vertAlign w:val="superscript"/>
    </w:rPr>
  </w:style>
  <w:style w:type="character" w:styleId="Hyperlink">
    <w:name w:val="Hyperlink"/>
    <w:basedOn w:val="DefaultParagraphFont"/>
    <w:uiPriority w:val="99"/>
    <w:unhideWhenUsed/>
    <w:rsid w:val="00317CC6"/>
    <w:rPr>
      <w:color w:val="0000FF"/>
      <w:u w:val="single"/>
    </w:rPr>
  </w:style>
  <w:style w:type="paragraph" w:styleId="ListParagraph">
    <w:name w:val="List Paragraph"/>
    <w:basedOn w:val="Normal"/>
    <w:uiPriority w:val="34"/>
    <w:qFormat/>
    <w:rsid w:val="00317CC6"/>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000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imf.org/~/media/Files/Publications/WEO/2020/April/English/StatsAppendixA.ashx?la=en" TargetMode="External"/><Relationship Id="rId2" Type="http://schemas.openxmlformats.org/officeDocument/2006/relationships/hyperlink" Target="http://servicios.infoleg.gob.ar/infolegInternet/anexos/330000-334999/333435/norma.htm" TargetMode="External"/><Relationship Id="rId1" Type="http://schemas.openxmlformats.org/officeDocument/2006/relationships/hyperlink" Target="https://www.worldbank.org/en/country/argentina/ov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k\1.Traductions\2020\UNO\85th%20meeting%20of%20the%20ExCom\Translation\2020%2005%2020%20Doc.%208564\source\F85-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ile-server\GENERAL\DRAFTS\Ico\85th_ExCom\HFC-23%20folders\HFC-23%20Argentina\Argentina_economic_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879435508338094E-2"/>
          <c:y val="6.9264069264069195E-2"/>
          <c:w val="0.85542176140918902"/>
          <c:h val="0.851955551010669"/>
        </c:manualLayout>
      </c:layout>
      <c:scatterChart>
        <c:scatterStyle val="smoothMarker"/>
        <c:varyColors val="0"/>
        <c:ser>
          <c:idx val="0"/>
          <c:order val="0"/>
          <c:spPr>
            <a:ln w="19050" cap="rnd">
              <a:solidFill>
                <a:sysClr val="windowText" lastClr="000000"/>
              </a:solidFill>
              <a:round/>
            </a:ln>
            <a:effectLst/>
          </c:spPr>
          <c:marker>
            <c:symbol val="none"/>
          </c:marker>
          <c:xVal>
            <c:numRef>
              <c:f>'Exchange rate'!$C$3:$C$124</c:f>
              <c:numCache>
                <c:formatCode>d\-mmm\-yy</c:formatCode>
                <c:ptCount val="122"/>
                <c:pt idx="0">
                  <c:v>43922</c:v>
                </c:pt>
                <c:pt idx="1">
                  <c:v>43891</c:v>
                </c:pt>
                <c:pt idx="2">
                  <c:v>43862</c:v>
                </c:pt>
                <c:pt idx="3">
                  <c:v>43830</c:v>
                </c:pt>
                <c:pt idx="4">
                  <c:v>43800</c:v>
                </c:pt>
                <c:pt idx="5">
                  <c:v>43770</c:v>
                </c:pt>
                <c:pt idx="6">
                  <c:v>43739</c:v>
                </c:pt>
                <c:pt idx="7">
                  <c:v>43709</c:v>
                </c:pt>
                <c:pt idx="8">
                  <c:v>43692</c:v>
                </c:pt>
                <c:pt idx="9">
                  <c:v>43678</c:v>
                </c:pt>
                <c:pt idx="10">
                  <c:v>43646</c:v>
                </c:pt>
                <c:pt idx="11">
                  <c:v>43617</c:v>
                </c:pt>
                <c:pt idx="12">
                  <c:v>43586</c:v>
                </c:pt>
                <c:pt idx="13">
                  <c:v>43556</c:v>
                </c:pt>
                <c:pt idx="14">
                  <c:v>43525</c:v>
                </c:pt>
                <c:pt idx="15">
                  <c:v>43497</c:v>
                </c:pt>
                <c:pt idx="16">
                  <c:v>43465</c:v>
                </c:pt>
                <c:pt idx="17">
                  <c:v>43435</c:v>
                </c:pt>
                <c:pt idx="18">
                  <c:v>43405</c:v>
                </c:pt>
                <c:pt idx="19">
                  <c:v>43374</c:v>
                </c:pt>
                <c:pt idx="20">
                  <c:v>43344</c:v>
                </c:pt>
                <c:pt idx="21">
                  <c:v>43313</c:v>
                </c:pt>
                <c:pt idx="22">
                  <c:v>43281</c:v>
                </c:pt>
                <c:pt idx="23">
                  <c:v>43252</c:v>
                </c:pt>
                <c:pt idx="24">
                  <c:v>43235</c:v>
                </c:pt>
                <c:pt idx="25">
                  <c:v>43221</c:v>
                </c:pt>
                <c:pt idx="26">
                  <c:v>43191</c:v>
                </c:pt>
                <c:pt idx="27">
                  <c:v>43160</c:v>
                </c:pt>
                <c:pt idx="28">
                  <c:v>43132</c:v>
                </c:pt>
                <c:pt idx="29">
                  <c:v>43100</c:v>
                </c:pt>
                <c:pt idx="30">
                  <c:v>43070</c:v>
                </c:pt>
                <c:pt idx="31">
                  <c:v>43040</c:v>
                </c:pt>
                <c:pt idx="32">
                  <c:v>43009</c:v>
                </c:pt>
                <c:pt idx="33">
                  <c:v>42979</c:v>
                </c:pt>
                <c:pt idx="34">
                  <c:v>42948</c:v>
                </c:pt>
                <c:pt idx="35">
                  <c:v>42916</c:v>
                </c:pt>
                <c:pt idx="36">
                  <c:v>42887</c:v>
                </c:pt>
                <c:pt idx="37">
                  <c:v>42856</c:v>
                </c:pt>
                <c:pt idx="38">
                  <c:v>42826</c:v>
                </c:pt>
                <c:pt idx="39">
                  <c:v>42795</c:v>
                </c:pt>
                <c:pt idx="40">
                  <c:v>42767</c:v>
                </c:pt>
                <c:pt idx="41">
                  <c:v>42735</c:v>
                </c:pt>
                <c:pt idx="42">
                  <c:v>42705</c:v>
                </c:pt>
                <c:pt idx="43">
                  <c:v>42675</c:v>
                </c:pt>
                <c:pt idx="44">
                  <c:v>42658</c:v>
                </c:pt>
                <c:pt idx="45">
                  <c:v>42644</c:v>
                </c:pt>
                <c:pt idx="46">
                  <c:v>42614</c:v>
                </c:pt>
                <c:pt idx="47">
                  <c:v>42583</c:v>
                </c:pt>
                <c:pt idx="48">
                  <c:v>42551</c:v>
                </c:pt>
                <c:pt idx="49">
                  <c:v>42522</c:v>
                </c:pt>
                <c:pt idx="50">
                  <c:v>42491</c:v>
                </c:pt>
                <c:pt idx="51">
                  <c:v>42461</c:v>
                </c:pt>
                <c:pt idx="52">
                  <c:v>42444</c:v>
                </c:pt>
                <c:pt idx="53">
                  <c:v>42430</c:v>
                </c:pt>
                <c:pt idx="54">
                  <c:v>42401</c:v>
                </c:pt>
                <c:pt idx="55">
                  <c:v>42369</c:v>
                </c:pt>
                <c:pt idx="56">
                  <c:v>42339</c:v>
                </c:pt>
                <c:pt idx="57">
                  <c:v>42309</c:v>
                </c:pt>
                <c:pt idx="58">
                  <c:v>42278</c:v>
                </c:pt>
                <c:pt idx="59">
                  <c:v>42248</c:v>
                </c:pt>
                <c:pt idx="60">
                  <c:v>42217</c:v>
                </c:pt>
                <c:pt idx="61">
                  <c:v>42185</c:v>
                </c:pt>
                <c:pt idx="62">
                  <c:v>42156</c:v>
                </c:pt>
                <c:pt idx="63">
                  <c:v>42125</c:v>
                </c:pt>
                <c:pt idx="64">
                  <c:v>42095</c:v>
                </c:pt>
                <c:pt idx="65">
                  <c:v>42064</c:v>
                </c:pt>
                <c:pt idx="66">
                  <c:v>42036</c:v>
                </c:pt>
                <c:pt idx="67">
                  <c:v>42004</c:v>
                </c:pt>
                <c:pt idx="68">
                  <c:v>41974</c:v>
                </c:pt>
                <c:pt idx="69">
                  <c:v>41944</c:v>
                </c:pt>
                <c:pt idx="70">
                  <c:v>41913</c:v>
                </c:pt>
                <c:pt idx="71">
                  <c:v>41883</c:v>
                </c:pt>
                <c:pt idx="72">
                  <c:v>41852</c:v>
                </c:pt>
                <c:pt idx="73">
                  <c:v>41820</c:v>
                </c:pt>
                <c:pt idx="74">
                  <c:v>41791</c:v>
                </c:pt>
                <c:pt idx="75">
                  <c:v>41760</c:v>
                </c:pt>
                <c:pt idx="76">
                  <c:v>41730</c:v>
                </c:pt>
                <c:pt idx="77">
                  <c:v>41699</c:v>
                </c:pt>
                <c:pt idx="78">
                  <c:v>41671</c:v>
                </c:pt>
                <c:pt idx="79">
                  <c:v>41639</c:v>
                </c:pt>
                <c:pt idx="80">
                  <c:v>41609</c:v>
                </c:pt>
                <c:pt idx="81">
                  <c:v>41579</c:v>
                </c:pt>
                <c:pt idx="82">
                  <c:v>41548</c:v>
                </c:pt>
                <c:pt idx="83">
                  <c:v>41518</c:v>
                </c:pt>
                <c:pt idx="84">
                  <c:v>41487</c:v>
                </c:pt>
                <c:pt idx="85">
                  <c:v>41455</c:v>
                </c:pt>
                <c:pt idx="86">
                  <c:v>41426</c:v>
                </c:pt>
                <c:pt idx="87">
                  <c:v>41395</c:v>
                </c:pt>
                <c:pt idx="88">
                  <c:v>41365</c:v>
                </c:pt>
                <c:pt idx="89">
                  <c:v>41334</c:v>
                </c:pt>
                <c:pt idx="90">
                  <c:v>41306</c:v>
                </c:pt>
                <c:pt idx="91">
                  <c:v>41274</c:v>
                </c:pt>
                <c:pt idx="92">
                  <c:v>41244</c:v>
                </c:pt>
                <c:pt idx="93">
                  <c:v>41215</c:v>
                </c:pt>
                <c:pt idx="94">
                  <c:v>41183</c:v>
                </c:pt>
                <c:pt idx="95">
                  <c:v>41153</c:v>
                </c:pt>
                <c:pt idx="96">
                  <c:v>41122</c:v>
                </c:pt>
                <c:pt idx="97">
                  <c:v>41090</c:v>
                </c:pt>
                <c:pt idx="98">
                  <c:v>41061</c:v>
                </c:pt>
                <c:pt idx="99">
                  <c:v>41030</c:v>
                </c:pt>
                <c:pt idx="100">
                  <c:v>41000</c:v>
                </c:pt>
                <c:pt idx="101">
                  <c:v>40969</c:v>
                </c:pt>
                <c:pt idx="102">
                  <c:v>40940</c:v>
                </c:pt>
                <c:pt idx="103">
                  <c:v>40908</c:v>
                </c:pt>
                <c:pt idx="104">
                  <c:v>40878</c:v>
                </c:pt>
                <c:pt idx="105">
                  <c:v>40848</c:v>
                </c:pt>
                <c:pt idx="106">
                  <c:v>40817</c:v>
                </c:pt>
                <c:pt idx="107">
                  <c:v>40787</c:v>
                </c:pt>
                <c:pt idx="108">
                  <c:v>40756</c:v>
                </c:pt>
                <c:pt idx="109">
                  <c:v>40724</c:v>
                </c:pt>
                <c:pt idx="110">
                  <c:v>40695</c:v>
                </c:pt>
                <c:pt idx="111">
                  <c:v>40664</c:v>
                </c:pt>
                <c:pt idx="112">
                  <c:v>40634</c:v>
                </c:pt>
                <c:pt idx="113">
                  <c:v>40603</c:v>
                </c:pt>
                <c:pt idx="114">
                  <c:v>40543</c:v>
                </c:pt>
                <c:pt idx="115">
                  <c:v>40513</c:v>
                </c:pt>
                <c:pt idx="116">
                  <c:v>40483</c:v>
                </c:pt>
                <c:pt idx="117">
                  <c:v>40452</c:v>
                </c:pt>
                <c:pt idx="118">
                  <c:v>40422</c:v>
                </c:pt>
                <c:pt idx="119">
                  <c:v>40359</c:v>
                </c:pt>
                <c:pt idx="120">
                  <c:v>40330</c:v>
                </c:pt>
                <c:pt idx="121">
                  <c:v>40299</c:v>
                </c:pt>
              </c:numCache>
            </c:numRef>
          </c:xVal>
          <c:yVal>
            <c:numRef>
              <c:f>'Exchange rate'!$D$3:$D$124</c:f>
              <c:numCache>
                <c:formatCode>General</c:formatCode>
                <c:ptCount val="122"/>
                <c:pt idx="0">
                  <c:v>64.456999999999994</c:v>
                </c:pt>
                <c:pt idx="1">
                  <c:v>62.137</c:v>
                </c:pt>
                <c:pt idx="2">
                  <c:v>60.238</c:v>
                </c:pt>
                <c:pt idx="3">
                  <c:v>59.936999999999998</c:v>
                </c:pt>
                <c:pt idx="4">
                  <c:v>59.862000000000002</c:v>
                </c:pt>
                <c:pt idx="5">
                  <c:v>59.500999999999998</c:v>
                </c:pt>
                <c:pt idx="6">
                  <c:v>57.313000000000002</c:v>
                </c:pt>
                <c:pt idx="7">
                  <c:v>59.55</c:v>
                </c:pt>
                <c:pt idx="8">
                  <c:v>56.5</c:v>
                </c:pt>
                <c:pt idx="9">
                  <c:v>43.877000000000002</c:v>
                </c:pt>
                <c:pt idx="10">
                  <c:v>42.847999999999999</c:v>
                </c:pt>
                <c:pt idx="11">
                  <c:v>44.537000000000013</c:v>
                </c:pt>
                <c:pt idx="12">
                  <c:v>44.738</c:v>
                </c:pt>
                <c:pt idx="13">
                  <c:v>43.328000000000003</c:v>
                </c:pt>
                <c:pt idx="14">
                  <c:v>38.747</c:v>
                </c:pt>
                <c:pt idx="15">
                  <c:v>37.656000000000013</c:v>
                </c:pt>
                <c:pt idx="16">
                  <c:v>38.58</c:v>
                </c:pt>
                <c:pt idx="17">
                  <c:v>37.816000000000003</c:v>
                </c:pt>
                <c:pt idx="18">
                  <c:v>36.821000000000012</c:v>
                </c:pt>
                <c:pt idx="19">
                  <c:v>39.353000000000002</c:v>
                </c:pt>
                <c:pt idx="20">
                  <c:v>36.25</c:v>
                </c:pt>
                <c:pt idx="21">
                  <c:v>27.356999999999999</c:v>
                </c:pt>
                <c:pt idx="22">
                  <c:v>27.744</c:v>
                </c:pt>
                <c:pt idx="23">
                  <c:v>24.907</c:v>
                </c:pt>
                <c:pt idx="24">
                  <c:v>23.175000000000001</c:v>
                </c:pt>
                <c:pt idx="25">
                  <c:v>20.867000000000001</c:v>
                </c:pt>
                <c:pt idx="26">
                  <c:v>20.117000000000001</c:v>
                </c:pt>
                <c:pt idx="27">
                  <c:v>20.155000000000001</c:v>
                </c:pt>
                <c:pt idx="28">
                  <c:v>19.591999999999999</c:v>
                </c:pt>
                <c:pt idx="29">
                  <c:v>18.704999999999991</c:v>
                </c:pt>
                <c:pt idx="30">
                  <c:v>17.408999999999999</c:v>
                </c:pt>
                <c:pt idx="31">
                  <c:v>17.635000000000009</c:v>
                </c:pt>
                <c:pt idx="32">
                  <c:v>17.577000000000009</c:v>
                </c:pt>
                <c:pt idx="33">
                  <c:v>17.263000000000002</c:v>
                </c:pt>
                <c:pt idx="34">
                  <c:v>17.782</c:v>
                </c:pt>
                <c:pt idx="35">
                  <c:v>16.338999999999999</c:v>
                </c:pt>
                <c:pt idx="36">
                  <c:v>16.04</c:v>
                </c:pt>
                <c:pt idx="37">
                  <c:v>15.455</c:v>
                </c:pt>
                <c:pt idx="38">
                  <c:v>15.372999999999999</c:v>
                </c:pt>
                <c:pt idx="39">
                  <c:v>15.478999999999999</c:v>
                </c:pt>
                <c:pt idx="40">
                  <c:v>15.952999999999999</c:v>
                </c:pt>
                <c:pt idx="41">
                  <c:v>15.734999999999999</c:v>
                </c:pt>
                <c:pt idx="42">
                  <c:v>15.564</c:v>
                </c:pt>
                <c:pt idx="43">
                  <c:v>15.173999999999999</c:v>
                </c:pt>
                <c:pt idx="44">
                  <c:v>15.377000000000001</c:v>
                </c:pt>
                <c:pt idx="45">
                  <c:v>15.377000000000001</c:v>
                </c:pt>
                <c:pt idx="46">
                  <c:v>15.116</c:v>
                </c:pt>
                <c:pt idx="47">
                  <c:v>15.031000000000001</c:v>
                </c:pt>
                <c:pt idx="48">
                  <c:v>15.17</c:v>
                </c:pt>
                <c:pt idx="49">
                  <c:v>14.019</c:v>
                </c:pt>
                <c:pt idx="50">
                  <c:v>14.164</c:v>
                </c:pt>
                <c:pt idx="51">
                  <c:v>14.634</c:v>
                </c:pt>
                <c:pt idx="52">
                  <c:v>15.446</c:v>
                </c:pt>
                <c:pt idx="53">
                  <c:v>15.446</c:v>
                </c:pt>
                <c:pt idx="54">
                  <c:v>13.869</c:v>
                </c:pt>
                <c:pt idx="55">
                  <c:v>12.954000000000001</c:v>
                </c:pt>
                <c:pt idx="56">
                  <c:v>9.6740000000000013</c:v>
                </c:pt>
                <c:pt idx="57">
                  <c:v>9.5360000000000014</c:v>
                </c:pt>
                <c:pt idx="58">
                  <c:v>9.4149999999999991</c:v>
                </c:pt>
                <c:pt idx="59">
                  <c:v>9.2900000000000009</c:v>
                </c:pt>
                <c:pt idx="60">
                  <c:v>9.1850000000000005</c:v>
                </c:pt>
                <c:pt idx="61">
                  <c:v>9.0730000000000004</c:v>
                </c:pt>
                <c:pt idx="62">
                  <c:v>8.9819999999999993</c:v>
                </c:pt>
                <c:pt idx="63">
                  <c:v>8.8980000000000015</c:v>
                </c:pt>
                <c:pt idx="64">
                  <c:v>8.8130000000000006</c:v>
                </c:pt>
                <c:pt idx="65">
                  <c:v>8.7239999999999984</c:v>
                </c:pt>
                <c:pt idx="66">
                  <c:v>8.6309999999999985</c:v>
                </c:pt>
                <c:pt idx="67">
                  <c:v>8.5549999999999997</c:v>
                </c:pt>
                <c:pt idx="68">
                  <c:v>8.5220000000000002</c:v>
                </c:pt>
                <c:pt idx="69">
                  <c:v>8.5060000000000002</c:v>
                </c:pt>
                <c:pt idx="70">
                  <c:v>8.4650000000000034</c:v>
                </c:pt>
                <c:pt idx="71">
                  <c:v>8.4019999999999992</c:v>
                </c:pt>
                <c:pt idx="72">
                  <c:v>8.1950000000000003</c:v>
                </c:pt>
                <c:pt idx="73">
                  <c:v>8.1319999999999997</c:v>
                </c:pt>
                <c:pt idx="74">
                  <c:v>8.0740000000000016</c:v>
                </c:pt>
                <c:pt idx="75">
                  <c:v>8.0010000000000012</c:v>
                </c:pt>
                <c:pt idx="76">
                  <c:v>8.0030000000000001</c:v>
                </c:pt>
                <c:pt idx="77">
                  <c:v>7.89</c:v>
                </c:pt>
                <c:pt idx="78">
                  <c:v>8.0040000000000013</c:v>
                </c:pt>
                <c:pt idx="79">
                  <c:v>6.4950000000000001</c:v>
                </c:pt>
                <c:pt idx="80">
                  <c:v>6.1050000000000004</c:v>
                </c:pt>
                <c:pt idx="81">
                  <c:v>5.8979999999999988</c:v>
                </c:pt>
                <c:pt idx="82">
                  <c:v>5.7859999999999996</c:v>
                </c:pt>
                <c:pt idx="83">
                  <c:v>5.6549999999999994</c:v>
                </c:pt>
                <c:pt idx="84">
                  <c:v>5.4960000000000004</c:v>
                </c:pt>
                <c:pt idx="85">
                  <c:v>5.3710000000000004</c:v>
                </c:pt>
                <c:pt idx="86">
                  <c:v>5.2729999999999997</c:v>
                </c:pt>
                <c:pt idx="87">
                  <c:v>5.177999999999999</c:v>
                </c:pt>
                <c:pt idx="88">
                  <c:v>5.1229999999999993</c:v>
                </c:pt>
                <c:pt idx="89">
                  <c:v>5.0389999999999997</c:v>
                </c:pt>
                <c:pt idx="90">
                  <c:v>4.976</c:v>
                </c:pt>
                <c:pt idx="91">
                  <c:v>4.91</c:v>
                </c:pt>
                <c:pt idx="92">
                  <c:v>4.8279999999999994</c:v>
                </c:pt>
                <c:pt idx="93">
                  <c:v>4.7699999999999987</c:v>
                </c:pt>
                <c:pt idx="94">
                  <c:v>4.6899999999999986</c:v>
                </c:pt>
                <c:pt idx="95">
                  <c:v>4.6279999999999992</c:v>
                </c:pt>
                <c:pt idx="96">
                  <c:v>4.5739999999999998</c:v>
                </c:pt>
                <c:pt idx="97">
                  <c:v>4.51</c:v>
                </c:pt>
                <c:pt idx="98">
                  <c:v>4.43</c:v>
                </c:pt>
                <c:pt idx="99">
                  <c:v>4.38</c:v>
                </c:pt>
                <c:pt idx="100">
                  <c:v>4.3599999999999994</c:v>
                </c:pt>
                <c:pt idx="101">
                  <c:v>4.34</c:v>
                </c:pt>
                <c:pt idx="102">
                  <c:v>4.33</c:v>
                </c:pt>
                <c:pt idx="103">
                  <c:v>4.2699999999999996</c:v>
                </c:pt>
                <c:pt idx="104">
                  <c:v>4.24</c:v>
                </c:pt>
                <c:pt idx="105">
                  <c:v>4.22</c:v>
                </c:pt>
                <c:pt idx="106">
                  <c:v>4.2</c:v>
                </c:pt>
                <c:pt idx="107">
                  <c:v>4.18</c:v>
                </c:pt>
                <c:pt idx="108">
                  <c:v>4.1199999999999992</c:v>
                </c:pt>
                <c:pt idx="109">
                  <c:v>4.0999999999999996</c:v>
                </c:pt>
                <c:pt idx="110">
                  <c:v>4.08</c:v>
                </c:pt>
                <c:pt idx="111">
                  <c:v>4.0759999999999996</c:v>
                </c:pt>
                <c:pt idx="112">
                  <c:v>4.012999999999999</c:v>
                </c:pt>
                <c:pt idx="113">
                  <c:v>4</c:v>
                </c:pt>
                <c:pt idx="114">
                  <c:v>3.98</c:v>
                </c:pt>
                <c:pt idx="115">
                  <c:v>3.96</c:v>
                </c:pt>
                <c:pt idx="116">
                  <c:v>3.94</c:v>
                </c:pt>
                <c:pt idx="117">
                  <c:v>3.95</c:v>
                </c:pt>
                <c:pt idx="118">
                  <c:v>3.94</c:v>
                </c:pt>
                <c:pt idx="119">
                  <c:v>3.93</c:v>
                </c:pt>
                <c:pt idx="120">
                  <c:v>3.89</c:v>
                </c:pt>
                <c:pt idx="121">
                  <c:v>3.87</c:v>
                </c:pt>
              </c:numCache>
            </c:numRef>
          </c:yVal>
          <c:smooth val="1"/>
          <c:extLst>
            <c:ext xmlns:c16="http://schemas.microsoft.com/office/drawing/2014/chart" uri="{C3380CC4-5D6E-409C-BE32-E72D297353CC}">
              <c16:uniqueId val="{00000000-275C-4877-BF53-43BDB036445D}"/>
            </c:ext>
          </c:extLst>
        </c:ser>
        <c:dLbls>
          <c:showLegendKey val="0"/>
          <c:showVal val="0"/>
          <c:showCatName val="0"/>
          <c:showSerName val="0"/>
          <c:showPercent val="0"/>
          <c:showBubbleSize val="0"/>
        </c:dLbls>
        <c:axId val="-2143216120"/>
        <c:axId val="2120872248"/>
      </c:scatterChart>
      <c:valAx>
        <c:axId val="-2143216120"/>
        <c:scaling>
          <c:orientation val="minMax"/>
          <c:max val="43922"/>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0872248"/>
        <c:crosses val="autoZero"/>
        <c:crossBetween val="midCat"/>
        <c:majorUnit val="365.24"/>
        <c:minorUnit val="365.24"/>
      </c:valAx>
      <c:valAx>
        <c:axId val="2120872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32161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UNEP/OzL.Pro/ExCom/85/64</Document_x0020_Number>
  </documentManagement>
</p:properties>
</file>

<file path=customXml/itemProps1.xml><?xml version="1.0" encoding="utf-8"?>
<ds:datastoreItem xmlns:ds="http://schemas.openxmlformats.org/officeDocument/2006/customXml" ds:itemID="{5ABF8BCD-DDE9-4570-A873-D45591800ED3}"/>
</file>

<file path=customXml/itemProps2.xml><?xml version="1.0" encoding="utf-8"?>
<ds:datastoreItem xmlns:ds="http://schemas.openxmlformats.org/officeDocument/2006/customXml" ds:itemID="{A7B38EFF-36D7-4DD1-B6B4-357A893EE24D}"/>
</file>

<file path=customXml/itemProps3.xml><?xml version="1.0" encoding="utf-8"?>
<ds:datastoreItem xmlns:ds="http://schemas.openxmlformats.org/officeDocument/2006/customXml" ds:itemID="{2002D9B7-275C-4814-A17D-17D3EA6D3311}"/>
</file>

<file path=customXml/itemProps4.xml><?xml version="1.0" encoding="utf-8"?>
<ds:datastoreItem xmlns:ds="http://schemas.openxmlformats.org/officeDocument/2006/customXml" ds:itemID="{BAFF3934-D411-4655-8863-F32E685A1B07}"/>
</file>

<file path=docProps/app.xml><?xml version="1.0" encoding="utf-8"?>
<Properties xmlns="http://schemas.openxmlformats.org/officeDocument/2006/extended-properties" xmlns:vt="http://schemas.openxmlformats.org/officeDocument/2006/docPropsVTypes">
  <Template>F85-Template</Template>
  <TotalTime>5</TotalTime>
  <Pages>15</Pages>
  <Words>5567</Words>
  <Characters>31737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Principaux aspects liés aux technologies de contrôle du sous-produit HFC-23 : Argentine (décision 84/90) </vt:lpstr>
    </vt:vector>
  </TitlesOfParts>
  <Manager/>
  <Company>UNMFS</Company>
  <LinksUpToDate>false</LinksUpToDate>
  <CharactersWithSpaces>37230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du sous-produit HFC-23 : Argentine (décision 84/90) </dc:title>
  <dc:subject/>
  <dc:creator>Joel Pare-Julien</dc:creator>
  <cp:keywords/>
  <dc:description/>
  <cp:lastModifiedBy>Lynda</cp:lastModifiedBy>
  <cp:revision>4</cp:revision>
  <cp:lastPrinted>2001-05-26T16:40:00Z</cp:lastPrinted>
  <dcterms:created xsi:type="dcterms:W3CDTF">2020-05-22T00:08:00Z</dcterms:created>
  <dcterms:modified xsi:type="dcterms:W3CDTF">2020-05-29T17:24:00Z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UNEP/OzL.Pro/ExCom/85/64</vt:lpwstr>
  </property>
  <property fmtid="{D5CDD505-2E9C-101B-9397-08002B2CF9AE}" pid="3" name="Revision date">
    <vt:lpwstr>8 mai 2020</vt:lpwstr>
  </property>
  <property fmtid="{D5CDD505-2E9C-101B-9397-08002B2CF9AE}" pid="4" name="ContentTypeId">
    <vt:lpwstr>0x010100291B81A444E34248BBC988D4638CFC23</vt:lpwstr>
  </property>
</Properties>
</file>