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96" w:type="pct"/>
        <w:tblLook w:val="0000" w:firstRow="0" w:lastRow="0" w:firstColumn="0" w:lastColumn="0" w:noHBand="0" w:noVBand="0"/>
      </w:tblPr>
      <w:tblGrid>
        <w:gridCol w:w="1921"/>
        <w:gridCol w:w="3570"/>
        <w:gridCol w:w="4049"/>
      </w:tblGrid>
      <w:tr w:rsidR="00C15867" w:rsidRPr="009B0D30" w14:paraId="035C43A1" w14:textId="77777777" w:rsidTr="00D512D6">
        <w:trPr>
          <w:trHeight w:val="720"/>
        </w:trPr>
        <w:tc>
          <w:tcPr>
            <w:tcW w:w="2878" w:type="pct"/>
            <w:gridSpan w:val="2"/>
            <w:tcBorders>
              <w:bottom w:val="single" w:sz="18" w:space="0" w:color="auto"/>
            </w:tcBorders>
          </w:tcPr>
          <w:p w14:paraId="30D63AF1"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2122" w:type="pct"/>
            <w:tcBorders>
              <w:bottom w:val="single" w:sz="18" w:space="0" w:color="auto"/>
            </w:tcBorders>
          </w:tcPr>
          <w:p w14:paraId="259FED38" w14:textId="77777777" w:rsidR="00C15867" w:rsidRPr="009B0D30" w:rsidRDefault="00C15867">
            <w:pPr>
              <w:jc w:val="right"/>
              <w:rPr>
                <w:sz w:val="52"/>
                <w:szCs w:val="52"/>
              </w:rPr>
            </w:pPr>
            <w:r>
              <w:rPr>
                <w:rFonts w:ascii="Univers Bold" w:hAnsi="Univers Bold"/>
                <w:b/>
                <w:sz w:val="72"/>
              </w:rPr>
              <w:t>EP</w:t>
            </w:r>
          </w:p>
        </w:tc>
      </w:tr>
      <w:tr w:rsidR="00C15867" w:rsidRPr="009B0D30" w14:paraId="3F7499DA" w14:textId="77777777" w:rsidTr="00D512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07" w:type="pct"/>
            <w:tcBorders>
              <w:top w:val="nil"/>
              <w:left w:val="nil"/>
              <w:bottom w:val="single" w:sz="36" w:space="0" w:color="auto"/>
              <w:right w:val="nil"/>
            </w:tcBorders>
          </w:tcPr>
          <w:p w14:paraId="059B3981" w14:textId="77777777" w:rsidR="00C15867" w:rsidRPr="009B0D30" w:rsidRDefault="00E52838">
            <w:pPr>
              <w:spacing w:before="120"/>
            </w:pPr>
            <w:r>
              <w:rPr>
                <w:noProof/>
              </w:rPr>
              <mc:AlternateContent>
                <mc:Choice Requires="wpg">
                  <w:drawing>
                    <wp:anchor distT="0" distB="0" distL="114300" distR="114300" simplePos="0" relativeHeight="251658240" behindDoc="0" locked="0" layoutInCell="1" allowOverlap="1" wp14:anchorId="44E49E13" wp14:editId="30080644">
                      <wp:simplePos x="0" y="0"/>
                      <wp:positionH relativeFrom="column">
                        <wp:posOffset>431</wp:posOffset>
                      </wp:positionH>
                      <wp:positionV relativeFrom="paragraph">
                        <wp:posOffset>34733</wp:posOffset>
                      </wp:positionV>
                      <wp:extent cx="822325" cy="1483803"/>
                      <wp:effectExtent l="0" t="0" r="0" b="2540"/>
                      <wp:wrapNone/>
                      <wp:docPr id="1" name="Group 1"/>
                      <wp:cNvGraphicFramePr/>
                      <a:graphic xmlns:a="http://schemas.openxmlformats.org/drawingml/2006/main">
                        <a:graphicData uri="http://schemas.microsoft.com/office/word/2010/wordprocessingGroup">
                          <wpg:wgp>
                            <wpg:cNvGrpSpPr/>
                            <wpg:grpSpPr>
                              <a:xfrm>
                                <a:off x="0" y="0"/>
                                <a:ext cx="822325" cy="1483803"/>
                                <a:chOff x="0" y="0"/>
                                <a:chExt cx="822325" cy="1483803"/>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48268" y="730885"/>
                                  <a:ext cx="744521" cy="75291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F3FC77D" id="Group 1" o:spid="_x0000_s1026" style="position:absolute;margin-left:.05pt;margin-top:2.75pt;width:64.75pt;height:116.85pt;z-index:251658240;mso-width-relative:margin;mso-height-relative:margin" coordsize="8223,14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82;top:7308;width:7445;height: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871" w:type="pct"/>
            <w:tcBorders>
              <w:top w:val="nil"/>
              <w:left w:val="nil"/>
              <w:bottom w:val="single" w:sz="36" w:space="0" w:color="auto"/>
              <w:right w:val="nil"/>
            </w:tcBorders>
          </w:tcPr>
          <w:p w14:paraId="53E62621" w14:textId="77777777" w:rsidR="00D512D6" w:rsidRDefault="00D512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EF9BE51" w14:textId="67AF874B"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3E06E299"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292FD1C3"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roofErr w:type="gramStart"/>
            <w:r>
              <w:rPr>
                <w:rFonts w:ascii="Univers" w:hAnsi="Univers"/>
                <w:b/>
                <w:sz w:val="32"/>
              </w:rPr>
              <w:t>l’environnement</w:t>
            </w:r>
            <w:proofErr w:type="gramEnd"/>
          </w:p>
          <w:p w14:paraId="2A8EF8F0" w14:textId="77777777" w:rsidR="00C15867" w:rsidRPr="009B0D30" w:rsidRDefault="00C15867">
            <w:pPr>
              <w:spacing w:before="720"/>
              <w:ind w:left="158"/>
            </w:pPr>
          </w:p>
        </w:tc>
        <w:tc>
          <w:tcPr>
            <w:tcW w:w="2122" w:type="pct"/>
            <w:tcBorders>
              <w:top w:val="nil"/>
              <w:left w:val="nil"/>
              <w:bottom w:val="single" w:sz="36" w:space="0" w:color="auto"/>
              <w:right w:val="nil"/>
            </w:tcBorders>
          </w:tcPr>
          <w:p w14:paraId="49F0D386" w14:textId="77777777" w:rsidR="00C15867" w:rsidRPr="009B0D30" w:rsidRDefault="00C15867">
            <w:proofErr w:type="spellStart"/>
            <w:r>
              <w:t>Distr</w:t>
            </w:r>
            <w:proofErr w:type="spellEnd"/>
            <w:r>
              <w:t>.</w:t>
            </w:r>
          </w:p>
          <w:p w14:paraId="36EF8855" w14:textId="77777777" w:rsidR="00923540" w:rsidRPr="009B0D30" w:rsidRDefault="00923540" w:rsidP="00923540">
            <w:r>
              <w:t>GÉNÉRALE</w:t>
            </w:r>
          </w:p>
          <w:p w14:paraId="1E4DF7C1" w14:textId="77777777" w:rsidR="00C15867" w:rsidRPr="009B0D30" w:rsidRDefault="00C15867"/>
          <w:p w14:paraId="3026568B" w14:textId="77777777" w:rsidR="00C15867" w:rsidRPr="009B0D30" w:rsidRDefault="00C15867"/>
          <w:p w14:paraId="49D2EB83" w14:textId="24664FB4" w:rsidR="00C15867" w:rsidRPr="002C078E" w:rsidRDefault="002309BD">
            <w:pPr>
              <w:rPr>
                <w:lang w:val="en-US"/>
              </w:rPr>
            </w:pPr>
            <w:r>
              <w:fldChar w:fldCharType="begin"/>
            </w:r>
            <w:r w:rsidRPr="002C078E">
              <w:rPr>
                <w:lang w:val="en-US"/>
              </w:rPr>
              <w:instrText xml:space="preserve"> DOCPROPERTY "Document number"  \* MERGEFORMAT </w:instrText>
            </w:r>
            <w:r>
              <w:fldChar w:fldCharType="separate"/>
            </w:r>
            <w:r w:rsidR="00C45315" w:rsidRPr="002C078E">
              <w:rPr>
                <w:lang w:val="en-US"/>
              </w:rPr>
              <w:t>UNEP/</w:t>
            </w:r>
            <w:proofErr w:type="spellStart"/>
            <w:r w:rsidR="00C45315" w:rsidRPr="002C078E">
              <w:rPr>
                <w:lang w:val="en-US"/>
              </w:rPr>
              <w:t>OzL.Pro</w:t>
            </w:r>
            <w:proofErr w:type="spellEnd"/>
            <w:r w:rsidR="00C45315" w:rsidRPr="002C078E">
              <w:rPr>
                <w:lang w:val="en-US"/>
              </w:rPr>
              <w:t>/ExCom/94/36</w:t>
            </w:r>
            <w:r>
              <w:fldChar w:fldCharType="end"/>
            </w:r>
          </w:p>
          <w:p w14:paraId="40D64470" w14:textId="7C84E99A" w:rsidR="003D6938" w:rsidRPr="009F4C46" w:rsidRDefault="003D6938" w:rsidP="003D6938">
            <w:pPr>
              <w:rPr>
                <w:lang w:val="en-CA"/>
              </w:rPr>
            </w:pPr>
            <w:r w:rsidRPr="009B0D30">
              <w:fldChar w:fldCharType="begin"/>
            </w:r>
            <w:r w:rsidRPr="009F4C46">
              <w:rPr>
                <w:lang w:val="en-CA"/>
              </w:rPr>
              <w:instrText xml:space="preserve"> DOCPROPERTY "Revision date" \@ "d MMMM YYYY"  \* MERGEFORMAT </w:instrText>
            </w:r>
            <w:r w:rsidRPr="009B0D30">
              <w:fldChar w:fldCharType="separate"/>
            </w:r>
            <w:r w:rsidR="00932DF3" w:rsidRPr="009F4C46">
              <w:rPr>
                <w:lang w:val="en-CA"/>
              </w:rPr>
              <w:t xml:space="preserve">7 </w:t>
            </w:r>
            <w:proofErr w:type="spellStart"/>
            <w:r w:rsidR="002A03EA" w:rsidRPr="009F4C46">
              <w:rPr>
                <w:lang w:val="en-CA"/>
              </w:rPr>
              <w:t>m</w:t>
            </w:r>
            <w:r w:rsidR="00932DF3" w:rsidRPr="009F4C46">
              <w:rPr>
                <w:lang w:val="en-CA"/>
              </w:rPr>
              <w:t>a</w:t>
            </w:r>
            <w:r w:rsidR="002A03EA" w:rsidRPr="009F4C46">
              <w:rPr>
                <w:lang w:val="en-CA"/>
              </w:rPr>
              <w:t>i</w:t>
            </w:r>
            <w:proofErr w:type="spellEnd"/>
            <w:r w:rsidR="00932DF3" w:rsidRPr="009F4C46">
              <w:rPr>
                <w:lang w:val="en-CA"/>
              </w:rPr>
              <w:t xml:space="preserve"> 2024</w:t>
            </w:r>
            <w:r w:rsidRPr="009B0D30">
              <w:fldChar w:fldCharType="end"/>
            </w:r>
          </w:p>
          <w:p w14:paraId="3BA1D256" w14:textId="0D22F05D" w:rsidR="00C15867" w:rsidRPr="009F4C46" w:rsidRDefault="00BC2495">
            <w:pPr>
              <w:rPr>
                <w:lang w:val="en-CA"/>
              </w:rPr>
            </w:pPr>
            <w:r w:rsidRPr="009B0D30">
              <w:fldChar w:fldCharType="begin"/>
            </w:r>
            <w:r w:rsidR="00851352" w:rsidRPr="009F4C46">
              <w:rPr>
                <w:lang w:val="en-CA"/>
              </w:rPr>
              <w:instrText xml:space="preserve"> DOCPROPERTY "Revision date" \@ "d MMMM YYYY"  \* MERGEFORMAT </w:instrText>
            </w:r>
            <w:r w:rsidR="002309BD">
              <w:fldChar w:fldCharType="separate"/>
            </w:r>
            <w:r w:rsidRPr="009B0D30">
              <w:fldChar w:fldCharType="end"/>
            </w:r>
          </w:p>
          <w:p w14:paraId="4A0F0D9A" w14:textId="77777777" w:rsidR="00C15867" w:rsidRPr="009F4C46" w:rsidRDefault="00C15867">
            <w:pPr>
              <w:rPr>
                <w:caps/>
                <w:lang w:val="en-CA"/>
              </w:rPr>
            </w:pPr>
          </w:p>
          <w:p w14:paraId="3E89970D" w14:textId="77777777" w:rsidR="00C15867" w:rsidRPr="009B0D30" w:rsidRDefault="00C15867">
            <w:r>
              <w:t>FRANÇAIS</w:t>
            </w:r>
            <w:r>
              <w:br/>
              <w:t>ORIGINAL : ANGLAIS</w:t>
            </w:r>
          </w:p>
        </w:tc>
      </w:tr>
    </w:tbl>
    <w:p w14:paraId="773F08A6" w14:textId="77777777" w:rsidR="00CA59FB" w:rsidRDefault="00C15867" w:rsidP="00CA59FB">
      <w:pPr>
        <w:jc w:val="left"/>
      </w:pPr>
      <w:r>
        <w:t>COMITÉ EXÉCUTIF</w:t>
      </w:r>
      <w:r>
        <w:br/>
        <w:t xml:space="preserve">  DU FONDS MULTILATÉRAL AUX FINS</w:t>
      </w:r>
      <w:r>
        <w:br/>
        <w:t xml:space="preserve">  D’APPLICATION DU PROTOCOLE DE MONTRÉAL</w:t>
      </w:r>
      <w:r>
        <w:br/>
        <w:t>Quatre-vingt-quatorzième réunion</w:t>
      </w:r>
    </w:p>
    <w:p w14:paraId="483BBAF2" w14:textId="77777777" w:rsidR="00CA59FB" w:rsidRDefault="00CA59FB" w:rsidP="00CA59FB">
      <w:pPr>
        <w:jc w:val="left"/>
      </w:pPr>
      <w:r>
        <w:t>Montréal, 27-31 mai 2024</w:t>
      </w:r>
    </w:p>
    <w:p w14:paraId="367FAC75" w14:textId="6CEB5EE4" w:rsidR="0079781A" w:rsidRDefault="0079781A" w:rsidP="0079781A">
      <w:pPr>
        <w:jc w:val="left"/>
      </w:pPr>
      <w:r>
        <w:t>Point 9(d) de l’ordre du jour provisoire</w:t>
      </w:r>
      <w:r w:rsidRPr="00512BEF">
        <w:rPr>
          <w:rStyle w:val="FootnoteReference"/>
        </w:rPr>
        <w:footnoteReference w:id="2"/>
      </w:r>
    </w:p>
    <w:p w14:paraId="5B07D679" w14:textId="77777777" w:rsidR="00C15867" w:rsidRPr="009B0D30" w:rsidRDefault="00C15867" w:rsidP="00CA59FB">
      <w:pPr>
        <w:jc w:val="left"/>
      </w:pPr>
    </w:p>
    <w:p w14:paraId="7EEFA972" w14:textId="77777777" w:rsidR="00066CE8" w:rsidRPr="009B0D30" w:rsidRDefault="00066CE8" w:rsidP="00857077">
      <w:pPr>
        <w:jc w:val="left"/>
      </w:pPr>
    </w:p>
    <w:p w14:paraId="4B446E07" w14:textId="77777777" w:rsidR="004E7F9C" w:rsidRPr="00C45315" w:rsidRDefault="004E7F9C" w:rsidP="00C560A5">
      <w:pPr>
        <w:pStyle w:val="Title1"/>
        <w:jc w:val="left"/>
        <w:rPr>
          <w:b w:val="0"/>
        </w:rPr>
      </w:pPr>
    </w:p>
    <w:p w14:paraId="6E841733" w14:textId="22A58F4B" w:rsidR="004177A6" w:rsidRPr="00996241" w:rsidRDefault="00C45315" w:rsidP="004177A6">
      <w:pPr>
        <w:jc w:val="center"/>
        <w:rPr>
          <w:b/>
        </w:rPr>
      </w:pPr>
      <w:r>
        <w:rPr>
          <w:b/>
        </w:rPr>
        <w:t>PROPOSITION DE PROJET : GABON</w:t>
      </w:r>
    </w:p>
    <w:p w14:paraId="5C7AF28A" w14:textId="77777777" w:rsidR="004177A6" w:rsidRPr="00DA764B" w:rsidRDefault="004177A6" w:rsidP="004177A6"/>
    <w:p w14:paraId="73B79170" w14:textId="77777777" w:rsidR="004177A6" w:rsidRPr="00DA764B" w:rsidRDefault="004177A6" w:rsidP="004177A6"/>
    <w:p w14:paraId="645378CF" w14:textId="709D70F1" w:rsidR="004177A6" w:rsidRPr="00996241" w:rsidRDefault="004177A6" w:rsidP="004177A6">
      <w:pPr>
        <w:ind w:firstLine="720"/>
      </w:pPr>
      <w:r>
        <w:t>Le présent document comporte les observations et la recommandation du Secrétariat sur la proposition de projet suivante :</w:t>
      </w:r>
    </w:p>
    <w:p w14:paraId="714E989A" w14:textId="77777777" w:rsidR="004177A6" w:rsidRPr="00996241" w:rsidRDefault="004177A6" w:rsidP="004177A6">
      <w:pPr>
        <w:spacing w:before="240" w:after="240"/>
        <w:rPr>
          <w:u w:val="single"/>
        </w:rPr>
      </w:pPr>
      <w:r>
        <w:rPr>
          <w:u w:val="single"/>
        </w:rPr>
        <w:t>Élimination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177A6" w:rsidRPr="00EE5B08" w14:paraId="7A770DA2" w14:textId="77777777">
        <w:tc>
          <w:tcPr>
            <w:tcW w:w="6941" w:type="dxa"/>
          </w:tcPr>
          <w:p w14:paraId="6DFAE1E7" w14:textId="7B06AF23" w:rsidR="004177A6" w:rsidRPr="00EE5B08" w:rsidRDefault="004177A6">
            <w:pPr>
              <w:pStyle w:val="ListParagraph"/>
              <w:numPr>
                <w:ilvl w:val="0"/>
                <w:numId w:val="10"/>
              </w:numPr>
              <w:ind w:hanging="830"/>
            </w:pPr>
            <w:r>
              <w:t>Plan de gestion de l’élimination des HCFC (phase II, première tranche)</w:t>
            </w:r>
          </w:p>
        </w:tc>
        <w:tc>
          <w:tcPr>
            <w:tcW w:w="2409" w:type="dxa"/>
          </w:tcPr>
          <w:p w14:paraId="4CB9441E" w14:textId="5A484052" w:rsidR="004177A6" w:rsidRPr="009931F4" w:rsidRDefault="00C33719">
            <w:pPr>
              <w:jc w:val="right"/>
            </w:pPr>
            <w:r>
              <w:t>PNUE et ONUDI</w:t>
            </w:r>
          </w:p>
        </w:tc>
      </w:tr>
    </w:tbl>
    <w:p w14:paraId="4452FEC8" w14:textId="77777777" w:rsidR="004177A6" w:rsidRPr="009931F4" w:rsidRDefault="004177A6" w:rsidP="004177A6"/>
    <w:p w14:paraId="3F050D1B" w14:textId="77777777" w:rsidR="004177A6" w:rsidRPr="00996241" w:rsidRDefault="004177A6" w:rsidP="004177A6"/>
    <w:p w14:paraId="3FD4A577" w14:textId="77777777" w:rsidR="004177A6" w:rsidRPr="00996241" w:rsidRDefault="004177A6" w:rsidP="004177A6">
      <w:pPr>
        <w:jc w:val="left"/>
      </w:pPr>
    </w:p>
    <w:p w14:paraId="5BDCAC35" w14:textId="77777777" w:rsidR="004177A6" w:rsidRPr="00996241" w:rsidRDefault="004177A6" w:rsidP="004177A6">
      <w:pPr>
        <w:jc w:val="left"/>
      </w:pPr>
      <w:r>
        <w:br w:type="page"/>
      </w:r>
    </w:p>
    <w:p w14:paraId="5BAB2CCC" w14:textId="77777777" w:rsidR="004177A6" w:rsidRPr="00996241" w:rsidRDefault="004177A6" w:rsidP="004177A6">
      <w:pPr>
        <w:jc w:val="center"/>
        <w:rPr>
          <w:b/>
        </w:rPr>
      </w:pPr>
      <w:r>
        <w:rPr>
          <w:b/>
        </w:rPr>
        <w:lastRenderedPageBreak/>
        <w:t>FICHE D’ÉVALUATION DE PROJET – PROJETS PLURIANNUELS</w:t>
      </w:r>
    </w:p>
    <w:p w14:paraId="50E2852B" w14:textId="77777777" w:rsidR="004177A6" w:rsidRPr="00F72BF4" w:rsidRDefault="004177A6" w:rsidP="004177A6">
      <w:pPr>
        <w:jc w:val="center"/>
        <w:rPr>
          <w:sz w:val="10"/>
        </w:rPr>
      </w:pPr>
    </w:p>
    <w:p w14:paraId="1D1BB484" w14:textId="50D27110" w:rsidR="004177A6" w:rsidRDefault="00C33719" w:rsidP="004177A6">
      <w:pPr>
        <w:jc w:val="center"/>
        <w:rPr>
          <w:b/>
        </w:rPr>
      </w:pPr>
      <w:r>
        <w:rPr>
          <w:b/>
        </w:rPr>
        <w:t>Gabon</w:t>
      </w:r>
    </w:p>
    <w:p w14:paraId="4AE8E306" w14:textId="77777777" w:rsidR="004177A6" w:rsidRPr="00F72BF4" w:rsidRDefault="004177A6" w:rsidP="004177A6">
      <w:pPr>
        <w:jc w:val="center"/>
        <w:rPr>
          <w:b/>
          <w:sz w:val="10"/>
        </w:rPr>
      </w:pPr>
    </w:p>
    <w:tbl>
      <w:tblPr>
        <w:tblStyle w:val="TableGrid"/>
        <w:tblW w:w="5679" w:type="pct"/>
        <w:tblInd w:w="-635" w:type="dxa"/>
        <w:tblCellMar>
          <w:top w:w="28" w:type="dxa"/>
          <w:bottom w:w="28" w:type="dxa"/>
        </w:tblCellMar>
        <w:tblLook w:val="04A0" w:firstRow="1" w:lastRow="0" w:firstColumn="1" w:lastColumn="0" w:noHBand="0" w:noVBand="1"/>
      </w:tblPr>
      <w:tblGrid>
        <w:gridCol w:w="5310"/>
        <w:gridCol w:w="5310"/>
      </w:tblGrid>
      <w:tr w:rsidR="004177A6" w:rsidRPr="00EB31E3" w14:paraId="2940927C" w14:textId="77777777" w:rsidTr="00C45315">
        <w:trPr>
          <w:trHeight w:val="248"/>
        </w:trPr>
        <w:tc>
          <w:tcPr>
            <w:tcW w:w="2500" w:type="pct"/>
            <w:shd w:val="clear" w:color="auto" w:fill="auto"/>
          </w:tcPr>
          <w:p w14:paraId="635A4A6C" w14:textId="77777777" w:rsidR="004177A6" w:rsidRPr="00996241" w:rsidRDefault="004177A6">
            <w:pPr>
              <w:rPr>
                <w:b/>
                <w:sz w:val="20"/>
              </w:rPr>
            </w:pPr>
            <w:r>
              <w:rPr>
                <w:b/>
                <w:sz w:val="20"/>
              </w:rPr>
              <w:t>(I) TITRE DU PROJET</w:t>
            </w:r>
          </w:p>
        </w:tc>
        <w:tc>
          <w:tcPr>
            <w:tcW w:w="2500" w:type="pct"/>
            <w:shd w:val="clear" w:color="auto" w:fill="auto"/>
          </w:tcPr>
          <w:p w14:paraId="19E60AFF" w14:textId="77777777" w:rsidR="004177A6" w:rsidRPr="00996241" w:rsidRDefault="004177A6">
            <w:pPr>
              <w:jc w:val="center"/>
              <w:rPr>
                <w:b/>
                <w:sz w:val="20"/>
              </w:rPr>
            </w:pPr>
            <w:r>
              <w:rPr>
                <w:b/>
                <w:sz w:val="20"/>
              </w:rPr>
              <w:t>AGENCE</w:t>
            </w:r>
          </w:p>
        </w:tc>
      </w:tr>
      <w:tr w:rsidR="004177A6" w:rsidRPr="00EB31E3" w14:paraId="02244168" w14:textId="77777777" w:rsidTr="00C45315">
        <w:trPr>
          <w:trHeight w:val="40"/>
        </w:trPr>
        <w:tc>
          <w:tcPr>
            <w:tcW w:w="2500" w:type="pct"/>
            <w:shd w:val="clear" w:color="auto" w:fill="auto"/>
            <w:vAlign w:val="center"/>
          </w:tcPr>
          <w:p w14:paraId="2D405B37" w14:textId="2E540608" w:rsidR="004177A6" w:rsidRPr="009931F4" w:rsidRDefault="004177A6">
            <w:pPr>
              <w:jc w:val="center"/>
              <w:rPr>
                <w:color w:val="000000" w:themeColor="text1"/>
                <w:sz w:val="20"/>
              </w:rPr>
            </w:pPr>
            <w:r>
              <w:rPr>
                <w:color w:val="000000" w:themeColor="text1"/>
                <w:sz w:val="20"/>
              </w:rPr>
              <w:t>Plan de gestion de l’élimination des HCFC (phase II)</w:t>
            </w:r>
          </w:p>
        </w:tc>
        <w:tc>
          <w:tcPr>
            <w:tcW w:w="2500" w:type="pct"/>
            <w:shd w:val="clear" w:color="auto" w:fill="auto"/>
            <w:vAlign w:val="center"/>
          </w:tcPr>
          <w:p w14:paraId="18F8215A" w14:textId="28E3041E" w:rsidR="004177A6" w:rsidRPr="00996241" w:rsidRDefault="00C33719">
            <w:pPr>
              <w:jc w:val="center"/>
              <w:rPr>
                <w:color w:val="000000" w:themeColor="text1"/>
                <w:sz w:val="20"/>
              </w:rPr>
            </w:pPr>
            <w:r>
              <w:rPr>
                <w:color w:val="000000" w:themeColor="text1"/>
                <w:sz w:val="20"/>
              </w:rPr>
              <w:t>PNUE (principale), ONUDI</w:t>
            </w:r>
          </w:p>
        </w:tc>
      </w:tr>
    </w:tbl>
    <w:p w14:paraId="43EDDFBD" w14:textId="77777777" w:rsidR="004177A6" w:rsidRPr="009931F4" w:rsidRDefault="004177A6" w:rsidP="004177A6">
      <w:pPr>
        <w:jc w:val="center"/>
        <w:rPr>
          <w:sz w:val="20"/>
        </w:rPr>
      </w:pPr>
    </w:p>
    <w:tbl>
      <w:tblPr>
        <w:tblStyle w:val="TableGrid"/>
        <w:tblW w:w="5679" w:type="pct"/>
        <w:tblInd w:w="-635" w:type="dxa"/>
        <w:tblCellMar>
          <w:top w:w="28" w:type="dxa"/>
          <w:bottom w:w="28" w:type="dxa"/>
        </w:tblCellMar>
        <w:tblLook w:val="04A0" w:firstRow="1" w:lastRow="0" w:firstColumn="1" w:lastColumn="0" w:noHBand="0" w:noVBand="1"/>
      </w:tblPr>
      <w:tblGrid>
        <w:gridCol w:w="5417"/>
        <w:gridCol w:w="2285"/>
        <w:gridCol w:w="2918"/>
      </w:tblGrid>
      <w:tr w:rsidR="004177A6" w:rsidRPr="00996241" w14:paraId="6439A3E9" w14:textId="77777777" w:rsidTr="00C45315">
        <w:trPr>
          <w:trHeight w:val="77"/>
        </w:trPr>
        <w:tc>
          <w:tcPr>
            <w:tcW w:w="2550" w:type="pct"/>
            <w:shd w:val="clear" w:color="auto" w:fill="auto"/>
          </w:tcPr>
          <w:p w14:paraId="17AD2EE8" w14:textId="77777777" w:rsidR="004177A6" w:rsidRPr="00996241" w:rsidRDefault="004177A6">
            <w:pPr>
              <w:jc w:val="left"/>
              <w:rPr>
                <w:b/>
                <w:sz w:val="20"/>
              </w:rPr>
            </w:pPr>
            <w:r>
              <w:rPr>
                <w:b/>
                <w:sz w:val="20"/>
              </w:rPr>
              <w:t>(II) DERNIÈRES DONNÉES DE L’ARTICLE 7 (Annexe C Groupe l)</w:t>
            </w:r>
          </w:p>
        </w:tc>
        <w:tc>
          <w:tcPr>
            <w:tcW w:w="1076" w:type="pct"/>
            <w:shd w:val="clear" w:color="auto" w:fill="auto"/>
          </w:tcPr>
          <w:p w14:paraId="69ED2B35" w14:textId="01EF084A" w:rsidR="004177A6" w:rsidRPr="00996241" w:rsidRDefault="004177A6">
            <w:pPr>
              <w:jc w:val="center"/>
              <w:rPr>
                <w:sz w:val="20"/>
              </w:rPr>
            </w:pPr>
            <w:r>
              <w:rPr>
                <w:sz w:val="20"/>
              </w:rPr>
              <w:t xml:space="preserve">Année : </w:t>
            </w:r>
            <w:r>
              <w:rPr>
                <w:color w:val="000000" w:themeColor="text1"/>
                <w:sz w:val="20"/>
              </w:rPr>
              <w:t>2022</w:t>
            </w:r>
          </w:p>
        </w:tc>
        <w:tc>
          <w:tcPr>
            <w:tcW w:w="1374" w:type="pct"/>
            <w:shd w:val="clear" w:color="auto" w:fill="auto"/>
          </w:tcPr>
          <w:p w14:paraId="4A9F818C" w14:textId="00C55A5C" w:rsidR="004177A6" w:rsidRPr="00996241" w:rsidRDefault="00A027EA">
            <w:pPr>
              <w:jc w:val="right"/>
              <w:rPr>
                <w:sz w:val="20"/>
              </w:rPr>
            </w:pPr>
            <w:r>
              <w:rPr>
                <w:sz w:val="20"/>
              </w:rPr>
              <w:t>7,37 tonnes PAO</w:t>
            </w:r>
          </w:p>
        </w:tc>
      </w:tr>
    </w:tbl>
    <w:p w14:paraId="12520980" w14:textId="77777777" w:rsidR="004177A6" w:rsidRPr="009931F4" w:rsidRDefault="004177A6" w:rsidP="004177A6">
      <w:pPr>
        <w:jc w:val="center"/>
        <w:rPr>
          <w:sz w:val="20"/>
        </w:rPr>
      </w:pPr>
    </w:p>
    <w:tbl>
      <w:tblPr>
        <w:tblStyle w:val="TableGrid"/>
        <w:tblW w:w="5340" w:type="pct"/>
        <w:tblInd w:w="-635" w:type="dxa"/>
        <w:tblLook w:val="04A0" w:firstRow="1" w:lastRow="0" w:firstColumn="1" w:lastColumn="0" w:noHBand="0" w:noVBand="1"/>
      </w:tblPr>
      <w:tblGrid>
        <w:gridCol w:w="1039"/>
        <w:gridCol w:w="850"/>
        <w:gridCol w:w="839"/>
        <w:gridCol w:w="1016"/>
        <w:gridCol w:w="1127"/>
        <w:gridCol w:w="950"/>
        <w:gridCol w:w="905"/>
        <w:gridCol w:w="1394"/>
        <w:gridCol w:w="1083"/>
        <w:gridCol w:w="1439"/>
      </w:tblGrid>
      <w:tr w:rsidR="004177A6" w:rsidRPr="008533A5" w14:paraId="3E329AF1" w14:textId="77777777" w:rsidTr="00C45315">
        <w:trPr>
          <w:trHeight w:val="250"/>
        </w:trPr>
        <w:tc>
          <w:tcPr>
            <w:tcW w:w="3896" w:type="pct"/>
            <w:gridSpan w:val="8"/>
            <w:shd w:val="clear" w:color="auto" w:fill="auto"/>
          </w:tcPr>
          <w:p w14:paraId="70431D88" w14:textId="77777777" w:rsidR="004177A6" w:rsidRPr="00996241" w:rsidRDefault="004177A6">
            <w:pPr>
              <w:jc w:val="left"/>
              <w:rPr>
                <w:b/>
                <w:sz w:val="20"/>
              </w:rPr>
            </w:pPr>
            <w:r>
              <w:rPr>
                <w:b/>
                <w:sz w:val="20"/>
              </w:rPr>
              <w:t>(III) DERNIÈRES DONNÉES SECTORIELLES DU PROGRAMME DU PAYS (tonnes PAO)</w:t>
            </w:r>
          </w:p>
        </w:tc>
        <w:tc>
          <w:tcPr>
            <w:tcW w:w="1104" w:type="pct"/>
            <w:gridSpan w:val="2"/>
            <w:shd w:val="clear" w:color="auto" w:fill="auto"/>
          </w:tcPr>
          <w:p w14:paraId="59D0E6C9" w14:textId="4B0E7FE6" w:rsidR="004177A6" w:rsidRPr="008533A5" w:rsidRDefault="004177A6">
            <w:pPr>
              <w:spacing w:after="60"/>
              <w:jc w:val="right"/>
              <w:rPr>
                <w:b/>
                <w:sz w:val="20"/>
                <w:highlight w:val="cyan"/>
              </w:rPr>
            </w:pPr>
            <w:r>
              <w:rPr>
                <w:b/>
                <w:sz w:val="20"/>
              </w:rPr>
              <w:t xml:space="preserve">Année : </w:t>
            </w:r>
            <w:r>
              <w:rPr>
                <w:b/>
                <w:color w:val="000000" w:themeColor="text1"/>
                <w:sz w:val="20"/>
              </w:rPr>
              <w:t>2022</w:t>
            </w:r>
          </w:p>
        </w:tc>
      </w:tr>
      <w:tr w:rsidR="004177A6" w:rsidRPr="00EB31E3" w14:paraId="7E26DF9F" w14:textId="77777777" w:rsidTr="00C45315">
        <w:trPr>
          <w:trHeight w:val="250"/>
        </w:trPr>
        <w:tc>
          <w:tcPr>
            <w:tcW w:w="776" w:type="pct"/>
            <w:shd w:val="clear" w:color="auto" w:fill="auto"/>
            <w:vAlign w:val="center"/>
          </w:tcPr>
          <w:p w14:paraId="366ED4EF" w14:textId="77777777" w:rsidR="004177A6" w:rsidRPr="009931F4" w:rsidRDefault="004177A6" w:rsidP="007C1B75">
            <w:pPr>
              <w:spacing w:after="60"/>
              <w:jc w:val="center"/>
              <w:rPr>
                <w:sz w:val="20"/>
              </w:rPr>
            </w:pPr>
            <w:r>
              <w:rPr>
                <w:sz w:val="20"/>
              </w:rPr>
              <w:t>Produits chimiques</w:t>
            </w:r>
          </w:p>
        </w:tc>
        <w:tc>
          <w:tcPr>
            <w:tcW w:w="377" w:type="pct"/>
            <w:shd w:val="clear" w:color="auto" w:fill="auto"/>
            <w:vAlign w:val="center"/>
          </w:tcPr>
          <w:p w14:paraId="54EBB64E" w14:textId="77777777" w:rsidR="004177A6" w:rsidRPr="00996241" w:rsidRDefault="004177A6" w:rsidP="007C1B75">
            <w:pPr>
              <w:spacing w:after="60"/>
              <w:jc w:val="center"/>
              <w:rPr>
                <w:sz w:val="20"/>
              </w:rPr>
            </w:pPr>
            <w:r>
              <w:rPr>
                <w:sz w:val="20"/>
              </w:rPr>
              <w:t>Aérosol</w:t>
            </w:r>
          </w:p>
        </w:tc>
        <w:tc>
          <w:tcPr>
            <w:tcW w:w="373" w:type="pct"/>
            <w:shd w:val="clear" w:color="auto" w:fill="auto"/>
            <w:vAlign w:val="center"/>
          </w:tcPr>
          <w:p w14:paraId="71BDB43C" w14:textId="77777777" w:rsidR="004177A6" w:rsidRPr="00996241" w:rsidRDefault="004177A6" w:rsidP="007C1B75">
            <w:pPr>
              <w:spacing w:after="60"/>
              <w:jc w:val="center"/>
              <w:rPr>
                <w:sz w:val="20"/>
              </w:rPr>
            </w:pPr>
            <w:r>
              <w:rPr>
                <w:sz w:val="20"/>
              </w:rPr>
              <w:t>Mousse</w:t>
            </w:r>
          </w:p>
        </w:tc>
        <w:tc>
          <w:tcPr>
            <w:tcW w:w="448" w:type="pct"/>
            <w:shd w:val="clear" w:color="auto" w:fill="auto"/>
            <w:vAlign w:val="center"/>
          </w:tcPr>
          <w:p w14:paraId="15B86333" w14:textId="77777777" w:rsidR="004177A6" w:rsidRPr="00996241" w:rsidRDefault="004177A6" w:rsidP="007C1B75">
            <w:pPr>
              <w:spacing w:after="60"/>
              <w:jc w:val="center"/>
              <w:rPr>
                <w:sz w:val="20"/>
              </w:rPr>
            </w:pPr>
            <w:r>
              <w:rPr>
                <w:sz w:val="20"/>
              </w:rPr>
              <w:t>Lutte contre l’incendie</w:t>
            </w:r>
          </w:p>
        </w:tc>
        <w:tc>
          <w:tcPr>
            <w:tcW w:w="914" w:type="pct"/>
            <w:gridSpan w:val="2"/>
            <w:shd w:val="clear" w:color="auto" w:fill="auto"/>
            <w:vAlign w:val="center"/>
          </w:tcPr>
          <w:p w14:paraId="5DC269AD" w14:textId="77777777" w:rsidR="004177A6" w:rsidRPr="00996241" w:rsidRDefault="004177A6" w:rsidP="007C1B75">
            <w:pPr>
              <w:spacing w:after="60"/>
              <w:jc w:val="center"/>
              <w:rPr>
                <w:sz w:val="20"/>
              </w:rPr>
            </w:pPr>
            <w:r>
              <w:rPr>
                <w:sz w:val="20"/>
              </w:rPr>
              <w:t>Réfrigération</w:t>
            </w:r>
          </w:p>
        </w:tc>
        <w:tc>
          <w:tcPr>
            <w:tcW w:w="401" w:type="pct"/>
            <w:shd w:val="clear" w:color="auto" w:fill="auto"/>
            <w:vAlign w:val="center"/>
          </w:tcPr>
          <w:p w14:paraId="065CFD00" w14:textId="77777777" w:rsidR="004177A6" w:rsidRPr="00996241" w:rsidRDefault="004177A6" w:rsidP="007C1B75">
            <w:pPr>
              <w:spacing w:after="60"/>
              <w:jc w:val="center"/>
              <w:rPr>
                <w:sz w:val="20"/>
              </w:rPr>
            </w:pPr>
            <w:r>
              <w:rPr>
                <w:sz w:val="20"/>
              </w:rPr>
              <w:t>Solvants</w:t>
            </w:r>
          </w:p>
        </w:tc>
        <w:tc>
          <w:tcPr>
            <w:tcW w:w="608" w:type="pct"/>
            <w:shd w:val="clear" w:color="auto" w:fill="auto"/>
            <w:vAlign w:val="center"/>
          </w:tcPr>
          <w:p w14:paraId="386292BC" w14:textId="77777777" w:rsidR="004177A6" w:rsidRPr="00996241" w:rsidRDefault="004177A6" w:rsidP="007C1B75">
            <w:pPr>
              <w:spacing w:after="60"/>
              <w:jc w:val="center"/>
              <w:rPr>
                <w:sz w:val="20"/>
              </w:rPr>
            </w:pPr>
            <w:r>
              <w:rPr>
                <w:sz w:val="20"/>
              </w:rPr>
              <w:t>Agent de transformation</w:t>
            </w:r>
          </w:p>
        </w:tc>
        <w:tc>
          <w:tcPr>
            <w:tcW w:w="476" w:type="pct"/>
            <w:shd w:val="clear" w:color="auto" w:fill="auto"/>
            <w:vAlign w:val="center"/>
          </w:tcPr>
          <w:p w14:paraId="38A416CE" w14:textId="77777777" w:rsidR="004177A6" w:rsidRPr="00996241" w:rsidRDefault="004177A6" w:rsidP="007C1B75">
            <w:pPr>
              <w:spacing w:after="60"/>
              <w:jc w:val="center"/>
              <w:rPr>
                <w:sz w:val="20"/>
              </w:rPr>
            </w:pPr>
            <w:r>
              <w:rPr>
                <w:sz w:val="20"/>
              </w:rPr>
              <w:t>Utilisation en laboratoire</w:t>
            </w:r>
          </w:p>
        </w:tc>
        <w:tc>
          <w:tcPr>
            <w:tcW w:w="627" w:type="pct"/>
            <w:shd w:val="clear" w:color="auto" w:fill="auto"/>
            <w:vAlign w:val="center"/>
          </w:tcPr>
          <w:p w14:paraId="0A0BB4E1" w14:textId="77777777" w:rsidR="004177A6" w:rsidRPr="00996241" w:rsidRDefault="004177A6" w:rsidP="007C1B75">
            <w:pPr>
              <w:spacing w:after="60"/>
              <w:jc w:val="center"/>
              <w:rPr>
                <w:sz w:val="20"/>
              </w:rPr>
            </w:pPr>
            <w:r>
              <w:rPr>
                <w:sz w:val="20"/>
              </w:rPr>
              <w:t>Consommation totale du secteur</w:t>
            </w:r>
          </w:p>
        </w:tc>
      </w:tr>
      <w:tr w:rsidR="004177A6" w:rsidRPr="00EB31E3" w14:paraId="689FBBA2" w14:textId="77777777" w:rsidTr="00C45315">
        <w:trPr>
          <w:trHeight w:val="70"/>
        </w:trPr>
        <w:tc>
          <w:tcPr>
            <w:tcW w:w="1973" w:type="pct"/>
            <w:gridSpan w:val="4"/>
            <w:shd w:val="clear" w:color="auto" w:fill="auto"/>
            <w:vAlign w:val="center"/>
          </w:tcPr>
          <w:p w14:paraId="345DC655" w14:textId="37E0DFE9" w:rsidR="004177A6" w:rsidRPr="009931F4" w:rsidRDefault="004177A6" w:rsidP="007C1B75">
            <w:pPr>
              <w:spacing w:after="60"/>
              <w:jc w:val="center"/>
              <w:rPr>
                <w:sz w:val="20"/>
              </w:rPr>
            </w:pPr>
          </w:p>
        </w:tc>
        <w:tc>
          <w:tcPr>
            <w:tcW w:w="495" w:type="pct"/>
            <w:shd w:val="clear" w:color="auto" w:fill="auto"/>
            <w:vAlign w:val="center"/>
          </w:tcPr>
          <w:p w14:paraId="0C8E7031" w14:textId="77777777" w:rsidR="004177A6" w:rsidRPr="00996241" w:rsidRDefault="004177A6" w:rsidP="007C1B75">
            <w:pPr>
              <w:spacing w:after="60"/>
              <w:jc w:val="center"/>
              <w:rPr>
                <w:sz w:val="20"/>
              </w:rPr>
            </w:pPr>
            <w:r>
              <w:rPr>
                <w:sz w:val="20"/>
              </w:rPr>
              <w:t>Fabrication</w:t>
            </w:r>
          </w:p>
        </w:tc>
        <w:tc>
          <w:tcPr>
            <w:tcW w:w="420" w:type="pct"/>
            <w:shd w:val="clear" w:color="auto" w:fill="auto"/>
            <w:vAlign w:val="center"/>
          </w:tcPr>
          <w:p w14:paraId="4F72BBF3" w14:textId="77777777" w:rsidR="004177A6" w:rsidRPr="00996241" w:rsidRDefault="004177A6" w:rsidP="007C1B75">
            <w:pPr>
              <w:spacing w:after="60"/>
              <w:jc w:val="center"/>
              <w:rPr>
                <w:sz w:val="20"/>
              </w:rPr>
            </w:pPr>
            <w:r>
              <w:rPr>
                <w:sz w:val="20"/>
              </w:rPr>
              <w:t>Entretien</w:t>
            </w:r>
          </w:p>
        </w:tc>
        <w:tc>
          <w:tcPr>
            <w:tcW w:w="2113" w:type="pct"/>
            <w:gridSpan w:val="4"/>
            <w:shd w:val="clear" w:color="auto" w:fill="auto"/>
            <w:vAlign w:val="center"/>
          </w:tcPr>
          <w:p w14:paraId="7FA1434C" w14:textId="77777777" w:rsidR="004177A6" w:rsidRPr="00996241" w:rsidRDefault="004177A6" w:rsidP="007C1B75">
            <w:pPr>
              <w:spacing w:after="60"/>
              <w:jc w:val="center"/>
              <w:rPr>
                <w:sz w:val="20"/>
              </w:rPr>
            </w:pPr>
          </w:p>
        </w:tc>
      </w:tr>
      <w:tr w:rsidR="004177A6" w:rsidRPr="00EB31E3" w14:paraId="1B8EE2A8" w14:textId="77777777" w:rsidTr="00C45315">
        <w:trPr>
          <w:trHeight w:val="250"/>
        </w:trPr>
        <w:tc>
          <w:tcPr>
            <w:tcW w:w="776" w:type="pct"/>
            <w:shd w:val="clear" w:color="auto" w:fill="auto"/>
          </w:tcPr>
          <w:p w14:paraId="52EE2DF6" w14:textId="77777777" w:rsidR="004177A6" w:rsidRPr="009931F4" w:rsidRDefault="004177A6">
            <w:pPr>
              <w:spacing w:after="60"/>
              <w:jc w:val="left"/>
              <w:rPr>
                <w:sz w:val="20"/>
              </w:rPr>
            </w:pPr>
            <w:r>
              <w:rPr>
                <w:color w:val="000000" w:themeColor="text1"/>
                <w:sz w:val="20"/>
              </w:rPr>
              <w:t>HCFC-22</w:t>
            </w:r>
          </w:p>
        </w:tc>
        <w:tc>
          <w:tcPr>
            <w:tcW w:w="377" w:type="pct"/>
            <w:shd w:val="clear" w:color="auto" w:fill="auto"/>
          </w:tcPr>
          <w:p w14:paraId="166616BA" w14:textId="77777777" w:rsidR="004177A6" w:rsidRPr="00996241" w:rsidRDefault="004177A6">
            <w:pPr>
              <w:spacing w:after="60"/>
              <w:jc w:val="right"/>
              <w:rPr>
                <w:sz w:val="20"/>
              </w:rPr>
            </w:pPr>
          </w:p>
        </w:tc>
        <w:tc>
          <w:tcPr>
            <w:tcW w:w="373" w:type="pct"/>
            <w:shd w:val="clear" w:color="auto" w:fill="auto"/>
          </w:tcPr>
          <w:p w14:paraId="6582A7AC" w14:textId="77777777" w:rsidR="004177A6" w:rsidRPr="00996241" w:rsidRDefault="004177A6">
            <w:pPr>
              <w:spacing w:after="60"/>
              <w:jc w:val="right"/>
              <w:rPr>
                <w:sz w:val="20"/>
              </w:rPr>
            </w:pPr>
          </w:p>
        </w:tc>
        <w:tc>
          <w:tcPr>
            <w:tcW w:w="448" w:type="pct"/>
            <w:shd w:val="clear" w:color="auto" w:fill="auto"/>
          </w:tcPr>
          <w:p w14:paraId="606763F9" w14:textId="77777777" w:rsidR="004177A6" w:rsidRPr="00996241" w:rsidRDefault="004177A6">
            <w:pPr>
              <w:spacing w:after="60"/>
              <w:jc w:val="right"/>
              <w:rPr>
                <w:sz w:val="20"/>
              </w:rPr>
            </w:pPr>
          </w:p>
        </w:tc>
        <w:tc>
          <w:tcPr>
            <w:tcW w:w="495" w:type="pct"/>
            <w:shd w:val="clear" w:color="auto" w:fill="auto"/>
          </w:tcPr>
          <w:p w14:paraId="79733646" w14:textId="77777777" w:rsidR="004177A6" w:rsidRPr="00996241" w:rsidRDefault="004177A6">
            <w:pPr>
              <w:spacing w:after="60"/>
              <w:jc w:val="right"/>
              <w:rPr>
                <w:sz w:val="20"/>
              </w:rPr>
            </w:pPr>
          </w:p>
        </w:tc>
        <w:tc>
          <w:tcPr>
            <w:tcW w:w="420" w:type="pct"/>
            <w:shd w:val="clear" w:color="auto" w:fill="auto"/>
          </w:tcPr>
          <w:p w14:paraId="53F60E12" w14:textId="1FF439AF" w:rsidR="004177A6" w:rsidRPr="00996241" w:rsidRDefault="00F532F0">
            <w:pPr>
              <w:spacing w:after="60"/>
              <w:jc w:val="right"/>
              <w:rPr>
                <w:sz w:val="20"/>
              </w:rPr>
            </w:pPr>
            <w:r>
              <w:rPr>
                <w:sz w:val="20"/>
              </w:rPr>
              <w:t>7,37</w:t>
            </w:r>
          </w:p>
        </w:tc>
        <w:tc>
          <w:tcPr>
            <w:tcW w:w="401" w:type="pct"/>
            <w:shd w:val="clear" w:color="auto" w:fill="auto"/>
          </w:tcPr>
          <w:p w14:paraId="21869F15" w14:textId="77777777" w:rsidR="004177A6" w:rsidRPr="00996241" w:rsidRDefault="004177A6">
            <w:pPr>
              <w:spacing w:after="60"/>
              <w:jc w:val="right"/>
              <w:rPr>
                <w:sz w:val="20"/>
              </w:rPr>
            </w:pPr>
          </w:p>
        </w:tc>
        <w:tc>
          <w:tcPr>
            <w:tcW w:w="608" w:type="pct"/>
            <w:shd w:val="clear" w:color="auto" w:fill="auto"/>
          </w:tcPr>
          <w:p w14:paraId="4491BA9A" w14:textId="77777777" w:rsidR="004177A6" w:rsidRPr="00996241" w:rsidRDefault="004177A6">
            <w:pPr>
              <w:spacing w:after="60"/>
              <w:jc w:val="right"/>
              <w:rPr>
                <w:sz w:val="20"/>
              </w:rPr>
            </w:pPr>
          </w:p>
        </w:tc>
        <w:tc>
          <w:tcPr>
            <w:tcW w:w="476" w:type="pct"/>
            <w:shd w:val="clear" w:color="auto" w:fill="auto"/>
          </w:tcPr>
          <w:p w14:paraId="25B074D9" w14:textId="77777777" w:rsidR="004177A6" w:rsidRPr="00996241" w:rsidRDefault="004177A6">
            <w:pPr>
              <w:spacing w:after="60"/>
              <w:jc w:val="right"/>
              <w:rPr>
                <w:sz w:val="20"/>
              </w:rPr>
            </w:pPr>
          </w:p>
        </w:tc>
        <w:tc>
          <w:tcPr>
            <w:tcW w:w="627" w:type="pct"/>
            <w:shd w:val="clear" w:color="auto" w:fill="auto"/>
          </w:tcPr>
          <w:p w14:paraId="7D7F6692" w14:textId="59C18475" w:rsidR="004177A6" w:rsidRPr="00996241" w:rsidRDefault="00F532F0">
            <w:pPr>
              <w:spacing w:after="60"/>
              <w:jc w:val="right"/>
              <w:rPr>
                <w:sz w:val="20"/>
              </w:rPr>
            </w:pPr>
            <w:r>
              <w:rPr>
                <w:sz w:val="20"/>
              </w:rPr>
              <w:t>7,37</w:t>
            </w:r>
          </w:p>
        </w:tc>
      </w:tr>
    </w:tbl>
    <w:p w14:paraId="263B068F" w14:textId="77777777" w:rsidR="004177A6" w:rsidRPr="00EB620B" w:rsidRDefault="004177A6" w:rsidP="004177A6">
      <w:pPr>
        <w:jc w:val="center"/>
        <w:rPr>
          <w:sz w:val="20"/>
        </w:rPr>
      </w:pPr>
    </w:p>
    <w:tbl>
      <w:tblPr>
        <w:tblStyle w:val="TableGrid"/>
        <w:tblW w:w="5679" w:type="pct"/>
        <w:tblInd w:w="-635" w:type="dxa"/>
        <w:tblLook w:val="04A0" w:firstRow="1" w:lastRow="0" w:firstColumn="1" w:lastColumn="0" w:noHBand="0" w:noVBand="1"/>
      </w:tblPr>
      <w:tblGrid>
        <w:gridCol w:w="2695"/>
        <w:gridCol w:w="1621"/>
        <w:gridCol w:w="4346"/>
        <w:gridCol w:w="1958"/>
      </w:tblGrid>
      <w:tr w:rsidR="004177A6" w:rsidRPr="00EB31E3" w14:paraId="1D0BADC9" w14:textId="77777777" w:rsidTr="00C45315">
        <w:trPr>
          <w:trHeight w:val="272"/>
        </w:trPr>
        <w:tc>
          <w:tcPr>
            <w:tcW w:w="5000" w:type="pct"/>
            <w:gridSpan w:val="4"/>
            <w:shd w:val="clear" w:color="auto" w:fill="auto"/>
          </w:tcPr>
          <w:p w14:paraId="41776933" w14:textId="77777777" w:rsidR="004177A6" w:rsidRPr="00996241" w:rsidRDefault="004177A6">
            <w:pPr>
              <w:jc w:val="left"/>
              <w:rPr>
                <w:b/>
                <w:sz w:val="20"/>
              </w:rPr>
            </w:pPr>
            <w:r>
              <w:rPr>
                <w:b/>
                <w:sz w:val="20"/>
              </w:rPr>
              <w:t>(IV) DONNÉES SUR LA CONSOMMATION (tonnes PAO)</w:t>
            </w:r>
          </w:p>
        </w:tc>
      </w:tr>
      <w:tr w:rsidR="004177A6" w:rsidRPr="00EB31E3" w14:paraId="04858F07" w14:textId="77777777" w:rsidTr="00C45315">
        <w:trPr>
          <w:trHeight w:val="272"/>
        </w:trPr>
        <w:tc>
          <w:tcPr>
            <w:tcW w:w="1269" w:type="pct"/>
            <w:shd w:val="clear" w:color="auto" w:fill="auto"/>
          </w:tcPr>
          <w:p w14:paraId="6416ACD8" w14:textId="77777777" w:rsidR="004177A6" w:rsidRPr="009931F4" w:rsidRDefault="004177A6">
            <w:pPr>
              <w:spacing w:after="60"/>
              <w:jc w:val="center"/>
              <w:rPr>
                <w:sz w:val="20"/>
              </w:rPr>
            </w:pPr>
            <w:r>
              <w:rPr>
                <w:sz w:val="20"/>
              </w:rPr>
              <w:t>Référence de 2009–2010 :</w:t>
            </w:r>
          </w:p>
        </w:tc>
        <w:tc>
          <w:tcPr>
            <w:tcW w:w="763" w:type="pct"/>
            <w:shd w:val="clear" w:color="auto" w:fill="auto"/>
          </w:tcPr>
          <w:p w14:paraId="54F1B67B" w14:textId="22B3CA74" w:rsidR="004177A6" w:rsidRPr="00996241" w:rsidRDefault="00022493">
            <w:pPr>
              <w:spacing w:after="60"/>
              <w:jc w:val="right"/>
              <w:rPr>
                <w:sz w:val="20"/>
              </w:rPr>
            </w:pPr>
            <w:r>
              <w:rPr>
                <w:sz w:val="20"/>
              </w:rPr>
              <w:t>30,2</w:t>
            </w:r>
          </w:p>
        </w:tc>
        <w:tc>
          <w:tcPr>
            <w:tcW w:w="2046" w:type="pct"/>
            <w:shd w:val="clear" w:color="auto" w:fill="auto"/>
          </w:tcPr>
          <w:p w14:paraId="57F2689F" w14:textId="77777777" w:rsidR="004177A6" w:rsidRPr="00996241" w:rsidRDefault="004177A6">
            <w:pPr>
              <w:spacing w:after="60"/>
              <w:jc w:val="center"/>
              <w:rPr>
                <w:sz w:val="20"/>
              </w:rPr>
            </w:pPr>
            <w:r>
              <w:rPr>
                <w:sz w:val="20"/>
              </w:rPr>
              <w:t>Point de départ des réductions globales durables :</w:t>
            </w:r>
          </w:p>
        </w:tc>
        <w:tc>
          <w:tcPr>
            <w:tcW w:w="922" w:type="pct"/>
            <w:shd w:val="clear" w:color="auto" w:fill="auto"/>
          </w:tcPr>
          <w:p w14:paraId="09A470BC" w14:textId="1780B908" w:rsidR="004177A6" w:rsidRPr="00996241" w:rsidRDefault="00362FF8">
            <w:pPr>
              <w:spacing w:after="60"/>
              <w:jc w:val="right"/>
              <w:rPr>
                <w:sz w:val="20"/>
              </w:rPr>
            </w:pPr>
            <w:r>
              <w:rPr>
                <w:color w:val="000000" w:themeColor="text1"/>
                <w:sz w:val="20"/>
              </w:rPr>
              <w:t>30,2</w:t>
            </w:r>
          </w:p>
        </w:tc>
      </w:tr>
      <w:tr w:rsidR="004177A6" w:rsidRPr="00EB31E3" w14:paraId="51D17A6D" w14:textId="77777777" w:rsidTr="00C45315">
        <w:trPr>
          <w:trHeight w:val="163"/>
        </w:trPr>
        <w:tc>
          <w:tcPr>
            <w:tcW w:w="5000" w:type="pct"/>
            <w:gridSpan w:val="4"/>
            <w:shd w:val="clear" w:color="auto" w:fill="auto"/>
          </w:tcPr>
          <w:p w14:paraId="12CCB1E6" w14:textId="77777777" w:rsidR="004177A6" w:rsidRPr="009931F4" w:rsidRDefault="004177A6" w:rsidP="007C1B75">
            <w:pPr>
              <w:tabs>
                <w:tab w:val="left" w:pos="993"/>
              </w:tabs>
              <w:ind w:left="426"/>
              <w:jc w:val="left"/>
              <w:rPr>
                <w:b/>
                <w:sz w:val="20"/>
              </w:rPr>
            </w:pPr>
            <w:r>
              <w:rPr>
                <w:b/>
                <w:sz w:val="20"/>
              </w:rPr>
              <w:t>CONSOMMATION RESTANTE ADMISSIBLE AU FINANCEMENT</w:t>
            </w:r>
          </w:p>
        </w:tc>
      </w:tr>
      <w:tr w:rsidR="004177A6" w:rsidRPr="00EB31E3" w14:paraId="08ECBB50" w14:textId="77777777" w:rsidTr="00C45315">
        <w:trPr>
          <w:trHeight w:val="272"/>
        </w:trPr>
        <w:tc>
          <w:tcPr>
            <w:tcW w:w="1269" w:type="pct"/>
            <w:shd w:val="clear" w:color="auto" w:fill="auto"/>
          </w:tcPr>
          <w:p w14:paraId="6C529870" w14:textId="77777777" w:rsidR="004177A6" w:rsidRPr="009931F4" w:rsidRDefault="004177A6">
            <w:pPr>
              <w:spacing w:after="60"/>
              <w:jc w:val="center"/>
              <w:rPr>
                <w:sz w:val="20"/>
              </w:rPr>
            </w:pPr>
            <w:r>
              <w:rPr>
                <w:sz w:val="20"/>
              </w:rPr>
              <w:t>Déjà approuvée :</w:t>
            </w:r>
          </w:p>
        </w:tc>
        <w:tc>
          <w:tcPr>
            <w:tcW w:w="763" w:type="pct"/>
            <w:shd w:val="clear" w:color="auto" w:fill="auto"/>
          </w:tcPr>
          <w:p w14:paraId="37AEEFA8" w14:textId="7CD1AD5F" w:rsidR="004177A6" w:rsidRPr="00996241" w:rsidRDefault="00362FF8">
            <w:pPr>
              <w:spacing w:after="60"/>
              <w:jc w:val="right"/>
              <w:rPr>
                <w:sz w:val="20"/>
              </w:rPr>
            </w:pPr>
            <w:r>
              <w:rPr>
                <w:sz w:val="20"/>
              </w:rPr>
              <w:t>10,57</w:t>
            </w:r>
          </w:p>
        </w:tc>
        <w:tc>
          <w:tcPr>
            <w:tcW w:w="2046" w:type="pct"/>
            <w:shd w:val="clear" w:color="auto" w:fill="auto"/>
          </w:tcPr>
          <w:p w14:paraId="4D2CDA52" w14:textId="77777777" w:rsidR="004177A6" w:rsidRPr="00996241" w:rsidRDefault="004177A6">
            <w:pPr>
              <w:spacing w:after="60"/>
              <w:jc w:val="center"/>
              <w:rPr>
                <w:sz w:val="20"/>
              </w:rPr>
            </w:pPr>
            <w:r>
              <w:rPr>
                <w:sz w:val="20"/>
              </w:rPr>
              <w:t>Restante :</w:t>
            </w:r>
          </w:p>
        </w:tc>
        <w:tc>
          <w:tcPr>
            <w:tcW w:w="922" w:type="pct"/>
            <w:shd w:val="clear" w:color="auto" w:fill="auto"/>
          </w:tcPr>
          <w:p w14:paraId="4CC050E8" w14:textId="6913A19A" w:rsidR="004177A6" w:rsidRPr="00996241" w:rsidRDefault="007E27B2">
            <w:pPr>
              <w:spacing w:after="60"/>
              <w:jc w:val="right"/>
              <w:rPr>
                <w:sz w:val="20"/>
              </w:rPr>
            </w:pPr>
            <w:r>
              <w:rPr>
                <w:sz w:val="20"/>
              </w:rPr>
              <w:t>19,63</w:t>
            </w:r>
          </w:p>
        </w:tc>
      </w:tr>
    </w:tbl>
    <w:p w14:paraId="7CDA962B" w14:textId="77777777" w:rsidR="004177A6" w:rsidRPr="009931F4" w:rsidRDefault="004177A6" w:rsidP="004177A6">
      <w:pPr>
        <w:jc w:val="center"/>
        <w:rPr>
          <w:sz w:val="20"/>
        </w:rPr>
      </w:pPr>
    </w:p>
    <w:tbl>
      <w:tblPr>
        <w:tblStyle w:val="TableGrid"/>
        <w:tblW w:w="5679" w:type="pct"/>
        <w:tblInd w:w="-635" w:type="dxa"/>
        <w:tblLook w:val="04A0" w:firstRow="1" w:lastRow="0" w:firstColumn="1" w:lastColumn="0" w:noHBand="0" w:noVBand="1"/>
      </w:tblPr>
      <w:tblGrid>
        <w:gridCol w:w="1170"/>
        <w:gridCol w:w="3305"/>
        <w:gridCol w:w="1304"/>
        <w:gridCol w:w="1404"/>
        <w:gridCol w:w="1402"/>
        <w:gridCol w:w="2035"/>
      </w:tblGrid>
      <w:tr w:rsidR="004177A6" w:rsidRPr="00EB31E3" w14:paraId="4700A0A8" w14:textId="77777777" w:rsidTr="00C45315">
        <w:trPr>
          <w:trHeight w:val="258"/>
        </w:trPr>
        <w:tc>
          <w:tcPr>
            <w:tcW w:w="2107" w:type="pct"/>
            <w:gridSpan w:val="2"/>
            <w:shd w:val="clear" w:color="auto" w:fill="auto"/>
            <w:vAlign w:val="center"/>
          </w:tcPr>
          <w:p w14:paraId="68BFF2F8" w14:textId="48A6F6BB" w:rsidR="004177A6" w:rsidRPr="00996241" w:rsidRDefault="004177A6">
            <w:pPr>
              <w:spacing w:after="60"/>
              <w:jc w:val="left"/>
              <w:rPr>
                <w:b/>
                <w:sz w:val="20"/>
              </w:rPr>
            </w:pPr>
            <w:r>
              <w:rPr>
                <w:b/>
                <w:sz w:val="20"/>
              </w:rPr>
              <w:t>(V) PLAN D’ACTIVITÉS APPROUVÉ</w:t>
            </w:r>
          </w:p>
        </w:tc>
        <w:tc>
          <w:tcPr>
            <w:tcW w:w="614" w:type="pct"/>
            <w:vAlign w:val="center"/>
          </w:tcPr>
          <w:p w14:paraId="26D8FDF8" w14:textId="39E6ACF2" w:rsidR="004177A6" w:rsidRPr="00996241" w:rsidRDefault="004177A6">
            <w:pPr>
              <w:spacing w:after="60"/>
              <w:jc w:val="center"/>
              <w:rPr>
                <w:b/>
                <w:sz w:val="20"/>
              </w:rPr>
            </w:pPr>
            <w:r>
              <w:rPr>
                <w:b/>
                <w:sz w:val="20"/>
              </w:rPr>
              <w:t>2024</w:t>
            </w:r>
          </w:p>
        </w:tc>
        <w:tc>
          <w:tcPr>
            <w:tcW w:w="661" w:type="pct"/>
            <w:vAlign w:val="center"/>
          </w:tcPr>
          <w:p w14:paraId="6D93DFD1" w14:textId="5C8DDC9D" w:rsidR="004177A6" w:rsidRPr="00996241" w:rsidRDefault="004177A6">
            <w:pPr>
              <w:spacing w:after="60"/>
              <w:jc w:val="center"/>
              <w:rPr>
                <w:b/>
                <w:sz w:val="20"/>
              </w:rPr>
            </w:pPr>
            <w:r>
              <w:rPr>
                <w:b/>
                <w:sz w:val="20"/>
              </w:rPr>
              <w:t>2025</w:t>
            </w:r>
          </w:p>
        </w:tc>
        <w:tc>
          <w:tcPr>
            <w:tcW w:w="660" w:type="pct"/>
            <w:vAlign w:val="center"/>
          </w:tcPr>
          <w:p w14:paraId="5CFE5520" w14:textId="695334F5" w:rsidR="004177A6" w:rsidRPr="00996241" w:rsidRDefault="004177A6">
            <w:pPr>
              <w:spacing w:after="60"/>
              <w:jc w:val="center"/>
              <w:rPr>
                <w:b/>
                <w:sz w:val="20"/>
              </w:rPr>
            </w:pPr>
            <w:r>
              <w:rPr>
                <w:b/>
                <w:sz w:val="20"/>
              </w:rPr>
              <w:t>2026</w:t>
            </w:r>
          </w:p>
        </w:tc>
        <w:tc>
          <w:tcPr>
            <w:tcW w:w="958" w:type="pct"/>
            <w:shd w:val="clear" w:color="auto" w:fill="auto"/>
            <w:vAlign w:val="center"/>
          </w:tcPr>
          <w:p w14:paraId="2414A4BD" w14:textId="77777777" w:rsidR="004177A6" w:rsidRPr="00996241" w:rsidRDefault="004177A6">
            <w:pPr>
              <w:spacing w:after="60"/>
              <w:jc w:val="center"/>
              <w:rPr>
                <w:b/>
                <w:sz w:val="20"/>
              </w:rPr>
            </w:pPr>
            <w:r>
              <w:rPr>
                <w:b/>
                <w:sz w:val="20"/>
              </w:rPr>
              <w:t>Total</w:t>
            </w:r>
          </w:p>
        </w:tc>
      </w:tr>
      <w:tr w:rsidR="004177A6" w:rsidRPr="00EB31E3" w14:paraId="67EE375E" w14:textId="77777777" w:rsidTr="00C45315">
        <w:trPr>
          <w:trHeight w:val="258"/>
        </w:trPr>
        <w:tc>
          <w:tcPr>
            <w:tcW w:w="551" w:type="pct"/>
            <w:vMerge w:val="restart"/>
            <w:shd w:val="clear" w:color="auto" w:fill="auto"/>
            <w:vAlign w:val="center"/>
          </w:tcPr>
          <w:p w14:paraId="7E201722" w14:textId="71B12259" w:rsidR="004177A6" w:rsidRPr="00996241" w:rsidRDefault="00C33719">
            <w:pPr>
              <w:spacing w:after="60"/>
              <w:jc w:val="center"/>
              <w:rPr>
                <w:sz w:val="20"/>
              </w:rPr>
            </w:pPr>
            <w:r>
              <w:rPr>
                <w:color w:val="000000" w:themeColor="text1"/>
                <w:sz w:val="20"/>
              </w:rPr>
              <w:t>PNUE</w:t>
            </w:r>
          </w:p>
        </w:tc>
        <w:tc>
          <w:tcPr>
            <w:tcW w:w="1556" w:type="pct"/>
            <w:shd w:val="clear" w:color="auto" w:fill="auto"/>
          </w:tcPr>
          <w:p w14:paraId="302465D8" w14:textId="77777777" w:rsidR="004177A6" w:rsidRPr="00996241" w:rsidRDefault="004177A6">
            <w:pPr>
              <w:spacing w:after="60"/>
              <w:jc w:val="left"/>
              <w:rPr>
                <w:sz w:val="20"/>
              </w:rPr>
            </w:pPr>
            <w:r>
              <w:rPr>
                <w:sz w:val="20"/>
              </w:rPr>
              <w:t>Élimination des SAO (tonnes PAO)</w:t>
            </w:r>
          </w:p>
        </w:tc>
        <w:tc>
          <w:tcPr>
            <w:tcW w:w="614" w:type="pct"/>
            <w:shd w:val="clear" w:color="auto" w:fill="auto"/>
          </w:tcPr>
          <w:p w14:paraId="7F63D7EC" w14:textId="2CDE748F" w:rsidR="004177A6" w:rsidRPr="00996241" w:rsidRDefault="005B61DB">
            <w:pPr>
              <w:spacing w:after="60"/>
              <w:jc w:val="right"/>
              <w:rPr>
                <w:sz w:val="20"/>
              </w:rPr>
            </w:pPr>
            <w:r>
              <w:rPr>
                <w:sz w:val="20"/>
              </w:rPr>
              <w:t>0,00</w:t>
            </w:r>
          </w:p>
        </w:tc>
        <w:tc>
          <w:tcPr>
            <w:tcW w:w="661" w:type="pct"/>
          </w:tcPr>
          <w:p w14:paraId="345F6B60" w14:textId="3FF8A045" w:rsidR="004177A6" w:rsidRPr="00996241" w:rsidRDefault="005B61DB">
            <w:pPr>
              <w:spacing w:after="60"/>
              <w:jc w:val="right"/>
              <w:rPr>
                <w:sz w:val="20"/>
              </w:rPr>
            </w:pPr>
            <w:r>
              <w:rPr>
                <w:sz w:val="20"/>
              </w:rPr>
              <w:t>0,00</w:t>
            </w:r>
          </w:p>
        </w:tc>
        <w:tc>
          <w:tcPr>
            <w:tcW w:w="660" w:type="pct"/>
            <w:shd w:val="clear" w:color="auto" w:fill="auto"/>
          </w:tcPr>
          <w:p w14:paraId="4BA7186B" w14:textId="0A62B083" w:rsidR="004177A6" w:rsidRPr="00996241" w:rsidRDefault="005B61DB">
            <w:pPr>
              <w:spacing w:after="60"/>
              <w:jc w:val="right"/>
              <w:rPr>
                <w:sz w:val="20"/>
              </w:rPr>
            </w:pPr>
            <w:r>
              <w:rPr>
                <w:sz w:val="20"/>
              </w:rPr>
              <w:t>0,00</w:t>
            </w:r>
          </w:p>
        </w:tc>
        <w:tc>
          <w:tcPr>
            <w:tcW w:w="958" w:type="pct"/>
            <w:shd w:val="clear" w:color="auto" w:fill="auto"/>
          </w:tcPr>
          <w:p w14:paraId="646092D7" w14:textId="4825259B" w:rsidR="004177A6" w:rsidRPr="006B525D" w:rsidRDefault="005B61DB">
            <w:pPr>
              <w:spacing w:after="60"/>
              <w:jc w:val="right"/>
              <w:rPr>
                <w:sz w:val="20"/>
              </w:rPr>
            </w:pPr>
            <w:r>
              <w:rPr>
                <w:sz w:val="20"/>
              </w:rPr>
              <w:t>0,00</w:t>
            </w:r>
          </w:p>
        </w:tc>
      </w:tr>
      <w:tr w:rsidR="004177A6" w:rsidRPr="00EB31E3" w14:paraId="5B606A68" w14:textId="77777777" w:rsidTr="00C45315">
        <w:trPr>
          <w:trHeight w:val="258"/>
        </w:trPr>
        <w:tc>
          <w:tcPr>
            <w:tcW w:w="551" w:type="pct"/>
            <w:vMerge/>
            <w:shd w:val="clear" w:color="auto" w:fill="auto"/>
            <w:vAlign w:val="center"/>
          </w:tcPr>
          <w:p w14:paraId="38CEF541" w14:textId="77777777" w:rsidR="004177A6" w:rsidRPr="00996241" w:rsidRDefault="004177A6">
            <w:pPr>
              <w:spacing w:after="60"/>
              <w:jc w:val="center"/>
              <w:rPr>
                <w:sz w:val="20"/>
              </w:rPr>
            </w:pPr>
          </w:p>
        </w:tc>
        <w:tc>
          <w:tcPr>
            <w:tcW w:w="1556" w:type="pct"/>
            <w:shd w:val="clear" w:color="auto" w:fill="auto"/>
          </w:tcPr>
          <w:p w14:paraId="76A38BDD" w14:textId="77777777" w:rsidR="004177A6" w:rsidRPr="00996241" w:rsidRDefault="004177A6">
            <w:pPr>
              <w:spacing w:after="60"/>
              <w:jc w:val="left"/>
              <w:rPr>
                <w:sz w:val="20"/>
              </w:rPr>
            </w:pPr>
            <w:r>
              <w:rPr>
                <w:sz w:val="20"/>
              </w:rPr>
              <w:t>Financement ($ US)</w:t>
            </w:r>
          </w:p>
        </w:tc>
        <w:tc>
          <w:tcPr>
            <w:tcW w:w="614" w:type="pct"/>
            <w:shd w:val="clear" w:color="auto" w:fill="auto"/>
          </w:tcPr>
          <w:p w14:paraId="7B398189" w14:textId="3A4314A7" w:rsidR="004177A6" w:rsidRPr="00996241" w:rsidRDefault="005B61DB">
            <w:pPr>
              <w:spacing w:after="60"/>
              <w:jc w:val="right"/>
              <w:rPr>
                <w:sz w:val="20"/>
              </w:rPr>
            </w:pPr>
            <w:r>
              <w:rPr>
                <w:sz w:val="20"/>
              </w:rPr>
              <w:t>348 040</w:t>
            </w:r>
          </w:p>
        </w:tc>
        <w:tc>
          <w:tcPr>
            <w:tcW w:w="661" w:type="pct"/>
          </w:tcPr>
          <w:p w14:paraId="682B6678" w14:textId="237C4AE3" w:rsidR="004177A6" w:rsidRPr="00996241" w:rsidRDefault="005B61DB">
            <w:pPr>
              <w:spacing w:after="60"/>
              <w:jc w:val="right"/>
              <w:rPr>
                <w:sz w:val="20"/>
              </w:rPr>
            </w:pPr>
            <w:r>
              <w:rPr>
                <w:sz w:val="20"/>
              </w:rPr>
              <w:t>0</w:t>
            </w:r>
          </w:p>
        </w:tc>
        <w:tc>
          <w:tcPr>
            <w:tcW w:w="660" w:type="pct"/>
            <w:shd w:val="clear" w:color="auto" w:fill="auto"/>
          </w:tcPr>
          <w:p w14:paraId="6406F39E" w14:textId="40FB73AB" w:rsidR="004177A6" w:rsidRPr="00996241" w:rsidRDefault="005B61DB">
            <w:pPr>
              <w:spacing w:after="60"/>
              <w:jc w:val="right"/>
              <w:rPr>
                <w:sz w:val="20"/>
              </w:rPr>
            </w:pPr>
            <w:r>
              <w:rPr>
                <w:sz w:val="20"/>
              </w:rPr>
              <w:t>0</w:t>
            </w:r>
          </w:p>
        </w:tc>
        <w:tc>
          <w:tcPr>
            <w:tcW w:w="958" w:type="pct"/>
            <w:shd w:val="clear" w:color="auto" w:fill="auto"/>
          </w:tcPr>
          <w:p w14:paraId="79BCCF0F" w14:textId="0E1DAB22" w:rsidR="004177A6" w:rsidRPr="00996241" w:rsidRDefault="005B61DB">
            <w:pPr>
              <w:spacing w:after="60"/>
              <w:jc w:val="right"/>
              <w:rPr>
                <w:sz w:val="20"/>
              </w:rPr>
            </w:pPr>
            <w:r>
              <w:rPr>
                <w:sz w:val="20"/>
              </w:rPr>
              <w:t>348 040</w:t>
            </w:r>
          </w:p>
        </w:tc>
      </w:tr>
      <w:tr w:rsidR="004177A6" w:rsidRPr="00EB31E3" w14:paraId="6913A7B6" w14:textId="77777777" w:rsidTr="00C45315">
        <w:trPr>
          <w:trHeight w:val="258"/>
        </w:trPr>
        <w:tc>
          <w:tcPr>
            <w:tcW w:w="551" w:type="pct"/>
            <w:vMerge w:val="restart"/>
            <w:shd w:val="clear" w:color="auto" w:fill="auto"/>
            <w:vAlign w:val="center"/>
          </w:tcPr>
          <w:p w14:paraId="1CDF10A5" w14:textId="32902DA7" w:rsidR="004177A6" w:rsidRPr="009931F4" w:rsidRDefault="00C33719">
            <w:pPr>
              <w:spacing w:after="60"/>
              <w:jc w:val="center"/>
              <w:rPr>
                <w:sz w:val="20"/>
              </w:rPr>
            </w:pPr>
            <w:r>
              <w:rPr>
                <w:color w:val="000000" w:themeColor="text1"/>
                <w:sz w:val="20"/>
              </w:rPr>
              <w:t>ONUDI</w:t>
            </w:r>
          </w:p>
        </w:tc>
        <w:tc>
          <w:tcPr>
            <w:tcW w:w="1556" w:type="pct"/>
            <w:shd w:val="clear" w:color="auto" w:fill="auto"/>
          </w:tcPr>
          <w:p w14:paraId="348E3CE5" w14:textId="77777777" w:rsidR="004177A6" w:rsidRPr="00996241" w:rsidRDefault="004177A6">
            <w:pPr>
              <w:spacing w:after="60"/>
              <w:jc w:val="left"/>
              <w:rPr>
                <w:sz w:val="20"/>
              </w:rPr>
            </w:pPr>
            <w:r>
              <w:rPr>
                <w:sz w:val="20"/>
              </w:rPr>
              <w:t>Élimination des SAO (tonnes PAO)</w:t>
            </w:r>
          </w:p>
        </w:tc>
        <w:tc>
          <w:tcPr>
            <w:tcW w:w="614" w:type="pct"/>
            <w:shd w:val="clear" w:color="auto" w:fill="auto"/>
          </w:tcPr>
          <w:p w14:paraId="4FC2E473" w14:textId="16CE1958" w:rsidR="004177A6" w:rsidRPr="00996241" w:rsidRDefault="005B61DB">
            <w:pPr>
              <w:spacing w:after="60"/>
              <w:jc w:val="right"/>
              <w:rPr>
                <w:sz w:val="20"/>
              </w:rPr>
            </w:pPr>
            <w:r>
              <w:rPr>
                <w:sz w:val="20"/>
              </w:rPr>
              <w:t>3,72</w:t>
            </w:r>
          </w:p>
        </w:tc>
        <w:tc>
          <w:tcPr>
            <w:tcW w:w="661" w:type="pct"/>
          </w:tcPr>
          <w:p w14:paraId="02C2DFA8" w14:textId="6D2A49EB" w:rsidR="004177A6" w:rsidRPr="00996241" w:rsidRDefault="005B61DB">
            <w:pPr>
              <w:spacing w:after="60"/>
              <w:jc w:val="right"/>
              <w:rPr>
                <w:sz w:val="20"/>
              </w:rPr>
            </w:pPr>
            <w:r>
              <w:rPr>
                <w:sz w:val="20"/>
              </w:rPr>
              <w:t>0,00</w:t>
            </w:r>
          </w:p>
        </w:tc>
        <w:tc>
          <w:tcPr>
            <w:tcW w:w="660" w:type="pct"/>
            <w:shd w:val="clear" w:color="auto" w:fill="auto"/>
          </w:tcPr>
          <w:p w14:paraId="090AD546" w14:textId="071A5A0D" w:rsidR="004177A6" w:rsidRPr="00996241" w:rsidRDefault="005B61DB">
            <w:pPr>
              <w:spacing w:after="60"/>
              <w:jc w:val="right"/>
              <w:rPr>
                <w:sz w:val="20"/>
              </w:rPr>
            </w:pPr>
            <w:r>
              <w:rPr>
                <w:sz w:val="20"/>
              </w:rPr>
              <w:t>0,00</w:t>
            </w:r>
          </w:p>
        </w:tc>
        <w:tc>
          <w:tcPr>
            <w:tcW w:w="958" w:type="pct"/>
            <w:shd w:val="clear" w:color="auto" w:fill="auto"/>
          </w:tcPr>
          <w:p w14:paraId="7FA49C78" w14:textId="76F01FBF" w:rsidR="004177A6" w:rsidRPr="00996241" w:rsidRDefault="005B61DB">
            <w:pPr>
              <w:spacing w:after="60"/>
              <w:jc w:val="right"/>
              <w:rPr>
                <w:sz w:val="20"/>
              </w:rPr>
            </w:pPr>
            <w:r>
              <w:rPr>
                <w:sz w:val="20"/>
              </w:rPr>
              <w:t>3,72</w:t>
            </w:r>
          </w:p>
        </w:tc>
      </w:tr>
      <w:tr w:rsidR="004177A6" w:rsidRPr="00EB31E3" w14:paraId="5EE7DAB9" w14:textId="77777777" w:rsidTr="00C45315">
        <w:trPr>
          <w:trHeight w:val="258"/>
        </w:trPr>
        <w:tc>
          <w:tcPr>
            <w:tcW w:w="551" w:type="pct"/>
            <w:vMerge/>
            <w:shd w:val="clear" w:color="auto" w:fill="auto"/>
          </w:tcPr>
          <w:p w14:paraId="3215D30D" w14:textId="77777777" w:rsidR="004177A6" w:rsidRPr="00996241" w:rsidRDefault="004177A6">
            <w:pPr>
              <w:spacing w:after="60"/>
              <w:jc w:val="center"/>
              <w:rPr>
                <w:sz w:val="20"/>
              </w:rPr>
            </w:pPr>
          </w:p>
        </w:tc>
        <w:tc>
          <w:tcPr>
            <w:tcW w:w="1556" w:type="pct"/>
            <w:shd w:val="clear" w:color="auto" w:fill="auto"/>
          </w:tcPr>
          <w:p w14:paraId="0A4E5CB6" w14:textId="77777777" w:rsidR="004177A6" w:rsidRPr="00996241" w:rsidRDefault="004177A6">
            <w:pPr>
              <w:spacing w:after="60"/>
              <w:jc w:val="left"/>
              <w:rPr>
                <w:sz w:val="20"/>
              </w:rPr>
            </w:pPr>
            <w:r>
              <w:rPr>
                <w:sz w:val="20"/>
              </w:rPr>
              <w:t>Financement ($ US)</w:t>
            </w:r>
          </w:p>
        </w:tc>
        <w:tc>
          <w:tcPr>
            <w:tcW w:w="614" w:type="pct"/>
            <w:shd w:val="clear" w:color="auto" w:fill="auto"/>
          </w:tcPr>
          <w:p w14:paraId="7B47746D" w14:textId="5791A037" w:rsidR="004177A6" w:rsidRPr="00996241" w:rsidRDefault="005B61DB">
            <w:pPr>
              <w:spacing w:after="60"/>
              <w:jc w:val="right"/>
              <w:rPr>
                <w:sz w:val="20"/>
              </w:rPr>
            </w:pPr>
            <w:r>
              <w:rPr>
                <w:sz w:val="20"/>
              </w:rPr>
              <w:t>194 740</w:t>
            </w:r>
          </w:p>
        </w:tc>
        <w:tc>
          <w:tcPr>
            <w:tcW w:w="661" w:type="pct"/>
          </w:tcPr>
          <w:p w14:paraId="7F4A7048" w14:textId="7251A387" w:rsidR="004177A6" w:rsidRPr="00996241" w:rsidRDefault="005B61DB">
            <w:pPr>
              <w:spacing w:after="60"/>
              <w:jc w:val="right"/>
              <w:rPr>
                <w:sz w:val="20"/>
              </w:rPr>
            </w:pPr>
            <w:r>
              <w:rPr>
                <w:sz w:val="20"/>
              </w:rPr>
              <w:t>0</w:t>
            </w:r>
          </w:p>
        </w:tc>
        <w:tc>
          <w:tcPr>
            <w:tcW w:w="660" w:type="pct"/>
            <w:shd w:val="clear" w:color="auto" w:fill="auto"/>
          </w:tcPr>
          <w:p w14:paraId="65C26F91" w14:textId="09914A41" w:rsidR="004177A6" w:rsidRPr="00996241" w:rsidRDefault="005B61DB">
            <w:pPr>
              <w:spacing w:after="60"/>
              <w:jc w:val="right"/>
              <w:rPr>
                <w:sz w:val="20"/>
              </w:rPr>
            </w:pPr>
            <w:r>
              <w:rPr>
                <w:sz w:val="20"/>
              </w:rPr>
              <w:t>0</w:t>
            </w:r>
          </w:p>
        </w:tc>
        <w:tc>
          <w:tcPr>
            <w:tcW w:w="958" w:type="pct"/>
            <w:shd w:val="clear" w:color="auto" w:fill="auto"/>
          </w:tcPr>
          <w:p w14:paraId="6F3EFFCA" w14:textId="40BCBBC5" w:rsidR="004177A6" w:rsidRPr="00996241" w:rsidRDefault="005B61DB">
            <w:pPr>
              <w:spacing w:after="60"/>
              <w:jc w:val="right"/>
              <w:rPr>
                <w:sz w:val="20"/>
              </w:rPr>
            </w:pPr>
            <w:r>
              <w:rPr>
                <w:sz w:val="20"/>
              </w:rPr>
              <w:t>194 740</w:t>
            </w:r>
          </w:p>
        </w:tc>
      </w:tr>
    </w:tbl>
    <w:p w14:paraId="7FBECC3C" w14:textId="11231005" w:rsidR="004177A6" w:rsidRPr="001C3868" w:rsidRDefault="004177A6" w:rsidP="00BD37AE">
      <w:pPr>
        <w:ind w:right="4"/>
        <w:rPr>
          <w:sz w:val="18"/>
          <w:szCs w:val="18"/>
        </w:rPr>
      </w:pPr>
    </w:p>
    <w:tbl>
      <w:tblPr>
        <w:tblStyle w:val="TableGrid"/>
        <w:tblW w:w="5679" w:type="pct"/>
        <w:tblInd w:w="-635" w:type="dxa"/>
        <w:tblLayout w:type="fixed"/>
        <w:tblLook w:val="04A0" w:firstRow="1" w:lastRow="0" w:firstColumn="1" w:lastColumn="0" w:noHBand="0" w:noVBand="1"/>
      </w:tblPr>
      <w:tblGrid>
        <w:gridCol w:w="1350"/>
        <w:gridCol w:w="719"/>
        <w:gridCol w:w="1542"/>
        <w:gridCol w:w="918"/>
        <w:gridCol w:w="918"/>
        <w:gridCol w:w="918"/>
        <w:gridCol w:w="918"/>
        <w:gridCol w:w="862"/>
        <w:gridCol w:w="852"/>
        <w:gridCol w:w="1623"/>
      </w:tblGrid>
      <w:tr w:rsidR="00F17D16" w:rsidRPr="00F17D16" w14:paraId="4E07ACF1" w14:textId="77777777" w:rsidTr="00C45315">
        <w:trPr>
          <w:trHeight w:val="216"/>
        </w:trPr>
        <w:tc>
          <w:tcPr>
            <w:tcW w:w="1700" w:type="pct"/>
            <w:gridSpan w:val="3"/>
            <w:shd w:val="clear" w:color="auto" w:fill="auto"/>
          </w:tcPr>
          <w:p w14:paraId="1472D4F4" w14:textId="46A4D839" w:rsidR="004177A6" w:rsidRPr="00F17D16" w:rsidRDefault="004177A6" w:rsidP="00122B43">
            <w:pPr>
              <w:jc w:val="left"/>
              <w:rPr>
                <w:b/>
                <w:sz w:val="18"/>
                <w:szCs w:val="18"/>
              </w:rPr>
            </w:pPr>
            <w:r>
              <w:rPr>
                <w:b/>
                <w:sz w:val="18"/>
              </w:rPr>
              <w:t xml:space="preserve">(VI) DONNÉES DU PROJET </w:t>
            </w:r>
          </w:p>
        </w:tc>
        <w:tc>
          <w:tcPr>
            <w:tcW w:w="432" w:type="pct"/>
            <w:shd w:val="clear" w:color="auto" w:fill="auto"/>
            <w:vAlign w:val="center"/>
          </w:tcPr>
          <w:p w14:paraId="1460480B" w14:textId="11A1D6C1" w:rsidR="004177A6" w:rsidRPr="00F17D16" w:rsidRDefault="004177A6">
            <w:pPr>
              <w:jc w:val="center"/>
              <w:rPr>
                <w:b/>
                <w:sz w:val="18"/>
                <w:szCs w:val="18"/>
              </w:rPr>
            </w:pPr>
            <w:r>
              <w:rPr>
                <w:b/>
                <w:sz w:val="18"/>
              </w:rPr>
              <w:t>2024</w:t>
            </w:r>
          </w:p>
        </w:tc>
        <w:tc>
          <w:tcPr>
            <w:tcW w:w="432" w:type="pct"/>
            <w:shd w:val="clear" w:color="auto" w:fill="auto"/>
            <w:vAlign w:val="center"/>
          </w:tcPr>
          <w:p w14:paraId="4CB898B3" w14:textId="26CB1A6C" w:rsidR="004177A6" w:rsidRPr="00F17D16" w:rsidRDefault="004177A6">
            <w:pPr>
              <w:jc w:val="center"/>
              <w:rPr>
                <w:b/>
                <w:sz w:val="18"/>
                <w:szCs w:val="18"/>
              </w:rPr>
            </w:pPr>
            <w:r>
              <w:rPr>
                <w:b/>
                <w:sz w:val="18"/>
              </w:rPr>
              <w:t>2025</w:t>
            </w:r>
          </w:p>
        </w:tc>
        <w:tc>
          <w:tcPr>
            <w:tcW w:w="432" w:type="pct"/>
            <w:shd w:val="clear" w:color="auto" w:fill="auto"/>
            <w:vAlign w:val="center"/>
          </w:tcPr>
          <w:p w14:paraId="60C6E889" w14:textId="0EAA3B76" w:rsidR="004177A6" w:rsidRPr="00F17D16" w:rsidRDefault="004177A6">
            <w:pPr>
              <w:jc w:val="center"/>
              <w:rPr>
                <w:b/>
                <w:sz w:val="18"/>
                <w:szCs w:val="18"/>
              </w:rPr>
            </w:pPr>
            <w:r>
              <w:rPr>
                <w:b/>
                <w:sz w:val="18"/>
              </w:rPr>
              <w:t>2026</w:t>
            </w:r>
          </w:p>
        </w:tc>
        <w:tc>
          <w:tcPr>
            <w:tcW w:w="432" w:type="pct"/>
            <w:vAlign w:val="center"/>
          </w:tcPr>
          <w:p w14:paraId="49D3C3FC" w14:textId="35FB9519" w:rsidR="004177A6" w:rsidRPr="00F17D16" w:rsidRDefault="004177A6">
            <w:pPr>
              <w:jc w:val="center"/>
              <w:rPr>
                <w:b/>
                <w:sz w:val="18"/>
                <w:szCs w:val="18"/>
              </w:rPr>
            </w:pPr>
            <w:r>
              <w:rPr>
                <w:b/>
                <w:sz w:val="18"/>
              </w:rPr>
              <w:t>2027–2028</w:t>
            </w:r>
          </w:p>
        </w:tc>
        <w:tc>
          <w:tcPr>
            <w:tcW w:w="406" w:type="pct"/>
            <w:vAlign w:val="center"/>
          </w:tcPr>
          <w:p w14:paraId="5C1269D2" w14:textId="0C328F5C" w:rsidR="004177A6" w:rsidRPr="00F17D16" w:rsidRDefault="004177A6">
            <w:pPr>
              <w:jc w:val="center"/>
              <w:rPr>
                <w:b/>
                <w:sz w:val="18"/>
                <w:szCs w:val="18"/>
              </w:rPr>
            </w:pPr>
            <w:r>
              <w:rPr>
                <w:b/>
                <w:sz w:val="18"/>
              </w:rPr>
              <w:t>2029</w:t>
            </w:r>
          </w:p>
        </w:tc>
        <w:tc>
          <w:tcPr>
            <w:tcW w:w="401" w:type="pct"/>
            <w:vAlign w:val="center"/>
          </w:tcPr>
          <w:p w14:paraId="49727DDF" w14:textId="77777777" w:rsidR="004177A6" w:rsidRPr="00F17D16" w:rsidRDefault="004177A6">
            <w:pPr>
              <w:jc w:val="center"/>
              <w:rPr>
                <w:b/>
                <w:sz w:val="18"/>
                <w:szCs w:val="18"/>
              </w:rPr>
            </w:pPr>
            <w:r>
              <w:rPr>
                <w:b/>
                <w:sz w:val="18"/>
              </w:rPr>
              <w:t>2030</w:t>
            </w:r>
          </w:p>
        </w:tc>
        <w:tc>
          <w:tcPr>
            <w:tcW w:w="764" w:type="pct"/>
            <w:shd w:val="clear" w:color="auto" w:fill="auto"/>
            <w:vAlign w:val="center"/>
          </w:tcPr>
          <w:p w14:paraId="4853B305" w14:textId="77777777" w:rsidR="004177A6" w:rsidRPr="00F17D16" w:rsidRDefault="004177A6">
            <w:pPr>
              <w:jc w:val="center"/>
              <w:rPr>
                <w:b/>
                <w:sz w:val="18"/>
                <w:szCs w:val="18"/>
              </w:rPr>
            </w:pPr>
            <w:r>
              <w:rPr>
                <w:b/>
                <w:sz w:val="18"/>
              </w:rPr>
              <w:t>Total</w:t>
            </w:r>
          </w:p>
        </w:tc>
      </w:tr>
      <w:tr w:rsidR="00F17D16" w:rsidRPr="00F17D16" w14:paraId="0388EE92" w14:textId="77777777" w:rsidTr="00C45315">
        <w:trPr>
          <w:trHeight w:val="66"/>
        </w:trPr>
        <w:tc>
          <w:tcPr>
            <w:tcW w:w="1700" w:type="pct"/>
            <w:gridSpan w:val="3"/>
            <w:shd w:val="clear" w:color="auto" w:fill="auto"/>
          </w:tcPr>
          <w:p w14:paraId="1782897F" w14:textId="77777777" w:rsidR="00085DDB" w:rsidRPr="00F17D16" w:rsidRDefault="00085DDB" w:rsidP="00085DDB">
            <w:pPr>
              <w:tabs>
                <w:tab w:val="left" w:pos="8280"/>
              </w:tabs>
              <w:spacing w:after="60"/>
              <w:ind w:right="-107"/>
              <w:jc w:val="left"/>
              <w:rPr>
                <w:sz w:val="18"/>
                <w:szCs w:val="18"/>
              </w:rPr>
            </w:pPr>
            <w:r>
              <w:rPr>
                <w:sz w:val="18"/>
              </w:rPr>
              <w:t>Limites de consommation au titre du Protocole de Montréal (tonnes PAO)</w:t>
            </w:r>
          </w:p>
        </w:tc>
        <w:tc>
          <w:tcPr>
            <w:tcW w:w="432" w:type="pct"/>
            <w:shd w:val="clear" w:color="auto" w:fill="auto"/>
          </w:tcPr>
          <w:p w14:paraId="05E18EDA" w14:textId="3DC3C468" w:rsidR="00085DDB" w:rsidRPr="00F17D16" w:rsidRDefault="00085DDB" w:rsidP="00085DDB">
            <w:pPr>
              <w:tabs>
                <w:tab w:val="left" w:pos="8280"/>
              </w:tabs>
              <w:spacing w:after="60"/>
              <w:jc w:val="right"/>
              <w:rPr>
                <w:sz w:val="18"/>
                <w:szCs w:val="18"/>
              </w:rPr>
            </w:pPr>
            <w:r>
              <w:rPr>
                <w:sz w:val="18"/>
              </w:rPr>
              <w:t>19,63</w:t>
            </w:r>
          </w:p>
        </w:tc>
        <w:tc>
          <w:tcPr>
            <w:tcW w:w="432" w:type="pct"/>
          </w:tcPr>
          <w:p w14:paraId="39320023" w14:textId="1A529F6D" w:rsidR="00085DDB" w:rsidRPr="00F17D16" w:rsidRDefault="00085DDB" w:rsidP="00085DDB">
            <w:pPr>
              <w:tabs>
                <w:tab w:val="left" w:pos="8280"/>
              </w:tabs>
              <w:spacing w:after="60"/>
              <w:jc w:val="right"/>
              <w:rPr>
                <w:sz w:val="18"/>
                <w:szCs w:val="18"/>
              </w:rPr>
            </w:pPr>
            <w:r>
              <w:rPr>
                <w:sz w:val="18"/>
              </w:rPr>
              <w:t>9,81</w:t>
            </w:r>
          </w:p>
        </w:tc>
        <w:tc>
          <w:tcPr>
            <w:tcW w:w="432" w:type="pct"/>
          </w:tcPr>
          <w:p w14:paraId="4E3C085E" w14:textId="6EBAE3AC" w:rsidR="00085DDB" w:rsidRPr="00F17D16" w:rsidRDefault="00085DDB" w:rsidP="00085DDB">
            <w:pPr>
              <w:tabs>
                <w:tab w:val="left" w:pos="8280"/>
              </w:tabs>
              <w:spacing w:after="60"/>
              <w:jc w:val="right"/>
              <w:rPr>
                <w:sz w:val="18"/>
                <w:szCs w:val="18"/>
              </w:rPr>
            </w:pPr>
            <w:r>
              <w:rPr>
                <w:sz w:val="18"/>
              </w:rPr>
              <w:t>9,81</w:t>
            </w:r>
          </w:p>
        </w:tc>
        <w:tc>
          <w:tcPr>
            <w:tcW w:w="432" w:type="pct"/>
          </w:tcPr>
          <w:p w14:paraId="7019ED31" w14:textId="12BD3DD7" w:rsidR="00085DDB" w:rsidRPr="00F17D16" w:rsidRDefault="00085DDB" w:rsidP="00085DDB">
            <w:pPr>
              <w:tabs>
                <w:tab w:val="left" w:pos="8280"/>
              </w:tabs>
              <w:spacing w:after="60"/>
              <w:jc w:val="right"/>
              <w:rPr>
                <w:sz w:val="18"/>
                <w:szCs w:val="18"/>
              </w:rPr>
            </w:pPr>
            <w:r>
              <w:rPr>
                <w:sz w:val="18"/>
              </w:rPr>
              <w:t>9,81</w:t>
            </w:r>
          </w:p>
        </w:tc>
        <w:tc>
          <w:tcPr>
            <w:tcW w:w="406" w:type="pct"/>
          </w:tcPr>
          <w:p w14:paraId="2DAD51FC" w14:textId="00FA1A6E" w:rsidR="00085DDB" w:rsidRPr="00F17D16" w:rsidRDefault="00085DDB" w:rsidP="00085DDB">
            <w:pPr>
              <w:tabs>
                <w:tab w:val="left" w:pos="8280"/>
              </w:tabs>
              <w:spacing w:after="60"/>
              <w:jc w:val="right"/>
              <w:rPr>
                <w:sz w:val="18"/>
                <w:szCs w:val="18"/>
              </w:rPr>
            </w:pPr>
            <w:r>
              <w:rPr>
                <w:sz w:val="18"/>
              </w:rPr>
              <w:t>9,81</w:t>
            </w:r>
          </w:p>
        </w:tc>
        <w:tc>
          <w:tcPr>
            <w:tcW w:w="401" w:type="pct"/>
          </w:tcPr>
          <w:p w14:paraId="6D2EFAA6" w14:textId="0D831962" w:rsidR="00085DDB" w:rsidRPr="00F17D16" w:rsidRDefault="00085DDB" w:rsidP="00085DDB">
            <w:pPr>
              <w:tabs>
                <w:tab w:val="left" w:pos="8280"/>
              </w:tabs>
              <w:spacing w:after="60"/>
              <w:jc w:val="right"/>
              <w:rPr>
                <w:sz w:val="18"/>
                <w:szCs w:val="18"/>
              </w:rPr>
            </w:pPr>
            <w:r>
              <w:rPr>
                <w:sz w:val="18"/>
              </w:rPr>
              <w:t>0,00</w:t>
            </w:r>
          </w:p>
        </w:tc>
        <w:tc>
          <w:tcPr>
            <w:tcW w:w="764" w:type="pct"/>
          </w:tcPr>
          <w:p w14:paraId="3E52A4CC" w14:textId="77777777" w:rsidR="00085DDB" w:rsidRPr="00F17D16" w:rsidRDefault="00085DDB" w:rsidP="00085DDB">
            <w:pPr>
              <w:tabs>
                <w:tab w:val="left" w:pos="8280"/>
              </w:tabs>
              <w:spacing w:after="60"/>
              <w:jc w:val="right"/>
              <w:rPr>
                <w:sz w:val="18"/>
                <w:szCs w:val="18"/>
              </w:rPr>
            </w:pPr>
            <w:proofErr w:type="spellStart"/>
            <w:r>
              <w:rPr>
                <w:sz w:val="18"/>
              </w:rPr>
              <w:t>s.o</w:t>
            </w:r>
            <w:proofErr w:type="spellEnd"/>
            <w:r>
              <w:rPr>
                <w:sz w:val="18"/>
              </w:rPr>
              <w:t>.</w:t>
            </w:r>
          </w:p>
        </w:tc>
      </w:tr>
      <w:tr w:rsidR="00F17D16" w:rsidRPr="00F17D16" w14:paraId="517B4808" w14:textId="77777777" w:rsidTr="00C45315">
        <w:trPr>
          <w:trHeight w:val="66"/>
        </w:trPr>
        <w:tc>
          <w:tcPr>
            <w:tcW w:w="1700" w:type="pct"/>
            <w:gridSpan w:val="3"/>
            <w:shd w:val="clear" w:color="auto" w:fill="auto"/>
          </w:tcPr>
          <w:p w14:paraId="3734FCF4" w14:textId="77777777" w:rsidR="00085DDB" w:rsidRPr="00F17D16" w:rsidRDefault="00085DDB" w:rsidP="00085DDB">
            <w:pPr>
              <w:tabs>
                <w:tab w:val="left" w:pos="8280"/>
              </w:tabs>
              <w:spacing w:after="60"/>
              <w:jc w:val="left"/>
              <w:rPr>
                <w:sz w:val="18"/>
                <w:szCs w:val="18"/>
              </w:rPr>
            </w:pPr>
            <w:r>
              <w:rPr>
                <w:sz w:val="18"/>
              </w:rPr>
              <w:t>Consommation maximale admissible (tonnes PAO)</w:t>
            </w:r>
          </w:p>
        </w:tc>
        <w:tc>
          <w:tcPr>
            <w:tcW w:w="432" w:type="pct"/>
            <w:shd w:val="clear" w:color="auto" w:fill="auto"/>
          </w:tcPr>
          <w:p w14:paraId="06D8F309" w14:textId="18FFFA56" w:rsidR="00085DDB" w:rsidRPr="00F17D16" w:rsidRDefault="00085DDB" w:rsidP="00085DDB">
            <w:pPr>
              <w:tabs>
                <w:tab w:val="left" w:pos="8280"/>
              </w:tabs>
              <w:spacing w:after="60"/>
              <w:jc w:val="right"/>
              <w:rPr>
                <w:sz w:val="18"/>
                <w:szCs w:val="18"/>
              </w:rPr>
            </w:pPr>
            <w:r>
              <w:rPr>
                <w:sz w:val="18"/>
              </w:rPr>
              <w:t>19,63</w:t>
            </w:r>
          </w:p>
        </w:tc>
        <w:tc>
          <w:tcPr>
            <w:tcW w:w="432" w:type="pct"/>
          </w:tcPr>
          <w:p w14:paraId="4BF0644E" w14:textId="2F3385D4" w:rsidR="00085DDB" w:rsidRPr="00F17D16" w:rsidRDefault="00085DDB" w:rsidP="00085DDB">
            <w:pPr>
              <w:tabs>
                <w:tab w:val="left" w:pos="8280"/>
              </w:tabs>
              <w:spacing w:after="60"/>
              <w:jc w:val="right"/>
              <w:rPr>
                <w:sz w:val="18"/>
                <w:szCs w:val="18"/>
              </w:rPr>
            </w:pPr>
            <w:r>
              <w:rPr>
                <w:sz w:val="18"/>
              </w:rPr>
              <w:t>9,81</w:t>
            </w:r>
          </w:p>
        </w:tc>
        <w:tc>
          <w:tcPr>
            <w:tcW w:w="432" w:type="pct"/>
          </w:tcPr>
          <w:p w14:paraId="6044DB7A" w14:textId="66A1EA45" w:rsidR="00085DDB" w:rsidRPr="00F17D16" w:rsidRDefault="00085DDB" w:rsidP="00085DDB">
            <w:pPr>
              <w:tabs>
                <w:tab w:val="left" w:pos="8280"/>
              </w:tabs>
              <w:spacing w:after="60"/>
              <w:jc w:val="right"/>
              <w:rPr>
                <w:sz w:val="18"/>
                <w:szCs w:val="18"/>
              </w:rPr>
            </w:pPr>
            <w:r>
              <w:rPr>
                <w:sz w:val="18"/>
              </w:rPr>
              <w:t>9,81</w:t>
            </w:r>
          </w:p>
        </w:tc>
        <w:tc>
          <w:tcPr>
            <w:tcW w:w="432" w:type="pct"/>
          </w:tcPr>
          <w:p w14:paraId="4CA4BAAD" w14:textId="6CA54FDD" w:rsidR="00085DDB" w:rsidRPr="00F17D16" w:rsidRDefault="00085DDB" w:rsidP="00085DDB">
            <w:pPr>
              <w:tabs>
                <w:tab w:val="left" w:pos="8280"/>
              </w:tabs>
              <w:spacing w:after="60"/>
              <w:jc w:val="right"/>
              <w:rPr>
                <w:sz w:val="18"/>
                <w:szCs w:val="18"/>
              </w:rPr>
            </w:pPr>
            <w:r>
              <w:rPr>
                <w:sz w:val="18"/>
              </w:rPr>
              <w:t>9,81</w:t>
            </w:r>
          </w:p>
        </w:tc>
        <w:tc>
          <w:tcPr>
            <w:tcW w:w="406" w:type="pct"/>
          </w:tcPr>
          <w:p w14:paraId="669A5324" w14:textId="1CF5BDEF" w:rsidR="00085DDB" w:rsidRPr="00F17D16" w:rsidRDefault="00085DDB" w:rsidP="00085DDB">
            <w:pPr>
              <w:tabs>
                <w:tab w:val="left" w:pos="8280"/>
              </w:tabs>
              <w:spacing w:after="60"/>
              <w:jc w:val="right"/>
              <w:rPr>
                <w:sz w:val="18"/>
                <w:szCs w:val="18"/>
              </w:rPr>
            </w:pPr>
            <w:r>
              <w:rPr>
                <w:sz w:val="18"/>
              </w:rPr>
              <w:t>9,81</w:t>
            </w:r>
          </w:p>
        </w:tc>
        <w:tc>
          <w:tcPr>
            <w:tcW w:w="401" w:type="pct"/>
          </w:tcPr>
          <w:p w14:paraId="4974732E" w14:textId="7AED617F" w:rsidR="00085DDB" w:rsidRPr="00F17D16" w:rsidRDefault="00085DDB" w:rsidP="00085DDB">
            <w:pPr>
              <w:tabs>
                <w:tab w:val="left" w:pos="8280"/>
              </w:tabs>
              <w:spacing w:after="60"/>
              <w:jc w:val="right"/>
              <w:rPr>
                <w:sz w:val="18"/>
                <w:szCs w:val="18"/>
              </w:rPr>
            </w:pPr>
            <w:r>
              <w:rPr>
                <w:sz w:val="18"/>
              </w:rPr>
              <w:t>0,00</w:t>
            </w:r>
          </w:p>
        </w:tc>
        <w:tc>
          <w:tcPr>
            <w:tcW w:w="764" w:type="pct"/>
          </w:tcPr>
          <w:p w14:paraId="13738328" w14:textId="77777777" w:rsidR="00085DDB" w:rsidRPr="00F17D16" w:rsidRDefault="00085DDB" w:rsidP="00085DDB">
            <w:pPr>
              <w:tabs>
                <w:tab w:val="left" w:pos="8280"/>
              </w:tabs>
              <w:spacing w:after="60"/>
              <w:jc w:val="right"/>
              <w:rPr>
                <w:sz w:val="18"/>
                <w:szCs w:val="18"/>
              </w:rPr>
            </w:pPr>
            <w:proofErr w:type="spellStart"/>
            <w:r>
              <w:rPr>
                <w:sz w:val="18"/>
              </w:rPr>
              <w:t>s.o</w:t>
            </w:r>
            <w:proofErr w:type="spellEnd"/>
            <w:r>
              <w:rPr>
                <w:sz w:val="18"/>
              </w:rPr>
              <w:t>.</w:t>
            </w:r>
          </w:p>
        </w:tc>
      </w:tr>
      <w:tr w:rsidR="00F17D16" w:rsidRPr="00F17D16" w14:paraId="6CA95ED3" w14:textId="77777777" w:rsidTr="00C45315">
        <w:trPr>
          <w:trHeight w:val="59"/>
        </w:trPr>
        <w:tc>
          <w:tcPr>
            <w:tcW w:w="636" w:type="pct"/>
            <w:vMerge w:val="restart"/>
            <w:shd w:val="clear" w:color="auto" w:fill="auto"/>
            <w:vAlign w:val="center"/>
          </w:tcPr>
          <w:p w14:paraId="01874515" w14:textId="77777777" w:rsidR="008E423A" w:rsidRPr="00F17D16" w:rsidRDefault="008E423A" w:rsidP="008E423A">
            <w:pPr>
              <w:tabs>
                <w:tab w:val="left" w:pos="8280"/>
              </w:tabs>
              <w:spacing w:after="60"/>
              <w:jc w:val="left"/>
              <w:rPr>
                <w:sz w:val="18"/>
                <w:szCs w:val="18"/>
              </w:rPr>
            </w:pPr>
            <w:r>
              <w:rPr>
                <w:sz w:val="18"/>
              </w:rPr>
              <w:t>Coûts totaux du projet – demande de principe ($ US)</w:t>
            </w:r>
          </w:p>
        </w:tc>
        <w:tc>
          <w:tcPr>
            <w:tcW w:w="339" w:type="pct"/>
            <w:vMerge w:val="restart"/>
            <w:shd w:val="clear" w:color="auto" w:fill="auto"/>
            <w:vAlign w:val="center"/>
          </w:tcPr>
          <w:p w14:paraId="3D71F8DE" w14:textId="175E8E0F" w:rsidR="008E423A" w:rsidRPr="00F17D16" w:rsidRDefault="008E423A" w:rsidP="008E423A">
            <w:pPr>
              <w:tabs>
                <w:tab w:val="left" w:pos="8280"/>
              </w:tabs>
              <w:spacing w:after="60"/>
              <w:jc w:val="center"/>
              <w:rPr>
                <w:sz w:val="18"/>
                <w:szCs w:val="18"/>
              </w:rPr>
            </w:pPr>
            <w:r>
              <w:rPr>
                <w:color w:val="000000" w:themeColor="text1"/>
                <w:sz w:val="18"/>
              </w:rPr>
              <w:t>PNUE</w:t>
            </w:r>
          </w:p>
        </w:tc>
        <w:tc>
          <w:tcPr>
            <w:tcW w:w="726" w:type="pct"/>
            <w:shd w:val="clear" w:color="auto" w:fill="auto"/>
          </w:tcPr>
          <w:p w14:paraId="58652601" w14:textId="77777777" w:rsidR="008E423A" w:rsidRPr="00F17D16" w:rsidRDefault="008E423A" w:rsidP="008E423A">
            <w:pPr>
              <w:tabs>
                <w:tab w:val="left" w:pos="8280"/>
              </w:tabs>
              <w:spacing w:after="60"/>
              <w:jc w:val="left"/>
              <w:rPr>
                <w:sz w:val="18"/>
                <w:szCs w:val="18"/>
              </w:rPr>
            </w:pPr>
            <w:r>
              <w:rPr>
                <w:sz w:val="18"/>
              </w:rPr>
              <w:t>Coûts de projet</w:t>
            </w:r>
          </w:p>
        </w:tc>
        <w:tc>
          <w:tcPr>
            <w:tcW w:w="432" w:type="pct"/>
            <w:shd w:val="clear" w:color="auto" w:fill="auto"/>
          </w:tcPr>
          <w:p w14:paraId="3B6FD300" w14:textId="26A7A677" w:rsidR="008E423A" w:rsidRPr="00F17D16" w:rsidRDefault="0035132C" w:rsidP="00932DF3">
            <w:pPr>
              <w:tabs>
                <w:tab w:val="left" w:pos="8280"/>
              </w:tabs>
              <w:spacing w:after="60"/>
              <w:jc w:val="right"/>
              <w:rPr>
                <w:sz w:val="18"/>
                <w:szCs w:val="18"/>
              </w:rPr>
            </w:pPr>
            <w:r>
              <w:rPr>
                <w:sz w:val="18"/>
              </w:rPr>
              <w:t>181 000</w:t>
            </w:r>
          </w:p>
        </w:tc>
        <w:tc>
          <w:tcPr>
            <w:tcW w:w="432" w:type="pct"/>
          </w:tcPr>
          <w:p w14:paraId="4BFE6A49" w14:textId="21295841" w:rsidR="008E423A" w:rsidRPr="00F17D16" w:rsidRDefault="008E423A" w:rsidP="00932DF3">
            <w:pPr>
              <w:tabs>
                <w:tab w:val="left" w:pos="8280"/>
              </w:tabs>
              <w:spacing w:after="60"/>
              <w:jc w:val="right"/>
              <w:rPr>
                <w:sz w:val="18"/>
                <w:szCs w:val="18"/>
              </w:rPr>
            </w:pPr>
            <w:r>
              <w:rPr>
                <w:color w:val="000000"/>
                <w:sz w:val="18"/>
              </w:rPr>
              <w:t>0</w:t>
            </w:r>
          </w:p>
        </w:tc>
        <w:tc>
          <w:tcPr>
            <w:tcW w:w="432" w:type="pct"/>
          </w:tcPr>
          <w:p w14:paraId="7A4050B3" w14:textId="2AECE52A" w:rsidR="008E423A" w:rsidRPr="00F17D16" w:rsidRDefault="003A0A08" w:rsidP="00932DF3">
            <w:pPr>
              <w:tabs>
                <w:tab w:val="left" w:pos="8280"/>
              </w:tabs>
              <w:spacing w:after="60"/>
              <w:jc w:val="right"/>
              <w:rPr>
                <w:sz w:val="18"/>
                <w:szCs w:val="18"/>
              </w:rPr>
            </w:pPr>
            <w:r>
              <w:rPr>
                <w:sz w:val="18"/>
              </w:rPr>
              <w:t>318 000</w:t>
            </w:r>
          </w:p>
        </w:tc>
        <w:tc>
          <w:tcPr>
            <w:tcW w:w="432" w:type="pct"/>
          </w:tcPr>
          <w:p w14:paraId="1064EF99" w14:textId="35F234FB" w:rsidR="008E423A" w:rsidRPr="00F17D16" w:rsidRDefault="008E423A" w:rsidP="00932DF3">
            <w:pPr>
              <w:tabs>
                <w:tab w:val="left" w:pos="8280"/>
              </w:tabs>
              <w:spacing w:after="60"/>
              <w:jc w:val="right"/>
              <w:rPr>
                <w:sz w:val="18"/>
                <w:szCs w:val="18"/>
              </w:rPr>
            </w:pPr>
            <w:r>
              <w:rPr>
                <w:color w:val="000000"/>
                <w:sz w:val="18"/>
              </w:rPr>
              <w:t>0</w:t>
            </w:r>
          </w:p>
        </w:tc>
        <w:tc>
          <w:tcPr>
            <w:tcW w:w="406" w:type="pct"/>
          </w:tcPr>
          <w:p w14:paraId="0B486AC5" w14:textId="0CC04F5C" w:rsidR="008E423A" w:rsidRPr="00F17D16" w:rsidRDefault="00114E3A" w:rsidP="00932DF3">
            <w:pPr>
              <w:tabs>
                <w:tab w:val="left" w:pos="8280"/>
              </w:tabs>
              <w:spacing w:after="60"/>
              <w:jc w:val="right"/>
              <w:rPr>
                <w:sz w:val="18"/>
                <w:szCs w:val="18"/>
              </w:rPr>
            </w:pPr>
            <w:r>
              <w:rPr>
                <w:sz w:val="18"/>
              </w:rPr>
              <w:t>0</w:t>
            </w:r>
          </w:p>
        </w:tc>
        <w:tc>
          <w:tcPr>
            <w:tcW w:w="401" w:type="pct"/>
          </w:tcPr>
          <w:p w14:paraId="7434C528" w14:textId="29D3C4CA" w:rsidR="008E423A" w:rsidRPr="00F17D16" w:rsidRDefault="00114E3A" w:rsidP="00932DF3">
            <w:pPr>
              <w:tabs>
                <w:tab w:val="left" w:pos="8280"/>
              </w:tabs>
              <w:spacing w:after="60"/>
              <w:jc w:val="right"/>
              <w:rPr>
                <w:sz w:val="18"/>
                <w:szCs w:val="18"/>
              </w:rPr>
            </w:pPr>
            <w:r>
              <w:rPr>
                <w:sz w:val="18"/>
              </w:rPr>
              <w:t>146 000</w:t>
            </w:r>
          </w:p>
        </w:tc>
        <w:tc>
          <w:tcPr>
            <w:tcW w:w="764" w:type="pct"/>
          </w:tcPr>
          <w:p w14:paraId="277C7536" w14:textId="4D7F6635" w:rsidR="008E423A" w:rsidRPr="00F17D16" w:rsidRDefault="008E423A" w:rsidP="00932DF3">
            <w:pPr>
              <w:tabs>
                <w:tab w:val="left" w:pos="8280"/>
              </w:tabs>
              <w:spacing w:after="60"/>
              <w:jc w:val="right"/>
              <w:rPr>
                <w:sz w:val="18"/>
                <w:szCs w:val="18"/>
              </w:rPr>
            </w:pPr>
            <w:r>
              <w:rPr>
                <w:color w:val="000000"/>
                <w:sz w:val="18"/>
              </w:rPr>
              <w:t>645 000</w:t>
            </w:r>
          </w:p>
        </w:tc>
      </w:tr>
      <w:tr w:rsidR="00F17D16" w:rsidRPr="00F17D16" w14:paraId="58E70436" w14:textId="77777777" w:rsidTr="00C45315">
        <w:trPr>
          <w:trHeight w:val="127"/>
        </w:trPr>
        <w:tc>
          <w:tcPr>
            <w:tcW w:w="636" w:type="pct"/>
            <w:vMerge/>
            <w:shd w:val="clear" w:color="auto" w:fill="auto"/>
          </w:tcPr>
          <w:p w14:paraId="38A7A60F" w14:textId="77777777" w:rsidR="008E423A" w:rsidRPr="00F17D16" w:rsidRDefault="008E423A" w:rsidP="008E423A">
            <w:pPr>
              <w:tabs>
                <w:tab w:val="left" w:pos="8280"/>
              </w:tabs>
              <w:spacing w:after="60"/>
              <w:jc w:val="left"/>
              <w:rPr>
                <w:sz w:val="18"/>
                <w:szCs w:val="18"/>
              </w:rPr>
            </w:pPr>
          </w:p>
        </w:tc>
        <w:tc>
          <w:tcPr>
            <w:tcW w:w="339" w:type="pct"/>
            <w:vMerge/>
            <w:shd w:val="clear" w:color="auto" w:fill="auto"/>
            <w:vAlign w:val="center"/>
          </w:tcPr>
          <w:p w14:paraId="129A6C63" w14:textId="77777777" w:rsidR="008E423A" w:rsidRPr="00F17D16" w:rsidRDefault="008E423A" w:rsidP="008E423A">
            <w:pPr>
              <w:tabs>
                <w:tab w:val="left" w:pos="8280"/>
              </w:tabs>
              <w:spacing w:after="60"/>
              <w:jc w:val="left"/>
              <w:rPr>
                <w:sz w:val="18"/>
                <w:szCs w:val="18"/>
              </w:rPr>
            </w:pPr>
          </w:p>
        </w:tc>
        <w:tc>
          <w:tcPr>
            <w:tcW w:w="726" w:type="pct"/>
            <w:shd w:val="clear" w:color="auto" w:fill="auto"/>
          </w:tcPr>
          <w:p w14:paraId="493CCAC3" w14:textId="77777777" w:rsidR="008E423A" w:rsidRPr="00F17D16" w:rsidRDefault="008E423A" w:rsidP="008E423A">
            <w:pPr>
              <w:tabs>
                <w:tab w:val="left" w:pos="8280"/>
              </w:tabs>
              <w:spacing w:after="60"/>
              <w:jc w:val="left"/>
              <w:rPr>
                <w:sz w:val="18"/>
                <w:szCs w:val="18"/>
              </w:rPr>
            </w:pPr>
            <w:r>
              <w:rPr>
                <w:sz w:val="18"/>
              </w:rPr>
              <w:t>Coûts d’appui</w:t>
            </w:r>
          </w:p>
        </w:tc>
        <w:tc>
          <w:tcPr>
            <w:tcW w:w="432" w:type="pct"/>
            <w:shd w:val="clear" w:color="auto" w:fill="auto"/>
          </w:tcPr>
          <w:p w14:paraId="3C3B688B" w14:textId="240411C0" w:rsidR="008E423A" w:rsidRPr="00F17D16" w:rsidRDefault="00DE155A" w:rsidP="00932DF3">
            <w:pPr>
              <w:tabs>
                <w:tab w:val="left" w:pos="8280"/>
              </w:tabs>
              <w:spacing w:after="60"/>
              <w:jc w:val="right"/>
              <w:rPr>
                <w:sz w:val="18"/>
                <w:szCs w:val="18"/>
              </w:rPr>
            </w:pPr>
            <w:r>
              <w:rPr>
                <w:sz w:val="18"/>
              </w:rPr>
              <w:t>22 716</w:t>
            </w:r>
          </w:p>
        </w:tc>
        <w:tc>
          <w:tcPr>
            <w:tcW w:w="432" w:type="pct"/>
          </w:tcPr>
          <w:p w14:paraId="4E265DD5" w14:textId="49AF14C7" w:rsidR="008E423A" w:rsidRPr="00F17D16" w:rsidRDefault="008E423A" w:rsidP="00932DF3">
            <w:pPr>
              <w:tabs>
                <w:tab w:val="left" w:pos="8280"/>
              </w:tabs>
              <w:spacing w:after="60"/>
              <w:jc w:val="right"/>
              <w:rPr>
                <w:sz w:val="18"/>
                <w:szCs w:val="18"/>
              </w:rPr>
            </w:pPr>
            <w:r>
              <w:rPr>
                <w:color w:val="000000"/>
                <w:sz w:val="18"/>
              </w:rPr>
              <w:t> 0</w:t>
            </w:r>
          </w:p>
        </w:tc>
        <w:tc>
          <w:tcPr>
            <w:tcW w:w="432" w:type="pct"/>
          </w:tcPr>
          <w:p w14:paraId="30EA9D34" w14:textId="3F6AC86C" w:rsidR="008E423A" w:rsidRPr="00F17D16" w:rsidRDefault="003A0A08" w:rsidP="00932DF3">
            <w:pPr>
              <w:tabs>
                <w:tab w:val="left" w:pos="8280"/>
              </w:tabs>
              <w:spacing w:after="60"/>
              <w:jc w:val="right"/>
              <w:rPr>
                <w:sz w:val="18"/>
                <w:szCs w:val="18"/>
              </w:rPr>
            </w:pPr>
            <w:r>
              <w:rPr>
                <w:sz w:val="18"/>
              </w:rPr>
              <w:t>39 910</w:t>
            </w:r>
          </w:p>
        </w:tc>
        <w:tc>
          <w:tcPr>
            <w:tcW w:w="432" w:type="pct"/>
          </w:tcPr>
          <w:p w14:paraId="339DB227" w14:textId="25C2D1C2" w:rsidR="008E423A" w:rsidRPr="00F17D16" w:rsidRDefault="00BE0A61" w:rsidP="00932DF3">
            <w:pPr>
              <w:tabs>
                <w:tab w:val="left" w:pos="8280"/>
              </w:tabs>
              <w:spacing w:after="60"/>
              <w:jc w:val="right"/>
              <w:rPr>
                <w:sz w:val="18"/>
                <w:szCs w:val="18"/>
              </w:rPr>
            </w:pPr>
            <w:r>
              <w:rPr>
                <w:color w:val="000000"/>
                <w:sz w:val="18"/>
              </w:rPr>
              <w:t xml:space="preserve">  0</w:t>
            </w:r>
          </w:p>
        </w:tc>
        <w:tc>
          <w:tcPr>
            <w:tcW w:w="406" w:type="pct"/>
          </w:tcPr>
          <w:p w14:paraId="43C848FA" w14:textId="78213890" w:rsidR="008E423A" w:rsidRPr="00F17D16" w:rsidRDefault="00114E3A" w:rsidP="00932DF3">
            <w:pPr>
              <w:tabs>
                <w:tab w:val="left" w:pos="8280"/>
              </w:tabs>
              <w:spacing w:after="60"/>
              <w:jc w:val="right"/>
              <w:rPr>
                <w:sz w:val="18"/>
                <w:szCs w:val="18"/>
              </w:rPr>
            </w:pPr>
            <w:r>
              <w:rPr>
                <w:sz w:val="18"/>
              </w:rPr>
              <w:t>0</w:t>
            </w:r>
          </w:p>
        </w:tc>
        <w:tc>
          <w:tcPr>
            <w:tcW w:w="401" w:type="pct"/>
          </w:tcPr>
          <w:p w14:paraId="75A46B3F" w14:textId="47B20D27" w:rsidR="008E423A" w:rsidRPr="00F17D16" w:rsidRDefault="00114E3A" w:rsidP="00932DF3">
            <w:pPr>
              <w:tabs>
                <w:tab w:val="left" w:pos="8280"/>
              </w:tabs>
              <w:spacing w:after="60"/>
              <w:jc w:val="right"/>
              <w:rPr>
                <w:sz w:val="18"/>
                <w:szCs w:val="18"/>
              </w:rPr>
            </w:pPr>
            <w:r>
              <w:rPr>
                <w:sz w:val="18"/>
              </w:rPr>
              <w:t>18 324</w:t>
            </w:r>
          </w:p>
        </w:tc>
        <w:tc>
          <w:tcPr>
            <w:tcW w:w="764" w:type="pct"/>
          </w:tcPr>
          <w:p w14:paraId="3FB33437" w14:textId="5AD6D6E5" w:rsidR="008E423A" w:rsidRPr="00F17D16" w:rsidRDefault="008E423A" w:rsidP="00932DF3">
            <w:pPr>
              <w:tabs>
                <w:tab w:val="left" w:pos="8280"/>
              </w:tabs>
              <w:spacing w:after="60"/>
              <w:jc w:val="right"/>
              <w:rPr>
                <w:sz w:val="18"/>
                <w:szCs w:val="18"/>
              </w:rPr>
            </w:pPr>
            <w:r>
              <w:rPr>
                <w:color w:val="000000"/>
                <w:sz w:val="18"/>
              </w:rPr>
              <w:t>80 950</w:t>
            </w:r>
          </w:p>
        </w:tc>
      </w:tr>
      <w:tr w:rsidR="00F17D16" w:rsidRPr="00F17D16" w14:paraId="7965199A" w14:textId="77777777" w:rsidTr="00C45315">
        <w:trPr>
          <w:trHeight w:val="59"/>
        </w:trPr>
        <w:tc>
          <w:tcPr>
            <w:tcW w:w="636" w:type="pct"/>
            <w:vMerge/>
            <w:shd w:val="clear" w:color="auto" w:fill="auto"/>
          </w:tcPr>
          <w:p w14:paraId="31996A7A" w14:textId="77777777" w:rsidR="00F17D16" w:rsidRPr="00F17D16" w:rsidRDefault="00F17D16" w:rsidP="00F17D16">
            <w:pPr>
              <w:tabs>
                <w:tab w:val="left" w:pos="8280"/>
              </w:tabs>
              <w:spacing w:after="60"/>
              <w:jc w:val="left"/>
              <w:rPr>
                <w:sz w:val="18"/>
                <w:szCs w:val="18"/>
              </w:rPr>
            </w:pPr>
          </w:p>
        </w:tc>
        <w:tc>
          <w:tcPr>
            <w:tcW w:w="339" w:type="pct"/>
            <w:vMerge w:val="restart"/>
            <w:shd w:val="clear" w:color="auto" w:fill="auto"/>
            <w:vAlign w:val="center"/>
          </w:tcPr>
          <w:p w14:paraId="6596A282" w14:textId="5B52609D" w:rsidR="00F17D16" w:rsidRPr="00F17D16" w:rsidRDefault="00F17D16" w:rsidP="00F17D16">
            <w:pPr>
              <w:tabs>
                <w:tab w:val="left" w:pos="8280"/>
              </w:tabs>
              <w:spacing w:after="60"/>
              <w:jc w:val="center"/>
              <w:rPr>
                <w:sz w:val="18"/>
                <w:szCs w:val="18"/>
              </w:rPr>
            </w:pPr>
            <w:r>
              <w:rPr>
                <w:color w:val="000000" w:themeColor="text1"/>
                <w:sz w:val="18"/>
              </w:rPr>
              <w:t>ONUDI</w:t>
            </w:r>
          </w:p>
        </w:tc>
        <w:tc>
          <w:tcPr>
            <w:tcW w:w="726" w:type="pct"/>
            <w:shd w:val="clear" w:color="auto" w:fill="auto"/>
          </w:tcPr>
          <w:p w14:paraId="5EE54D69" w14:textId="77777777" w:rsidR="00F17D16" w:rsidRPr="00F17D16" w:rsidRDefault="00F17D16" w:rsidP="00F17D16">
            <w:pPr>
              <w:tabs>
                <w:tab w:val="left" w:pos="8280"/>
              </w:tabs>
              <w:spacing w:after="60"/>
              <w:jc w:val="left"/>
              <w:rPr>
                <w:sz w:val="18"/>
                <w:szCs w:val="18"/>
              </w:rPr>
            </w:pPr>
            <w:r>
              <w:rPr>
                <w:sz w:val="18"/>
              </w:rPr>
              <w:t>Coûts de projet</w:t>
            </w:r>
          </w:p>
        </w:tc>
        <w:tc>
          <w:tcPr>
            <w:tcW w:w="432" w:type="pct"/>
            <w:shd w:val="clear" w:color="auto" w:fill="auto"/>
          </w:tcPr>
          <w:p w14:paraId="1DD79C79" w14:textId="5BC884A7" w:rsidR="00F17D16" w:rsidRPr="00F17D16" w:rsidRDefault="00DE155A" w:rsidP="00932DF3">
            <w:pPr>
              <w:tabs>
                <w:tab w:val="left" w:pos="8280"/>
              </w:tabs>
              <w:spacing w:after="60"/>
              <w:jc w:val="right"/>
              <w:rPr>
                <w:sz w:val="18"/>
                <w:szCs w:val="18"/>
              </w:rPr>
            </w:pPr>
            <w:r>
              <w:rPr>
                <w:color w:val="000000"/>
                <w:sz w:val="18"/>
              </w:rPr>
              <w:t>155 000</w:t>
            </w:r>
          </w:p>
        </w:tc>
        <w:tc>
          <w:tcPr>
            <w:tcW w:w="432" w:type="pct"/>
          </w:tcPr>
          <w:p w14:paraId="739A93F0" w14:textId="07A4CC04" w:rsidR="00F17D16" w:rsidRPr="00F17D16" w:rsidRDefault="00F17D16" w:rsidP="00932DF3">
            <w:pPr>
              <w:tabs>
                <w:tab w:val="left" w:pos="8280"/>
              </w:tabs>
              <w:spacing w:after="60"/>
              <w:jc w:val="right"/>
              <w:rPr>
                <w:sz w:val="18"/>
                <w:szCs w:val="18"/>
              </w:rPr>
            </w:pPr>
            <w:r>
              <w:rPr>
                <w:color w:val="000000"/>
                <w:sz w:val="18"/>
              </w:rPr>
              <w:t>0</w:t>
            </w:r>
          </w:p>
        </w:tc>
        <w:tc>
          <w:tcPr>
            <w:tcW w:w="432" w:type="pct"/>
          </w:tcPr>
          <w:p w14:paraId="0C2A510E" w14:textId="47318DC4" w:rsidR="00F17D16" w:rsidRPr="00F17D16" w:rsidRDefault="00345EE8" w:rsidP="00932DF3">
            <w:pPr>
              <w:tabs>
                <w:tab w:val="left" w:pos="8280"/>
              </w:tabs>
              <w:spacing w:after="60"/>
              <w:jc w:val="right"/>
              <w:rPr>
                <w:sz w:val="18"/>
                <w:szCs w:val="18"/>
              </w:rPr>
            </w:pPr>
            <w:r>
              <w:rPr>
                <w:sz w:val="18"/>
              </w:rPr>
              <w:t>115 000</w:t>
            </w:r>
          </w:p>
        </w:tc>
        <w:tc>
          <w:tcPr>
            <w:tcW w:w="432" w:type="pct"/>
          </w:tcPr>
          <w:p w14:paraId="4E744B18" w14:textId="49E26663" w:rsidR="00F17D16" w:rsidRPr="00F17D16" w:rsidRDefault="00F17D16" w:rsidP="00932DF3">
            <w:pPr>
              <w:tabs>
                <w:tab w:val="left" w:pos="8280"/>
              </w:tabs>
              <w:spacing w:after="60"/>
              <w:jc w:val="right"/>
              <w:rPr>
                <w:sz w:val="18"/>
                <w:szCs w:val="18"/>
              </w:rPr>
            </w:pPr>
            <w:r>
              <w:rPr>
                <w:color w:val="000000"/>
                <w:sz w:val="18"/>
              </w:rPr>
              <w:t>0</w:t>
            </w:r>
          </w:p>
        </w:tc>
        <w:tc>
          <w:tcPr>
            <w:tcW w:w="406" w:type="pct"/>
          </w:tcPr>
          <w:p w14:paraId="5E71BCB8" w14:textId="2A16842D" w:rsidR="00F17D16" w:rsidRPr="00F17D16" w:rsidRDefault="00114E3A" w:rsidP="00932DF3">
            <w:pPr>
              <w:tabs>
                <w:tab w:val="left" w:pos="8280"/>
              </w:tabs>
              <w:spacing w:after="60"/>
              <w:jc w:val="right"/>
              <w:rPr>
                <w:sz w:val="18"/>
                <w:szCs w:val="18"/>
              </w:rPr>
            </w:pPr>
            <w:r>
              <w:rPr>
                <w:sz w:val="18"/>
              </w:rPr>
              <w:t>0</w:t>
            </w:r>
          </w:p>
        </w:tc>
        <w:tc>
          <w:tcPr>
            <w:tcW w:w="401" w:type="pct"/>
          </w:tcPr>
          <w:p w14:paraId="4C61D95A" w14:textId="5C5D8BD6" w:rsidR="00F17D16" w:rsidRPr="00FF6492" w:rsidRDefault="00E37C44" w:rsidP="00932DF3">
            <w:pPr>
              <w:tabs>
                <w:tab w:val="left" w:pos="8280"/>
              </w:tabs>
              <w:spacing w:after="60"/>
              <w:jc w:val="right"/>
              <w:rPr>
                <w:sz w:val="18"/>
                <w:szCs w:val="18"/>
                <w:highlight w:val="green"/>
              </w:rPr>
            </w:pPr>
            <w:r>
              <w:rPr>
                <w:sz w:val="18"/>
              </w:rPr>
              <w:t>0</w:t>
            </w:r>
          </w:p>
        </w:tc>
        <w:tc>
          <w:tcPr>
            <w:tcW w:w="764" w:type="pct"/>
          </w:tcPr>
          <w:p w14:paraId="60DC2ADC" w14:textId="5AD8E536" w:rsidR="00F17D16" w:rsidRPr="00FF6492" w:rsidRDefault="00207C5B" w:rsidP="00932DF3">
            <w:pPr>
              <w:tabs>
                <w:tab w:val="left" w:pos="8280"/>
              </w:tabs>
              <w:spacing w:after="60"/>
              <w:jc w:val="right"/>
              <w:rPr>
                <w:sz w:val="18"/>
                <w:szCs w:val="18"/>
                <w:highlight w:val="green"/>
              </w:rPr>
            </w:pPr>
            <w:r>
              <w:rPr>
                <w:color w:val="000000"/>
                <w:sz w:val="18"/>
              </w:rPr>
              <w:t>270 000</w:t>
            </w:r>
          </w:p>
        </w:tc>
      </w:tr>
      <w:tr w:rsidR="00F17D16" w:rsidRPr="00F17D16" w14:paraId="159C8BDC" w14:textId="77777777" w:rsidTr="00C45315">
        <w:trPr>
          <w:trHeight w:val="59"/>
        </w:trPr>
        <w:tc>
          <w:tcPr>
            <w:tcW w:w="636" w:type="pct"/>
            <w:vMerge/>
            <w:shd w:val="clear" w:color="auto" w:fill="auto"/>
          </w:tcPr>
          <w:p w14:paraId="3694276D" w14:textId="77777777" w:rsidR="00F17D16" w:rsidRPr="00F17D16" w:rsidRDefault="00F17D16" w:rsidP="00F17D16">
            <w:pPr>
              <w:tabs>
                <w:tab w:val="left" w:pos="8280"/>
              </w:tabs>
              <w:spacing w:after="60"/>
              <w:jc w:val="center"/>
              <w:rPr>
                <w:sz w:val="18"/>
                <w:szCs w:val="18"/>
              </w:rPr>
            </w:pPr>
          </w:p>
        </w:tc>
        <w:tc>
          <w:tcPr>
            <w:tcW w:w="339" w:type="pct"/>
            <w:vMerge/>
            <w:shd w:val="clear" w:color="auto" w:fill="auto"/>
          </w:tcPr>
          <w:p w14:paraId="6CB94B73" w14:textId="77777777" w:rsidR="00F17D16" w:rsidRPr="00F17D16" w:rsidRDefault="00F17D16" w:rsidP="00F17D16">
            <w:pPr>
              <w:tabs>
                <w:tab w:val="left" w:pos="8280"/>
              </w:tabs>
              <w:spacing w:after="60"/>
              <w:jc w:val="center"/>
              <w:rPr>
                <w:sz w:val="18"/>
                <w:szCs w:val="18"/>
              </w:rPr>
            </w:pPr>
          </w:p>
        </w:tc>
        <w:tc>
          <w:tcPr>
            <w:tcW w:w="726" w:type="pct"/>
            <w:shd w:val="clear" w:color="auto" w:fill="auto"/>
          </w:tcPr>
          <w:p w14:paraId="1B90663A" w14:textId="77777777" w:rsidR="00F17D16" w:rsidRPr="00F17D16" w:rsidRDefault="00F17D16" w:rsidP="00F17D16">
            <w:pPr>
              <w:tabs>
                <w:tab w:val="left" w:pos="8280"/>
              </w:tabs>
              <w:spacing w:after="60"/>
              <w:jc w:val="left"/>
              <w:rPr>
                <w:sz w:val="18"/>
                <w:szCs w:val="18"/>
              </w:rPr>
            </w:pPr>
            <w:r>
              <w:rPr>
                <w:sz w:val="18"/>
              </w:rPr>
              <w:t>Coûts d’appui</w:t>
            </w:r>
          </w:p>
        </w:tc>
        <w:tc>
          <w:tcPr>
            <w:tcW w:w="432" w:type="pct"/>
            <w:shd w:val="clear" w:color="auto" w:fill="auto"/>
          </w:tcPr>
          <w:p w14:paraId="0DAE84D5" w14:textId="24ABA959" w:rsidR="00F17D16" w:rsidRPr="00F17D16" w:rsidRDefault="00DE155A" w:rsidP="00932DF3">
            <w:pPr>
              <w:tabs>
                <w:tab w:val="left" w:pos="8280"/>
              </w:tabs>
              <w:spacing w:after="60"/>
              <w:jc w:val="right"/>
              <w:rPr>
                <w:sz w:val="18"/>
                <w:szCs w:val="18"/>
              </w:rPr>
            </w:pPr>
            <w:r>
              <w:rPr>
                <w:sz w:val="18"/>
              </w:rPr>
              <w:t>10 850</w:t>
            </w:r>
          </w:p>
        </w:tc>
        <w:tc>
          <w:tcPr>
            <w:tcW w:w="432" w:type="pct"/>
          </w:tcPr>
          <w:p w14:paraId="7B2A96F9" w14:textId="0F6EB92E" w:rsidR="00F17D16" w:rsidRPr="00F17D16" w:rsidRDefault="007568A2" w:rsidP="00932DF3">
            <w:pPr>
              <w:tabs>
                <w:tab w:val="left" w:pos="8280"/>
              </w:tabs>
              <w:spacing w:after="60"/>
              <w:jc w:val="right"/>
              <w:rPr>
                <w:sz w:val="18"/>
                <w:szCs w:val="18"/>
              </w:rPr>
            </w:pPr>
            <w:r>
              <w:rPr>
                <w:color w:val="000000"/>
                <w:sz w:val="18"/>
              </w:rPr>
              <w:t>0</w:t>
            </w:r>
          </w:p>
        </w:tc>
        <w:tc>
          <w:tcPr>
            <w:tcW w:w="432" w:type="pct"/>
          </w:tcPr>
          <w:p w14:paraId="2BEEC61E" w14:textId="6E9BB385" w:rsidR="00F17D16" w:rsidRPr="00F17D16" w:rsidRDefault="003E6202" w:rsidP="00932DF3">
            <w:pPr>
              <w:tabs>
                <w:tab w:val="left" w:pos="8280"/>
              </w:tabs>
              <w:spacing w:after="60"/>
              <w:jc w:val="right"/>
              <w:rPr>
                <w:sz w:val="18"/>
                <w:szCs w:val="18"/>
              </w:rPr>
            </w:pPr>
            <w:r>
              <w:rPr>
                <w:sz w:val="18"/>
              </w:rPr>
              <w:t>8 050</w:t>
            </w:r>
          </w:p>
        </w:tc>
        <w:tc>
          <w:tcPr>
            <w:tcW w:w="432" w:type="pct"/>
          </w:tcPr>
          <w:p w14:paraId="023349E3" w14:textId="76061594" w:rsidR="00F17D16" w:rsidRPr="00F17D16" w:rsidRDefault="007568A2" w:rsidP="00932DF3">
            <w:pPr>
              <w:tabs>
                <w:tab w:val="left" w:pos="8280"/>
              </w:tabs>
              <w:spacing w:after="60"/>
              <w:jc w:val="right"/>
              <w:rPr>
                <w:sz w:val="18"/>
                <w:szCs w:val="18"/>
              </w:rPr>
            </w:pPr>
            <w:r>
              <w:rPr>
                <w:color w:val="000000"/>
                <w:sz w:val="18"/>
              </w:rPr>
              <w:t>0</w:t>
            </w:r>
          </w:p>
        </w:tc>
        <w:tc>
          <w:tcPr>
            <w:tcW w:w="406" w:type="pct"/>
          </w:tcPr>
          <w:p w14:paraId="04A64CE7" w14:textId="44A27A52" w:rsidR="00F17D16" w:rsidRPr="00F17D16" w:rsidRDefault="00E37C44" w:rsidP="00932DF3">
            <w:pPr>
              <w:tabs>
                <w:tab w:val="left" w:pos="8280"/>
              </w:tabs>
              <w:spacing w:after="60"/>
              <w:jc w:val="right"/>
              <w:rPr>
                <w:sz w:val="18"/>
                <w:szCs w:val="18"/>
              </w:rPr>
            </w:pPr>
            <w:r>
              <w:rPr>
                <w:sz w:val="18"/>
              </w:rPr>
              <w:t>0</w:t>
            </w:r>
          </w:p>
        </w:tc>
        <w:tc>
          <w:tcPr>
            <w:tcW w:w="401" w:type="pct"/>
          </w:tcPr>
          <w:p w14:paraId="7AE0FFAD" w14:textId="74F864AC" w:rsidR="00F17D16" w:rsidRPr="00F17D16" w:rsidRDefault="00E37C44" w:rsidP="00932DF3">
            <w:pPr>
              <w:tabs>
                <w:tab w:val="left" w:pos="8280"/>
              </w:tabs>
              <w:spacing w:after="60"/>
              <w:jc w:val="right"/>
              <w:rPr>
                <w:sz w:val="18"/>
                <w:szCs w:val="18"/>
              </w:rPr>
            </w:pPr>
            <w:r>
              <w:rPr>
                <w:sz w:val="18"/>
              </w:rPr>
              <w:t>0</w:t>
            </w:r>
          </w:p>
        </w:tc>
        <w:tc>
          <w:tcPr>
            <w:tcW w:w="764" w:type="pct"/>
          </w:tcPr>
          <w:p w14:paraId="24BD84CE" w14:textId="5FF07C40" w:rsidR="00F17D16" w:rsidRPr="00F17D16" w:rsidRDefault="007969D5" w:rsidP="00932DF3">
            <w:pPr>
              <w:tabs>
                <w:tab w:val="left" w:pos="8280"/>
              </w:tabs>
              <w:spacing w:after="60"/>
              <w:jc w:val="right"/>
              <w:rPr>
                <w:sz w:val="18"/>
                <w:szCs w:val="18"/>
              </w:rPr>
            </w:pPr>
            <w:r>
              <w:rPr>
                <w:color w:val="000000"/>
                <w:sz w:val="18"/>
              </w:rPr>
              <w:t>18 900</w:t>
            </w:r>
          </w:p>
        </w:tc>
      </w:tr>
      <w:tr w:rsidR="00F17D16" w:rsidRPr="00F17D16" w14:paraId="4D26CB33" w14:textId="77777777" w:rsidTr="00C45315">
        <w:trPr>
          <w:trHeight w:val="157"/>
        </w:trPr>
        <w:tc>
          <w:tcPr>
            <w:tcW w:w="1700" w:type="pct"/>
            <w:gridSpan w:val="3"/>
            <w:shd w:val="clear" w:color="auto" w:fill="auto"/>
          </w:tcPr>
          <w:p w14:paraId="31AE332A" w14:textId="77777777" w:rsidR="00F17D16" w:rsidRPr="00F17D16" w:rsidRDefault="00F17D16" w:rsidP="00F17D16">
            <w:pPr>
              <w:tabs>
                <w:tab w:val="left" w:pos="8280"/>
              </w:tabs>
              <w:spacing w:after="60"/>
              <w:jc w:val="left"/>
              <w:rPr>
                <w:sz w:val="18"/>
                <w:szCs w:val="18"/>
              </w:rPr>
            </w:pPr>
            <w:r>
              <w:rPr>
                <w:sz w:val="18"/>
              </w:rPr>
              <w:t>Coûts totaux du projet recommandés en principe ($ US)</w:t>
            </w:r>
          </w:p>
        </w:tc>
        <w:tc>
          <w:tcPr>
            <w:tcW w:w="432" w:type="pct"/>
            <w:shd w:val="clear" w:color="auto" w:fill="auto"/>
          </w:tcPr>
          <w:p w14:paraId="02EDAD99" w14:textId="516C1B7E" w:rsidR="00F17D16" w:rsidRPr="00F17D16" w:rsidRDefault="003A0A08" w:rsidP="00932DF3">
            <w:pPr>
              <w:tabs>
                <w:tab w:val="left" w:pos="8280"/>
              </w:tabs>
              <w:spacing w:after="60"/>
              <w:jc w:val="right"/>
              <w:rPr>
                <w:sz w:val="18"/>
                <w:szCs w:val="18"/>
              </w:rPr>
            </w:pPr>
            <w:r>
              <w:rPr>
                <w:sz w:val="18"/>
              </w:rPr>
              <w:t>336 000</w:t>
            </w:r>
          </w:p>
        </w:tc>
        <w:tc>
          <w:tcPr>
            <w:tcW w:w="432" w:type="pct"/>
          </w:tcPr>
          <w:p w14:paraId="73298A2A" w14:textId="61592078" w:rsidR="00F17D16" w:rsidRPr="00F17D16" w:rsidRDefault="00F17D16" w:rsidP="00932DF3">
            <w:pPr>
              <w:tabs>
                <w:tab w:val="left" w:pos="8280"/>
              </w:tabs>
              <w:spacing w:after="60"/>
              <w:jc w:val="right"/>
              <w:rPr>
                <w:sz w:val="18"/>
                <w:szCs w:val="18"/>
              </w:rPr>
            </w:pPr>
            <w:r>
              <w:rPr>
                <w:sz w:val="18"/>
              </w:rPr>
              <w:t>0</w:t>
            </w:r>
          </w:p>
        </w:tc>
        <w:tc>
          <w:tcPr>
            <w:tcW w:w="432" w:type="pct"/>
          </w:tcPr>
          <w:p w14:paraId="1BA66752" w14:textId="27DB8183" w:rsidR="00F17D16" w:rsidRPr="00F17D16" w:rsidRDefault="00973F02" w:rsidP="00932DF3">
            <w:pPr>
              <w:tabs>
                <w:tab w:val="left" w:pos="8280"/>
              </w:tabs>
              <w:spacing w:after="60"/>
              <w:jc w:val="right"/>
              <w:rPr>
                <w:sz w:val="18"/>
                <w:szCs w:val="18"/>
              </w:rPr>
            </w:pPr>
            <w:r>
              <w:rPr>
                <w:sz w:val="18"/>
              </w:rPr>
              <w:t>433 000</w:t>
            </w:r>
          </w:p>
        </w:tc>
        <w:tc>
          <w:tcPr>
            <w:tcW w:w="432" w:type="pct"/>
          </w:tcPr>
          <w:p w14:paraId="59D67B25" w14:textId="2469566C" w:rsidR="00F17D16" w:rsidRPr="00F17D16" w:rsidRDefault="00F17D16" w:rsidP="00932DF3">
            <w:pPr>
              <w:tabs>
                <w:tab w:val="left" w:pos="8280"/>
              </w:tabs>
              <w:spacing w:after="60"/>
              <w:jc w:val="right"/>
              <w:rPr>
                <w:sz w:val="18"/>
                <w:szCs w:val="18"/>
              </w:rPr>
            </w:pPr>
            <w:r>
              <w:rPr>
                <w:sz w:val="18"/>
              </w:rPr>
              <w:t>0</w:t>
            </w:r>
          </w:p>
        </w:tc>
        <w:tc>
          <w:tcPr>
            <w:tcW w:w="406" w:type="pct"/>
          </w:tcPr>
          <w:p w14:paraId="143F29CA" w14:textId="220AF449" w:rsidR="00F17D16" w:rsidRPr="00F17D16" w:rsidRDefault="00114E3A" w:rsidP="00932DF3">
            <w:pPr>
              <w:tabs>
                <w:tab w:val="left" w:pos="8280"/>
              </w:tabs>
              <w:spacing w:after="60"/>
              <w:jc w:val="right"/>
              <w:rPr>
                <w:sz w:val="18"/>
                <w:szCs w:val="18"/>
              </w:rPr>
            </w:pPr>
            <w:r>
              <w:rPr>
                <w:sz w:val="18"/>
              </w:rPr>
              <w:t>0</w:t>
            </w:r>
          </w:p>
        </w:tc>
        <w:tc>
          <w:tcPr>
            <w:tcW w:w="401" w:type="pct"/>
          </w:tcPr>
          <w:p w14:paraId="5632DAB6" w14:textId="2B044566" w:rsidR="00F17D16" w:rsidRPr="00F17D16" w:rsidRDefault="00B31593" w:rsidP="00932DF3">
            <w:pPr>
              <w:tabs>
                <w:tab w:val="left" w:pos="8280"/>
              </w:tabs>
              <w:spacing w:after="60"/>
              <w:jc w:val="right"/>
              <w:rPr>
                <w:sz w:val="18"/>
                <w:szCs w:val="18"/>
              </w:rPr>
            </w:pPr>
            <w:r>
              <w:rPr>
                <w:sz w:val="18"/>
              </w:rPr>
              <w:t>146 000</w:t>
            </w:r>
          </w:p>
        </w:tc>
        <w:tc>
          <w:tcPr>
            <w:tcW w:w="764" w:type="pct"/>
          </w:tcPr>
          <w:p w14:paraId="77FD5806" w14:textId="5DE7267B" w:rsidR="00F17D16" w:rsidRPr="00F17D16" w:rsidRDefault="00F17D16" w:rsidP="00932DF3">
            <w:pPr>
              <w:tabs>
                <w:tab w:val="left" w:pos="8280"/>
              </w:tabs>
              <w:spacing w:after="60"/>
              <w:jc w:val="right"/>
              <w:rPr>
                <w:sz w:val="18"/>
                <w:szCs w:val="18"/>
              </w:rPr>
            </w:pPr>
            <w:r>
              <w:rPr>
                <w:sz w:val="18"/>
              </w:rPr>
              <w:t>915 000</w:t>
            </w:r>
          </w:p>
        </w:tc>
      </w:tr>
      <w:tr w:rsidR="00F17D16" w:rsidRPr="00F17D16" w14:paraId="30F65A8D" w14:textId="77777777" w:rsidTr="00C45315">
        <w:trPr>
          <w:trHeight w:val="201"/>
        </w:trPr>
        <w:tc>
          <w:tcPr>
            <w:tcW w:w="1700" w:type="pct"/>
            <w:gridSpan w:val="3"/>
            <w:shd w:val="clear" w:color="auto" w:fill="auto"/>
          </w:tcPr>
          <w:p w14:paraId="644E4874" w14:textId="77777777" w:rsidR="00F17D16" w:rsidRPr="00F17D16" w:rsidRDefault="00F17D16" w:rsidP="00F17D16">
            <w:pPr>
              <w:tabs>
                <w:tab w:val="left" w:pos="8280"/>
              </w:tabs>
              <w:spacing w:after="60"/>
              <w:jc w:val="left"/>
              <w:rPr>
                <w:sz w:val="18"/>
                <w:szCs w:val="18"/>
              </w:rPr>
            </w:pPr>
            <w:r>
              <w:rPr>
                <w:sz w:val="18"/>
              </w:rPr>
              <w:t>Coûts d’appui totaux recommandés en principe ($ US)</w:t>
            </w:r>
          </w:p>
        </w:tc>
        <w:tc>
          <w:tcPr>
            <w:tcW w:w="432" w:type="pct"/>
            <w:shd w:val="clear" w:color="auto" w:fill="auto"/>
          </w:tcPr>
          <w:p w14:paraId="2A3E7DAF" w14:textId="4C0FB1E8" w:rsidR="00F17D16" w:rsidRPr="00F17D16" w:rsidRDefault="003A0A08" w:rsidP="00932DF3">
            <w:pPr>
              <w:tabs>
                <w:tab w:val="left" w:pos="8280"/>
              </w:tabs>
              <w:spacing w:after="60"/>
              <w:jc w:val="right"/>
              <w:rPr>
                <w:sz w:val="18"/>
                <w:szCs w:val="18"/>
              </w:rPr>
            </w:pPr>
            <w:r>
              <w:rPr>
                <w:sz w:val="18"/>
              </w:rPr>
              <w:t>33 566</w:t>
            </w:r>
          </w:p>
        </w:tc>
        <w:tc>
          <w:tcPr>
            <w:tcW w:w="432" w:type="pct"/>
          </w:tcPr>
          <w:p w14:paraId="3A68597F" w14:textId="577CD847" w:rsidR="00F17D16" w:rsidRPr="00F17D16" w:rsidRDefault="00F17D16" w:rsidP="00932DF3">
            <w:pPr>
              <w:tabs>
                <w:tab w:val="left" w:pos="8280"/>
              </w:tabs>
              <w:spacing w:after="60"/>
              <w:jc w:val="right"/>
              <w:rPr>
                <w:sz w:val="18"/>
                <w:szCs w:val="18"/>
              </w:rPr>
            </w:pPr>
            <w:r>
              <w:rPr>
                <w:sz w:val="18"/>
              </w:rPr>
              <w:t>0</w:t>
            </w:r>
          </w:p>
        </w:tc>
        <w:tc>
          <w:tcPr>
            <w:tcW w:w="432" w:type="pct"/>
          </w:tcPr>
          <w:p w14:paraId="503E3C72" w14:textId="07BC2104" w:rsidR="00F17D16" w:rsidRPr="00F17D16" w:rsidRDefault="00A7731D" w:rsidP="00932DF3">
            <w:pPr>
              <w:tabs>
                <w:tab w:val="left" w:pos="8280"/>
              </w:tabs>
              <w:spacing w:after="60"/>
              <w:jc w:val="right"/>
              <w:rPr>
                <w:sz w:val="18"/>
                <w:szCs w:val="18"/>
              </w:rPr>
            </w:pPr>
            <w:r>
              <w:rPr>
                <w:sz w:val="18"/>
              </w:rPr>
              <w:t>47 960</w:t>
            </w:r>
          </w:p>
        </w:tc>
        <w:tc>
          <w:tcPr>
            <w:tcW w:w="432" w:type="pct"/>
          </w:tcPr>
          <w:p w14:paraId="7EA1BD0C" w14:textId="73433ED3" w:rsidR="00F17D16" w:rsidRPr="00F17D16" w:rsidRDefault="00F17D16" w:rsidP="00932DF3">
            <w:pPr>
              <w:tabs>
                <w:tab w:val="left" w:pos="8280"/>
              </w:tabs>
              <w:spacing w:after="60"/>
              <w:jc w:val="right"/>
              <w:rPr>
                <w:sz w:val="18"/>
                <w:szCs w:val="18"/>
              </w:rPr>
            </w:pPr>
            <w:r>
              <w:rPr>
                <w:sz w:val="18"/>
              </w:rPr>
              <w:t>0</w:t>
            </w:r>
          </w:p>
        </w:tc>
        <w:tc>
          <w:tcPr>
            <w:tcW w:w="406" w:type="pct"/>
          </w:tcPr>
          <w:p w14:paraId="1DDE7B2F" w14:textId="599BCE06" w:rsidR="00F17D16" w:rsidRPr="00F17D16" w:rsidRDefault="00114E3A" w:rsidP="00932DF3">
            <w:pPr>
              <w:tabs>
                <w:tab w:val="left" w:pos="8280"/>
              </w:tabs>
              <w:spacing w:after="60"/>
              <w:jc w:val="right"/>
              <w:rPr>
                <w:sz w:val="18"/>
                <w:szCs w:val="18"/>
              </w:rPr>
            </w:pPr>
            <w:r>
              <w:rPr>
                <w:sz w:val="18"/>
              </w:rPr>
              <w:t>0</w:t>
            </w:r>
          </w:p>
        </w:tc>
        <w:tc>
          <w:tcPr>
            <w:tcW w:w="401" w:type="pct"/>
          </w:tcPr>
          <w:p w14:paraId="7B287D6E" w14:textId="574B523F" w:rsidR="00F17D16" w:rsidRPr="00F17D16" w:rsidRDefault="00B31593" w:rsidP="00932DF3">
            <w:pPr>
              <w:tabs>
                <w:tab w:val="left" w:pos="8280"/>
              </w:tabs>
              <w:spacing w:after="60"/>
              <w:jc w:val="right"/>
              <w:rPr>
                <w:sz w:val="18"/>
                <w:szCs w:val="18"/>
              </w:rPr>
            </w:pPr>
            <w:r>
              <w:rPr>
                <w:sz w:val="18"/>
              </w:rPr>
              <w:t>18 324</w:t>
            </w:r>
          </w:p>
        </w:tc>
        <w:tc>
          <w:tcPr>
            <w:tcW w:w="764" w:type="pct"/>
          </w:tcPr>
          <w:p w14:paraId="5B60F07A" w14:textId="7F9F12C6" w:rsidR="00F17D16" w:rsidRPr="00F17D16" w:rsidRDefault="002E7A61" w:rsidP="00932DF3">
            <w:pPr>
              <w:tabs>
                <w:tab w:val="left" w:pos="8280"/>
              </w:tabs>
              <w:spacing w:after="60"/>
              <w:jc w:val="right"/>
              <w:rPr>
                <w:sz w:val="18"/>
                <w:szCs w:val="18"/>
              </w:rPr>
            </w:pPr>
            <w:r>
              <w:rPr>
                <w:sz w:val="18"/>
              </w:rPr>
              <w:t>99 850</w:t>
            </w:r>
          </w:p>
        </w:tc>
      </w:tr>
      <w:tr w:rsidR="00F17D16" w:rsidRPr="00F17D16" w14:paraId="009AACE6" w14:textId="77777777" w:rsidTr="00C45315">
        <w:trPr>
          <w:trHeight w:val="95"/>
        </w:trPr>
        <w:tc>
          <w:tcPr>
            <w:tcW w:w="1700" w:type="pct"/>
            <w:gridSpan w:val="3"/>
            <w:shd w:val="clear" w:color="auto" w:fill="auto"/>
          </w:tcPr>
          <w:p w14:paraId="75FCB214" w14:textId="77777777" w:rsidR="00F17D16" w:rsidRPr="00F17D16" w:rsidRDefault="00F17D16" w:rsidP="00F17D16">
            <w:pPr>
              <w:tabs>
                <w:tab w:val="left" w:pos="8280"/>
              </w:tabs>
              <w:spacing w:after="60"/>
              <w:jc w:val="left"/>
              <w:rPr>
                <w:sz w:val="18"/>
                <w:szCs w:val="18"/>
              </w:rPr>
            </w:pPr>
            <w:r>
              <w:rPr>
                <w:sz w:val="18"/>
              </w:rPr>
              <w:t>Financement total recommandé en principe ($ US)</w:t>
            </w:r>
          </w:p>
        </w:tc>
        <w:tc>
          <w:tcPr>
            <w:tcW w:w="432" w:type="pct"/>
            <w:shd w:val="clear" w:color="auto" w:fill="auto"/>
          </w:tcPr>
          <w:p w14:paraId="7A48A7D1" w14:textId="68D7E8BF" w:rsidR="00F17D16" w:rsidRPr="00F17D16" w:rsidRDefault="003A0A08" w:rsidP="00932DF3">
            <w:pPr>
              <w:tabs>
                <w:tab w:val="left" w:pos="8280"/>
              </w:tabs>
              <w:spacing w:after="60"/>
              <w:jc w:val="right"/>
              <w:rPr>
                <w:sz w:val="18"/>
                <w:szCs w:val="18"/>
              </w:rPr>
            </w:pPr>
            <w:r>
              <w:rPr>
                <w:sz w:val="18"/>
              </w:rPr>
              <w:t>369 566</w:t>
            </w:r>
          </w:p>
        </w:tc>
        <w:tc>
          <w:tcPr>
            <w:tcW w:w="432" w:type="pct"/>
          </w:tcPr>
          <w:p w14:paraId="505AF52F" w14:textId="3A255011" w:rsidR="00F17D16" w:rsidRPr="00F17D16" w:rsidRDefault="00F17D16" w:rsidP="00932DF3">
            <w:pPr>
              <w:tabs>
                <w:tab w:val="left" w:pos="8280"/>
              </w:tabs>
              <w:spacing w:after="60"/>
              <w:jc w:val="right"/>
              <w:rPr>
                <w:sz w:val="18"/>
                <w:szCs w:val="18"/>
              </w:rPr>
            </w:pPr>
            <w:r>
              <w:rPr>
                <w:sz w:val="18"/>
              </w:rPr>
              <w:t>0</w:t>
            </w:r>
          </w:p>
        </w:tc>
        <w:tc>
          <w:tcPr>
            <w:tcW w:w="432" w:type="pct"/>
          </w:tcPr>
          <w:p w14:paraId="4C7CFA71" w14:textId="20AC5033" w:rsidR="00F17D16" w:rsidRPr="00F17D16" w:rsidRDefault="009B464A" w:rsidP="00932DF3">
            <w:pPr>
              <w:tabs>
                <w:tab w:val="left" w:pos="8280"/>
              </w:tabs>
              <w:spacing w:after="60"/>
              <w:jc w:val="right"/>
              <w:rPr>
                <w:sz w:val="18"/>
                <w:szCs w:val="18"/>
              </w:rPr>
            </w:pPr>
            <w:r>
              <w:rPr>
                <w:sz w:val="18"/>
              </w:rPr>
              <w:t>480 960</w:t>
            </w:r>
          </w:p>
        </w:tc>
        <w:tc>
          <w:tcPr>
            <w:tcW w:w="432" w:type="pct"/>
          </w:tcPr>
          <w:p w14:paraId="71A0B03E" w14:textId="1BE04C3B" w:rsidR="00F17D16" w:rsidRPr="00F17D16" w:rsidRDefault="00F17D16" w:rsidP="00932DF3">
            <w:pPr>
              <w:tabs>
                <w:tab w:val="left" w:pos="8280"/>
              </w:tabs>
              <w:spacing w:after="60"/>
              <w:jc w:val="right"/>
              <w:rPr>
                <w:sz w:val="18"/>
                <w:szCs w:val="18"/>
              </w:rPr>
            </w:pPr>
            <w:r>
              <w:rPr>
                <w:sz w:val="18"/>
              </w:rPr>
              <w:t>0</w:t>
            </w:r>
          </w:p>
        </w:tc>
        <w:tc>
          <w:tcPr>
            <w:tcW w:w="406" w:type="pct"/>
          </w:tcPr>
          <w:p w14:paraId="3C9629A5" w14:textId="690B0278" w:rsidR="00F17D16" w:rsidRPr="00F17D16" w:rsidRDefault="00114E3A" w:rsidP="00932DF3">
            <w:pPr>
              <w:tabs>
                <w:tab w:val="left" w:pos="8280"/>
              </w:tabs>
              <w:spacing w:after="60"/>
              <w:jc w:val="right"/>
              <w:rPr>
                <w:sz w:val="18"/>
                <w:szCs w:val="18"/>
              </w:rPr>
            </w:pPr>
            <w:r>
              <w:rPr>
                <w:sz w:val="18"/>
              </w:rPr>
              <w:t>0</w:t>
            </w:r>
          </w:p>
        </w:tc>
        <w:tc>
          <w:tcPr>
            <w:tcW w:w="401" w:type="pct"/>
          </w:tcPr>
          <w:p w14:paraId="67C860CD" w14:textId="1407CDF7" w:rsidR="00F17D16" w:rsidRPr="00F17D16" w:rsidRDefault="002333A7" w:rsidP="00932DF3">
            <w:pPr>
              <w:tabs>
                <w:tab w:val="left" w:pos="8280"/>
              </w:tabs>
              <w:spacing w:after="60"/>
              <w:jc w:val="right"/>
              <w:rPr>
                <w:sz w:val="18"/>
                <w:szCs w:val="18"/>
              </w:rPr>
            </w:pPr>
            <w:r>
              <w:rPr>
                <w:sz w:val="18"/>
              </w:rPr>
              <w:t>164 324</w:t>
            </w:r>
          </w:p>
        </w:tc>
        <w:tc>
          <w:tcPr>
            <w:tcW w:w="764" w:type="pct"/>
          </w:tcPr>
          <w:p w14:paraId="0D368BB7" w14:textId="4CE3F1A2" w:rsidR="00F17D16" w:rsidRPr="00F17D16" w:rsidRDefault="00F17D16" w:rsidP="00932DF3">
            <w:pPr>
              <w:tabs>
                <w:tab w:val="left" w:pos="8280"/>
              </w:tabs>
              <w:spacing w:after="60"/>
              <w:jc w:val="right"/>
              <w:rPr>
                <w:sz w:val="18"/>
                <w:szCs w:val="18"/>
              </w:rPr>
            </w:pPr>
            <w:r>
              <w:rPr>
                <w:sz w:val="18"/>
              </w:rPr>
              <w:t>1 014 850</w:t>
            </w:r>
          </w:p>
        </w:tc>
      </w:tr>
    </w:tbl>
    <w:p w14:paraId="48E7969F" w14:textId="5E1E4045" w:rsidR="004177A6" w:rsidRPr="005C7DD3" w:rsidRDefault="004177A6" w:rsidP="00F17D16">
      <w:pPr>
        <w:ind w:left="-426" w:right="-561"/>
        <w:rPr>
          <w:sz w:val="18"/>
          <w:szCs w:val="18"/>
        </w:rPr>
      </w:pPr>
    </w:p>
    <w:tbl>
      <w:tblPr>
        <w:tblStyle w:val="TableGrid10"/>
        <w:tblW w:w="5679" w:type="pct"/>
        <w:tblInd w:w="-635" w:type="dxa"/>
        <w:tblLook w:val="04A0" w:firstRow="1" w:lastRow="0" w:firstColumn="1" w:lastColumn="0" w:noHBand="0" w:noVBand="1"/>
      </w:tblPr>
      <w:tblGrid>
        <w:gridCol w:w="3564"/>
        <w:gridCol w:w="3137"/>
        <w:gridCol w:w="3919"/>
      </w:tblGrid>
      <w:tr w:rsidR="004177A6" w:rsidRPr="00EB31E3" w14:paraId="0AC30F91" w14:textId="77777777" w:rsidTr="00C45315">
        <w:trPr>
          <w:trHeight w:hRule="exact" w:val="227"/>
        </w:trPr>
        <w:tc>
          <w:tcPr>
            <w:tcW w:w="5000" w:type="pct"/>
            <w:gridSpan w:val="3"/>
            <w:shd w:val="clear" w:color="auto" w:fill="auto"/>
          </w:tcPr>
          <w:p w14:paraId="778A2BE6" w14:textId="3452FA3D" w:rsidR="004177A6" w:rsidRPr="00996241" w:rsidRDefault="004177A6">
            <w:pPr>
              <w:spacing w:after="120"/>
              <w:rPr>
                <w:b/>
                <w:color w:val="000000" w:themeColor="text1"/>
                <w:sz w:val="20"/>
              </w:rPr>
            </w:pPr>
            <w:r>
              <w:rPr>
                <w:b/>
                <w:color w:val="000000" w:themeColor="text1"/>
                <w:sz w:val="20"/>
              </w:rPr>
              <w:t>(VII) Demande d’approbation du financement pour la première tranche (2024)</w:t>
            </w:r>
          </w:p>
        </w:tc>
      </w:tr>
      <w:tr w:rsidR="004177A6" w:rsidRPr="00EB31E3" w14:paraId="58033D9A" w14:textId="77777777" w:rsidTr="00C45315">
        <w:trPr>
          <w:trHeight w:hRule="exact" w:val="227"/>
        </w:trPr>
        <w:tc>
          <w:tcPr>
            <w:tcW w:w="1678" w:type="pct"/>
            <w:shd w:val="clear" w:color="auto" w:fill="auto"/>
          </w:tcPr>
          <w:p w14:paraId="7838EEA3" w14:textId="77777777" w:rsidR="004177A6" w:rsidRPr="009931F4" w:rsidRDefault="004177A6">
            <w:pPr>
              <w:jc w:val="center"/>
              <w:rPr>
                <w:b/>
                <w:color w:val="000000" w:themeColor="text1"/>
                <w:sz w:val="20"/>
              </w:rPr>
            </w:pPr>
            <w:r>
              <w:rPr>
                <w:b/>
                <w:color w:val="000000" w:themeColor="text1"/>
                <w:sz w:val="20"/>
              </w:rPr>
              <w:t>Agence d’exécution</w:t>
            </w:r>
          </w:p>
        </w:tc>
        <w:tc>
          <w:tcPr>
            <w:tcW w:w="1477" w:type="pct"/>
            <w:shd w:val="clear" w:color="auto" w:fill="auto"/>
          </w:tcPr>
          <w:p w14:paraId="3B27CF90" w14:textId="77777777" w:rsidR="004177A6" w:rsidRPr="00996241" w:rsidRDefault="004177A6">
            <w:pPr>
              <w:jc w:val="center"/>
              <w:rPr>
                <w:b/>
                <w:color w:val="000000" w:themeColor="text1"/>
                <w:sz w:val="20"/>
              </w:rPr>
            </w:pPr>
            <w:r>
              <w:rPr>
                <w:b/>
                <w:color w:val="000000" w:themeColor="text1"/>
                <w:sz w:val="20"/>
              </w:rPr>
              <w:t>Financement recommandé ($ US)</w:t>
            </w:r>
          </w:p>
        </w:tc>
        <w:tc>
          <w:tcPr>
            <w:tcW w:w="1844" w:type="pct"/>
            <w:shd w:val="clear" w:color="auto" w:fill="auto"/>
          </w:tcPr>
          <w:p w14:paraId="015293F8" w14:textId="77777777" w:rsidR="004177A6" w:rsidRPr="00996241" w:rsidRDefault="004177A6">
            <w:pPr>
              <w:jc w:val="center"/>
              <w:rPr>
                <w:b/>
                <w:color w:val="000000" w:themeColor="text1"/>
                <w:sz w:val="20"/>
              </w:rPr>
            </w:pPr>
            <w:r>
              <w:rPr>
                <w:b/>
                <w:color w:val="000000" w:themeColor="text1"/>
                <w:sz w:val="20"/>
              </w:rPr>
              <w:t>Coûts d’appui ($ US)</w:t>
            </w:r>
          </w:p>
        </w:tc>
      </w:tr>
      <w:tr w:rsidR="004177A6" w:rsidRPr="00EB31E3" w14:paraId="567D13D9" w14:textId="77777777" w:rsidTr="00C45315">
        <w:trPr>
          <w:trHeight w:hRule="exact" w:val="227"/>
        </w:trPr>
        <w:tc>
          <w:tcPr>
            <w:tcW w:w="1678" w:type="pct"/>
            <w:shd w:val="clear" w:color="auto" w:fill="auto"/>
          </w:tcPr>
          <w:p w14:paraId="0F5F12BE" w14:textId="09902BD9" w:rsidR="004177A6" w:rsidRPr="00996241" w:rsidRDefault="00C33719">
            <w:pPr>
              <w:rPr>
                <w:color w:val="000000" w:themeColor="text1"/>
                <w:sz w:val="20"/>
              </w:rPr>
            </w:pPr>
            <w:r>
              <w:rPr>
                <w:color w:val="000000" w:themeColor="text1"/>
                <w:sz w:val="20"/>
              </w:rPr>
              <w:t>PNUE</w:t>
            </w:r>
          </w:p>
        </w:tc>
        <w:tc>
          <w:tcPr>
            <w:tcW w:w="1477" w:type="pct"/>
            <w:shd w:val="clear" w:color="auto" w:fill="auto"/>
          </w:tcPr>
          <w:p w14:paraId="4D5EC123" w14:textId="69F333F5" w:rsidR="004177A6" w:rsidRPr="00996241" w:rsidRDefault="006163AB">
            <w:pPr>
              <w:jc w:val="right"/>
              <w:rPr>
                <w:color w:val="000000" w:themeColor="text1"/>
                <w:sz w:val="20"/>
              </w:rPr>
            </w:pPr>
            <w:r>
              <w:rPr>
                <w:color w:val="000000" w:themeColor="text1"/>
                <w:sz w:val="20"/>
              </w:rPr>
              <w:t>181 000</w:t>
            </w:r>
          </w:p>
        </w:tc>
        <w:tc>
          <w:tcPr>
            <w:tcW w:w="1844" w:type="pct"/>
            <w:shd w:val="clear" w:color="auto" w:fill="auto"/>
          </w:tcPr>
          <w:p w14:paraId="47244BCF" w14:textId="155D31E8" w:rsidR="004177A6" w:rsidRPr="00996241" w:rsidRDefault="00BA6E43">
            <w:pPr>
              <w:jc w:val="right"/>
              <w:rPr>
                <w:color w:val="000000" w:themeColor="text1"/>
                <w:sz w:val="20"/>
              </w:rPr>
            </w:pPr>
            <w:r>
              <w:rPr>
                <w:color w:val="000000" w:themeColor="text1"/>
                <w:sz w:val="20"/>
              </w:rPr>
              <w:t>22 716</w:t>
            </w:r>
          </w:p>
        </w:tc>
      </w:tr>
      <w:tr w:rsidR="004177A6" w:rsidRPr="00EB31E3" w14:paraId="445D70AE" w14:textId="77777777" w:rsidTr="00C45315">
        <w:trPr>
          <w:trHeight w:hRule="exact" w:val="227"/>
        </w:trPr>
        <w:tc>
          <w:tcPr>
            <w:tcW w:w="1678" w:type="pct"/>
            <w:shd w:val="clear" w:color="auto" w:fill="auto"/>
          </w:tcPr>
          <w:p w14:paraId="176F48E5" w14:textId="41B4A044" w:rsidR="004177A6" w:rsidRPr="009931F4" w:rsidRDefault="00C33719">
            <w:pPr>
              <w:rPr>
                <w:color w:val="000000" w:themeColor="text1"/>
                <w:sz w:val="20"/>
              </w:rPr>
            </w:pPr>
            <w:r>
              <w:rPr>
                <w:color w:val="000000" w:themeColor="text1"/>
                <w:sz w:val="20"/>
              </w:rPr>
              <w:t>ONUDI</w:t>
            </w:r>
          </w:p>
        </w:tc>
        <w:tc>
          <w:tcPr>
            <w:tcW w:w="1477" w:type="pct"/>
            <w:shd w:val="clear" w:color="auto" w:fill="auto"/>
          </w:tcPr>
          <w:p w14:paraId="234C4399" w14:textId="01D37321" w:rsidR="004177A6" w:rsidRPr="00996241" w:rsidRDefault="006163AB">
            <w:pPr>
              <w:jc w:val="right"/>
              <w:rPr>
                <w:color w:val="000000" w:themeColor="text1"/>
                <w:sz w:val="20"/>
              </w:rPr>
            </w:pPr>
            <w:r>
              <w:rPr>
                <w:color w:val="000000" w:themeColor="text1"/>
                <w:sz w:val="20"/>
              </w:rPr>
              <w:t>155 000</w:t>
            </w:r>
          </w:p>
        </w:tc>
        <w:tc>
          <w:tcPr>
            <w:tcW w:w="1844" w:type="pct"/>
            <w:shd w:val="clear" w:color="auto" w:fill="auto"/>
          </w:tcPr>
          <w:p w14:paraId="3FCA0638" w14:textId="5BD82604" w:rsidR="004177A6" w:rsidRPr="00996241" w:rsidRDefault="002B31FD">
            <w:pPr>
              <w:jc w:val="right"/>
              <w:rPr>
                <w:color w:val="000000" w:themeColor="text1"/>
                <w:sz w:val="20"/>
              </w:rPr>
            </w:pPr>
            <w:r>
              <w:rPr>
                <w:color w:val="000000" w:themeColor="text1"/>
                <w:sz w:val="20"/>
              </w:rPr>
              <w:t>10 850</w:t>
            </w:r>
          </w:p>
        </w:tc>
      </w:tr>
      <w:tr w:rsidR="004177A6" w:rsidRPr="00EB31E3" w14:paraId="1A330436" w14:textId="77777777" w:rsidTr="00C45315">
        <w:trPr>
          <w:trHeight w:hRule="exact" w:val="227"/>
        </w:trPr>
        <w:tc>
          <w:tcPr>
            <w:tcW w:w="1678" w:type="pct"/>
            <w:shd w:val="clear" w:color="auto" w:fill="auto"/>
          </w:tcPr>
          <w:p w14:paraId="4FB890FC" w14:textId="77777777" w:rsidR="004177A6" w:rsidRPr="009931F4" w:rsidRDefault="004177A6">
            <w:pPr>
              <w:rPr>
                <w:color w:val="000000" w:themeColor="text1"/>
                <w:sz w:val="20"/>
                <w:highlight w:val="cyan"/>
              </w:rPr>
            </w:pPr>
            <w:r>
              <w:rPr>
                <w:color w:val="000000" w:themeColor="text1"/>
                <w:sz w:val="20"/>
              </w:rPr>
              <w:t>Total</w:t>
            </w:r>
          </w:p>
        </w:tc>
        <w:tc>
          <w:tcPr>
            <w:tcW w:w="1477" w:type="pct"/>
            <w:shd w:val="clear" w:color="auto" w:fill="auto"/>
          </w:tcPr>
          <w:p w14:paraId="769F0237" w14:textId="3725D56C" w:rsidR="004177A6" w:rsidRPr="00996241" w:rsidRDefault="006163AB">
            <w:pPr>
              <w:jc w:val="right"/>
              <w:rPr>
                <w:color w:val="000000" w:themeColor="text1"/>
                <w:sz w:val="20"/>
              </w:rPr>
            </w:pPr>
            <w:r>
              <w:rPr>
                <w:color w:val="000000" w:themeColor="text1"/>
                <w:sz w:val="20"/>
              </w:rPr>
              <w:t>336 000</w:t>
            </w:r>
          </w:p>
        </w:tc>
        <w:tc>
          <w:tcPr>
            <w:tcW w:w="1844" w:type="pct"/>
            <w:shd w:val="clear" w:color="auto" w:fill="auto"/>
          </w:tcPr>
          <w:p w14:paraId="4D24DCAF" w14:textId="3F217C97" w:rsidR="004177A6" w:rsidRPr="00996241" w:rsidRDefault="004658D5">
            <w:pPr>
              <w:jc w:val="right"/>
              <w:rPr>
                <w:color w:val="000000" w:themeColor="text1"/>
                <w:sz w:val="20"/>
              </w:rPr>
            </w:pPr>
            <w:r>
              <w:rPr>
                <w:color w:val="000000" w:themeColor="text1"/>
                <w:sz w:val="20"/>
              </w:rPr>
              <w:t>33 566</w:t>
            </w:r>
          </w:p>
        </w:tc>
      </w:tr>
    </w:tbl>
    <w:p w14:paraId="32354EE7" w14:textId="77777777" w:rsidR="004177A6" w:rsidRPr="009931F4" w:rsidRDefault="004177A6" w:rsidP="004177A6">
      <w:pPr>
        <w:jc w:val="center"/>
        <w:rPr>
          <w:sz w:val="20"/>
        </w:rPr>
      </w:pPr>
    </w:p>
    <w:tbl>
      <w:tblPr>
        <w:tblStyle w:val="TableGrid"/>
        <w:tblW w:w="5680" w:type="pct"/>
        <w:tblInd w:w="-635" w:type="dxa"/>
        <w:tblLook w:val="04A0" w:firstRow="1" w:lastRow="0" w:firstColumn="1" w:lastColumn="0" w:noHBand="0" w:noVBand="1"/>
      </w:tblPr>
      <w:tblGrid>
        <w:gridCol w:w="3575"/>
        <w:gridCol w:w="7047"/>
      </w:tblGrid>
      <w:tr w:rsidR="004177A6" w:rsidRPr="00EB31E3" w14:paraId="433051DA" w14:textId="77777777" w:rsidTr="00C45315">
        <w:trPr>
          <w:trHeight w:hRule="exact" w:val="281"/>
        </w:trPr>
        <w:tc>
          <w:tcPr>
            <w:tcW w:w="1683" w:type="pct"/>
            <w:shd w:val="clear" w:color="auto" w:fill="auto"/>
          </w:tcPr>
          <w:p w14:paraId="4220D21A" w14:textId="77777777" w:rsidR="004177A6" w:rsidRPr="00996241" w:rsidRDefault="004177A6">
            <w:pPr>
              <w:jc w:val="left"/>
              <w:rPr>
                <w:b/>
                <w:color w:val="000000" w:themeColor="text1"/>
                <w:sz w:val="20"/>
              </w:rPr>
            </w:pPr>
            <w:r>
              <w:rPr>
                <w:b/>
                <w:color w:val="000000" w:themeColor="text1"/>
                <w:sz w:val="20"/>
              </w:rPr>
              <w:t>Recommandation du Secrétariat :</w:t>
            </w:r>
          </w:p>
        </w:tc>
        <w:tc>
          <w:tcPr>
            <w:tcW w:w="3317" w:type="pct"/>
            <w:shd w:val="clear" w:color="auto" w:fill="auto"/>
          </w:tcPr>
          <w:p w14:paraId="002915A7" w14:textId="254A1FE1" w:rsidR="004177A6" w:rsidRPr="00996241" w:rsidRDefault="004177A6">
            <w:pPr>
              <w:jc w:val="center"/>
              <w:rPr>
                <w:color w:val="000000" w:themeColor="text1"/>
                <w:sz w:val="20"/>
              </w:rPr>
            </w:pPr>
            <w:r>
              <w:rPr>
                <w:color w:val="000000" w:themeColor="text1"/>
                <w:sz w:val="20"/>
              </w:rPr>
              <w:t>Examen individuel (Présentation au Secrétariat non requise)</w:t>
            </w:r>
          </w:p>
        </w:tc>
      </w:tr>
    </w:tbl>
    <w:p w14:paraId="79400D55" w14:textId="0FA94C5B" w:rsidR="00F17D16" w:rsidRPr="00F17D16" w:rsidRDefault="00F17D16" w:rsidP="00F17D16">
      <w:pPr>
        <w:widowControl w:val="0"/>
        <w:tabs>
          <w:tab w:val="left" w:pos="2880"/>
          <w:tab w:val="left" w:pos="5760"/>
        </w:tabs>
        <w:jc w:val="left"/>
        <w:rPr>
          <w:b/>
          <w:sz w:val="10"/>
          <w:szCs w:val="10"/>
        </w:rPr>
      </w:pPr>
      <w:r>
        <w:br w:type="page"/>
      </w:r>
    </w:p>
    <w:p w14:paraId="2FC0FC27" w14:textId="0ACD18E0" w:rsidR="004177A6" w:rsidRPr="00996241" w:rsidRDefault="004177A6" w:rsidP="002F5F6E">
      <w:pPr>
        <w:widowControl w:val="0"/>
        <w:tabs>
          <w:tab w:val="left" w:pos="2880"/>
          <w:tab w:val="left" w:pos="5760"/>
        </w:tabs>
        <w:spacing w:after="240"/>
        <w:jc w:val="center"/>
        <w:rPr>
          <w:b/>
        </w:rPr>
      </w:pPr>
      <w:r>
        <w:rPr>
          <w:b/>
        </w:rPr>
        <w:lastRenderedPageBreak/>
        <w:t>DESCRIPTION DU PROJET</w:t>
      </w:r>
    </w:p>
    <w:p w14:paraId="199631DF" w14:textId="77777777" w:rsidR="004177A6" w:rsidRPr="00996241" w:rsidRDefault="004177A6" w:rsidP="004177A6">
      <w:pPr>
        <w:spacing w:after="240"/>
        <w:rPr>
          <w:b/>
        </w:rPr>
      </w:pPr>
      <w:r>
        <w:rPr>
          <w:b/>
        </w:rPr>
        <w:t>Contexte</w:t>
      </w:r>
    </w:p>
    <w:p w14:paraId="7B58356E" w14:textId="06935722" w:rsidR="00E8519F" w:rsidRPr="00996241" w:rsidRDefault="00E8519F" w:rsidP="00E8519F">
      <w:pPr>
        <w:pStyle w:val="Heading1"/>
      </w:pPr>
      <w:r>
        <w:t>Au nom du Gouvernement du Gabon, le PNUE, à titre d’agence d’exécution principale, a présenté une demande pour la phase II du plan de gestion de l’élimination des HCFC (PGEH), pour un montant total de 1 063 000 $ US, soit 645 000 $ US, plus des coûts d’appui à l’agence de 80 950 $ US, pour le PNUE, et 315 000 $ US, plus des coûts d’appui à l’agence de 22 050 $ US, pour l’ONUDI, conformément à la proposition initiale.</w:t>
      </w:r>
      <w:r w:rsidRPr="00996241">
        <w:rPr>
          <w:vertAlign w:val="superscript"/>
        </w:rPr>
        <w:footnoteReference w:id="3"/>
      </w:r>
      <w:r>
        <w:t xml:space="preserve"> La mise en œuvre de la phase II du PGEH éliminera la consommation restante de HCFC d’ici 2030.</w:t>
      </w:r>
    </w:p>
    <w:p w14:paraId="5D81B428" w14:textId="13822B8A" w:rsidR="004177A6" w:rsidRPr="00B85CD7" w:rsidRDefault="00E8519F" w:rsidP="00E8519F">
      <w:pPr>
        <w:pStyle w:val="Heading1"/>
      </w:pPr>
      <w:r>
        <w:t>Le montant demandé à la présente réunion pour la première tranche de la phase II du PGEH s’élève à 541 395 $ US, soit 308 000 $ US, plus des coûts d’appui à l’agence de 38 655 $ US, pour le PNUE et 182 000 $ US, plus des coûts d’appui à l’agence de 12 740 $ US, pour l’ONUDI, selon la soumission initiale.</w:t>
      </w:r>
    </w:p>
    <w:p w14:paraId="53E940CA" w14:textId="3CCDC5E1" w:rsidR="004177A6" w:rsidRDefault="004177A6" w:rsidP="004177A6">
      <w:pPr>
        <w:spacing w:after="240"/>
        <w:outlineLvl w:val="0"/>
        <w:rPr>
          <w:b/>
        </w:rPr>
      </w:pPr>
      <w:r>
        <w:rPr>
          <w:b/>
        </w:rPr>
        <w:t>État de la mise en œuvre de la phase I du plan de gestion de l’élimination des HCFC</w:t>
      </w:r>
    </w:p>
    <w:p w14:paraId="5AF4D62E" w14:textId="69F6CC4B" w:rsidR="00CA4F90" w:rsidRPr="00996241" w:rsidRDefault="00CA4F90" w:rsidP="00CA4F90">
      <w:pPr>
        <w:pStyle w:val="Heading1"/>
      </w:pPr>
      <w:r>
        <w:t>La phase I du PGEH pour le Gabon a d’abord été approuvée à la 62</w:t>
      </w:r>
      <w:r>
        <w:rPr>
          <w:vertAlign w:val="superscript"/>
        </w:rPr>
        <w:t>e</w:t>
      </w:r>
      <w:r>
        <w:t> réunion</w:t>
      </w:r>
      <w:r w:rsidRPr="00CA4F90">
        <w:rPr>
          <w:vertAlign w:val="superscript"/>
        </w:rPr>
        <w:footnoteReference w:id="4"/>
      </w:r>
      <w:r>
        <w:t xml:space="preserve"> et ensuite révisée à la 73</w:t>
      </w:r>
      <w:r>
        <w:rPr>
          <w:vertAlign w:val="superscript"/>
        </w:rPr>
        <w:t>e</w:t>
      </w:r>
      <w:r>
        <w:t> réunion</w:t>
      </w:r>
      <w:r w:rsidRPr="00CA4F90">
        <w:rPr>
          <w:vertAlign w:val="superscript"/>
        </w:rPr>
        <w:footnoteReference w:id="5"/>
      </w:r>
      <w:r>
        <w:t xml:space="preserve"> afin d’éliminer 10,57 tonnes PAO de HCFC utilisées dans le secteur de l’entretien de l’équipement de réfrigération et de climatisation et de respecter la réduction de 35 pour cent par rapport à la valeur de référence avant 2020, pour la somme totale de 540 000 $ US, plus les coûts d’appui à l’agence. À la 62</w:t>
      </w:r>
      <w:r>
        <w:rPr>
          <w:vertAlign w:val="superscript"/>
        </w:rPr>
        <w:t>e</w:t>
      </w:r>
      <w:r>
        <w:t xml:space="preserve"> réunion, bien que la consommation de HCFC du Gabon </w:t>
      </w:r>
      <w:r w:rsidR="00CB1A9C">
        <w:t>fût</w:t>
      </w:r>
      <w:r>
        <w:t xml:space="preserve"> supérieure à 360 </w:t>
      </w:r>
      <w:proofErr w:type="spellStart"/>
      <w:r>
        <w:t>tm</w:t>
      </w:r>
      <w:proofErr w:type="spellEnd"/>
      <w:r>
        <w:t>, le Gouvernement avait demandé à être considéré comme un pays à faible volume de consommation. Le Comité exécutif avait accepté avec le financement recommandé, mais avait indiqué que, en raison de sa valeur de référence et conformément à la décision 62/11, il continuerait à traiter le Gabon comme ne faisant pas partie des pays à faible volume de consommation. À la 87</w:t>
      </w:r>
      <w:r>
        <w:rPr>
          <w:vertAlign w:val="superscript"/>
        </w:rPr>
        <w:t>e</w:t>
      </w:r>
      <w:r>
        <w:t> réunion, la date d’achèvement de la phase I a été reportée au 31 décembre 2022. La phase I a ensuite été achevée conformément à la date de prorogation et le rapport d’achèvement des projets a été remis en juin 2023.</w:t>
      </w:r>
    </w:p>
    <w:p w14:paraId="14D6C074" w14:textId="29D75FF5" w:rsidR="00FF0B37" w:rsidRDefault="004177A6" w:rsidP="00FF0B37">
      <w:pPr>
        <w:keepNext/>
        <w:tabs>
          <w:tab w:val="num" w:pos="709"/>
        </w:tabs>
        <w:spacing w:after="240"/>
        <w:outlineLvl w:val="0"/>
        <w:rPr>
          <w:highlight w:val="magenta"/>
        </w:rPr>
      </w:pPr>
      <w:r>
        <w:rPr>
          <w:u w:val="single"/>
        </w:rPr>
        <w:t xml:space="preserve">Rapport sur la consommation de HCFC </w:t>
      </w:r>
      <w:bookmarkStart w:id="0" w:name="_Hlk141281293"/>
    </w:p>
    <w:p w14:paraId="626AC706" w14:textId="05387E1E" w:rsidR="00D92285" w:rsidRDefault="008678ED" w:rsidP="00740EE8">
      <w:pPr>
        <w:pStyle w:val="Heading1"/>
        <w:rPr>
          <w:b/>
        </w:rPr>
      </w:pPr>
      <w:r>
        <w:t>Le Gouvernement du Gabon a déclaré une consommation de 7,37 tonnes PAO de HCFC en 2022, qui est inférieure de 76 pour cent à la valeur de référence des HCFC aux fins de conformité. Les données de l’Article 7 et les données du programme de pays pour 2023 n’avaient pas été communiquées au moment où le présent document a été rédigé. Le tableau 1 indique la consommation de HCFC pour la période 2018</w:t>
      </w:r>
      <w:r w:rsidR="00C45315">
        <w:noBreakHyphen/>
      </w:r>
      <w:r>
        <w:t>2022.</w:t>
      </w:r>
      <w:bookmarkEnd w:id="0"/>
    </w:p>
    <w:p w14:paraId="2BC2086F" w14:textId="46890408" w:rsidR="004177A6" w:rsidRPr="00996241" w:rsidRDefault="004177A6" w:rsidP="004177A6">
      <w:pPr>
        <w:rPr>
          <w:b/>
        </w:rPr>
      </w:pPr>
      <w:r>
        <w:rPr>
          <w:b/>
        </w:rPr>
        <w:t>Tableau 1. Consommation de HCFC au Gabon (données de l’Article 7 pour 2018–2022)</w:t>
      </w:r>
    </w:p>
    <w:tbl>
      <w:tblPr>
        <w:tblW w:w="5000" w:type="pct"/>
        <w:tblLook w:val="04A0" w:firstRow="1" w:lastRow="0" w:firstColumn="1" w:lastColumn="0" w:noHBand="0" w:noVBand="1"/>
      </w:tblPr>
      <w:tblGrid>
        <w:gridCol w:w="2333"/>
        <w:gridCol w:w="1168"/>
        <w:gridCol w:w="1169"/>
        <w:gridCol w:w="1171"/>
        <w:gridCol w:w="1169"/>
        <w:gridCol w:w="1171"/>
        <w:gridCol w:w="1169"/>
      </w:tblGrid>
      <w:tr w:rsidR="00F41598" w:rsidRPr="0040329B" w14:paraId="2C7B8530" w14:textId="77777777" w:rsidTr="006A4CF7">
        <w:trPr>
          <w:trHeight w:val="267"/>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CA66A3" w14:textId="77777777" w:rsidR="00885141" w:rsidRPr="0040329B" w:rsidRDefault="00885141">
            <w:pPr>
              <w:widowControl w:val="0"/>
              <w:jc w:val="left"/>
              <w:rPr>
                <w:b/>
                <w:color w:val="000000"/>
                <w:sz w:val="20"/>
                <w:szCs w:val="20"/>
              </w:rPr>
            </w:pPr>
            <w:r>
              <w:rPr>
                <w:b/>
                <w:color w:val="000000"/>
                <w:sz w:val="20"/>
              </w:rPr>
              <w:t>HCFC-22</w:t>
            </w:r>
          </w:p>
        </w:tc>
        <w:tc>
          <w:tcPr>
            <w:tcW w:w="625" w:type="pct"/>
            <w:tcBorders>
              <w:top w:val="single" w:sz="4" w:space="0" w:color="auto"/>
              <w:left w:val="nil"/>
              <w:bottom w:val="single" w:sz="4" w:space="0" w:color="auto"/>
              <w:right w:val="single" w:sz="4" w:space="0" w:color="auto"/>
            </w:tcBorders>
          </w:tcPr>
          <w:p w14:paraId="78AEF256" w14:textId="0B7DD0A6" w:rsidR="00885141" w:rsidRPr="0040329B" w:rsidRDefault="00885141">
            <w:pPr>
              <w:widowControl w:val="0"/>
              <w:jc w:val="center"/>
              <w:rPr>
                <w:b/>
                <w:color w:val="000000"/>
                <w:sz w:val="20"/>
                <w:szCs w:val="20"/>
              </w:rPr>
            </w:pPr>
            <w:r>
              <w:rPr>
                <w:b/>
                <w:color w:val="000000"/>
                <w:sz w:val="20"/>
              </w:rPr>
              <w:t>2018</w:t>
            </w:r>
          </w:p>
        </w:tc>
        <w:tc>
          <w:tcPr>
            <w:tcW w:w="625" w:type="pct"/>
            <w:tcBorders>
              <w:top w:val="single" w:sz="4" w:space="0" w:color="auto"/>
              <w:left w:val="single" w:sz="4" w:space="0" w:color="auto"/>
              <w:bottom w:val="single" w:sz="4" w:space="0" w:color="auto"/>
              <w:right w:val="single" w:sz="4" w:space="0" w:color="auto"/>
            </w:tcBorders>
            <w:shd w:val="clear" w:color="auto" w:fill="auto"/>
            <w:noWrap/>
            <w:hideMark/>
          </w:tcPr>
          <w:p w14:paraId="68D04CA9" w14:textId="0CD23E5B" w:rsidR="00885141" w:rsidRPr="0040329B" w:rsidRDefault="00885141">
            <w:pPr>
              <w:widowControl w:val="0"/>
              <w:jc w:val="center"/>
              <w:rPr>
                <w:b/>
                <w:color w:val="000000"/>
                <w:sz w:val="20"/>
                <w:szCs w:val="20"/>
              </w:rPr>
            </w:pPr>
            <w:r>
              <w:rPr>
                <w:b/>
                <w:color w:val="000000"/>
                <w:sz w:val="20"/>
              </w:rPr>
              <w:t>2019</w:t>
            </w:r>
          </w:p>
        </w:tc>
        <w:tc>
          <w:tcPr>
            <w:tcW w:w="626" w:type="pct"/>
            <w:tcBorders>
              <w:top w:val="single" w:sz="4" w:space="0" w:color="auto"/>
              <w:left w:val="nil"/>
              <w:bottom w:val="single" w:sz="4" w:space="0" w:color="auto"/>
              <w:right w:val="single" w:sz="4" w:space="0" w:color="auto"/>
            </w:tcBorders>
          </w:tcPr>
          <w:p w14:paraId="1A19DA3F" w14:textId="4A982354" w:rsidR="00885141" w:rsidRPr="0040329B" w:rsidRDefault="00885141">
            <w:pPr>
              <w:widowControl w:val="0"/>
              <w:jc w:val="center"/>
              <w:rPr>
                <w:b/>
                <w:color w:val="000000"/>
                <w:sz w:val="20"/>
                <w:szCs w:val="20"/>
              </w:rPr>
            </w:pPr>
            <w:r>
              <w:rPr>
                <w:b/>
                <w:color w:val="000000"/>
                <w:sz w:val="20"/>
              </w:rPr>
              <w:t>2020</w:t>
            </w:r>
          </w:p>
        </w:tc>
        <w:tc>
          <w:tcPr>
            <w:tcW w:w="625" w:type="pct"/>
            <w:tcBorders>
              <w:top w:val="single" w:sz="4" w:space="0" w:color="auto"/>
              <w:left w:val="single" w:sz="4" w:space="0" w:color="auto"/>
              <w:bottom w:val="single" w:sz="4" w:space="0" w:color="auto"/>
              <w:right w:val="single" w:sz="4" w:space="0" w:color="auto"/>
            </w:tcBorders>
          </w:tcPr>
          <w:p w14:paraId="6CD6571C" w14:textId="3B370BBE" w:rsidR="00885141" w:rsidRPr="0040329B" w:rsidRDefault="00885141">
            <w:pPr>
              <w:widowControl w:val="0"/>
              <w:jc w:val="center"/>
              <w:rPr>
                <w:b/>
                <w:color w:val="000000"/>
                <w:sz w:val="20"/>
                <w:szCs w:val="20"/>
              </w:rPr>
            </w:pPr>
            <w:r>
              <w:rPr>
                <w:b/>
                <w:color w:val="000000"/>
                <w:sz w:val="20"/>
              </w:rPr>
              <w:t>2021</w:t>
            </w:r>
          </w:p>
        </w:tc>
        <w:tc>
          <w:tcPr>
            <w:tcW w:w="626" w:type="pct"/>
            <w:tcBorders>
              <w:top w:val="single" w:sz="4" w:space="0" w:color="auto"/>
              <w:left w:val="single" w:sz="4" w:space="0" w:color="auto"/>
              <w:bottom w:val="single" w:sz="4" w:space="0" w:color="auto"/>
              <w:right w:val="single" w:sz="4" w:space="0" w:color="auto"/>
            </w:tcBorders>
            <w:vAlign w:val="center"/>
          </w:tcPr>
          <w:p w14:paraId="75D8BE29" w14:textId="6F85B60B" w:rsidR="00885141" w:rsidRPr="0040329B" w:rsidRDefault="00885141">
            <w:pPr>
              <w:widowControl w:val="0"/>
              <w:jc w:val="center"/>
              <w:rPr>
                <w:b/>
                <w:color w:val="000000"/>
                <w:sz w:val="20"/>
                <w:szCs w:val="20"/>
              </w:rPr>
            </w:pPr>
            <w:r>
              <w:rPr>
                <w:b/>
                <w:color w:val="000000"/>
                <w:sz w:val="20"/>
              </w:rPr>
              <w:t>2022</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7B586" w14:textId="77777777" w:rsidR="00885141" w:rsidRPr="0040329B" w:rsidRDefault="00885141">
            <w:pPr>
              <w:widowControl w:val="0"/>
              <w:jc w:val="center"/>
              <w:rPr>
                <w:b/>
                <w:color w:val="000000"/>
                <w:sz w:val="20"/>
                <w:szCs w:val="20"/>
              </w:rPr>
            </w:pPr>
            <w:r>
              <w:rPr>
                <w:b/>
                <w:color w:val="000000"/>
                <w:sz w:val="20"/>
              </w:rPr>
              <w:t>Référence</w:t>
            </w:r>
          </w:p>
        </w:tc>
      </w:tr>
      <w:tr w:rsidR="00F41598" w:rsidRPr="0040329B" w14:paraId="25BAD3B4" w14:textId="77777777" w:rsidTr="006A4CF7">
        <w:trPr>
          <w:trHeight w:val="258"/>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B13C0F" w14:textId="77777777" w:rsidR="00885141" w:rsidRPr="0040329B" w:rsidRDefault="00885141" w:rsidP="001D6D05">
            <w:pPr>
              <w:widowControl w:val="0"/>
              <w:jc w:val="left"/>
              <w:rPr>
                <w:b/>
                <w:bCs/>
                <w:color w:val="000000"/>
                <w:sz w:val="20"/>
                <w:szCs w:val="20"/>
              </w:rPr>
            </w:pPr>
            <w:r>
              <w:rPr>
                <w:b/>
                <w:color w:val="000000"/>
                <w:sz w:val="20"/>
              </w:rPr>
              <w:t>Tonnes métriques (</w:t>
            </w:r>
            <w:proofErr w:type="spellStart"/>
            <w:r>
              <w:rPr>
                <w:b/>
                <w:color w:val="000000"/>
                <w:sz w:val="20"/>
              </w:rPr>
              <w:t>tm</w:t>
            </w:r>
            <w:proofErr w:type="spellEnd"/>
            <w:r>
              <w:rPr>
                <w:b/>
                <w:color w:val="000000"/>
                <w:sz w:val="20"/>
              </w:rPr>
              <w:t>)</w:t>
            </w:r>
          </w:p>
        </w:tc>
        <w:tc>
          <w:tcPr>
            <w:tcW w:w="625" w:type="pct"/>
            <w:tcBorders>
              <w:top w:val="single" w:sz="4" w:space="0" w:color="auto"/>
              <w:left w:val="nil"/>
              <w:bottom w:val="single" w:sz="4" w:space="0" w:color="auto"/>
              <w:right w:val="single" w:sz="4" w:space="0" w:color="auto"/>
            </w:tcBorders>
          </w:tcPr>
          <w:p w14:paraId="268CB3D1" w14:textId="20F80790" w:rsidR="00885141" w:rsidRPr="0040329B" w:rsidRDefault="001476F2" w:rsidP="001D6D05">
            <w:pPr>
              <w:jc w:val="right"/>
              <w:rPr>
                <w:sz w:val="20"/>
                <w:szCs w:val="20"/>
              </w:rPr>
            </w:pPr>
            <w:r>
              <w:rPr>
                <w:sz w:val="20"/>
              </w:rPr>
              <w:t>365,00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F59D913" w14:textId="3E8F9D27" w:rsidR="00885141" w:rsidRPr="0040329B" w:rsidRDefault="00885141" w:rsidP="001D6D05">
            <w:pPr>
              <w:jc w:val="right"/>
              <w:rPr>
                <w:sz w:val="20"/>
                <w:szCs w:val="20"/>
              </w:rPr>
            </w:pPr>
            <w:r>
              <w:rPr>
                <w:sz w:val="20"/>
              </w:rPr>
              <w:t>330,00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74E98EA2" w14:textId="6D1B519B" w:rsidR="00885141" w:rsidRPr="0040329B" w:rsidRDefault="00885141" w:rsidP="001D6D05">
            <w:pPr>
              <w:jc w:val="right"/>
              <w:rPr>
                <w:sz w:val="20"/>
                <w:szCs w:val="20"/>
              </w:rPr>
            </w:pPr>
            <w:r>
              <w:rPr>
                <w:sz w:val="20"/>
              </w:rPr>
              <w:t>280,00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3F11C9CC" w14:textId="5B67788F" w:rsidR="00885141" w:rsidRPr="0040329B" w:rsidRDefault="00885141" w:rsidP="001D6D05">
            <w:pPr>
              <w:jc w:val="right"/>
              <w:rPr>
                <w:sz w:val="20"/>
                <w:szCs w:val="20"/>
              </w:rPr>
            </w:pPr>
            <w:r>
              <w:rPr>
                <w:sz w:val="20"/>
              </w:rPr>
              <w:t>195,00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28777525" w14:textId="00D19F5B" w:rsidR="00885141" w:rsidRPr="0040329B" w:rsidRDefault="00885141" w:rsidP="001D6D05">
            <w:pPr>
              <w:widowControl w:val="0"/>
              <w:jc w:val="right"/>
              <w:rPr>
                <w:rFonts w:eastAsiaTheme="minorHAnsi"/>
                <w:color w:val="000000"/>
                <w:sz w:val="20"/>
                <w:szCs w:val="20"/>
              </w:rPr>
            </w:pPr>
            <w:r>
              <w:rPr>
                <w:sz w:val="20"/>
              </w:rPr>
              <w:t>134,00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6DB3CC8B" w14:textId="180C6E2D" w:rsidR="00885141" w:rsidRPr="0040329B" w:rsidRDefault="00885141" w:rsidP="001D6D05">
            <w:pPr>
              <w:widowControl w:val="0"/>
              <w:jc w:val="right"/>
              <w:rPr>
                <w:color w:val="000000"/>
                <w:sz w:val="20"/>
                <w:szCs w:val="20"/>
              </w:rPr>
            </w:pPr>
            <w:r>
              <w:rPr>
                <w:sz w:val="20"/>
              </w:rPr>
              <w:t>549,09</w:t>
            </w:r>
          </w:p>
        </w:tc>
      </w:tr>
      <w:tr w:rsidR="00F41598" w:rsidRPr="0040329B" w14:paraId="6A7EC93D" w14:textId="77777777" w:rsidTr="006A4CF7">
        <w:trPr>
          <w:trHeight w:val="43"/>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5866C0" w14:textId="77777777" w:rsidR="00885141" w:rsidRPr="0040329B" w:rsidRDefault="00885141" w:rsidP="001D6D05">
            <w:pPr>
              <w:widowControl w:val="0"/>
              <w:jc w:val="left"/>
              <w:rPr>
                <w:b/>
                <w:bCs/>
                <w:color w:val="000000"/>
                <w:sz w:val="20"/>
                <w:szCs w:val="20"/>
              </w:rPr>
            </w:pPr>
            <w:r>
              <w:rPr>
                <w:b/>
                <w:color w:val="000000"/>
                <w:sz w:val="20"/>
              </w:rPr>
              <w:t>Tonnes PAO</w:t>
            </w:r>
          </w:p>
        </w:tc>
        <w:tc>
          <w:tcPr>
            <w:tcW w:w="625" w:type="pct"/>
            <w:tcBorders>
              <w:top w:val="single" w:sz="4" w:space="0" w:color="auto"/>
              <w:left w:val="nil"/>
              <w:bottom w:val="single" w:sz="4" w:space="0" w:color="auto"/>
              <w:right w:val="single" w:sz="4" w:space="0" w:color="auto"/>
            </w:tcBorders>
          </w:tcPr>
          <w:p w14:paraId="4D68E5C7" w14:textId="41DB2B11" w:rsidR="00885141" w:rsidRPr="0040329B" w:rsidRDefault="00EF4702" w:rsidP="001D6D05">
            <w:pPr>
              <w:jc w:val="right"/>
              <w:rPr>
                <w:sz w:val="20"/>
                <w:szCs w:val="20"/>
              </w:rPr>
            </w:pPr>
            <w:r>
              <w:rPr>
                <w:sz w:val="20"/>
              </w:rPr>
              <w:t>20,08</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96A9CBB" w14:textId="070E5F41" w:rsidR="00885141" w:rsidRPr="0040329B" w:rsidRDefault="00885141" w:rsidP="001D6D05">
            <w:pPr>
              <w:jc w:val="right"/>
              <w:rPr>
                <w:sz w:val="20"/>
                <w:szCs w:val="20"/>
              </w:rPr>
            </w:pPr>
            <w:r>
              <w:rPr>
                <w:sz w:val="20"/>
              </w:rPr>
              <w:t>18,15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6A0B88A0" w14:textId="095C6CE3" w:rsidR="00885141" w:rsidRPr="0040329B" w:rsidRDefault="00885141" w:rsidP="001D6D05">
            <w:pPr>
              <w:jc w:val="right"/>
              <w:rPr>
                <w:sz w:val="20"/>
                <w:szCs w:val="20"/>
              </w:rPr>
            </w:pPr>
            <w:r>
              <w:rPr>
                <w:sz w:val="20"/>
              </w:rPr>
              <w:t>15,40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7854208" w14:textId="39CA039A" w:rsidR="00885141" w:rsidRPr="0040329B" w:rsidRDefault="00885141" w:rsidP="001D6D05">
            <w:pPr>
              <w:jc w:val="right"/>
              <w:rPr>
                <w:sz w:val="20"/>
                <w:szCs w:val="20"/>
              </w:rPr>
            </w:pPr>
            <w:r>
              <w:rPr>
                <w:sz w:val="20"/>
              </w:rPr>
              <w:t>10,73</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2E4319EE" w14:textId="15F8FB32" w:rsidR="00885141" w:rsidRPr="0040329B" w:rsidRDefault="00885141" w:rsidP="001D6D05">
            <w:pPr>
              <w:jc w:val="right"/>
              <w:rPr>
                <w:rFonts w:eastAsiaTheme="minorHAnsi"/>
                <w:color w:val="000000"/>
                <w:sz w:val="20"/>
                <w:szCs w:val="20"/>
              </w:rPr>
            </w:pPr>
            <w:r>
              <w:rPr>
                <w:sz w:val="20"/>
              </w:rPr>
              <w:t>7,37</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E5ABFDA" w14:textId="2FEB7982" w:rsidR="00885141" w:rsidRPr="0040329B" w:rsidRDefault="00885141" w:rsidP="001D6D05">
            <w:pPr>
              <w:jc w:val="right"/>
              <w:rPr>
                <w:rFonts w:eastAsiaTheme="minorHAnsi"/>
                <w:color w:val="000000"/>
                <w:sz w:val="20"/>
                <w:szCs w:val="20"/>
              </w:rPr>
            </w:pPr>
            <w:r>
              <w:rPr>
                <w:sz w:val="20"/>
              </w:rPr>
              <w:t>30,20</w:t>
            </w:r>
          </w:p>
        </w:tc>
      </w:tr>
    </w:tbl>
    <w:p w14:paraId="6A4F5209" w14:textId="49851763" w:rsidR="00466070" w:rsidRPr="005A4931" w:rsidRDefault="00466070" w:rsidP="00466070">
      <w:pPr>
        <w:pStyle w:val="Heading1"/>
        <w:spacing w:before="240"/>
      </w:pPr>
      <w:r>
        <w:t xml:space="preserve">Le HCFC-22 est utilisé pour l’entretien et la maintenance de l’équipement de réfrigération et de climatisation, et sa consommation a diminué grâce à la mise en œuvre du PGEH, et en particulier à la formation des agents des douanes à l’identification et au contrôle des HCFC et des équipements utilisant </w:t>
      </w:r>
      <w:r>
        <w:lastRenderedPageBreak/>
        <w:t xml:space="preserve">des HCFC ; à la formation des techniciens aux bonnes pratiques d’entretien des équipements de réfrigération ; et à l’introduction d’équipements utilisant des HFC. </w:t>
      </w:r>
    </w:p>
    <w:p w14:paraId="6FD50870" w14:textId="77777777" w:rsidR="004177A6" w:rsidRPr="00AE2090" w:rsidRDefault="004177A6" w:rsidP="008661D8">
      <w:pPr>
        <w:keepNext/>
        <w:spacing w:after="240"/>
        <w:rPr>
          <w:i/>
        </w:rPr>
      </w:pPr>
      <w:bookmarkStart w:id="1" w:name="_Hlk126915671"/>
      <w:r>
        <w:rPr>
          <w:i/>
        </w:rPr>
        <w:t xml:space="preserve">Rapport sur la mise en œuvre du programme du pays </w:t>
      </w:r>
    </w:p>
    <w:bookmarkEnd w:id="1"/>
    <w:p w14:paraId="33A09716" w14:textId="4686E91B" w:rsidR="008661D8" w:rsidRPr="008661D8" w:rsidRDefault="004177A6">
      <w:pPr>
        <w:pStyle w:val="Heading1"/>
        <w:rPr>
          <w:i/>
        </w:rPr>
      </w:pPr>
      <w:r>
        <w:t xml:space="preserve">Le Gouvernement du Gabon a communiqué des données du secteur de la consommation des HCFC dans le cadre du rapport de mise en œuvre du programme du pays de 2022, et ces données correspondent aux données déclarées en vertu de l’Article 7 du Protocole de Montréal. </w:t>
      </w:r>
      <w:bookmarkStart w:id="2" w:name="_Hlk126915680"/>
    </w:p>
    <w:p w14:paraId="761CB1AC" w14:textId="77777777" w:rsidR="004177A6" w:rsidRDefault="004177A6" w:rsidP="00E16F52">
      <w:pPr>
        <w:keepNext/>
        <w:spacing w:before="240" w:after="240"/>
        <w:outlineLvl w:val="0"/>
        <w:rPr>
          <w:u w:val="single"/>
        </w:rPr>
      </w:pPr>
      <w:bookmarkStart w:id="3" w:name="_Hlk126915699"/>
      <w:bookmarkEnd w:id="2"/>
      <w:r>
        <w:rPr>
          <w:u w:val="single"/>
        </w:rPr>
        <w:t>État d’avancement et des décaissements</w:t>
      </w:r>
    </w:p>
    <w:bookmarkEnd w:id="3"/>
    <w:p w14:paraId="25D069DD" w14:textId="77777777" w:rsidR="004E42FD" w:rsidRDefault="004E42FD" w:rsidP="004E42FD">
      <w:pPr>
        <w:spacing w:after="240"/>
        <w:rPr>
          <w:i/>
        </w:rPr>
      </w:pPr>
      <w:r>
        <w:rPr>
          <w:i/>
        </w:rPr>
        <w:t>Cadre juridique</w:t>
      </w:r>
    </w:p>
    <w:p w14:paraId="71818D77" w14:textId="116C926E" w:rsidR="00B628FA" w:rsidRDefault="0042050D" w:rsidP="0006061D">
      <w:pPr>
        <w:pStyle w:val="Heading1"/>
      </w:pPr>
      <w:r>
        <w:t xml:space="preserve">Le Gouvernement du Gabon a exploité un système d’octroi de permis et de quotas pour l’importation de HCFC depuis 2013 et d’équipements utilisant des HCFC depuis 2015. Le Gouvernement du Gabon applique par ailleurs le règlement sous-régional pour la Communauté économique et monétaire de l’Afrique centrale (CEMAC), qui harmonise la gestion des substances réglementées, y compris les HCFC dans la sous-région. Le Comité national de l’ozone est responsable de l’établissement et de la distribution des quotas annuels d’importation de HCFC. L’Unité nationale de l’ozone (UNO) émet les autorisations pour les importations de HCFC et le dédouanement. À la fin de l’année calendaire, chaque importateur a l’obligation de communiquer les quantités réellement importées à l’UNO. La Direction générale des douanes et droits indirects transmet toutes ces informations à l’UNO pour enregistrement et communication au Secrétariat de l’ozone. Le Gabon a adopté son système national de codage, sur la base des codes du Système harmonisé (SH) de 2022 recommandés par l’Organisation mondiale des douanes, avec des sous-codes nationaux supplémentaires. </w:t>
      </w:r>
    </w:p>
    <w:p w14:paraId="6F9879F7" w14:textId="19E7C2BC" w:rsidR="009A046B" w:rsidRDefault="009A046B" w:rsidP="009A046B">
      <w:pPr>
        <w:pStyle w:val="Heading1"/>
      </w:pPr>
      <w:r>
        <w:t>Lors de la phase I du PGEH, 424 agents des douanes et d’application ont reçu une formation au contrôle et à l’identification des HCFC et des équipements utilisant des HCFC, et cinq identificateurs ont été acquis pour les besoins de la formation. Des ateliers ont été tenus pour 51 importateurs et courtiers en douane au sujet de l’attribution des quotas et des exigences pour les importations. Un atelier a également été tenu pour 35 membres du parlement au sujet de l’engagement du pays en termes d’élimination des SAO et de l’impact de l’Amendement de Kigali. Le Gouvernement du Gabon a ratifié l’Amendement de Kigali le 28 février 2018 et le processus de modification de la législation nationale sur les SAO est en cours, pour en étendre la portée et y inclure le contrôle et la surveillance des HFC.</w:t>
      </w:r>
    </w:p>
    <w:p w14:paraId="0D75AF25" w14:textId="794C6928" w:rsidR="00205956" w:rsidRPr="0006061D" w:rsidRDefault="006D78C2" w:rsidP="0006061D">
      <w:pPr>
        <w:pStyle w:val="Heading1"/>
        <w:widowControl w:val="0"/>
        <w:numPr>
          <w:ilvl w:val="0"/>
          <w:numId w:val="0"/>
        </w:numPr>
        <w:rPr>
          <w:i/>
        </w:rPr>
      </w:pPr>
      <w:r>
        <w:rPr>
          <w:i/>
        </w:rPr>
        <w:t>Secteur de l’entretien de l’équipement de réfrigération</w:t>
      </w:r>
    </w:p>
    <w:p w14:paraId="275E575D" w14:textId="6C9B789B" w:rsidR="00B53342" w:rsidRPr="000575A1" w:rsidRDefault="00AD708C" w:rsidP="00B53342">
      <w:pPr>
        <w:pStyle w:val="Heading1"/>
      </w:pPr>
      <w:r>
        <w:t xml:space="preserve">Pendant la phase I du PGEH, un total de 696 techniciens de réfrigération et climatisation ont été formés aux bonnes pratiques d’entretien, aux techniques de récupération et de recyclage et à la manipulation sans danger des solutions de remplacement inflammables. </w:t>
      </w:r>
    </w:p>
    <w:p w14:paraId="008FFD5A" w14:textId="4D889AE0" w:rsidR="004003EF" w:rsidRDefault="00F23241" w:rsidP="004140C6">
      <w:pPr>
        <w:pStyle w:val="Heading1"/>
      </w:pPr>
      <w:r>
        <w:t>De l’équipement et des outils</w:t>
      </w:r>
      <w:r w:rsidR="00A16140">
        <w:rPr>
          <w:rStyle w:val="FootnoteReference"/>
        </w:rPr>
        <w:footnoteReference w:id="6"/>
      </w:r>
      <w:r>
        <w:t xml:space="preserve"> ont été acquis et distribués afin de soutenir le Centre de formation et de perfectionnement professionnels Basile </w:t>
      </w:r>
      <w:proofErr w:type="spellStart"/>
      <w:r>
        <w:t>Ondimba</w:t>
      </w:r>
      <w:proofErr w:type="spellEnd"/>
      <w:r>
        <w:t xml:space="preserve"> et l’</w:t>
      </w:r>
      <w:r>
        <w:rPr>
          <w:rStyle w:val="cf01"/>
          <w:rFonts w:ascii="Times New Roman" w:hAnsi="Times New Roman"/>
          <w:sz w:val="22"/>
        </w:rPr>
        <w:t>Association des techniciens frigoristes ;</w:t>
      </w:r>
      <w:r>
        <w:t xml:space="preserve"> des ateliers de formation à l’utilisation de l’équipement ont été tenu pour les formateurs. Des activités de sensibilisation du public ont été réalisées, dont la diffusion d’informations au sujet des ateliers, des quotas </w:t>
      </w:r>
      <w:r>
        <w:lastRenderedPageBreak/>
        <w:t>annuels et des problèmes liés à l’ozone, l’impression de documents pour les ateliers de formation et la célébration de la Journée de l’ozone.</w:t>
      </w:r>
    </w:p>
    <w:p w14:paraId="5E846C39" w14:textId="46DF536B" w:rsidR="00205956" w:rsidRPr="004003EF" w:rsidRDefault="00205956">
      <w:pPr>
        <w:pStyle w:val="Heading1"/>
        <w:keepNext/>
        <w:numPr>
          <w:ilvl w:val="0"/>
          <w:numId w:val="0"/>
        </w:numPr>
        <w:rPr>
          <w:i/>
          <w:iCs/>
        </w:rPr>
      </w:pPr>
      <w:r>
        <w:rPr>
          <w:i/>
        </w:rPr>
        <w:t>Décaissement des fonds</w:t>
      </w:r>
    </w:p>
    <w:p w14:paraId="76C61923" w14:textId="1957B6AF" w:rsidR="00617A7C" w:rsidRPr="00216389" w:rsidRDefault="00661606" w:rsidP="00935FA7">
      <w:pPr>
        <w:pStyle w:val="Heading1"/>
        <w:keepNext/>
        <w:autoSpaceDE w:val="0"/>
        <w:autoSpaceDN w:val="0"/>
        <w:adjustRightInd w:val="0"/>
      </w:pPr>
      <w:r>
        <w:t xml:space="preserve">En date de juin 2023, du montant de 540 000 $ US approuvé au titre de la phase I, une somme de 480 510 $ US (89 pour cent) avait été décaissée (290 100 $ US pour le PNUE et 190 410 $ US pour l’ONUDI). </w:t>
      </w:r>
      <w:bookmarkStart w:id="4" w:name="_Hlk126915708"/>
      <w:r>
        <w:t>Le solde comprend 48 319 $ US de fonds engagés qui sont en attente de la livraison des identificateurs de frigorigènes, et 11 171 $ US qui seront remboursés par l’ONUDI à la 95</w:t>
      </w:r>
      <w:r>
        <w:rPr>
          <w:vertAlign w:val="superscript"/>
        </w:rPr>
        <w:t>e</w:t>
      </w:r>
      <w:r>
        <w:t> réunion, après la livraison de l’équipement.</w:t>
      </w:r>
    </w:p>
    <w:p w14:paraId="35142A68" w14:textId="1E6D6095" w:rsidR="004177A6" w:rsidRPr="00BF7D81" w:rsidRDefault="004177A6" w:rsidP="00BF7D81">
      <w:pPr>
        <w:pStyle w:val="Heading1"/>
        <w:keepNext/>
        <w:numPr>
          <w:ilvl w:val="0"/>
          <w:numId w:val="0"/>
        </w:numPr>
        <w:autoSpaceDE w:val="0"/>
        <w:autoSpaceDN w:val="0"/>
        <w:adjustRightInd w:val="0"/>
        <w:rPr>
          <w:b/>
        </w:rPr>
      </w:pPr>
      <w:r>
        <w:rPr>
          <w:b/>
        </w:rPr>
        <w:t>Phase II du plan de gestion de l’élimination des HCFC</w:t>
      </w:r>
    </w:p>
    <w:p w14:paraId="61AB9BAA" w14:textId="77777777" w:rsidR="004177A6" w:rsidRPr="00996241" w:rsidRDefault="004177A6" w:rsidP="004177A6">
      <w:pPr>
        <w:keepNext/>
        <w:spacing w:after="240"/>
        <w:outlineLvl w:val="0"/>
        <w:rPr>
          <w:u w:val="single"/>
        </w:rPr>
      </w:pPr>
      <w:r>
        <w:rPr>
          <w:u w:val="single"/>
        </w:rPr>
        <w:t>Consommation restante admissible au financement</w:t>
      </w:r>
    </w:p>
    <w:bookmarkEnd w:id="4"/>
    <w:p w14:paraId="73ABE301" w14:textId="77777777" w:rsidR="002A7C94" w:rsidRPr="00996241" w:rsidRDefault="002A7C94" w:rsidP="002A7C94">
      <w:pPr>
        <w:pStyle w:val="Heading1"/>
      </w:pPr>
      <w:r>
        <w:t>Après la déduction de 10,57 tonnes PAO de HCFC associée à la phase I du PGEH, la consommation restante admissible au financement pour la phase II s’élève à 19,63 tonnes PAO de HCFC</w:t>
      </w:r>
      <w:r>
        <w:noBreakHyphen/>
        <w:t xml:space="preserve">22. </w:t>
      </w:r>
    </w:p>
    <w:p w14:paraId="31CF33C0" w14:textId="77777777" w:rsidR="004177A6" w:rsidRDefault="004177A6" w:rsidP="004177A6">
      <w:pPr>
        <w:keepNext/>
        <w:keepLines/>
        <w:spacing w:after="240"/>
        <w:outlineLvl w:val="0"/>
        <w:rPr>
          <w:u w:val="single"/>
        </w:rPr>
      </w:pPr>
      <w:bookmarkStart w:id="5" w:name="_Hlk126915728"/>
      <w:r>
        <w:rPr>
          <w:u w:val="single"/>
        </w:rPr>
        <w:t>Répartition sectorielle des HCFC</w:t>
      </w:r>
    </w:p>
    <w:bookmarkEnd w:id="5"/>
    <w:p w14:paraId="4740CB64" w14:textId="662E2305" w:rsidR="004177A6" w:rsidRPr="00377D5A" w:rsidRDefault="004177A6">
      <w:pPr>
        <w:pStyle w:val="Heading1"/>
      </w:pPr>
      <w:r>
        <w:t>Il y a environ 860 techniciens, dont 183 femmes</w:t>
      </w:r>
      <w:r w:rsidR="00A64BE3">
        <w:rPr>
          <w:rStyle w:val="FootnoteReference"/>
        </w:rPr>
        <w:footnoteReference w:id="7"/>
      </w:r>
      <w:r>
        <w:t>, au Gabon, 540 d’entre eux travaillant de manière informelle, et 64 ateliers en exploitation dans le secteur de l’entretien, consommant du HCFC</w:t>
      </w:r>
      <w:r>
        <w:noBreakHyphen/>
        <w:t>22 pour l’entretien de l’équipement de réfrigération domestique, des climatiseurs domestiques, de l’équipement de réfrigération industrielle et commerciale et du transport frigorifique, comme indiqué dans le tableau 2. Sur la base des données de l’Article 7 communiquées en 2022, le HCFC</w:t>
      </w:r>
      <w:r>
        <w:noBreakHyphen/>
        <w:t xml:space="preserve">22 représente 29 pour cent en </w:t>
      </w:r>
      <w:proofErr w:type="spellStart"/>
      <w:r>
        <w:t>tm</w:t>
      </w:r>
      <w:proofErr w:type="spellEnd"/>
      <w:r>
        <w:t xml:space="preserve"> de tous les HCFC et les HFC consommés dans le secteur de l’entretien, suivi du HFC-134a (24 pour cent), du R-404A (18 pour cent), du R-410A (17 pour cent) et du R-407C (12 pour cent). De plus, 50 </w:t>
      </w:r>
      <w:proofErr w:type="spellStart"/>
      <w:r>
        <w:t>tm</w:t>
      </w:r>
      <w:proofErr w:type="spellEnd"/>
      <w:r>
        <w:t xml:space="preserve"> de R-600a ont été identifiées pendant l’enquête sectorielle pour 2022, celui-ci étant utilisé en remplacement des HFC et des HCFC dans la réfrigération domestique, la réfrigération commerciale et en tant qu’humidificateur ; ainsi que 0,03 </w:t>
      </w:r>
      <w:proofErr w:type="spellStart"/>
      <w:r>
        <w:t>tm</w:t>
      </w:r>
      <w:proofErr w:type="spellEnd"/>
      <w:r>
        <w:t xml:space="preserve"> de R-290.</w:t>
      </w:r>
    </w:p>
    <w:p w14:paraId="52C96342" w14:textId="070A7DF0" w:rsidR="004177A6" w:rsidRPr="002E69B6" w:rsidRDefault="004177A6" w:rsidP="00216389">
      <w:pPr>
        <w:pStyle w:val="Heading1"/>
        <w:numPr>
          <w:ilvl w:val="0"/>
          <w:numId w:val="0"/>
        </w:numPr>
        <w:spacing w:after="0"/>
        <w:rPr>
          <w:b/>
        </w:rPr>
      </w:pPr>
      <w:r>
        <w:rPr>
          <w:b/>
        </w:rPr>
        <w:t xml:space="preserve">Tableau 2. Estimation de la demande de HCFC-22 dans le secteur de l’entretien de l’équipement de réfrigération et de climatisation au Gabon en 2022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4A0" w:firstRow="1" w:lastRow="0" w:firstColumn="1" w:lastColumn="0" w:noHBand="0" w:noVBand="1"/>
      </w:tblPr>
      <w:tblGrid>
        <w:gridCol w:w="2447"/>
        <w:gridCol w:w="1224"/>
        <w:gridCol w:w="1313"/>
        <w:gridCol w:w="1287"/>
        <w:gridCol w:w="1658"/>
        <w:gridCol w:w="1421"/>
      </w:tblGrid>
      <w:tr w:rsidR="006545B5" w:rsidRPr="006545B5" w14:paraId="7EAA167A" w14:textId="77777777">
        <w:trPr>
          <w:trHeight w:val="274"/>
        </w:trPr>
        <w:tc>
          <w:tcPr>
            <w:tcW w:w="2473" w:type="dxa"/>
            <w:vMerge w:val="restart"/>
            <w:vAlign w:val="center"/>
          </w:tcPr>
          <w:p w14:paraId="6940B4F9" w14:textId="77777777" w:rsidR="006545B5" w:rsidRPr="006545B5" w:rsidRDefault="006545B5">
            <w:pPr>
              <w:rPr>
                <w:rStyle w:val="cf01"/>
                <w:rFonts w:ascii="Times New Roman" w:hAnsi="Times New Roman" w:cs="Times New Roman"/>
                <w:sz w:val="20"/>
                <w:szCs w:val="20"/>
              </w:rPr>
            </w:pPr>
            <w:bookmarkStart w:id="6" w:name="_Hlk126915738"/>
            <w:r>
              <w:rPr>
                <w:rStyle w:val="cf01"/>
                <w:rFonts w:ascii="Times New Roman" w:hAnsi="Times New Roman"/>
                <w:sz w:val="20"/>
              </w:rPr>
              <w:t>Secteur/</w:t>
            </w:r>
          </w:p>
          <w:p w14:paraId="726B970F" w14:textId="77777777" w:rsidR="006545B5" w:rsidRPr="006545B5" w:rsidRDefault="006545B5">
            <w:pPr>
              <w:rPr>
                <w:rStyle w:val="cf01"/>
                <w:rFonts w:ascii="Times New Roman" w:hAnsi="Times New Roman" w:cs="Times New Roman"/>
                <w:sz w:val="20"/>
                <w:szCs w:val="20"/>
              </w:rPr>
            </w:pPr>
            <w:r>
              <w:rPr>
                <w:rStyle w:val="cf01"/>
                <w:rFonts w:ascii="Times New Roman" w:hAnsi="Times New Roman"/>
                <w:sz w:val="20"/>
              </w:rPr>
              <w:t>Application</w:t>
            </w:r>
          </w:p>
        </w:tc>
        <w:tc>
          <w:tcPr>
            <w:tcW w:w="1235" w:type="dxa"/>
            <w:shd w:val="clear" w:color="auto" w:fill="auto"/>
            <w:vAlign w:val="center"/>
          </w:tcPr>
          <w:p w14:paraId="248F1C27" w14:textId="77777777" w:rsidR="006545B5" w:rsidRPr="006545B5" w:rsidRDefault="006545B5" w:rsidP="003A117D">
            <w:pPr>
              <w:jc w:val="center"/>
              <w:rPr>
                <w:rStyle w:val="cf01"/>
                <w:rFonts w:ascii="Times New Roman" w:hAnsi="Times New Roman" w:cs="Times New Roman"/>
                <w:sz w:val="20"/>
                <w:szCs w:val="20"/>
              </w:rPr>
            </w:pPr>
            <w:r>
              <w:rPr>
                <w:rStyle w:val="cf01"/>
                <w:rFonts w:ascii="Times New Roman" w:hAnsi="Times New Roman"/>
                <w:sz w:val="20"/>
              </w:rPr>
              <w:t>(</w:t>
            </w:r>
            <w:proofErr w:type="gramStart"/>
            <w:r>
              <w:rPr>
                <w:rStyle w:val="cf01"/>
                <w:rFonts w:ascii="Times New Roman" w:hAnsi="Times New Roman"/>
                <w:sz w:val="20"/>
              </w:rPr>
              <w:t>a</w:t>
            </w:r>
            <w:proofErr w:type="gramEnd"/>
            <w:r>
              <w:rPr>
                <w:rStyle w:val="cf01"/>
                <w:rFonts w:ascii="Times New Roman" w:hAnsi="Times New Roman"/>
                <w:sz w:val="20"/>
              </w:rPr>
              <w:t>)</w:t>
            </w:r>
          </w:p>
        </w:tc>
        <w:tc>
          <w:tcPr>
            <w:tcW w:w="1325" w:type="dxa"/>
            <w:vAlign w:val="center"/>
          </w:tcPr>
          <w:p w14:paraId="2137C7D5" w14:textId="77777777" w:rsidR="006545B5" w:rsidRPr="006545B5" w:rsidRDefault="006545B5" w:rsidP="003A117D">
            <w:pPr>
              <w:jc w:val="center"/>
              <w:rPr>
                <w:rStyle w:val="cf01"/>
                <w:rFonts w:ascii="Times New Roman" w:hAnsi="Times New Roman" w:cs="Times New Roman"/>
                <w:sz w:val="20"/>
                <w:szCs w:val="20"/>
              </w:rPr>
            </w:pPr>
            <w:r>
              <w:rPr>
                <w:rStyle w:val="cf01"/>
                <w:rFonts w:ascii="Times New Roman" w:hAnsi="Times New Roman"/>
                <w:sz w:val="20"/>
              </w:rPr>
              <w:t>(</w:t>
            </w:r>
            <w:proofErr w:type="gramStart"/>
            <w:r>
              <w:rPr>
                <w:rStyle w:val="cf01"/>
                <w:rFonts w:ascii="Times New Roman" w:hAnsi="Times New Roman"/>
                <w:sz w:val="20"/>
              </w:rPr>
              <w:t>b</w:t>
            </w:r>
            <w:proofErr w:type="gramEnd"/>
            <w:r>
              <w:rPr>
                <w:rStyle w:val="cf01"/>
                <w:rFonts w:ascii="Times New Roman" w:hAnsi="Times New Roman"/>
                <w:sz w:val="20"/>
              </w:rPr>
              <w:t>)</w:t>
            </w:r>
          </w:p>
        </w:tc>
        <w:tc>
          <w:tcPr>
            <w:tcW w:w="1299" w:type="dxa"/>
            <w:shd w:val="clear" w:color="auto" w:fill="auto"/>
            <w:vAlign w:val="center"/>
          </w:tcPr>
          <w:p w14:paraId="73F9EAAD" w14:textId="77777777" w:rsidR="006545B5" w:rsidRPr="006545B5" w:rsidRDefault="006545B5" w:rsidP="003A117D">
            <w:pPr>
              <w:jc w:val="center"/>
              <w:rPr>
                <w:rStyle w:val="cf01"/>
                <w:rFonts w:ascii="Times New Roman" w:hAnsi="Times New Roman" w:cs="Times New Roman"/>
                <w:sz w:val="20"/>
                <w:szCs w:val="20"/>
              </w:rPr>
            </w:pPr>
            <w:r>
              <w:rPr>
                <w:rStyle w:val="cf01"/>
                <w:rFonts w:ascii="Times New Roman" w:hAnsi="Times New Roman"/>
                <w:sz w:val="20"/>
              </w:rPr>
              <w:t>(c) = (a)*(b)</w:t>
            </w:r>
          </w:p>
        </w:tc>
        <w:tc>
          <w:tcPr>
            <w:tcW w:w="1674" w:type="dxa"/>
            <w:shd w:val="clear" w:color="auto" w:fill="auto"/>
            <w:vAlign w:val="center"/>
          </w:tcPr>
          <w:p w14:paraId="55ACE6CF" w14:textId="77777777" w:rsidR="006545B5" w:rsidRPr="006545B5" w:rsidRDefault="006545B5" w:rsidP="003A117D">
            <w:pPr>
              <w:jc w:val="center"/>
              <w:rPr>
                <w:rStyle w:val="cf01"/>
                <w:rFonts w:ascii="Times New Roman" w:hAnsi="Times New Roman" w:cs="Times New Roman"/>
                <w:sz w:val="20"/>
                <w:szCs w:val="20"/>
              </w:rPr>
            </w:pPr>
            <w:r>
              <w:rPr>
                <w:rStyle w:val="cf01"/>
                <w:rFonts w:ascii="Times New Roman" w:hAnsi="Times New Roman"/>
                <w:sz w:val="20"/>
              </w:rPr>
              <w:t>(</w:t>
            </w:r>
            <w:proofErr w:type="gramStart"/>
            <w:r>
              <w:rPr>
                <w:rStyle w:val="cf01"/>
                <w:rFonts w:ascii="Times New Roman" w:hAnsi="Times New Roman"/>
                <w:sz w:val="20"/>
              </w:rPr>
              <w:t>d</w:t>
            </w:r>
            <w:proofErr w:type="gramEnd"/>
            <w:r>
              <w:rPr>
                <w:rStyle w:val="cf01"/>
                <w:rFonts w:ascii="Times New Roman" w:hAnsi="Times New Roman"/>
                <w:sz w:val="20"/>
              </w:rPr>
              <w:t>)</w:t>
            </w:r>
          </w:p>
        </w:tc>
        <w:tc>
          <w:tcPr>
            <w:tcW w:w="1434" w:type="dxa"/>
            <w:shd w:val="clear" w:color="auto" w:fill="auto"/>
            <w:vAlign w:val="center"/>
          </w:tcPr>
          <w:p w14:paraId="651F65B1" w14:textId="77777777" w:rsidR="006545B5" w:rsidRPr="006545B5" w:rsidRDefault="006545B5" w:rsidP="003A117D">
            <w:pPr>
              <w:jc w:val="center"/>
              <w:rPr>
                <w:rStyle w:val="cf01"/>
                <w:rFonts w:ascii="Times New Roman" w:hAnsi="Times New Roman" w:cs="Times New Roman"/>
                <w:sz w:val="20"/>
                <w:szCs w:val="20"/>
              </w:rPr>
            </w:pPr>
            <w:r>
              <w:rPr>
                <w:rStyle w:val="cf01"/>
                <w:rFonts w:ascii="Times New Roman" w:hAnsi="Times New Roman"/>
                <w:sz w:val="20"/>
              </w:rPr>
              <w:t>(</w:t>
            </w:r>
            <w:proofErr w:type="gramStart"/>
            <w:r>
              <w:rPr>
                <w:rStyle w:val="cf01"/>
                <w:rFonts w:ascii="Times New Roman" w:hAnsi="Times New Roman"/>
                <w:sz w:val="20"/>
              </w:rPr>
              <w:t>c</w:t>
            </w:r>
            <w:proofErr w:type="gramEnd"/>
            <w:r>
              <w:rPr>
                <w:rStyle w:val="cf01"/>
                <w:rFonts w:ascii="Times New Roman" w:hAnsi="Times New Roman"/>
                <w:sz w:val="20"/>
              </w:rPr>
              <w:t>)*(d)</w:t>
            </w:r>
          </w:p>
        </w:tc>
      </w:tr>
      <w:tr w:rsidR="006545B5" w:rsidRPr="006545B5" w14:paraId="01648303" w14:textId="77777777" w:rsidTr="00950415">
        <w:trPr>
          <w:trHeight w:val="480"/>
        </w:trPr>
        <w:tc>
          <w:tcPr>
            <w:tcW w:w="2473" w:type="dxa"/>
            <w:vMerge/>
            <w:vAlign w:val="center"/>
          </w:tcPr>
          <w:p w14:paraId="44830271" w14:textId="77777777" w:rsidR="006545B5" w:rsidRPr="006545B5" w:rsidRDefault="006545B5">
            <w:pPr>
              <w:rPr>
                <w:rStyle w:val="cf01"/>
                <w:rFonts w:ascii="Times New Roman" w:hAnsi="Times New Roman" w:cs="Times New Roman"/>
                <w:sz w:val="20"/>
                <w:szCs w:val="20"/>
              </w:rPr>
            </w:pPr>
          </w:p>
        </w:tc>
        <w:tc>
          <w:tcPr>
            <w:tcW w:w="1235" w:type="dxa"/>
            <w:shd w:val="clear" w:color="auto" w:fill="auto"/>
          </w:tcPr>
          <w:p w14:paraId="710178EC" w14:textId="77777777" w:rsidR="006545B5" w:rsidRPr="006545B5" w:rsidRDefault="006545B5" w:rsidP="00950415">
            <w:pPr>
              <w:jc w:val="center"/>
              <w:rPr>
                <w:rStyle w:val="cf01"/>
                <w:rFonts w:ascii="Times New Roman" w:hAnsi="Times New Roman" w:cs="Times New Roman"/>
                <w:sz w:val="20"/>
                <w:szCs w:val="20"/>
              </w:rPr>
            </w:pPr>
            <w:r>
              <w:rPr>
                <w:rStyle w:val="cf01"/>
                <w:rFonts w:ascii="Times New Roman" w:hAnsi="Times New Roman"/>
                <w:sz w:val="20"/>
              </w:rPr>
              <w:t>Nombre d’équipements</w:t>
            </w:r>
          </w:p>
        </w:tc>
        <w:tc>
          <w:tcPr>
            <w:tcW w:w="1325" w:type="dxa"/>
          </w:tcPr>
          <w:p w14:paraId="6088F32A" w14:textId="77777777" w:rsidR="006545B5" w:rsidRPr="006545B5" w:rsidRDefault="006545B5" w:rsidP="00950415">
            <w:pPr>
              <w:jc w:val="center"/>
              <w:rPr>
                <w:rStyle w:val="cf01"/>
                <w:rFonts w:ascii="Times New Roman" w:hAnsi="Times New Roman" w:cs="Times New Roman"/>
                <w:sz w:val="20"/>
                <w:szCs w:val="20"/>
              </w:rPr>
            </w:pPr>
            <w:r>
              <w:rPr>
                <w:rStyle w:val="cf01"/>
                <w:rFonts w:ascii="Times New Roman" w:hAnsi="Times New Roman"/>
                <w:sz w:val="20"/>
              </w:rPr>
              <w:t>Charge moyenne (kg)</w:t>
            </w:r>
          </w:p>
        </w:tc>
        <w:tc>
          <w:tcPr>
            <w:tcW w:w="1299" w:type="dxa"/>
            <w:shd w:val="clear" w:color="auto" w:fill="auto"/>
          </w:tcPr>
          <w:p w14:paraId="00E56ECC" w14:textId="77777777" w:rsidR="006545B5" w:rsidRPr="006545B5" w:rsidRDefault="006545B5" w:rsidP="00950415">
            <w:pPr>
              <w:jc w:val="center"/>
              <w:rPr>
                <w:rStyle w:val="cf01"/>
                <w:rFonts w:ascii="Times New Roman" w:hAnsi="Times New Roman" w:cs="Times New Roman"/>
                <w:sz w:val="20"/>
                <w:szCs w:val="20"/>
              </w:rPr>
            </w:pPr>
            <w:r>
              <w:rPr>
                <w:rStyle w:val="cf01"/>
                <w:rFonts w:ascii="Times New Roman" w:hAnsi="Times New Roman"/>
                <w:sz w:val="20"/>
              </w:rPr>
              <w:t>Quantité de HCFC</w:t>
            </w:r>
          </w:p>
          <w:p w14:paraId="7CD84818" w14:textId="77777777" w:rsidR="006545B5" w:rsidRPr="006545B5" w:rsidRDefault="006545B5" w:rsidP="00950415">
            <w:pPr>
              <w:jc w:val="center"/>
              <w:rPr>
                <w:rStyle w:val="cf01"/>
                <w:rFonts w:ascii="Times New Roman" w:hAnsi="Times New Roman" w:cs="Times New Roman"/>
                <w:sz w:val="20"/>
                <w:szCs w:val="20"/>
              </w:rPr>
            </w:pPr>
            <w:r>
              <w:rPr>
                <w:rStyle w:val="cf01"/>
                <w:rFonts w:ascii="Times New Roman" w:hAnsi="Times New Roman"/>
                <w:sz w:val="20"/>
              </w:rPr>
              <w:t>(</w:t>
            </w:r>
            <w:proofErr w:type="gramStart"/>
            <w:r>
              <w:rPr>
                <w:rStyle w:val="cf01"/>
                <w:rFonts w:ascii="Times New Roman" w:hAnsi="Times New Roman"/>
                <w:sz w:val="20"/>
              </w:rPr>
              <w:t>kg</w:t>
            </w:r>
            <w:proofErr w:type="gramEnd"/>
            <w:r>
              <w:rPr>
                <w:rStyle w:val="cf01"/>
                <w:rFonts w:ascii="Times New Roman" w:hAnsi="Times New Roman"/>
                <w:sz w:val="20"/>
              </w:rPr>
              <w:t>)</w:t>
            </w:r>
          </w:p>
        </w:tc>
        <w:tc>
          <w:tcPr>
            <w:tcW w:w="1674" w:type="dxa"/>
            <w:shd w:val="clear" w:color="auto" w:fill="auto"/>
          </w:tcPr>
          <w:p w14:paraId="1052C592" w14:textId="77777777" w:rsidR="006545B5" w:rsidRPr="006545B5" w:rsidRDefault="006545B5" w:rsidP="00950415">
            <w:pPr>
              <w:jc w:val="center"/>
              <w:rPr>
                <w:rStyle w:val="cf01"/>
                <w:rFonts w:ascii="Times New Roman" w:hAnsi="Times New Roman" w:cs="Times New Roman"/>
                <w:sz w:val="20"/>
                <w:szCs w:val="20"/>
              </w:rPr>
            </w:pPr>
            <w:r>
              <w:rPr>
                <w:rStyle w:val="cf01"/>
                <w:rFonts w:ascii="Times New Roman" w:hAnsi="Times New Roman"/>
                <w:sz w:val="20"/>
              </w:rPr>
              <w:t>Quantité estimée de la recharge durant l’entretien (%)</w:t>
            </w:r>
          </w:p>
        </w:tc>
        <w:tc>
          <w:tcPr>
            <w:tcW w:w="1434" w:type="dxa"/>
            <w:shd w:val="clear" w:color="auto" w:fill="auto"/>
          </w:tcPr>
          <w:p w14:paraId="52723300" w14:textId="77777777" w:rsidR="006545B5" w:rsidRPr="006545B5" w:rsidRDefault="006545B5" w:rsidP="00950415">
            <w:pPr>
              <w:jc w:val="center"/>
              <w:rPr>
                <w:rStyle w:val="cf01"/>
                <w:rFonts w:ascii="Times New Roman" w:hAnsi="Times New Roman" w:cs="Times New Roman"/>
                <w:sz w:val="20"/>
                <w:szCs w:val="20"/>
              </w:rPr>
            </w:pPr>
            <w:r>
              <w:rPr>
                <w:rStyle w:val="cf01"/>
                <w:rFonts w:ascii="Times New Roman" w:hAnsi="Times New Roman"/>
                <w:sz w:val="20"/>
              </w:rPr>
              <w:t>Besoins annuels pour l’entretien (kg)</w:t>
            </w:r>
          </w:p>
        </w:tc>
      </w:tr>
      <w:tr w:rsidR="006545B5" w:rsidRPr="006545B5" w14:paraId="6F20CD28" w14:textId="77777777" w:rsidTr="005C1CD8">
        <w:trPr>
          <w:trHeight w:val="242"/>
        </w:trPr>
        <w:tc>
          <w:tcPr>
            <w:tcW w:w="2473" w:type="dxa"/>
          </w:tcPr>
          <w:p w14:paraId="7224E9D5" w14:textId="77777777" w:rsidR="006545B5" w:rsidRPr="006545B5" w:rsidRDefault="006545B5">
            <w:pPr>
              <w:rPr>
                <w:rStyle w:val="cf01"/>
                <w:rFonts w:ascii="Times New Roman" w:hAnsi="Times New Roman" w:cs="Times New Roman"/>
                <w:sz w:val="20"/>
                <w:szCs w:val="20"/>
              </w:rPr>
            </w:pPr>
            <w:r>
              <w:rPr>
                <w:rStyle w:val="cf01"/>
                <w:rFonts w:ascii="Times New Roman" w:hAnsi="Times New Roman"/>
                <w:sz w:val="20"/>
              </w:rPr>
              <w:t>Climatiseurs domestiques</w:t>
            </w:r>
          </w:p>
          <w:p w14:paraId="0D2B7BAF" w14:textId="77777777" w:rsidR="006545B5" w:rsidRPr="006545B5" w:rsidRDefault="006545B5">
            <w:pPr>
              <w:rPr>
                <w:rStyle w:val="cf01"/>
                <w:rFonts w:ascii="Times New Roman" w:hAnsi="Times New Roman" w:cs="Times New Roman"/>
                <w:sz w:val="20"/>
                <w:szCs w:val="20"/>
              </w:rPr>
            </w:pPr>
            <w:r>
              <w:rPr>
                <w:rStyle w:val="cf01"/>
                <w:rFonts w:ascii="Times New Roman" w:hAnsi="Times New Roman"/>
                <w:sz w:val="20"/>
              </w:rPr>
              <w:t>(</w:t>
            </w:r>
            <w:proofErr w:type="gramStart"/>
            <w:r>
              <w:rPr>
                <w:rStyle w:val="cf01"/>
                <w:rFonts w:ascii="Times New Roman" w:hAnsi="Times New Roman"/>
                <w:sz w:val="20"/>
              </w:rPr>
              <w:t>monoblocs</w:t>
            </w:r>
            <w:proofErr w:type="gramEnd"/>
            <w:r>
              <w:rPr>
                <w:rStyle w:val="cf01"/>
                <w:rFonts w:ascii="Times New Roman" w:hAnsi="Times New Roman"/>
                <w:sz w:val="20"/>
              </w:rPr>
              <w:t xml:space="preserve"> et à deux blocs)</w:t>
            </w:r>
          </w:p>
        </w:tc>
        <w:tc>
          <w:tcPr>
            <w:tcW w:w="1235" w:type="dxa"/>
            <w:tcBorders>
              <w:top w:val="nil"/>
              <w:left w:val="single" w:sz="4" w:space="0" w:color="auto"/>
              <w:bottom w:val="single" w:sz="4" w:space="0" w:color="auto"/>
              <w:right w:val="single" w:sz="4" w:space="0" w:color="auto"/>
            </w:tcBorders>
            <w:shd w:val="clear" w:color="auto" w:fill="auto"/>
          </w:tcPr>
          <w:p w14:paraId="583490F6" w14:textId="77777777" w:rsidR="006545B5" w:rsidRPr="006545B5" w:rsidRDefault="006545B5" w:rsidP="005C1CD8">
            <w:pPr>
              <w:jc w:val="right"/>
              <w:rPr>
                <w:rStyle w:val="cf01"/>
                <w:rFonts w:ascii="Times New Roman" w:hAnsi="Times New Roman" w:cs="Times New Roman"/>
                <w:sz w:val="20"/>
                <w:szCs w:val="20"/>
              </w:rPr>
            </w:pPr>
            <w:r>
              <w:rPr>
                <w:rStyle w:val="cf01"/>
                <w:rFonts w:ascii="Times New Roman" w:hAnsi="Times New Roman"/>
                <w:sz w:val="20"/>
              </w:rPr>
              <w:t>170 555</w:t>
            </w:r>
          </w:p>
        </w:tc>
        <w:tc>
          <w:tcPr>
            <w:tcW w:w="1325" w:type="dxa"/>
          </w:tcPr>
          <w:p w14:paraId="73AA0388" w14:textId="77777777" w:rsidR="006545B5" w:rsidRPr="006545B5" w:rsidRDefault="006545B5" w:rsidP="005C1CD8">
            <w:pPr>
              <w:jc w:val="right"/>
              <w:rPr>
                <w:rStyle w:val="cf01"/>
                <w:rFonts w:ascii="Times New Roman" w:hAnsi="Times New Roman" w:cs="Times New Roman"/>
                <w:sz w:val="20"/>
                <w:szCs w:val="20"/>
              </w:rPr>
            </w:pPr>
            <w:r>
              <w:rPr>
                <w:rStyle w:val="cf01"/>
                <w:rFonts w:ascii="Times New Roman" w:hAnsi="Times New Roman"/>
                <w:sz w:val="20"/>
              </w:rPr>
              <w:t>1,2</w:t>
            </w:r>
          </w:p>
        </w:tc>
        <w:tc>
          <w:tcPr>
            <w:tcW w:w="1299" w:type="dxa"/>
            <w:tcBorders>
              <w:top w:val="nil"/>
              <w:left w:val="single" w:sz="4" w:space="0" w:color="auto"/>
              <w:bottom w:val="single" w:sz="4" w:space="0" w:color="auto"/>
              <w:right w:val="single" w:sz="4" w:space="0" w:color="auto"/>
            </w:tcBorders>
            <w:shd w:val="clear" w:color="auto" w:fill="auto"/>
          </w:tcPr>
          <w:p w14:paraId="5C567443" w14:textId="77777777" w:rsidR="006545B5" w:rsidRPr="006545B5" w:rsidRDefault="006545B5" w:rsidP="005C1CD8">
            <w:pPr>
              <w:jc w:val="right"/>
              <w:rPr>
                <w:rStyle w:val="cf01"/>
                <w:rFonts w:ascii="Times New Roman" w:hAnsi="Times New Roman" w:cs="Times New Roman"/>
                <w:sz w:val="20"/>
                <w:szCs w:val="20"/>
              </w:rPr>
            </w:pPr>
            <w:r>
              <w:rPr>
                <w:rStyle w:val="cf01"/>
                <w:rFonts w:ascii="Times New Roman" w:hAnsi="Times New Roman"/>
                <w:sz w:val="20"/>
              </w:rPr>
              <w:t>204 666</w:t>
            </w:r>
          </w:p>
        </w:tc>
        <w:tc>
          <w:tcPr>
            <w:tcW w:w="1674" w:type="dxa"/>
          </w:tcPr>
          <w:p w14:paraId="7BB711EB" w14:textId="27329C5A" w:rsidR="006545B5" w:rsidRPr="006545B5" w:rsidRDefault="008C4F73" w:rsidP="005C1CD8">
            <w:pPr>
              <w:jc w:val="right"/>
              <w:rPr>
                <w:rStyle w:val="cf01"/>
                <w:rFonts w:ascii="Times New Roman" w:hAnsi="Times New Roman" w:cs="Times New Roman"/>
                <w:sz w:val="20"/>
                <w:szCs w:val="20"/>
              </w:rPr>
            </w:pPr>
            <w:r>
              <w:rPr>
                <w:rStyle w:val="cf01"/>
                <w:rFonts w:ascii="Times New Roman" w:hAnsi="Times New Roman"/>
                <w:sz w:val="20"/>
              </w:rPr>
              <w:t>20</w:t>
            </w:r>
          </w:p>
        </w:tc>
        <w:tc>
          <w:tcPr>
            <w:tcW w:w="1434" w:type="dxa"/>
            <w:tcBorders>
              <w:top w:val="nil"/>
              <w:left w:val="single" w:sz="4" w:space="0" w:color="auto"/>
              <w:bottom w:val="single" w:sz="4" w:space="0" w:color="auto"/>
              <w:right w:val="single" w:sz="4" w:space="0" w:color="auto"/>
            </w:tcBorders>
            <w:shd w:val="clear" w:color="auto" w:fill="auto"/>
          </w:tcPr>
          <w:p w14:paraId="39374D92" w14:textId="77777777" w:rsidR="006545B5" w:rsidRPr="006545B5" w:rsidRDefault="006545B5" w:rsidP="005C1CD8">
            <w:pPr>
              <w:jc w:val="right"/>
              <w:rPr>
                <w:rStyle w:val="cf01"/>
                <w:rFonts w:ascii="Times New Roman" w:hAnsi="Times New Roman" w:cs="Times New Roman"/>
                <w:sz w:val="20"/>
                <w:szCs w:val="20"/>
              </w:rPr>
            </w:pPr>
            <w:r>
              <w:rPr>
                <w:rStyle w:val="cf01"/>
                <w:rFonts w:ascii="Times New Roman" w:hAnsi="Times New Roman"/>
                <w:sz w:val="20"/>
              </w:rPr>
              <w:t>40 933</w:t>
            </w:r>
          </w:p>
        </w:tc>
      </w:tr>
      <w:tr w:rsidR="006545B5" w:rsidRPr="006545B5" w14:paraId="20CA5EC2" w14:textId="77777777" w:rsidTr="005C1CD8">
        <w:trPr>
          <w:trHeight w:val="242"/>
        </w:trPr>
        <w:tc>
          <w:tcPr>
            <w:tcW w:w="2473" w:type="dxa"/>
          </w:tcPr>
          <w:p w14:paraId="51CF0EDC" w14:textId="77777777" w:rsidR="006545B5" w:rsidRPr="006545B5" w:rsidRDefault="006545B5">
            <w:pPr>
              <w:rPr>
                <w:rStyle w:val="cf01"/>
                <w:rFonts w:ascii="Times New Roman" w:hAnsi="Times New Roman" w:cs="Times New Roman"/>
                <w:sz w:val="20"/>
                <w:szCs w:val="20"/>
              </w:rPr>
            </w:pPr>
            <w:r>
              <w:rPr>
                <w:rStyle w:val="cf01"/>
                <w:rFonts w:ascii="Times New Roman" w:hAnsi="Times New Roman"/>
                <w:sz w:val="20"/>
              </w:rPr>
              <w:t>Réfrigération commerciale (chambres frigorifiques)</w:t>
            </w:r>
          </w:p>
        </w:tc>
        <w:tc>
          <w:tcPr>
            <w:tcW w:w="1235" w:type="dxa"/>
            <w:tcBorders>
              <w:top w:val="nil"/>
              <w:left w:val="single" w:sz="4" w:space="0" w:color="auto"/>
              <w:bottom w:val="single" w:sz="4" w:space="0" w:color="auto"/>
              <w:right w:val="single" w:sz="4" w:space="0" w:color="auto"/>
            </w:tcBorders>
            <w:shd w:val="clear" w:color="auto" w:fill="auto"/>
          </w:tcPr>
          <w:p w14:paraId="0F79DC3A" w14:textId="77777777" w:rsidR="006545B5" w:rsidRPr="006545B5" w:rsidRDefault="006545B5" w:rsidP="005C1CD8">
            <w:pPr>
              <w:jc w:val="right"/>
              <w:rPr>
                <w:rStyle w:val="cf01"/>
                <w:rFonts w:ascii="Times New Roman" w:hAnsi="Times New Roman" w:cs="Times New Roman"/>
                <w:sz w:val="20"/>
                <w:szCs w:val="20"/>
              </w:rPr>
            </w:pPr>
            <w:r>
              <w:rPr>
                <w:rStyle w:val="cf01"/>
                <w:rFonts w:ascii="Times New Roman" w:hAnsi="Times New Roman"/>
                <w:sz w:val="20"/>
              </w:rPr>
              <w:t>13 624</w:t>
            </w:r>
          </w:p>
        </w:tc>
        <w:tc>
          <w:tcPr>
            <w:tcW w:w="1325" w:type="dxa"/>
          </w:tcPr>
          <w:p w14:paraId="5102496D" w14:textId="77777777" w:rsidR="006545B5" w:rsidRPr="006545B5" w:rsidRDefault="006545B5" w:rsidP="005C1CD8">
            <w:pPr>
              <w:jc w:val="right"/>
              <w:rPr>
                <w:rStyle w:val="cf01"/>
                <w:rFonts w:ascii="Times New Roman" w:hAnsi="Times New Roman" w:cs="Times New Roman"/>
                <w:sz w:val="20"/>
                <w:szCs w:val="20"/>
              </w:rPr>
            </w:pPr>
            <w:r>
              <w:rPr>
                <w:rStyle w:val="cf01"/>
                <w:rFonts w:ascii="Times New Roman" w:hAnsi="Times New Roman"/>
                <w:sz w:val="20"/>
              </w:rPr>
              <w:t>8</w:t>
            </w:r>
          </w:p>
        </w:tc>
        <w:tc>
          <w:tcPr>
            <w:tcW w:w="1299" w:type="dxa"/>
            <w:tcBorders>
              <w:top w:val="nil"/>
              <w:left w:val="single" w:sz="4" w:space="0" w:color="auto"/>
              <w:bottom w:val="single" w:sz="4" w:space="0" w:color="auto"/>
              <w:right w:val="single" w:sz="4" w:space="0" w:color="auto"/>
            </w:tcBorders>
            <w:shd w:val="clear" w:color="auto" w:fill="auto"/>
          </w:tcPr>
          <w:p w14:paraId="5FC7C8D1" w14:textId="77777777" w:rsidR="006545B5" w:rsidRPr="006545B5" w:rsidRDefault="006545B5" w:rsidP="005C1CD8">
            <w:pPr>
              <w:jc w:val="right"/>
              <w:rPr>
                <w:rStyle w:val="cf01"/>
                <w:rFonts w:ascii="Times New Roman" w:hAnsi="Times New Roman" w:cs="Times New Roman"/>
                <w:sz w:val="20"/>
                <w:szCs w:val="20"/>
              </w:rPr>
            </w:pPr>
            <w:r>
              <w:rPr>
                <w:rStyle w:val="cf01"/>
                <w:rFonts w:ascii="Times New Roman" w:hAnsi="Times New Roman"/>
                <w:sz w:val="20"/>
              </w:rPr>
              <w:t>108 992</w:t>
            </w:r>
          </w:p>
        </w:tc>
        <w:tc>
          <w:tcPr>
            <w:tcW w:w="1674" w:type="dxa"/>
          </w:tcPr>
          <w:p w14:paraId="0E6FDB30" w14:textId="5BA4F8A4" w:rsidR="006545B5" w:rsidRPr="006545B5" w:rsidRDefault="008C4F73" w:rsidP="005C1CD8">
            <w:pPr>
              <w:jc w:val="right"/>
              <w:rPr>
                <w:rStyle w:val="cf01"/>
                <w:rFonts w:ascii="Times New Roman" w:hAnsi="Times New Roman" w:cs="Times New Roman"/>
                <w:sz w:val="20"/>
                <w:szCs w:val="20"/>
              </w:rPr>
            </w:pPr>
            <w:r>
              <w:rPr>
                <w:rStyle w:val="cf01"/>
                <w:rFonts w:ascii="Times New Roman" w:hAnsi="Times New Roman"/>
                <w:sz w:val="20"/>
              </w:rPr>
              <w:t>88</w:t>
            </w:r>
          </w:p>
        </w:tc>
        <w:tc>
          <w:tcPr>
            <w:tcW w:w="1434" w:type="dxa"/>
            <w:tcBorders>
              <w:top w:val="nil"/>
              <w:left w:val="single" w:sz="4" w:space="0" w:color="auto"/>
              <w:bottom w:val="single" w:sz="4" w:space="0" w:color="auto"/>
              <w:right w:val="single" w:sz="4" w:space="0" w:color="auto"/>
            </w:tcBorders>
            <w:shd w:val="clear" w:color="auto" w:fill="auto"/>
          </w:tcPr>
          <w:p w14:paraId="74386B12" w14:textId="77777777" w:rsidR="006545B5" w:rsidRPr="006545B5" w:rsidRDefault="006545B5" w:rsidP="005C1CD8">
            <w:pPr>
              <w:jc w:val="right"/>
              <w:rPr>
                <w:rStyle w:val="cf01"/>
                <w:rFonts w:ascii="Times New Roman" w:hAnsi="Times New Roman" w:cs="Times New Roman"/>
                <w:sz w:val="20"/>
                <w:szCs w:val="20"/>
              </w:rPr>
            </w:pPr>
            <w:r>
              <w:rPr>
                <w:rStyle w:val="cf01"/>
                <w:rFonts w:ascii="Times New Roman" w:hAnsi="Times New Roman"/>
                <w:sz w:val="20"/>
              </w:rPr>
              <w:t>95 913</w:t>
            </w:r>
          </w:p>
        </w:tc>
      </w:tr>
      <w:tr w:rsidR="006545B5" w:rsidRPr="006545B5" w14:paraId="6ED655A1" w14:textId="77777777" w:rsidTr="005C1CD8">
        <w:trPr>
          <w:trHeight w:val="242"/>
        </w:trPr>
        <w:tc>
          <w:tcPr>
            <w:tcW w:w="2473" w:type="dxa"/>
          </w:tcPr>
          <w:p w14:paraId="7CDC8280" w14:textId="77777777" w:rsidR="006545B5" w:rsidRPr="006545B5" w:rsidRDefault="006545B5">
            <w:pPr>
              <w:rPr>
                <w:rStyle w:val="cf01"/>
                <w:rFonts w:ascii="Times New Roman" w:hAnsi="Times New Roman" w:cs="Times New Roman"/>
                <w:sz w:val="20"/>
                <w:szCs w:val="20"/>
              </w:rPr>
            </w:pPr>
            <w:r>
              <w:rPr>
                <w:rStyle w:val="cf01"/>
                <w:rFonts w:ascii="Times New Roman" w:hAnsi="Times New Roman"/>
                <w:sz w:val="20"/>
              </w:rPr>
              <w:t>Transport</w:t>
            </w:r>
          </w:p>
        </w:tc>
        <w:tc>
          <w:tcPr>
            <w:tcW w:w="1235" w:type="dxa"/>
            <w:tcBorders>
              <w:top w:val="nil"/>
              <w:left w:val="single" w:sz="4" w:space="0" w:color="auto"/>
              <w:bottom w:val="single" w:sz="4" w:space="0" w:color="auto"/>
              <w:right w:val="single" w:sz="4" w:space="0" w:color="auto"/>
            </w:tcBorders>
            <w:shd w:val="clear" w:color="auto" w:fill="auto"/>
          </w:tcPr>
          <w:p w14:paraId="3287573F" w14:textId="77777777" w:rsidR="006545B5" w:rsidRPr="006545B5" w:rsidRDefault="006545B5" w:rsidP="005C1CD8">
            <w:pPr>
              <w:jc w:val="right"/>
              <w:rPr>
                <w:rStyle w:val="cf01"/>
                <w:rFonts w:ascii="Times New Roman" w:hAnsi="Times New Roman" w:cs="Times New Roman"/>
                <w:sz w:val="20"/>
                <w:szCs w:val="20"/>
              </w:rPr>
            </w:pPr>
            <w:r>
              <w:rPr>
                <w:rStyle w:val="cf01"/>
                <w:rFonts w:ascii="Times New Roman" w:hAnsi="Times New Roman"/>
                <w:sz w:val="20"/>
              </w:rPr>
              <w:t>10 322</w:t>
            </w:r>
          </w:p>
        </w:tc>
        <w:tc>
          <w:tcPr>
            <w:tcW w:w="1325" w:type="dxa"/>
          </w:tcPr>
          <w:p w14:paraId="0D2AD159" w14:textId="77777777" w:rsidR="006545B5" w:rsidRPr="006545B5" w:rsidRDefault="006545B5" w:rsidP="005C1CD8">
            <w:pPr>
              <w:jc w:val="right"/>
              <w:rPr>
                <w:rStyle w:val="cf01"/>
                <w:rFonts w:ascii="Times New Roman" w:hAnsi="Times New Roman" w:cs="Times New Roman"/>
                <w:sz w:val="20"/>
                <w:szCs w:val="20"/>
              </w:rPr>
            </w:pPr>
            <w:r>
              <w:rPr>
                <w:rStyle w:val="cf01"/>
                <w:rFonts w:ascii="Times New Roman" w:hAnsi="Times New Roman"/>
                <w:sz w:val="20"/>
              </w:rPr>
              <w:t>0,75</w:t>
            </w:r>
          </w:p>
        </w:tc>
        <w:tc>
          <w:tcPr>
            <w:tcW w:w="1299" w:type="dxa"/>
            <w:tcBorders>
              <w:top w:val="nil"/>
              <w:left w:val="single" w:sz="4" w:space="0" w:color="auto"/>
              <w:bottom w:val="single" w:sz="4" w:space="0" w:color="auto"/>
              <w:right w:val="single" w:sz="4" w:space="0" w:color="auto"/>
            </w:tcBorders>
            <w:shd w:val="clear" w:color="auto" w:fill="auto"/>
          </w:tcPr>
          <w:p w14:paraId="3EAE056B" w14:textId="77777777" w:rsidR="006545B5" w:rsidRPr="006545B5" w:rsidRDefault="006545B5" w:rsidP="005C1CD8">
            <w:pPr>
              <w:jc w:val="right"/>
              <w:rPr>
                <w:rStyle w:val="cf01"/>
                <w:rFonts w:ascii="Times New Roman" w:hAnsi="Times New Roman" w:cs="Times New Roman"/>
                <w:sz w:val="20"/>
                <w:szCs w:val="20"/>
              </w:rPr>
            </w:pPr>
            <w:r>
              <w:rPr>
                <w:rStyle w:val="cf01"/>
                <w:rFonts w:ascii="Times New Roman" w:hAnsi="Times New Roman"/>
                <w:sz w:val="20"/>
              </w:rPr>
              <w:t>7 742</w:t>
            </w:r>
          </w:p>
        </w:tc>
        <w:tc>
          <w:tcPr>
            <w:tcW w:w="1674" w:type="dxa"/>
          </w:tcPr>
          <w:p w14:paraId="3512BBA7" w14:textId="62E3A483" w:rsidR="006545B5" w:rsidRPr="006545B5" w:rsidRDefault="008C4F73" w:rsidP="005C1CD8">
            <w:pPr>
              <w:jc w:val="right"/>
              <w:rPr>
                <w:rStyle w:val="cf01"/>
                <w:rFonts w:ascii="Times New Roman" w:hAnsi="Times New Roman" w:cs="Times New Roman"/>
                <w:sz w:val="20"/>
                <w:szCs w:val="20"/>
              </w:rPr>
            </w:pPr>
            <w:r>
              <w:rPr>
                <w:rStyle w:val="cf01"/>
                <w:rFonts w:ascii="Times New Roman" w:hAnsi="Times New Roman"/>
                <w:sz w:val="20"/>
              </w:rPr>
              <w:t>25</w:t>
            </w:r>
          </w:p>
        </w:tc>
        <w:tc>
          <w:tcPr>
            <w:tcW w:w="1434" w:type="dxa"/>
            <w:tcBorders>
              <w:top w:val="nil"/>
              <w:left w:val="single" w:sz="4" w:space="0" w:color="auto"/>
              <w:bottom w:val="single" w:sz="4" w:space="0" w:color="auto"/>
              <w:right w:val="single" w:sz="4" w:space="0" w:color="auto"/>
            </w:tcBorders>
            <w:shd w:val="clear" w:color="auto" w:fill="auto"/>
          </w:tcPr>
          <w:p w14:paraId="2AB5D115" w14:textId="77777777" w:rsidR="006545B5" w:rsidRPr="006545B5" w:rsidRDefault="006545B5" w:rsidP="005C1CD8">
            <w:pPr>
              <w:jc w:val="right"/>
              <w:rPr>
                <w:rStyle w:val="cf01"/>
                <w:rFonts w:ascii="Times New Roman" w:hAnsi="Times New Roman" w:cs="Times New Roman"/>
                <w:sz w:val="20"/>
                <w:szCs w:val="20"/>
              </w:rPr>
            </w:pPr>
            <w:r>
              <w:rPr>
                <w:rStyle w:val="cf01"/>
                <w:rFonts w:ascii="Times New Roman" w:hAnsi="Times New Roman"/>
                <w:sz w:val="20"/>
              </w:rPr>
              <w:t>1 935</w:t>
            </w:r>
          </w:p>
        </w:tc>
      </w:tr>
      <w:tr w:rsidR="006545B5" w:rsidRPr="006545B5" w14:paraId="5FCCB3CD" w14:textId="77777777" w:rsidTr="005C1CD8">
        <w:trPr>
          <w:trHeight w:val="147"/>
        </w:trPr>
        <w:tc>
          <w:tcPr>
            <w:tcW w:w="2473" w:type="dxa"/>
          </w:tcPr>
          <w:p w14:paraId="008C23A7" w14:textId="77777777" w:rsidR="006545B5" w:rsidRPr="00F71645" w:rsidRDefault="006545B5">
            <w:pPr>
              <w:rPr>
                <w:rStyle w:val="cf01"/>
                <w:rFonts w:ascii="Times New Roman" w:hAnsi="Times New Roman" w:cs="Times New Roman"/>
                <w:b/>
                <w:bCs/>
                <w:sz w:val="20"/>
                <w:szCs w:val="20"/>
              </w:rPr>
            </w:pPr>
            <w:r>
              <w:rPr>
                <w:rStyle w:val="cf01"/>
                <w:rFonts w:ascii="Times New Roman" w:hAnsi="Times New Roman"/>
                <w:b/>
                <w:sz w:val="20"/>
              </w:rPr>
              <w:t xml:space="preserve">Total </w:t>
            </w:r>
          </w:p>
        </w:tc>
        <w:tc>
          <w:tcPr>
            <w:tcW w:w="1235" w:type="dxa"/>
            <w:tcBorders>
              <w:top w:val="nil"/>
              <w:left w:val="single" w:sz="4" w:space="0" w:color="auto"/>
              <w:bottom w:val="single" w:sz="4" w:space="0" w:color="auto"/>
              <w:right w:val="single" w:sz="4" w:space="0" w:color="auto"/>
            </w:tcBorders>
            <w:shd w:val="clear" w:color="auto" w:fill="auto"/>
          </w:tcPr>
          <w:p w14:paraId="1B406D66" w14:textId="77777777" w:rsidR="006545B5" w:rsidRPr="006545B5" w:rsidRDefault="006545B5" w:rsidP="005C1CD8">
            <w:pPr>
              <w:jc w:val="right"/>
              <w:rPr>
                <w:rStyle w:val="cf01"/>
                <w:rFonts w:ascii="Times New Roman" w:hAnsi="Times New Roman" w:cs="Times New Roman"/>
                <w:b/>
                <w:bCs/>
                <w:sz w:val="20"/>
                <w:szCs w:val="20"/>
              </w:rPr>
            </w:pPr>
            <w:r>
              <w:rPr>
                <w:rStyle w:val="cf01"/>
                <w:rFonts w:ascii="Times New Roman" w:hAnsi="Times New Roman"/>
                <w:b/>
                <w:sz w:val="20"/>
              </w:rPr>
              <w:t>194 501</w:t>
            </w:r>
          </w:p>
        </w:tc>
        <w:tc>
          <w:tcPr>
            <w:tcW w:w="1325" w:type="dxa"/>
          </w:tcPr>
          <w:p w14:paraId="11B1B095" w14:textId="7DDF85B5" w:rsidR="006545B5" w:rsidRPr="006545B5" w:rsidRDefault="005C1CD8" w:rsidP="005C1CD8">
            <w:pPr>
              <w:jc w:val="right"/>
              <w:rPr>
                <w:rStyle w:val="cf01"/>
                <w:rFonts w:ascii="Times New Roman" w:hAnsi="Times New Roman" w:cs="Times New Roman"/>
                <w:b/>
                <w:bCs/>
                <w:sz w:val="20"/>
                <w:szCs w:val="20"/>
              </w:rPr>
            </w:pPr>
            <w:proofErr w:type="spellStart"/>
            <w:r>
              <w:rPr>
                <w:rStyle w:val="cf01"/>
                <w:rFonts w:ascii="Times New Roman" w:hAnsi="Times New Roman"/>
                <w:b/>
                <w:sz w:val="20"/>
              </w:rPr>
              <w:t>s.o</w:t>
            </w:r>
            <w:proofErr w:type="spellEnd"/>
            <w:r>
              <w:rPr>
                <w:rStyle w:val="cf01"/>
                <w:rFonts w:ascii="Times New Roman" w:hAnsi="Times New Roman"/>
                <w:b/>
                <w:sz w:val="20"/>
              </w:rPr>
              <w:t>. </w:t>
            </w:r>
          </w:p>
        </w:tc>
        <w:tc>
          <w:tcPr>
            <w:tcW w:w="1299" w:type="dxa"/>
            <w:tcBorders>
              <w:top w:val="nil"/>
              <w:left w:val="single" w:sz="4" w:space="0" w:color="auto"/>
              <w:bottom w:val="single" w:sz="4" w:space="0" w:color="auto"/>
              <w:right w:val="single" w:sz="4" w:space="0" w:color="auto"/>
            </w:tcBorders>
            <w:shd w:val="clear" w:color="auto" w:fill="auto"/>
          </w:tcPr>
          <w:p w14:paraId="68D010E4" w14:textId="77777777" w:rsidR="006545B5" w:rsidRPr="006545B5" w:rsidRDefault="006545B5" w:rsidP="005C1CD8">
            <w:pPr>
              <w:jc w:val="right"/>
              <w:rPr>
                <w:rStyle w:val="cf01"/>
                <w:rFonts w:ascii="Times New Roman" w:hAnsi="Times New Roman" w:cs="Times New Roman"/>
                <w:b/>
                <w:bCs/>
                <w:sz w:val="20"/>
                <w:szCs w:val="20"/>
              </w:rPr>
            </w:pPr>
            <w:r>
              <w:rPr>
                <w:rStyle w:val="cf01"/>
                <w:rFonts w:ascii="Times New Roman" w:hAnsi="Times New Roman"/>
                <w:b/>
                <w:sz w:val="20"/>
              </w:rPr>
              <w:t>321 400</w:t>
            </w:r>
          </w:p>
        </w:tc>
        <w:tc>
          <w:tcPr>
            <w:tcW w:w="1674" w:type="dxa"/>
          </w:tcPr>
          <w:p w14:paraId="1124EB56" w14:textId="0BE0D03A" w:rsidR="006545B5" w:rsidRPr="006545B5" w:rsidRDefault="005C1CD8" w:rsidP="005C1CD8">
            <w:pPr>
              <w:jc w:val="right"/>
              <w:rPr>
                <w:rStyle w:val="cf01"/>
                <w:rFonts w:ascii="Times New Roman" w:hAnsi="Times New Roman" w:cs="Times New Roman"/>
                <w:b/>
                <w:bCs/>
                <w:sz w:val="20"/>
                <w:szCs w:val="20"/>
              </w:rPr>
            </w:pPr>
            <w:proofErr w:type="spellStart"/>
            <w:r>
              <w:rPr>
                <w:rStyle w:val="cf01"/>
                <w:rFonts w:ascii="Times New Roman" w:hAnsi="Times New Roman"/>
                <w:b/>
                <w:sz w:val="20"/>
              </w:rPr>
              <w:t>s.o</w:t>
            </w:r>
            <w:proofErr w:type="spellEnd"/>
            <w:r>
              <w:rPr>
                <w:rStyle w:val="cf01"/>
                <w:rFonts w:ascii="Times New Roman" w:hAnsi="Times New Roman"/>
                <w:b/>
                <w:sz w:val="20"/>
              </w:rPr>
              <w:t>. </w:t>
            </w:r>
          </w:p>
        </w:tc>
        <w:tc>
          <w:tcPr>
            <w:tcW w:w="1434" w:type="dxa"/>
            <w:tcBorders>
              <w:top w:val="nil"/>
              <w:left w:val="single" w:sz="4" w:space="0" w:color="auto"/>
              <w:bottom w:val="single" w:sz="4" w:space="0" w:color="auto"/>
              <w:right w:val="single" w:sz="4" w:space="0" w:color="auto"/>
            </w:tcBorders>
            <w:shd w:val="clear" w:color="auto" w:fill="auto"/>
          </w:tcPr>
          <w:p w14:paraId="5064FEA2" w14:textId="77777777" w:rsidR="006545B5" w:rsidRPr="006545B5" w:rsidRDefault="006545B5" w:rsidP="005C1CD8">
            <w:pPr>
              <w:jc w:val="right"/>
              <w:rPr>
                <w:rStyle w:val="cf01"/>
                <w:rFonts w:ascii="Times New Roman" w:hAnsi="Times New Roman" w:cs="Times New Roman"/>
                <w:b/>
                <w:bCs/>
                <w:sz w:val="20"/>
                <w:szCs w:val="20"/>
              </w:rPr>
            </w:pPr>
            <w:r>
              <w:rPr>
                <w:rStyle w:val="cf01"/>
                <w:rFonts w:ascii="Times New Roman" w:hAnsi="Times New Roman"/>
                <w:b/>
                <w:sz w:val="20"/>
              </w:rPr>
              <w:t>138 782</w:t>
            </w:r>
          </w:p>
        </w:tc>
      </w:tr>
    </w:tbl>
    <w:p w14:paraId="03B1ECB0" w14:textId="7856E985" w:rsidR="004177A6" w:rsidRPr="009931F4" w:rsidRDefault="004177A6" w:rsidP="004177A6">
      <w:pPr>
        <w:spacing w:before="240" w:after="240"/>
        <w:rPr>
          <w:b/>
        </w:rPr>
      </w:pPr>
      <w:r>
        <w:rPr>
          <w:u w:val="single"/>
        </w:rPr>
        <w:t>Stratégie d’élimination</w:t>
      </w:r>
    </w:p>
    <w:p w14:paraId="0DCD0C6E" w14:textId="1F433CD7" w:rsidR="005A64BA" w:rsidRPr="005A64BA" w:rsidRDefault="004177A6">
      <w:pPr>
        <w:pStyle w:val="Heading1"/>
        <w:rPr>
          <w:i/>
          <w:iCs/>
        </w:rPr>
      </w:pPr>
      <w:bookmarkStart w:id="7" w:name="_Hlk125636542"/>
      <w:bookmarkEnd w:id="6"/>
      <w:r>
        <w:t>La phase </w:t>
      </w:r>
      <w:bookmarkEnd w:id="7"/>
      <w:r>
        <w:t xml:space="preserve">II du PGEH se concentrera sur la promotion et l’adoption des technologies écoénergétiques avec des avantages pour l’ozone et le climat conformément à l’Amendement de Kigali. Le programme pour la phase II inclut des mesures telles que : la poursuite de l’élaboration du cadre juridique </w:t>
      </w:r>
      <w:r>
        <w:lastRenderedPageBreak/>
        <w:t>et réglementaire pour l’élimination des HCFC et le passage aux technologies de remplacement ; la poursuite des programmes de formation pour les douanes et les agents d’application ; la création d’un outil en ligne pour relier le Service des douanes et l’UNO pour un contrôle plus efficace des importations ; la poursuite des programmes de formation pour les techniciens d’entretien de l’équipement de réfrigération et de climatisation et l’introduction d’un programme de certification ; l’amélioration des outils et de l’équipement au centre d’excellence et l’établissement d’un nouveau centre de régénération ; une campagne pour attirer des femmes pour travailler dans le secteur de la réfrigération et de la climatisation ; et la poursuite d’activités de sensibilisation du public.</w:t>
      </w:r>
    </w:p>
    <w:p w14:paraId="19D59547" w14:textId="5D7C8A28" w:rsidR="004177A6" w:rsidRPr="005A64BA" w:rsidRDefault="004177A6" w:rsidP="005A64BA">
      <w:pPr>
        <w:pStyle w:val="Heading1"/>
        <w:numPr>
          <w:ilvl w:val="0"/>
          <w:numId w:val="0"/>
        </w:numPr>
        <w:rPr>
          <w:i/>
          <w:iCs/>
        </w:rPr>
      </w:pPr>
      <w:r>
        <w:rPr>
          <w:i/>
        </w:rPr>
        <w:t>Activités proposées</w:t>
      </w:r>
    </w:p>
    <w:p w14:paraId="31CC9305" w14:textId="3211C48E" w:rsidR="004177A6" w:rsidRPr="000E1D91" w:rsidRDefault="00021C1B" w:rsidP="004177A6">
      <w:pPr>
        <w:pStyle w:val="Heading1"/>
      </w:pPr>
      <w:bookmarkStart w:id="8" w:name="_Hlk126915743"/>
      <w:r>
        <w:t xml:space="preserve">Les activités suivantes sont proposées pour la phase II du PGEH : </w:t>
      </w:r>
    </w:p>
    <w:p w14:paraId="1030F292" w14:textId="23CD21EB" w:rsidR="004177A6" w:rsidRPr="002E0658" w:rsidRDefault="00320188" w:rsidP="00444EB0">
      <w:pPr>
        <w:pStyle w:val="Heading2"/>
        <w:numPr>
          <w:ilvl w:val="1"/>
          <w:numId w:val="1"/>
        </w:numPr>
      </w:pPr>
      <w:r>
        <w:rPr>
          <w:i/>
        </w:rPr>
        <w:t xml:space="preserve">renforcement de la capacité nationale de contrôle des HCFC (PNUE) (240 000 $ US) : </w:t>
      </w:r>
      <w:r>
        <w:t>mise en place de mesures législatives et réglementaires pour s’assurer d’un système fonctionnel d’octroi de permis et de quotas pour les importations de HCFC ; établissement d’une mesure réglementaire pour contrôler l’émission prévue de frigorigènes pendant l’installation, l’entretien et la mise hors service de l’équipement de réfrigération et de climatisation ; traduction des lois et réglementations pertinentes dans les langues locales et augmentation de l’efficacité des contrôles des importations de HCFC par l’introduction d’un outil en ligne qui devrait être opérationnel d’ici 2025 ; 32 formations au contrôle et à l’identification des HCFC et de l’équipement utilisant des HCFC, et aux lois et réglementations pertinentes pour environ 800 agents des douanes et d’application ; ateliers d’information et de sensibilisation pour les importateurs au sujet des procédures pour l’émission de permis et de quotas d’importation et des risques et dangers potentiels liés à certaines substances réfrigérantes ;</w:t>
      </w:r>
    </w:p>
    <w:p w14:paraId="40D69704" w14:textId="62D3ED5A" w:rsidR="004177A6" w:rsidRPr="002E0658" w:rsidRDefault="00B66B91" w:rsidP="004177A6">
      <w:pPr>
        <w:pStyle w:val="Heading2"/>
        <w:numPr>
          <w:ilvl w:val="1"/>
          <w:numId w:val="1"/>
        </w:numPr>
      </w:pPr>
      <w:r>
        <w:rPr>
          <w:i/>
        </w:rPr>
        <w:t>renforcement de la capacité des techniciens frigoristes pour les bonnes pratiques en matière de réfrigération (PNUE) (355 000 $ US)</w:t>
      </w:r>
      <w:r>
        <w:t> : mise à jour du manuel de formation et formation d’au moins 800 techniciens de réfrigération et climatisation aux bonnes pratiques pour la réfrigération, comprenant des techniques pour la récupération, le recyclage et la réutilisation des frigorigènes, et des mesures de sécurité pour la manipulation de frigorigènes et d’équipements neufs ; établissement d’un programme de certification pour les techniciens frigoristes, au titre duquel environ 60 techniciens seront certifiés chaque année de l’achèvement du programme à 2030 ; une campagne de sensibilisation pour promouvoir le programme de certification ; élaboration de normes et de protocoles réglementaires sur l’utilisation de substances inflammables et toxiques dans l’équipement de réfrigération et de climatisation ; campagnes ciblées pour que les étudiants s’orientent vers le domaine de la réfrigération et de la climatisation avec un effort particulier pour attirer les femmes dans ce domaine ; et</w:t>
      </w:r>
    </w:p>
    <w:p w14:paraId="036C5557" w14:textId="0BD709B9" w:rsidR="004177A6" w:rsidRDefault="005D495A" w:rsidP="004177A6">
      <w:pPr>
        <w:pStyle w:val="Heading2"/>
        <w:numPr>
          <w:ilvl w:val="1"/>
          <w:numId w:val="1"/>
        </w:numPr>
      </w:pPr>
      <w:r>
        <w:rPr>
          <w:i/>
        </w:rPr>
        <w:t>renforcement du centre d’excellence, établissement d’un nouveau centre d’excellence et d’un centre de régénération</w:t>
      </w:r>
      <w:r>
        <w:t xml:space="preserve"> </w:t>
      </w:r>
      <w:r>
        <w:rPr>
          <w:i/>
        </w:rPr>
        <w:t>(ONUDI) (315 000 $ US) :</w:t>
      </w:r>
      <w:r>
        <w:t xml:space="preserve"> acquisition de nouveaux outils et pièces de rechange pour le centre d’excellence existant et établissement d’un nouveau centre d’excellence ; acquisition et livraison d’outils et d’équipement</w:t>
      </w:r>
      <w:r w:rsidR="004F2CDD" w:rsidRPr="003B1730">
        <w:rPr>
          <w:rStyle w:val="FootnoteReference"/>
        </w:rPr>
        <w:footnoteReference w:id="8"/>
      </w:r>
      <w:r>
        <w:t>, et formation aux derniers développements technologiques ; établissement de deux centres de régénération et leur approvisionnement en outils et équipement</w:t>
      </w:r>
      <w:r w:rsidR="00547974" w:rsidRPr="00FE0256">
        <w:rPr>
          <w:rStyle w:val="FootnoteReference"/>
        </w:rPr>
        <w:footnoteReference w:id="9"/>
      </w:r>
      <w:r>
        <w:t xml:space="preserve"> ; formation intensive des formateurs en </w:t>
      </w:r>
      <w:r>
        <w:lastRenderedPageBreak/>
        <w:t>réfrigération et climatisation à l’utilisation des hydrocarbures ; fourniture de 10 identificateurs de frigorigènes pour le renforcement des douanes.</w:t>
      </w:r>
    </w:p>
    <w:p w14:paraId="1F7AA5CD" w14:textId="77777777" w:rsidR="004177A6" w:rsidRPr="00F42294" w:rsidRDefault="004177A6" w:rsidP="004177A6">
      <w:pPr>
        <w:widowControl w:val="0"/>
        <w:spacing w:before="240" w:after="240"/>
        <w:rPr>
          <w:i/>
          <w:iCs/>
        </w:rPr>
      </w:pPr>
      <w:bookmarkStart w:id="9" w:name="_Hlk126915749"/>
      <w:bookmarkEnd w:id="8"/>
      <w:r>
        <w:rPr>
          <w:i/>
        </w:rPr>
        <w:t>Mise en œuvre et suivi du projet</w:t>
      </w:r>
    </w:p>
    <w:bookmarkEnd w:id="9"/>
    <w:p w14:paraId="4D3A2251" w14:textId="5015B64D" w:rsidR="004177A6" w:rsidRPr="003B1730" w:rsidRDefault="004177A6" w:rsidP="00945C2B">
      <w:pPr>
        <w:pStyle w:val="Heading1"/>
      </w:pPr>
      <w:r>
        <w:t xml:space="preserve">Le système mis en place durant la phase I du PGEH sera maintenu durant la </w:t>
      </w:r>
      <w:bookmarkStart w:id="10" w:name="_Hlk125636825"/>
      <w:r>
        <w:t>phase II</w:t>
      </w:r>
      <w:bookmarkEnd w:id="10"/>
      <w:r>
        <w:t>, avec les activités de suivi de l’UNO et du PNUE, les rapports d’avancement et la collaboration avec les parties prenantes pour éliminer les HCFC. Ces activités représentent des coûts de 50 000 $ US pour le PNUE, ventilés comme suit : personnel de projet et consultants (30 000 $ US), déplacements intérieurs (11 000 $</w:t>
      </w:r>
      <w:r w:rsidR="00C45315">
        <w:t> </w:t>
      </w:r>
      <w:r>
        <w:t>US), réunions et ateliers (9 000 $ US).</w:t>
      </w:r>
    </w:p>
    <w:p w14:paraId="6BA1C676" w14:textId="77777777" w:rsidR="004177A6" w:rsidRPr="00030B44" w:rsidRDefault="004177A6" w:rsidP="004177A6">
      <w:pPr>
        <w:keepNext/>
        <w:spacing w:after="240"/>
        <w:rPr>
          <w:i/>
        </w:rPr>
      </w:pPr>
      <w:bookmarkStart w:id="11" w:name="_Hlk126915810"/>
      <w:r>
        <w:rPr>
          <w:i/>
        </w:rPr>
        <w:t>Mise en œuvre de la politique d’égalité des sexes</w:t>
      </w:r>
      <w:bookmarkEnd w:id="11"/>
    </w:p>
    <w:p w14:paraId="0A56AD8D" w14:textId="052C0739" w:rsidR="003E724D" w:rsidRDefault="00F80279">
      <w:pPr>
        <w:pStyle w:val="Heading1"/>
        <w:tabs>
          <w:tab w:val="left" w:pos="252"/>
        </w:tabs>
        <w:spacing w:after="20"/>
        <w:contextualSpacing/>
      </w:pPr>
      <w:r>
        <w:t>Le Gouvernement du Gabon, le PNUE et l’ONUDI sont pleinement engagés dans la mise en œuvre de la politique d’intégration des questions de genre du Fonds multilatéral et de leurs propres politiques d’égalité des sexes. Il a été observé que la participation des femmes avait augmenté ces dernières années et que les femmes comptaient pour 25,5 pour cent de la participation dans les programmes de formation à la réfrigération et la climatisation sur la période 2017–2022. En réponse à la décision 92/40, la phase II du PGEH continuera à encourager plus de femmes à se joindre aux domaines liés à la réfrigération et la climatisation. Une activité spécifique en matière de genres consistera en des campagnes ciblant les étudiantes à cette fin. La promotion des carrières dans le secteur de la réfrigération et la climatisation sera intégrée aux activités de célébration pour la Semaine nationale des femmes. L’intégration des questions de genre a été prise en considération lors de la planification et de la prise de décisions pour la phase II du PGEH et les affectations de budget ont pris en compte les activités d’intégration des questions de genre. La collecte de données ventilées par sexe se poursuivra.</w:t>
      </w:r>
    </w:p>
    <w:p w14:paraId="043B833C" w14:textId="77777777" w:rsidR="00C82249" w:rsidRDefault="00C82249" w:rsidP="00C82249"/>
    <w:p w14:paraId="4801D465" w14:textId="2BEB8A48" w:rsidR="002F397E" w:rsidRDefault="00C82249" w:rsidP="00216389">
      <w:pPr>
        <w:pStyle w:val="Heading1"/>
      </w:pPr>
      <w:r>
        <w:t xml:space="preserve">En ce qui concerne d’autres exigences et indicateurs d’efficacité obligatoires, l’UNO effectuera une évaluation des genres pendant la mise en œuvre de la première tranche, en utilisant un financement de renforcement des institutions, et des activités provenant des recommandations de l’évaluation seront mises en œuvre dans le cadre du budget de la phase II. </w:t>
      </w:r>
    </w:p>
    <w:p w14:paraId="2A95F900" w14:textId="4927B206" w:rsidR="004177A6" w:rsidRPr="00645365" w:rsidRDefault="004177A6" w:rsidP="00216389">
      <w:pPr>
        <w:keepNext/>
        <w:keepLines/>
        <w:widowControl w:val="0"/>
        <w:spacing w:before="240" w:after="240"/>
        <w:rPr>
          <w:u w:val="single"/>
        </w:rPr>
      </w:pPr>
      <w:bookmarkStart w:id="12" w:name="_Hlk126915819"/>
      <w:r>
        <w:rPr>
          <w:u w:val="single"/>
        </w:rPr>
        <w:t>Coût total de la phase II du plan de gestion de l’élimination des HCFC</w:t>
      </w:r>
    </w:p>
    <w:bookmarkEnd w:id="12"/>
    <w:p w14:paraId="567E3AD5" w14:textId="7C5DF78B" w:rsidR="004177A6" w:rsidRPr="000E1D91" w:rsidRDefault="004177A6" w:rsidP="004177A6">
      <w:pPr>
        <w:pStyle w:val="Heading1"/>
      </w:pPr>
      <w:r>
        <w:t>Le coût total de la phase II du PGEH pour le Gabon a été estimé à 960 000 $ US, conformément à la présentation initiale, pour atteindre une réduction de 67,5 pour cent par rapport à sa consommation de base de HCFC d’ici 2025 et une réduction de 100 pour cent d’ici 2030</w:t>
      </w:r>
      <w:r>
        <w:rPr>
          <w:b/>
        </w:rPr>
        <w:t>.</w:t>
      </w:r>
    </w:p>
    <w:p w14:paraId="2634B72E" w14:textId="5C6F5CE5" w:rsidR="004177A6" w:rsidRPr="00812F88" w:rsidRDefault="004177A6" w:rsidP="004177A6">
      <w:pPr>
        <w:keepNext/>
        <w:keepLines/>
        <w:widowControl w:val="0"/>
        <w:spacing w:before="240" w:after="240"/>
        <w:rPr>
          <w:u w:val="single"/>
        </w:rPr>
      </w:pPr>
      <w:bookmarkStart w:id="13" w:name="_Hlk126915832"/>
      <w:r>
        <w:rPr>
          <w:u w:val="single"/>
        </w:rPr>
        <w:t>Plan de mise en œuvre pour la première tranche de la phase II du plan de gestion de l’élimination des HCFC</w:t>
      </w:r>
    </w:p>
    <w:bookmarkEnd w:id="13"/>
    <w:p w14:paraId="4F64392D" w14:textId="4C738F39" w:rsidR="004177A6" w:rsidRPr="000E1D91" w:rsidRDefault="004177A6" w:rsidP="004177A6">
      <w:pPr>
        <w:pStyle w:val="Heading1"/>
      </w:pPr>
      <w:r>
        <w:t xml:space="preserve">La première tranche de financement de la phase II du PGEH, d’un montant total de 490 000 $ US, conformément à la proposition initiale, sera mise en œuvre entre juin 2024 et décembre 2026 et comprendra les activités suivantes : </w:t>
      </w:r>
    </w:p>
    <w:p w14:paraId="4B4AEED0" w14:textId="32ADA824" w:rsidR="00077CDB" w:rsidRPr="002E0658" w:rsidRDefault="00077CDB" w:rsidP="00077CDB">
      <w:pPr>
        <w:pStyle w:val="Heading2"/>
        <w:numPr>
          <w:ilvl w:val="1"/>
          <w:numId w:val="1"/>
        </w:numPr>
      </w:pPr>
      <w:r>
        <w:rPr>
          <w:i/>
        </w:rPr>
        <w:t>renforcement de la capacité nationale de contrôle des HCFC (PNUE) (138 000$ US) :</w:t>
      </w:r>
      <w:r>
        <w:t xml:space="preserve"> mise en place de mesures législatives et réglementaires pour s’assurer d’un système fonctionnel d’octroi de permis et de quotas pour les importations de HCFC ; traduction des lois et réglementations pertinentes dans les langues locales et augmentation de l’efficacité des contrôles des importations de HCFC par l’introduction d’un outil en ligne qui devrait être opérationnel d’ici 2025 ; 17 formations au contrôle et à l’identification des HCFC et de l’équipement utilisant des HCFC, et aux lois et réglementations pertinentes pour environ 425 agents des douanes et d’application ; ateliers d’information et de sensibilisation pour les importateurs au sujet des procédures pour l’émission de permis et de quotas d’importation, et des risques et dangers potentiels liés à certaines substances réfrigérantes ;</w:t>
      </w:r>
    </w:p>
    <w:p w14:paraId="14B887C5" w14:textId="30CD36EE" w:rsidR="00077CDB" w:rsidRPr="002E0658" w:rsidRDefault="00077CDB" w:rsidP="00077CDB">
      <w:pPr>
        <w:pStyle w:val="Heading2"/>
        <w:numPr>
          <w:ilvl w:val="1"/>
          <w:numId w:val="1"/>
        </w:numPr>
      </w:pPr>
      <w:r>
        <w:rPr>
          <w:i/>
        </w:rPr>
        <w:lastRenderedPageBreak/>
        <w:t>renforcement de la capacité des techniciens frigoristes pour les bonnes pratiques en matière de réfrigération (PNUE) (155 000$ US)</w:t>
      </w:r>
      <w:r>
        <w:t> : mise à jour du manuel de formation et formation d’au moins 320 techniciens de réfrigération et climatisation aux bonnes pratiques pour la réfrigération, comprenant des techniques pour la récupération, le recyclage et la réutilisation des frigorigènes, mesure de sécurité pour la manipulation de frigorigènes et d’équipements neufs ; élaboration de l’organisation institutionnelle et des procédures pour le programme de certification, consultation des parties prenantes et renforcement de la capacité des parties prenantes impliquées dans le processus de certification, campagne de sensibilisation au programme de certification et certifications initiales ; élaboration de normes et de protocoles réglementaires sur l’utilisation de substances inflammables et toxiques dans l’équipement de réfrigération et de climatisation ; campagnes ciblées pour que les étudiants s’orientent vers les domaines de la réfrigération et de la climatisation avec un effort particulier pour attirer des femmes dans ces domaines ;</w:t>
      </w:r>
    </w:p>
    <w:p w14:paraId="534AD0F7" w14:textId="53A16E42" w:rsidR="004177A6" w:rsidRPr="00961EB2" w:rsidRDefault="00077CDB" w:rsidP="00077CDB">
      <w:pPr>
        <w:pStyle w:val="Heading2"/>
        <w:numPr>
          <w:ilvl w:val="1"/>
          <w:numId w:val="1"/>
        </w:numPr>
      </w:pPr>
      <w:r>
        <w:rPr>
          <w:i/>
        </w:rPr>
        <w:t>renforcement du centre d’excellence, établissement d’un nouveau centre d’excellence et d’un centre de régénération (ONUDI) (182 000$ US) :</w:t>
      </w:r>
      <w:r>
        <w:t xml:space="preserve"> acquisition de nouveaux outils et pièces de rechange pour le centre d’excellence existant</w:t>
      </w:r>
      <w:r w:rsidR="00B92532" w:rsidRPr="00FE0256">
        <w:rPr>
          <w:rStyle w:val="FootnoteReference"/>
        </w:rPr>
        <w:footnoteReference w:id="10"/>
      </w:r>
      <w:r>
        <w:t xml:space="preserve">, et formation aux derniers développements technologiques ; </w:t>
      </w:r>
      <w:r>
        <w:rPr>
          <w:rStyle w:val="normaltextrun"/>
          <w:color w:val="000000"/>
          <w:shd w:val="clear" w:color="auto" w:fill="FFFFFF"/>
        </w:rPr>
        <w:t>établissement d’un centre de régénération et son approvisionnement en outils et équipement</w:t>
      </w:r>
      <w:r>
        <w:rPr>
          <w:rStyle w:val="superscript"/>
          <w:color w:val="000000"/>
          <w:shd w:val="clear" w:color="auto" w:fill="FFFFFF"/>
          <w:vertAlign w:val="superscript"/>
        </w:rPr>
        <w:t>8</w:t>
      </w:r>
      <w:r>
        <w:t xml:space="preserve"> ; formation intensive des formateurs en réfrigération et climatisation à l’utilisation des hydrocarbures ; fourniture de 10 identificateurs de frigorigènes aux douanes ; et </w:t>
      </w:r>
    </w:p>
    <w:p w14:paraId="783F7A01" w14:textId="1EAF14B9" w:rsidR="004177A6" w:rsidRPr="00D23504" w:rsidRDefault="004177A6" w:rsidP="003A117D">
      <w:pPr>
        <w:pStyle w:val="Heading2"/>
        <w:widowControl/>
        <w:numPr>
          <w:ilvl w:val="1"/>
          <w:numId w:val="1"/>
        </w:numPr>
      </w:pPr>
      <w:proofErr w:type="gramStart"/>
      <w:r>
        <w:rPr>
          <w:i/>
        </w:rPr>
        <w:t>suivi</w:t>
      </w:r>
      <w:proofErr w:type="gramEnd"/>
      <w:r>
        <w:rPr>
          <w:i/>
        </w:rPr>
        <w:t xml:space="preserve"> du projet (PNUE) (15 000 $ US)</w:t>
      </w:r>
      <w:r>
        <w:t> : personnel du projet et consultants, déplacements intérieurs, et réunions et ateliers.</w:t>
      </w:r>
    </w:p>
    <w:p w14:paraId="3638763E" w14:textId="77777777" w:rsidR="004177A6" w:rsidRPr="00996241" w:rsidRDefault="004177A6" w:rsidP="00FD2052">
      <w:pPr>
        <w:keepNext/>
        <w:spacing w:before="360" w:after="240"/>
        <w:jc w:val="center"/>
        <w:rPr>
          <w:b/>
        </w:rPr>
      </w:pPr>
      <w:bookmarkStart w:id="14" w:name="_Hlk126916095"/>
      <w:r>
        <w:rPr>
          <w:b/>
        </w:rPr>
        <w:t>OBSERVATIONS ET RECOMMANDATION DU SECRÉTARIAT</w:t>
      </w:r>
    </w:p>
    <w:p w14:paraId="2F1D085C" w14:textId="77777777" w:rsidR="004177A6" w:rsidRPr="00996241" w:rsidRDefault="004177A6" w:rsidP="00FD2052">
      <w:pPr>
        <w:keepNext/>
        <w:spacing w:after="240"/>
        <w:rPr>
          <w:b/>
        </w:rPr>
      </w:pPr>
      <w:r>
        <w:rPr>
          <w:b/>
        </w:rPr>
        <w:t>OBSERVATIONS</w:t>
      </w:r>
    </w:p>
    <w:bookmarkEnd w:id="14"/>
    <w:p w14:paraId="07D6711D" w14:textId="79F4C097" w:rsidR="004177A6" w:rsidRPr="00996241" w:rsidRDefault="004177A6" w:rsidP="004177A6">
      <w:pPr>
        <w:pStyle w:val="Heading1"/>
        <w:widowControl w:val="0"/>
      </w:pPr>
      <w:r>
        <w:t>Le Secrétariat a examiné la phase II du PGEH à la lumière de la phase I, des politiques et lignes directrices du Fonds multilatéral, incluant les critères de financement de l’élimination des HCFC dans le secteur de la consommation pour la phase II des PGEH (décision 74/50), ainsi que du plan d’activités du Fonds multilatéral pour la période 2024–2026.</w:t>
      </w:r>
    </w:p>
    <w:p w14:paraId="48BE2825" w14:textId="77777777" w:rsidR="004177A6" w:rsidRPr="00996241" w:rsidRDefault="004177A6" w:rsidP="004177A6">
      <w:pPr>
        <w:keepNext/>
        <w:spacing w:after="240"/>
        <w:rPr>
          <w:u w:val="single"/>
        </w:rPr>
      </w:pPr>
      <w:bookmarkStart w:id="15" w:name="_Hlk126916105"/>
      <w:r>
        <w:rPr>
          <w:u w:val="single"/>
        </w:rPr>
        <w:t>Stratégie globale</w:t>
      </w:r>
    </w:p>
    <w:bookmarkEnd w:id="15"/>
    <w:p w14:paraId="4216FFA3" w14:textId="6F31EBF6" w:rsidR="004177A6" w:rsidRDefault="004177A6" w:rsidP="004177A6">
      <w:pPr>
        <w:pStyle w:val="Heading1"/>
      </w:pPr>
      <w:r>
        <w:t>Le Gouvernement du Gabon a remis une lettre indiquant qu’il s’engageait à réduire de 100 % sa consommation de référence de HCFC et à se conformer aux mesures du Protocole de Montréal d’ici 2030, et que le pays n’aurait plus besoin de HCFC pour ses besoins d’entretien après 2030.</w:t>
      </w:r>
    </w:p>
    <w:p w14:paraId="2460DFB0" w14:textId="77777777" w:rsidR="004177A6" w:rsidRDefault="004177A6" w:rsidP="004177A6">
      <w:pPr>
        <w:widowControl w:val="0"/>
        <w:spacing w:after="240"/>
        <w:rPr>
          <w:u w:val="single"/>
        </w:rPr>
      </w:pPr>
      <w:bookmarkStart w:id="16" w:name="_Hlk126916111"/>
      <w:r>
        <w:rPr>
          <w:u w:val="single"/>
        </w:rPr>
        <w:t>Cadre juridique</w:t>
      </w:r>
    </w:p>
    <w:p w14:paraId="07254AC7" w14:textId="7A729F31" w:rsidR="002C0785" w:rsidRPr="008A4FA5" w:rsidRDefault="002C0785" w:rsidP="002C0785">
      <w:pPr>
        <w:pStyle w:val="Heading1"/>
        <w:widowControl w:val="0"/>
      </w:pPr>
      <w:bookmarkStart w:id="17" w:name="_Hlk126916116"/>
      <w:bookmarkEnd w:id="16"/>
      <w:r>
        <w:t>Le Gouvernement du Gabon a fixé les quotas d’importation de HCFC pour 2024 à 180 </w:t>
      </w:r>
      <w:proofErr w:type="spellStart"/>
      <w:r>
        <w:t>tm</w:t>
      </w:r>
      <w:proofErr w:type="spellEnd"/>
      <w:r>
        <w:t xml:space="preserve"> (9,9 tonnes PAO), ce qui est inférieur aux objectifs de contrôle du Protocole de Montréal. </w:t>
      </w:r>
    </w:p>
    <w:p w14:paraId="3BA488BD" w14:textId="2C47CB2F" w:rsidR="004177A6" w:rsidRDefault="004177A6" w:rsidP="00C45315">
      <w:pPr>
        <w:keepNext/>
        <w:keepLines/>
        <w:widowControl w:val="0"/>
        <w:spacing w:after="240"/>
      </w:pPr>
      <w:r>
        <w:rPr>
          <w:u w:val="single"/>
        </w:rPr>
        <w:lastRenderedPageBreak/>
        <w:t xml:space="preserve">Questions techniques et financières </w:t>
      </w:r>
    </w:p>
    <w:p w14:paraId="72CB2C91" w14:textId="77777777" w:rsidR="00631365" w:rsidRPr="00681C7E" w:rsidRDefault="00631365" w:rsidP="00C45315">
      <w:pPr>
        <w:pStyle w:val="Heading1"/>
        <w:keepNext/>
        <w:keepLines/>
        <w:widowControl w:val="0"/>
        <w:numPr>
          <w:ilvl w:val="0"/>
          <w:numId w:val="0"/>
        </w:numPr>
        <w:spacing w:before="240"/>
        <w:rPr>
          <w:rFonts w:cstheme="minorHAnsi"/>
          <w:i/>
          <w:iCs/>
        </w:rPr>
      </w:pPr>
      <w:r>
        <w:rPr>
          <w:i/>
        </w:rPr>
        <w:t>Programme de certification des techniciens</w:t>
      </w:r>
    </w:p>
    <w:p w14:paraId="77799E39" w14:textId="189249AD" w:rsidR="00631365" w:rsidRDefault="00631365" w:rsidP="00F1396D">
      <w:pPr>
        <w:pStyle w:val="Heading1"/>
      </w:pPr>
      <w:r>
        <w:t>En ce qui concerne l’établissement d’un programme de certification pour les techniciens de réfrigération et climatisation, le PNUE a expliqué que, lors de la première tranche, une évaluation de la situation et des besoins serait menée, comprenant l’organisation institutionnelle pour s’assurer que le programme est pérenne au-delà de la fin de la phase II, l’élaboration des procédures de certification, l’habilitation du centre de formation professionnelle pour la réalisation des fonctions de certificateur, et des consultations des parties prenantes pour l’examen des projets de procédures. Il est envisagé que le programme soit achevé d’ici la fin de la deuxième tranche, lorsque la capacité des principales parties prenantes impliquées dans le processus de certification aura été renforcée. La dernière tranche du PGEH sera utilisée pour s’assurer que le programme est mis en œuvre dans tout le pays et qu’il peut continuer à être fonctionnel après 2030. Le PNUE aidera le pays à ce sujet. Il est prévu que l’Agence gabonaise de normalisation (AGANOR) soit responsable de la certification et que, une fois opérationnelle, elle certifiera environ 60 techniciens tous les ans jusqu’en 2030. La certification ne sera pas obligatoire, mais sera exigée pour autoriser les techniciens à manipuler certains types de travaux d’entretien. Des initiatives seront mises en œuvre pour s’assurer que les techniciens sont motivés pour suivre le processus de certification.</w:t>
      </w:r>
    </w:p>
    <w:p w14:paraId="4D57AB88" w14:textId="6A296E7E" w:rsidR="002615BF" w:rsidRPr="00FE0256" w:rsidRDefault="00CC5A07" w:rsidP="00216389">
      <w:pPr>
        <w:pStyle w:val="Heading1"/>
        <w:widowControl w:val="0"/>
        <w:numPr>
          <w:ilvl w:val="0"/>
          <w:numId w:val="0"/>
        </w:numPr>
      </w:pPr>
      <w:r>
        <w:rPr>
          <w:i/>
        </w:rPr>
        <w:t>Centre de régénération</w:t>
      </w:r>
    </w:p>
    <w:p w14:paraId="60C7A8A2" w14:textId="3C76DBE5" w:rsidR="003E4488" w:rsidRPr="00FE0256" w:rsidRDefault="000A7583" w:rsidP="00216389">
      <w:pPr>
        <w:pStyle w:val="Heading1"/>
        <w:widowControl w:val="0"/>
        <w:spacing w:before="240"/>
      </w:pPr>
      <w:r>
        <w:t xml:space="preserve">Au sujet de l’établissement d’un centre de régénération, les agences ont expliqué que l’activité réduirait la quantité de frigorigène évacué dans l’atmosphère lors de l’entretien de l’équipement, et que le frigorigène récupéré réduirait les importations de HCFC neufs. Actuellement, sur les 64 ateliers existants, aucun ne dispose d’une machine de recyclage des gaz. Ainsi, une fois récupérés, les frigorigènes sont conservés dans des bouteilles de récupération et envoyés au centre d’excellence pour stockage. Elles sont alors traitées par une machine de recyclage pour une réutilisation potentielle. </w:t>
      </w:r>
      <w:bookmarkEnd w:id="17"/>
      <w:r>
        <w:t>En réponse aux commentaire</w:t>
      </w:r>
      <w:r w:rsidR="00CB1A9C">
        <w:t>s</w:t>
      </w:r>
      <w:r>
        <w:t xml:space="preserve"> du Secrétariat, le PNUE a indiqué que l’activité établirait un centre de régénération et non deux, comme l’indiquait la présentation initiale. Par conséquent, le PNUE a révisé les coûts de la composante de 45 000 $</w:t>
      </w:r>
      <w:r w:rsidR="00C45315">
        <w:t> </w:t>
      </w:r>
      <w:r>
        <w:t xml:space="preserve">US et a fourni une liste d’équipements et d’activités pour l’établissement d’un centre. </w:t>
      </w:r>
    </w:p>
    <w:p w14:paraId="2E8AA961" w14:textId="16F56F9D" w:rsidR="003E3C5E" w:rsidRPr="00480B2E" w:rsidRDefault="00592418" w:rsidP="00216389">
      <w:pPr>
        <w:pStyle w:val="Heading1"/>
        <w:widowControl w:val="0"/>
        <w:spacing w:before="240"/>
      </w:pPr>
      <w:r>
        <w:t>Étant donné l’investissement conséquent, et en l’absence de modèle économique pour l’exploitation du centre de régénération et pour rendre l’opération pérenne, le Secrétariat a recommandé, conformément à une pratique déjà appliquée, de concevoir le modèle économique pendant la première tranche et d’acheter l’équipement nécessaire pendant la deuxième</w:t>
      </w:r>
      <w:r>
        <w:rPr>
          <w:rStyle w:val="cf01"/>
          <w:rFonts w:ascii="Times New Roman" w:hAnsi="Times New Roman"/>
          <w:sz w:val="22"/>
        </w:rPr>
        <w:t xml:space="preserve"> tranche sur la base de ce modèle. </w:t>
      </w:r>
      <w:r>
        <w:t>L’ONUDI, avec le soutien d’un expert international et d’un expert national, aidera le Gouvernement à élaborer un modèle économique complet démontrant la faisabilité technique de l’activité en termes de quantités de HCFC à récupérer et réutiliser, et de viabilité financière, lors de la présentation de la demande pour de futures tranches.</w:t>
      </w:r>
    </w:p>
    <w:p w14:paraId="0C389C61" w14:textId="107F17F5" w:rsidR="003E3C5E" w:rsidRPr="00480B2E" w:rsidRDefault="00DC4E74" w:rsidP="00C77C52">
      <w:pPr>
        <w:pStyle w:val="Heading1"/>
      </w:pPr>
      <w:r>
        <w:t xml:space="preserve">Le pays ne dispose actuellement pas du cadre réglementaire de soutien pour s’assurer de la pérennité de la régénération et de la réutilisation des HCFC et </w:t>
      </w:r>
      <w:r>
        <w:rPr>
          <w:shd w:val="clear" w:color="auto" w:fill="FFFFFF"/>
        </w:rPr>
        <w:t xml:space="preserve">d’autres substances réglementées, mais une proposition de texte réglementaire est en cours de préparation pour fournir un cadre pour la récupération et la réutilisation pérennes. Les agences ont également confirmé </w:t>
      </w:r>
      <w:r>
        <w:t>l’engagement du Gouvernement à établir des mesures réglementaires pour contrôler l’émission prévue de frigorigène pendant l’installation, l’entretien et la mise hors service de l’équipement de réfrigération et de climatisation.</w:t>
      </w:r>
    </w:p>
    <w:p w14:paraId="318AD53C" w14:textId="5BD85A16" w:rsidR="00C3660D" w:rsidRPr="00123A03" w:rsidRDefault="00F723F2" w:rsidP="00123A03">
      <w:pPr>
        <w:pStyle w:val="Heading1"/>
        <w:keepNext/>
        <w:keepLines/>
        <w:widowControl w:val="0"/>
        <w:numPr>
          <w:ilvl w:val="0"/>
          <w:numId w:val="0"/>
        </w:numPr>
        <w:spacing w:before="240"/>
        <w:rPr>
          <w:rStyle w:val="cf01"/>
          <w:rFonts w:ascii="Times New Roman" w:hAnsi="Times New Roman" w:cs="Times New Roman"/>
          <w:i/>
          <w:iCs/>
          <w:sz w:val="22"/>
          <w:szCs w:val="22"/>
        </w:rPr>
      </w:pPr>
      <w:r>
        <w:rPr>
          <w:rStyle w:val="cf01"/>
          <w:rFonts w:ascii="Times New Roman" w:hAnsi="Times New Roman"/>
          <w:i/>
          <w:sz w:val="22"/>
        </w:rPr>
        <w:t xml:space="preserve">Formation intensive </w:t>
      </w:r>
      <w:r>
        <w:rPr>
          <w:i/>
        </w:rPr>
        <w:t>à l’utilisation des hydrocarbures</w:t>
      </w:r>
    </w:p>
    <w:p w14:paraId="1BE02853" w14:textId="14FD6A3E" w:rsidR="00F723F2" w:rsidRPr="00560B31" w:rsidRDefault="00EE1925" w:rsidP="00560B31">
      <w:pPr>
        <w:pStyle w:val="Heading1"/>
      </w:pPr>
      <w:r>
        <w:t xml:space="preserve">Sur demande du Secrétariat, l’ONUDI a expliqué que cette activité vise à donner accès à un programme de formation spécialisé à cinq formateurs expérimentés sélectionnés chez les parties prenantes du secteur de la réfrigération et la climatisation, qui formeront des techniciens une fois le programme terminé. En suivant ce programme, les participants acquerront des connaissances et des compétences </w:t>
      </w:r>
      <w:r>
        <w:lastRenderedPageBreak/>
        <w:t>essentielles nécessaires pour se maintenir à jour au sujet des dernières évolutions et avancées technologiques dans le secteur de la réfrigération et la climatisation, en mettant surtout en avant les aspects de sécurité et d’efficacité énergétique. Le programme de formation des formateurs d’une semaine est divisé en plusieurs étapes afin d’assurer un apprentissage complet, c’est-à-dire des sessions initiales de formation en ligne, des sessions pratiques avancées (au Centre du refroidissement propre de Vienne, en Autriche), qui permettront aux participants de suivre une formation pratique et des cours théoriques au centre de formation. Ces sessions concerneront principalement les protocoles de sécurité, les pratiques de maintenance et les caractéristiques uniques des frigorigènes aux hydrocarbures. De plus, les participants disposeront des compétences nécessaires pour assurer un fonctionnement écoénergétique, se maintenir à jour en ce qui concerne les normes et réglementations pertinentes, et explorer des concepts de systèmes innovants. Les participants n’amélioreront pas seulement leur propre expertise, mais contribueront aussi considérablement aux activités de formation dans leur pays pour les techniciens d’entretien, nourrissant ainsi une culture de l’apprentissage continu et du développement professionnel au sein de leur secteur local de réfrigération et de climatisation.</w:t>
      </w:r>
    </w:p>
    <w:p w14:paraId="0FAC5EAB" w14:textId="62CFE3C8" w:rsidR="00BC0A34" w:rsidRPr="000B02D4" w:rsidRDefault="00BC0A34" w:rsidP="00EB0A71">
      <w:pPr>
        <w:pStyle w:val="pf0"/>
        <w:rPr>
          <w:i/>
          <w:sz w:val="22"/>
          <w:szCs w:val="22"/>
        </w:rPr>
      </w:pPr>
      <w:r>
        <w:rPr>
          <w:i/>
          <w:sz w:val="22"/>
        </w:rPr>
        <w:t>Centre d’excellence</w:t>
      </w:r>
    </w:p>
    <w:p w14:paraId="4C52A226" w14:textId="6E8DA3AA" w:rsidR="00CC5A07" w:rsidRPr="000B02D4" w:rsidRDefault="00EB0A71" w:rsidP="008636B6">
      <w:pPr>
        <w:pStyle w:val="Heading1"/>
      </w:pPr>
      <w:r>
        <w:t>Le Gabon dispose actuellement d’un centre d’excellence. Selon l’enquête réalisée par le PNUE, il est préférable d’améliorer le centre existant de Libreville. Les outils achetés et fournis au centre sont utilisés depuis cinq à dix ans, et il est nécessaire de continuer à renforcer ce centre. En même temps, il est également nécessaire, afin de satisfaire à la demande croissante du marché de la réfrigération et de la climatisation du pays, d’établir un autre centre d’excellence. Le Gouvernement et le PNUE recommandent qu’il soit établi dans le centre économique actuel du pays, Port-Gentil, connu pour son activité industrielle importante et en croissance.</w:t>
      </w:r>
    </w:p>
    <w:p w14:paraId="23DD8524" w14:textId="0479B648" w:rsidR="004177A6" w:rsidRPr="00A41DE2" w:rsidRDefault="004177A6" w:rsidP="004177A6">
      <w:pPr>
        <w:widowControl w:val="0"/>
        <w:spacing w:before="240" w:after="240"/>
        <w:outlineLvl w:val="0"/>
        <w:rPr>
          <w:u w:val="single"/>
        </w:rPr>
      </w:pPr>
      <w:r>
        <w:rPr>
          <w:u w:val="single"/>
        </w:rPr>
        <w:t>Coût total du projet</w:t>
      </w:r>
    </w:p>
    <w:p w14:paraId="54F4C278" w14:textId="17E469FB" w:rsidR="00EC3802" w:rsidRPr="000E1D91" w:rsidRDefault="004177A6" w:rsidP="000E1D91">
      <w:pPr>
        <w:pStyle w:val="Heading1"/>
      </w:pPr>
      <w:r>
        <w:t>Le coût total pour la phase II du PGEH, tel que convenu, s’élève à 915 000 $ US, soit 345 000 $</w:t>
      </w:r>
      <w:r w:rsidR="00C45315">
        <w:t> </w:t>
      </w:r>
      <w:r>
        <w:t>US de moins que le niveau de financement maximum admissible pour un pays à faible volume de consommation sur la base de la décision 74/50 c) xii). Le PNUE a expliqué que le Gouvernement en avait conscience et que, en regard des années restantes jusqu’à 2030 et de la capacité existante de l’UNO, le Gouvernement était convaincu que le financement convenu permettrait l’élimination complète des HCFC d’ici 2030.</w:t>
      </w:r>
      <w:bookmarkStart w:id="18" w:name="_Hlk126916178"/>
    </w:p>
    <w:p w14:paraId="5454A2C5" w14:textId="4C370117" w:rsidR="00981B58" w:rsidRDefault="00981B58" w:rsidP="002F5F6E">
      <w:pPr>
        <w:keepNext/>
        <w:rPr>
          <w:i/>
          <w:iCs/>
        </w:rPr>
      </w:pPr>
      <w:r>
        <w:rPr>
          <w:i/>
        </w:rPr>
        <w:t>Répartition des tranches</w:t>
      </w:r>
    </w:p>
    <w:p w14:paraId="25B81766" w14:textId="77777777" w:rsidR="00197568" w:rsidRDefault="00197568" w:rsidP="002F5F6E">
      <w:pPr>
        <w:keepNext/>
        <w:rPr>
          <w:i/>
          <w:iCs/>
          <w:lang w:val="en-US"/>
        </w:rPr>
      </w:pPr>
    </w:p>
    <w:p w14:paraId="799A785B" w14:textId="180E7D08" w:rsidR="00197568" w:rsidRPr="001D700B" w:rsidRDefault="00197568" w:rsidP="00FD2052">
      <w:pPr>
        <w:pStyle w:val="Heading1"/>
        <w:keepNext/>
      </w:pPr>
      <w:r>
        <w:t>Après les délibérations avec l’ONUDI au sujet des coûts prévus pour l’établissement d’un centre de régénération, l’élaboration d’un plan d’activités, l’identification de l’équipement nécessaire et de l’institution d’accueil du centre de régénération lors de la première tranche, et de l’acquisition de l’équipement lors de la deuxième tranche, ainsi que de la proportion du financement total requis pour la première tranche, l’ONUDI a convenu de réviser la répartition des tranches. En conséquence, la première tranche, dont la demande s’élevait initialement à 490 000 $ US (plus des coûts d’appui à l’agence), soit 308 000 $ US pour le PNUE et 182 000 $ US pour l’ONUDI, a été réduite à 336 000 $ US (plus des coûts d’appui à l’agence), soit 181 000 $ US pour le PNUE, et 155 000 $ US pour l’ONUDI.</w:t>
      </w:r>
    </w:p>
    <w:p w14:paraId="1A2EC6CD" w14:textId="57FE61A4" w:rsidR="004177A6" w:rsidRPr="00922C9C" w:rsidRDefault="004177A6" w:rsidP="00216389">
      <w:pPr>
        <w:pStyle w:val="Heading1"/>
        <w:keepNext/>
        <w:numPr>
          <w:ilvl w:val="0"/>
          <w:numId w:val="0"/>
        </w:numPr>
        <w:rPr>
          <w:u w:val="single"/>
        </w:rPr>
      </w:pPr>
      <w:r>
        <w:rPr>
          <w:u w:val="single"/>
        </w:rPr>
        <w:t>Incidence sur le climat</w:t>
      </w:r>
    </w:p>
    <w:bookmarkEnd w:id="18"/>
    <w:p w14:paraId="0F8D5CA6" w14:textId="37CF7BAD" w:rsidR="004177A6" w:rsidRDefault="004177A6">
      <w:pPr>
        <w:pStyle w:val="Heading1"/>
      </w:pPr>
      <w:r>
        <w:t>Les activités proposées dans le secteur de l’entretien, qui incluent un meilleur confinement des frigorigènes par de la formation et la fourniture d’équipements, réduiront la quantité de HCFC</w:t>
      </w:r>
      <w:r>
        <w:noBreakHyphen/>
        <w:t>22 utilisé pour l’entretien de l’équipement de réfrigération et de climatisation. Chaque kilogramme de HCFC-22 non émis grâce à de meilleures pratiques en réfrigération permet d’économiser environ 1,8 tonne équivalent CO</w:t>
      </w:r>
      <w:r>
        <w:rPr>
          <w:vertAlign w:val="subscript"/>
        </w:rPr>
        <w:t>2</w:t>
      </w:r>
      <w:r>
        <w:t xml:space="preserve">. Bien que le PGEH ne contenait aucune évaluation des incidences sur le climat, les activités prévues par le Gabon, notamment ses efforts pour encourager le passage aux technologies de remplacement ; </w:t>
      </w:r>
      <w:r>
        <w:lastRenderedPageBreak/>
        <w:t xml:space="preserve">l’habilitation de contrôles plus efficaces des importations ; et la poursuite de la formation des techniciens de réfrigération et climatisation, et l’introduction d’un programme de certification indiquent que la mise en œuvre du PGEH permettra de réduire les émissions de frigorigènes dans l’atmosphère, apportant ainsi des avantages pour le climat. </w:t>
      </w:r>
    </w:p>
    <w:p w14:paraId="3D280C4B" w14:textId="77777777" w:rsidR="004177A6" w:rsidRPr="00EE1B05" w:rsidRDefault="004177A6" w:rsidP="004177A6">
      <w:pPr>
        <w:spacing w:after="240"/>
        <w:rPr>
          <w:u w:val="single"/>
        </w:rPr>
      </w:pPr>
      <w:bookmarkStart w:id="19" w:name="_Hlk126916186"/>
      <w:r>
        <w:rPr>
          <w:u w:val="single"/>
        </w:rPr>
        <w:t>Durabilité de l’élimination des HCFC et évaluation des risques</w:t>
      </w:r>
    </w:p>
    <w:bookmarkEnd w:id="19"/>
    <w:p w14:paraId="09E4A399" w14:textId="7A0C890E" w:rsidR="000929DF" w:rsidRPr="00A41DE2" w:rsidRDefault="000929DF" w:rsidP="000929DF">
      <w:pPr>
        <w:pStyle w:val="Heading1"/>
      </w:pPr>
      <w:r>
        <w:t>Le PNUE a confirmé que le pays, après l’instabilité politique qu’il a traversé</w:t>
      </w:r>
      <w:r w:rsidR="00CB1A9C">
        <w:t>e</w:t>
      </w:r>
      <w:r>
        <w:t xml:space="preserve"> en 2023, est apte à mettre en œuvre les activités de la phase II du PGEH. Le PNUE surveille la situation, en proche collaboration avec le Coordinateur résident de l’ONU dans le pays.</w:t>
      </w:r>
    </w:p>
    <w:p w14:paraId="4B61A8EE" w14:textId="799B1F4A" w:rsidR="00D4687E" w:rsidRDefault="006744A1" w:rsidP="00D60691">
      <w:pPr>
        <w:pStyle w:val="Heading1"/>
      </w:pPr>
      <w:r>
        <w:t>Les activités envisagées au titre de la phase II contribueraient à l’aptitude du pays à utiliser des solutions de remplacement exemptes de HCFC et possiblement aussi à faible PRP. Le PNUE a mentionné qu’il n’y avait aucun risque perçu ou identifié pour l’adoption de solutions de remplacement sans HCFC au cours de la mise en œuvre de la phase II, étant donné la situation d’importateur dans laquelle se trouve le pays. Le code harmonisé 29.03.71.00 pour le HCFC-22 est utilisé dans le pays depuis 2012. Le système de codage national actuel, adopté en février 2023 par la Direction générale des douanes et droits indirects du Gabon, s’appuie sur les codes prescrits en 2022 par l’Organisation mondiale des douanes, avec des sous-codes nationaux supplémentaires. Ceci a amélioré la surveillance des importations de HCFC dans le pays. L’outil en ligne, à établir pendant la phase II, reliera les douanes et l’UNO pour un contrôle plus efficace des importations de SAO et un échange d’informations en temps réel.</w:t>
      </w:r>
    </w:p>
    <w:p w14:paraId="3B8ECFE2" w14:textId="0271639C" w:rsidR="000233F4" w:rsidRPr="00D55EAA" w:rsidRDefault="000233F4" w:rsidP="0029497F">
      <w:pPr>
        <w:pStyle w:val="Heading1"/>
      </w:pPr>
      <w:r>
        <w:t>Le PNUE a confirmé que les systèmes de surveillance seront encore renforcés pendant la mise en œuvre du projet, afin de garantir la pérennité des résultats du projet après 2030. Il est prévu que tous les agents des douanes et d’application continueront à être formés de manière régulière, de sorte d’assurer un contrôle approprié et d’éviter le commerce illicite des HCFC. En outre, la mise en œuvre du système de licences et de quotas sera améliorée pour garantir que les importations de HCFC restent sous contrôle, et les contrôles aux frontières seront renforcés pour garantir que l’élimination progressive des HCFC se poursuive au-delà de 2030.</w:t>
      </w:r>
    </w:p>
    <w:p w14:paraId="37E0468A" w14:textId="77777777" w:rsidR="004177A6" w:rsidRPr="00DC2B3A" w:rsidRDefault="004177A6" w:rsidP="00DB2256">
      <w:pPr>
        <w:widowControl w:val="0"/>
        <w:spacing w:after="240"/>
        <w:outlineLvl w:val="0"/>
        <w:rPr>
          <w:bCs/>
          <w:u w:val="single"/>
        </w:rPr>
      </w:pPr>
      <w:bookmarkStart w:id="20" w:name="_Hlk126916207"/>
      <w:r>
        <w:rPr>
          <w:u w:val="single"/>
        </w:rPr>
        <w:t xml:space="preserve">Cofinancement </w:t>
      </w:r>
    </w:p>
    <w:bookmarkEnd w:id="20"/>
    <w:p w14:paraId="685758B7" w14:textId="32081781" w:rsidR="00DA6EC4" w:rsidRPr="00DA6EC4" w:rsidRDefault="00DA6EC4" w:rsidP="00C50FBB">
      <w:pPr>
        <w:pStyle w:val="Heading1"/>
        <w:widowControl w:val="0"/>
      </w:pPr>
      <w:r>
        <w:t xml:space="preserve">Le Gouvernement du Gabon contribuera à la mise en œuvre de la phase II du PGEH, notamment à la surveillance et l’évaluation du PGEH, ainsi qu’à d’autres composantes. L’ancrage de l’UNO au sein du </w:t>
      </w:r>
      <w:proofErr w:type="gramStart"/>
      <w:r>
        <w:t>Ministère de l’environnement</w:t>
      </w:r>
      <w:proofErr w:type="gramEnd"/>
      <w:r>
        <w:t xml:space="preserve"> simplifiera la mise en œuvre du PGEH, y compris les aspects qui ne sont pas couverts par le Fonds multilatéral. Ce soutien se fera principalement en nature, sous la forme de loyer de bureaux, d’affectation de personnel local temporaire pour aider lors des réunions et des ateliers, de transport pour les participants aux réunions et aux ateliers.</w:t>
      </w:r>
    </w:p>
    <w:p w14:paraId="1960AEF9" w14:textId="31DE3C06" w:rsidR="004177A6" w:rsidRPr="00DC2B3A" w:rsidRDefault="004177A6" w:rsidP="00DB2256">
      <w:pPr>
        <w:keepNext/>
        <w:keepLines/>
        <w:spacing w:after="240"/>
        <w:outlineLvl w:val="0"/>
        <w:rPr>
          <w:bCs/>
          <w:u w:val="single"/>
        </w:rPr>
      </w:pPr>
      <w:bookmarkStart w:id="21" w:name="_Hlk126916238"/>
      <w:r>
        <w:rPr>
          <w:u w:val="single"/>
        </w:rPr>
        <w:t xml:space="preserve">Projet de plan d’activités du Fonds multilatéral pour 2024–2026 </w:t>
      </w:r>
    </w:p>
    <w:bookmarkEnd w:id="21"/>
    <w:p w14:paraId="0A7F5CBB" w14:textId="5C4ECAD7" w:rsidR="004177A6" w:rsidRDefault="00C33719" w:rsidP="004177A6">
      <w:pPr>
        <w:pStyle w:val="Heading1"/>
        <w:keepNext/>
        <w:keepLines/>
      </w:pPr>
      <w:r>
        <w:t>Le PNUE et l’ONUDI demandent 915 000 $ US, plus des coûts d’appui aux agences, pour la mise en œuvre de la phase II du PGEH pour le Gabon. La somme totale demandée de 369 566$ US, coûts d’appui à l’agence inclus, pour la période de 2024 à 2026, est inférieure de 173 214$ US au montant du plan d’activités.</w:t>
      </w:r>
    </w:p>
    <w:p w14:paraId="53151BE5" w14:textId="563FB950" w:rsidR="004177A6" w:rsidRPr="00DC2B3A" w:rsidRDefault="004177A6" w:rsidP="004177A6">
      <w:pPr>
        <w:spacing w:after="240"/>
        <w:outlineLvl w:val="0"/>
        <w:rPr>
          <w:bCs/>
          <w:u w:val="single"/>
        </w:rPr>
      </w:pPr>
      <w:bookmarkStart w:id="22" w:name="_Hlk126916245"/>
      <w:r>
        <w:rPr>
          <w:u w:val="single"/>
        </w:rPr>
        <w:t>Projet d’Accord</w:t>
      </w:r>
    </w:p>
    <w:bookmarkEnd w:id="22"/>
    <w:p w14:paraId="6BDBEF3D" w14:textId="385CFD19" w:rsidR="004177A6" w:rsidRDefault="004177A6" w:rsidP="004177A6">
      <w:pPr>
        <w:pStyle w:val="Heading1"/>
      </w:pPr>
      <w:r>
        <w:t>Le projet d’Accord entre le Gouvernement du Gabon et le Comité exécutif pour la phase II du PGEH est joint à l’annexe I au présent document.</w:t>
      </w:r>
    </w:p>
    <w:p w14:paraId="6F75E933" w14:textId="77777777" w:rsidR="004177A6" w:rsidRPr="00996241" w:rsidRDefault="004177A6" w:rsidP="004177A6">
      <w:pPr>
        <w:keepNext/>
        <w:keepLines/>
        <w:autoSpaceDE w:val="0"/>
        <w:autoSpaceDN w:val="0"/>
        <w:adjustRightInd w:val="0"/>
        <w:spacing w:before="360" w:after="240"/>
        <w:outlineLvl w:val="0"/>
        <w:rPr>
          <w:b/>
        </w:rPr>
      </w:pPr>
      <w:bookmarkStart w:id="23" w:name="_Hlk126916251"/>
      <w:r>
        <w:rPr>
          <w:b/>
        </w:rPr>
        <w:lastRenderedPageBreak/>
        <w:t>RECOMMANDATION</w:t>
      </w:r>
    </w:p>
    <w:bookmarkEnd w:id="23"/>
    <w:p w14:paraId="45F19166" w14:textId="77777777" w:rsidR="004177A6" w:rsidRPr="00996241" w:rsidRDefault="004177A6" w:rsidP="004177A6">
      <w:pPr>
        <w:pStyle w:val="Heading1"/>
        <w:rPr>
          <w:b/>
        </w:rPr>
      </w:pPr>
      <w:r>
        <w:t>Le Comité exécutif pourrait souhaiter :</w:t>
      </w:r>
    </w:p>
    <w:p w14:paraId="5F63D43D" w14:textId="17EAE7D2" w:rsidR="004177A6" w:rsidRPr="00996241" w:rsidRDefault="004177A6" w:rsidP="004177A6">
      <w:pPr>
        <w:widowControl w:val="0"/>
        <w:numPr>
          <w:ilvl w:val="1"/>
          <w:numId w:val="1"/>
        </w:numPr>
        <w:spacing w:after="240"/>
        <w:outlineLvl w:val="1"/>
      </w:pPr>
      <w:r>
        <w:t>approuver, en principe, la phase II du plan de gestion de l’élimination des HCFC (PGEH) du Gabon pour la période allant de 2024 à 2030 en vue de l’élimination complète de la consommation de HCFC, pour un montant de 1 014 850 $ US, soit 645 000 $ US, plus des coûts d’appui à l’agence de 80 950 $ US, pour le PNUE et 270 000 $ US, plus des coûts d’appui à l’agence de 18 900 $ US, pour l’ONUDI, étant entendu qu’aucun autre financement du Fonds multilatéral ne sera fourni pour l’élimination des HCFC et qu’aucun entretien ne sera nécessaire ;</w:t>
      </w:r>
    </w:p>
    <w:p w14:paraId="3E08986D" w14:textId="77777777" w:rsidR="0083580E" w:rsidRDefault="004177A6" w:rsidP="004177A6">
      <w:pPr>
        <w:widowControl w:val="0"/>
        <w:numPr>
          <w:ilvl w:val="1"/>
          <w:numId w:val="1"/>
        </w:numPr>
        <w:spacing w:after="240"/>
        <w:outlineLvl w:val="1"/>
      </w:pPr>
      <w:proofErr w:type="gramStart"/>
      <w:r>
        <w:t>prendre</w:t>
      </w:r>
      <w:proofErr w:type="gramEnd"/>
      <w:r>
        <w:t xml:space="preserve"> note de l’engagement du Gouvernement du Gabon à :</w:t>
      </w:r>
    </w:p>
    <w:p w14:paraId="13D20E5E" w14:textId="6E819B49" w:rsidR="004177A6" w:rsidRDefault="0083580E" w:rsidP="00E37C44">
      <w:pPr>
        <w:pStyle w:val="Heading3"/>
      </w:pPr>
      <w:proofErr w:type="gramStart"/>
      <w:r>
        <w:t>éliminer</w:t>
      </w:r>
      <w:proofErr w:type="gramEnd"/>
      <w:r>
        <w:t xml:space="preserve"> complètement les HCFC d’ici le 1</w:t>
      </w:r>
      <w:r>
        <w:rPr>
          <w:vertAlign w:val="superscript"/>
        </w:rPr>
        <w:t>er</w:t>
      </w:r>
      <w:r>
        <w:t> janvier 2030, interdire l’importation de HCFC d’ici cette date, et interdire l’importation d’équipements avec HCFC d’ici le 1</w:t>
      </w:r>
      <w:r>
        <w:rPr>
          <w:vertAlign w:val="superscript"/>
        </w:rPr>
        <w:t>er</w:t>
      </w:r>
      <w:r>
        <w:t> janvier 2027 ;</w:t>
      </w:r>
    </w:p>
    <w:p w14:paraId="07FA93E7" w14:textId="6FF7E326" w:rsidR="003947F9" w:rsidRPr="00191C75" w:rsidRDefault="0083580E" w:rsidP="00E37C44">
      <w:pPr>
        <w:pStyle w:val="Heading3"/>
      </w:pPr>
      <w:proofErr w:type="gramStart"/>
      <w:r>
        <w:t>établir</w:t>
      </w:r>
      <w:proofErr w:type="gramEnd"/>
      <w:r>
        <w:t xml:space="preserve"> des mesures réglementaires pour contrôler l’émission prévue de frigorigène pendant l’installation, l’entretien et la mise hors service de l’équipement de réfrigération et de climatisation, dans le cadre de la phase II du PGEH ;</w:t>
      </w:r>
    </w:p>
    <w:p w14:paraId="02945ED6" w14:textId="08C22BA6" w:rsidR="004177A6" w:rsidRPr="00996241" w:rsidRDefault="004177A6">
      <w:pPr>
        <w:widowControl w:val="0"/>
        <w:numPr>
          <w:ilvl w:val="1"/>
          <w:numId w:val="1"/>
        </w:numPr>
        <w:spacing w:after="240"/>
        <w:outlineLvl w:val="1"/>
      </w:pPr>
      <w:proofErr w:type="gramStart"/>
      <w:r>
        <w:t>déduire</w:t>
      </w:r>
      <w:proofErr w:type="gramEnd"/>
      <w:r>
        <w:t xml:space="preserve"> 19,63 tonnes PAO de HCFC de la consommation de HCFC restante admissible au financement ;</w:t>
      </w:r>
    </w:p>
    <w:p w14:paraId="081474F6" w14:textId="77777777" w:rsidR="00E37C44" w:rsidRDefault="004177A6" w:rsidP="004177A6">
      <w:pPr>
        <w:widowControl w:val="0"/>
        <w:numPr>
          <w:ilvl w:val="1"/>
          <w:numId w:val="1"/>
        </w:numPr>
        <w:spacing w:after="240"/>
        <w:outlineLvl w:val="1"/>
      </w:pPr>
      <w:proofErr w:type="gramStart"/>
      <w:r>
        <w:t>approuver</w:t>
      </w:r>
      <w:proofErr w:type="gramEnd"/>
      <w:r>
        <w:t> :</w:t>
      </w:r>
    </w:p>
    <w:p w14:paraId="2E7943E5" w14:textId="77777777" w:rsidR="00D5226E" w:rsidRDefault="00E37C44" w:rsidP="00D5226E">
      <w:pPr>
        <w:pStyle w:val="Heading3"/>
      </w:pPr>
      <w:proofErr w:type="gramStart"/>
      <w:r>
        <w:t>le</w:t>
      </w:r>
      <w:proofErr w:type="gramEnd"/>
      <w:r>
        <w:t xml:space="preserve"> projet d’accord entre le Gouvernement du Gabon et le Comité exécutif pour la réduction de la consommation de HCFC, conformément à la phase II du PGEH, figurant à l’annexe I au présent document ; et</w:t>
      </w:r>
    </w:p>
    <w:p w14:paraId="0B7B62FB" w14:textId="6E035CAE" w:rsidR="003478C8" w:rsidRPr="00D5226E" w:rsidRDefault="00D5226E" w:rsidP="00D5226E">
      <w:pPr>
        <w:pStyle w:val="Heading3"/>
        <w:sectPr w:rsidR="003478C8" w:rsidRPr="00D5226E" w:rsidSect="00F16225">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roofErr w:type="gramStart"/>
      <w:r>
        <w:t>la</w:t>
      </w:r>
      <w:proofErr w:type="gramEnd"/>
      <w:r>
        <w:t xml:space="preserve"> première tranche de la phase II du PGEH pour le Gabon, et le plan de mise en œuvre de tranche correspondant, au montant de 369 566 $ US, soit 181 000 $ US, plus des coûts d’appui à l’agence de 22 716 $ US, pour le PNUE, et 155 000 $ US, plus des coûts d’appui à l’agence de 10 850 $ US, pour l’ONUDI.</w:t>
      </w:r>
    </w:p>
    <w:p w14:paraId="1790F587" w14:textId="77777777" w:rsidR="004177A6" w:rsidRDefault="004177A6" w:rsidP="004177A6">
      <w:pPr>
        <w:widowControl w:val="0"/>
        <w:spacing w:after="240"/>
        <w:jc w:val="center"/>
        <w:rPr>
          <w:b/>
          <w:bCs/>
        </w:rPr>
      </w:pPr>
      <w:r>
        <w:rPr>
          <w:b/>
        </w:rPr>
        <w:lastRenderedPageBreak/>
        <w:t>Annexe I</w:t>
      </w:r>
    </w:p>
    <w:p w14:paraId="6EC7DE2C" w14:textId="68EDA7AB" w:rsidR="004177A6" w:rsidRPr="00B375EA" w:rsidRDefault="004177A6" w:rsidP="005C79AB">
      <w:pPr>
        <w:jc w:val="center"/>
        <w:rPr>
          <w:b/>
        </w:rPr>
      </w:pPr>
      <w:r>
        <w:rPr>
          <w:b/>
        </w:rPr>
        <w:t>PROJET D’ACCORD ENTRE LE GOUVERNEMENT DU GABON ET LE COMITÉ EXÉCUTIF DU FONDS MULTILATÉRAL POUR LA RÉDUCTION DE LA CONSOMMATION DES HYDROFLUOROCARBURES CONFORMÉMENT À LA DEUXIÈME PHASE DU PLAN DE GESTION DE L’ÉLIMINATION DES HCFC</w:t>
      </w:r>
    </w:p>
    <w:p w14:paraId="04A334E6" w14:textId="07407D9D" w:rsidR="004177A6" w:rsidRPr="00B375EA" w:rsidRDefault="004177A6" w:rsidP="005C79AB">
      <w:pPr>
        <w:spacing w:before="240" w:after="240"/>
        <w:rPr>
          <w:b/>
        </w:rPr>
      </w:pPr>
      <w:r>
        <w:rPr>
          <w:b/>
        </w:rPr>
        <w:t>Objet</w:t>
      </w:r>
    </w:p>
    <w:p w14:paraId="0431193A" w14:textId="3F1121F5" w:rsidR="004177A6" w:rsidRPr="00B375EA" w:rsidRDefault="004177A6">
      <w:pPr>
        <w:pStyle w:val="Heading1"/>
        <w:numPr>
          <w:ilvl w:val="0"/>
          <w:numId w:val="13"/>
        </w:numPr>
        <w:spacing w:before="240"/>
      </w:pPr>
      <w:r>
        <w:t>Le présent Accord représente l’entente conclue entre le Gouvernement du Gabon (le « Pays ») et le Comité exécutif concernant la réduction de l’usage réglementé des substances appauvrissant la couche d’ozone (SAO) indiquées à l’appendice 1-A (les « Substances ») à un niveau durable de zéro tonne PAO d’ici au 1</w:t>
      </w:r>
      <w:r>
        <w:rPr>
          <w:vertAlign w:val="superscript"/>
        </w:rPr>
        <w:t>er</w:t>
      </w:r>
      <w:r>
        <w:t> janvier 2030, conformément au calendrier de réduction du Protocole de Montréal.</w:t>
      </w:r>
    </w:p>
    <w:p w14:paraId="6AA165FD" w14:textId="695EF6AA" w:rsidR="004177A6" w:rsidRDefault="004177A6" w:rsidP="004177A6">
      <w:pPr>
        <w:pStyle w:val="Heading1"/>
      </w:pPr>
      <w: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4CD28349" w14:textId="7CBDD32C" w:rsidR="004177A6" w:rsidRPr="00B375EA" w:rsidRDefault="004177A6" w:rsidP="004177A6">
      <w:pPr>
        <w:pStyle w:val="Heading1"/>
      </w:pPr>
      <w:r>
        <w:t>Sous réserve du respect par le Pays de ses obligations définies dans le présent Accord, le Comité exécutif convient, en principe, d’accorder au Pays le financement indiqué à la ligne 3.1 de l’Appendice 2</w:t>
      </w:r>
      <w:r w:rsidR="009F4C46">
        <w:noBreakHyphen/>
      </w:r>
      <w:r>
        <w:t>A. Le Comité exécutif accordera, en principe, ce financement lors de ses réunions spécifiées à l’Appendice 3</w:t>
      </w:r>
      <w:r w:rsidR="009F4C46">
        <w:noBreakHyphen/>
      </w:r>
      <w:r>
        <w:t>A (Calendrier d’approbation du financement).</w:t>
      </w:r>
    </w:p>
    <w:p w14:paraId="43036255" w14:textId="39C49722" w:rsidR="004177A6" w:rsidRPr="00B375EA" w:rsidRDefault="004177A6" w:rsidP="004177A6">
      <w:pPr>
        <w:pStyle w:val="Heading1"/>
      </w:pPr>
      <w:r>
        <w:t>Le Pays accepte de mettre en œuvre le présent Accord conformément à la phase II du plan de gestion de l’élimination des HCFC approuvé (le « Plan »). Conformément au paragraphe 5 b) du présent Accord, le Pays acceptera une vérification indépendante du respect des limites de consommation annuelle des Substances, énumérées à la ligne 1.2 de l’Appendice 2-A du présent Accord. La vérification mentionnée ci-dessus sera commandée par l’agence bilatérale ou d’exécution pertinente.</w:t>
      </w:r>
    </w:p>
    <w:p w14:paraId="73E03669" w14:textId="77777777" w:rsidR="004177A6" w:rsidRPr="00B375EA" w:rsidRDefault="004177A6" w:rsidP="004177A6">
      <w:pPr>
        <w:spacing w:after="240"/>
        <w:rPr>
          <w:b/>
        </w:rPr>
      </w:pPr>
      <w:r>
        <w:rPr>
          <w:b/>
        </w:rPr>
        <w:t>Conditions de décaissement du financement</w:t>
      </w:r>
    </w:p>
    <w:p w14:paraId="7B944AAF" w14:textId="77777777" w:rsidR="004177A6" w:rsidRPr="00B375EA" w:rsidRDefault="004177A6" w:rsidP="004177A6">
      <w:pPr>
        <w:pStyle w:val="Heading1"/>
      </w:pPr>
      <w:r>
        <w:t>Le Comité exécutif accordera le financement prévu selon le calendrier d’approbation du financement uniquement lorsque le Pays aura satisfait aux conditions suivantes, au moins huit semaines avant la réunion du Comité exécutif indiquée dans le calendrier d’approbation du financement :</w:t>
      </w:r>
    </w:p>
    <w:p w14:paraId="03021530" w14:textId="77777777" w:rsidR="004177A6" w:rsidRPr="00B375EA" w:rsidRDefault="004177A6" w:rsidP="004177A6">
      <w:pPr>
        <w:pStyle w:val="Heading2"/>
        <w:numPr>
          <w:ilvl w:val="1"/>
          <w:numId w:val="1"/>
        </w:numPr>
        <w:tabs>
          <w:tab w:val="clear" w:pos="0"/>
          <w:tab w:val="num" w:pos="-720"/>
        </w:tabs>
      </w:pPr>
      <w:proofErr w:type="gramStart"/>
      <w:r>
        <w:t>le</w:t>
      </w:r>
      <w:proofErr w:type="gramEnd"/>
      <w:r>
        <w:t xml:space="preserve"> Pays a atteint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01F37E6D" w14:textId="77777777" w:rsidR="004177A6" w:rsidRPr="00B375EA" w:rsidRDefault="004177A6" w:rsidP="004177A6">
      <w:pPr>
        <w:pStyle w:val="Heading2"/>
        <w:numPr>
          <w:ilvl w:val="1"/>
          <w:numId w:val="1"/>
        </w:numPr>
        <w:tabs>
          <w:tab w:val="clear" w:pos="0"/>
          <w:tab w:val="num" w:pos="-720"/>
        </w:tabs>
      </w:pPr>
      <w:proofErr w:type="gramStart"/>
      <w:r>
        <w:t>le</w:t>
      </w:r>
      <w:proofErr w:type="gramEnd"/>
      <w:r>
        <w:t xml:space="preserve"> respect de ces Objectifs a été vérifié de manière indépendante pour toutes les années concernées, à moins que le Comité exécutif n’ait décidé que cette vérification n’était pas nécessaire ;</w:t>
      </w:r>
    </w:p>
    <w:p w14:paraId="7545C09D" w14:textId="77777777" w:rsidR="004177A6" w:rsidRPr="00B375EA" w:rsidRDefault="004177A6" w:rsidP="004177A6">
      <w:pPr>
        <w:pStyle w:val="Heading2"/>
        <w:widowControl/>
        <w:numPr>
          <w:ilvl w:val="1"/>
          <w:numId w:val="1"/>
        </w:numPr>
        <w:tabs>
          <w:tab w:val="clear" w:pos="0"/>
          <w:tab w:val="num" w:pos="-720"/>
        </w:tabs>
      </w:pPr>
      <w:proofErr w:type="gramStart"/>
      <w:r>
        <w:t>le</w:t>
      </w:r>
      <w:proofErr w:type="gramEnd"/>
      <w:r>
        <w:t xml:space="preserve"> Pays a soumis un rapport sur la mise en œuvre de la tranche, selon le format décrit à l’Appendice 4-A (« Format des rapports et des plans de mise en œuvre de la tranche »), </w:t>
      </w:r>
      <w:r>
        <w:lastRenderedPageBreak/>
        <w:t>pour chaque année civile précédente, indiquant qu’il avait achevé une part importante de la mise en œuvre des activités amorcées lors des tranches précédentes approuvées ; et que le taux de décaissement des fonds disponibles provenant de la tranche précédente approuvée était supérieur à 20 pour cent ; et</w:t>
      </w:r>
    </w:p>
    <w:p w14:paraId="0FFB2D89" w14:textId="77777777" w:rsidR="004177A6" w:rsidRPr="00B375EA" w:rsidRDefault="004177A6" w:rsidP="004177A6">
      <w:pPr>
        <w:pStyle w:val="Heading2"/>
        <w:keepNext/>
        <w:widowControl/>
        <w:numPr>
          <w:ilvl w:val="1"/>
          <w:numId w:val="1"/>
        </w:numPr>
        <w:tabs>
          <w:tab w:val="clear" w:pos="0"/>
          <w:tab w:val="num" w:pos="-720"/>
        </w:tabs>
      </w:pPr>
      <w:proofErr w:type="gramStart"/>
      <w:r>
        <w:t>le</w:t>
      </w:r>
      <w:proofErr w:type="gramEnd"/>
      <w:r>
        <w:t xml:space="preserve"> Pays a soumis un plan de mise en œuvre de la tranche, selon le format défini à l’Appendice 4</w:t>
      </w:r>
      <w:r>
        <w:noBreakHyphen/>
        <w:t>A, pour chaque année civile, y compris l’année civile au cours de laquelle le calendrier de financement prévoit la soumission de la prochaine tranche ou, dans le cas de la tranche finale, jusqu’à l’achèvement de toutes les activités prévues.</w:t>
      </w:r>
    </w:p>
    <w:p w14:paraId="320E9F56" w14:textId="77777777" w:rsidR="004177A6" w:rsidRPr="005D03A9" w:rsidRDefault="004177A6" w:rsidP="004177A6">
      <w:pPr>
        <w:keepNext/>
        <w:spacing w:before="240" w:after="240"/>
        <w:rPr>
          <w:b/>
        </w:rPr>
      </w:pPr>
      <w:r>
        <w:rPr>
          <w:b/>
        </w:rPr>
        <w:t>Suivi</w:t>
      </w:r>
    </w:p>
    <w:p w14:paraId="7603736A" w14:textId="77777777" w:rsidR="004177A6" w:rsidRPr="00B375EA" w:rsidRDefault="004177A6" w:rsidP="004177A6">
      <w:pPr>
        <w:pStyle w:val="Heading1"/>
        <w:keepNext/>
      </w:pPr>
      <w:r>
        <w:t>Le pays veillera à effectuer un suivi précis de ses activités dans le cadre du présent Accord. Les institutions spécifiées à l’Appendice 5-A (« Les institutions de suivi et leur rôle ») feront le suivi et soumettront un rapport sur la mise en œuvre des activités des plans précédents de mise en œuvre de la tranche, conformément à leurs rôle et responsabilités précisés dans le même Appendice.</w:t>
      </w:r>
    </w:p>
    <w:p w14:paraId="7D6FAD27" w14:textId="77777777" w:rsidR="004177A6" w:rsidRPr="00B375EA" w:rsidRDefault="004177A6" w:rsidP="004177A6">
      <w:pPr>
        <w:keepNext/>
        <w:spacing w:before="240" w:after="240"/>
        <w:rPr>
          <w:b/>
        </w:rPr>
      </w:pPr>
      <w:r>
        <w:rPr>
          <w:b/>
        </w:rPr>
        <w:t>Souplesse dans la réaffectation des fonds</w:t>
      </w:r>
    </w:p>
    <w:p w14:paraId="4052B6EA" w14:textId="77777777" w:rsidR="004177A6" w:rsidRPr="00B375EA" w:rsidRDefault="004177A6" w:rsidP="004177A6">
      <w:pPr>
        <w:pStyle w:val="Heading1"/>
        <w:keepNext/>
      </w:pPr>
      <w:r>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 1-A :</w:t>
      </w:r>
    </w:p>
    <w:p w14:paraId="404011B0" w14:textId="1F331D60" w:rsidR="004177A6" w:rsidRPr="00B375EA" w:rsidRDefault="004177A6" w:rsidP="004177A6">
      <w:pPr>
        <w:pStyle w:val="Heading2"/>
        <w:numPr>
          <w:ilvl w:val="1"/>
          <w:numId w:val="1"/>
        </w:numPr>
        <w:tabs>
          <w:tab w:val="clear" w:pos="0"/>
          <w:tab w:val="num" w:pos="-720"/>
        </w:tabs>
      </w:pPr>
      <w:proofErr w:type="gramStart"/>
      <w:r>
        <w:t>les</w:t>
      </w:r>
      <w:proofErr w:type="gramEnd"/>
      <w:r>
        <w:t xml:space="preserve"> réaffectations classées comme changements majeurs doivent être documentées à l’avance, soit dans un plan de mise en œuvre de la tranche, tel que prévu à l’alinéa 5 d) ci</w:t>
      </w:r>
      <w:r w:rsidR="009F4C46">
        <w:noBreakHyphen/>
      </w:r>
      <w:r>
        <w:t>dessus, soit dans une révision d’un plan de mise en œuvre de la tranche existant, à remettre huit semaines avant toute réunion du Comité exécutif, pour approbation. Les</w:t>
      </w:r>
      <w:r w:rsidR="009F4C46">
        <w:t> </w:t>
      </w:r>
      <w:r>
        <w:t>changements majeurs concernent :</w:t>
      </w:r>
    </w:p>
    <w:p w14:paraId="74F36F3E" w14:textId="77777777" w:rsidR="004177A6" w:rsidRPr="00B375EA" w:rsidRDefault="004177A6" w:rsidP="004177A6">
      <w:pPr>
        <w:pStyle w:val="Heading3"/>
        <w:numPr>
          <w:ilvl w:val="2"/>
          <w:numId w:val="1"/>
        </w:numPr>
      </w:pPr>
      <w:proofErr w:type="gramStart"/>
      <w:r>
        <w:t>des</w:t>
      </w:r>
      <w:proofErr w:type="gramEnd"/>
      <w:r>
        <w:t xml:space="preserve"> enjeux qui pourraient concerner les règles et politiques du Fonds multilatéral ;</w:t>
      </w:r>
    </w:p>
    <w:p w14:paraId="39FF835A" w14:textId="77777777" w:rsidR="004177A6" w:rsidRPr="00B375EA" w:rsidRDefault="004177A6" w:rsidP="004177A6">
      <w:pPr>
        <w:pStyle w:val="Heading3"/>
        <w:numPr>
          <w:ilvl w:val="2"/>
          <w:numId w:val="1"/>
        </w:numPr>
      </w:pPr>
      <w:proofErr w:type="gramStart"/>
      <w:r>
        <w:t>des</w:t>
      </w:r>
      <w:proofErr w:type="gramEnd"/>
      <w:r>
        <w:t xml:space="preserve"> changements qui modifieraient une clause quelconque du présent Accord ;</w:t>
      </w:r>
    </w:p>
    <w:p w14:paraId="1A5EE7D8" w14:textId="77777777" w:rsidR="004177A6" w:rsidRPr="00B375EA" w:rsidRDefault="004177A6" w:rsidP="004177A6">
      <w:pPr>
        <w:pStyle w:val="Heading3"/>
        <w:numPr>
          <w:ilvl w:val="2"/>
          <w:numId w:val="1"/>
        </w:numPr>
      </w:pPr>
      <w:proofErr w:type="gramStart"/>
      <w:r>
        <w:t>des</w:t>
      </w:r>
      <w:proofErr w:type="gramEnd"/>
      <w:r>
        <w:t xml:space="preserve"> changements dans les montants annuels du financement alloué à des agences individuelles bilatérales ou d’exécution pour les différentes tranches ;</w:t>
      </w:r>
    </w:p>
    <w:p w14:paraId="45F0FC45" w14:textId="77777777" w:rsidR="004177A6" w:rsidRPr="00B375EA" w:rsidRDefault="004177A6" w:rsidP="004177A6">
      <w:pPr>
        <w:pStyle w:val="Heading3"/>
        <w:numPr>
          <w:ilvl w:val="2"/>
          <w:numId w:val="1"/>
        </w:numPr>
      </w:pPr>
      <w:proofErr w:type="gramStart"/>
      <w:r>
        <w:t>l’octroi</w:t>
      </w:r>
      <w:proofErr w:type="gramEnd"/>
      <w:r>
        <w:t xml:space="preserve"> de fonds pour des activités qui ne sont pas incluses dans le plan approuvé de mise en œuvre de la tranche en cours ou bien le retrait d’une activité du plan de mise en œuvre de la tranche, représentant un coût supérieur à 30 pour cent du coût total de la dernière tranche approuvée ;</w:t>
      </w:r>
    </w:p>
    <w:p w14:paraId="490AC2C0" w14:textId="77777777" w:rsidR="004177A6" w:rsidRPr="00B375EA" w:rsidRDefault="004177A6" w:rsidP="004177A6">
      <w:pPr>
        <w:pStyle w:val="Heading3"/>
        <w:numPr>
          <w:ilvl w:val="2"/>
          <w:numId w:val="1"/>
        </w:numPr>
      </w:pPr>
      <w:proofErr w:type="gramStart"/>
      <w:r>
        <w:t>des</w:t>
      </w:r>
      <w:proofErr w:type="gramEnd"/>
      <w:r>
        <w:t xml:space="preserve"> changements dans les technologies de remplacement, étant entendu que toute soumission relative à une telle demande devra identifier les coûts différentiels associés, l’incidence potentielle sur le climat, et toute différence en tonnes PAO à éliminer, le cas échéant ; et confirmer que le Pays accepte que les économies potentielles liées à ce changement de technologie réduisent, en conséquence, le niveau du financement global prévu dans le présent Accord ;</w:t>
      </w:r>
    </w:p>
    <w:p w14:paraId="3CDE17DE" w14:textId="0C1CB1C1" w:rsidR="004177A6" w:rsidRPr="00B375EA" w:rsidRDefault="004177A6" w:rsidP="004177A6">
      <w:pPr>
        <w:pStyle w:val="Heading2"/>
        <w:numPr>
          <w:ilvl w:val="1"/>
          <w:numId w:val="1"/>
        </w:numPr>
        <w:tabs>
          <w:tab w:val="clear" w:pos="0"/>
          <w:tab w:val="num" w:pos="-720"/>
        </w:tabs>
      </w:pPr>
      <w:proofErr w:type="gramStart"/>
      <w:r>
        <w:t>les</w:t>
      </w:r>
      <w:proofErr w:type="gramEnd"/>
      <w:r>
        <w:t xml:space="preserve"> réaffectations qui ne sont pas classées comme changements majeurs peuvent être intégrées au plan approuvé de mise en œuvre de la tranche, en cours d’application à ce moment-là, et communiquées au Comité exécutif dans le rapport suivant sur la mise en œuvre de la tranche ; et</w:t>
      </w:r>
    </w:p>
    <w:p w14:paraId="3BDF9A7D" w14:textId="77777777" w:rsidR="004177A6" w:rsidRPr="00B375EA" w:rsidRDefault="004177A6" w:rsidP="004177A6">
      <w:pPr>
        <w:pStyle w:val="Heading2"/>
        <w:numPr>
          <w:ilvl w:val="1"/>
          <w:numId w:val="1"/>
        </w:numPr>
        <w:tabs>
          <w:tab w:val="clear" w:pos="0"/>
          <w:tab w:val="num" w:pos="-720"/>
        </w:tabs>
      </w:pPr>
      <w:proofErr w:type="gramStart"/>
      <w:r>
        <w:lastRenderedPageBreak/>
        <w:t>tous</w:t>
      </w:r>
      <w:proofErr w:type="gramEnd"/>
      <w:r>
        <w:t xml:space="preserve"> les fonds restants, détenus par les agences bilatérales ou d’exécution ou par le Pays dans le cadre du plan, seront restitués au Fonds multilatéral à l’achèvement de la dernière tranche prévue dans le cadre du présent Accord.</w:t>
      </w:r>
    </w:p>
    <w:p w14:paraId="0C3686F4" w14:textId="77777777" w:rsidR="004177A6" w:rsidRPr="00F61D55" w:rsidRDefault="004177A6" w:rsidP="004177A6">
      <w:pPr>
        <w:keepNext/>
        <w:spacing w:before="240" w:after="240"/>
        <w:rPr>
          <w:b/>
        </w:rPr>
      </w:pPr>
      <w:r>
        <w:rPr>
          <w:b/>
        </w:rPr>
        <w:t>Considérations sur le secteur de l’entretien de l’équipement de réfrigération</w:t>
      </w:r>
    </w:p>
    <w:p w14:paraId="22E3F471" w14:textId="77777777" w:rsidR="004177A6" w:rsidRPr="00B375EA" w:rsidRDefault="004177A6" w:rsidP="004177A6">
      <w:pPr>
        <w:pStyle w:val="Heading1"/>
        <w:keepNext/>
      </w:pPr>
      <w:r>
        <w:t>Une attention particulière sera accordée à l’exécution des activités dans le secteur de l’entretien de l’équipement de réfrigération, incluses dans le Plan, notamment :</w:t>
      </w:r>
    </w:p>
    <w:p w14:paraId="1E255690" w14:textId="77777777" w:rsidR="004177A6" w:rsidRPr="00B375EA" w:rsidRDefault="004177A6" w:rsidP="004177A6">
      <w:pPr>
        <w:pStyle w:val="Heading2"/>
        <w:numPr>
          <w:ilvl w:val="1"/>
          <w:numId w:val="1"/>
        </w:numPr>
        <w:tabs>
          <w:tab w:val="clear" w:pos="0"/>
          <w:tab w:val="num" w:pos="-720"/>
        </w:tabs>
      </w:pPr>
      <w:proofErr w:type="gramStart"/>
      <w:r>
        <w:t>le</w:t>
      </w:r>
      <w:proofErr w:type="gramEnd"/>
      <w:r>
        <w:t xml:space="preserve"> Pays utilisera la souplesse prévue dans le cadre du présent Accord pour répondre aux besoins spécifiques qui pourraient survenir durant la mise en œuvre du projet ; et</w:t>
      </w:r>
    </w:p>
    <w:p w14:paraId="19769F0B" w14:textId="77777777" w:rsidR="004177A6" w:rsidRPr="00B375EA" w:rsidRDefault="004177A6" w:rsidP="004177A6">
      <w:pPr>
        <w:pStyle w:val="Heading2"/>
        <w:numPr>
          <w:ilvl w:val="1"/>
          <w:numId w:val="1"/>
        </w:numPr>
        <w:tabs>
          <w:tab w:val="clear" w:pos="0"/>
          <w:tab w:val="num" w:pos="-720"/>
        </w:tabs>
      </w:pPr>
      <w:proofErr w:type="gramStart"/>
      <w:r>
        <w:t>le</w:t>
      </w:r>
      <w:proofErr w:type="gramEnd"/>
      <w:r>
        <w:t xml:space="preserve"> Pays et les agences bilatérales et/ou d’exécution concernées tiendront compte des décisions pertinentes concernant le secteur de l’entretien de l’équipement de réfrigération pendant la mise en œuvre du plan.</w:t>
      </w:r>
    </w:p>
    <w:p w14:paraId="76C01C78" w14:textId="77777777" w:rsidR="004177A6" w:rsidRPr="00F61D55" w:rsidRDefault="004177A6" w:rsidP="004177A6">
      <w:pPr>
        <w:keepNext/>
        <w:spacing w:before="240" w:after="240"/>
        <w:rPr>
          <w:b/>
        </w:rPr>
      </w:pPr>
      <w:r>
        <w:rPr>
          <w:b/>
        </w:rPr>
        <w:t>Agences bilatérales et d’exécution</w:t>
      </w:r>
    </w:p>
    <w:p w14:paraId="43111FA1" w14:textId="05E6417A" w:rsidR="004177A6" w:rsidRPr="00B375EA" w:rsidRDefault="004177A6" w:rsidP="004177A6">
      <w:pPr>
        <w:pStyle w:val="Heading1"/>
        <w:keepNext/>
      </w:pPr>
      <w:r>
        <w:t>Le Pays s’engage à assumer l’entière responsabilité de la gestion et de la mise en œuvre du présent Accord et de toutes les activités entreprises qu’il engagera ou qui seront engagées en son nom afin de remplir les obligations prévues par le présent Accord. Le PNUE a convenu d’agir en qualité d’agence d’exécution principale (« l’Agence principale ») et l’ONUDI a convenu d’agir en qualité d’agence d’exécution de coopération (« l’Agence de coopération ») sous la supervision de l’agence d’exécution principale en ce qui concerne les activités du Pays prévues en vertu du présent Accord. Le Pays accepte les évaluations qui pourront être effectuées dans le cadre des programmes de travail de suivi et d’évaluation du Fonds multilatéral ou du programme d’évaluation de l’Agence principale et/ou de l’Agence de coopération, parties au présent Accord.</w:t>
      </w:r>
    </w:p>
    <w:p w14:paraId="02F73D08" w14:textId="4DF2D66C" w:rsidR="004177A6" w:rsidRPr="00B375EA" w:rsidRDefault="004177A6" w:rsidP="004177A6">
      <w:pPr>
        <w:pStyle w:val="Heading1"/>
      </w:pPr>
      <w:r>
        <w:t>L’Agence principale sera responsable de la coordination de la planification, de la mise en œuvre et des rapports pour toutes les activités menées dans le cadre du présent Accord, y compris, mais de manière non limitative, la vérification indépendante mentionnée à l’alinéa 5 b). L’Agence de coopération soutiendra l’Agence principale dans la mise en œuvre du Plan, sous la coordination générale de l’Agence principale. Les rôles de l’Agence principale et de l’Agence de coopération sont respectivement précisés à l’Appendice 6-A et l’Appendice 6-B. Le Comité exécutif consent, en principe, à verser à l’Agence principale et à l’Agence de coopération les montants indiqués aux lignes 2.2 et 2.4 de l’Appendice 2-A.</w:t>
      </w:r>
    </w:p>
    <w:p w14:paraId="61ED11B4" w14:textId="77777777" w:rsidR="004177A6" w:rsidRPr="00F61D55" w:rsidRDefault="004177A6" w:rsidP="004177A6">
      <w:pPr>
        <w:keepNext/>
        <w:spacing w:before="240" w:after="240"/>
        <w:rPr>
          <w:b/>
        </w:rPr>
      </w:pPr>
      <w:r>
        <w:rPr>
          <w:b/>
        </w:rPr>
        <w:t>Non-respect de l’Accord</w:t>
      </w:r>
    </w:p>
    <w:p w14:paraId="5ECD1044" w14:textId="5A8051AE" w:rsidR="004177A6" w:rsidRPr="00B375EA" w:rsidRDefault="004177A6" w:rsidP="004177A6">
      <w:pPr>
        <w:pStyle w:val="Heading1"/>
        <w:keepNext/>
        <w:spacing w:before="240"/>
      </w:pPr>
      <w:r>
        <w:t>Si, pour une raison quelconque, le Pays ne respecte pas les Objectifs d’élimination des Substances énumérées à la ligne 1.2 de l’Appendice 2-A ou bien ne se conforme pas au présent Accord, il accepte qu’il n’ait alors plus droit au financement selon le calendrier d’approbation du financement. Il appartient au Comité exécutif de rétablir ce financement selon un calendrier révisé d’approbation du financement établi par ses soins, une fois que le Pays aura démontré qu’il a rempli toutes les obligations qu’il devait remplir avant de recevoir la prochaine tranche de financement selon le calendrier d’approbation du financement. Le Pays accepte que le Comité exécutif puisse déduire du financement, le montant défini à l’Appendice 7</w:t>
      </w:r>
      <w:r w:rsidR="009F4C46">
        <w:noBreakHyphen/>
      </w:r>
      <w:r>
        <w:t xml:space="preserve">A (« Réductions du financement en cas de non-conformité ») pour chaque kilogramme PAO dont la consommation n’aura pas été réduite au cours d’une année quelconque. Le Comité exécutif étudiera chaque cas spécifique de non-conformité du Pays au présent Accord et prendra des décisions en conséquence. Une </w:t>
      </w:r>
      <w:r>
        <w:lastRenderedPageBreak/>
        <w:t>fois les décisions prises, le cas spécifique de non-respect de l’Accord ne constituera pas un obstacle à l’octroi du financement pour des tranches futures selon le paragraphe 5 ci-dessus.</w:t>
      </w:r>
    </w:p>
    <w:p w14:paraId="7BF5E46E" w14:textId="77777777" w:rsidR="004177A6" w:rsidRPr="00B375EA" w:rsidRDefault="004177A6" w:rsidP="004177A6">
      <w:pPr>
        <w:pStyle w:val="Heading1"/>
      </w:pPr>
      <w: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23494719" w14:textId="1DB79F71" w:rsidR="004177A6" w:rsidRPr="00B375EA" w:rsidRDefault="004177A6" w:rsidP="004177A6">
      <w:pPr>
        <w:pStyle w:val="Heading1"/>
      </w:pPr>
      <w: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4D395CBA" w14:textId="77777777" w:rsidR="004177A6" w:rsidRPr="00F61D55" w:rsidRDefault="004177A6" w:rsidP="004177A6">
      <w:pPr>
        <w:spacing w:before="240" w:after="240"/>
        <w:rPr>
          <w:b/>
        </w:rPr>
      </w:pPr>
      <w:r>
        <w:rPr>
          <w:b/>
        </w:rPr>
        <w:t>Date d’achèvement</w:t>
      </w:r>
    </w:p>
    <w:p w14:paraId="2CA732D3" w14:textId="7CC76A08" w:rsidR="004177A6" w:rsidRPr="00B375EA" w:rsidRDefault="004177A6" w:rsidP="004177A6">
      <w:pPr>
        <w:pStyle w:val="Heading1"/>
        <w:spacing w:before="240"/>
      </w:pPr>
      <w:r>
        <w:t>L’achèvement du Plan et de l’Accord s’y rapportant aura lieu à la fin de l’année suivant la dernière année pour laquelle le niveau de la consommation totale maximale autorisée est spécifié à l’Appendice 2</w:t>
      </w:r>
      <w:r w:rsidR="009F4C46">
        <w:noBreakHyphen/>
      </w:r>
      <w:r>
        <w:t>A. Si des activités prévues dans le plan de mise en œuvre de la dernière tranche et dans ses révisions subséquentes, selon l’alinéa 5 d) et le paragraphe 7, se trouvaient encore en souffrance à cette date, l’achèvement du Plan serait reporté jusqu’à la fin de l’année suivant la mise en œuvre des activités restantes. Les rapports, prévus aux alinéas 1 a), 1 b), 1 d) et 1 e) de l’Appendice 4-A continueront d’être exigés jusqu’à l’achèvement du Plan, à moins d’indication contraire de la part du Comité exécutif.</w:t>
      </w:r>
    </w:p>
    <w:p w14:paraId="255587AB" w14:textId="77777777" w:rsidR="004177A6" w:rsidRPr="00B375EA" w:rsidRDefault="004177A6" w:rsidP="004177A6">
      <w:pPr>
        <w:spacing w:before="240" w:after="240"/>
      </w:pPr>
      <w:r>
        <w:rPr>
          <w:b/>
        </w:rPr>
        <w:t>Validité</w:t>
      </w:r>
    </w:p>
    <w:p w14:paraId="5D427BBE" w14:textId="77777777" w:rsidR="004177A6" w:rsidRPr="00B375EA" w:rsidRDefault="004177A6" w:rsidP="004177A6">
      <w:pPr>
        <w:pStyle w:val="Heading1"/>
        <w:spacing w:before="240"/>
      </w:pPr>
      <w: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5A9212F2" w14:textId="77777777" w:rsidR="004177A6" w:rsidRPr="00B375EA" w:rsidRDefault="004177A6" w:rsidP="004177A6">
      <w:pPr>
        <w:pStyle w:val="Heading1"/>
      </w:pPr>
      <w:r>
        <w:t>Le présent Accord peut être modifié ou résilié uniquement par consentement mutuel écrit du Pays et du Comité exécutif du Fonds multilatéral.</w:t>
      </w:r>
    </w:p>
    <w:p w14:paraId="30EDAF79" w14:textId="77777777" w:rsidR="004177A6" w:rsidRPr="00636FF8" w:rsidRDefault="004177A6" w:rsidP="005C79AB">
      <w:pPr>
        <w:pStyle w:val="Heading1"/>
        <w:widowControl w:val="0"/>
        <w:numPr>
          <w:ilvl w:val="0"/>
          <w:numId w:val="0"/>
        </w:numPr>
        <w:spacing w:before="360" w:after="360"/>
        <w:rPr>
          <w:b/>
          <w:sz w:val="24"/>
          <w:szCs w:val="24"/>
        </w:rPr>
      </w:pPr>
      <w:r>
        <w:rPr>
          <w:b/>
          <w:sz w:val="24"/>
        </w:rPr>
        <w:t>APPENDICES</w:t>
      </w:r>
    </w:p>
    <w:p w14:paraId="29717B77" w14:textId="77777777" w:rsidR="004177A6" w:rsidRPr="00B375EA" w:rsidRDefault="004177A6" w:rsidP="005C79AB">
      <w:pPr>
        <w:pStyle w:val="Heading1"/>
        <w:widowControl w:val="0"/>
        <w:numPr>
          <w:ilvl w:val="0"/>
          <w:numId w:val="0"/>
        </w:numPr>
        <w:spacing w:before="360" w:after="60"/>
        <w:rPr>
          <w:b/>
        </w:rPr>
      </w:pPr>
      <w:r>
        <w:rPr>
          <w:b/>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4177A6" w:rsidRPr="00B375EA" w14:paraId="05ACC631" w14:textId="77777777" w:rsidTr="00F956F2">
        <w:trPr>
          <w:trHeight w:val="413"/>
          <w:tblHeader/>
        </w:trPr>
        <w:tc>
          <w:tcPr>
            <w:tcW w:w="1896" w:type="pct"/>
            <w:shd w:val="clear" w:color="auto" w:fill="auto"/>
            <w:vAlign w:val="center"/>
          </w:tcPr>
          <w:p w14:paraId="019A5B27" w14:textId="77777777" w:rsidR="004177A6" w:rsidRPr="00B375EA" w:rsidRDefault="004177A6" w:rsidP="005C79AB">
            <w:pPr>
              <w:widowControl w:val="0"/>
              <w:jc w:val="center"/>
              <w:rPr>
                <w:sz w:val="20"/>
                <w:szCs w:val="20"/>
              </w:rPr>
            </w:pPr>
            <w:r>
              <w:rPr>
                <w:sz w:val="20"/>
              </w:rPr>
              <w:t>Substance</w:t>
            </w:r>
          </w:p>
        </w:tc>
        <w:tc>
          <w:tcPr>
            <w:tcW w:w="758" w:type="pct"/>
            <w:shd w:val="clear" w:color="auto" w:fill="auto"/>
            <w:vAlign w:val="center"/>
          </w:tcPr>
          <w:p w14:paraId="19A78F42" w14:textId="77777777" w:rsidR="004177A6" w:rsidRPr="00B375EA" w:rsidRDefault="004177A6" w:rsidP="005C79AB">
            <w:pPr>
              <w:widowControl w:val="0"/>
              <w:jc w:val="center"/>
              <w:rPr>
                <w:sz w:val="20"/>
                <w:szCs w:val="20"/>
              </w:rPr>
            </w:pPr>
            <w:r>
              <w:rPr>
                <w:sz w:val="20"/>
              </w:rPr>
              <w:t>Annexe</w:t>
            </w:r>
          </w:p>
        </w:tc>
        <w:tc>
          <w:tcPr>
            <w:tcW w:w="758" w:type="pct"/>
            <w:shd w:val="clear" w:color="auto" w:fill="auto"/>
            <w:vAlign w:val="center"/>
          </w:tcPr>
          <w:p w14:paraId="4C2F9146" w14:textId="77777777" w:rsidR="004177A6" w:rsidRPr="00B375EA" w:rsidRDefault="004177A6" w:rsidP="005C79AB">
            <w:pPr>
              <w:widowControl w:val="0"/>
              <w:jc w:val="center"/>
              <w:rPr>
                <w:sz w:val="20"/>
                <w:szCs w:val="20"/>
              </w:rPr>
            </w:pPr>
            <w:r>
              <w:rPr>
                <w:sz w:val="20"/>
              </w:rPr>
              <w:t>Groupe</w:t>
            </w:r>
          </w:p>
        </w:tc>
        <w:tc>
          <w:tcPr>
            <w:tcW w:w="1588" w:type="pct"/>
            <w:shd w:val="clear" w:color="auto" w:fill="auto"/>
            <w:vAlign w:val="center"/>
          </w:tcPr>
          <w:p w14:paraId="57E4F58B" w14:textId="77777777" w:rsidR="004177A6" w:rsidRPr="00B375EA" w:rsidRDefault="004177A6" w:rsidP="005C79AB">
            <w:pPr>
              <w:widowControl w:val="0"/>
              <w:jc w:val="center"/>
              <w:rPr>
                <w:sz w:val="20"/>
                <w:szCs w:val="20"/>
              </w:rPr>
            </w:pPr>
            <w:r>
              <w:rPr>
                <w:sz w:val="20"/>
              </w:rPr>
              <w:t>Point de départ des réductions globales de la consommation (tonnes PAO)</w:t>
            </w:r>
          </w:p>
        </w:tc>
      </w:tr>
      <w:tr w:rsidR="004177A6" w:rsidRPr="00B375EA" w14:paraId="33472616" w14:textId="77777777" w:rsidTr="00F956F2">
        <w:tc>
          <w:tcPr>
            <w:tcW w:w="1896" w:type="pct"/>
            <w:shd w:val="clear" w:color="auto" w:fill="auto"/>
          </w:tcPr>
          <w:p w14:paraId="503C0078" w14:textId="77777777" w:rsidR="004177A6" w:rsidRPr="00B375EA" w:rsidRDefault="004177A6" w:rsidP="005C79AB">
            <w:pPr>
              <w:widowControl w:val="0"/>
              <w:rPr>
                <w:sz w:val="20"/>
                <w:szCs w:val="20"/>
              </w:rPr>
            </w:pPr>
            <w:r>
              <w:rPr>
                <w:sz w:val="20"/>
              </w:rPr>
              <w:t>HCFC-22</w:t>
            </w:r>
          </w:p>
        </w:tc>
        <w:tc>
          <w:tcPr>
            <w:tcW w:w="758" w:type="pct"/>
            <w:shd w:val="clear" w:color="auto" w:fill="auto"/>
            <w:vAlign w:val="center"/>
          </w:tcPr>
          <w:p w14:paraId="28EADE0D" w14:textId="77777777" w:rsidR="004177A6" w:rsidRPr="00B375EA" w:rsidRDefault="004177A6" w:rsidP="005C79AB">
            <w:pPr>
              <w:widowControl w:val="0"/>
              <w:jc w:val="center"/>
              <w:rPr>
                <w:sz w:val="20"/>
                <w:szCs w:val="20"/>
              </w:rPr>
            </w:pPr>
            <w:r>
              <w:rPr>
                <w:sz w:val="20"/>
              </w:rPr>
              <w:t>C</w:t>
            </w:r>
          </w:p>
        </w:tc>
        <w:tc>
          <w:tcPr>
            <w:tcW w:w="758" w:type="pct"/>
            <w:shd w:val="clear" w:color="auto" w:fill="auto"/>
            <w:vAlign w:val="center"/>
          </w:tcPr>
          <w:p w14:paraId="5555661F" w14:textId="77777777" w:rsidR="004177A6" w:rsidRPr="00B375EA" w:rsidRDefault="004177A6" w:rsidP="005C79AB">
            <w:pPr>
              <w:widowControl w:val="0"/>
              <w:jc w:val="center"/>
              <w:rPr>
                <w:sz w:val="20"/>
                <w:szCs w:val="20"/>
              </w:rPr>
            </w:pPr>
            <w:r>
              <w:rPr>
                <w:sz w:val="20"/>
              </w:rPr>
              <w:t>I</w:t>
            </w:r>
          </w:p>
        </w:tc>
        <w:tc>
          <w:tcPr>
            <w:tcW w:w="1588" w:type="pct"/>
            <w:shd w:val="clear" w:color="auto" w:fill="auto"/>
          </w:tcPr>
          <w:p w14:paraId="483BA574" w14:textId="38F17146" w:rsidR="004177A6" w:rsidRPr="00F956F2" w:rsidRDefault="00373605" w:rsidP="005C79AB">
            <w:pPr>
              <w:widowControl w:val="0"/>
              <w:jc w:val="right"/>
              <w:rPr>
                <w:sz w:val="20"/>
                <w:szCs w:val="20"/>
              </w:rPr>
            </w:pPr>
            <w:r>
              <w:rPr>
                <w:sz w:val="20"/>
              </w:rPr>
              <w:t>30,2</w:t>
            </w:r>
          </w:p>
        </w:tc>
      </w:tr>
    </w:tbl>
    <w:p w14:paraId="7FDB2D77" w14:textId="77777777" w:rsidR="004177A6" w:rsidRPr="00B375EA" w:rsidRDefault="004177A6" w:rsidP="005C79AB">
      <w:pPr>
        <w:pStyle w:val="Heading1"/>
        <w:numPr>
          <w:ilvl w:val="0"/>
          <w:numId w:val="0"/>
        </w:numPr>
        <w:spacing w:before="360" w:after="60"/>
        <w:rPr>
          <w:b/>
        </w:rPr>
      </w:pPr>
      <w:r>
        <w:rPr>
          <w:b/>
        </w:rPr>
        <w:t>APPENDICE 2-A : LES OBJECTIFS ET LE FINANCEMENT</w:t>
      </w:r>
    </w:p>
    <w:tbl>
      <w:tblPr>
        <w:tblW w:w="5000" w:type="pct"/>
        <w:jc w:val="center"/>
        <w:tblLayout w:type="fixed"/>
        <w:tblCellMar>
          <w:left w:w="85" w:type="dxa"/>
          <w:right w:w="85" w:type="dxa"/>
        </w:tblCellMar>
        <w:tblLook w:val="04A0" w:firstRow="1" w:lastRow="0" w:firstColumn="1" w:lastColumn="0" w:noHBand="0" w:noVBand="1"/>
      </w:tblPr>
      <w:tblGrid>
        <w:gridCol w:w="715"/>
        <w:gridCol w:w="1558"/>
        <w:gridCol w:w="885"/>
        <w:gridCol w:w="886"/>
        <w:gridCol w:w="886"/>
        <w:gridCol w:w="886"/>
        <w:gridCol w:w="886"/>
        <w:gridCol w:w="806"/>
        <w:gridCol w:w="858"/>
        <w:gridCol w:w="984"/>
      </w:tblGrid>
      <w:tr w:rsidR="00F4513D" w:rsidRPr="00591847" w14:paraId="39FFD7D6" w14:textId="77777777" w:rsidTr="00C45315">
        <w:trPr>
          <w:cantSplit/>
          <w:trHeight w:val="98"/>
          <w:tblHeader/>
          <w:jc w:val="center"/>
        </w:trPr>
        <w:tc>
          <w:tcPr>
            <w:tcW w:w="382" w:type="pct"/>
            <w:tcBorders>
              <w:top w:val="single" w:sz="4" w:space="0" w:color="auto"/>
              <w:left w:val="single" w:sz="4" w:space="0" w:color="auto"/>
              <w:bottom w:val="single" w:sz="4" w:space="0" w:color="auto"/>
              <w:right w:val="single" w:sz="4" w:space="0" w:color="auto"/>
            </w:tcBorders>
            <w:shd w:val="clear" w:color="auto" w:fill="auto"/>
            <w:hideMark/>
          </w:tcPr>
          <w:p w14:paraId="166C3182" w14:textId="77777777" w:rsidR="00F4513D" w:rsidRPr="00591847" w:rsidRDefault="00F4513D">
            <w:pPr>
              <w:keepNext/>
              <w:keepLines/>
              <w:jc w:val="center"/>
              <w:rPr>
                <w:b/>
                <w:bCs/>
                <w:color w:val="000000"/>
                <w:sz w:val="19"/>
                <w:szCs w:val="19"/>
              </w:rPr>
            </w:pPr>
            <w:r>
              <w:rPr>
                <w:b/>
                <w:color w:val="000000"/>
                <w:sz w:val="19"/>
              </w:rPr>
              <w:t>Ligne</w:t>
            </w:r>
          </w:p>
        </w:tc>
        <w:tc>
          <w:tcPr>
            <w:tcW w:w="833" w:type="pct"/>
            <w:tcBorders>
              <w:top w:val="single" w:sz="4" w:space="0" w:color="auto"/>
              <w:left w:val="nil"/>
              <w:bottom w:val="single" w:sz="4" w:space="0" w:color="auto"/>
              <w:right w:val="single" w:sz="4" w:space="0" w:color="auto"/>
            </w:tcBorders>
            <w:shd w:val="clear" w:color="auto" w:fill="auto"/>
            <w:hideMark/>
          </w:tcPr>
          <w:p w14:paraId="4FB404B1" w14:textId="77777777" w:rsidR="00F4513D" w:rsidRPr="00591847" w:rsidRDefault="00F4513D">
            <w:pPr>
              <w:keepNext/>
              <w:keepLines/>
              <w:jc w:val="center"/>
              <w:rPr>
                <w:b/>
                <w:bCs/>
                <w:color w:val="000000"/>
                <w:sz w:val="19"/>
                <w:szCs w:val="19"/>
              </w:rPr>
            </w:pPr>
            <w:r>
              <w:rPr>
                <w:b/>
                <w:color w:val="000000"/>
                <w:sz w:val="19"/>
              </w:rPr>
              <w:t>Détails</w:t>
            </w:r>
          </w:p>
        </w:tc>
        <w:tc>
          <w:tcPr>
            <w:tcW w:w="473" w:type="pct"/>
            <w:tcBorders>
              <w:top w:val="single" w:sz="4" w:space="0" w:color="auto"/>
              <w:left w:val="nil"/>
              <w:bottom w:val="single" w:sz="4" w:space="0" w:color="auto"/>
              <w:right w:val="single" w:sz="4" w:space="0" w:color="auto"/>
            </w:tcBorders>
            <w:shd w:val="clear" w:color="auto" w:fill="auto"/>
            <w:hideMark/>
          </w:tcPr>
          <w:p w14:paraId="4824EA8B" w14:textId="381DEDE7" w:rsidR="00F4513D" w:rsidRPr="00591847" w:rsidRDefault="00F4513D">
            <w:pPr>
              <w:keepNext/>
              <w:keepLines/>
              <w:jc w:val="center"/>
              <w:rPr>
                <w:b/>
                <w:bCs/>
                <w:color w:val="000000"/>
                <w:sz w:val="19"/>
                <w:szCs w:val="19"/>
              </w:rPr>
            </w:pPr>
            <w:r>
              <w:rPr>
                <w:b/>
                <w:color w:val="000000"/>
                <w:sz w:val="19"/>
              </w:rPr>
              <w:t>2024</w:t>
            </w:r>
          </w:p>
        </w:tc>
        <w:tc>
          <w:tcPr>
            <w:tcW w:w="474" w:type="pct"/>
            <w:tcBorders>
              <w:top w:val="single" w:sz="4" w:space="0" w:color="auto"/>
              <w:left w:val="nil"/>
              <w:bottom w:val="single" w:sz="4" w:space="0" w:color="auto"/>
              <w:right w:val="single" w:sz="4" w:space="0" w:color="auto"/>
            </w:tcBorders>
            <w:shd w:val="clear" w:color="auto" w:fill="auto"/>
            <w:hideMark/>
          </w:tcPr>
          <w:p w14:paraId="4B46B415" w14:textId="0236AC65" w:rsidR="00F4513D" w:rsidRPr="00591847" w:rsidRDefault="00F4513D">
            <w:pPr>
              <w:keepNext/>
              <w:keepLines/>
              <w:jc w:val="center"/>
              <w:rPr>
                <w:b/>
                <w:bCs/>
                <w:color w:val="000000"/>
                <w:sz w:val="19"/>
                <w:szCs w:val="19"/>
              </w:rPr>
            </w:pPr>
            <w:r>
              <w:rPr>
                <w:b/>
                <w:color w:val="000000"/>
                <w:sz w:val="19"/>
              </w:rPr>
              <w:t>2025</w:t>
            </w:r>
          </w:p>
        </w:tc>
        <w:tc>
          <w:tcPr>
            <w:tcW w:w="474" w:type="pct"/>
            <w:tcBorders>
              <w:top w:val="single" w:sz="4" w:space="0" w:color="auto"/>
              <w:left w:val="nil"/>
              <w:bottom w:val="single" w:sz="4" w:space="0" w:color="auto"/>
              <w:right w:val="single" w:sz="4" w:space="0" w:color="auto"/>
            </w:tcBorders>
            <w:shd w:val="clear" w:color="auto" w:fill="auto"/>
            <w:hideMark/>
          </w:tcPr>
          <w:p w14:paraId="72775E72" w14:textId="32E81D6C" w:rsidR="00F4513D" w:rsidRPr="00591847" w:rsidRDefault="00F4513D">
            <w:pPr>
              <w:keepNext/>
              <w:keepLines/>
              <w:jc w:val="center"/>
              <w:rPr>
                <w:b/>
                <w:bCs/>
                <w:color w:val="000000"/>
                <w:sz w:val="19"/>
                <w:szCs w:val="19"/>
              </w:rPr>
            </w:pPr>
            <w:r>
              <w:rPr>
                <w:b/>
                <w:color w:val="000000"/>
                <w:sz w:val="19"/>
              </w:rPr>
              <w:t>2026</w:t>
            </w:r>
          </w:p>
        </w:tc>
        <w:tc>
          <w:tcPr>
            <w:tcW w:w="474" w:type="pct"/>
            <w:tcBorders>
              <w:top w:val="single" w:sz="4" w:space="0" w:color="auto"/>
              <w:left w:val="nil"/>
              <w:bottom w:val="single" w:sz="4" w:space="0" w:color="auto"/>
              <w:right w:val="single" w:sz="4" w:space="0" w:color="auto"/>
            </w:tcBorders>
            <w:shd w:val="clear" w:color="auto" w:fill="auto"/>
            <w:hideMark/>
          </w:tcPr>
          <w:p w14:paraId="686F2CEE" w14:textId="6E370A89" w:rsidR="00F4513D" w:rsidRPr="00591847" w:rsidRDefault="00F4513D">
            <w:pPr>
              <w:keepNext/>
              <w:keepLines/>
              <w:jc w:val="center"/>
              <w:rPr>
                <w:b/>
                <w:bCs/>
                <w:color w:val="000000"/>
                <w:sz w:val="19"/>
                <w:szCs w:val="19"/>
              </w:rPr>
            </w:pPr>
            <w:r>
              <w:rPr>
                <w:b/>
                <w:color w:val="000000"/>
                <w:sz w:val="19"/>
              </w:rPr>
              <w:t>2027</w:t>
            </w:r>
          </w:p>
        </w:tc>
        <w:tc>
          <w:tcPr>
            <w:tcW w:w="474" w:type="pct"/>
            <w:tcBorders>
              <w:top w:val="single" w:sz="4" w:space="0" w:color="auto"/>
              <w:left w:val="nil"/>
              <w:bottom w:val="single" w:sz="4" w:space="0" w:color="auto"/>
              <w:right w:val="single" w:sz="4" w:space="0" w:color="auto"/>
            </w:tcBorders>
          </w:tcPr>
          <w:p w14:paraId="201380FE" w14:textId="78F8E852" w:rsidR="00F4513D" w:rsidRPr="00591847" w:rsidRDefault="00F4513D">
            <w:pPr>
              <w:keepNext/>
              <w:keepLines/>
              <w:jc w:val="center"/>
              <w:rPr>
                <w:b/>
                <w:bCs/>
                <w:color w:val="000000"/>
                <w:sz w:val="19"/>
                <w:szCs w:val="19"/>
              </w:rPr>
            </w:pPr>
            <w:r>
              <w:rPr>
                <w:b/>
                <w:color w:val="000000"/>
                <w:sz w:val="19"/>
              </w:rPr>
              <w:t>2028</w:t>
            </w:r>
          </w:p>
        </w:tc>
        <w:tc>
          <w:tcPr>
            <w:tcW w:w="431" w:type="pct"/>
            <w:tcBorders>
              <w:top w:val="single" w:sz="4" w:space="0" w:color="auto"/>
              <w:left w:val="single" w:sz="4" w:space="0" w:color="auto"/>
              <w:bottom w:val="single" w:sz="4" w:space="0" w:color="auto"/>
              <w:right w:val="single" w:sz="4" w:space="0" w:color="auto"/>
            </w:tcBorders>
          </w:tcPr>
          <w:p w14:paraId="15728ABF" w14:textId="0997D002" w:rsidR="00F4513D" w:rsidRPr="00591847" w:rsidRDefault="00F4513D">
            <w:pPr>
              <w:keepNext/>
              <w:keepLines/>
              <w:jc w:val="center"/>
              <w:rPr>
                <w:b/>
                <w:bCs/>
                <w:color w:val="000000"/>
                <w:sz w:val="19"/>
                <w:szCs w:val="19"/>
              </w:rPr>
            </w:pPr>
            <w:r>
              <w:rPr>
                <w:b/>
                <w:color w:val="000000"/>
                <w:sz w:val="19"/>
              </w:rPr>
              <w:t>2029</w:t>
            </w:r>
          </w:p>
        </w:tc>
        <w:tc>
          <w:tcPr>
            <w:tcW w:w="459" w:type="pct"/>
            <w:tcBorders>
              <w:top w:val="single" w:sz="4" w:space="0" w:color="auto"/>
              <w:left w:val="single" w:sz="4" w:space="0" w:color="auto"/>
              <w:bottom w:val="single" w:sz="4" w:space="0" w:color="auto"/>
              <w:right w:val="single" w:sz="4" w:space="0" w:color="auto"/>
            </w:tcBorders>
            <w:shd w:val="clear" w:color="auto" w:fill="auto"/>
            <w:hideMark/>
          </w:tcPr>
          <w:p w14:paraId="0C1B877F" w14:textId="0972D56E" w:rsidR="00F4513D" w:rsidRPr="00591847" w:rsidRDefault="00F4513D">
            <w:pPr>
              <w:keepNext/>
              <w:keepLines/>
              <w:jc w:val="center"/>
              <w:rPr>
                <w:b/>
                <w:bCs/>
                <w:color w:val="000000"/>
                <w:sz w:val="19"/>
                <w:szCs w:val="19"/>
              </w:rPr>
            </w:pPr>
            <w:r>
              <w:rPr>
                <w:b/>
                <w:color w:val="000000"/>
                <w:sz w:val="19"/>
              </w:rPr>
              <w:t>2030</w:t>
            </w:r>
          </w:p>
        </w:tc>
        <w:tc>
          <w:tcPr>
            <w:tcW w:w="526" w:type="pct"/>
            <w:tcBorders>
              <w:top w:val="single" w:sz="4" w:space="0" w:color="auto"/>
              <w:left w:val="single" w:sz="4" w:space="0" w:color="auto"/>
              <w:bottom w:val="single" w:sz="4" w:space="0" w:color="auto"/>
              <w:right w:val="single" w:sz="4" w:space="0" w:color="auto"/>
            </w:tcBorders>
            <w:shd w:val="clear" w:color="auto" w:fill="auto"/>
            <w:hideMark/>
          </w:tcPr>
          <w:p w14:paraId="1729CF3B" w14:textId="77777777" w:rsidR="00F4513D" w:rsidRPr="00591847" w:rsidRDefault="00F4513D">
            <w:pPr>
              <w:keepNext/>
              <w:keepLines/>
              <w:jc w:val="center"/>
              <w:rPr>
                <w:b/>
                <w:bCs/>
                <w:color w:val="000000"/>
                <w:sz w:val="19"/>
                <w:szCs w:val="19"/>
              </w:rPr>
            </w:pPr>
            <w:r>
              <w:rPr>
                <w:b/>
                <w:color w:val="000000"/>
                <w:sz w:val="19"/>
              </w:rPr>
              <w:t>Total</w:t>
            </w:r>
          </w:p>
        </w:tc>
      </w:tr>
      <w:tr w:rsidR="00F4513D" w:rsidRPr="00907643" w14:paraId="47A8B3A4" w14:textId="77777777" w:rsidTr="00C45315">
        <w:trPr>
          <w:trHeight w:val="408"/>
          <w:jc w:val="center"/>
        </w:trPr>
        <w:tc>
          <w:tcPr>
            <w:tcW w:w="382" w:type="pct"/>
            <w:tcBorders>
              <w:top w:val="nil"/>
              <w:left w:val="single" w:sz="4" w:space="0" w:color="auto"/>
              <w:bottom w:val="single" w:sz="4" w:space="0" w:color="auto"/>
              <w:right w:val="single" w:sz="4" w:space="0" w:color="auto"/>
            </w:tcBorders>
            <w:shd w:val="clear" w:color="auto" w:fill="auto"/>
            <w:hideMark/>
          </w:tcPr>
          <w:p w14:paraId="2707F892" w14:textId="77777777" w:rsidR="00F4513D" w:rsidRPr="00591847" w:rsidRDefault="00F4513D" w:rsidP="00FF7C31">
            <w:pPr>
              <w:keepNext/>
              <w:keepLines/>
              <w:jc w:val="left"/>
              <w:rPr>
                <w:color w:val="000000"/>
                <w:sz w:val="19"/>
                <w:szCs w:val="19"/>
              </w:rPr>
            </w:pPr>
            <w:r>
              <w:rPr>
                <w:color w:val="000000"/>
                <w:sz w:val="19"/>
              </w:rPr>
              <w:t>1.1</w:t>
            </w:r>
          </w:p>
        </w:tc>
        <w:tc>
          <w:tcPr>
            <w:tcW w:w="833" w:type="pct"/>
            <w:tcBorders>
              <w:top w:val="nil"/>
              <w:left w:val="nil"/>
              <w:bottom w:val="single" w:sz="4" w:space="0" w:color="auto"/>
              <w:right w:val="single" w:sz="4" w:space="0" w:color="auto"/>
            </w:tcBorders>
            <w:shd w:val="clear" w:color="auto" w:fill="auto"/>
            <w:hideMark/>
          </w:tcPr>
          <w:p w14:paraId="77D7CBFB" w14:textId="77777777" w:rsidR="00F4513D" w:rsidRPr="00591847" w:rsidRDefault="00F4513D" w:rsidP="00FF7C31">
            <w:pPr>
              <w:keepNext/>
              <w:keepLines/>
              <w:jc w:val="left"/>
              <w:rPr>
                <w:color w:val="000000"/>
                <w:sz w:val="19"/>
                <w:szCs w:val="19"/>
              </w:rPr>
            </w:pPr>
            <w:r>
              <w:rPr>
                <w:color w:val="000000"/>
                <w:sz w:val="19"/>
              </w:rPr>
              <w:t>Calendrier de réduction des substances du groupe I de l’annexe C du Protocole de Montréal (tonnes PAO)</w:t>
            </w:r>
          </w:p>
        </w:tc>
        <w:tc>
          <w:tcPr>
            <w:tcW w:w="473" w:type="pct"/>
            <w:tcBorders>
              <w:top w:val="nil"/>
              <w:left w:val="nil"/>
              <w:bottom w:val="single" w:sz="4" w:space="0" w:color="auto"/>
              <w:right w:val="single" w:sz="4" w:space="0" w:color="auto"/>
            </w:tcBorders>
            <w:shd w:val="clear" w:color="auto" w:fill="auto"/>
          </w:tcPr>
          <w:p w14:paraId="2CB95F4F" w14:textId="192B2C54" w:rsidR="00F4513D" w:rsidRPr="00591847" w:rsidRDefault="00F4513D" w:rsidP="00FF7C31">
            <w:pPr>
              <w:keepNext/>
              <w:keepLines/>
              <w:jc w:val="right"/>
              <w:rPr>
                <w:color w:val="000000"/>
                <w:sz w:val="19"/>
                <w:szCs w:val="19"/>
              </w:rPr>
            </w:pPr>
            <w:r>
              <w:rPr>
                <w:sz w:val="19"/>
              </w:rPr>
              <w:t>19,63</w:t>
            </w:r>
          </w:p>
        </w:tc>
        <w:tc>
          <w:tcPr>
            <w:tcW w:w="474" w:type="pct"/>
            <w:tcBorders>
              <w:top w:val="nil"/>
              <w:left w:val="nil"/>
              <w:bottom w:val="single" w:sz="4" w:space="0" w:color="auto"/>
              <w:right w:val="single" w:sz="4" w:space="0" w:color="auto"/>
            </w:tcBorders>
            <w:shd w:val="clear" w:color="auto" w:fill="auto"/>
          </w:tcPr>
          <w:p w14:paraId="5E8A2EBE" w14:textId="592006E1" w:rsidR="00F4513D" w:rsidRPr="00591847" w:rsidRDefault="00F4513D" w:rsidP="00FF7C31">
            <w:pPr>
              <w:keepNext/>
              <w:keepLines/>
              <w:jc w:val="right"/>
              <w:rPr>
                <w:color w:val="000000"/>
                <w:sz w:val="19"/>
                <w:szCs w:val="19"/>
              </w:rPr>
            </w:pPr>
            <w:r>
              <w:rPr>
                <w:sz w:val="19"/>
              </w:rPr>
              <w:t>9,81</w:t>
            </w:r>
          </w:p>
        </w:tc>
        <w:tc>
          <w:tcPr>
            <w:tcW w:w="474" w:type="pct"/>
            <w:tcBorders>
              <w:top w:val="nil"/>
              <w:left w:val="nil"/>
              <w:bottom w:val="single" w:sz="4" w:space="0" w:color="auto"/>
              <w:right w:val="single" w:sz="4" w:space="0" w:color="auto"/>
            </w:tcBorders>
            <w:shd w:val="clear" w:color="auto" w:fill="auto"/>
          </w:tcPr>
          <w:p w14:paraId="76300F14" w14:textId="2A40D6F5" w:rsidR="00F4513D" w:rsidRPr="00907643" w:rsidRDefault="00F4513D" w:rsidP="00FF7C31">
            <w:pPr>
              <w:keepNext/>
              <w:keepLines/>
              <w:jc w:val="right"/>
              <w:rPr>
                <w:color w:val="000000"/>
                <w:sz w:val="19"/>
                <w:szCs w:val="19"/>
              </w:rPr>
            </w:pPr>
            <w:r>
              <w:rPr>
                <w:color w:val="000000"/>
                <w:sz w:val="19"/>
              </w:rPr>
              <w:t>9,81</w:t>
            </w:r>
          </w:p>
        </w:tc>
        <w:tc>
          <w:tcPr>
            <w:tcW w:w="474" w:type="pct"/>
            <w:tcBorders>
              <w:top w:val="nil"/>
              <w:left w:val="nil"/>
              <w:bottom w:val="single" w:sz="4" w:space="0" w:color="auto"/>
              <w:right w:val="single" w:sz="4" w:space="0" w:color="auto"/>
            </w:tcBorders>
            <w:shd w:val="clear" w:color="auto" w:fill="auto"/>
          </w:tcPr>
          <w:p w14:paraId="2CBF6D39" w14:textId="148334B2" w:rsidR="00F4513D" w:rsidRPr="00907643" w:rsidRDefault="00F4513D" w:rsidP="00FF7C31">
            <w:pPr>
              <w:keepNext/>
              <w:keepLines/>
              <w:jc w:val="right"/>
              <w:rPr>
                <w:color w:val="000000"/>
                <w:sz w:val="19"/>
                <w:szCs w:val="19"/>
              </w:rPr>
            </w:pPr>
            <w:r>
              <w:rPr>
                <w:color w:val="000000"/>
                <w:sz w:val="19"/>
              </w:rPr>
              <w:t>9,81</w:t>
            </w:r>
          </w:p>
        </w:tc>
        <w:tc>
          <w:tcPr>
            <w:tcW w:w="474" w:type="pct"/>
            <w:tcBorders>
              <w:top w:val="single" w:sz="4" w:space="0" w:color="auto"/>
              <w:left w:val="nil"/>
              <w:bottom w:val="single" w:sz="4" w:space="0" w:color="auto"/>
              <w:right w:val="single" w:sz="4" w:space="0" w:color="auto"/>
            </w:tcBorders>
          </w:tcPr>
          <w:p w14:paraId="6E472D3E" w14:textId="754D2238" w:rsidR="00F4513D" w:rsidRPr="00907643" w:rsidRDefault="00F4513D" w:rsidP="00FF7C31">
            <w:pPr>
              <w:keepNext/>
              <w:keepLines/>
              <w:jc w:val="right"/>
              <w:rPr>
                <w:color w:val="000000"/>
                <w:sz w:val="19"/>
                <w:szCs w:val="19"/>
              </w:rPr>
            </w:pPr>
            <w:r>
              <w:rPr>
                <w:color w:val="000000"/>
                <w:sz w:val="19"/>
              </w:rPr>
              <w:t>9,81</w:t>
            </w:r>
          </w:p>
        </w:tc>
        <w:tc>
          <w:tcPr>
            <w:tcW w:w="431" w:type="pct"/>
            <w:tcBorders>
              <w:top w:val="single" w:sz="4" w:space="0" w:color="auto"/>
              <w:left w:val="single" w:sz="4" w:space="0" w:color="auto"/>
              <w:bottom w:val="single" w:sz="4" w:space="0" w:color="auto"/>
              <w:right w:val="single" w:sz="4" w:space="0" w:color="auto"/>
            </w:tcBorders>
          </w:tcPr>
          <w:p w14:paraId="09395A18" w14:textId="6C901374" w:rsidR="00F4513D" w:rsidRPr="00907643" w:rsidRDefault="00F4513D" w:rsidP="00FF7C31">
            <w:pPr>
              <w:keepNext/>
              <w:keepLines/>
              <w:jc w:val="right"/>
              <w:rPr>
                <w:color w:val="000000"/>
                <w:sz w:val="19"/>
                <w:szCs w:val="19"/>
              </w:rPr>
            </w:pPr>
            <w:r>
              <w:rPr>
                <w:color w:val="000000"/>
                <w:sz w:val="19"/>
              </w:rPr>
              <w:t>9,81</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46CE0065" w14:textId="3CB4BD1B" w:rsidR="00F4513D" w:rsidRPr="00907643" w:rsidRDefault="00F4513D" w:rsidP="00FF7C31">
            <w:pPr>
              <w:keepNext/>
              <w:keepLines/>
              <w:jc w:val="right"/>
              <w:rPr>
                <w:color w:val="000000"/>
                <w:sz w:val="19"/>
                <w:szCs w:val="19"/>
              </w:rPr>
            </w:pPr>
            <w:r>
              <w:rPr>
                <w:color w:val="000000"/>
                <w:sz w:val="19"/>
              </w:rPr>
              <w:t>0,00</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67F1F09D" w14:textId="5FE97BA9" w:rsidR="00F4513D" w:rsidRPr="00907643" w:rsidRDefault="007030A4" w:rsidP="00FF7C31">
            <w:pPr>
              <w:keepNext/>
              <w:keepLines/>
              <w:jc w:val="right"/>
              <w:rPr>
                <w:color w:val="000000"/>
                <w:sz w:val="19"/>
                <w:szCs w:val="19"/>
              </w:rPr>
            </w:pPr>
            <w:proofErr w:type="spellStart"/>
            <w:r>
              <w:rPr>
                <w:color w:val="000000"/>
                <w:sz w:val="19"/>
              </w:rPr>
              <w:t>s.o</w:t>
            </w:r>
            <w:proofErr w:type="spellEnd"/>
            <w:r>
              <w:rPr>
                <w:color w:val="000000"/>
                <w:sz w:val="19"/>
              </w:rPr>
              <w:t>.</w:t>
            </w:r>
          </w:p>
        </w:tc>
      </w:tr>
      <w:tr w:rsidR="00F4513D" w:rsidRPr="00907643" w14:paraId="3FE88AF2" w14:textId="77777777" w:rsidTr="00C45315">
        <w:trPr>
          <w:trHeight w:val="408"/>
          <w:jc w:val="center"/>
        </w:trPr>
        <w:tc>
          <w:tcPr>
            <w:tcW w:w="382" w:type="pct"/>
            <w:tcBorders>
              <w:top w:val="nil"/>
              <w:left w:val="single" w:sz="4" w:space="0" w:color="auto"/>
              <w:bottom w:val="single" w:sz="4" w:space="0" w:color="auto"/>
              <w:right w:val="single" w:sz="4" w:space="0" w:color="auto"/>
            </w:tcBorders>
            <w:shd w:val="clear" w:color="auto" w:fill="auto"/>
            <w:hideMark/>
          </w:tcPr>
          <w:p w14:paraId="2E00770B" w14:textId="77777777" w:rsidR="00F4513D" w:rsidRPr="00591847" w:rsidRDefault="00F4513D" w:rsidP="00FF7C31">
            <w:pPr>
              <w:jc w:val="left"/>
              <w:rPr>
                <w:color w:val="000000"/>
                <w:sz w:val="19"/>
                <w:szCs w:val="19"/>
              </w:rPr>
            </w:pPr>
            <w:r>
              <w:rPr>
                <w:color w:val="000000"/>
                <w:sz w:val="19"/>
              </w:rPr>
              <w:t>1.2</w:t>
            </w:r>
          </w:p>
        </w:tc>
        <w:tc>
          <w:tcPr>
            <w:tcW w:w="833" w:type="pct"/>
            <w:tcBorders>
              <w:top w:val="nil"/>
              <w:left w:val="nil"/>
              <w:bottom w:val="single" w:sz="4" w:space="0" w:color="auto"/>
              <w:right w:val="single" w:sz="4" w:space="0" w:color="auto"/>
            </w:tcBorders>
            <w:shd w:val="clear" w:color="auto" w:fill="auto"/>
            <w:hideMark/>
          </w:tcPr>
          <w:p w14:paraId="62E39A04" w14:textId="77777777" w:rsidR="00F4513D" w:rsidRPr="00591847" w:rsidRDefault="00F4513D" w:rsidP="00FF7C31">
            <w:pPr>
              <w:jc w:val="left"/>
              <w:rPr>
                <w:color w:val="000000"/>
                <w:sz w:val="19"/>
                <w:szCs w:val="19"/>
              </w:rPr>
            </w:pPr>
            <w:r>
              <w:rPr>
                <w:color w:val="000000"/>
                <w:sz w:val="19"/>
              </w:rPr>
              <w:t xml:space="preserve">Consommation maximale admissible totale </w:t>
            </w:r>
            <w:r>
              <w:rPr>
                <w:color w:val="000000"/>
                <w:sz w:val="19"/>
              </w:rPr>
              <w:lastRenderedPageBreak/>
              <w:t>des substances du groupe I de l’annexe C (tonnes PAO)</w:t>
            </w:r>
          </w:p>
        </w:tc>
        <w:tc>
          <w:tcPr>
            <w:tcW w:w="473" w:type="pct"/>
            <w:tcBorders>
              <w:top w:val="nil"/>
              <w:left w:val="nil"/>
              <w:bottom w:val="single" w:sz="4" w:space="0" w:color="auto"/>
              <w:right w:val="single" w:sz="4" w:space="0" w:color="auto"/>
            </w:tcBorders>
            <w:shd w:val="clear" w:color="auto" w:fill="auto"/>
          </w:tcPr>
          <w:p w14:paraId="50986E0F" w14:textId="31FAF943" w:rsidR="00F4513D" w:rsidRPr="00591847" w:rsidRDefault="00F4513D" w:rsidP="00FF7C31">
            <w:pPr>
              <w:jc w:val="right"/>
              <w:rPr>
                <w:color w:val="000000"/>
                <w:sz w:val="19"/>
                <w:szCs w:val="19"/>
              </w:rPr>
            </w:pPr>
            <w:r>
              <w:rPr>
                <w:sz w:val="19"/>
              </w:rPr>
              <w:lastRenderedPageBreak/>
              <w:t>19,63</w:t>
            </w:r>
          </w:p>
        </w:tc>
        <w:tc>
          <w:tcPr>
            <w:tcW w:w="474" w:type="pct"/>
            <w:tcBorders>
              <w:top w:val="nil"/>
              <w:left w:val="nil"/>
              <w:bottom w:val="single" w:sz="4" w:space="0" w:color="auto"/>
              <w:right w:val="single" w:sz="4" w:space="0" w:color="auto"/>
            </w:tcBorders>
            <w:shd w:val="clear" w:color="auto" w:fill="auto"/>
          </w:tcPr>
          <w:p w14:paraId="02C310CA" w14:textId="0D8795B0" w:rsidR="00F4513D" w:rsidRPr="00591847" w:rsidRDefault="00F4513D" w:rsidP="00FF7C31">
            <w:pPr>
              <w:jc w:val="right"/>
              <w:rPr>
                <w:color w:val="000000"/>
                <w:sz w:val="19"/>
                <w:szCs w:val="19"/>
              </w:rPr>
            </w:pPr>
            <w:r>
              <w:rPr>
                <w:sz w:val="19"/>
              </w:rPr>
              <w:t>9,81</w:t>
            </w:r>
          </w:p>
        </w:tc>
        <w:tc>
          <w:tcPr>
            <w:tcW w:w="474" w:type="pct"/>
            <w:tcBorders>
              <w:top w:val="nil"/>
              <w:left w:val="nil"/>
              <w:bottom w:val="single" w:sz="4" w:space="0" w:color="auto"/>
              <w:right w:val="single" w:sz="4" w:space="0" w:color="auto"/>
            </w:tcBorders>
            <w:shd w:val="clear" w:color="auto" w:fill="auto"/>
          </w:tcPr>
          <w:p w14:paraId="1067D8F9" w14:textId="27A9052D" w:rsidR="00F4513D" w:rsidRPr="00907643" w:rsidRDefault="00F4513D" w:rsidP="00FF7C31">
            <w:pPr>
              <w:jc w:val="right"/>
              <w:rPr>
                <w:color w:val="000000"/>
                <w:sz w:val="19"/>
                <w:szCs w:val="19"/>
              </w:rPr>
            </w:pPr>
            <w:r>
              <w:rPr>
                <w:color w:val="000000"/>
                <w:sz w:val="19"/>
              </w:rPr>
              <w:t>9,81</w:t>
            </w:r>
          </w:p>
        </w:tc>
        <w:tc>
          <w:tcPr>
            <w:tcW w:w="474" w:type="pct"/>
            <w:tcBorders>
              <w:top w:val="nil"/>
              <w:left w:val="nil"/>
              <w:bottom w:val="single" w:sz="4" w:space="0" w:color="auto"/>
              <w:right w:val="single" w:sz="4" w:space="0" w:color="auto"/>
            </w:tcBorders>
            <w:shd w:val="clear" w:color="auto" w:fill="auto"/>
          </w:tcPr>
          <w:p w14:paraId="7AFB75CA" w14:textId="1A3862BF" w:rsidR="00F4513D" w:rsidRPr="00907643" w:rsidRDefault="00F4513D" w:rsidP="00FF7C31">
            <w:pPr>
              <w:jc w:val="right"/>
              <w:rPr>
                <w:color w:val="000000"/>
                <w:sz w:val="19"/>
                <w:szCs w:val="19"/>
              </w:rPr>
            </w:pPr>
            <w:r>
              <w:rPr>
                <w:color w:val="000000"/>
                <w:sz w:val="19"/>
              </w:rPr>
              <w:t>9,81</w:t>
            </w:r>
          </w:p>
        </w:tc>
        <w:tc>
          <w:tcPr>
            <w:tcW w:w="474" w:type="pct"/>
            <w:tcBorders>
              <w:top w:val="single" w:sz="4" w:space="0" w:color="auto"/>
              <w:left w:val="nil"/>
              <w:bottom w:val="single" w:sz="4" w:space="0" w:color="auto"/>
              <w:right w:val="single" w:sz="4" w:space="0" w:color="auto"/>
            </w:tcBorders>
          </w:tcPr>
          <w:p w14:paraId="26B48636" w14:textId="4A80BF59" w:rsidR="00F4513D" w:rsidRPr="00907643" w:rsidRDefault="00F4513D" w:rsidP="00FF7C31">
            <w:pPr>
              <w:jc w:val="right"/>
              <w:rPr>
                <w:color w:val="000000"/>
                <w:sz w:val="19"/>
                <w:szCs w:val="19"/>
              </w:rPr>
            </w:pPr>
            <w:r>
              <w:rPr>
                <w:color w:val="000000"/>
                <w:sz w:val="19"/>
              </w:rPr>
              <w:t>9,81</w:t>
            </w:r>
          </w:p>
        </w:tc>
        <w:tc>
          <w:tcPr>
            <w:tcW w:w="431" w:type="pct"/>
            <w:tcBorders>
              <w:top w:val="single" w:sz="4" w:space="0" w:color="auto"/>
              <w:left w:val="single" w:sz="4" w:space="0" w:color="auto"/>
              <w:bottom w:val="single" w:sz="4" w:space="0" w:color="auto"/>
              <w:right w:val="single" w:sz="4" w:space="0" w:color="auto"/>
            </w:tcBorders>
          </w:tcPr>
          <w:p w14:paraId="2054C21A" w14:textId="6D9FCE26" w:rsidR="00F4513D" w:rsidRPr="00907643" w:rsidRDefault="00F4513D" w:rsidP="00FF7C31">
            <w:pPr>
              <w:jc w:val="right"/>
              <w:rPr>
                <w:color w:val="000000"/>
                <w:sz w:val="19"/>
                <w:szCs w:val="19"/>
              </w:rPr>
            </w:pPr>
            <w:r>
              <w:rPr>
                <w:color w:val="000000"/>
                <w:sz w:val="19"/>
              </w:rPr>
              <w:t>9,81</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1BE2B31B" w14:textId="42CB611C" w:rsidR="00F4513D" w:rsidRPr="00907643" w:rsidRDefault="00F4513D" w:rsidP="00FF7C31">
            <w:pPr>
              <w:jc w:val="right"/>
              <w:rPr>
                <w:color w:val="000000"/>
                <w:sz w:val="19"/>
                <w:szCs w:val="19"/>
              </w:rPr>
            </w:pPr>
            <w:r>
              <w:rPr>
                <w:color w:val="000000"/>
                <w:sz w:val="19"/>
              </w:rPr>
              <w:t>0,00</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62FDDBDD" w14:textId="0E1E8597" w:rsidR="00F4513D" w:rsidRPr="00907643" w:rsidRDefault="007030A4" w:rsidP="00FF7C31">
            <w:pPr>
              <w:jc w:val="right"/>
              <w:rPr>
                <w:color w:val="000000"/>
                <w:sz w:val="19"/>
                <w:szCs w:val="19"/>
              </w:rPr>
            </w:pPr>
            <w:proofErr w:type="spellStart"/>
            <w:r>
              <w:rPr>
                <w:color w:val="000000"/>
                <w:sz w:val="19"/>
              </w:rPr>
              <w:t>s.o</w:t>
            </w:r>
            <w:proofErr w:type="spellEnd"/>
            <w:r>
              <w:rPr>
                <w:color w:val="000000"/>
                <w:sz w:val="19"/>
              </w:rPr>
              <w:t>.</w:t>
            </w:r>
          </w:p>
        </w:tc>
      </w:tr>
      <w:tr w:rsidR="00F4513D" w:rsidRPr="00591847" w14:paraId="5E0D0BB2" w14:textId="77777777" w:rsidTr="00C45315">
        <w:trPr>
          <w:trHeight w:val="116"/>
          <w:jc w:val="center"/>
        </w:trPr>
        <w:tc>
          <w:tcPr>
            <w:tcW w:w="382" w:type="pct"/>
            <w:tcBorders>
              <w:top w:val="nil"/>
              <w:left w:val="single" w:sz="4" w:space="0" w:color="auto"/>
              <w:bottom w:val="single" w:sz="4" w:space="0" w:color="auto"/>
              <w:right w:val="single" w:sz="4" w:space="0" w:color="auto"/>
            </w:tcBorders>
            <w:shd w:val="clear" w:color="auto" w:fill="auto"/>
            <w:hideMark/>
          </w:tcPr>
          <w:p w14:paraId="572741B3" w14:textId="77777777" w:rsidR="00F4513D" w:rsidRPr="00591847" w:rsidRDefault="00F4513D" w:rsidP="00614420">
            <w:pPr>
              <w:jc w:val="left"/>
              <w:rPr>
                <w:color w:val="000000"/>
                <w:sz w:val="19"/>
                <w:szCs w:val="19"/>
              </w:rPr>
            </w:pPr>
            <w:r>
              <w:rPr>
                <w:color w:val="000000"/>
                <w:sz w:val="19"/>
              </w:rPr>
              <w:t>2.1</w:t>
            </w:r>
          </w:p>
        </w:tc>
        <w:tc>
          <w:tcPr>
            <w:tcW w:w="833" w:type="pct"/>
            <w:tcBorders>
              <w:top w:val="nil"/>
              <w:left w:val="nil"/>
              <w:bottom w:val="single" w:sz="4" w:space="0" w:color="auto"/>
              <w:right w:val="single" w:sz="4" w:space="0" w:color="auto"/>
            </w:tcBorders>
            <w:shd w:val="clear" w:color="auto" w:fill="auto"/>
            <w:hideMark/>
          </w:tcPr>
          <w:p w14:paraId="18105D6D" w14:textId="7E921889" w:rsidR="00F4513D" w:rsidRPr="00591847" w:rsidRDefault="00F4513D" w:rsidP="00614420">
            <w:pPr>
              <w:jc w:val="left"/>
              <w:rPr>
                <w:color w:val="000000"/>
                <w:sz w:val="19"/>
                <w:szCs w:val="19"/>
              </w:rPr>
            </w:pPr>
            <w:r>
              <w:rPr>
                <w:color w:val="000000"/>
                <w:sz w:val="19"/>
              </w:rPr>
              <w:t>Financement convenu pour l’Agence principale (PNUE) ($ US)</w:t>
            </w:r>
          </w:p>
        </w:tc>
        <w:tc>
          <w:tcPr>
            <w:tcW w:w="473" w:type="pct"/>
            <w:tcBorders>
              <w:top w:val="nil"/>
              <w:left w:val="nil"/>
              <w:bottom w:val="single" w:sz="4" w:space="0" w:color="auto"/>
              <w:right w:val="single" w:sz="4" w:space="0" w:color="auto"/>
            </w:tcBorders>
            <w:shd w:val="clear" w:color="auto" w:fill="auto"/>
          </w:tcPr>
          <w:p w14:paraId="46DCD991" w14:textId="72ACAC12" w:rsidR="00F4513D" w:rsidRPr="00591847" w:rsidRDefault="00F4513D" w:rsidP="00FF7C31">
            <w:pPr>
              <w:jc w:val="right"/>
              <w:rPr>
                <w:color w:val="000000"/>
                <w:sz w:val="19"/>
                <w:szCs w:val="19"/>
              </w:rPr>
            </w:pPr>
            <w:r>
              <w:rPr>
                <w:color w:val="000000"/>
                <w:sz w:val="19"/>
              </w:rPr>
              <w:t>181 000</w:t>
            </w:r>
          </w:p>
        </w:tc>
        <w:tc>
          <w:tcPr>
            <w:tcW w:w="474" w:type="pct"/>
            <w:tcBorders>
              <w:top w:val="nil"/>
              <w:left w:val="nil"/>
              <w:bottom w:val="single" w:sz="4" w:space="0" w:color="auto"/>
              <w:right w:val="single" w:sz="4" w:space="0" w:color="auto"/>
            </w:tcBorders>
            <w:shd w:val="clear" w:color="auto" w:fill="auto"/>
          </w:tcPr>
          <w:p w14:paraId="219367A5" w14:textId="0D59F725" w:rsidR="00F4513D" w:rsidRPr="00591847" w:rsidRDefault="00F4513D" w:rsidP="00FF7C31">
            <w:pPr>
              <w:jc w:val="right"/>
              <w:rPr>
                <w:color w:val="000000"/>
                <w:sz w:val="19"/>
                <w:szCs w:val="19"/>
              </w:rPr>
            </w:pPr>
            <w:r>
              <w:rPr>
                <w:color w:val="000000"/>
                <w:sz w:val="19"/>
              </w:rPr>
              <w:t>0</w:t>
            </w:r>
          </w:p>
        </w:tc>
        <w:tc>
          <w:tcPr>
            <w:tcW w:w="474" w:type="pct"/>
            <w:tcBorders>
              <w:top w:val="nil"/>
              <w:left w:val="nil"/>
              <w:bottom w:val="single" w:sz="4" w:space="0" w:color="auto"/>
              <w:right w:val="single" w:sz="4" w:space="0" w:color="auto"/>
            </w:tcBorders>
            <w:shd w:val="clear" w:color="auto" w:fill="auto"/>
          </w:tcPr>
          <w:p w14:paraId="2EFBE1DC" w14:textId="0F8FC6B8" w:rsidR="00F4513D" w:rsidRPr="00591847" w:rsidRDefault="00F4513D" w:rsidP="00FF7C31">
            <w:pPr>
              <w:jc w:val="right"/>
              <w:rPr>
                <w:color w:val="000000"/>
                <w:sz w:val="19"/>
                <w:szCs w:val="19"/>
              </w:rPr>
            </w:pPr>
            <w:r>
              <w:rPr>
                <w:color w:val="000000"/>
                <w:sz w:val="19"/>
              </w:rPr>
              <w:t>318 000</w:t>
            </w:r>
          </w:p>
        </w:tc>
        <w:tc>
          <w:tcPr>
            <w:tcW w:w="474" w:type="pct"/>
            <w:tcBorders>
              <w:top w:val="nil"/>
              <w:left w:val="nil"/>
              <w:bottom w:val="single" w:sz="4" w:space="0" w:color="auto"/>
              <w:right w:val="single" w:sz="4" w:space="0" w:color="auto"/>
            </w:tcBorders>
            <w:shd w:val="clear" w:color="auto" w:fill="auto"/>
          </w:tcPr>
          <w:p w14:paraId="10148240" w14:textId="5610DD65" w:rsidR="00F4513D" w:rsidRPr="00591847" w:rsidRDefault="00F4513D" w:rsidP="00FF7C31">
            <w:pPr>
              <w:jc w:val="right"/>
              <w:rPr>
                <w:color w:val="000000"/>
                <w:sz w:val="19"/>
                <w:szCs w:val="19"/>
              </w:rPr>
            </w:pPr>
            <w:r>
              <w:rPr>
                <w:color w:val="000000"/>
                <w:sz w:val="19"/>
              </w:rPr>
              <w:t>0</w:t>
            </w:r>
          </w:p>
        </w:tc>
        <w:tc>
          <w:tcPr>
            <w:tcW w:w="474" w:type="pct"/>
            <w:tcBorders>
              <w:top w:val="single" w:sz="4" w:space="0" w:color="auto"/>
              <w:left w:val="nil"/>
              <w:bottom w:val="single" w:sz="4" w:space="0" w:color="auto"/>
              <w:right w:val="single" w:sz="4" w:space="0" w:color="auto"/>
            </w:tcBorders>
          </w:tcPr>
          <w:p w14:paraId="71EE056B" w14:textId="0EBBEDF1" w:rsidR="00F4513D" w:rsidRDefault="00F4513D" w:rsidP="00FF7C31">
            <w:pPr>
              <w:jc w:val="right"/>
              <w:rPr>
                <w:color w:val="000000"/>
                <w:sz w:val="19"/>
                <w:szCs w:val="19"/>
              </w:rPr>
            </w:pPr>
            <w:r>
              <w:rPr>
                <w:color w:val="000000"/>
                <w:sz w:val="19"/>
              </w:rPr>
              <w:t>0</w:t>
            </w:r>
          </w:p>
        </w:tc>
        <w:tc>
          <w:tcPr>
            <w:tcW w:w="431" w:type="pct"/>
            <w:tcBorders>
              <w:top w:val="single" w:sz="4" w:space="0" w:color="auto"/>
              <w:left w:val="single" w:sz="4" w:space="0" w:color="auto"/>
              <w:bottom w:val="single" w:sz="4" w:space="0" w:color="auto"/>
              <w:right w:val="single" w:sz="4" w:space="0" w:color="auto"/>
            </w:tcBorders>
          </w:tcPr>
          <w:p w14:paraId="5F9B3515" w14:textId="428C23DE" w:rsidR="00F4513D" w:rsidRPr="00591847" w:rsidRDefault="007F18C4" w:rsidP="00FF7C31">
            <w:pPr>
              <w:jc w:val="right"/>
              <w:rPr>
                <w:color w:val="000000"/>
                <w:sz w:val="19"/>
                <w:szCs w:val="19"/>
              </w:rPr>
            </w:pPr>
            <w:r>
              <w:rPr>
                <w:color w:val="000000"/>
                <w:sz w:val="19"/>
              </w:rPr>
              <w:t>0</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7DD5961B" w14:textId="79FCFF76" w:rsidR="00F4513D" w:rsidRPr="00591847" w:rsidRDefault="007F18C4" w:rsidP="00FF7C31">
            <w:pPr>
              <w:jc w:val="right"/>
              <w:rPr>
                <w:color w:val="000000"/>
                <w:sz w:val="19"/>
                <w:szCs w:val="19"/>
              </w:rPr>
            </w:pPr>
            <w:r>
              <w:rPr>
                <w:color w:val="000000"/>
                <w:sz w:val="19"/>
              </w:rPr>
              <w:t>146 000</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05EC873E" w14:textId="5D3C1966" w:rsidR="00F4513D" w:rsidRPr="00591847" w:rsidRDefault="00F4513D" w:rsidP="00FF7C31">
            <w:pPr>
              <w:jc w:val="right"/>
              <w:rPr>
                <w:color w:val="000000"/>
                <w:sz w:val="19"/>
                <w:szCs w:val="19"/>
              </w:rPr>
            </w:pPr>
            <w:r>
              <w:rPr>
                <w:color w:val="000000"/>
                <w:sz w:val="19"/>
              </w:rPr>
              <w:t>645 000</w:t>
            </w:r>
          </w:p>
        </w:tc>
      </w:tr>
      <w:tr w:rsidR="00F4513D" w:rsidRPr="00591847" w14:paraId="05BC7ACB" w14:textId="77777777" w:rsidTr="00C45315">
        <w:trPr>
          <w:trHeight w:val="56"/>
          <w:jc w:val="center"/>
        </w:trPr>
        <w:tc>
          <w:tcPr>
            <w:tcW w:w="382" w:type="pct"/>
            <w:tcBorders>
              <w:top w:val="nil"/>
              <w:left w:val="single" w:sz="4" w:space="0" w:color="auto"/>
              <w:bottom w:val="single" w:sz="4" w:space="0" w:color="auto"/>
              <w:right w:val="single" w:sz="4" w:space="0" w:color="auto"/>
            </w:tcBorders>
            <w:shd w:val="clear" w:color="auto" w:fill="auto"/>
            <w:hideMark/>
          </w:tcPr>
          <w:p w14:paraId="35869204" w14:textId="77777777" w:rsidR="00F4513D" w:rsidRPr="00591847" w:rsidRDefault="00F4513D" w:rsidP="00614420">
            <w:pPr>
              <w:jc w:val="left"/>
              <w:rPr>
                <w:color w:val="000000"/>
                <w:sz w:val="19"/>
                <w:szCs w:val="19"/>
              </w:rPr>
            </w:pPr>
            <w:r>
              <w:rPr>
                <w:color w:val="000000"/>
                <w:sz w:val="19"/>
              </w:rPr>
              <w:t>2.2</w:t>
            </w:r>
          </w:p>
        </w:tc>
        <w:tc>
          <w:tcPr>
            <w:tcW w:w="833" w:type="pct"/>
            <w:tcBorders>
              <w:top w:val="nil"/>
              <w:left w:val="nil"/>
              <w:bottom w:val="single" w:sz="4" w:space="0" w:color="auto"/>
              <w:right w:val="single" w:sz="4" w:space="0" w:color="auto"/>
            </w:tcBorders>
            <w:shd w:val="clear" w:color="auto" w:fill="auto"/>
            <w:hideMark/>
          </w:tcPr>
          <w:p w14:paraId="069C81F1" w14:textId="77777777" w:rsidR="00F4513D" w:rsidRPr="00591847" w:rsidRDefault="00F4513D" w:rsidP="00614420">
            <w:pPr>
              <w:jc w:val="left"/>
              <w:rPr>
                <w:color w:val="000000"/>
                <w:sz w:val="19"/>
                <w:szCs w:val="19"/>
              </w:rPr>
            </w:pPr>
            <w:r>
              <w:rPr>
                <w:color w:val="000000"/>
                <w:sz w:val="19"/>
              </w:rPr>
              <w:t>Coûts d’appui pour l’Agence principale ($ US)</w:t>
            </w:r>
          </w:p>
        </w:tc>
        <w:tc>
          <w:tcPr>
            <w:tcW w:w="473" w:type="pct"/>
            <w:tcBorders>
              <w:top w:val="nil"/>
              <w:left w:val="nil"/>
              <w:bottom w:val="single" w:sz="4" w:space="0" w:color="auto"/>
              <w:right w:val="single" w:sz="4" w:space="0" w:color="auto"/>
            </w:tcBorders>
            <w:shd w:val="clear" w:color="auto" w:fill="auto"/>
          </w:tcPr>
          <w:p w14:paraId="3D31AFE6" w14:textId="16FD665D" w:rsidR="00F4513D" w:rsidRPr="00591847" w:rsidRDefault="00F4513D" w:rsidP="00FF7C31">
            <w:pPr>
              <w:jc w:val="right"/>
              <w:rPr>
                <w:color w:val="000000"/>
                <w:sz w:val="19"/>
                <w:szCs w:val="19"/>
              </w:rPr>
            </w:pPr>
            <w:r>
              <w:rPr>
                <w:color w:val="000000"/>
                <w:sz w:val="19"/>
              </w:rPr>
              <w:t>22 716</w:t>
            </w:r>
          </w:p>
        </w:tc>
        <w:tc>
          <w:tcPr>
            <w:tcW w:w="474" w:type="pct"/>
            <w:tcBorders>
              <w:top w:val="nil"/>
              <w:left w:val="nil"/>
              <w:bottom w:val="single" w:sz="4" w:space="0" w:color="auto"/>
              <w:right w:val="single" w:sz="4" w:space="0" w:color="auto"/>
            </w:tcBorders>
            <w:shd w:val="clear" w:color="auto" w:fill="auto"/>
          </w:tcPr>
          <w:p w14:paraId="3635F0FC" w14:textId="7E76E7A7" w:rsidR="00F4513D" w:rsidRPr="00591847" w:rsidRDefault="00F4513D" w:rsidP="00FF7C31">
            <w:pPr>
              <w:jc w:val="right"/>
              <w:rPr>
                <w:color w:val="000000"/>
                <w:sz w:val="19"/>
                <w:szCs w:val="19"/>
              </w:rPr>
            </w:pPr>
            <w:r>
              <w:rPr>
                <w:color w:val="000000"/>
                <w:sz w:val="19"/>
              </w:rPr>
              <w:t>0</w:t>
            </w:r>
          </w:p>
        </w:tc>
        <w:tc>
          <w:tcPr>
            <w:tcW w:w="474" w:type="pct"/>
            <w:tcBorders>
              <w:top w:val="nil"/>
              <w:left w:val="nil"/>
              <w:bottom w:val="single" w:sz="4" w:space="0" w:color="auto"/>
              <w:right w:val="single" w:sz="4" w:space="0" w:color="auto"/>
            </w:tcBorders>
            <w:shd w:val="clear" w:color="auto" w:fill="auto"/>
          </w:tcPr>
          <w:p w14:paraId="4E6AB2A3" w14:textId="21D8B32D" w:rsidR="00F4513D" w:rsidRPr="00591847" w:rsidRDefault="00F4513D" w:rsidP="00FF7C31">
            <w:pPr>
              <w:jc w:val="right"/>
              <w:rPr>
                <w:color w:val="000000"/>
                <w:sz w:val="19"/>
                <w:szCs w:val="19"/>
              </w:rPr>
            </w:pPr>
            <w:r>
              <w:rPr>
                <w:color w:val="000000"/>
                <w:sz w:val="19"/>
              </w:rPr>
              <w:t>39 919</w:t>
            </w:r>
          </w:p>
        </w:tc>
        <w:tc>
          <w:tcPr>
            <w:tcW w:w="474" w:type="pct"/>
            <w:tcBorders>
              <w:top w:val="nil"/>
              <w:left w:val="nil"/>
              <w:bottom w:val="single" w:sz="4" w:space="0" w:color="auto"/>
              <w:right w:val="single" w:sz="4" w:space="0" w:color="auto"/>
            </w:tcBorders>
            <w:shd w:val="clear" w:color="auto" w:fill="auto"/>
          </w:tcPr>
          <w:p w14:paraId="6E53EECE" w14:textId="2E60A401" w:rsidR="00F4513D" w:rsidRPr="00591847" w:rsidRDefault="00F4513D" w:rsidP="00FF7C31">
            <w:pPr>
              <w:jc w:val="right"/>
              <w:rPr>
                <w:color w:val="000000"/>
                <w:sz w:val="19"/>
                <w:szCs w:val="19"/>
              </w:rPr>
            </w:pPr>
            <w:r>
              <w:rPr>
                <w:color w:val="000000"/>
                <w:sz w:val="19"/>
              </w:rPr>
              <w:t> 0</w:t>
            </w:r>
          </w:p>
        </w:tc>
        <w:tc>
          <w:tcPr>
            <w:tcW w:w="474" w:type="pct"/>
            <w:tcBorders>
              <w:top w:val="single" w:sz="4" w:space="0" w:color="auto"/>
              <w:left w:val="nil"/>
              <w:bottom w:val="single" w:sz="4" w:space="0" w:color="auto"/>
              <w:right w:val="single" w:sz="4" w:space="0" w:color="auto"/>
            </w:tcBorders>
          </w:tcPr>
          <w:p w14:paraId="270DAF91" w14:textId="0F9F6A8A" w:rsidR="00F4513D" w:rsidRPr="00591847" w:rsidRDefault="00F4513D" w:rsidP="00FF7C31">
            <w:pPr>
              <w:jc w:val="right"/>
              <w:rPr>
                <w:color w:val="000000"/>
                <w:sz w:val="19"/>
                <w:szCs w:val="19"/>
              </w:rPr>
            </w:pPr>
            <w:r>
              <w:rPr>
                <w:color w:val="000000"/>
                <w:sz w:val="19"/>
              </w:rPr>
              <w:t>0</w:t>
            </w:r>
          </w:p>
        </w:tc>
        <w:tc>
          <w:tcPr>
            <w:tcW w:w="431" w:type="pct"/>
            <w:tcBorders>
              <w:top w:val="single" w:sz="4" w:space="0" w:color="auto"/>
              <w:left w:val="single" w:sz="4" w:space="0" w:color="auto"/>
              <w:bottom w:val="single" w:sz="4" w:space="0" w:color="auto"/>
              <w:right w:val="single" w:sz="4" w:space="0" w:color="auto"/>
            </w:tcBorders>
          </w:tcPr>
          <w:p w14:paraId="4C687ED4" w14:textId="3559EE2C" w:rsidR="00F4513D" w:rsidRPr="00591847" w:rsidRDefault="007F18C4" w:rsidP="00FF7C31">
            <w:pPr>
              <w:jc w:val="right"/>
              <w:rPr>
                <w:color w:val="000000"/>
                <w:sz w:val="19"/>
                <w:szCs w:val="19"/>
              </w:rPr>
            </w:pPr>
            <w:r>
              <w:rPr>
                <w:color w:val="000000"/>
                <w:sz w:val="19"/>
              </w:rPr>
              <w:t>0</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24FD3BA4" w14:textId="79E143FB" w:rsidR="00F4513D" w:rsidRPr="00591847" w:rsidRDefault="007F18C4" w:rsidP="00FF7C31">
            <w:pPr>
              <w:jc w:val="right"/>
              <w:rPr>
                <w:color w:val="000000"/>
                <w:sz w:val="19"/>
                <w:szCs w:val="19"/>
              </w:rPr>
            </w:pPr>
            <w:r>
              <w:rPr>
                <w:color w:val="000000"/>
                <w:sz w:val="19"/>
              </w:rPr>
              <w:t>18 324</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21E5BE26" w14:textId="729B69C5" w:rsidR="00F4513D" w:rsidRPr="00591847" w:rsidRDefault="00F4513D" w:rsidP="00FF7C31">
            <w:pPr>
              <w:jc w:val="right"/>
              <w:rPr>
                <w:color w:val="000000"/>
                <w:sz w:val="19"/>
                <w:szCs w:val="19"/>
              </w:rPr>
            </w:pPr>
            <w:r>
              <w:rPr>
                <w:color w:val="000000"/>
                <w:sz w:val="19"/>
              </w:rPr>
              <w:t>80 950</w:t>
            </w:r>
          </w:p>
        </w:tc>
      </w:tr>
      <w:tr w:rsidR="00F4513D" w:rsidRPr="00591847" w14:paraId="73A6AD1C" w14:textId="77777777" w:rsidTr="00C45315">
        <w:trPr>
          <w:trHeight w:val="161"/>
          <w:jc w:val="center"/>
        </w:trPr>
        <w:tc>
          <w:tcPr>
            <w:tcW w:w="382" w:type="pct"/>
            <w:tcBorders>
              <w:top w:val="nil"/>
              <w:left w:val="single" w:sz="4" w:space="0" w:color="auto"/>
              <w:bottom w:val="single" w:sz="4" w:space="0" w:color="auto"/>
              <w:right w:val="single" w:sz="4" w:space="0" w:color="auto"/>
            </w:tcBorders>
            <w:shd w:val="clear" w:color="auto" w:fill="auto"/>
            <w:hideMark/>
          </w:tcPr>
          <w:p w14:paraId="2ABF800F" w14:textId="77777777" w:rsidR="00F4513D" w:rsidRPr="00591847" w:rsidRDefault="00F4513D" w:rsidP="00F4513D">
            <w:pPr>
              <w:jc w:val="left"/>
              <w:rPr>
                <w:color w:val="000000"/>
                <w:sz w:val="19"/>
                <w:szCs w:val="19"/>
              </w:rPr>
            </w:pPr>
            <w:r>
              <w:rPr>
                <w:color w:val="000000"/>
                <w:sz w:val="19"/>
              </w:rPr>
              <w:t>2.3</w:t>
            </w:r>
          </w:p>
        </w:tc>
        <w:tc>
          <w:tcPr>
            <w:tcW w:w="833" w:type="pct"/>
            <w:tcBorders>
              <w:top w:val="nil"/>
              <w:left w:val="nil"/>
              <w:bottom w:val="single" w:sz="4" w:space="0" w:color="auto"/>
              <w:right w:val="single" w:sz="4" w:space="0" w:color="auto"/>
            </w:tcBorders>
            <w:shd w:val="clear" w:color="auto" w:fill="auto"/>
            <w:hideMark/>
          </w:tcPr>
          <w:p w14:paraId="0FA08FC7" w14:textId="129EC0AA" w:rsidR="00F4513D" w:rsidRPr="00591847" w:rsidRDefault="00F4513D" w:rsidP="00F4513D">
            <w:pPr>
              <w:jc w:val="left"/>
              <w:rPr>
                <w:color w:val="000000"/>
                <w:sz w:val="19"/>
                <w:szCs w:val="19"/>
              </w:rPr>
            </w:pPr>
            <w:r>
              <w:rPr>
                <w:color w:val="000000"/>
                <w:sz w:val="19"/>
              </w:rPr>
              <w:t>Financement convenu pour l’Agence de coopération (ONUDI) ($ US)</w:t>
            </w:r>
          </w:p>
        </w:tc>
        <w:tc>
          <w:tcPr>
            <w:tcW w:w="473" w:type="pct"/>
            <w:tcBorders>
              <w:top w:val="nil"/>
              <w:left w:val="nil"/>
              <w:bottom w:val="single" w:sz="4" w:space="0" w:color="auto"/>
              <w:right w:val="single" w:sz="4" w:space="0" w:color="auto"/>
            </w:tcBorders>
            <w:shd w:val="clear" w:color="auto" w:fill="auto"/>
          </w:tcPr>
          <w:p w14:paraId="1DB86DFB" w14:textId="4D1910BA" w:rsidR="00F4513D" w:rsidRPr="00591847" w:rsidRDefault="00F4513D" w:rsidP="00F4513D">
            <w:pPr>
              <w:jc w:val="right"/>
              <w:rPr>
                <w:color w:val="000000"/>
                <w:sz w:val="19"/>
                <w:szCs w:val="19"/>
              </w:rPr>
            </w:pPr>
            <w:r>
              <w:rPr>
                <w:color w:val="000000"/>
                <w:sz w:val="19"/>
              </w:rPr>
              <w:t>155 000</w:t>
            </w:r>
          </w:p>
        </w:tc>
        <w:tc>
          <w:tcPr>
            <w:tcW w:w="474" w:type="pct"/>
            <w:tcBorders>
              <w:top w:val="nil"/>
              <w:left w:val="nil"/>
              <w:bottom w:val="single" w:sz="4" w:space="0" w:color="auto"/>
              <w:right w:val="single" w:sz="4" w:space="0" w:color="auto"/>
            </w:tcBorders>
            <w:shd w:val="clear" w:color="auto" w:fill="auto"/>
          </w:tcPr>
          <w:p w14:paraId="476001DC" w14:textId="7E019DCF" w:rsidR="00F4513D" w:rsidRPr="00591847" w:rsidRDefault="00F4513D" w:rsidP="00F4513D">
            <w:pPr>
              <w:jc w:val="right"/>
              <w:rPr>
                <w:color w:val="000000"/>
                <w:sz w:val="19"/>
                <w:szCs w:val="19"/>
              </w:rPr>
            </w:pPr>
            <w:r>
              <w:rPr>
                <w:color w:val="000000"/>
                <w:sz w:val="19"/>
              </w:rPr>
              <w:t>0</w:t>
            </w:r>
          </w:p>
        </w:tc>
        <w:tc>
          <w:tcPr>
            <w:tcW w:w="474" w:type="pct"/>
            <w:tcBorders>
              <w:top w:val="nil"/>
              <w:left w:val="nil"/>
              <w:bottom w:val="single" w:sz="4" w:space="0" w:color="auto"/>
              <w:right w:val="single" w:sz="4" w:space="0" w:color="auto"/>
            </w:tcBorders>
            <w:shd w:val="clear" w:color="auto" w:fill="auto"/>
          </w:tcPr>
          <w:p w14:paraId="4934404B" w14:textId="6A092B4A" w:rsidR="00F4513D" w:rsidRPr="00591847" w:rsidRDefault="000450DE" w:rsidP="00F4513D">
            <w:pPr>
              <w:jc w:val="right"/>
              <w:rPr>
                <w:color w:val="000000"/>
                <w:sz w:val="19"/>
                <w:szCs w:val="19"/>
              </w:rPr>
            </w:pPr>
            <w:r>
              <w:rPr>
                <w:color w:val="000000"/>
                <w:sz w:val="19"/>
              </w:rPr>
              <w:t>115 000</w:t>
            </w:r>
          </w:p>
        </w:tc>
        <w:tc>
          <w:tcPr>
            <w:tcW w:w="474" w:type="pct"/>
            <w:tcBorders>
              <w:top w:val="nil"/>
              <w:left w:val="nil"/>
              <w:bottom w:val="single" w:sz="4" w:space="0" w:color="auto"/>
              <w:right w:val="single" w:sz="4" w:space="0" w:color="auto"/>
            </w:tcBorders>
            <w:shd w:val="clear" w:color="auto" w:fill="auto"/>
          </w:tcPr>
          <w:p w14:paraId="7493623F" w14:textId="464A5410" w:rsidR="00F4513D" w:rsidRPr="00591847" w:rsidRDefault="00F4513D" w:rsidP="00F4513D">
            <w:pPr>
              <w:jc w:val="right"/>
              <w:rPr>
                <w:color w:val="000000"/>
                <w:sz w:val="19"/>
                <w:szCs w:val="19"/>
              </w:rPr>
            </w:pPr>
            <w:r>
              <w:rPr>
                <w:color w:val="000000"/>
                <w:sz w:val="19"/>
              </w:rPr>
              <w:t>0</w:t>
            </w:r>
          </w:p>
        </w:tc>
        <w:tc>
          <w:tcPr>
            <w:tcW w:w="474" w:type="pct"/>
            <w:tcBorders>
              <w:top w:val="single" w:sz="4" w:space="0" w:color="auto"/>
              <w:left w:val="nil"/>
              <w:bottom w:val="single" w:sz="4" w:space="0" w:color="auto"/>
              <w:right w:val="single" w:sz="4" w:space="0" w:color="auto"/>
            </w:tcBorders>
          </w:tcPr>
          <w:p w14:paraId="37A980D9" w14:textId="33D28360" w:rsidR="00F4513D" w:rsidRDefault="00F4513D" w:rsidP="00F4513D">
            <w:pPr>
              <w:jc w:val="right"/>
              <w:rPr>
                <w:color w:val="000000"/>
                <w:sz w:val="19"/>
                <w:szCs w:val="19"/>
              </w:rPr>
            </w:pPr>
            <w:r>
              <w:rPr>
                <w:color w:val="000000"/>
                <w:sz w:val="19"/>
              </w:rPr>
              <w:t>0</w:t>
            </w:r>
          </w:p>
        </w:tc>
        <w:tc>
          <w:tcPr>
            <w:tcW w:w="431" w:type="pct"/>
            <w:tcBorders>
              <w:top w:val="single" w:sz="4" w:space="0" w:color="auto"/>
              <w:left w:val="single" w:sz="4" w:space="0" w:color="auto"/>
              <w:bottom w:val="single" w:sz="4" w:space="0" w:color="auto"/>
              <w:right w:val="single" w:sz="4" w:space="0" w:color="auto"/>
            </w:tcBorders>
          </w:tcPr>
          <w:p w14:paraId="4C02A6A4" w14:textId="5713B8DD" w:rsidR="00F4513D" w:rsidRPr="00591847" w:rsidRDefault="007F18C4" w:rsidP="00F4513D">
            <w:pPr>
              <w:jc w:val="right"/>
              <w:rPr>
                <w:color w:val="000000"/>
                <w:sz w:val="19"/>
                <w:szCs w:val="19"/>
              </w:rPr>
            </w:pPr>
            <w:r>
              <w:rPr>
                <w:color w:val="000000"/>
                <w:sz w:val="19"/>
              </w:rPr>
              <w:t>0</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552D0565" w14:textId="45A3DEB5" w:rsidR="00F4513D" w:rsidRPr="00591847" w:rsidRDefault="00E37C44" w:rsidP="00F4513D">
            <w:pPr>
              <w:jc w:val="right"/>
              <w:rPr>
                <w:color w:val="000000"/>
                <w:sz w:val="19"/>
                <w:szCs w:val="19"/>
              </w:rPr>
            </w:pPr>
            <w:r>
              <w:rPr>
                <w:color w:val="000000"/>
                <w:sz w:val="19"/>
              </w:rPr>
              <w:t>0</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3B34CCEE" w14:textId="06C3E0F6" w:rsidR="00F4513D" w:rsidRPr="00591847" w:rsidRDefault="00FE05B4" w:rsidP="00F4513D">
            <w:pPr>
              <w:jc w:val="right"/>
              <w:rPr>
                <w:color w:val="000000"/>
                <w:sz w:val="19"/>
                <w:szCs w:val="19"/>
              </w:rPr>
            </w:pPr>
            <w:r>
              <w:rPr>
                <w:color w:val="000000"/>
                <w:sz w:val="19"/>
              </w:rPr>
              <w:t>270 000</w:t>
            </w:r>
          </w:p>
        </w:tc>
      </w:tr>
      <w:tr w:rsidR="00F4513D" w:rsidRPr="00591847" w14:paraId="1698947F" w14:textId="77777777" w:rsidTr="00C45315">
        <w:trPr>
          <w:trHeight w:val="60"/>
          <w:jc w:val="center"/>
        </w:trPr>
        <w:tc>
          <w:tcPr>
            <w:tcW w:w="382" w:type="pct"/>
            <w:tcBorders>
              <w:top w:val="nil"/>
              <w:left w:val="single" w:sz="4" w:space="0" w:color="auto"/>
              <w:bottom w:val="single" w:sz="4" w:space="0" w:color="auto"/>
              <w:right w:val="single" w:sz="4" w:space="0" w:color="auto"/>
            </w:tcBorders>
            <w:shd w:val="clear" w:color="auto" w:fill="auto"/>
            <w:hideMark/>
          </w:tcPr>
          <w:p w14:paraId="5C4C0587" w14:textId="77777777" w:rsidR="00F4513D" w:rsidRPr="00591847" w:rsidRDefault="00F4513D" w:rsidP="00F4513D">
            <w:pPr>
              <w:jc w:val="left"/>
              <w:rPr>
                <w:color w:val="000000"/>
                <w:sz w:val="19"/>
                <w:szCs w:val="19"/>
              </w:rPr>
            </w:pPr>
            <w:r>
              <w:rPr>
                <w:color w:val="000000"/>
                <w:sz w:val="19"/>
              </w:rPr>
              <w:t>2,4</w:t>
            </w:r>
          </w:p>
        </w:tc>
        <w:tc>
          <w:tcPr>
            <w:tcW w:w="833" w:type="pct"/>
            <w:tcBorders>
              <w:top w:val="nil"/>
              <w:left w:val="nil"/>
              <w:bottom w:val="single" w:sz="4" w:space="0" w:color="auto"/>
              <w:right w:val="single" w:sz="4" w:space="0" w:color="auto"/>
            </w:tcBorders>
            <w:shd w:val="clear" w:color="auto" w:fill="auto"/>
            <w:hideMark/>
          </w:tcPr>
          <w:p w14:paraId="6B7CFDB5" w14:textId="77777777" w:rsidR="00F4513D" w:rsidRPr="00591847" w:rsidRDefault="00F4513D" w:rsidP="00F4513D">
            <w:pPr>
              <w:jc w:val="left"/>
              <w:rPr>
                <w:color w:val="000000"/>
                <w:sz w:val="19"/>
                <w:szCs w:val="19"/>
              </w:rPr>
            </w:pPr>
            <w:r>
              <w:rPr>
                <w:color w:val="000000"/>
                <w:sz w:val="19"/>
              </w:rPr>
              <w:t>Coûts d’appui pour l’Agence de coopération ($ US)</w:t>
            </w:r>
          </w:p>
        </w:tc>
        <w:tc>
          <w:tcPr>
            <w:tcW w:w="473" w:type="pct"/>
            <w:tcBorders>
              <w:top w:val="nil"/>
              <w:left w:val="nil"/>
              <w:bottom w:val="single" w:sz="4" w:space="0" w:color="auto"/>
              <w:right w:val="single" w:sz="4" w:space="0" w:color="auto"/>
            </w:tcBorders>
            <w:shd w:val="clear" w:color="auto" w:fill="auto"/>
          </w:tcPr>
          <w:p w14:paraId="351DF7A6" w14:textId="1D66B06E" w:rsidR="00F4513D" w:rsidRPr="00591847" w:rsidRDefault="00F4513D" w:rsidP="00F4513D">
            <w:pPr>
              <w:jc w:val="right"/>
              <w:rPr>
                <w:color w:val="000000"/>
                <w:sz w:val="19"/>
                <w:szCs w:val="19"/>
              </w:rPr>
            </w:pPr>
            <w:r>
              <w:rPr>
                <w:color w:val="000000"/>
                <w:sz w:val="19"/>
              </w:rPr>
              <w:t>10 850</w:t>
            </w:r>
          </w:p>
        </w:tc>
        <w:tc>
          <w:tcPr>
            <w:tcW w:w="474" w:type="pct"/>
            <w:tcBorders>
              <w:top w:val="nil"/>
              <w:left w:val="nil"/>
              <w:bottom w:val="single" w:sz="4" w:space="0" w:color="auto"/>
              <w:right w:val="single" w:sz="4" w:space="0" w:color="auto"/>
            </w:tcBorders>
            <w:shd w:val="clear" w:color="auto" w:fill="auto"/>
          </w:tcPr>
          <w:p w14:paraId="59B26E8C" w14:textId="233D3401" w:rsidR="00F4513D" w:rsidRPr="00591847" w:rsidRDefault="00F4513D" w:rsidP="00F4513D">
            <w:pPr>
              <w:jc w:val="right"/>
              <w:rPr>
                <w:color w:val="000000"/>
                <w:sz w:val="19"/>
                <w:szCs w:val="19"/>
              </w:rPr>
            </w:pPr>
            <w:r>
              <w:rPr>
                <w:color w:val="000000"/>
                <w:sz w:val="19"/>
              </w:rPr>
              <w:t>0</w:t>
            </w:r>
          </w:p>
        </w:tc>
        <w:tc>
          <w:tcPr>
            <w:tcW w:w="474" w:type="pct"/>
            <w:tcBorders>
              <w:top w:val="nil"/>
              <w:left w:val="nil"/>
              <w:bottom w:val="single" w:sz="4" w:space="0" w:color="auto"/>
              <w:right w:val="single" w:sz="4" w:space="0" w:color="auto"/>
            </w:tcBorders>
            <w:shd w:val="clear" w:color="auto" w:fill="auto"/>
          </w:tcPr>
          <w:p w14:paraId="2D47E97F" w14:textId="70A489B6" w:rsidR="00F4513D" w:rsidRPr="00591847" w:rsidRDefault="00630804" w:rsidP="00F4513D">
            <w:pPr>
              <w:jc w:val="right"/>
              <w:rPr>
                <w:color w:val="000000"/>
                <w:sz w:val="19"/>
                <w:szCs w:val="19"/>
              </w:rPr>
            </w:pPr>
            <w:r>
              <w:rPr>
                <w:color w:val="000000"/>
                <w:sz w:val="19"/>
              </w:rPr>
              <w:t>8 050</w:t>
            </w:r>
          </w:p>
        </w:tc>
        <w:tc>
          <w:tcPr>
            <w:tcW w:w="474" w:type="pct"/>
            <w:tcBorders>
              <w:top w:val="nil"/>
              <w:left w:val="nil"/>
              <w:bottom w:val="single" w:sz="4" w:space="0" w:color="auto"/>
              <w:right w:val="single" w:sz="4" w:space="0" w:color="auto"/>
            </w:tcBorders>
            <w:shd w:val="clear" w:color="auto" w:fill="auto"/>
          </w:tcPr>
          <w:p w14:paraId="3AD5718C" w14:textId="18118237" w:rsidR="00F4513D" w:rsidRPr="00591847" w:rsidRDefault="00F4513D" w:rsidP="00F4513D">
            <w:pPr>
              <w:jc w:val="right"/>
              <w:rPr>
                <w:color w:val="000000"/>
                <w:sz w:val="19"/>
                <w:szCs w:val="19"/>
              </w:rPr>
            </w:pPr>
            <w:r>
              <w:rPr>
                <w:color w:val="000000"/>
                <w:sz w:val="19"/>
              </w:rPr>
              <w:t>0</w:t>
            </w:r>
          </w:p>
        </w:tc>
        <w:tc>
          <w:tcPr>
            <w:tcW w:w="474" w:type="pct"/>
            <w:tcBorders>
              <w:top w:val="single" w:sz="4" w:space="0" w:color="auto"/>
              <w:left w:val="nil"/>
              <w:bottom w:val="single" w:sz="4" w:space="0" w:color="auto"/>
              <w:right w:val="single" w:sz="4" w:space="0" w:color="auto"/>
            </w:tcBorders>
          </w:tcPr>
          <w:p w14:paraId="086284A2" w14:textId="2E06BEA9" w:rsidR="00F4513D" w:rsidRDefault="00F4513D" w:rsidP="00F4513D">
            <w:pPr>
              <w:jc w:val="right"/>
              <w:rPr>
                <w:color w:val="000000"/>
                <w:sz w:val="19"/>
                <w:szCs w:val="19"/>
              </w:rPr>
            </w:pPr>
            <w:r>
              <w:rPr>
                <w:color w:val="000000"/>
                <w:sz w:val="19"/>
              </w:rPr>
              <w:t>0</w:t>
            </w:r>
          </w:p>
        </w:tc>
        <w:tc>
          <w:tcPr>
            <w:tcW w:w="431" w:type="pct"/>
            <w:tcBorders>
              <w:top w:val="single" w:sz="4" w:space="0" w:color="auto"/>
              <w:left w:val="single" w:sz="4" w:space="0" w:color="auto"/>
              <w:bottom w:val="single" w:sz="4" w:space="0" w:color="auto"/>
              <w:right w:val="single" w:sz="4" w:space="0" w:color="auto"/>
            </w:tcBorders>
          </w:tcPr>
          <w:p w14:paraId="143B3239" w14:textId="58446DD4" w:rsidR="00F4513D" w:rsidRPr="00591847" w:rsidRDefault="007F18C4" w:rsidP="00F4513D">
            <w:pPr>
              <w:jc w:val="right"/>
              <w:rPr>
                <w:color w:val="000000"/>
                <w:sz w:val="19"/>
                <w:szCs w:val="19"/>
              </w:rPr>
            </w:pPr>
            <w:r>
              <w:rPr>
                <w:color w:val="000000"/>
                <w:sz w:val="19"/>
              </w:rPr>
              <w:t>0</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2971DB7B" w14:textId="60AB6C2F" w:rsidR="00F4513D" w:rsidRPr="00591847" w:rsidRDefault="00E37C44" w:rsidP="00F4513D">
            <w:pPr>
              <w:jc w:val="right"/>
              <w:rPr>
                <w:color w:val="000000"/>
                <w:sz w:val="19"/>
                <w:szCs w:val="19"/>
              </w:rPr>
            </w:pPr>
            <w:r>
              <w:rPr>
                <w:color w:val="000000"/>
                <w:sz w:val="19"/>
              </w:rPr>
              <w:t>0</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0FFDCC70" w14:textId="7CC0F3DB" w:rsidR="00F4513D" w:rsidRPr="00591847" w:rsidRDefault="00F5016D" w:rsidP="00F4513D">
            <w:pPr>
              <w:jc w:val="right"/>
              <w:rPr>
                <w:color w:val="000000"/>
                <w:sz w:val="19"/>
                <w:szCs w:val="19"/>
              </w:rPr>
            </w:pPr>
            <w:r>
              <w:rPr>
                <w:color w:val="000000"/>
                <w:sz w:val="19"/>
              </w:rPr>
              <w:t>18 900</w:t>
            </w:r>
          </w:p>
        </w:tc>
      </w:tr>
      <w:tr w:rsidR="00F4513D" w:rsidRPr="00591847" w14:paraId="3F9BB0CC" w14:textId="77777777" w:rsidTr="00C45315">
        <w:trPr>
          <w:trHeight w:val="62"/>
          <w:jc w:val="center"/>
        </w:trPr>
        <w:tc>
          <w:tcPr>
            <w:tcW w:w="382" w:type="pct"/>
            <w:tcBorders>
              <w:top w:val="nil"/>
              <w:left w:val="single" w:sz="4" w:space="0" w:color="auto"/>
              <w:bottom w:val="single" w:sz="4" w:space="0" w:color="auto"/>
              <w:right w:val="single" w:sz="4" w:space="0" w:color="auto"/>
            </w:tcBorders>
            <w:shd w:val="clear" w:color="auto" w:fill="auto"/>
            <w:hideMark/>
          </w:tcPr>
          <w:p w14:paraId="76857B43" w14:textId="77777777" w:rsidR="00F4513D" w:rsidRPr="00591847" w:rsidRDefault="00F4513D" w:rsidP="00F4513D">
            <w:pPr>
              <w:jc w:val="left"/>
              <w:rPr>
                <w:color w:val="000000"/>
                <w:sz w:val="19"/>
                <w:szCs w:val="19"/>
              </w:rPr>
            </w:pPr>
            <w:r>
              <w:rPr>
                <w:color w:val="000000"/>
                <w:sz w:val="19"/>
              </w:rPr>
              <w:t>3,1</w:t>
            </w:r>
          </w:p>
        </w:tc>
        <w:tc>
          <w:tcPr>
            <w:tcW w:w="833" w:type="pct"/>
            <w:tcBorders>
              <w:top w:val="nil"/>
              <w:left w:val="nil"/>
              <w:bottom w:val="single" w:sz="4" w:space="0" w:color="auto"/>
              <w:right w:val="single" w:sz="4" w:space="0" w:color="auto"/>
            </w:tcBorders>
            <w:shd w:val="clear" w:color="auto" w:fill="auto"/>
            <w:hideMark/>
          </w:tcPr>
          <w:p w14:paraId="79D6C334" w14:textId="77777777" w:rsidR="00F4513D" w:rsidRPr="00591847" w:rsidRDefault="00F4513D" w:rsidP="00F4513D">
            <w:pPr>
              <w:jc w:val="left"/>
              <w:rPr>
                <w:color w:val="000000"/>
                <w:sz w:val="19"/>
                <w:szCs w:val="19"/>
              </w:rPr>
            </w:pPr>
            <w:r>
              <w:rPr>
                <w:color w:val="000000"/>
                <w:sz w:val="19"/>
              </w:rPr>
              <w:t>Financement total convenu ($ US)</w:t>
            </w:r>
          </w:p>
        </w:tc>
        <w:tc>
          <w:tcPr>
            <w:tcW w:w="473" w:type="pct"/>
            <w:tcBorders>
              <w:top w:val="nil"/>
              <w:left w:val="nil"/>
              <w:bottom w:val="single" w:sz="4" w:space="0" w:color="auto"/>
              <w:right w:val="single" w:sz="4" w:space="0" w:color="auto"/>
            </w:tcBorders>
            <w:shd w:val="clear" w:color="auto" w:fill="auto"/>
          </w:tcPr>
          <w:p w14:paraId="3F0BAA7C" w14:textId="17F70F2F" w:rsidR="00F4513D" w:rsidRPr="00591847" w:rsidRDefault="00F4513D" w:rsidP="00F4513D">
            <w:pPr>
              <w:jc w:val="right"/>
              <w:rPr>
                <w:color w:val="000000"/>
                <w:sz w:val="19"/>
                <w:szCs w:val="19"/>
              </w:rPr>
            </w:pPr>
            <w:r>
              <w:rPr>
                <w:color w:val="000000"/>
                <w:sz w:val="19"/>
              </w:rPr>
              <w:t>336 000</w:t>
            </w:r>
          </w:p>
        </w:tc>
        <w:tc>
          <w:tcPr>
            <w:tcW w:w="474" w:type="pct"/>
            <w:tcBorders>
              <w:top w:val="nil"/>
              <w:left w:val="nil"/>
              <w:bottom w:val="single" w:sz="4" w:space="0" w:color="auto"/>
              <w:right w:val="single" w:sz="4" w:space="0" w:color="auto"/>
            </w:tcBorders>
            <w:shd w:val="clear" w:color="auto" w:fill="auto"/>
          </w:tcPr>
          <w:p w14:paraId="3D9835FB" w14:textId="300C9753" w:rsidR="00F4513D" w:rsidRPr="00591847" w:rsidRDefault="00F4513D" w:rsidP="00F4513D">
            <w:pPr>
              <w:jc w:val="right"/>
              <w:rPr>
                <w:color w:val="000000"/>
                <w:sz w:val="19"/>
                <w:szCs w:val="19"/>
              </w:rPr>
            </w:pPr>
            <w:r>
              <w:rPr>
                <w:color w:val="000000"/>
                <w:sz w:val="19"/>
              </w:rPr>
              <w:t>0</w:t>
            </w:r>
          </w:p>
        </w:tc>
        <w:tc>
          <w:tcPr>
            <w:tcW w:w="474" w:type="pct"/>
            <w:tcBorders>
              <w:top w:val="nil"/>
              <w:left w:val="nil"/>
              <w:bottom w:val="single" w:sz="4" w:space="0" w:color="auto"/>
              <w:right w:val="single" w:sz="4" w:space="0" w:color="auto"/>
            </w:tcBorders>
            <w:shd w:val="clear" w:color="auto" w:fill="auto"/>
          </w:tcPr>
          <w:p w14:paraId="135BBD58" w14:textId="172027BC" w:rsidR="00F4513D" w:rsidRPr="00591847" w:rsidRDefault="00630804" w:rsidP="00F4513D">
            <w:pPr>
              <w:jc w:val="right"/>
              <w:rPr>
                <w:color w:val="000000"/>
                <w:sz w:val="19"/>
                <w:szCs w:val="19"/>
              </w:rPr>
            </w:pPr>
            <w:r>
              <w:rPr>
                <w:color w:val="000000"/>
                <w:sz w:val="19"/>
              </w:rPr>
              <w:t>433 000</w:t>
            </w:r>
          </w:p>
        </w:tc>
        <w:tc>
          <w:tcPr>
            <w:tcW w:w="474" w:type="pct"/>
            <w:tcBorders>
              <w:top w:val="nil"/>
              <w:left w:val="nil"/>
              <w:bottom w:val="single" w:sz="4" w:space="0" w:color="auto"/>
              <w:right w:val="single" w:sz="4" w:space="0" w:color="auto"/>
            </w:tcBorders>
            <w:shd w:val="clear" w:color="auto" w:fill="auto"/>
          </w:tcPr>
          <w:p w14:paraId="417BA6AB" w14:textId="6298D5D0" w:rsidR="00F4513D" w:rsidRPr="00591847" w:rsidRDefault="00F4513D" w:rsidP="00F4513D">
            <w:pPr>
              <w:jc w:val="right"/>
              <w:rPr>
                <w:color w:val="000000"/>
                <w:sz w:val="19"/>
                <w:szCs w:val="19"/>
              </w:rPr>
            </w:pPr>
            <w:r>
              <w:rPr>
                <w:color w:val="000000"/>
                <w:sz w:val="19"/>
              </w:rPr>
              <w:t>0</w:t>
            </w:r>
          </w:p>
        </w:tc>
        <w:tc>
          <w:tcPr>
            <w:tcW w:w="474" w:type="pct"/>
            <w:tcBorders>
              <w:top w:val="single" w:sz="4" w:space="0" w:color="auto"/>
              <w:left w:val="nil"/>
              <w:bottom w:val="single" w:sz="4" w:space="0" w:color="auto"/>
              <w:right w:val="single" w:sz="4" w:space="0" w:color="auto"/>
            </w:tcBorders>
          </w:tcPr>
          <w:p w14:paraId="79D01B7F" w14:textId="53CD297E" w:rsidR="00F4513D" w:rsidRDefault="00F4513D" w:rsidP="00F4513D">
            <w:pPr>
              <w:jc w:val="right"/>
              <w:rPr>
                <w:color w:val="000000"/>
                <w:sz w:val="19"/>
                <w:szCs w:val="19"/>
              </w:rPr>
            </w:pPr>
            <w:r>
              <w:rPr>
                <w:color w:val="000000"/>
                <w:sz w:val="19"/>
              </w:rPr>
              <w:t>0</w:t>
            </w:r>
          </w:p>
        </w:tc>
        <w:tc>
          <w:tcPr>
            <w:tcW w:w="431" w:type="pct"/>
            <w:tcBorders>
              <w:top w:val="single" w:sz="4" w:space="0" w:color="auto"/>
              <w:left w:val="single" w:sz="4" w:space="0" w:color="auto"/>
              <w:bottom w:val="single" w:sz="4" w:space="0" w:color="auto"/>
              <w:right w:val="single" w:sz="4" w:space="0" w:color="auto"/>
            </w:tcBorders>
          </w:tcPr>
          <w:p w14:paraId="212AE5F6" w14:textId="22ECFB40" w:rsidR="00F4513D" w:rsidRPr="00591847" w:rsidRDefault="007F18C4" w:rsidP="00F4513D">
            <w:pPr>
              <w:jc w:val="right"/>
              <w:rPr>
                <w:color w:val="000000"/>
                <w:sz w:val="19"/>
                <w:szCs w:val="19"/>
              </w:rPr>
            </w:pPr>
            <w:r>
              <w:rPr>
                <w:color w:val="000000"/>
                <w:sz w:val="19"/>
              </w:rPr>
              <w:t>0</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3FB5D5D2" w14:textId="6C8AF53E" w:rsidR="00F4513D" w:rsidRPr="00591847" w:rsidRDefault="00132379" w:rsidP="00F4513D">
            <w:pPr>
              <w:jc w:val="right"/>
              <w:rPr>
                <w:color w:val="000000"/>
                <w:sz w:val="19"/>
                <w:szCs w:val="19"/>
              </w:rPr>
            </w:pPr>
            <w:r>
              <w:rPr>
                <w:color w:val="000000"/>
                <w:sz w:val="19"/>
              </w:rPr>
              <w:t>146 000</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3DD8C21D" w14:textId="3AB74898" w:rsidR="00F4513D" w:rsidRPr="00591847" w:rsidRDefault="00F4513D" w:rsidP="00F4513D">
            <w:pPr>
              <w:jc w:val="right"/>
              <w:rPr>
                <w:color w:val="000000"/>
                <w:sz w:val="19"/>
                <w:szCs w:val="19"/>
              </w:rPr>
            </w:pPr>
            <w:r>
              <w:rPr>
                <w:color w:val="000000"/>
                <w:sz w:val="19"/>
              </w:rPr>
              <w:t>915 000</w:t>
            </w:r>
          </w:p>
        </w:tc>
      </w:tr>
      <w:tr w:rsidR="00F4513D" w:rsidRPr="00591847" w14:paraId="028EEFE2" w14:textId="77777777" w:rsidTr="00C45315">
        <w:trPr>
          <w:trHeight w:val="62"/>
          <w:jc w:val="center"/>
        </w:trPr>
        <w:tc>
          <w:tcPr>
            <w:tcW w:w="382" w:type="pct"/>
            <w:tcBorders>
              <w:top w:val="nil"/>
              <w:left w:val="single" w:sz="4" w:space="0" w:color="auto"/>
              <w:bottom w:val="single" w:sz="4" w:space="0" w:color="auto"/>
              <w:right w:val="single" w:sz="4" w:space="0" w:color="auto"/>
            </w:tcBorders>
            <w:shd w:val="clear" w:color="auto" w:fill="auto"/>
            <w:hideMark/>
          </w:tcPr>
          <w:p w14:paraId="52DA48EA" w14:textId="77777777" w:rsidR="00F4513D" w:rsidRPr="00591847" w:rsidRDefault="00F4513D" w:rsidP="00F4513D">
            <w:pPr>
              <w:jc w:val="left"/>
              <w:rPr>
                <w:color w:val="000000"/>
                <w:sz w:val="19"/>
                <w:szCs w:val="19"/>
              </w:rPr>
            </w:pPr>
            <w:r>
              <w:rPr>
                <w:color w:val="000000"/>
                <w:sz w:val="19"/>
              </w:rPr>
              <w:t>3,2</w:t>
            </w:r>
          </w:p>
        </w:tc>
        <w:tc>
          <w:tcPr>
            <w:tcW w:w="833" w:type="pct"/>
            <w:tcBorders>
              <w:top w:val="nil"/>
              <w:left w:val="nil"/>
              <w:bottom w:val="single" w:sz="4" w:space="0" w:color="auto"/>
              <w:right w:val="single" w:sz="4" w:space="0" w:color="auto"/>
            </w:tcBorders>
            <w:shd w:val="clear" w:color="auto" w:fill="auto"/>
            <w:hideMark/>
          </w:tcPr>
          <w:p w14:paraId="1B2C2BCD" w14:textId="77777777" w:rsidR="00F4513D" w:rsidRPr="00591847" w:rsidRDefault="00F4513D" w:rsidP="00F4513D">
            <w:pPr>
              <w:jc w:val="left"/>
              <w:rPr>
                <w:color w:val="000000"/>
                <w:sz w:val="19"/>
                <w:szCs w:val="19"/>
              </w:rPr>
            </w:pPr>
            <w:r>
              <w:rPr>
                <w:color w:val="000000"/>
                <w:sz w:val="19"/>
              </w:rPr>
              <w:t>Total des coûts d’appui ($ US)</w:t>
            </w:r>
          </w:p>
        </w:tc>
        <w:tc>
          <w:tcPr>
            <w:tcW w:w="473" w:type="pct"/>
            <w:tcBorders>
              <w:top w:val="nil"/>
              <w:left w:val="nil"/>
              <w:bottom w:val="single" w:sz="4" w:space="0" w:color="auto"/>
              <w:right w:val="single" w:sz="4" w:space="0" w:color="auto"/>
            </w:tcBorders>
            <w:shd w:val="clear" w:color="auto" w:fill="auto"/>
          </w:tcPr>
          <w:p w14:paraId="08991571" w14:textId="61ABAFC4" w:rsidR="00F4513D" w:rsidRPr="00591847" w:rsidRDefault="00F4513D" w:rsidP="00F4513D">
            <w:pPr>
              <w:jc w:val="right"/>
              <w:rPr>
                <w:color w:val="000000"/>
                <w:sz w:val="19"/>
                <w:szCs w:val="19"/>
              </w:rPr>
            </w:pPr>
            <w:r>
              <w:rPr>
                <w:color w:val="000000"/>
                <w:sz w:val="19"/>
              </w:rPr>
              <w:t>33 566</w:t>
            </w:r>
          </w:p>
        </w:tc>
        <w:tc>
          <w:tcPr>
            <w:tcW w:w="474" w:type="pct"/>
            <w:tcBorders>
              <w:top w:val="nil"/>
              <w:left w:val="nil"/>
              <w:bottom w:val="single" w:sz="4" w:space="0" w:color="auto"/>
              <w:right w:val="single" w:sz="4" w:space="0" w:color="auto"/>
            </w:tcBorders>
            <w:shd w:val="clear" w:color="auto" w:fill="auto"/>
          </w:tcPr>
          <w:p w14:paraId="73D84BD7" w14:textId="0BB69C94" w:rsidR="00F4513D" w:rsidRPr="00591847" w:rsidRDefault="00F4513D" w:rsidP="00F4513D">
            <w:pPr>
              <w:jc w:val="right"/>
              <w:rPr>
                <w:color w:val="000000"/>
                <w:sz w:val="19"/>
                <w:szCs w:val="19"/>
              </w:rPr>
            </w:pPr>
            <w:r>
              <w:rPr>
                <w:color w:val="000000"/>
                <w:sz w:val="19"/>
              </w:rPr>
              <w:t>0</w:t>
            </w:r>
          </w:p>
        </w:tc>
        <w:tc>
          <w:tcPr>
            <w:tcW w:w="474" w:type="pct"/>
            <w:tcBorders>
              <w:top w:val="nil"/>
              <w:left w:val="nil"/>
              <w:bottom w:val="single" w:sz="4" w:space="0" w:color="auto"/>
              <w:right w:val="single" w:sz="4" w:space="0" w:color="auto"/>
            </w:tcBorders>
            <w:shd w:val="clear" w:color="auto" w:fill="auto"/>
          </w:tcPr>
          <w:p w14:paraId="4BE2755C" w14:textId="05BFCF91" w:rsidR="00F4513D" w:rsidRPr="00591847" w:rsidRDefault="00630804" w:rsidP="00F4513D">
            <w:pPr>
              <w:jc w:val="right"/>
              <w:rPr>
                <w:color w:val="000000"/>
                <w:sz w:val="19"/>
                <w:szCs w:val="19"/>
              </w:rPr>
            </w:pPr>
            <w:r>
              <w:rPr>
                <w:color w:val="000000"/>
                <w:sz w:val="19"/>
              </w:rPr>
              <w:t>47 960</w:t>
            </w:r>
          </w:p>
        </w:tc>
        <w:tc>
          <w:tcPr>
            <w:tcW w:w="474" w:type="pct"/>
            <w:tcBorders>
              <w:top w:val="nil"/>
              <w:left w:val="nil"/>
              <w:bottom w:val="single" w:sz="4" w:space="0" w:color="auto"/>
              <w:right w:val="single" w:sz="4" w:space="0" w:color="auto"/>
            </w:tcBorders>
            <w:shd w:val="clear" w:color="auto" w:fill="auto"/>
          </w:tcPr>
          <w:p w14:paraId="49BD26CF" w14:textId="0AF0DDFE" w:rsidR="00F4513D" w:rsidRPr="00591847" w:rsidRDefault="00F4513D" w:rsidP="00F4513D">
            <w:pPr>
              <w:jc w:val="right"/>
              <w:rPr>
                <w:color w:val="000000"/>
                <w:sz w:val="19"/>
                <w:szCs w:val="19"/>
              </w:rPr>
            </w:pPr>
            <w:r>
              <w:rPr>
                <w:color w:val="000000"/>
                <w:sz w:val="19"/>
              </w:rPr>
              <w:t>0</w:t>
            </w:r>
          </w:p>
        </w:tc>
        <w:tc>
          <w:tcPr>
            <w:tcW w:w="474" w:type="pct"/>
            <w:tcBorders>
              <w:top w:val="single" w:sz="4" w:space="0" w:color="auto"/>
              <w:left w:val="nil"/>
              <w:bottom w:val="single" w:sz="4" w:space="0" w:color="auto"/>
              <w:right w:val="single" w:sz="4" w:space="0" w:color="auto"/>
            </w:tcBorders>
          </w:tcPr>
          <w:p w14:paraId="5AD3AB42" w14:textId="00BDA749" w:rsidR="00F4513D" w:rsidRDefault="00F4513D" w:rsidP="00F4513D">
            <w:pPr>
              <w:jc w:val="right"/>
              <w:rPr>
                <w:color w:val="000000"/>
                <w:sz w:val="19"/>
                <w:szCs w:val="19"/>
              </w:rPr>
            </w:pPr>
            <w:r>
              <w:rPr>
                <w:color w:val="000000"/>
                <w:sz w:val="19"/>
              </w:rPr>
              <w:t>0</w:t>
            </w:r>
          </w:p>
        </w:tc>
        <w:tc>
          <w:tcPr>
            <w:tcW w:w="431" w:type="pct"/>
            <w:tcBorders>
              <w:top w:val="single" w:sz="4" w:space="0" w:color="auto"/>
              <w:left w:val="single" w:sz="4" w:space="0" w:color="auto"/>
              <w:bottom w:val="single" w:sz="4" w:space="0" w:color="auto"/>
              <w:right w:val="single" w:sz="4" w:space="0" w:color="auto"/>
            </w:tcBorders>
          </w:tcPr>
          <w:p w14:paraId="23E7DDF2" w14:textId="685F8C87" w:rsidR="00F4513D" w:rsidRPr="00591847" w:rsidRDefault="007F18C4" w:rsidP="00F4513D">
            <w:pPr>
              <w:jc w:val="right"/>
              <w:rPr>
                <w:color w:val="000000"/>
                <w:sz w:val="19"/>
                <w:szCs w:val="19"/>
              </w:rPr>
            </w:pPr>
            <w:r>
              <w:rPr>
                <w:color w:val="000000"/>
                <w:sz w:val="19"/>
              </w:rPr>
              <w:t>0</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7886AB9D" w14:textId="46065426" w:rsidR="00F4513D" w:rsidRPr="00591847" w:rsidRDefault="00132379" w:rsidP="00F4513D">
            <w:pPr>
              <w:jc w:val="right"/>
              <w:rPr>
                <w:color w:val="000000"/>
                <w:sz w:val="19"/>
                <w:szCs w:val="19"/>
              </w:rPr>
            </w:pPr>
            <w:r>
              <w:rPr>
                <w:color w:val="000000"/>
                <w:sz w:val="19"/>
              </w:rPr>
              <w:t>18 324</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61728CC3" w14:textId="2C56229F" w:rsidR="00F4513D" w:rsidRPr="00591847" w:rsidRDefault="00F5016D" w:rsidP="00F4513D">
            <w:pPr>
              <w:jc w:val="right"/>
              <w:rPr>
                <w:color w:val="000000"/>
                <w:sz w:val="19"/>
                <w:szCs w:val="19"/>
              </w:rPr>
            </w:pPr>
            <w:r>
              <w:rPr>
                <w:color w:val="000000"/>
                <w:sz w:val="19"/>
              </w:rPr>
              <w:t>99 850</w:t>
            </w:r>
          </w:p>
        </w:tc>
      </w:tr>
      <w:tr w:rsidR="00F4513D" w:rsidRPr="00591847" w14:paraId="253966AA" w14:textId="77777777" w:rsidTr="00C45315">
        <w:trPr>
          <w:trHeight w:val="53"/>
          <w:jc w:val="center"/>
        </w:trPr>
        <w:tc>
          <w:tcPr>
            <w:tcW w:w="382" w:type="pct"/>
            <w:tcBorders>
              <w:top w:val="nil"/>
              <w:left w:val="single" w:sz="4" w:space="0" w:color="auto"/>
              <w:bottom w:val="single" w:sz="4" w:space="0" w:color="auto"/>
              <w:right w:val="single" w:sz="4" w:space="0" w:color="auto"/>
            </w:tcBorders>
            <w:shd w:val="clear" w:color="auto" w:fill="auto"/>
            <w:hideMark/>
          </w:tcPr>
          <w:p w14:paraId="409558D0" w14:textId="77777777" w:rsidR="00F4513D" w:rsidRPr="00591847" w:rsidRDefault="00F4513D" w:rsidP="00F4513D">
            <w:pPr>
              <w:jc w:val="left"/>
              <w:rPr>
                <w:color w:val="000000"/>
                <w:sz w:val="19"/>
                <w:szCs w:val="19"/>
              </w:rPr>
            </w:pPr>
            <w:r>
              <w:rPr>
                <w:color w:val="000000"/>
                <w:sz w:val="19"/>
              </w:rPr>
              <w:t>3.3</w:t>
            </w:r>
          </w:p>
        </w:tc>
        <w:tc>
          <w:tcPr>
            <w:tcW w:w="833" w:type="pct"/>
            <w:tcBorders>
              <w:top w:val="nil"/>
              <w:left w:val="nil"/>
              <w:bottom w:val="single" w:sz="4" w:space="0" w:color="auto"/>
              <w:right w:val="single" w:sz="4" w:space="0" w:color="auto"/>
            </w:tcBorders>
            <w:shd w:val="clear" w:color="auto" w:fill="auto"/>
            <w:hideMark/>
          </w:tcPr>
          <w:p w14:paraId="3C7D07BF" w14:textId="77777777" w:rsidR="00F4513D" w:rsidRPr="00591847" w:rsidRDefault="00F4513D" w:rsidP="00F4513D">
            <w:pPr>
              <w:jc w:val="left"/>
              <w:rPr>
                <w:color w:val="000000"/>
                <w:sz w:val="19"/>
                <w:szCs w:val="19"/>
              </w:rPr>
            </w:pPr>
            <w:r>
              <w:rPr>
                <w:color w:val="000000"/>
                <w:sz w:val="19"/>
              </w:rPr>
              <w:t>Total des coûts convenus ($ US)</w:t>
            </w:r>
          </w:p>
        </w:tc>
        <w:tc>
          <w:tcPr>
            <w:tcW w:w="473" w:type="pct"/>
            <w:tcBorders>
              <w:top w:val="nil"/>
              <w:left w:val="nil"/>
              <w:bottom w:val="single" w:sz="4" w:space="0" w:color="auto"/>
              <w:right w:val="single" w:sz="4" w:space="0" w:color="auto"/>
            </w:tcBorders>
            <w:shd w:val="clear" w:color="auto" w:fill="auto"/>
          </w:tcPr>
          <w:p w14:paraId="239EEF3F" w14:textId="48851D63" w:rsidR="00F4513D" w:rsidRPr="00591847" w:rsidRDefault="00F4513D" w:rsidP="00F4513D">
            <w:pPr>
              <w:jc w:val="right"/>
              <w:rPr>
                <w:color w:val="000000"/>
                <w:sz w:val="19"/>
                <w:szCs w:val="19"/>
              </w:rPr>
            </w:pPr>
            <w:r>
              <w:rPr>
                <w:color w:val="000000"/>
                <w:sz w:val="19"/>
              </w:rPr>
              <w:t>369 566</w:t>
            </w:r>
          </w:p>
        </w:tc>
        <w:tc>
          <w:tcPr>
            <w:tcW w:w="474" w:type="pct"/>
            <w:tcBorders>
              <w:top w:val="nil"/>
              <w:left w:val="nil"/>
              <w:bottom w:val="single" w:sz="4" w:space="0" w:color="auto"/>
              <w:right w:val="single" w:sz="4" w:space="0" w:color="auto"/>
            </w:tcBorders>
            <w:shd w:val="clear" w:color="auto" w:fill="auto"/>
          </w:tcPr>
          <w:p w14:paraId="234D1AF5" w14:textId="4250D789" w:rsidR="00F4513D" w:rsidRPr="00591847" w:rsidRDefault="00F4513D" w:rsidP="00F4513D">
            <w:pPr>
              <w:jc w:val="right"/>
              <w:rPr>
                <w:color w:val="000000"/>
                <w:sz w:val="19"/>
                <w:szCs w:val="19"/>
              </w:rPr>
            </w:pPr>
            <w:r>
              <w:rPr>
                <w:color w:val="000000"/>
                <w:sz w:val="19"/>
              </w:rPr>
              <w:t>0</w:t>
            </w:r>
          </w:p>
        </w:tc>
        <w:tc>
          <w:tcPr>
            <w:tcW w:w="474" w:type="pct"/>
            <w:tcBorders>
              <w:top w:val="nil"/>
              <w:left w:val="nil"/>
              <w:bottom w:val="single" w:sz="4" w:space="0" w:color="auto"/>
              <w:right w:val="single" w:sz="4" w:space="0" w:color="auto"/>
            </w:tcBorders>
            <w:shd w:val="clear" w:color="auto" w:fill="auto"/>
          </w:tcPr>
          <w:p w14:paraId="600FDF07" w14:textId="206EE217" w:rsidR="00F4513D" w:rsidRPr="00591847" w:rsidRDefault="00CA610F" w:rsidP="00F4513D">
            <w:pPr>
              <w:jc w:val="right"/>
              <w:rPr>
                <w:color w:val="000000"/>
                <w:sz w:val="19"/>
                <w:szCs w:val="19"/>
              </w:rPr>
            </w:pPr>
            <w:r>
              <w:rPr>
                <w:color w:val="000000"/>
                <w:sz w:val="19"/>
              </w:rPr>
              <w:t>480 960</w:t>
            </w:r>
          </w:p>
        </w:tc>
        <w:tc>
          <w:tcPr>
            <w:tcW w:w="474" w:type="pct"/>
            <w:tcBorders>
              <w:top w:val="nil"/>
              <w:left w:val="nil"/>
              <w:bottom w:val="single" w:sz="4" w:space="0" w:color="auto"/>
              <w:right w:val="single" w:sz="4" w:space="0" w:color="auto"/>
            </w:tcBorders>
            <w:shd w:val="clear" w:color="auto" w:fill="auto"/>
          </w:tcPr>
          <w:p w14:paraId="5BEBE7F5" w14:textId="13DB5E7A" w:rsidR="00F4513D" w:rsidRPr="00591847" w:rsidRDefault="00F4513D" w:rsidP="00F4513D">
            <w:pPr>
              <w:jc w:val="right"/>
              <w:rPr>
                <w:color w:val="000000"/>
                <w:sz w:val="19"/>
                <w:szCs w:val="19"/>
              </w:rPr>
            </w:pPr>
            <w:r>
              <w:rPr>
                <w:color w:val="000000"/>
                <w:sz w:val="19"/>
              </w:rPr>
              <w:t>0</w:t>
            </w:r>
          </w:p>
        </w:tc>
        <w:tc>
          <w:tcPr>
            <w:tcW w:w="474" w:type="pct"/>
            <w:tcBorders>
              <w:top w:val="single" w:sz="4" w:space="0" w:color="auto"/>
              <w:left w:val="nil"/>
              <w:bottom w:val="single" w:sz="4" w:space="0" w:color="auto"/>
              <w:right w:val="single" w:sz="4" w:space="0" w:color="auto"/>
            </w:tcBorders>
          </w:tcPr>
          <w:p w14:paraId="559FBF9C" w14:textId="06C74D33" w:rsidR="00F4513D" w:rsidRDefault="00F4513D" w:rsidP="00F4513D">
            <w:pPr>
              <w:jc w:val="right"/>
              <w:rPr>
                <w:color w:val="000000"/>
                <w:sz w:val="19"/>
                <w:szCs w:val="19"/>
              </w:rPr>
            </w:pPr>
            <w:r>
              <w:rPr>
                <w:color w:val="000000"/>
                <w:sz w:val="19"/>
              </w:rPr>
              <w:t>0</w:t>
            </w:r>
          </w:p>
        </w:tc>
        <w:tc>
          <w:tcPr>
            <w:tcW w:w="431" w:type="pct"/>
            <w:tcBorders>
              <w:top w:val="single" w:sz="4" w:space="0" w:color="auto"/>
              <w:left w:val="single" w:sz="4" w:space="0" w:color="auto"/>
              <w:bottom w:val="single" w:sz="4" w:space="0" w:color="auto"/>
              <w:right w:val="single" w:sz="4" w:space="0" w:color="auto"/>
            </w:tcBorders>
          </w:tcPr>
          <w:p w14:paraId="40A721AA" w14:textId="0EE0681E" w:rsidR="00F4513D" w:rsidRPr="00591847" w:rsidRDefault="007F18C4" w:rsidP="00F4513D">
            <w:pPr>
              <w:jc w:val="right"/>
              <w:rPr>
                <w:color w:val="000000"/>
                <w:sz w:val="19"/>
                <w:szCs w:val="19"/>
              </w:rPr>
            </w:pPr>
            <w:r>
              <w:rPr>
                <w:color w:val="000000"/>
                <w:sz w:val="19"/>
              </w:rPr>
              <w:t>0</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042E88BC" w14:textId="2777706E" w:rsidR="00F4513D" w:rsidRPr="00591847" w:rsidRDefault="00FE05B4" w:rsidP="00F4513D">
            <w:pPr>
              <w:jc w:val="right"/>
              <w:rPr>
                <w:color w:val="000000"/>
                <w:sz w:val="19"/>
                <w:szCs w:val="19"/>
              </w:rPr>
            </w:pPr>
            <w:r>
              <w:rPr>
                <w:color w:val="000000"/>
                <w:sz w:val="19"/>
              </w:rPr>
              <w:t>164 324</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084048E6" w14:textId="2AF56A40" w:rsidR="00F4513D" w:rsidRPr="00591847" w:rsidRDefault="00F4513D" w:rsidP="00F4513D">
            <w:pPr>
              <w:jc w:val="right"/>
              <w:rPr>
                <w:color w:val="000000"/>
                <w:sz w:val="19"/>
                <w:szCs w:val="19"/>
              </w:rPr>
            </w:pPr>
            <w:r>
              <w:rPr>
                <w:color w:val="000000"/>
                <w:sz w:val="19"/>
              </w:rPr>
              <w:t>1 014 850</w:t>
            </w:r>
          </w:p>
        </w:tc>
      </w:tr>
      <w:tr w:rsidR="00F4513D" w:rsidRPr="00591847" w14:paraId="0225BAE9" w14:textId="77777777" w:rsidTr="00C45315">
        <w:trPr>
          <w:trHeight w:val="53"/>
          <w:jc w:val="center"/>
        </w:trPr>
        <w:tc>
          <w:tcPr>
            <w:tcW w:w="382" w:type="pct"/>
            <w:tcBorders>
              <w:top w:val="single" w:sz="4" w:space="0" w:color="auto"/>
              <w:left w:val="single" w:sz="4" w:space="0" w:color="auto"/>
              <w:bottom w:val="single" w:sz="4" w:space="0" w:color="auto"/>
              <w:right w:val="single" w:sz="4" w:space="0" w:color="auto"/>
            </w:tcBorders>
            <w:shd w:val="clear" w:color="auto" w:fill="auto"/>
            <w:hideMark/>
          </w:tcPr>
          <w:p w14:paraId="262449B2" w14:textId="77777777" w:rsidR="00F4513D" w:rsidRPr="00591847" w:rsidRDefault="00F4513D" w:rsidP="00F4513D">
            <w:pPr>
              <w:jc w:val="left"/>
              <w:rPr>
                <w:color w:val="000000"/>
                <w:sz w:val="19"/>
                <w:szCs w:val="19"/>
              </w:rPr>
            </w:pPr>
            <w:r>
              <w:rPr>
                <w:color w:val="000000"/>
                <w:sz w:val="19"/>
              </w:rPr>
              <w:t>4.1.1</w:t>
            </w:r>
          </w:p>
        </w:tc>
        <w:tc>
          <w:tcPr>
            <w:tcW w:w="4091" w:type="pct"/>
            <w:gridSpan w:val="8"/>
            <w:tcBorders>
              <w:top w:val="single" w:sz="4" w:space="0" w:color="auto"/>
              <w:left w:val="nil"/>
              <w:bottom w:val="single" w:sz="4" w:space="0" w:color="auto"/>
              <w:right w:val="single" w:sz="4" w:space="0" w:color="000000"/>
            </w:tcBorders>
          </w:tcPr>
          <w:p w14:paraId="592C0582" w14:textId="1EAFDE4D" w:rsidR="00F4513D" w:rsidRPr="00591847" w:rsidRDefault="00F4513D" w:rsidP="00F4513D">
            <w:pPr>
              <w:jc w:val="left"/>
              <w:rPr>
                <w:color w:val="000000"/>
                <w:sz w:val="19"/>
                <w:szCs w:val="19"/>
              </w:rPr>
            </w:pPr>
            <w:r>
              <w:rPr>
                <w:color w:val="000000"/>
                <w:sz w:val="19"/>
              </w:rPr>
              <w:t>Élimination totale de HCFC-22 convenue aux termes du présent Accord (tonnes PAO)</w:t>
            </w:r>
          </w:p>
        </w:tc>
        <w:tc>
          <w:tcPr>
            <w:tcW w:w="526" w:type="pct"/>
            <w:tcBorders>
              <w:top w:val="single" w:sz="4" w:space="0" w:color="auto"/>
              <w:left w:val="nil"/>
              <w:bottom w:val="single" w:sz="4" w:space="0" w:color="auto"/>
              <w:right w:val="single" w:sz="4" w:space="0" w:color="auto"/>
            </w:tcBorders>
            <w:shd w:val="clear" w:color="auto" w:fill="auto"/>
          </w:tcPr>
          <w:p w14:paraId="08DC2FE3" w14:textId="478C1A71" w:rsidR="00F4513D" w:rsidRPr="00591847" w:rsidRDefault="00F4513D" w:rsidP="00F4513D">
            <w:pPr>
              <w:jc w:val="right"/>
              <w:rPr>
                <w:color w:val="000000"/>
                <w:sz w:val="19"/>
                <w:szCs w:val="19"/>
              </w:rPr>
            </w:pPr>
            <w:r>
              <w:rPr>
                <w:color w:val="000000"/>
                <w:sz w:val="19"/>
              </w:rPr>
              <w:t>19,63</w:t>
            </w:r>
          </w:p>
        </w:tc>
      </w:tr>
      <w:tr w:rsidR="00F4513D" w:rsidRPr="00591847" w14:paraId="7D7463C8" w14:textId="77777777" w:rsidTr="00C45315">
        <w:trPr>
          <w:trHeight w:val="116"/>
          <w:jc w:val="center"/>
        </w:trPr>
        <w:tc>
          <w:tcPr>
            <w:tcW w:w="382" w:type="pct"/>
            <w:tcBorders>
              <w:top w:val="nil"/>
              <w:left w:val="single" w:sz="4" w:space="0" w:color="auto"/>
              <w:bottom w:val="single" w:sz="4" w:space="0" w:color="auto"/>
              <w:right w:val="single" w:sz="4" w:space="0" w:color="auto"/>
            </w:tcBorders>
            <w:shd w:val="clear" w:color="auto" w:fill="auto"/>
            <w:hideMark/>
          </w:tcPr>
          <w:p w14:paraId="7C802CE5" w14:textId="77777777" w:rsidR="00F4513D" w:rsidRPr="00591847" w:rsidRDefault="00F4513D" w:rsidP="00F4513D">
            <w:pPr>
              <w:jc w:val="left"/>
              <w:rPr>
                <w:color w:val="000000"/>
                <w:sz w:val="19"/>
                <w:szCs w:val="19"/>
              </w:rPr>
            </w:pPr>
            <w:r>
              <w:rPr>
                <w:color w:val="000000"/>
                <w:sz w:val="19"/>
              </w:rPr>
              <w:t>4.1.2</w:t>
            </w:r>
          </w:p>
        </w:tc>
        <w:tc>
          <w:tcPr>
            <w:tcW w:w="4091" w:type="pct"/>
            <w:gridSpan w:val="8"/>
            <w:tcBorders>
              <w:top w:val="single" w:sz="4" w:space="0" w:color="auto"/>
              <w:left w:val="nil"/>
              <w:bottom w:val="single" w:sz="4" w:space="0" w:color="auto"/>
              <w:right w:val="single" w:sz="4" w:space="0" w:color="000000"/>
            </w:tcBorders>
          </w:tcPr>
          <w:p w14:paraId="5C474C7F" w14:textId="4310129E" w:rsidR="00F4513D" w:rsidRPr="00591847" w:rsidRDefault="00F4513D" w:rsidP="00F4513D">
            <w:pPr>
              <w:jc w:val="left"/>
              <w:rPr>
                <w:color w:val="000000"/>
                <w:sz w:val="19"/>
                <w:szCs w:val="19"/>
              </w:rPr>
            </w:pPr>
            <w:r>
              <w:rPr>
                <w:color w:val="000000"/>
                <w:sz w:val="19"/>
              </w:rPr>
              <w:t>Élimination de HCFC-22 à réaliser dans la phase précédente (tonnes PAO)</w:t>
            </w:r>
          </w:p>
        </w:tc>
        <w:tc>
          <w:tcPr>
            <w:tcW w:w="526" w:type="pct"/>
            <w:tcBorders>
              <w:top w:val="nil"/>
              <w:left w:val="nil"/>
              <w:bottom w:val="single" w:sz="4" w:space="0" w:color="auto"/>
              <w:right w:val="single" w:sz="4" w:space="0" w:color="auto"/>
            </w:tcBorders>
            <w:shd w:val="clear" w:color="auto" w:fill="auto"/>
          </w:tcPr>
          <w:p w14:paraId="364E85EB" w14:textId="43AF7261" w:rsidR="00F4513D" w:rsidRPr="00591847" w:rsidRDefault="00F4513D" w:rsidP="00F4513D">
            <w:pPr>
              <w:jc w:val="right"/>
              <w:rPr>
                <w:color w:val="000000"/>
                <w:sz w:val="19"/>
                <w:szCs w:val="19"/>
              </w:rPr>
            </w:pPr>
            <w:r>
              <w:rPr>
                <w:color w:val="000000"/>
                <w:sz w:val="19"/>
              </w:rPr>
              <w:t>10,57</w:t>
            </w:r>
          </w:p>
        </w:tc>
      </w:tr>
      <w:tr w:rsidR="00F4513D" w:rsidRPr="00591847" w14:paraId="4B172B4B" w14:textId="77777777" w:rsidTr="00C45315">
        <w:trPr>
          <w:trHeight w:val="98"/>
          <w:jc w:val="center"/>
        </w:trPr>
        <w:tc>
          <w:tcPr>
            <w:tcW w:w="382" w:type="pct"/>
            <w:tcBorders>
              <w:top w:val="nil"/>
              <w:left w:val="single" w:sz="4" w:space="0" w:color="auto"/>
              <w:bottom w:val="single" w:sz="4" w:space="0" w:color="auto"/>
              <w:right w:val="single" w:sz="4" w:space="0" w:color="auto"/>
            </w:tcBorders>
            <w:shd w:val="clear" w:color="auto" w:fill="auto"/>
            <w:hideMark/>
          </w:tcPr>
          <w:p w14:paraId="7524E092" w14:textId="77777777" w:rsidR="00F4513D" w:rsidRPr="00591847" w:rsidRDefault="00F4513D" w:rsidP="00F4513D">
            <w:pPr>
              <w:jc w:val="left"/>
              <w:rPr>
                <w:color w:val="000000"/>
                <w:sz w:val="19"/>
                <w:szCs w:val="19"/>
              </w:rPr>
            </w:pPr>
            <w:r>
              <w:rPr>
                <w:color w:val="000000"/>
                <w:sz w:val="19"/>
              </w:rPr>
              <w:t>4.1.3</w:t>
            </w:r>
          </w:p>
        </w:tc>
        <w:tc>
          <w:tcPr>
            <w:tcW w:w="4091" w:type="pct"/>
            <w:gridSpan w:val="8"/>
            <w:tcBorders>
              <w:top w:val="single" w:sz="4" w:space="0" w:color="auto"/>
              <w:left w:val="nil"/>
              <w:bottom w:val="single" w:sz="4" w:space="0" w:color="auto"/>
              <w:right w:val="single" w:sz="4" w:space="0" w:color="000000"/>
            </w:tcBorders>
          </w:tcPr>
          <w:p w14:paraId="22C8370E" w14:textId="56A1E4AF" w:rsidR="00F4513D" w:rsidRPr="00591847" w:rsidRDefault="00F4513D" w:rsidP="00F4513D">
            <w:pPr>
              <w:jc w:val="left"/>
              <w:rPr>
                <w:color w:val="000000"/>
                <w:sz w:val="19"/>
                <w:szCs w:val="19"/>
              </w:rPr>
            </w:pPr>
            <w:r>
              <w:rPr>
                <w:color w:val="000000"/>
                <w:sz w:val="19"/>
              </w:rPr>
              <w:t>Consommation restante admissible de HCFC-22 (tonnes PAO)</w:t>
            </w:r>
          </w:p>
        </w:tc>
        <w:tc>
          <w:tcPr>
            <w:tcW w:w="526" w:type="pct"/>
            <w:tcBorders>
              <w:top w:val="nil"/>
              <w:left w:val="nil"/>
              <w:bottom w:val="single" w:sz="4" w:space="0" w:color="auto"/>
              <w:right w:val="single" w:sz="4" w:space="0" w:color="auto"/>
            </w:tcBorders>
            <w:shd w:val="clear" w:color="auto" w:fill="auto"/>
          </w:tcPr>
          <w:p w14:paraId="75F4CADB" w14:textId="3CC3C30A" w:rsidR="00F4513D" w:rsidRPr="00591847" w:rsidRDefault="00F4513D" w:rsidP="00F4513D">
            <w:pPr>
              <w:jc w:val="right"/>
              <w:rPr>
                <w:color w:val="000000"/>
                <w:sz w:val="19"/>
                <w:szCs w:val="19"/>
              </w:rPr>
            </w:pPr>
            <w:r>
              <w:rPr>
                <w:color w:val="000000"/>
                <w:sz w:val="19"/>
              </w:rPr>
              <w:t>0</w:t>
            </w:r>
          </w:p>
        </w:tc>
      </w:tr>
    </w:tbl>
    <w:p w14:paraId="7C2294CB" w14:textId="68842734" w:rsidR="004177A6" w:rsidRPr="00604BA9" w:rsidRDefault="004177A6" w:rsidP="004177A6">
      <w:pPr>
        <w:pStyle w:val="Heading1"/>
        <w:numPr>
          <w:ilvl w:val="0"/>
          <w:numId w:val="0"/>
        </w:numPr>
        <w:rPr>
          <w:sz w:val="18"/>
          <w:szCs w:val="16"/>
        </w:rPr>
      </w:pPr>
      <w:r>
        <w:rPr>
          <w:sz w:val="18"/>
        </w:rPr>
        <w:t>*Date d’achèvement de la phase I conformément à la date de prorogation : 31 décembre 2022.</w:t>
      </w:r>
    </w:p>
    <w:p w14:paraId="55B31AF8" w14:textId="77777777" w:rsidR="004177A6" w:rsidRPr="00EA35A6" w:rsidRDefault="004177A6" w:rsidP="004177A6">
      <w:pPr>
        <w:spacing w:before="360" w:after="240"/>
        <w:rPr>
          <w:b/>
        </w:rPr>
      </w:pPr>
      <w:r>
        <w:rPr>
          <w:b/>
        </w:rPr>
        <w:t>APPENDICE 3-A : CALENDRIER D’APPROBATION DU FINANCEMENT</w:t>
      </w:r>
    </w:p>
    <w:p w14:paraId="531E733C" w14:textId="16559104" w:rsidR="004177A6" w:rsidRPr="00B375EA" w:rsidRDefault="004177A6">
      <w:pPr>
        <w:pStyle w:val="Heading1"/>
        <w:numPr>
          <w:ilvl w:val="0"/>
          <w:numId w:val="14"/>
        </w:numPr>
      </w:pPr>
      <w:r>
        <w:t>Le financement des tranches futures sera examiné pour approbation lors de la première réunion de l’année spécifiée à l’Appendice 2-A.</w:t>
      </w:r>
    </w:p>
    <w:p w14:paraId="5237A827" w14:textId="77777777" w:rsidR="004177A6" w:rsidRDefault="004177A6" w:rsidP="004177A6">
      <w:pPr>
        <w:keepNext/>
        <w:keepLines/>
        <w:spacing w:before="360" w:after="240"/>
        <w:rPr>
          <w:b/>
        </w:rPr>
      </w:pPr>
      <w:r>
        <w:rPr>
          <w:b/>
        </w:rPr>
        <w:t>APPENDICE 4-A : FORMAT DES RAPPORTS ET DES PLANS DE TRANCHE DE FINANCEMENT</w:t>
      </w:r>
    </w:p>
    <w:p w14:paraId="3C3AB476" w14:textId="77777777" w:rsidR="004177A6" w:rsidRPr="00D80495" w:rsidRDefault="004177A6">
      <w:pPr>
        <w:pStyle w:val="Heading1"/>
        <w:keepNext/>
        <w:keepLines/>
        <w:numPr>
          <w:ilvl w:val="0"/>
          <w:numId w:val="15"/>
        </w:numPr>
        <w:rPr>
          <w:b/>
        </w:rPr>
      </w:pPr>
      <w:r>
        <w:t>La présentation du rapport de mise en œuvre de la tranche et des plans pour chaque demande de tranche comprendra cinq parties :</w:t>
      </w:r>
    </w:p>
    <w:p w14:paraId="3329F9F8" w14:textId="77777777" w:rsidR="004177A6" w:rsidRPr="00B375EA" w:rsidRDefault="004177A6" w:rsidP="004177A6">
      <w:pPr>
        <w:pStyle w:val="Heading2"/>
      </w:pPr>
      <w:proofErr w:type="gramStart"/>
      <w:r>
        <w:t>un</w:t>
      </w:r>
      <w:proofErr w:type="gramEnd"/>
      <w:r>
        <w:t xml:space="preserve">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devra inclure la quantité de SAO éliminée qui résulte directement de la mise en œuvre des activités, par substance, la technologie de remplacement utilisée et la transition vers les solutions de remplacement, afin de permettre au Secrétariat de transmettre au Comité exécutif des informations sur les changements qui en résultent dans les émissions pertinentes affectant le climat. Le rapport devra aussi souligner les réussites, les expériences et les défis reliés aux différentes activités incluses dans le Plan, refléter tout changement de circonstances dans le Pays et fournir toute autre information pertinente. Le rapport devra aussi contenir de l’information sur et la justification de tout changement par rapport au(x) Plan(s) de mise en œuvre de la tranche </w:t>
      </w:r>
      <w:r>
        <w:lastRenderedPageBreak/>
        <w:t xml:space="preserve">soumis précédemment, tels que des retards, des recours à la souplesse prévue pour la réaffectation des fonds durant la mise en œuvre d’une tranche, tel qu’indiqué au paragraphe 7 du présent Accord ou tout autre changement ; </w:t>
      </w:r>
    </w:p>
    <w:p w14:paraId="6C677688" w14:textId="77777777" w:rsidR="004177A6" w:rsidRPr="00B375EA" w:rsidRDefault="004177A6" w:rsidP="004177A6">
      <w:pPr>
        <w:pStyle w:val="Heading2"/>
        <w:numPr>
          <w:ilvl w:val="1"/>
          <w:numId w:val="1"/>
        </w:numPr>
        <w:tabs>
          <w:tab w:val="clear" w:pos="0"/>
          <w:tab w:val="num" w:pos="-720"/>
        </w:tabs>
      </w:pPr>
      <w:proofErr w:type="gramStart"/>
      <w:r>
        <w:t>un</w:t>
      </w:r>
      <w:proofErr w:type="gramEnd"/>
      <w:r>
        <w:t xml:space="preserve"> rapport de vérification indépendante sur les résultats du Plan et la consommation des Substances, selon l’alinéa 5 b) du présent Accord. À moins que le Comité exécutif n’en décide autrement, une telle vérification doit être remise avec chaque demande de tranche et devra fournir une vérification de la consommation pour toutes les années pertinentes, tel qu’indiqué à l’alinéa 5 a) du présent Accord, pour lesquelles un rapport de vérification n’a pas encore été approuvé par le Comité ;</w:t>
      </w:r>
    </w:p>
    <w:p w14:paraId="583B3EA2" w14:textId="77777777" w:rsidR="004177A6" w:rsidRPr="00B375EA" w:rsidRDefault="004177A6" w:rsidP="003A117D">
      <w:pPr>
        <w:pStyle w:val="Heading2"/>
        <w:widowControl/>
        <w:numPr>
          <w:ilvl w:val="1"/>
          <w:numId w:val="1"/>
        </w:numPr>
        <w:tabs>
          <w:tab w:val="clear" w:pos="0"/>
          <w:tab w:val="num" w:pos="-720"/>
        </w:tabs>
      </w:pPr>
      <w:proofErr w:type="gramStart"/>
      <w:r>
        <w:t>une</w:t>
      </w:r>
      <w:proofErr w:type="gramEnd"/>
      <w:r>
        <w:t xml:space="preserve"> description écrite des activités à entreprendre durant la période couverte par la tranche demandée, soulignant les étapes de la mise en œuvre, leur date d’achèvement et l’interdépendance entre les activités, et tenant compte des expériences réalisées et des progrès accomplis dans la mise en œuvre de tranches antérieures ; les données seront transmises dans le plan, par année civile. La description doit aussi faire mention du plan d’ensemble et des progrès réalisés ainsi que des changements éventuels prévus au plan d’ensemble. Elle doit également spécifier et expliquer en détails de tels changements apportés au plan d’ensemble. La description des activités futures peut être fournie dans le même document que le rapport narratif mentionné à l’alinéa b) ci-dessus ;</w:t>
      </w:r>
    </w:p>
    <w:p w14:paraId="73DEB72C" w14:textId="77777777" w:rsidR="004177A6" w:rsidRPr="00B375EA" w:rsidRDefault="004177A6" w:rsidP="004177A6">
      <w:pPr>
        <w:pStyle w:val="Heading2"/>
        <w:numPr>
          <w:ilvl w:val="1"/>
          <w:numId w:val="1"/>
        </w:numPr>
        <w:tabs>
          <w:tab w:val="clear" w:pos="0"/>
          <w:tab w:val="num" w:pos="-720"/>
        </w:tabs>
      </w:pPr>
      <w:proofErr w:type="gramStart"/>
      <w:r>
        <w:t>une</w:t>
      </w:r>
      <w:proofErr w:type="gramEnd"/>
      <w:r>
        <w:t xml:space="preserve"> série d’informations quantitatives pour tous les Rapports et Plans de mise en œuvre de tranche doivent être transmises via une banque de données en ligne ; et</w:t>
      </w:r>
    </w:p>
    <w:p w14:paraId="42260985" w14:textId="77777777" w:rsidR="004177A6" w:rsidRPr="00B375EA" w:rsidRDefault="004177A6" w:rsidP="004177A6">
      <w:pPr>
        <w:pStyle w:val="Heading2"/>
        <w:numPr>
          <w:ilvl w:val="1"/>
          <w:numId w:val="1"/>
        </w:numPr>
        <w:tabs>
          <w:tab w:val="clear" w:pos="0"/>
          <w:tab w:val="num" w:pos="-720"/>
        </w:tabs>
      </w:pPr>
      <w:proofErr w:type="gramStart"/>
      <w:r>
        <w:t>une</w:t>
      </w:r>
      <w:proofErr w:type="gramEnd"/>
      <w:r>
        <w:t xml:space="preserve"> synthèse comprenant environ cinq paragraphes, résumant les informations des paragraphes 1 a) à 1 d) ci-dessus.</w:t>
      </w:r>
    </w:p>
    <w:p w14:paraId="48481AF1" w14:textId="77777777" w:rsidR="004177A6" w:rsidRPr="00B375EA" w:rsidRDefault="004177A6" w:rsidP="004177A6">
      <w:pPr>
        <w:pStyle w:val="Heading1"/>
      </w:pPr>
      <w:r>
        <w:t>Si deux phases du Plan sont mises en œuvre en parallèle au cours d’une année donnée, il faudra tenir compte des considérations suivantes pour la préparation des Rapports et Plans de mise en œuvre de la tranche :</w:t>
      </w:r>
    </w:p>
    <w:p w14:paraId="113E7169" w14:textId="77777777" w:rsidR="004177A6" w:rsidRPr="00B375EA" w:rsidRDefault="004177A6" w:rsidP="004177A6">
      <w:pPr>
        <w:pStyle w:val="Heading2"/>
        <w:widowControl/>
        <w:numPr>
          <w:ilvl w:val="1"/>
          <w:numId w:val="1"/>
        </w:numPr>
        <w:tabs>
          <w:tab w:val="clear" w:pos="0"/>
          <w:tab w:val="num" w:pos="-720"/>
        </w:tabs>
      </w:pPr>
      <w:proofErr w:type="gramStart"/>
      <w:r>
        <w:t>les</w:t>
      </w:r>
      <w:proofErr w:type="gramEnd"/>
      <w:r>
        <w:t xml:space="preserve"> rapports de mise en œuvre de la tranche et des plans dont il est question dans le présent Accord ne porteront que sur les activités et les sommes prévues dans cet Accord ; et</w:t>
      </w:r>
    </w:p>
    <w:p w14:paraId="2391852A" w14:textId="77777777" w:rsidR="004177A6" w:rsidRPr="00B375EA" w:rsidRDefault="004177A6" w:rsidP="004177A6">
      <w:pPr>
        <w:pStyle w:val="Heading2"/>
        <w:widowControl/>
        <w:numPr>
          <w:ilvl w:val="1"/>
          <w:numId w:val="1"/>
        </w:numPr>
        <w:tabs>
          <w:tab w:val="clear" w:pos="0"/>
          <w:tab w:val="num" w:pos="-720"/>
        </w:tabs>
      </w:pPr>
      <w:proofErr w:type="gramStart"/>
      <w:r>
        <w:t>si</w:t>
      </w:r>
      <w:proofErr w:type="gramEnd"/>
      <w:r>
        <w:t xml:space="preserve"> les phases en cours de mise en œuvre ont des objectifs de consommation de HCFC différents selon l’Appendice 2-A de chaque Accord pour une année donnée, l’objectif de consommation de HCFC le plus faible sera utilisé comme référence pour la conformité de ces Accords et servira de base à la vérification indépendante.</w:t>
      </w:r>
    </w:p>
    <w:p w14:paraId="20AE62B1" w14:textId="77777777" w:rsidR="004177A6" w:rsidRPr="001C3FA8" w:rsidRDefault="004177A6" w:rsidP="004177A6">
      <w:pPr>
        <w:widowControl w:val="0"/>
        <w:spacing w:before="360" w:after="240"/>
        <w:rPr>
          <w:b/>
        </w:rPr>
      </w:pPr>
      <w:r>
        <w:rPr>
          <w:b/>
        </w:rPr>
        <w:t xml:space="preserve">APPENDICE 5-A : LES INSTITUTIONS DE SUIVI ET LEUR RÔLE </w:t>
      </w:r>
    </w:p>
    <w:p w14:paraId="4B5FEB3D" w14:textId="208435BD" w:rsidR="00F27118" w:rsidRDefault="00F27118">
      <w:pPr>
        <w:pStyle w:val="Heading1"/>
        <w:numPr>
          <w:ilvl w:val="0"/>
          <w:numId w:val="16"/>
        </w:numPr>
      </w:pPr>
      <w:r>
        <w:t>Le suivi général sera effectué par le Gouvernement, par l’entremise du Bureau national de l’ozone, avec l’assistance de l’Agence d’exécution principale. Le Bureau national de l’ozone remettra des rapports périodiques annuels sur l’état de la mise en œuvre du plan à l’Agence d’exécution principale.</w:t>
      </w:r>
    </w:p>
    <w:p w14:paraId="39D05A9A" w14:textId="77777777" w:rsidR="00F27118" w:rsidRDefault="00F27118">
      <w:pPr>
        <w:pStyle w:val="Heading1"/>
        <w:numPr>
          <w:ilvl w:val="0"/>
          <w:numId w:val="16"/>
        </w:numPr>
      </w:pPr>
      <w:r>
        <w:t>La consommation sera surveillée et déterminée à partir des données officielles sur l’importation et l’exportation de substances consignées par les ministères gouvernementaux concernés. Le Bureau national de l’ozone compilera les données et remettra un rapport sur les données et les informations suivantes chaque année, à la date de remise prévue ou avant :</w:t>
      </w:r>
    </w:p>
    <w:p w14:paraId="09309ED0" w14:textId="34283EFE" w:rsidR="00F27118" w:rsidRDefault="00F27118">
      <w:pPr>
        <w:pStyle w:val="Heading2"/>
        <w:numPr>
          <w:ilvl w:val="1"/>
          <w:numId w:val="16"/>
        </w:numPr>
      </w:pPr>
      <w:proofErr w:type="gramStart"/>
      <w:r>
        <w:t>rapports</w:t>
      </w:r>
      <w:proofErr w:type="gramEnd"/>
      <w:r>
        <w:t xml:space="preserve"> sur la consommation des substances à remettre au Secrétariat de l’ozone en vertu de l’Article 7 du Protocole de Montréal ; et</w:t>
      </w:r>
    </w:p>
    <w:p w14:paraId="29495560" w14:textId="77777777" w:rsidR="00F27118" w:rsidRDefault="00F27118">
      <w:pPr>
        <w:pStyle w:val="Heading2"/>
        <w:numPr>
          <w:ilvl w:val="1"/>
          <w:numId w:val="16"/>
        </w:numPr>
      </w:pPr>
      <w:proofErr w:type="gramStart"/>
      <w:r>
        <w:lastRenderedPageBreak/>
        <w:t>rapports</w:t>
      </w:r>
      <w:proofErr w:type="gramEnd"/>
      <w:r>
        <w:t xml:space="preserve"> sur les données relatives au programme de pays à remettre au Secrétariat du Fonds multilatéral.</w:t>
      </w:r>
    </w:p>
    <w:p w14:paraId="7D5D061C" w14:textId="13A0780A" w:rsidR="00F27118" w:rsidRDefault="00F27118">
      <w:pPr>
        <w:pStyle w:val="Heading1"/>
        <w:numPr>
          <w:ilvl w:val="0"/>
          <w:numId w:val="16"/>
        </w:numPr>
      </w:pPr>
      <w:r>
        <w:t>Le suivi de l’avancement du Plan et la vérification de l’achèvement des objectifs de performance seront confiés à une entreprise indépendante locale ou à des consultants indépendants locaux par l’Agence d’exécution principale. L’entreprise ou le consultant responsable de la vérification aura un accès complet aux données techniques et financières concernant la mise en œuvre du plan.</w:t>
      </w:r>
    </w:p>
    <w:p w14:paraId="546999D2" w14:textId="77777777" w:rsidR="004177A6" w:rsidRPr="001C3FA8" w:rsidRDefault="004177A6" w:rsidP="004177A6">
      <w:pPr>
        <w:spacing w:before="360" w:after="240"/>
        <w:rPr>
          <w:b/>
        </w:rPr>
      </w:pPr>
      <w:r>
        <w:rPr>
          <w:b/>
        </w:rPr>
        <w:t xml:space="preserve">APPENDICE 6-A : RÔLE DE L’AGENCE D’EXÉCUTION PRINCIPALE </w:t>
      </w:r>
    </w:p>
    <w:p w14:paraId="723EED92" w14:textId="77777777" w:rsidR="004177A6" w:rsidRPr="00B375EA" w:rsidRDefault="004177A6">
      <w:pPr>
        <w:pStyle w:val="Heading1"/>
        <w:numPr>
          <w:ilvl w:val="0"/>
          <w:numId w:val="17"/>
        </w:numPr>
      </w:pPr>
      <w:r>
        <w:t>L’Agence d’exécution principale sera responsable d’une série d’activités, incluant au moins les suivantes :</w:t>
      </w:r>
    </w:p>
    <w:p w14:paraId="732CE389" w14:textId="77777777" w:rsidR="004177A6" w:rsidRPr="00B375EA" w:rsidRDefault="004177A6" w:rsidP="004177A6">
      <w:pPr>
        <w:pStyle w:val="Heading2"/>
      </w:pPr>
      <w:proofErr w:type="gramStart"/>
      <w:r>
        <w:t>s’assurer</w:t>
      </w:r>
      <w:proofErr w:type="gramEnd"/>
      <w:r>
        <w:t xml:space="preserve"> du rendement et de la vérification financière conformément au présent Accord et à ses procédures internes et exigences spécifiques, définies dans le Plan du Pays ;</w:t>
      </w:r>
    </w:p>
    <w:p w14:paraId="1C21F562" w14:textId="77777777" w:rsidR="004177A6" w:rsidRPr="00B375EA" w:rsidRDefault="004177A6" w:rsidP="004177A6">
      <w:pPr>
        <w:pStyle w:val="Heading2"/>
        <w:numPr>
          <w:ilvl w:val="1"/>
          <w:numId w:val="1"/>
        </w:numPr>
        <w:tabs>
          <w:tab w:val="clear" w:pos="0"/>
          <w:tab w:val="num" w:pos="-720"/>
        </w:tabs>
      </w:pPr>
      <w:proofErr w:type="gramStart"/>
      <w:r>
        <w:t>aider</w:t>
      </w:r>
      <w:proofErr w:type="gramEnd"/>
      <w:r>
        <w:t xml:space="preserve"> le Pays à préparer les Plans et les Rapports de mise en œuvre de la tranche, conformément à l’Appendice 4</w:t>
      </w:r>
      <w:r>
        <w:noBreakHyphen/>
        <w:t>A ;</w:t>
      </w:r>
    </w:p>
    <w:p w14:paraId="5DCF78C2" w14:textId="77777777" w:rsidR="004177A6" w:rsidRPr="00B375EA" w:rsidRDefault="004177A6" w:rsidP="003A117D">
      <w:pPr>
        <w:pStyle w:val="Heading2"/>
        <w:widowControl/>
        <w:numPr>
          <w:ilvl w:val="1"/>
          <w:numId w:val="1"/>
        </w:numPr>
        <w:tabs>
          <w:tab w:val="clear" w:pos="0"/>
          <w:tab w:val="num" w:pos="-720"/>
        </w:tabs>
      </w:pPr>
      <w:proofErr w:type="gramStart"/>
      <w:r>
        <w:t>remettre</w:t>
      </w:r>
      <w:proofErr w:type="gramEnd"/>
      <w:r>
        <w:t xml:space="preserve"> au Comité exécutif la vérification indépendante confirmant que les objectifs ont été atteints et que les activités correspondantes de la tranche ont été réalisées, tel qu’indiqué dans le plan de mise en œuvre de la tranche, conformément à l’Appendice 4-A ;</w:t>
      </w:r>
    </w:p>
    <w:p w14:paraId="7B58813D" w14:textId="77777777" w:rsidR="004177A6" w:rsidRPr="00B375EA" w:rsidRDefault="004177A6" w:rsidP="007C1127">
      <w:pPr>
        <w:pStyle w:val="Heading2"/>
        <w:widowControl/>
        <w:numPr>
          <w:ilvl w:val="1"/>
          <w:numId w:val="1"/>
        </w:numPr>
        <w:tabs>
          <w:tab w:val="clear" w:pos="0"/>
          <w:tab w:val="num" w:pos="-720"/>
        </w:tabs>
      </w:pPr>
      <w:proofErr w:type="gramStart"/>
      <w:r>
        <w:t>veiller</w:t>
      </w:r>
      <w:proofErr w:type="gramEnd"/>
      <w:r>
        <w:t xml:space="preserve"> à ce que les expériences et progrès soient reflétés dans les mises à jour du plan global et dans les Plans futurs de mise en œuvre de la tranche, conformément aux alinéas 1 c) et 1 d) de l’Appendice 4</w:t>
      </w:r>
      <w:r>
        <w:noBreakHyphen/>
        <w:t>A ;</w:t>
      </w:r>
    </w:p>
    <w:p w14:paraId="0D630E67" w14:textId="3DEEBE17" w:rsidR="004177A6" w:rsidRPr="00B375EA" w:rsidRDefault="004177A6" w:rsidP="004177A6">
      <w:pPr>
        <w:pStyle w:val="Heading2"/>
        <w:numPr>
          <w:ilvl w:val="1"/>
          <w:numId w:val="1"/>
        </w:numPr>
        <w:tabs>
          <w:tab w:val="clear" w:pos="0"/>
          <w:tab w:val="num" w:pos="-720"/>
        </w:tabs>
      </w:pPr>
      <w:proofErr w:type="gramStart"/>
      <w:r>
        <w:t>satisfaire</w:t>
      </w:r>
      <w:proofErr w:type="gramEnd"/>
      <w:r>
        <w:t xml:space="preserve"> aux exigences de rapport pour les rapports et plans de mise en œuvre de la tranche et le plan global, selon les spécifications de l’Appendice 4-A aux fins de présentation au Comité exécutif, ce qui doit comprendre les activités mises en œuvre par l’Agence de coopération ;</w:t>
      </w:r>
    </w:p>
    <w:p w14:paraId="2C2C4808" w14:textId="77777777" w:rsidR="004177A6" w:rsidRPr="00B375EA" w:rsidRDefault="004177A6" w:rsidP="004177A6">
      <w:pPr>
        <w:pStyle w:val="Heading2"/>
        <w:numPr>
          <w:ilvl w:val="1"/>
          <w:numId w:val="1"/>
        </w:numPr>
        <w:tabs>
          <w:tab w:val="clear" w:pos="0"/>
          <w:tab w:val="num" w:pos="-720"/>
        </w:tabs>
      </w:pPr>
      <w:proofErr w:type="gramStart"/>
      <w:r>
        <w:t>dans</w:t>
      </w:r>
      <w:proofErr w:type="gramEnd"/>
      <w:r>
        <w:t xml:space="preserve"> l’éventualité où la dernière tranche de financement est demandée une ou plusieurs années avant la dernière année pour laquelle un objectif de consommation a été établi, les rapports de mise en œuvre de la tranche annuelle et, s’il y a lieu, les rapports de vérification de l’étape actuelle du Plan devront être soumis jusqu’à ce que toutes les activités prévues aient été menées à terme et que les objectifs de consommation de HCFC aient été atteints ;</w:t>
      </w:r>
    </w:p>
    <w:p w14:paraId="39D420BD" w14:textId="77777777" w:rsidR="004177A6" w:rsidRPr="00B375EA" w:rsidRDefault="004177A6" w:rsidP="004177A6">
      <w:pPr>
        <w:pStyle w:val="Heading2"/>
        <w:numPr>
          <w:ilvl w:val="1"/>
          <w:numId w:val="1"/>
        </w:numPr>
        <w:tabs>
          <w:tab w:val="clear" w:pos="0"/>
          <w:tab w:val="num" w:pos="-720"/>
        </w:tabs>
      </w:pPr>
      <w:proofErr w:type="gramStart"/>
      <w:r>
        <w:t>veiller</w:t>
      </w:r>
      <w:proofErr w:type="gramEnd"/>
      <w:r>
        <w:t xml:space="preserve"> à ce que des experts techniques indépendants et qualifiés réalisent les examens techniques ;</w:t>
      </w:r>
    </w:p>
    <w:p w14:paraId="19F8D797" w14:textId="77777777" w:rsidR="004177A6" w:rsidRPr="00B375EA" w:rsidRDefault="004177A6" w:rsidP="004177A6">
      <w:pPr>
        <w:pStyle w:val="Heading2"/>
        <w:numPr>
          <w:ilvl w:val="1"/>
          <w:numId w:val="1"/>
        </w:numPr>
        <w:tabs>
          <w:tab w:val="clear" w:pos="0"/>
          <w:tab w:val="num" w:pos="-720"/>
        </w:tabs>
      </w:pPr>
      <w:proofErr w:type="gramStart"/>
      <w:r>
        <w:t>exécuter</w:t>
      </w:r>
      <w:proofErr w:type="gramEnd"/>
      <w:r>
        <w:t xml:space="preserve"> les missions de supervision requises ;</w:t>
      </w:r>
    </w:p>
    <w:p w14:paraId="7A738907" w14:textId="77777777" w:rsidR="004177A6" w:rsidRPr="00B375EA" w:rsidRDefault="004177A6" w:rsidP="004177A6">
      <w:pPr>
        <w:pStyle w:val="Heading2"/>
        <w:numPr>
          <w:ilvl w:val="1"/>
          <w:numId w:val="1"/>
        </w:numPr>
        <w:tabs>
          <w:tab w:val="clear" w:pos="0"/>
          <w:tab w:val="num" w:pos="-720"/>
        </w:tabs>
      </w:pPr>
      <w:proofErr w:type="gramStart"/>
      <w:r>
        <w:t>s’assurer</w:t>
      </w:r>
      <w:proofErr w:type="gramEnd"/>
      <w:r>
        <w:t xml:space="preserve"> qu’il existe un mécanisme opérationnel permettant la mise en œuvre efficace et transparente du plan de mise en œuvre de la tranche et la communication de données exactes ;</w:t>
      </w:r>
    </w:p>
    <w:p w14:paraId="3D5CD531" w14:textId="361AF4BC" w:rsidR="004177A6" w:rsidRPr="00041159" w:rsidRDefault="004177A6" w:rsidP="004177A6">
      <w:pPr>
        <w:pStyle w:val="Heading2"/>
        <w:widowControl/>
        <w:numPr>
          <w:ilvl w:val="1"/>
          <w:numId w:val="1"/>
        </w:numPr>
        <w:tabs>
          <w:tab w:val="clear" w:pos="0"/>
          <w:tab w:val="num" w:pos="-720"/>
        </w:tabs>
      </w:pPr>
      <w:proofErr w:type="gramStart"/>
      <w:r>
        <w:t>coordonner</w:t>
      </w:r>
      <w:proofErr w:type="gramEnd"/>
      <w:r>
        <w:t xml:space="preserve"> les activités de l’Agence de coopération et veiller au déroulement des activités dans l’ordre établi ;</w:t>
      </w:r>
    </w:p>
    <w:p w14:paraId="2D6B9830" w14:textId="3F09A629" w:rsidR="004177A6" w:rsidRPr="00B375EA" w:rsidRDefault="004177A6" w:rsidP="00C45315">
      <w:pPr>
        <w:pStyle w:val="Heading2"/>
        <w:keepNext/>
        <w:keepLines/>
        <w:numPr>
          <w:ilvl w:val="1"/>
          <w:numId w:val="1"/>
        </w:numPr>
        <w:tabs>
          <w:tab w:val="clear" w:pos="0"/>
          <w:tab w:val="num" w:pos="-720"/>
        </w:tabs>
        <w:spacing w:after="120"/>
      </w:pPr>
      <w:proofErr w:type="gramStart"/>
      <w:r>
        <w:lastRenderedPageBreak/>
        <w:t>en</w:t>
      </w:r>
      <w:proofErr w:type="gramEnd"/>
      <w:r>
        <w:t xml:space="preserve"> cas de réduction du financement pour non-conformité selon le paragraphe 11 du présent Accord, déterminer, en consultation avec le Pays et l’Agence de coopération, la répartition des réductions entre les différents postes budgétaires et le financement de l’Agence principale et de l’Agence de coopération ; </w:t>
      </w:r>
    </w:p>
    <w:p w14:paraId="13BA25AF" w14:textId="77777777" w:rsidR="004177A6" w:rsidRPr="00B375EA" w:rsidRDefault="004177A6" w:rsidP="00C45315">
      <w:pPr>
        <w:pStyle w:val="Heading2"/>
        <w:numPr>
          <w:ilvl w:val="1"/>
          <w:numId w:val="1"/>
        </w:numPr>
        <w:tabs>
          <w:tab w:val="clear" w:pos="0"/>
          <w:tab w:val="num" w:pos="-720"/>
        </w:tabs>
        <w:spacing w:after="120"/>
      </w:pPr>
      <w:proofErr w:type="gramStart"/>
      <w:r>
        <w:t>veiller</w:t>
      </w:r>
      <w:proofErr w:type="gramEnd"/>
      <w:r>
        <w:t xml:space="preserve"> à ce que les versements effectués au Pays reposent sur l’utilisation des indicateurs ; </w:t>
      </w:r>
    </w:p>
    <w:p w14:paraId="67445F8C" w14:textId="6BF62934" w:rsidR="004177A6" w:rsidRPr="00041159" w:rsidRDefault="004177A6" w:rsidP="00C45315">
      <w:pPr>
        <w:pStyle w:val="Heading2"/>
        <w:numPr>
          <w:ilvl w:val="1"/>
          <w:numId w:val="1"/>
        </w:numPr>
        <w:tabs>
          <w:tab w:val="clear" w:pos="0"/>
          <w:tab w:val="num" w:pos="-720"/>
        </w:tabs>
        <w:spacing w:after="120"/>
      </w:pPr>
      <w:proofErr w:type="gramStart"/>
      <w:r>
        <w:t>fournir</w:t>
      </w:r>
      <w:proofErr w:type="gramEnd"/>
      <w:r>
        <w:t xml:space="preserve"> si nécessaire une assistance en matière de politique, de gestion et de soutien technique ;</w:t>
      </w:r>
    </w:p>
    <w:p w14:paraId="451267CF" w14:textId="1A260997" w:rsidR="004177A6" w:rsidRPr="008C6E0F" w:rsidRDefault="004177A6" w:rsidP="00C45315">
      <w:pPr>
        <w:pStyle w:val="Heading2"/>
        <w:numPr>
          <w:ilvl w:val="1"/>
          <w:numId w:val="1"/>
        </w:numPr>
        <w:tabs>
          <w:tab w:val="clear" w:pos="0"/>
          <w:tab w:val="num" w:pos="-720"/>
        </w:tabs>
        <w:spacing w:after="120"/>
      </w:pPr>
      <w:proofErr w:type="gramStart"/>
      <w:r>
        <w:t>parvenir</w:t>
      </w:r>
      <w:proofErr w:type="gramEnd"/>
      <w:r>
        <w:t xml:space="preserve"> à un consensus avec l’Agence de coopération concernant toute mesure de planification, de coordination et de remise de rapports requise pour faciliter la mise en œuvre du Plan ; et</w:t>
      </w:r>
    </w:p>
    <w:p w14:paraId="6E2543E4" w14:textId="77777777" w:rsidR="004177A6" w:rsidRPr="00B375EA" w:rsidRDefault="004177A6" w:rsidP="00C45315">
      <w:pPr>
        <w:pStyle w:val="Heading2"/>
        <w:numPr>
          <w:ilvl w:val="1"/>
          <w:numId w:val="1"/>
        </w:numPr>
        <w:tabs>
          <w:tab w:val="clear" w:pos="0"/>
          <w:tab w:val="num" w:pos="-720"/>
        </w:tabs>
        <w:spacing w:after="120"/>
      </w:pPr>
      <w:proofErr w:type="gramStart"/>
      <w:r>
        <w:t>décaisser</w:t>
      </w:r>
      <w:proofErr w:type="gramEnd"/>
      <w:r>
        <w:t xml:space="preserve"> les sommes au pays/aux entreprises participants dans les délais nécessaires pour achever les activités reliées au projet.</w:t>
      </w:r>
    </w:p>
    <w:p w14:paraId="26AA7DE9" w14:textId="77777777" w:rsidR="004177A6" w:rsidRPr="00B375EA" w:rsidRDefault="004177A6" w:rsidP="00C45315">
      <w:pPr>
        <w:pStyle w:val="Heading1"/>
      </w:pPr>
      <w:r>
        <w:t>Après avoir consulté le Pays et pris en considération les points de vue exprimés, l’Agence principale sélectionnera une organisation indépendante et la chargera de réaliser la vérification des résultats du Plan et de la consommation des substances mentionnées à l’Appendice 1-A, conformément au paragraphe 5 b) de l’Accord et au paragraphe 1 b) de l’Appendice 4-A.</w:t>
      </w:r>
    </w:p>
    <w:p w14:paraId="75AD25B0" w14:textId="0D0A744A" w:rsidR="004177A6" w:rsidRPr="00041159" w:rsidRDefault="004177A6" w:rsidP="00C45315">
      <w:pPr>
        <w:widowControl w:val="0"/>
        <w:spacing w:after="240"/>
        <w:rPr>
          <w:b/>
        </w:rPr>
      </w:pPr>
      <w:r>
        <w:rPr>
          <w:b/>
        </w:rPr>
        <w:t>APPENDICE 6-B : RÔLE DE L’AGENCE DE COOPÉRATION</w:t>
      </w:r>
    </w:p>
    <w:p w14:paraId="0E8BCD2C" w14:textId="70CEAFBA" w:rsidR="004177A6" w:rsidRPr="00041159" w:rsidRDefault="004177A6">
      <w:pPr>
        <w:pStyle w:val="Heading1"/>
        <w:widowControl w:val="0"/>
        <w:numPr>
          <w:ilvl w:val="0"/>
          <w:numId w:val="12"/>
        </w:numPr>
      </w:pPr>
      <w:r>
        <w:t xml:space="preserve">L’Agence de coopération sera responsable d’une série d’activités. Ces activités sont précisées dans le Plan, et comprennent au moins les suivantes : </w:t>
      </w:r>
    </w:p>
    <w:p w14:paraId="244ACAC2" w14:textId="77777777" w:rsidR="004177A6" w:rsidRPr="00041159" w:rsidRDefault="004177A6" w:rsidP="00C45315">
      <w:pPr>
        <w:pStyle w:val="Heading2"/>
        <w:numPr>
          <w:ilvl w:val="1"/>
          <w:numId w:val="1"/>
        </w:numPr>
        <w:tabs>
          <w:tab w:val="clear" w:pos="0"/>
          <w:tab w:val="num" w:pos="-720"/>
        </w:tabs>
        <w:spacing w:after="120"/>
      </w:pPr>
      <w:proofErr w:type="gramStart"/>
      <w:r>
        <w:t>offrir</w:t>
      </w:r>
      <w:proofErr w:type="gramEnd"/>
      <w:r>
        <w:t xml:space="preserve"> de l’assistance pour l’élaboration de politiques, au besoin ; </w:t>
      </w:r>
    </w:p>
    <w:p w14:paraId="645129AC" w14:textId="5D979AD0" w:rsidR="004177A6" w:rsidRPr="00041159" w:rsidRDefault="004177A6" w:rsidP="00C45315">
      <w:pPr>
        <w:pStyle w:val="Heading2"/>
        <w:numPr>
          <w:ilvl w:val="1"/>
          <w:numId w:val="1"/>
        </w:numPr>
        <w:tabs>
          <w:tab w:val="clear" w:pos="0"/>
          <w:tab w:val="num" w:pos="-720"/>
        </w:tabs>
        <w:spacing w:after="120"/>
      </w:pPr>
      <w:proofErr w:type="gramStart"/>
      <w:r>
        <w:t>aider</w:t>
      </w:r>
      <w:proofErr w:type="gramEnd"/>
      <w:r>
        <w:t xml:space="preserve"> le Pays à mettre en œuvre et à évaluer les activités financées par l’Agence de coopération et consulter l’Agence principale afin de coordonner le déroulement des activités dans l’ordre ; </w:t>
      </w:r>
    </w:p>
    <w:p w14:paraId="18B8AA57" w14:textId="77777777" w:rsidR="004177A6" w:rsidRPr="0040602B" w:rsidRDefault="004177A6" w:rsidP="00C45315">
      <w:pPr>
        <w:pStyle w:val="Heading2"/>
        <w:numPr>
          <w:ilvl w:val="1"/>
          <w:numId w:val="1"/>
        </w:numPr>
        <w:tabs>
          <w:tab w:val="clear" w:pos="0"/>
          <w:tab w:val="num" w:pos="-720"/>
        </w:tabs>
        <w:spacing w:after="120"/>
      </w:pPr>
      <w:proofErr w:type="gramStart"/>
      <w:r>
        <w:t>remettre</w:t>
      </w:r>
      <w:proofErr w:type="gramEnd"/>
      <w:r>
        <w:t xml:space="preserve"> des rapports à l’Agence principale sur ces activités, afin de les inclure dans les rapports globaux, conformément à l’Appendice 4-A ; et</w:t>
      </w:r>
    </w:p>
    <w:p w14:paraId="7F6B92EF" w14:textId="651BEBA9" w:rsidR="004177A6" w:rsidRPr="00F977E4" w:rsidRDefault="004177A6" w:rsidP="00C45315">
      <w:pPr>
        <w:pStyle w:val="Heading2"/>
        <w:numPr>
          <w:ilvl w:val="1"/>
          <w:numId w:val="1"/>
        </w:numPr>
        <w:tabs>
          <w:tab w:val="clear" w:pos="0"/>
          <w:tab w:val="num" w:pos="-720"/>
        </w:tabs>
      </w:pPr>
      <w:proofErr w:type="gramStart"/>
      <w:r>
        <w:t>parvenir</w:t>
      </w:r>
      <w:proofErr w:type="gramEnd"/>
      <w:r>
        <w:t xml:space="preserve"> à un consensus avec l’Agence principale concernant toute mesure de planification, de coordination et de remise de rapports requise pour faciliter la mise en œuvre du Plan.</w:t>
      </w:r>
    </w:p>
    <w:p w14:paraId="5CF0D807" w14:textId="77777777" w:rsidR="004177A6" w:rsidRPr="00F977E4" w:rsidRDefault="004177A6" w:rsidP="00C45315">
      <w:pPr>
        <w:keepNext/>
        <w:spacing w:after="240"/>
        <w:rPr>
          <w:b/>
        </w:rPr>
      </w:pPr>
      <w:r>
        <w:rPr>
          <w:b/>
        </w:rPr>
        <w:t>APPENDICE 7-A : RÉDUCTION DU FINANCEMENT EN CAS DE NON-CONFORMITÉ</w:t>
      </w:r>
    </w:p>
    <w:p w14:paraId="1E9C7277" w14:textId="30AC83F3" w:rsidR="004177A6" w:rsidRPr="00F977E4" w:rsidRDefault="004177A6">
      <w:pPr>
        <w:pStyle w:val="Heading1"/>
        <w:keepNext/>
        <w:numPr>
          <w:ilvl w:val="0"/>
          <w:numId w:val="11"/>
        </w:numPr>
        <w:spacing w:after="120"/>
      </w:pPr>
      <w:r>
        <w:t>Conformément au paragraphe 11 de l’Accord, il pourra être déduit du montant du financement accordé un montant de 144 $ US par kg PAO de consommation dépassant la quantité précisée à la ligne 1.2</w:t>
      </w:r>
      <w:r w:rsidR="009F4C46">
        <w:t xml:space="preserve"> </w:t>
      </w:r>
      <w:r>
        <w:t>de l’Appendice 2-A pour chaque année de non-conformité à l’objectif précisé à la ligne 1.2 de l’Appendice 2-A, étant entendu que la réduction maximum du financement ne dépassera pas le niveau de financement de la tranche demandé. Des mesures supplémentaires peuvent être considérées dans les cas où une non-conformité se prolonge sur deux années consécutives.</w:t>
      </w:r>
    </w:p>
    <w:p w14:paraId="72E0049C" w14:textId="77777777" w:rsidR="004177A6" w:rsidRPr="00F977E4" w:rsidRDefault="004177A6" w:rsidP="00C45315">
      <w:pPr>
        <w:pStyle w:val="Heading1"/>
        <w:spacing w:after="120"/>
      </w:pPr>
      <w:r>
        <w:t>Si la pénalité doit être appliquée au cours d’une année où deux accords assortis de pénalités différentes sont en vigueur (mise en œuvre en parallèle de deux phases du Plan), l’application de la pénalité sera déterminée au cas par cas en tenant compte du secteur en particulier responsable de la non-conformité. S’il est impossible de déterminer un secteur, ou si les deux phases concernent le même secteur, le niveau de pénalité à appliquer sera le plus élevé.</w:t>
      </w:r>
    </w:p>
    <w:p w14:paraId="1BEE0835" w14:textId="77777777" w:rsidR="004177A6" w:rsidRPr="00F977E4" w:rsidRDefault="004177A6" w:rsidP="004177A6">
      <w:pPr>
        <w:widowControl w:val="0"/>
        <w:contextual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177A6" w:rsidRPr="00F977E4" w14:paraId="1B847719" w14:textId="77777777">
        <w:tc>
          <w:tcPr>
            <w:tcW w:w="1915" w:type="dxa"/>
          </w:tcPr>
          <w:p w14:paraId="15BDA4C9" w14:textId="77777777" w:rsidR="004177A6" w:rsidRPr="00F977E4" w:rsidRDefault="004177A6"/>
        </w:tc>
        <w:tc>
          <w:tcPr>
            <w:tcW w:w="1915" w:type="dxa"/>
          </w:tcPr>
          <w:p w14:paraId="27676A18" w14:textId="77777777" w:rsidR="004177A6" w:rsidRPr="00F977E4" w:rsidRDefault="004177A6"/>
        </w:tc>
        <w:tc>
          <w:tcPr>
            <w:tcW w:w="1915" w:type="dxa"/>
            <w:tcBorders>
              <w:bottom w:val="single" w:sz="4" w:space="0" w:color="auto"/>
            </w:tcBorders>
          </w:tcPr>
          <w:p w14:paraId="455DE19A" w14:textId="77777777" w:rsidR="004177A6" w:rsidRPr="00F977E4" w:rsidRDefault="004177A6"/>
        </w:tc>
        <w:tc>
          <w:tcPr>
            <w:tcW w:w="1915" w:type="dxa"/>
          </w:tcPr>
          <w:p w14:paraId="3DA4A457" w14:textId="77777777" w:rsidR="004177A6" w:rsidRPr="00F977E4" w:rsidRDefault="004177A6"/>
        </w:tc>
        <w:tc>
          <w:tcPr>
            <w:tcW w:w="1916" w:type="dxa"/>
          </w:tcPr>
          <w:p w14:paraId="70417DD0" w14:textId="77777777" w:rsidR="004177A6" w:rsidRPr="00F977E4" w:rsidRDefault="004177A6"/>
        </w:tc>
      </w:tr>
    </w:tbl>
    <w:p w14:paraId="43D9A82A" w14:textId="77777777" w:rsidR="004177A6" w:rsidRPr="00F977E4" w:rsidRDefault="004177A6" w:rsidP="004177A6"/>
    <w:p w14:paraId="1B3DE6E0" w14:textId="77777777" w:rsidR="004E7F9C" w:rsidRPr="00C45315" w:rsidRDefault="004E7F9C" w:rsidP="004E7F9C">
      <w:pPr>
        <w:pStyle w:val="Title1"/>
      </w:pPr>
    </w:p>
    <w:sectPr w:rsidR="004E7F9C" w:rsidRPr="00C45315" w:rsidSect="00F16225">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3D2C40" w14:textId="77777777" w:rsidR="00F16225" w:rsidRDefault="00F16225" w:rsidP="004A504B">
      <w:r>
        <w:separator/>
      </w:r>
    </w:p>
  </w:endnote>
  <w:endnote w:type="continuationSeparator" w:id="0">
    <w:p w14:paraId="13EE9AA5" w14:textId="77777777" w:rsidR="00F16225" w:rsidRDefault="00F16225" w:rsidP="004A504B">
      <w:r>
        <w:continuationSeparator/>
      </w:r>
    </w:p>
  </w:endnote>
  <w:endnote w:type="continuationNotice" w:id="1">
    <w:p w14:paraId="3D4D969E" w14:textId="77777777" w:rsidR="00F16225" w:rsidRDefault="00F162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AA6FFC" w14:textId="77777777" w:rsidR="004177A6" w:rsidRPr="0033525D" w:rsidRDefault="004177A6">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68F077" w14:textId="77777777" w:rsidR="004177A6" w:rsidRPr="0033525D" w:rsidRDefault="004177A6">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A1EAD" w14:textId="77777777" w:rsidR="004177A6" w:rsidRDefault="004177A6"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2D87BD8C" w14:textId="77777777" w:rsidR="004177A6" w:rsidRDefault="004177A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86E51D"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954EF"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DF93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1AAFBA6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E602F7" w14:textId="77777777" w:rsidR="00F16225" w:rsidRDefault="00F16225" w:rsidP="004A504B">
      <w:r>
        <w:separator/>
      </w:r>
    </w:p>
  </w:footnote>
  <w:footnote w:type="continuationSeparator" w:id="0">
    <w:p w14:paraId="7F607A3D" w14:textId="77777777" w:rsidR="00F16225" w:rsidRDefault="00F16225" w:rsidP="004A504B">
      <w:r>
        <w:continuationSeparator/>
      </w:r>
    </w:p>
  </w:footnote>
  <w:footnote w:type="continuationNotice" w:id="1">
    <w:p w14:paraId="7D050E53" w14:textId="77777777" w:rsidR="00F16225" w:rsidRDefault="00F16225"/>
  </w:footnote>
  <w:footnote w:id="2">
    <w:p w14:paraId="7D890BD5" w14:textId="77777777" w:rsidR="0079781A" w:rsidRPr="001E1147" w:rsidRDefault="0079781A" w:rsidP="00735D72">
      <w:pPr>
        <w:pStyle w:val="FootnoteText"/>
        <w:spacing w:after="120"/>
      </w:pPr>
      <w:r>
        <w:rPr>
          <w:rStyle w:val="FootnoteReference"/>
        </w:rPr>
        <w:footnoteRef/>
      </w:r>
      <w:r>
        <w:t xml:space="preserve"> UNEP/</w:t>
      </w:r>
      <w:proofErr w:type="spellStart"/>
      <w:r>
        <w:t>OzL.Pro</w:t>
      </w:r>
      <w:proofErr w:type="spellEnd"/>
      <w:r>
        <w:t>/</w:t>
      </w:r>
      <w:proofErr w:type="spellStart"/>
      <w:r>
        <w:t>ExCom</w:t>
      </w:r>
      <w:proofErr w:type="spellEnd"/>
      <w:r>
        <w:t>/94/1</w:t>
      </w:r>
    </w:p>
  </w:footnote>
  <w:footnote w:id="3">
    <w:p w14:paraId="589C3A1B" w14:textId="447E1BDE" w:rsidR="00E8519F" w:rsidRPr="00996241" w:rsidRDefault="00E8519F" w:rsidP="00E8519F">
      <w:pPr>
        <w:pStyle w:val="FootnoteText"/>
      </w:pPr>
      <w:r>
        <w:rPr>
          <w:rStyle w:val="FootnoteReference"/>
        </w:rPr>
        <w:footnoteRef/>
      </w:r>
      <w:r>
        <w:t xml:space="preserve"> Selon la lettre du 2 février 2024 du </w:t>
      </w:r>
      <w:proofErr w:type="gramStart"/>
      <w:r>
        <w:t>Ministère de l’environnement</w:t>
      </w:r>
      <w:proofErr w:type="gramEnd"/>
      <w:r>
        <w:t>, du climat et de la protection de la nature du Gabon au Secrétariat.</w:t>
      </w:r>
    </w:p>
  </w:footnote>
  <w:footnote w:id="4">
    <w:p w14:paraId="7DC97667" w14:textId="1149CF23" w:rsidR="00CA4F90" w:rsidRPr="009931F4" w:rsidRDefault="00CA4F90" w:rsidP="00CA4F90">
      <w:pPr>
        <w:pStyle w:val="FootnoteText"/>
      </w:pPr>
      <w:r>
        <w:rPr>
          <w:rStyle w:val="FootnoteReference"/>
        </w:rPr>
        <w:footnoteRef/>
      </w:r>
      <w:r>
        <w:t xml:space="preserve"> Décision 62/50</w:t>
      </w:r>
    </w:p>
  </w:footnote>
  <w:footnote w:id="5">
    <w:p w14:paraId="34D04980" w14:textId="4314A03E" w:rsidR="00CA4F90" w:rsidRPr="009931F4" w:rsidRDefault="00CA4F90" w:rsidP="00CA4F90">
      <w:pPr>
        <w:pStyle w:val="FootnoteText"/>
      </w:pPr>
      <w:r>
        <w:rPr>
          <w:rStyle w:val="FootnoteReference"/>
        </w:rPr>
        <w:footnoteRef/>
      </w:r>
      <w:r>
        <w:t xml:space="preserve"> Annexe XI de l’UNEP/</w:t>
      </w:r>
      <w:proofErr w:type="spellStart"/>
      <w:r>
        <w:t>OzL.Pro</w:t>
      </w:r>
      <w:proofErr w:type="spellEnd"/>
      <w:r>
        <w:t>/</w:t>
      </w:r>
      <w:proofErr w:type="spellStart"/>
      <w:r>
        <w:t>ExCom</w:t>
      </w:r>
      <w:proofErr w:type="spellEnd"/>
      <w:r>
        <w:t>/73/67</w:t>
      </w:r>
    </w:p>
    <w:p w14:paraId="35A0858C" w14:textId="77777777" w:rsidR="00CA4F90" w:rsidRPr="009931F4" w:rsidRDefault="00CA4F90" w:rsidP="00CA4F90">
      <w:pPr>
        <w:pStyle w:val="FootnoteText"/>
      </w:pPr>
    </w:p>
  </w:footnote>
  <w:footnote w:id="6">
    <w:p w14:paraId="784CF34C" w14:textId="7BA2F075" w:rsidR="00A16140" w:rsidRPr="00A16140" w:rsidRDefault="00A16140">
      <w:pPr>
        <w:pStyle w:val="FootnoteText"/>
      </w:pPr>
      <w:r>
        <w:rPr>
          <w:rStyle w:val="FootnoteReference"/>
        </w:rPr>
        <w:footnoteRef/>
      </w:r>
      <w:r>
        <w:t xml:space="preserve"> Comprenant des machines de récupération, des bouteilles de récupération, de l’équipement de récupération, des balances pour les grandes bouteilles, des identificateurs de frigorigènes, des pompes à vide à deux étages, des ensembles de manomètres à quatre voies, des ensembles de manomètres à quatre voies munis de tuyaux, des vacuomètres, des thermomètres numériques, des détecteurs de fuites électroniques, des multimètres numériques portables, des manomètres numériques à quatre voies munis de tuyaux, des kits de brasage, des bouteilles d’azote sec sans oxygène, des outils de purge d’azote, des outils de pincement, des outils à évaser et des pièces de rechange.</w:t>
      </w:r>
    </w:p>
  </w:footnote>
  <w:footnote w:id="7">
    <w:p w14:paraId="6C36033E" w14:textId="5FCE9BC8" w:rsidR="00A64BE3" w:rsidRPr="00CE6D0F" w:rsidRDefault="00A64BE3">
      <w:pPr>
        <w:pStyle w:val="FootnoteText"/>
      </w:pPr>
      <w:r>
        <w:rPr>
          <w:rStyle w:val="FootnoteReference"/>
        </w:rPr>
        <w:footnoteRef/>
      </w:r>
      <w:r>
        <w:t xml:space="preserve"> </w:t>
      </w:r>
      <w:r>
        <w:rPr>
          <w:rStyle w:val="cf01"/>
          <w:rFonts w:ascii="Times New Roman" w:hAnsi="Times New Roman"/>
          <w:sz w:val="20"/>
        </w:rPr>
        <w:t>Environ 25,5 pour cent des étudiants formés dans les centres de formation à la réfrigération et la climatisation pour la période de 2017 à 2022 étaient des femmes.</w:t>
      </w:r>
    </w:p>
  </w:footnote>
  <w:footnote w:id="8">
    <w:p w14:paraId="62E49DBE" w14:textId="570A7727" w:rsidR="004F2CDD" w:rsidRPr="004F2CDD" w:rsidRDefault="004F2CDD">
      <w:pPr>
        <w:pStyle w:val="FootnoteText"/>
      </w:pPr>
      <w:r>
        <w:rPr>
          <w:rStyle w:val="FootnoteReference"/>
        </w:rPr>
        <w:footnoteRef/>
      </w:r>
      <w:r>
        <w:t xml:space="preserve"> Comprenant une bouteille d’azote sec sans oxygène, un régulateur de pression, une pompe à vide et un vacuomètre, une balance, un multimètre numérique, une machine et des bouteilles de récupération, des identificateurs de frigorigènes, un démonte-obus, une station de recharge en hydrocarbures (HC), un manomètre électronique, un détecteur de fuites électronique pour les HC et divers autres outils et équipements de sécurité. </w:t>
      </w:r>
    </w:p>
  </w:footnote>
  <w:footnote w:id="9">
    <w:p w14:paraId="1239DBC0" w14:textId="50615B25" w:rsidR="00547974" w:rsidRPr="00D55EAA" w:rsidRDefault="00547974">
      <w:pPr>
        <w:pStyle w:val="FootnoteText"/>
      </w:pPr>
      <w:r>
        <w:rPr>
          <w:rStyle w:val="FootnoteReference"/>
        </w:rPr>
        <w:footnoteRef/>
      </w:r>
      <w:r>
        <w:t xml:space="preserve"> Comprenant une unité de régénération, des accessoires de laboratoire pour des essais grossiers, des bouteilles de récupération, des réservoirs de stockage, des unités et des tuyaux de récupération.</w:t>
      </w:r>
    </w:p>
  </w:footnote>
  <w:footnote w:id="10">
    <w:p w14:paraId="466436C7" w14:textId="7F323911" w:rsidR="00B92532" w:rsidRPr="004F2CDD" w:rsidRDefault="00B92532" w:rsidP="00B92532">
      <w:pPr>
        <w:pStyle w:val="FootnoteText"/>
      </w:pPr>
      <w:r>
        <w:rPr>
          <w:rStyle w:val="FootnoteReference"/>
        </w:rPr>
        <w:footnoteRef/>
      </w:r>
      <w:r>
        <w:t xml:space="preserve"> Consulter la note de bas de page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D7F41" w14:textId="61F404AD" w:rsidR="004177A6" w:rsidRPr="0033525D" w:rsidRDefault="002309BD">
    <w:r>
      <w:fldChar w:fldCharType="begin"/>
    </w:r>
    <w:r>
      <w:instrText>DOCPROPERTY "Document number"  \* MERGEFORMAT</w:instrText>
    </w:r>
    <w:r>
      <w:fldChar w:fldCharType="separate"/>
    </w:r>
    <w:r>
      <w:t>UNEP/</w:t>
    </w:r>
    <w:proofErr w:type="spellStart"/>
    <w:r>
      <w:t>OzL.Pro</w:t>
    </w:r>
    <w:proofErr w:type="spellEnd"/>
    <w:r>
      <w:t>/</w:t>
    </w:r>
    <w:proofErr w:type="spellStart"/>
    <w:r>
      <w:t>ExCom</w:t>
    </w:r>
    <w:proofErr w:type="spellEnd"/>
    <w:r>
      <w:t>/94/36</w:t>
    </w:r>
    <w:r>
      <w:fldChar w:fldCharType="end"/>
    </w:r>
  </w:p>
  <w:p w14:paraId="6AB78E8B" w14:textId="77777777" w:rsidR="004177A6" w:rsidRPr="0033525D" w:rsidRDefault="004177A6"/>
  <w:p w14:paraId="1EE4519A" w14:textId="77777777" w:rsidR="004177A6" w:rsidRPr="0033525D" w:rsidRDefault="004177A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5AE90C" w14:textId="48795D96" w:rsidR="004177A6" w:rsidRPr="0033525D" w:rsidRDefault="002309BD">
    <w:pPr>
      <w:jc w:val="right"/>
    </w:pPr>
    <w:r>
      <w:fldChar w:fldCharType="begin"/>
    </w:r>
    <w:r>
      <w:instrText>DOCPROPERTY "Document number"  \* MERGEFORMAT</w:instrText>
    </w:r>
    <w:r>
      <w:fldChar w:fldCharType="separate"/>
    </w:r>
    <w:r>
      <w:t>UNEP/</w:t>
    </w:r>
    <w:proofErr w:type="spellStart"/>
    <w:r>
      <w:t>OzL.Pro</w:t>
    </w:r>
    <w:proofErr w:type="spellEnd"/>
    <w:r>
      <w:t>/</w:t>
    </w:r>
    <w:proofErr w:type="spellStart"/>
    <w:r>
      <w:t>ExCom</w:t>
    </w:r>
    <w:proofErr w:type="spellEnd"/>
    <w:r>
      <w:t>/94/36</w:t>
    </w:r>
    <w:r>
      <w:fldChar w:fldCharType="end"/>
    </w:r>
  </w:p>
  <w:p w14:paraId="68AB352B" w14:textId="77777777" w:rsidR="004177A6" w:rsidRPr="0033525D" w:rsidRDefault="004177A6">
    <w:pPr>
      <w:jc w:val="right"/>
    </w:pPr>
  </w:p>
  <w:p w14:paraId="0B239B39" w14:textId="77777777" w:rsidR="004177A6" w:rsidRPr="0033525D" w:rsidRDefault="004177A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A217E" w14:textId="1BAFFCA7" w:rsidR="00DC6A10" w:rsidRPr="00C45315" w:rsidRDefault="002309BD" w:rsidP="005C79AB">
    <w:pPr>
      <w:jc w:val="left"/>
      <w:rPr>
        <w:lang w:val="en-CA"/>
      </w:rPr>
    </w:pPr>
    <w:r>
      <w:fldChar w:fldCharType="begin"/>
    </w:r>
    <w:r w:rsidRPr="00C45315">
      <w:rPr>
        <w:lang w:val="en-CA"/>
      </w:rPr>
      <w:instrText xml:space="preserve"> DOCPROPERTY "Document number"  \* MERGEFORMAT </w:instrText>
    </w:r>
    <w:r>
      <w:fldChar w:fldCharType="separate"/>
    </w:r>
    <w:r>
      <w:rPr>
        <w:lang w:val="en-CA"/>
      </w:rPr>
      <w:t>UNEP/</w:t>
    </w:r>
    <w:proofErr w:type="spellStart"/>
    <w:r>
      <w:rPr>
        <w:lang w:val="en-CA"/>
      </w:rPr>
      <w:t>OzL.Pro</w:t>
    </w:r>
    <w:proofErr w:type="spellEnd"/>
    <w:r>
      <w:rPr>
        <w:lang w:val="en-CA"/>
      </w:rPr>
      <w:t>/ExCom/94/36</w:t>
    </w:r>
    <w:r>
      <w:fldChar w:fldCharType="end"/>
    </w:r>
  </w:p>
  <w:p w14:paraId="7C13AEF2" w14:textId="186E65AB" w:rsidR="00DC6A10" w:rsidRPr="00C45315" w:rsidRDefault="004C5CF6" w:rsidP="005C79AB">
    <w:pPr>
      <w:jc w:val="left"/>
      <w:rPr>
        <w:lang w:val="en-CA"/>
      </w:rPr>
    </w:pPr>
    <w:r w:rsidRPr="00C45315">
      <w:rPr>
        <w:lang w:val="en-CA"/>
      </w:rPr>
      <w:t>Annexe I</w:t>
    </w:r>
  </w:p>
  <w:p w14:paraId="1A2B6165" w14:textId="77777777" w:rsidR="00DC6A10" w:rsidRPr="00C45315" w:rsidRDefault="00DC6A10" w:rsidP="005C79AB">
    <w:pPr>
      <w:jc w:val="lef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BFF462" w14:textId="4356202D" w:rsidR="00DC6A10" w:rsidRPr="00C45315" w:rsidRDefault="002309BD" w:rsidP="005C79AB">
    <w:pPr>
      <w:jc w:val="right"/>
      <w:rPr>
        <w:lang w:val="en-CA"/>
      </w:rPr>
    </w:pPr>
    <w:r>
      <w:fldChar w:fldCharType="begin"/>
    </w:r>
    <w:r w:rsidRPr="00C45315">
      <w:rPr>
        <w:lang w:val="en-CA"/>
      </w:rPr>
      <w:instrText xml:space="preserve"> DOCPROPERTY "Document number"  \* MERGEFORMAT </w:instrText>
    </w:r>
    <w:r>
      <w:fldChar w:fldCharType="separate"/>
    </w:r>
    <w:r>
      <w:rPr>
        <w:lang w:val="en-CA"/>
      </w:rPr>
      <w:t>UNEP/</w:t>
    </w:r>
    <w:proofErr w:type="spellStart"/>
    <w:r>
      <w:rPr>
        <w:lang w:val="en-CA"/>
      </w:rPr>
      <w:t>OzL.Pro</w:t>
    </w:r>
    <w:proofErr w:type="spellEnd"/>
    <w:r>
      <w:rPr>
        <w:lang w:val="en-CA"/>
      </w:rPr>
      <w:t>/ExCom/94/36</w:t>
    </w:r>
    <w:r>
      <w:fldChar w:fldCharType="end"/>
    </w:r>
  </w:p>
  <w:p w14:paraId="0D0F152B" w14:textId="412F4D43" w:rsidR="00DC6A10" w:rsidRPr="00C45315" w:rsidRDefault="005C79AB" w:rsidP="005C79AB">
    <w:pPr>
      <w:jc w:val="right"/>
      <w:rPr>
        <w:lang w:val="en-CA"/>
      </w:rPr>
    </w:pPr>
    <w:r w:rsidRPr="00C45315">
      <w:rPr>
        <w:lang w:val="en-CA"/>
      </w:rPr>
      <w:t>Annexe I</w:t>
    </w:r>
  </w:p>
  <w:p w14:paraId="62E31A48" w14:textId="77777777" w:rsidR="005C79AB" w:rsidRPr="00C45315" w:rsidRDefault="005C79AB" w:rsidP="005C79AB">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DAD5D" w14:textId="77777777" w:rsidR="00DB2256" w:rsidRDefault="00DB2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88F6A722"/>
    <w:lvl w:ilvl="0">
      <w:start w:val="1"/>
      <w:numFmt w:val="decimal"/>
      <w:pStyle w:val="Heading1"/>
      <w:lvlText w:val="%1."/>
      <w:lvlJc w:val="left"/>
      <w:pPr>
        <w:tabs>
          <w:tab w:val="num" w:pos="0"/>
        </w:tabs>
        <w:ind w:left="0" w:firstLine="0"/>
      </w:pPr>
      <w:rPr>
        <w:b w:val="0"/>
        <w:bCs/>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6"/>
  </w:num>
  <w:num w:numId="9" w16cid:durableId="444007775">
    <w:abstractNumId w:val="2"/>
  </w:num>
  <w:num w:numId="10" w16cid:durableId="2081637436">
    <w:abstractNumId w:val="5"/>
  </w:num>
  <w:num w:numId="11"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684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30433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948647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77DF"/>
    <w:rsid w:val="00000A06"/>
    <w:rsid w:val="00000FED"/>
    <w:rsid w:val="00002D57"/>
    <w:rsid w:val="0000434E"/>
    <w:rsid w:val="0000467F"/>
    <w:rsid w:val="00005118"/>
    <w:rsid w:val="0001079F"/>
    <w:rsid w:val="00012950"/>
    <w:rsid w:val="00013286"/>
    <w:rsid w:val="0001470C"/>
    <w:rsid w:val="00014BFD"/>
    <w:rsid w:val="00020BF8"/>
    <w:rsid w:val="0002101D"/>
    <w:rsid w:val="000211A9"/>
    <w:rsid w:val="00021238"/>
    <w:rsid w:val="00021C1B"/>
    <w:rsid w:val="00022071"/>
    <w:rsid w:val="00022493"/>
    <w:rsid w:val="00023162"/>
    <w:rsid w:val="000233F4"/>
    <w:rsid w:val="00024550"/>
    <w:rsid w:val="00024D03"/>
    <w:rsid w:val="00025556"/>
    <w:rsid w:val="000255F6"/>
    <w:rsid w:val="00025B6E"/>
    <w:rsid w:val="00025EBB"/>
    <w:rsid w:val="00030CC5"/>
    <w:rsid w:val="00030FEB"/>
    <w:rsid w:val="00031260"/>
    <w:rsid w:val="00032456"/>
    <w:rsid w:val="0003279A"/>
    <w:rsid w:val="000329D3"/>
    <w:rsid w:val="00032EBC"/>
    <w:rsid w:val="0003681A"/>
    <w:rsid w:val="00036FAC"/>
    <w:rsid w:val="000372B7"/>
    <w:rsid w:val="00041159"/>
    <w:rsid w:val="000418A2"/>
    <w:rsid w:val="00042573"/>
    <w:rsid w:val="00043D69"/>
    <w:rsid w:val="000450DE"/>
    <w:rsid w:val="000450E3"/>
    <w:rsid w:val="000462EA"/>
    <w:rsid w:val="00050682"/>
    <w:rsid w:val="00050F6E"/>
    <w:rsid w:val="00051916"/>
    <w:rsid w:val="00051B4D"/>
    <w:rsid w:val="00053498"/>
    <w:rsid w:val="000540EF"/>
    <w:rsid w:val="000575A1"/>
    <w:rsid w:val="00060504"/>
    <w:rsid w:val="0006061D"/>
    <w:rsid w:val="00060C2C"/>
    <w:rsid w:val="000619C6"/>
    <w:rsid w:val="00061CCC"/>
    <w:rsid w:val="00061EC2"/>
    <w:rsid w:val="00062EB2"/>
    <w:rsid w:val="00063E5A"/>
    <w:rsid w:val="00065732"/>
    <w:rsid w:val="0006664D"/>
    <w:rsid w:val="00066CE8"/>
    <w:rsid w:val="000700E6"/>
    <w:rsid w:val="00073972"/>
    <w:rsid w:val="00073E9B"/>
    <w:rsid w:val="000748EC"/>
    <w:rsid w:val="00075BC1"/>
    <w:rsid w:val="00076861"/>
    <w:rsid w:val="00076A4C"/>
    <w:rsid w:val="00077588"/>
    <w:rsid w:val="00077CDB"/>
    <w:rsid w:val="00080ED0"/>
    <w:rsid w:val="00081A6A"/>
    <w:rsid w:val="00081C6F"/>
    <w:rsid w:val="000840EB"/>
    <w:rsid w:val="00085A94"/>
    <w:rsid w:val="00085B8F"/>
    <w:rsid w:val="00085DDB"/>
    <w:rsid w:val="0008607A"/>
    <w:rsid w:val="0008628C"/>
    <w:rsid w:val="0008643E"/>
    <w:rsid w:val="00086C8C"/>
    <w:rsid w:val="000875D2"/>
    <w:rsid w:val="00090481"/>
    <w:rsid w:val="000929DF"/>
    <w:rsid w:val="00093050"/>
    <w:rsid w:val="000931FE"/>
    <w:rsid w:val="00093537"/>
    <w:rsid w:val="00096012"/>
    <w:rsid w:val="00096B5C"/>
    <w:rsid w:val="000A2647"/>
    <w:rsid w:val="000A2ADF"/>
    <w:rsid w:val="000A3826"/>
    <w:rsid w:val="000A4634"/>
    <w:rsid w:val="000A4B0A"/>
    <w:rsid w:val="000A4B38"/>
    <w:rsid w:val="000A4C94"/>
    <w:rsid w:val="000A4FE9"/>
    <w:rsid w:val="000A6C26"/>
    <w:rsid w:val="000A7583"/>
    <w:rsid w:val="000A7B34"/>
    <w:rsid w:val="000B02D4"/>
    <w:rsid w:val="000B1BDD"/>
    <w:rsid w:val="000B2203"/>
    <w:rsid w:val="000B2787"/>
    <w:rsid w:val="000B36C8"/>
    <w:rsid w:val="000B3E74"/>
    <w:rsid w:val="000B578B"/>
    <w:rsid w:val="000B63C0"/>
    <w:rsid w:val="000C0086"/>
    <w:rsid w:val="000C1EF1"/>
    <w:rsid w:val="000C2373"/>
    <w:rsid w:val="000C246A"/>
    <w:rsid w:val="000C495D"/>
    <w:rsid w:val="000D0B94"/>
    <w:rsid w:val="000D2ECA"/>
    <w:rsid w:val="000D48A7"/>
    <w:rsid w:val="000D52A4"/>
    <w:rsid w:val="000D5884"/>
    <w:rsid w:val="000E07BC"/>
    <w:rsid w:val="000E1D91"/>
    <w:rsid w:val="000E240D"/>
    <w:rsid w:val="000E25C6"/>
    <w:rsid w:val="000E25D4"/>
    <w:rsid w:val="000E2AAA"/>
    <w:rsid w:val="000E2E21"/>
    <w:rsid w:val="000E34ED"/>
    <w:rsid w:val="000E4F2C"/>
    <w:rsid w:val="000E63E3"/>
    <w:rsid w:val="000E6537"/>
    <w:rsid w:val="000E7552"/>
    <w:rsid w:val="000F0925"/>
    <w:rsid w:val="000F1CD4"/>
    <w:rsid w:val="000F2426"/>
    <w:rsid w:val="000F4103"/>
    <w:rsid w:val="000F47AE"/>
    <w:rsid w:val="000F4D85"/>
    <w:rsid w:val="000F5359"/>
    <w:rsid w:val="000F70A7"/>
    <w:rsid w:val="00100571"/>
    <w:rsid w:val="00103C67"/>
    <w:rsid w:val="0010417F"/>
    <w:rsid w:val="00104C40"/>
    <w:rsid w:val="00105437"/>
    <w:rsid w:val="001056C0"/>
    <w:rsid w:val="00105B3A"/>
    <w:rsid w:val="00105CB7"/>
    <w:rsid w:val="00105E62"/>
    <w:rsid w:val="0010699F"/>
    <w:rsid w:val="001078B2"/>
    <w:rsid w:val="00107A10"/>
    <w:rsid w:val="00110B50"/>
    <w:rsid w:val="00110F62"/>
    <w:rsid w:val="00113CCA"/>
    <w:rsid w:val="001141B8"/>
    <w:rsid w:val="00114E3A"/>
    <w:rsid w:val="001170DC"/>
    <w:rsid w:val="0012204C"/>
    <w:rsid w:val="00122B43"/>
    <w:rsid w:val="00122F25"/>
    <w:rsid w:val="00123A03"/>
    <w:rsid w:val="001252B4"/>
    <w:rsid w:val="00126860"/>
    <w:rsid w:val="00132379"/>
    <w:rsid w:val="00132F75"/>
    <w:rsid w:val="0013430D"/>
    <w:rsid w:val="00135980"/>
    <w:rsid w:val="00136489"/>
    <w:rsid w:val="00136FD2"/>
    <w:rsid w:val="001377DF"/>
    <w:rsid w:val="0013786F"/>
    <w:rsid w:val="001424B2"/>
    <w:rsid w:val="00145732"/>
    <w:rsid w:val="001458DA"/>
    <w:rsid w:val="00146836"/>
    <w:rsid w:val="001476F2"/>
    <w:rsid w:val="00150B3E"/>
    <w:rsid w:val="0015115B"/>
    <w:rsid w:val="00152392"/>
    <w:rsid w:val="00153DAD"/>
    <w:rsid w:val="00154F79"/>
    <w:rsid w:val="00155038"/>
    <w:rsid w:val="00155246"/>
    <w:rsid w:val="00155FF9"/>
    <w:rsid w:val="00156E42"/>
    <w:rsid w:val="00157F54"/>
    <w:rsid w:val="00163A6B"/>
    <w:rsid w:val="00164719"/>
    <w:rsid w:val="001651E9"/>
    <w:rsid w:val="00166FC4"/>
    <w:rsid w:val="0016710E"/>
    <w:rsid w:val="001677AC"/>
    <w:rsid w:val="00167E5B"/>
    <w:rsid w:val="00171C06"/>
    <w:rsid w:val="00173DFC"/>
    <w:rsid w:val="00174317"/>
    <w:rsid w:val="00176A02"/>
    <w:rsid w:val="00176B59"/>
    <w:rsid w:val="00177C1D"/>
    <w:rsid w:val="001804EA"/>
    <w:rsid w:val="001820DF"/>
    <w:rsid w:val="0018228B"/>
    <w:rsid w:val="00183A87"/>
    <w:rsid w:val="00185274"/>
    <w:rsid w:val="00187454"/>
    <w:rsid w:val="00190A61"/>
    <w:rsid w:val="00191561"/>
    <w:rsid w:val="00191802"/>
    <w:rsid w:val="00194142"/>
    <w:rsid w:val="00195222"/>
    <w:rsid w:val="001962B2"/>
    <w:rsid w:val="00196DE8"/>
    <w:rsid w:val="00197162"/>
    <w:rsid w:val="00197179"/>
    <w:rsid w:val="00197568"/>
    <w:rsid w:val="00197623"/>
    <w:rsid w:val="001A0382"/>
    <w:rsid w:val="001A14E6"/>
    <w:rsid w:val="001A1512"/>
    <w:rsid w:val="001A2215"/>
    <w:rsid w:val="001A3342"/>
    <w:rsid w:val="001A3388"/>
    <w:rsid w:val="001A3E3D"/>
    <w:rsid w:val="001A44F7"/>
    <w:rsid w:val="001A48FF"/>
    <w:rsid w:val="001A49BC"/>
    <w:rsid w:val="001A6C6F"/>
    <w:rsid w:val="001A7049"/>
    <w:rsid w:val="001A7115"/>
    <w:rsid w:val="001B0B5F"/>
    <w:rsid w:val="001B15E7"/>
    <w:rsid w:val="001B1E40"/>
    <w:rsid w:val="001B1EC0"/>
    <w:rsid w:val="001B4374"/>
    <w:rsid w:val="001B52B2"/>
    <w:rsid w:val="001B641B"/>
    <w:rsid w:val="001C0FF3"/>
    <w:rsid w:val="001C55D2"/>
    <w:rsid w:val="001C6A79"/>
    <w:rsid w:val="001C764E"/>
    <w:rsid w:val="001D0700"/>
    <w:rsid w:val="001D1690"/>
    <w:rsid w:val="001D3740"/>
    <w:rsid w:val="001D466E"/>
    <w:rsid w:val="001D4D0C"/>
    <w:rsid w:val="001D5172"/>
    <w:rsid w:val="001D5838"/>
    <w:rsid w:val="001D65A1"/>
    <w:rsid w:val="001D6D05"/>
    <w:rsid w:val="001D700B"/>
    <w:rsid w:val="001D7151"/>
    <w:rsid w:val="001E1052"/>
    <w:rsid w:val="001E21B1"/>
    <w:rsid w:val="001E2286"/>
    <w:rsid w:val="001E2907"/>
    <w:rsid w:val="001E2B41"/>
    <w:rsid w:val="001E2F93"/>
    <w:rsid w:val="001E4554"/>
    <w:rsid w:val="001E5ABB"/>
    <w:rsid w:val="001E61E5"/>
    <w:rsid w:val="001E634D"/>
    <w:rsid w:val="001E6F42"/>
    <w:rsid w:val="001E7643"/>
    <w:rsid w:val="001F00D4"/>
    <w:rsid w:val="001F136F"/>
    <w:rsid w:val="001F1915"/>
    <w:rsid w:val="001F2159"/>
    <w:rsid w:val="001F4E77"/>
    <w:rsid w:val="001F53FD"/>
    <w:rsid w:val="001F7704"/>
    <w:rsid w:val="002027E8"/>
    <w:rsid w:val="002033F0"/>
    <w:rsid w:val="002039C5"/>
    <w:rsid w:val="00205956"/>
    <w:rsid w:val="00207C5B"/>
    <w:rsid w:val="00210B7E"/>
    <w:rsid w:val="00210B8B"/>
    <w:rsid w:val="002112D7"/>
    <w:rsid w:val="00211A35"/>
    <w:rsid w:val="002121B8"/>
    <w:rsid w:val="002128C5"/>
    <w:rsid w:val="00212B71"/>
    <w:rsid w:val="00214863"/>
    <w:rsid w:val="00214AF0"/>
    <w:rsid w:val="002156B4"/>
    <w:rsid w:val="002159B5"/>
    <w:rsid w:val="00216389"/>
    <w:rsid w:val="00220808"/>
    <w:rsid w:val="00221E24"/>
    <w:rsid w:val="0022366F"/>
    <w:rsid w:val="002238B7"/>
    <w:rsid w:val="0022394D"/>
    <w:rsid w:val="00224FCD"/>
    <w:rsid w:val="00225E01"/>
    <w:rsid w:val="002269EA"/>
    <w:rsid w:val="002309BD"/>
    <w:rsid w:val="00230BAA"/>
    <w:rsid w:val="00232FA8"/>
    <w:rsid w:val="002333A7"/>
    <w:rsid w:val="00233D2D"/>
    <w:rsid w:val="00236344"/>
    <w:rsid w:val="00236864"/>
    <w:rsid w:val="00244479"/>
    <w:rsid w:val="00246308"/>
    <w:rsid w:val="002466B9"/>
    <w:rsid w:val="00247875"/>
    <w:rsid w:val="00247A5D"/>
    <w:rsid w:val="00247D14"/>
    <w:rsid w:val="002500BF"/>
    <w:rsid w:val="00251AF1"/>
    <w:rsid w:val="00253222"/>
    <w:rsid w:val="00255CF2"/>
    <w:rsid w:val="0025617A"/>
    <w:rsid w:val="00260B29"/>
    <w:rsid w:val="002612A5"/>
    <w:rsid w:val="002615BF"/>
    <w:rsid w:val="00261C13"/>
    <w:rsid w:val="00262847"/>
    <w:rsid w:val="0026425A"/>
    <w:rsid w:val="002652E5"/>
    <w:rsid w:val="00266324"/>
    <w:rsid w:val="00266CC8"/>
    <w:rsid w:val="00270321"/>
    <w:rsid w:val="0027143D"/>
    <w:rsid w:val="00271D1A"/>
    <w:rsid w:val="00271DAE"/>
    <w:rsid w:val="002740C6"/>
    <w:rsid w:val="00275F99"/>
    <w:rsid w:val="0027705F"/>
    <w:rsid w:val="0027759B"/>
    <w:rsid w:val="002801A7"/>
    <w:rsid w:val="00281BB2"/>
    <w:rsid w:val="002859DD"/>
    <w:rsid w:val="00285A79"/>
    <w:rsid w:val="002902FC"/>
    <w:rsid w:val="0029084A"/>
    <w:rsid w:val="00290E6E"/>
    <w:rsid w:val="00291C85"/>
    <w:rsid w:val="00292EEC"/>
    <w:rsid w:val="0029497F"/>
    <w:rsid w:val="0029728C"/>
    <w:rsid w:val="002A03C3"/>
    <w:rsid w:val="002A03EA"/>
    <w:rsid w:val="002A1E65"/>
    <w:rsid w:val="002A3442"/>
    <w:rsid w:val="002A4730"/>
    <w:rsid w:val="002A584C"/>
    <w:rsid w:val="002A5B9A"/>
    <w:rsid w:val="002A7C94"/>
    <w:rsid w:val="002B254E"/>
    <w:rsid w:val="002B31FD"/>
    <w:rsid w:val="002B49B8"/>
    <w:rsid w:val="002B4CE8"/>
    <w:rsid w:val="002B72E9"/>
    <w:rsid w:val="002B7508"/>
    <w:rsid w:val="002B7F36"/>
    <w:rsid w:val="002C0213"/>
    <w:rsid w:val="002C0785"/>
    <w:rsid w:val="002C078E"/>
    <w:rsid w:val="002C0CF3"/>
    <w:rsid w:val="002C0E60"/>
    <w:rsid w:val="002C382C"/>
    <w:rsid w:val="002C3DB9"/>
    <w:rsid w:val="002C450F"/>
    <w:rsid w:val="002C4C34"/>
    <w:rsid w:val="002C7369"/>
    <w:rsid w:val="002C7998"/>
    <w:rsid w:val="002D161C"/>
    <w:rsid w:val="002D22BB"/>
    <w:rsid w:val="002D3A40"/>
    <w:rsid w:val="002D4CDA"/>
    <w:rsid w:val="002D7833"/>
    <w:rsid w:val="002E0596"/>
    <w:rsid w:val="002E103F"/>
    <w:rsid w:val="002E11B5"/>
    <w:rsid w:val="002E2810"/>
    <w:rsid w:val="002E381A"/>
    <w:rsid w:val="002E4C43"/>
    <w:rsid w:val="002E5830"/>
    <w:rsid w:val="002E5E49"/>
    <w:rsid w:val="002E69B6"/>
    <w:rsid w:val="002E7A61"/>
    <w:rsid w:val="002F196A"/>
    <w:rsid w:val="002F1E53"/>
    <w:rsid w:val="002F2CAA"/>
    <w:rsid w:val="002F397E"/>
    <w:rsid w:val="002F44F9"/>
    <w:rsid w:val="002F49E8"/>
    <w:rsid w:val="002F5673"/>
    <w:rsid w:val="002F5F6E"/>
    <w:rsid w:val="002F7AC2"/>
    <w:rsid w:val="0030052C"/>
    <w:rsid w:val="0030102D"/>
    <w:rsid w:val="0030137A"/>
    <w:rsid w:val="00301D80"/>
    <w:rsid w:val="00302695"/>
    <w:rsid w:val="00302E4C"/>
    <w:rsid w:val="003037AD"/>
    <w:rsid w:val="00304061"/>
    <w:rsid w:val="0030430D"/>
    <w:rsid w:val="00307A44"/>
    <w:rsid w:val="00311227"/>
    <w:rsid w:val="003122EF"/>
    <w:rsid w:val="0031449D"/>
    <w:rsid w:val="0031584F"/>
    <w:rsid w:val="00316172"/>
    <w:rsid w:val="003162E2"/>
    <w:rsid w:val="00320188"/>
    <w:rsid w:val="00321AA9"/>
    <w:rsid w:val="003233F4"/>
    <w:rsid w:val="003239AC"/>
    <w:rsid w:val="00324CCA"/>
    <w:rsid w:val="003261F4"/>
    <w:rsid w:val="00327BD4"/>
    <w:rsid w:val="003306E1"/>
    <w:rsid w:val="0033130D"/>
    <w:rsid w:val="0033178E"/>
    <w:rsid w:val="003320E4"/>
    <w:rsid w:val="003322F5"/>
    <w:rsid w:val="00333B12"/>
    <w:rsid w:val="00333FC7"/>
    <w:rsid w:val="00334EAF"/>
    <w:rsid w:val="0033525D"/>
    <w:rsid w:val="00335966"/>
    <w:rsid w:val="00337298"/>
    <w:rsid w:val="00340882"/>
    <w:rsid w:val="003414F3"/>
    <w:rsid w:val="00344374"/>
    <w:rsid w:val="00345EE8"/>
    <w:rsid w:val="00346A48"/>
    <w:rsid w:val="00346C2E"/>
    <w:rsid w:val="003478C8"/>
    <w:rsid w:val="0035132C"/>
    <w:rsid w:val="00351496"/>
    <w:rsid w:val="00351F8B"/>
    <w:rsid w:val="003521DA"/>
    <w:rsid w:val="00353A4F"/>
    <w:rsid w:val="00353AEA"/>
    <w:rsid w:val="00354D6D"/>
    <w:rsid w:val="0035613E"/>
    <w:rsid w:val="00356A45"/>
    <w:rsid w:val="00357240"/>
    <w:rsid w:val="00360DED"/>
    <w:rsid w:val="00360F1F"/>
    <w:rsid w:val="003615AF"/>
    <w:rsid w:val="00362155"/>
    <w:rsid w:val="0036253B"/>
    <w:rsid w:val="00362FF8"/>
    <w:rsid w:val="00363EE9"/>
    <w:rsid w:val="00364D6F"/>
    <w:rsid w:val="003664A9"/>
    <w:rsid w:val="00366BE3"/>
    <w:rsid w:val="00371A0B"/>
    <w:rsid w:val="0037344F"/>
    <w:rsid w:val="00373605"/>
    <w:rsid w:val="00375F94"/>
    <w:rsid w:val="00376128"/>
    <w:rsid w:val="00377210"/>
    <w:rsid w:val="0037742E"/>
    <w:rsid w:val="00377C15"/>
    <w:rsid w:val="00377D56"/>
    <w:rsid w:val="00377D5A"/>
    <w:rsid w:val="00380725"/>
    <w:rsid w:val="00380A30"/>
    <w:rsid w:val="003810A5"/>
    <w:rsid w:val="003811FE"/>
    <w:rsid w:val="0038245A"/>
    <w:rsid w:val="00382B1D"/>
    <w:rsid w:val="00383603"/>
    <w:rsid w:val="003840E6"/>
    <w:rsid w:val="00384AA5"/>
    <w:rsid w:val="00385CFC"/>
    <w:rsid w:val="00385ED8"/>
    <w:rsid w:val="00391069"/>
    <w:rsid w:val="00391961"/>
    <w:rsid w:val="00392168"/>
    <w:rsid w:val="00393314"/>
    <w:rsid w:val="0039337A"/>
    <w:rsid w:val="00393848"/>
    <w:rsid w:val="003947F9"/>
    <w:rsid w:val="003962F6"/>
    <w:rsid w:val="003A01FB"/>
    <w:rsid w:val="003A0A08"/>
    <w:rsid w:val="003A117D"/>
    <w:rsid w:val="003A11C2"/>
    <w:rsid w:val="003A14EA"/>
    <w:rsid w:val="003A1C3E"/>
    <w:rsid w:val="003A3189"/>
    <w:rsid w:val="003A34E2"/>
    <w:rsid w:val="003A367E"/>
    <w:rsid w:val="003A3CA7"/>
    <w:rsid w:val="003A54D8"/>
    <w:rsid w:val="003A6EE5"/>
    <w:rsid w:val="003B10BE"/>
    <w:rsid w:val="003B1730"/>
    <w:rsid w:val="003B285E"/>
    <w:rsid w:val="003B33BD"/>
    <w:rsid w:val="003B403C"/>
    <w:rsid w:val="003B428C"/>
    <w:rsid w:val="003B4C09"/>
    <w:rsid w:val="003B569D"/>
    <w:rsid w:val="003B5BA2"/>
    <w:rsid w:val="003B60A6"/>
    <w:rsid w:val="003B672B"/>
    <w:rsid w:val="003B77C9"/>
    <w:rsid w:val="003B7D2D"/>
    <w:rsid w:val="003C00B1"/>
    <w:rsid w:val="003C161D"/>
    <w:rsid w:val="003C27DB"/>
    <w:rsid w:val="003C2B4E"/>
    <w:rsid w:val="003C2DC7"/>
    <w:rsid w:val="003C34CF"/>
    <w:rsid w:val="003C3943"/>
    <w:rsid w:val="003C3C0E"/>
    <w:rsid w:val="003C4056"/>
    <w:rsid w:val="003C44FF"/>
    <w:rsid w:val="003D0A72"/>
    <w:rsid w:val="003D1553"/>
    <w:rsid w:val="003D42A6"/>
    <w:rsid w:val="003D4F21"/>
    <w:rsid w:val="003D4FAC"/>
    <w:rsid w:val="003D5545"/>
    <w:rsid w:val="003D6938"/>
    <w:rsid w:val="003D756C"/>
    <w:rsid w:val="003D77C6"/>
    <w:rsid w:val="003D798A"/>
    <w:rsid w:val="003E1885"/>
    <w:rsid w:val="003E3C5E"/>
    <w:rsid w:val="003E4488"/>
    <w:rsid w:val="003E5608"/>
    <w:rsid w:val="003E6160"/>
    <w:rsid w:val="003E6202"/>
    <w:rsid w:val="003E6FC8"/>
    <w:rsid w:val="003E724D"/>
    <w:rsid w:val="003E7666"/>
    <w:rsid w:val="003E7906"/>
    <w:rsid w:val="003F000F"/>
    <w:rsid w:val="003F063E"/>
    <w:rsid w:val="003F07D9"/>
    <w:rsid w:val="003F3C50"/>
    <w:rsid w:val="003F586C"/>
    <w:rsid w:val="003F663C"/>
    <w:rsid w:val="003F6774"/>
    <w:rsid w:val="004003EF"/>
    <w:rsid w:val="004010A5"/>
    <w:rsid w:val="00401759"/>
    <w:rsid w:val="0040271B"/>
    <w:rsid w:val="0040329B"/>
    <w:rsid w:val="00403B15"/>
    <w:rsid w:val="0040509B"/>
    <w:rsid w:val="004056C0"/>
    <w:rsid w:val="00405CEA"/>
    <w:rsid w:val="0040602B"/>
    <w:rsid w:val="00406202"/>
    <w:rsid w:val="00406A6A"/>
    <w:rsid w:val="00406B22"/>
    <w:rsid w:val="00407147"/>
    <w:rsid w:val="004078FA"/>
    <w:rsid w:val="004079D0"/>
    <w:rsid w:val="004106D1"/>
    <w:rsid w:val="00410B03"/>
    <w:rsid w:val="00411903"/>
    <w:rsid w:val="00413DE9"/>
    <w:rsid w:val="004140C6"/>
    <w:rsid w:val="004140EA"/>
    <w:rsid w:val="00414AF1"/>
    <w:rsid w:val="00414FD6"/>
    <w:rsid w:val="004177A6"/>
    <w:rsid w:val="0042050D"/>
    <w:rsid w:val="00421521"/>
    <w:rsid w:val="00421C92"/>
    <w:rsid w:val="0042368F"/>
    <w:rsid w:val="0042697A"/>
    <w:rsid w:val="00427E49"/>
    <w:rsid w:val="00430AED"/>
    <w:rsid w:val="00431E08"/>
    <w:rsid w:val="004328A7"/>
    <w:rsid w:val="00432BEC"/>
    <w:rsid w:val="00433487"/>
    <w:rsid w:val="00434C74"/>
    <w:rsid w:val="00440315"/>
    <w:rsid w:val="004419D5"/>
    <w:rsid w:val="00441C9D"/>
    <w:rsid w:val="00442432"/>
    <w:rsid w:val="00442DAD"/>
    <w:rsid w:val="00444CD2"/>
    <w:rsid w:val="00444EB0"/>
    <w:rsid w:val="004477EE"/>
    <w:rsid w:val="00451C3F"/>
    <w:rsid w:val="00452E83"/>
    <w:rsid w:val="00454727"/>
    <w:rsid w:val="00456473"/>
    <w:rsid w:val="00456EB4"/>
    <w:rsid w:val="00457200"/>
    <w:rsid w:val="0045753B"/>
    <w:rsid w:val="00457827"/>
    <w:rsid w:val="00461696"/>
    <w:rsid w:val="004621A2"/>
    <w:rsid w:val="004658D5"/>
    <w:rsid w:val="00466070"/>
    <w:rsid w:val="00470562"/>
    <w:rsid w:val="004718F3"/>
    <w:rsid w:val="004728D6"/>
    <w:rsid w:val="00473E46"/>
    <w:rsid w:val="00475040"/>
    <w:rsid w:val="0047558E"/>
    <w:rsid w:val="00480507"/>
    <w:rsid w:val="00480B2E"/>
    <w:rsid w:val="0048205D"/>
    <w:rsid w:val="00483E8E"/>
    <w:rsid w:val="00485C49"/>
    <w:rsid w:val="0048675D"/>
    <w:rsid w:val="00490C06"/>
    <w:rsid w:val="0049146A"/>
    <w:rsid w:val="00493B4E"/>
    <w:rsid w:val="00493D40"/>
    <w:rsid w:val="00493EE3"/>
    <w:rsid w:val="00495468"/>
    <w:rsid w:val="00496126"/>
    <w:rsid w:val="0049626F"/>
    <w:rsid w:val="004967B6"/>
    <w:rsid w:val="00496A61"/>
    <w:rsid w:val="00496BBA"/>
    <w:rsid w:val="004971CE"/>
    <w:rsid w:val="004A1EC5"/>
    <w:rsid w:val="004A3D05"/>
    <w:rsid w:val="004A504B"/>
    <w:rsid w:val="004A6911"/>
    <w:rsid w:val="004A6F0E"/>
    <w:rsid w:val="004B158F"/>
    <w:rsid w:val="004B2B56"/>
    <w:rsid w:val="004B3652"/>
    <w:rsid w:val="004B4849"/>
    <w:rsid w:val="004B54E0"/>
    <w:rsid w:val="004B7384"/>
    <w:rsid w:val="004C3789"/>
    <w:rsid w:val="004C3B82"/>
    <w:rsid w:val="004C3BA0"/>
    <w:rsid w:val="004C3CBC"/>
    <w:rsid w:val="004C4269"/>
    <w:rsid w:val="004C48FA"/>
    <w:rsid w:val="004C58CD"/>
    <w:rsid w:val="004C5CF6"/>
    <w:rsid w:val="004C69D9"/>
    <w:rsid w:val="004D0673"/>
    <w:rsid w:val="004D078F"/>
    <w:rsid w:val="004D287C"/>
    <w:rsid w:val="004D36AB"/>
    <w:rsid w:val="004D6236"/>
    <w:rsid w:val="004D7D9F"/>
    <w:rsid w:val="004D7F90"/>
    <w:rsid w:val="004E0C3D"/>
    <w:rsid w:val="004E120F"/>
    <w:rsid w:val="004E250B"/>
    <w:rsid w:val="004E31CD"/>
    <w:rsid w:val="004E42FD"/>
    <w:rsid w:val="004E4613"/>
    <w:rsid w:val="004E4C50"/>
    <w:rsid w:val="004E4DBB"/>
    <w:rsid w:val="004E4E41"/>
    <w:rsid w:val="004E513E"/>
    <w:rsid w:val="004E5F58"/>
    <w:rsid w:val="004E73DB"/>
    <w:rsid w:val="004E74F2"/>
    <w:rsid w:val="004E7B87"/>
    <w:rsid w:val="004E7F9C"/>
    <w:rsid w:val="004F0D38"/>
    <w:rsid w:val="004F2CDD"/>
    <w:rsid w:val="004F3493"/>
    <w:rsid w:val="004F5143"/>
    <w:rsid w:val="004F515E"/>
    <w:rsid w:val="004F57E4"/>
    <w:rsid w:val="004F5E82"/>
    <w:rsid w:val="004F610A"/>
    <w:rsid w:val="004F61E5"/>
    <w:rsid w:val="004F6717"/>
    <w:rsid w:val="004F795E"/>
    <w:rsid w:val="00500DFA"/>
    <w:rsid w:val="0050280D"/>
    <w:rsid w:val="00502CBF"/>
    <w:rsid w:val="00502F61"/>
    <w:rsid w:val="00504B90"/>
    <w:rsid w:val="00512B09"/>
    <w:rsid w:val="00513B3A"/>
    <w:rsid w:val="00513CB0"/>
    <w:rsid w:val="00514352"/>
    <w:rsid w:val="00514B0E"/>
    <w:rsid w:val="005155B7"/>
    <w:rsid w:val="00516CD9"/>
    <w:rsid w:val="00521BC3"/>
    <w:rsid w:val="005220ED"/>
    <w:rsid w:val="00522B15"/>
    <w:rsid w:val="005249F3"/>
    <w:rsid w:val="00524B61"/>
    <w:rsid w:val="0052588A"/>
    <w:rsid w:val="005266B3"/>
    <w:rsid w:val="00531974"/>
    <w:rsid w:val="00532420"/>
    <w:rsid w:val="00532A9F"/>
    <w:rsid w:val="00533796"/>
    <w:rsid w:val="00534425"/>
    <w:rsid w:val="00535FA7"/>
    <w:rsid w:val="005364F7"/>
    <w:rsid w:val="005369BA"/>
    <w:rsid w:val="0053703D"/>
    <w:rsid w:val="00537343"/>
    <w:rsid w:val="0053742C"/>
    <w:rsid w:val="00541244"/>
    <w:rsid w:val="00542F26"/>
    <w:rsid w:val="00543871"/>
    <w:rsid w:val="0054436A"/>
    <w:rsid w:val="00544650"/>
    <w:rsid w:val="00547974"/>
    <w:rsid w:val="005516F3"/>
    <w:rsid w:val="0055315F"/>
    <w:rsid w:val="00553589"/>
    <w:rsid w:val="00553963"/>
    <w:rsid w:val="00555D75"/>
    <w:rsid w:val="00556777"/>
    <w:rsid w:val="00557CAC"/>
    <w:rsid w:val="00560B31"/>
    <w:rsid w:val="00560DF0"/>
    <w:rsid w:val="00561571"/>
    <w:rsid w:val="00561F81"/>
    <w:rsid w:val="0056213A"/>
    <w:rsid w:val="0056276E"/>
    <w:rsid w:val="00562FB6"/>
    <w:rsid w:val="00563818"/>
    <w:rsid w:val="00565597"/>
    <w:rsid w:val="0056759C"/>
    <w:rsid w:val="00567E64"/>
    <w:rsid w:val="00570A23"/>
    <w:rsid w:val="00572B7D"/>
    <w:rsid w:val="0057595F"/>
    <w:rsid w:val="005763DA"/>
    <w:rsid w:val="005776CF"/>
    <w:rsid w:val="00581136"/>
    <w:rsid w:val="00581E8A"/>
    <w:rsid w:val="00582873"/>
    <w:rsid w:val="005836A9"/>
    <w:rsid w:val="005836DA"/>
    <w:rsid w:val="00584B49"/>
    <w:rsid w:val="00585D66"/>
    <w:rsid w:val="00586EEF"/>
    <w:rsid w:val="00591126"/>
    <w:rsid w:val="0059154F"/>
    <w:rsid w:val="00591847"/>
    <w:rsid w:val="00592418"/>
    <w:rsid w:val="0059270D"/>
    <w:rsid w:val="00593B82"/>
    <w:rsid w:val="00593DAA"/>
    <w:rsid w:val="00593F9B"/>
    <w:rsid w:val="0059513E"/>
    <w:rsid w:val="00597DA8"/>
    <w:rsid w:val="005A05C6"/>
    <w:rsid w:val="005A15BD"/>
    <w:rsid w:val="005A1628"/>
    <w:rsid w:val="005A2D08"/>
    <w:rsid w:val="005A64BA"/>
    <w:rsid w:val="005A6AA4"/>
    <w:rsid w:val="005A6D9F"/>
    <w:rsid w:val="005A7A47"/>
    <w:rsid w:val="005B008D"/>
    <w:rsid w:val="005B48FF"/>
    <w:rsid w:val="005B61DB"/>
    <w:rsid w:val="005B65F7"/>
    <w:rsid w:val="005B66DF"/>
    <w:rsid w:val="005B7E25"/>
    <w:rsid w:val="005B7E88"/>
    <w:rsid w:val="005B7F68"/>
    <w:rsid w:val="005C08BB"/>
    <w:rsid w:val="005C1A8D"/>
    <w:rsid w:val="005C1CD8"/>
    <w:rsid w:val="005C1D48"/>
    <w:rsid w:val="005C1E32"/>
    <w:rsid w:val="005C3031"/>
    <w:rsid w:val="005C3A99"/>
    <w:rsid w:val="005C3DA0"/>
    <w:rsid w:val="005C4CDE"/>
    <w:rsid w:val="005C5771"/>
    <w:rsid w:val="005C6552"/>
    <w:rsid w:val="005C670D"/>
    <w:rsid w:val="005C79AB"/>
    <w:rsid w:val="005D2B53"/>
    <w:rsid w:val="005D2F6D"/>
    <w:rsid w:val="005D2F9E"/>
    <w:rsid w:val="005D363F"/>
    <w:rsid w:val="005D39F9"/>
    <w:rsid w:val="005D495A"/>
    <w:rsid w:val="005D6E63"/>
    <w:rsid w:val="005D7328"/>
    <w:rsid w:val="005D7902"/>
    <w:rsid w:val="005E1795"/>
    <w:rsid w:val="005E17D6"/>
    <w:rsid w:val="005E523A"/>
    <w:rsid w:val="005E5D58"/>
    <w:rsid w:val="005E6173"/>
    <w:rsid w:val="005E6707"/>
    <w:rsid w:val="005E7110"/>
    <w:rsid w:val="005F0357"/>
    <w:rsid w:val="005F43D3"/>
    <w:rsid w:val="005F4EA2"/>
    <w:rsid w:val="005F56F3"/>
    <w:rsid w:val="005F6126"/>
    <w:rsid w:val="005F6BB6"/>
    <w:rsid w:val="005F73F8"/>
    <w:rsid w:val="005F7AEB"/>
    <w:rsid w:val="006025BF"/>
    <w:rsid w:val="00602D66"/>
    <w:rsid w:val="006032CB"/>
    <w:rsid w:val="00604C15"/>
    <w:rsid w:val="00605405"/>
    <w:rsid w:val="00605BDA"/>
    <w:rsid w:val="00606BF0"/>
    <w:rsid w:val="00607749"/>
    <w:rsid w:val="006108A8"/>
    <w:rsid w:val="00612EB1"/>
    <w:rsid w:val="00613396"/>
    <w:rsid w:val="00613EED"/>
    <w:rsid w:val="00614420"/>
    <w:rsid w:val="00614440"/>
    <w:rsid w:val="006158D5"/>
    <w:rsid w:val="006163AB"/>
    <w:rsid w:val="006171B9"/>
    <w:rsid w:val="00617A7C"/>
    <w:rsid w:val="00617C09"/>
    <w:rsid w:val="00620741"/>
    <w:rsid w:val="00620E31"/>
    <w:rsid w:val="00623A4E"/>
    <w:rsid w:val="00623B36"/>
    <w:rsid w:val="00624BBB"/>
    <w:rsid w:val="00625049"/>
    <w:rsid w:val="00625A27"/>
    <w:rsid w:val="00625D83"/>
    <w:rsid w:val="00626236"/>
    <w:rsid w:val="00627332"/>
    <w:rsid w:val="006277BA"/>
    <w:rsid w:val="00627B2F"/>
    <w:rsid w:val="00627B6A"/>
    <w:rsid w:val="00627D14"/>
    <w:rsid w:val="00630804"/>
    <w:rsid w:val="00630AE2"/>
    <w:rsid w:val="00630EBD"/>
    <w:rsid w:val="00631365"/>
    <w:rsid w:val="006316C0"/>
    <w:rsid w:val="00631DA5"/>
    <w:rsid w:val="00633AA3"/>
    <w:rsid w:val="006358DA"/>
    <w:rsid w:val="00641E4D"/>
    <w:rsid w:val="006420D1"/>
    <w:rsid w:val="006429FE"/>
    <w:rsid w:val="00644FE2"/>
    <w:rsid w:val="00645365"/>
    <w:rsid w:val="006468CB"/>
    <w:rsid w:val="00651984"/>
    <w:rsid w:val="00651C4B"/>
    <w:rsid w:val="006539A1"/>
    <w:rsid w:val="006545B5"/>
    <w:rsid w:val="006552C9"/>
    <w:rsid w:val="006555A2"/>
    <w:rsid w:val="00661606"/>
    <w:rsid w:val="006617B2"/>
    <w:rsid w:val="006623E7"/>
    <w:rsid w:val="00662B80"/>
    <w:rsid w:val="00665197"/>
    <w:rsid w:val="0066768F"/>
    <w:rsid w:val="00670F6C"/>
    <w:rsid w:val="00671BFF"/>
    <w:rsid w:val="006744A1"/>
    <w:rsid w:val="00675B39"/>
    <w:rsid w:val="00676766"/>
    <w:rsid w:val="00676E58"/>
    <w:rsid w:val="00680922"/>
    <w:rsid w:val="00682B13"/>
    <w:rsid w:val="0068416A"/>
    <w:rsid w:val="0068500B"/>
    <w:rsid w:val="006852C7"/>
    <w:rsid w:val="006852CE"/>
    <w:rsid w:val="0068679C"/>
    <w:rsid w:val="00690EB7"/>
    <w:rsid w:val="00691DDB"/>
    <w:rsid w:val="00692D14"/>
    <w:rsid w:val="00693A9A"/>
    <w:rsid w:val="00694BC8"/>
    <w:rsid w:val="00695714"/>
    <w:rsid w:val="00695A06"/>
    <w:rsid w:val="00696221"/>
    <w:rsid w:val="006A1195"/>
    <w:rsid w:val="006A1244"/>
    <w:rsid w:val="006A188B"/>
    <w:rsid w:val="006A1CF4"/>
    <w:rsid w:val="006A20CD"/>
    <w:rsid w:val="006A4CF7"/>
    <w:rsid w:val="006A63E3"/>
    <w:rsid w:val="006A6DE1"/>
    <w:rsid w:val="006A7A3B"/>
    <w:rsid w:val="006A7AF0"/>
    <w:rsid w:val="006B24CA"/>
    <w:rsid w:val="006B65C7"/>
    <w:rsid w:val="006C1338"/>
    <w:rsid w:val="006C13C5"/>
    <w:rsid w:val="006C1727"/>
    <w:rsid w:val="006C32FD"/>
    <w:rsid w:val="006C338B"/>
    <w:rsid w:val="006C39CE"/>
    <w:rsid w:val="006C3DB6"/>
    <w:rsid w:val="006C6BE6"/>
    <w:rsid w:val="006C6EA5"/>
    <w:rsid w:val="006D066E"/>
    <w:rsid w:val="006D0FCC"/>
    <w:rsid w:val="006D21F5"/>
    <w:rsid w:val="006D3089"/>
    <w:rsid w:val="006D3C3D"/>
    <w:rsid w:val="006D3F78"/>
    <w:rsid w:val="006D4476"/>
    <w:rsid w:val="006D5008"/>
    <w:rsid w:val="006D78C2"/>
    <w:rsid w:val="006E126D"/>
    <w:rsid w:val="006E1FC3"/>
    <w:rsid w:val="006E527F"/>
    <w:rsid w:val="006E5594"/>
    <w:rsid w:val="006E6753"/>
    <w:rsid w:val="006F0302"/>
    <w:rsid w:val="006F16E9"/>
    <w:rsid w:val="006F2FBD"/>
    <w:rsid w:val="006F747B"/>
    <w:rsid w:val="00701903"/>
    <w:rsid w:val="007030A4"/>
    <w:rsid w:val="007049BF"/>
    <w:rsid w:val="00704CE9"/>
    <w:rsid w:val="0070616B"/>
    <w:rsid w:val="00706295"/>
    <w:rsid w:val="007065F0"/>
    <w:rsid w:val="00706FDA"/>
    <w:rsid w:val="00710F91"/>
    <w:rsid w:val="00711F9A"/>
    <w:rsid w:val="007134DB"/>
    <w:rsid w:val="007135A3"/>
    <w:rsid w:val="00713810"/>
    <w:rsid w:val="007142ED"/>
    <w:rsid w:val="00715476"/>
    <w:rsid w:val="00716A3C"/>
    <w:rsid w:val="00717915"/>
    <w:rsid w:val="00717C0E"/>
    <w:rsid w:val="00720F6A"/>
    <w:rsid w:val="007245D7"/>
    <w:rsid w:val="00724DC9"/>
    <w:rsid w:val="00725693"/>
    <w:rsid w:val="007303A5"/>
    <w:rsid w:val="00730B3E"/>
    <w:rsid w:val="00731C81"/>
    <w:rsid w:val="00731FE8"/>
    <w:rsid w:val="00733EB5"/>
    <w:rsid w:val="0073420B"/>
    <w:rsid w:val="00735D72"/>
    <w:rsid w:val="00736362"/>
    <w:rsid w:val="00736367"/>
    <w:rsid w:val="00737451"/>
    <w:rsid w:val="00740B46"/>
    <w:rsid w:val="00740EE8"/>
    <w:rsid w:val="00743730"/>
    <w:rsid w:val="00744768"/>
    <w:rsid w:val="0074539B"/>
    <w:rsid w:val="00745733"/>
    <w:rsid w:val="00745825"/>
    <w:rsid w:val="00745ACC"/>
    <w:rsid w:val="00745E7A"/>
    <w:rsid w:val="00746DDD"/>
    <w:rsid w:val="0074760E"/>
    <w:rsid w:val="0075027A"/>
    <w:rsid w:val="007503FF"/>
    <w:rsid w:val="007514D8"/>
    <w:rsid w:val="00751E76"/>
    <w:rsid w:val="00753423"/>
    <w:rsid w:val="00754ABA"/>
    <w:rsid w:val="0075506D"/>
    <w:rsid w:val="007557AE"/>
    <w:rsid w:val="007568A2"/>
    <w:rsid w:val="007621E0"/>
    <w:rsid w:val="0076329C"/>
    <w:rsid w:val="00767054"/>
    <w:rsid w:val="00770991"/>
    <w:rsid w:val="007726A4"/>
    <w:rsid w:val="00773591"/>
    <w:rsid w:val="00775F86"/>
    <w:rsid w:val="007765C3"/>
    <w:rsid w:val="007773F0"/>
    <w:rsid w:val="00777747"/>
    <w:rsid w:val="0077777B"/>
    <w:rsid w:val="00780966"/>
    <w:rsid w:val="00782297"/>
    <w:rsid w:val="00782B0D"/>
    <w:rsid w:val="007839E4"/>
    <w:rsid w:val="0078655A"/>
    <w:rsid w:val="0078723D"/>
    <w:rsid w:val="007943FB"/>
    <w:rsid w:val="00794F33"/>
    <w:rsid w:val="00794F35"/>
    <w:rsid w:val="007969D5"/>
    <w:rsid w:val="0079781A"/>
    <w:rsid w:val="007A0998"/>
    <w:rsid w:val="007A1546"/>
    <w:rsid w:val="007A1658"/>
    <w:rsid w:val="007A1CE3"/>
    <w:rsid w:val="007A228C"/>
    <w:rsid w:val="007A3141"/>
    <w:rsid w:val="007A368E"/>
    <w:rsid w:val="007A4193"/>
    <w:rsid w:val="007A4539"/>
    <w:rsid w:val="007A5868"/>
    <w:rsid w:val="007B0125"/>
    <w:rsid w:val="007B0349"/>
    <w:rsid w:val="007B04CE"/>
    <w:rsid w:val="007B286E"/>
    <w:rsid w:val="007B3FA4"/>
    <w:rsid w:val="007B51A9"/>
    <w:rsid w:val="007B5DCA"/>
    <w:rsid w:val="007B6411"/>
    <w:rsid w:val="007B6871"/>
    <w:rsid w:val="007B73A0"/>
    <w:rsid w:val="007B7A2F"/>
    <w:rsid w:val="007C06E0"/>
    <w:rsid w:val="007C0E95"/>
    <w:rsid w:val="007C0EFB"/>
    <w:rsid w:val="007C1127"/>
    <w:rsid w:val="007C1321"/>
    <w:rsid w:val="007C1A86"/>
    <w:rsid w:val="007C1B75"/>
    <w:rsid w:val="007C26A1"/>
    <w:rsid w:val="007C32EE"/>
    <w:rsid w:val="007C3D33"/>
    <w:rsid w:val="007C4D51"/>
    <w:rsid w:val="007C69FA"/>
    <w:rsid w:val="007C6FCC"/>
    <w:rsid w:val="007D1376"/>
    <w:rsid w:val="007D294A"/>
    <w:rsid w:val="007D33A1"/>
    <w:rsid w:val="007D47D2"/>
    <w:rsid w:val="007D63FA"/>
    <w:rsid w:val="007D6C3D"/>
    <w:rsid w:val="007D6EC0"/>
    <w:rsid w:val="007D7D2D"/>
    <w:rsid w:val="007D7E1D"/>
    <w:rsid w:val="007E13BC"/>
    <w:rsid w:val="007E2257"/>
    <w:rsid w:val="007E24B4"/>
    <w:rsid w:val="007E27B2"/>
    <w:rsid w:val="007E34D9"/>
    <w:rsid w:val="007E491F"/>
    <w:rsid w:val="007E503C"/>
    <w:rsid w:val="007E5E36"/>
    <w:rsid w:val="007E6B7C"/>
    <w:rsid w:val="007E757C"/>
    <w:rsid w:val="007F18C4"/>
    <w:rsid w:val="007F28DC"/>
    <w:rsid w:val="007F2F64"/>
    <w:rsid w:val="007F33D1"/>
    <w:rsid w:val="007F3422"/>
    <w:rsid w:val="007F42B6"/>
    <w:rsid w:val="007F5180"/>
    <w:rsid w:val="00802C3B"/>
    <w:rsid w:val="00803108"/>
    <w:rsid w:val="0080345C"/>
    <w:rsid w:val="00803482"/>
    <w:rsid w:val="00803D8C"/>
    <w:rsid w:val="008040BC"/>
    <w:rsid w:val="00806BEC"/>
    <w:rsid w:val="00811C26"/>
    <w:rsid w:val="00814273"/>
    <w:rsid w:val="008146F6"/>
    <w:rsid w:val="00815389"/>
    <w:rsid w:val="00815EFD"/>
    <w:rsid w:val="008165CE"/>
    <w:rsid w:val="00817FB4"/>
    <w:rsid w:val="0082066D"/>
    <w:rsid w:val="00821194"/>
    <w:rsid w:val="00823041"/>
    <w:rsid w:val="0082522F"/>
    <w:rsid w:val="00826D1D"/>
    <w:rsid w:val="00826DE4"/>
    <w:rsid w:val="008277B4"/>
    <w:rsid w:val="008303B9"/>
    <w:rsid w:val="00830E92"/>
    <w:rsid w:val="008310E5"/>
    <w:rsid w:val="00831107"/>
    <w:rsid w:val="00831361"/>
    <w:rsid w:val="008317C6"/>
    <w:rsid w:val="00831979"/>
    <w:rsid w:val="0083580E"/>
    <w:rsid w:val="00840C7D"/>
    <w:rsid w:val="00841924"/>
    <w:rsid w:val="00841C7E"/>
    <w:rsid w:val="00844DE7"/>
    <w:rsid w:val="00846C89"/>
    <w:rsid w:val="00847C52"/>
    <w:rsid w:val="00850C35"/>
    <w:rsid w:val="00850DE6"/>
    <w:rsid w:val="00851352"/>
    <w:rsid w:val="0085565F"/>
    <w:rsid w:val="00855AE9"/>
    <w:rsid w:val="00857077"/>
    <w:rsid w:val="0085739A"/>
    <w:rsid w:val="00857F71"/>
    <w:rsid w:val="0086044E"/>
    <w:rsid w:val="0086227A"/>
    <w:rsid w:val="0086288D"/>
    <w:rsid w:val="00863230"/>
    <w:rsid w:val="008636B6"/>
    <w:rsid w:val="00864880"/>
    <w:rsid w:val="00865BD0"/>
    <w:rsid w:val="008661D8"/>
    <w:rsid w:val="0086774C"/>
    <w:rsid w:val="008678ED"/>
    <w:rsid w:val="008712AB"/>
    <w:rsid w:val="008717D8"/>
    <w:rsid w:val="0087215C"/>
    <w:rsid w:val="00873F03"/>
    <w:rsid w:val="00875D25"/>
    <w:rsid w:val="008763CA"/>
    <w:rsid w:val="00877DAF"/>
    <w:rsid w:val="00880461"/>
    <w:rsid w:val="00880E35"/>
    <w:rsid w:val="008817BD"/>
    <w:rsid w:val="00881AE2"/>
    <w:rsid w:val="0088291D"/>
    <w:rsid w:val="00885141"/>
    <w:rsid w:val="00885D75"/>
    <w:rsid w:val="00886465"/>
    <w:rsid w:val="00886F36"/>
    <w:rsid w:val="008875FE"/>
    <w:rsid w:val="00887F8E"/>
    <w:rsid w:val="00890493"/>
    <w:rsid w:val="0089062D"/>
    <w:rsid w:val="00890A50"/>
    <w:rsid w:val="00891487"/>
    <w:rsid w:val="00893995"/>
    <w:rsid w:val="00895B1A"/>
    <w:rsid w:val="008961E7"/>
    <w:rsid w:val="00896234"/>
    <w:rsid w:val="00897E43"/>
    <w:rsid w:val="008A46AB"/>
    <w:rsid w:val="008A519B"/>
    <w:rsid w:val="008A53F5"/>
    <w:rsid w:val="008B0E61"/>
    <w:rsid w:val="008B3933"/>
    <w:rsid w:val="008B3DA0"/>
    <w:rsid w:val="008B3EAE"/>
    <w:rsid w:val="008B5C65"/>
    <w:rsid w:val="008B62A0"/>
    <w:rsid w:val="008B6405"/>
    <w:rsid w:val="008C0727"/>
    <w:rsid w:val="008C0B6F"/>
    <w:rsid w:val="008C222B"/>
    <w:rsid w:val="008C2B6B"/>
    <w:rsid w:val="008C4F73"/>
    <w:rsid w:val="008C5103"/>
    <w:rsid w:val="008C5738"/>
    <w:rsid w:val="008C6257"/>
    <w:rsid w:val="008C6795"/>
    <w:rsid w:val="008C6E0F"/>
    <w:rsid w:val="008C7EAD"/>
    <w:rsid w:val="008D0CFE"/>
    <w:rsid w:val="008D1247"/>
    <w:rsid w:val="008D1293"/>
    <w:rsid w:val="008D1D34"/>
    <w:rsid w:val="008D27DA"/>
    <w:rsid w:val="008D3245"/>
    <w:rsid w:val="008D343C"/>
    <w:rsid w:val="008D3F66"/>
    <w:rsid w:val="008D6152"/>
    <w:rsid w:val="008D6BF9"/>
    <w:rsid w:val="008D7822"/>
    <w:rsid w:val="008E1E89"/>
    <w:rsid w:val="008E2ED9"/>
    <w:rsid w:val="008E3162"/>
    <w:rsid w:val="008E423A"/>
    <w:rsid w:val="008E6A73"/>
    <w:rsid w:val="008E6DD1"/>
    <w:rsid w:val="008E7BA9"/>
    <w:rsid w:val="008F026A"/>
    <w:rsid w:val="008F0F81"/>
    <w:rsid w:val="008F1A30"/>
    <w:rsid w:val="008F1BDA"/>
    <w:rsid w:val="008F1E40"/>
    <w:rsid w:val="008F27BF"/>
    <w:rsid w:val="008F2B42"/>
    <w:rsid w:val="008F2E64"/>
    <w:rsid w:val="008F5D43"/>
    <w:rsid w:val="008F7AF3"/>
    <w:rsid w:val="0090204A"/>
    <w:rsid w:val="00905031"/>
    <w:rsid w:val="0090547D"/>
    <w:rsid w:val="0090558F"/>
    <w:rsid w:val="00906C79"/>
    <w:rsid w:val="00907643"/>
    <w:rsid w:val="009078BA"/>
    <w:rsid w:val="00910274"/>
    <w:rsid w:val="0091049C"/>
    <w:rsid w:val="00911CA6"/>
    <w:rsid w:val="00913E84"/>
    <w:rsid w:val="009142EC"/>
    <w:rsid w:val="009145E4"/>
    <w:rsid w:val="009146FB"/>
    <w:rsid w:val="009154C3"/>
    <w:rsid w:val="00915986"/>
    <w:rsid w:val="0091642F"/>
    <w:rsid w:val="00922C9C"/>
    <w:rsid w:val="00923540"/>
    <w:rsid w:val="00923685"/>
    <w:rsid w:val="00923DEB"/>
    <w:rsid w:val="00924DD5"/>
    <w:rsid w:val="00925C80"/>
    <w:rsid w:val="00925E38"/>
    <w:rsid w:val="00925E42"/>
    <w:rsid w:val="00926767"/>
    <w:rsid w:val="00926998"/>
    <w:rsid w:val="009279EB"/>
    <w:rsid w:val="00930E10"/>
    <w:rsid w:val="009324BD"/>
    <w:rsid w:val="00932DF3"/>
    <w:rsid w:val="009330B0"/>
    <w:rsid w:val="00933A24"/>
    <w:rsid w:val="00935FA7"/>
    <w:rsid w:val="009361D5"/>
    <w:rsid w:val="009403FF"/>
    <w:rsid w:val="00941172"/>
    <w:rsid w:val="009428A4"/>
    <w:rsid w:val="00942FCC"/>
    <w:rsid w:val="00943183"/>
    <w:rsid w:val="00943933"/>
    <w:rsid w:val="00945C2B"/>
    <w:rsid w:val="00950415"/>
    <w:rsid w:val="00950ABB"/>
    <w:rsid w:val="009538D7"/>
    <w:rsid w:val="0096093E"/>
    <w:rsid w:val="00961EB2"/>
    <w:rsid w:val="0096257B"/>
    <w:rsid w:val="00964ABD"/>
    <w:rsid w:val="00964D08"/>
    <w:rsid w:val="009659F4"/>
    <w:rsid w:val="00966057"/>
    <w:rsid w:val="0097004C"/>
    <w:rsid w:val="00970D60"/>
    <w:rsid w:val="00971458"/>
    <w:rsid w:val="00973F02"/>
    <w:rsid w:val="00974E37"/>
    <w:rsid w:val="00975DB6"/>
    <w:rsid w:val="0097606A"/>
    <w:rsid w:val="00976ACB"/>
    <w:rsid w:val="00977229"/>
    <w:rsid w:val="009800F6"/>
    <w:rsid w:val="0098051B"/>
    <w:rsid w:val="00980CF9"/>
    <w:rsid w:val="00981B58"/>
    <w:rsid w:val="00983F1F"/>
    <w:rsid w:val="00986C0D"/>
    <w:rsid w:val="00987D65"/>
    <w:rsid w:val="009923A0"/>
    <w:rsid w:val="0099272D"/>
    <w:rsid w:val="0099317D"/>
    <w:rsid w:val="0099390E"/>
    <w:rsid w:val="009960E5"/>
    <w:rsid w:val="009962C8"/>
    <w:rsid w:val="009A046B"/>
    <w:rsid w:val="009A4199"/>
    <w:rsid w:val="009A44AA"/>
    <w:rsid w:val="009A459D"/>
    <w:rsid w:val="009A543A"/>
    <w:rsid w:val="009A5760"/>
    <w:rsid w:val="009A62A9"/>
    <w:rsid w:val="009A7ADC"/>
    <w:rsid w:val="009B007F"/>
    <w:rsid w:val="009B098C"/>
    <w:rsid w:val="009B0D30"/>
    <w:rsid w:val="009B452C"/>
    <w:rsid w:val="009B464A"/>
    <w:rsid w:val="009B5A64"/>
    <w:rsid w:val="009B6018"/>
    <w:rsid w:val="009B63EA"/>
    <w:rsid w:val="009C12C1"/>
    <w:rsid w:val="009C19B7"/>
    <w:rsid w:val="009C24F7"/>
    <w:rsid w:val="009C2962"/>
    <w:rsid w:val="009C309C"/>
    <w:rsid w:val="009C33DD"/>
    <w:rsid w:val="009C3B14"/>
    <w:rsid w:val="009C408A"/>
    <w:rsid w:val="009C5ABB"/>
    <w:rsid w:val="009D144D"/>
    <w:rsid w:val="009D208E"/>
    <w:rsid w:val="009D34F7"/>
    <w:rsid w:val="009D3FD1"/>
    <w:rsid w:val="009D4BD5"/>
    <w:rsid w:val="009D66DB"/>
    <w:rsid w:val="009D7C51"/>
    <w:rsid w:val="009E0A15"/>
    <w:rsid w:val="009E196C"/>
    <w:rsid w:val="009E2551"/>
    <w:rsid w:val="009E5261"/>
    <w:rsid w:val="009E64F9"/>
    <w:rsid w:val="009E6A0A"/>
    <w:rsid w:val="009F25B2"/>
    <w:rsid w:val="009F36BF"/>
    <w:rsid w:val="009F4398"/>
    <w:rsid w:val="009F4C46"/>
    <w:rsid w:val="009F511B"/>
    <w:rsid w:val="009F54B9"/>
    <w:rsid w:val="009F6AC3"/>
    <w:rsid w:val="009F7005"/>
    <w:rsid w:val="009F7C80"/>
    <w:rsid w:val="00A00B25"/>
    <w:rsid w:val="00A01C3B"/>
    <w:rsid w:val="00A02612"/>
    <w:rsid w:val="00A027EA"/>
    <w:rsid w:val="00A029B3"/>
    <w:rsid w:val="00A06F30"/>
    <w:rsid w:val="00A07F79"/>
    <w:rsid w:val="00A10471"/>
    <w:rsid w:val="00A111B6"/>
    <w:rsid w:val="00A12E4B"/>
    <w:rsid w:val="00A13C0B"/>
    <w:rsid w:val="00A148F6"/>
    <w:rsid w:val="00A155E9"/>
    <w:rsid w:val="00A15BCC"/>
    <w:rsid w:val="00A16140"/>
    <w:rsid w:val="00A16DF3"/>
    <w:rsid w:val="00A17997"/>
    <w:rsid w:val="00A17DC5"/>
    <w:rsid w:val="00A20F0C"/>
    <w:rsid w:val="00A22A54"/>
    <w:rsid w:val="00A258F8"/>
    <w:rsid w:val="00A2683D"/>
    <w:rsid w:val="00A26D27"/>
    <w:rsid w:val="00A278A9"/>
    <w:rsid w:val="00A31812"/>
    <w:rsid w:val="00A32B22"/>
    <w:rsid w:val="00A352FA"/>
    <w:rsid w:val="00A376EE"/>
    <w:rsid w:val="00A37B2F"/>
    <w:rsid w:val="00A37F38"/>
    <w:rsid w:val="00A41DE2"/>
    <w:rsid w:val="00A426C5"/>
    <w:rsid w:val="00A4294C"/>
    <w:rsid w:val="00A42A99"/>
    <w:rsid w:val="00A43F5C"/>
    <w:rsid w:val="00A44D76"/>
    <w:rsid w:val="00A4585F"/>
    <w:rsid w:val="00A4679A"/>
    <w:rsid w:val="00A468AD"/>
    <w:rsid w:val="00A5151A"/>
    <w:rsid w:val="00A537DF"/>
    <w:rsid w:val="00A55B65"/>
    <w:rsid w:val="00A56F47"/>
    <w:rsid w:val="00A57E0A"/>
    <w:rsid w:val="00A614B0"/>
    <w:rsid w:val="00A6241C"/>
    <w:rsid w:val="00A6247C"/>
    <w:rsid w:val="00A635A5"/>
    <w:rsid w:val="00A642AD"/>
    <w:rsid w:val="00A64BE3"/>
    <w:rsid w:val="00A64D3D"/>
    <w:rsid w:val="00A663CC"/>
    <w:rsid w:val="00A66412"/>
    <w:rsid w:val="00A666A6"/>
    <w:rsid w:val="00A72984"/>
    <w:rsid w:val="00A73510"/>
    <w:rsid w:val="00A73792"/>
    <w:rsid w:val="00A737B2"/>
    <w:rsid w:val="00A73B2F"/>
    <w:rsid w:val="00A73F65"/>
    <w:rsid w:val="00A756E5"/>
    <w:rsid w:val="00A76768"/>
    <w:rsid w:val="00A7731D"/>
    <w:rsid w:val="00A77919"/>
    <w:rsid w:val="00A81F34"/>
    <w:rsid w:val="00A823F6"/>
    <w:rsid w:val="00A831AF"/>
    <w:rsid w:val="00A86046"/>
    <w:rsid w:val="00A8719E"/>
    <w:rsid w:val="00A87632"/>
    <w:rsid w:val="00A91683"/>
    <w:rsid w:val="00A9293A"/>
    <w:rsid w:val="00A932BF"/>
    <w:rsid w:val="00A94436"/>
    <w:rsid w:val="00A95052"/>
    <w:rsid w:val="00A96672"/>
    <w:rsid w:val="00AA056B"/>
    <w:rsid w:val="00AA0A89"/>
    <w:rsid w:val="00AA1957"/>
    <w:rsid w:val="00AA1BD4"/>
    <w:rsid w:val="00AA272E"/>
    <w:rsid w:val="00AA2794"/>
    <w:rsid w:val="00AA2B26"/>
    <w:rsid w:val="00AA48C3"/>
    <w:rsid w:val="00AA5368"/>
    <w:rsid w:val="00AA6429"/>
    <w:rsid w:val="00AA66E2"/>
    <w:rsid w:val="00AA7555"/>
    <w:rsid w:val="00AA77DA"/>
    <w:rsid w:val="00AA7E5D"/>
    <w:rsid w:val="00AB0329"/>
    <w:rsid w:val="00AB0331"/>
    <w:rsid w:val="00AB06ED"/>
    <w:rsid w:val="00AB4599"/>
    <w:rsid w:val="00AB4A88"/>
    <w:rsid w:val="00AC0055"/>
    <w:rsid w:val="00AC01AA"/>
    <w:rsid w:val="00AC0820"/>
    <w:rsid w:val="00AC2904"/>
    <w:rsid w:val="00AC2AD2"/>
    <w:rsid w:val="00AC4A16"/>
    <w:rsid w:val="00AC4F72"/>
    <w:rsid w:val="00AC5041"/>
    <w:rsid w:val="00AC56CE"/>
    <w:rsid w:val="00AC5855"/>
    <w:rsid w:val="00AC5E11"/>
    <w:rsid w:val="00AC7A13"/>
    <w:rsid w:val="00AC7B13"/>
    <w:rsid w:val="00AD1081"/>
    <w:rsid w:val="00AD174F"/>
    <w:rsid w:val="00AD254C"/>
    <w:rsid w:val="00AD42A3"/>
    <w:rsid w:val="00AD4D1B"/>
    <w:rsid w:val="00AD5355"/>
    <w:rsid w:val="00AD708C"/>
    <w:rsid w:val="00AE160E"/>
    <w:rsid w:val="00AE18DB"/>
    <w:rsid w:val="00AE2E36"/>
    <w:rsid w:val="00AE46B0"/>
    <w:rsid w:val="00AE482E"/>
    <w:rsid w:val="00AE4EB4"/>
    <w:rsid w:val="00AE6448"/>
    <w:rsid w:val="00AF0205"/>
    <w:rsid w:val="00AF1F13"/>
    <w:rsid w:val="00AF264A"/>
    <w:rsid w:val="00AF700E"/>
    <w:rsid w:val="00AF741A"/>
    <w:rsid w:val="00B003F6"/>
    <w:rsid w:val="00B01977"/>
    <w:rsid w:val="00B01ADB"/>
    <w:rsid w:val="00B0201B"/>
    <w:rsid w:val="00B0260D"/>
    <w:rsid w:val="00B02D78"/>
    <w:rsid w:val="00B04161"/>
    <w:rsid w:val="00B056F9"/>
    <w:rsid w:val="00B07904"/>
    <w:rsid w:val="00B105AE"/>
    <w:rsid w:val="00B1094C"/>
    <w:rsid w:val="00B11E3D"/>
    <w:rsid w:val="00B12139"/>
    <w:rsid w:val="00B125DE"/>
    <w:rsid w:val="00B12B2F"/>
    <w:rsid w:val="00B13EC5"/>
    <w:rsid w:val="00B14406"/>
    <w:rsid w:val="00B14D2C"/>
    <w:rsid w:val="00B15C4C"/>
    <w:rsid w:val="00B16200"/>
    <w:rsid w:val="00B16230"/>
    <w:rsid w:val="00B17D5B"/>
    <w:rsid w:val="00B17E82"/>
    <w:rsid w:val="00B2012D"/>
    <w:rsid w:val="00B20696"/>
    <w:rsid w:val="00B2183D"/>
    <w:rsid w:val="00B22176"/>
    <w:rsid w:val="00B22E04"/>
    <w:rsid w:val="00B23038"/>
    <w:rsid w:val="00B23507"/>
    <w:rsid w:val="00B2366F"/>
    <w:rsid w:val="00B2664E"/>
    <w:rsid w:val="00B277BF"/>
    <w:rsid w:val="00B31593"/>
    <w:rsid w:val="00B33437"/>
    <w:rsid w:val="00B35CAC"/>
    <w:rsid w:val="00B36292"/>
    <w:rsid w:val="00B37111"/>
    <w:rsid w:val="00B37575"/>
    <w:rsid w:val="00B375EC"/>
    <w:rsid w:val="00B40D06"/>
    <w:rsid w:val="00B40E5D"/>
    <w:rsid w:val="00B427B8"/>
    <w:rsid w:val="00B43603"/>
    <w:rsid w:val="00B4575A"/>
    <w:rsid w:val="00B46EF3"/>
    <w:rsid w:val="00B51216"/>
    <w:rsid w:val="00B528D1"/>
    <w:rsid w:val="00B52C4D"/>
    <w:rsid w:val="00B53342"/>
    <w:rsid w:val="00B575BA"/>
    <w:rsid w:val="00B575C5"/>
    <w:rsid w:val="00B60804"/>
    <w:rsid w:val="00B60D9E"/>
    <w:rsid w:val="00B615B4"/>
    <w:rsid w:val="00B61B94"/>
    <w:rsid w:val="00B62309"/>
    <w:rsid w:val="00B628FA"/>
    <w:rsid w:val="00B63D91"/>
    <w:rsid w:val="00B66B91"/>
    <w:rsid w:val="00B6752B"/>
    <w:rsid w:val="00B7048A"/>
    <w:rsid w:val="00B70899"/>
    <w:rsid w:val="00B71564"/>
    <w:rsid w:val="00B71608"/>
    <w:rsid w:val="00B7186F"/>
    <w:rsid w:val="00B7254A"/>
    <w:rsid w:val="00B741F7"/>
    <w:rsid w:val="00B76429"/>
    <w:rsid w:val="00B77203"/>
    <w:rsid w:val="00B77F5B"/>
    <w:rsid w:val="00B77FD7"/>
    <w:rsid w:val="00B8071A"/>
    <w:rsid w:val="00B80C9E"/>
    <w:rsid w:val="00B80E0D"/>
    <w:rsid w:val="00B8179A"/>
    <w:rsid w:val="00B8284E"/>
    <w:rsid w:val="00B84063"/>
    <w:rsid w:val="00B84298"/>
    <w:rsid w:val="00B84DA2"/>
    <w:rsid w:val="00B85CD7"/>
    <w:rsid w:val="00B86471"/>
    <w:rsid w:val="00B8719D"/>
    <w:rsid w:val="00B87454"/>
    <w:rsid w:val="00B87822"/>
    <w:rsid w:val="00B9028F"/>
    <w:rsid w:val="00B90E53"/>
    <w:rsid w:val="00B91066"/>
    <w:rsid w:val="00B919DD"/>
    <w:rsid w:val="00B92532"/>
    <w:rsid w:val="00B94D5E"/>
    <w:rsid w:val="00B956D4"/>
    <w:rsid w:val="00B97446"/>
    <w:rsid w:val="00BA1B56"/>
    <w:rsid w:val="00BA333A"/>
    <w:rsid w:val="00BA52E1"/>
    <w:rsid w:val="00BA6612"/>
    <w:rsid w:val="00BA6E43"/>
    <w:rsid w:val="00BA7152"/>
    <w:rsid w:val="00BA7432"/>
    <w:rsid w:val="00BA7E32"/>
    <w:rsid w:val="00BB25A6"/>
    <w:rsid w:val="00BB2764"/>
    <w:rsid w:val="00BB3DDF"/>
    <w:rsid w:val="00BB6596"/>
    <w:rsid w:val="00BC0A34"/>
    <w:rsid w:val="00BC1AA0"/>
    <w:rsid w:val="00BC1CA9"/>
    <w:rsid w:val="00BC2495"/>
    <w:rsid w:val="00BC314A"/>
    <w:rsid w:val="00BC32B0"/>
    <w:rsid w:val="00BC37B6"/>
    <w:rsid w:val="00BC412C"/>
    <w:rsid w:val="00BC5FBA"/>
    <w:rsid w:val="00BC605E"/>
    <w:rsid w:val="00BC7106"/>
    <w:rsid w:val="00BC77E7"/>
    <w:rsid w:val="00BC7EB9"/>
    <w:rsid w:val="00BD007A"/>
    <w:rsid w:val="00BD0AC3"/>
    <w:rsid w:val="00BD2643"/>
    <w:rsid w:val="00BD2DDD"/>
    <w:rsid w:val="00BD37AE"/>
    <w:rsid w:val="00BD450E"/>
    <w:rsid w:val="00BD56B1"/>
    <w:rsid w:val="00BD6558"/>
    <w:rsid w:val="00BD6B6A"/>
    <w:rsid w:val="00BD7D10"/>
    <w:rsid w:val="00BE0783"/>
    <w:rsid w:val="00BE0917"/>
    <w:rsid w:val="00BE0A61"/>
    <w:rsid w:val="00BE150A"/>
    <w:rsid w:val="00BE22FF"/>
    <w:rsid w:val="00BF13A2"/>
    <w:rsid w:val="00BF170C"/>
    <w:rsid w:val="00BF2AD7"/>
    <w:rsid w:val="00BF2F76"/>
    <w:rsid w:val="00BF3022"/>
    <w:rsid w:val="00BF3214"/>
    <w:rsid w:val="00BF4932"/>
    <w:rsid w:val="00BF5573"/>
    <w:rsid w:val="00BF62D8"/>
    <w:rsid w:val="00BF6520"/>
    <w:rsid w:val="00BF7D81"/>
    <w:rsid w:val="00C0015C"/>
    <w:rsid w:val="00C00E08"/>
    <w:rsid w:val="00C028BC"/>
    <w:rsid w:val="00C02EE2"/>
    <w:rsid w:val="00C037FC"/>
    <w:rsid w:val="00C06271"/>
    <w:rsid w:val="00C06752"/>
    <w:rsid w:val="00C109DD"/>
    <w:rsid w:val="00C13934"/>
    <w:rsid w:val="00C13C45"/>
    <w:rsid w:val="00C147BC"/>
    <w:rsid w:val="00C14ED9"/>
    <w:rsid w:val="00C1500E"/>
    <w:rsid w:val="00C150E8"/>
    <w:rsid w:val="00C15867"/>
    <w:rsid w:val="00C17FDE"/>
    <w:rsid w:val="00C21D13"/>
    <w:rsid w:val="00C22398"/>
    <w:rsid w:val="00C2296D"/>
    <w:rsid w:val="00C22DB6"/>
    <w:rsid w:val="00C23155"/>
    <w:rsid w:val="00C30AB0"/>
    <w:rsid w:val="00C33719"/>
    <w:rsid w:val="00C3387E"/>
    <w:rsid w:val="00C34301"/>
    <w:rsid w:val="00C3515A"/>
    <w:rsid w:val="00C35A29"/>
    <w:rsid w:val="00C3660D"/>
    <w:rsid w:val="00C3672F"/>
    <w:rsid w:val="00C40771"/>
    <w:rsid w:val="00C40C41"/>
    <w:rsid w:val="00C40EFE"/>
    <w:rsid w:val="00C4163A"/>
    <w:rsid w:val="00C4278C"/>
    <w:rsid w:val="00C45315"/>
    <w:rsid w:val="00C45885"/>
    <w:rsid w:val="00C50F22"/>
    <w:rsid w:val="00C50FBB"/>
    <w:rsid w:val="00C513FA"/>
    <w:rsid w:val="00C51965"/>
    <w:rsid w:val="00C55DDD"/>
    <w:rsid w:val="00C560A5"/>
    <w:rsid w:val="00C5676A"/>
    <w:rsid w:val="00C57971"/>
    <w:rsid w:val="00C620D3"/>
    <w:rsid w:val="00C628E5"/>
    <w:rsid w:val="00C62CB8"/>
    <w:rsid w:val="00C62D16"/>
    <w:rsid w:val="00C62E7F"/>
    <w:rsid w:val="00C62F2F"/>
    <w:rsid w:val="00C64260"/>
    <w:rsid w:val="00C65194"/>
    <w:rsid w:val="00C65BD7"/>
    <w:rsid w:val="00C66ADC"/>
    <w:rsid w:val="00C70628"/>
    <w:rsid w:val="00C70F77"/>
    <w:rsid w:val="00C72335"/>
    <w:rsid w:val="00C73683"/>
    <w:rsid w:val="00C7498E"/>
    <w:rsid w:val="00C75488"/>
    <w:rsid w:val="00C75AB7"/>
    <w:rsid w:val="00C75CC3"/>
    <w:rsid w:val="00C75DA2"/>
    <w:rsid w:val="00C76BA4"/>
    <w:rsid w:val="00C76E02"/>
    <w:rsid w:val="00C77568"/>
    <w:rsid w:val="00C77C52"/>
    <w:rsid w:val="00C81521"/>
    <w:rsid w:val="00C815AA"/>
    <w:rsid w:val="00C81609"/>
    <w:rsid w:val="00C81C1E"/>
    <w:rsid w:val="00C81EAB"/>
    <w:rsid w:val="00C82249"/>
    <w:rsid w:val="00C83A48"/>
    <w:rsid w:val="00C842F7"/>
    <w:rsid w:val="00C85865"/>
    <w:rsid w:val="00C85E85"/>
    <w:rsid w:val="00C8708C"/>
    <w:rsid w:val="00C92629"/>
    <w:rsid w:val="00C95D79"/>
    <w:rsid w:val="00C96567"/>
    <w:rsid w:val="00C96834"/>
    <w:rsid w:val="00C96C65"/>
    <w:rsid w:val="00CA13FD"/>
    <w:rsid w:val="00CA2EAE"/>
    <w:rsid w:val="00CA4AC1"/>
    <w:rsid w:val="00CA4F90"/>
    <w:rsid w:val="00CA59FB"/>
    <w:rsid w:val="00CA610F"/>
    <w:rsid w:val="00CA64A2"/>
    <w:rsid w:val="00CB0316"/>
    <w:rsid w:val="00CB0B11"/>
    <w:rsid w:val="00CB0D49"/>
    <w:rsid w:val="00CB1A9C"/>
    <w:rsid w:val="00CB1DBA"/>
    <w:rsid w:val="00CB3BAD"/>
    <w:rsid w:val="00CB426A"/>
    <w:rsid w:val="00CB5354"/>
    <w:rsid w:val="00CB5ECE"/>
    <w:rsid w:val="00CB6F07"/>
    <w:rsid w:val="00CB7D89"/>
    <w:rsid w:val="00CC02C8"/>
    <w:rsid w:val="00CC3C9E"/>
    <w:rsid w:val="00CC3EC2"/>
    <w:rsid w:val="00CC5A07"/>
    <w:rsid w:val="00CC66EC"/>
    <w:rsid w:val="00CC6A14"/>
    <w:rsid w:val="00CC6F0D"/>
    <w:rsid w:val="00CC70A3"/>
    <w:rsid w:val="00CD07E1"/>
    <w:rsid w:val="00CD0A68"/>
    <w:rsid w:val="00CD2494"/>
    <w:rsid w:val="00CD30B4"/>
    <w:rsid w:val="00CD4442"/>
    <w:rsid w:val="00CD47F6"/>
    <w:rsid w:val="00CD53C3"/>
    <w:rsid w:val="00CD574E"/>
    <w:rsid w:val="00CD6E36"/>
    <w:rsid w:val="00CE12BA"/>
    <w:rsid w:val="00CE24F0"/>
    <w:rsid w:val="00CE4434"/>
    <w:rsid w:val="00CE4C22"/>
    <w:rsid w:val="00CE58CC"/>
    <w:rsid w:val="00CE6D0F"/>
    <w:rsid w:val="00CE76E5"/>
    <w:rsid w:val="00CE7CB2"/>
    <w:rsid w:val="00CF037D"/>
    <w:rsid w:val="00CF105F"/>
    <w:rsid w:val="00CF2013"/>
    <w:rsid w:val="00CF27B3"/>
    <w:rsid w:val="00CF3E8B"/>
    <w:rsid w:val="00CF41EC"/>
    <w:rsid w:val="00CF5D04"/>
    <w:rsid w:val="00CF5EDF"/>
    <w:rsid w:val="00CF5F17"/>
    <w:rsid w:val="00CF70DD"/>
    <w:rsid w:val="00CF7178"/>
    <w:rsid w:val="00CF7BE8"/>
    <w:rsid w:val="00D01CCF"/>
    <w:rsid w:val="00D04DE4"/>
    <w:rsid w:val="00D063F1"/>
    <w:rsid w:val="00D06779"/>
    <w:rsid w:val="00D1124F"/>
    <w:rsid w:val="00D11F3E"/>
    <w:rsid w:val="00D125A7"/>
    <w:rsid w:val="00D12E96"/>
    <w:rsid w:val="00D14F22"/>
    <w:rsid w:val="00D15621"/>
    <w:rsid w:val="00D16099"/>
    <w:rsid w:val="00D17744"/>
    <w:rsid w:val="00D17AE3"/>
    <w:rsid w:val="00D21D49"/>
    <w:rsid w:val="00D224F9"/>
    <w:rsid w:val="00D2277C"/>
    <w:rsid w:val="00D23504"/>
    <w:rsid w:val="00D320FB"/>
    <w:rsid w:val="00D32CAF"/>
    <w:rsid w:val="00D32DA9"/>
    <w:rsid w:val="00D33B9D"/>
    <w:rsid w:val="00D3518B"/>
    <w:rsid w:val="00D36CEE"/>
    <w:rsid w:val="00D37391"/>
    <w:rsid w:val="00D37E92"/>
    <w:rsid w:val="00D37ECC"/>
    <w:rsid w:val="00D40472"/>
    <w:rsid w:val="00D40F3E"/>
    <w:rsid w:val="00D410D9"/>
    <w:rsid w:val="00D41CD7"/>
    <w:rsid w:val="00D42B6A"/>
    <w:rsid w:val="00D4436F"/>
    <w:rsid w:val="00D45E36"/>
    <w:rsid w:val="00D46756"/>
    <w:rsid w:val="00D4687E"/>
    <w:rsid w:val="00D4741C"/>
    <w:rsid w:val="00D47754"/>
    <w:rsid w:val="00D50B6F"/>
    <w:rsid w:val="00D512D6"/>
    <w:rsid w:val="00D51B92"/>
    <w:rsid w:val="00D5226E"/>
    <w:rsid w:val="00D52EB6"/>
    <w:rsid w:val="00D54E98"/>
    <w:rsid w:val="00D5505E"/>
    <w:rsid w:val="00D55EAA"/>
    <w:rsid w:val="00D57884"/>
    <w:rsid w:val="00D57918"/>
    <w:rsid w:val="00D57F47"/>
    <w:rsid w:val="00D60691"/>
    <w:rsid w:val="00D61C43"/>
    <w:rsid w:val="00D62065"/>
    <w:rsid w:val="00D627B2"/>
    <w:rsid w:val="00D64EF9"/>
    <w:rsid w:val="00D72A8C"/>
    <w:rsid w:val="00D72F16"/>
    <w:rsid w:val="00D73A6F"/>
    <w:rsid w:val="00D73DC6"/>
    <w:rsid w:val="00D744DF"/>
    <w:rsid w:val="00D74C1A"/>
    <w:rsid w:val="00D754C1"/>
    <w:rsid w:val="00D7689C"/>
    <w:rsid w:val="00D7730C"/>
    <w:rsid w:val="00D77393"/>
    <w:rsid w:val="00D77A35"/>
    <w:rsid w:val="00D77DA8"/>
    <w:rsid w:val="00D804E4"/>
    <w:rsid w:val="00D81B3E"/>
    <w:rsid w:val="00D84535"/>
    <w:rsid w:val="00D87894"/>
    <w:rsid w:val="00D90C70"/>
    <w:rsid w:val="00D90E49"/>
    <w:rsid w:val="00D92285"/>
    <w:rsid w:val="00D92633"/>
    <w:rsid w:val="00D9301B"/>
    <w:rsid w:val="00D941B5"/>
    <w:rsid w:val="00D96ADE"/>
    <w:rsid w:val="00D97400"/>
    <w:rsid w:val="00DA0778"/>
    <w:rsid w:val="00DA0CE2"/>
    <w:rsid w:val="00DA186F"/>
    <w:rsid w:val="00DA2387"/>
    <w:rsid w:val="00DA318E"/>
    <w:rsid w:val="00DA34ED"/>
    <w:rsid w:val="00DA380D"/>
    <w:rsid w:val="00DA4027"/>
    <w:rsid w:val="00DA461C"/>
    <w:rsid w:val="00DA46BC"/>
    <w:rsid w:val="00DA668C"/>
    <w:rsid w:val="00DA6EC4"/>
    <w:rsid w:val="00DB127E"/>
    <w:rsid w:val="00DB2256"/>
    <w:rsid w:val="00DB2818"/>
    <w:rsid w:val="00DB34C5"/>
    <w:rsid w:val="00DB351C"/>
    <w:rsid w:val="00DB5616"/>
    <w:rsid w:val="00DB6972"/>
    <w:rsid w:val="00DB779E"/>
    <w:rsid w:val="00DC0484"/>
    <w:rsid w:val="00DC0A34"/>
    <w:rsid w:val="00DC121F"/>
    <w:rsid w:val="00DC2691"/>
    <w:rsid w:val="00DC36FA"/>
    <w:rsid w:val="00DC4E74"/>
    <w:rsid w:val="00DC5378"/>
    <w:rsid w:val="00DC6528"/>
    <w:rsid w:val="00DC6A10"/>
    <w:rsid w:val="00DC7AD0"/>
    <w:rsid w:val="00DC7EAB"/>
    <w:rsid w:val="00DD0531"/>
    <w:rsid w:val="00DD0AD2"/>
    <w:rsid w:val="00DD31F3"/>
    <w:rsid w:val="00DD39C0"/>
    <w:rsid w:val="00DD5DA1"/>
    <w:rsid w:val="00DD6AFA"/>
    <w:rsid w:val="00DE0AE9"/>
    <w:rsid w:val="00DE155A"/>
    <w:rsid w:val="00DE2BF2"/>
    <w:rsid w:val="00DE5371"/>
    <w:rsid w:val="00DE657E"/>
    <w:rsid w:val="00DE6D6F"/>
    <w:rsid w:val="00DE7D46"/>
    <w:rsid w:val="00DE7D8B"/>
    <w:rsid w:val="00DE7F46"/>
    <w:rsid w:val="00DF029A"/>
    <w:rsid w:val="00DF18B4"/>
    <w:rsid w:val="00DF4704"/>
    <w:rsid w:val="00DF6751"/>
    <w:rsid w:val="00DF69F9"/>
    <w:rsid w:val="00DF6BB4"/>
    <w:rsid w:val="00E00A8A"/>
    <w:rsid w:val="00E020AB"/>
    <w:rsid w:val="00E024AA"/>
    <w:rsid w:val="00E025D1"/>
    <w:rsid w:val="00E03385"/>
    <w:rsid w:val="00E0557D"/>
    <w:rsid w:val="00E0596F"/>
    <w:rsid w:val="00E10780"/>
    <w:rsid w:val="00E10974"/>
    <w:rsid w:val="00E11DF0"/>
    <w:rsid w:val="00E15464"/>
    <w:rsid w:val="00E157DE"/>
    <w:rsid w:val="00E15B43"/>
    <w:rsid w:val="00E15C77"/>
    <w:rsid w:val="00E15F59"/>
    <w:rsid w:val="00E16F52"/>
    <w:rsid w:val="00E215B8"/>
    <w:rsid w:val="00E2224D"/>
    <w:rsid w:val="00E23203"/>
    <w:rsid w:val="00E24093"/>
    <w:rsid w:val="00E250D4"/>
    <w:rsid w:val="00E250F1"/>
    <w:rsid w:val="00E268AC"/>
    <w:rsid w:val="00E3213C"/>
    <w:rsid w:val="00E32AB2"/>
    <w:rsid w:val="00E3366B"/>
    <w:rsid w:val="00E3550D"/>
    <w:rsid w:val="00E35816"/>
    <w:rsid w:val="00E3757E"/>
    <w:rsid w:val="00E37C44"/>
    <w:rsid w:val="00E402DE"/>
    <w:rsid w:val="00E42F3F"/>
    <w:rsid w:val="00E45991"/>
    <w:rsid w:val="00E47539"/>
    <w:rsid w:val="00E47E5D"/>
    <w:rsid w:val="00E50D35"/>
    <w:rsid w:val="00E51F59"/>
    <w:rsid w:val="00E52838"/>
    <w:rsid w:val="00E53046"/>
    <w:rsid w:val="00E53793"/>
    <w:rsid w:val="00E54929"/>
    <w:rsid w:val="00E5567F"/>
    <w:rsid w:val="00E605D5"/>
    <w:rsid w:val="00E6124A"/>
    <w:rsid w:val="00E614E0"/>
    <w:rsid w:val="00E61DBE"/>
    <w:rsid w:val="00E61FA1"/>
    <w:rsid w:val="00E62FF2"/>
    <w:rsid w:val="00E645BB"/>
    <w:rsid w:val="00E65239"/>
    <w:rsid w:val="00E654C0"/>
    <w:rsid w:val="00E6574E"/>
    <w:rsid w:val="00E6657E"/>
    <w:rsid w:val="00E6748C"/>
    <w:rsid w:val="00E67788"/>
    <w:rsid w:val="00E708F4"/>
    <w:rsid w:val="00E715F0"/>
    <w:rsid w:val="00E7199C"/>
    <w:rsid w:val="00E72241"/>
    <w:rsid w:val="00E72835"/>
    <w:rsid w:val="00E73574"/>
    <w:rsid w:val="00E73F7F"/>
    <w:rsid w:val="00E74BB4"/>
    <w:rsid w:val="00E753E8"/>
    <w:rsid w:val="00E755C6"/>
    <w:rsid w:val="00E75F5D"/>
    <w:rsid w:val="00E76CB3"/>
    <w:rsid w:val="00E77BFC"/>
    <w:rsid w:val="00E80045"/>
    <w:rsid w:val="00E83827"/>
    <w:rsid w:val="00E848A2"/>
    <w:rsid w:val="00E84F01"/>
    <w:rsid w:val="00E8519F"/>
    <w:rsid w:val="00E85409"/>
    <w:rsid w:val="00E85447"/>
    <w:rsid w:val="00E864D3"/>
    <w:rsid w:val="00E86A33"/>
    <w:rsid w:val="00E90DDE"/>
    <w:rsid w:val="00E919F8"/>
    <w:rsid w:val="00E94C18"/>
    <w:rsid w:val="00E94F6A"/>
    <w:rsid w:val="00E952D9"/>
    <w:rsid w:val="00E96A67"/>
    <w:rsid w:val="00E97422"/>
    <w:rsid w:val="00E9747E"/>
    <w:rsid w:val="00E97D2D"/>
    <w:rsid w:val="00EA0C5F"/>
    <w:rsid w:val="00EA10FB"/>
    <w:rsid w:val="00EA429F"/>
    <w:rsid w:val="00EA45FF"/>
    <w:rsid w:val="00EA4F9E"/>
    <w:rsid w:val="00EA5C7D"/>
    <w:rsid w:val="00EA63CA"/>
    <w:rsid w:val="00EA6D3B"/>
    <w:rsid w:val="00EA6F37"/>
    <w:rsid w:val="00EA768C"/>
    <w:rsid w:val="00EA782F"/>
    <w:rsid w:val="00EB00AD"/>
    <w:rsid w:val="00EB0A71"/>
    <w:rsid w:val="00EB1091"/>
    <w:rsid w:val="00EB136C"/>
    <w:rsid w:val="00EB3AA8"/>
    <w:rsid w:val="00EB40FD"/>
    <w:rsid w:val="00EB4583"/>
    <w:rsid w:val="00EB480E"/>
    <w:rsid w:val="00EB51B8"/>
    <w:rsid w:val="00EB5775"/>
    <w:rsid w:val="00EB5EC6"/>
    <w:rsid w:val="00EB72C4"/>
    <w:rsid w:val="00EB7C5B"/>
    <w:rsid w:val="00EB7FC9"/>
    <w:rsid w:val="00EC03D5"/>
    <w:rsid w:val="00EC0D17"/>
    <w:rsid w:val="00EC1551"/>
    <w:rsid w:val="00EC164A"/>
    <w:rsid w:val="00EC1BDE"/>
    <w:rsid w:val="00EC3802"/>
    <w:rsid w:val="00EC5AA7"/>
    <w:rsid w:val="00EC64AE"/>
    <w:rsid w:val="00EC7CB7"/>
    <w:rsid w:val="00ED1884"/>
    <w:rsid w:val="00ED1C33"/>
    <w:rsid w:val="00ED27E8"/>
    <w:rsid w:val="00ED3238"/>
    <w:rsid w:val="00ED52AB"/>
    <w:rsid w:val="00ED6110"/>
    <w:rsid w:val="00ED7137"/>
    <w:rsid w:val="00ED7ACE"/>
    <w:rsid w:val="00ED7FDB"/>
    <w:rsid w:val="00EE1925"/>
    <w:rsid w:val="00EE1954"/>
    <w:rsid w:val="00EE2FA2"/>
    <w:rsid w:val="00EE3A6D"/>
    <w:rsid w:val="00EE57A4"/>
    <w:rsid w:val="00EE653D"/>
    <w:rsid w:val="00EF0242"/>
    <w:rsid w:val="00EF0610"/>
    <w:rsid w:val="00EF06EA"/>
    <w:rsid w:val="00EF10F1"/>
    <w:rsid w:val="00EF1E35"/>
    <w:rsid w:val="00EF31E4"/>
    <w:rsid w:val="00EF4702"/>
    <w:rsid w:val="00EF5102"/>
    <w:rsid w:val="00EF5F93"/>
    <w:rsid w:val="00EF6F71"/>
    <w:rsid w:val="00F01F41"/>
    <w:rsid w:val="00F025D2"/>
    <w:rsid w:val="00F02D1C"/>
    <w:rsid w:val="00F04885"/>
    <w:rsid w:val="00F04F5C"/>
    <w:rsid w:val="00F0568E"/>
    <w:rsid w:val="00F061C5"/>
    <w:rsid w:val="00F07604"/>
    <w:rsid w:val="00F07DBD"/>
    <w:rsid w:val="00F102A2"/>
    <w:rsid w:val="00F112FA"/>
    <w:rsid w:val="00F11459"/>
    <w:rsid w:val="00F1145C"/>
    <w:rsid w:val="00F12D72"/>
    <w:rsid w:val="00F133D3"/>
    <w:rsid w:val="00F1396D"/>
    <w:rsid w:val="00F1400D"/>
    <w:rsid w:val="00F14944"/>
    <w:rsid w:val="00F16225"/>
    <w:rsid w:val="00F16EE7"/>
    <w:rsid w:val="00F175B9"/>
    <w:rsid w:val="00F17D16"/>
    <w:rsid w:val="00F21088"/>
    <w:rsid w:val="00F21794"/>
    <w:rsid w:val="00F217BF"/>
    <w:rsid w:val="00F218C2"/>
    <w:rsid w:val="00F22232"/>
    <w:rsid w:val="00F23241"/>
    <w:rsid w:val="00F245E9"/>
    <w:rsid w:val="00F25783"/>
    <w:rsid w:val="00F2624A"/>
    <w:rsid w:val="00F26976"/>
    <w:rsid w:val="00F26E8E"/>
    <w:rsid w:val="00F27118"/>
    <w:rsid w:val="00F27383"/>
    <w:rsid w:val="00F279BE"/>
    <w:rsid w:val="00F3142B"/>
    <w:rsid w:val="00F315D5"/>
    <w:rsid w:val="00F326BF"/>
    <w:rsid w:val="00F327E7"/>
    <w:rsid w:val="00F33EDE"/>
    <w:rsid w:val="00F34B46"/>
    <w:rsid w:val="00F3521C"/>
    <w:rsid w:val="00F35746"/>
    <w:rsid w:val="00F36BE6"/>
    <w:rsid w:val="00F37366"/>
    <w:rsid w:val="00F37C3D"/>
    <w:rsid w:val="00F41598"/>
    <w:rsid w:val="00F41C0A"/>
    <w:rsid w:val="00F447C7"/>
    <w:rsid w:val="00F4513D"/>
    <w:rsid w:val="00F459B4"/>
    <w:rsid w:val="00F47C7E"/>
    <w:rsid w:val="00F50095"/>
    <w:rsid w:val="00F5016D"/>
    <w:rsid w:val="00F51BB6"/>
    <w:rsid w:val="00F5211B"/>
    <w:rsid w:val="00F52EB8"/>
    <w:rsid w:val="00F532F0"/>
    <w:rsid w:val="00F53B68"/>
    <w:rsid w:val="00F546A1"/>
    <w:rsid w:val="00F54A45"/>
    <w:rsid w:val="00F554A9"/>
    <w:rsid w:val="00F56A52"/>
    <w:rsid w:val="00F57A37"/>
    <w:rsid w:val="00F605F8"/>
    <w:rsid w:val="00F61E24"/>
    <w:rsid w:val="00F62378"/>
    <w:rsid w:val="00F632A3"/>
    <w:rsid w:val="00F633CB"/>
    <w:rsid w:val="00F635EF"/>
    <w:rsid w:val="00F636CA"/>
    <w:rsid w:val="00F64510"/>
    <w:rsid w:val="00F64E5C"/>
    <w:rsid w:val="00F650C7"/>
    <w:rsid w:val="00F66186"/>
    <w:rsid w:val="00F66240"/>
    <w:rsid w:val="00F714FE"/>
    <w:rsid w:val="00F71645"/>
    <w:rsid w:val="00F716FD"/>
    <w:rsid w:val="00F723F2"/>
    <w:rsid w:val="00F76CCB"/>
    <w:rsid w:val="00F772FB"/>
    <w:rsid w:val="00F779EB"/>
    <w:rsid w:val="00F80279"/>
    <w:rsid w:val="00F80355"/>
    <w:rsid w:val="00F80768"/>
    <w:rsid w:val="00F82DC3"/>
    <w:rsid w:val="00F85722"/>
    <w:rsid w:val="00F870E3"/>
    <w:rsid w:val="00F87C43"/>
    <w:rsid w:val="00F90E67"/>
    <w:rsid w:val="00F913FE"/>
    <w:rsid w:val="00F914C8"/>
    <w:rsid w:val="00F919EC"/>
    <w:rsid w:val="00F91C1A"/>
    <w:rsid w:val="00F93502"/>
    <w:rsid w:val="00F948F6"/>
    <w:rsid w:val="00F956F2"/>
    <w:rsid w:val="00F969BD"/>
    <w:rsid w:val="00F977E4"/>
    <w:rsid w:val="00FA0E20"/>
    <w:rsid w:val="00FA21FB"/>
    <w:rsid w:val="00FA492D"/>
    <w:rsid w:val="00FA5722"/>
    <w:rsid w:val="00FA7423"/>
    <w:rsid w:val="00FA75A4"/>
    <w:rsid w:val="00FA788A"/>
    <w:rsid w:val="00FA7B83"/>
    <w:rsid w:val="00FB0C81"/>
    <w:rsid w:val="00FB19D4"/>
    <w:rsid w:val="00FB285F"/>
    <w:rsid w:val="00FB4927"/>
    <w:rsid w:val="00FB4DDF"/>
    <w:rsid w:val="00FB602B"/>
    <w:rsid w:val="00FB655C"/>
    <w:rsid w:val="00FB6B22"/>
    <w:rsid w:val="00FB7A2F"/>
    <w:rsid w:val="00FC00F5"/>
    <w:rsid w:val="00FC0C74"/>
    <w:rsid w:val="00FC17EC"/>
    <w:rsid w:val="00FC2200"/>
    <w:rsid w:val="00FC2540"/>
    <w:rsid w:val="00FC3066"/>
    <w:rsid w:val="00FC4462"/>
    <w:rsid w:val="00FC6DEE"/>
    <w:rsid w:val="00FD05DA"/>
    <w:rsid w:val="00FD081E"/>
    <w:rsid w:val="00FD0FB7"/>
    <w:rsid w:val="00FD2052"/>
    <w:rsid w:val="00FD240D"/>
    <w:rsid w:val="00FD5640"/>
    <w:rsid w:val="00FD7A9D"/>
    <w:rsid w:val="00FE0256"/>
    <w:rsid w:val="00FE02B2"/>
    <w:rsid w:val="00FE05B4"/>
    <w:rsid w:val="00FE09DC"/>
    <w:rsid w:val="00FE0A38"/>
    <w:rsid w:val="00FE0ED5"/>
    <w:rsid w:val="00FE277A"/>
    <w:rsid w:val="00FE2842"/>
    <w:rsid w:val="00FE402B"/>
    <w:rsid w:val="00FE4504"/>
    <w:rsid w:val="00FE474F"/>
    <w:rsid w:val="00FE48FF"/>
    <w:rsid w:val="00FE50FA"/>
    <w:rsid w:val="00FE62B7"/>
    <w:rsid w:val="00FF0204"/>
    <w:rsid w:val="00FF02AB"/>
    <w:rsid w:val="00FF0B37"/>
    <w:rsid w:val="00FF17B2"/>
    <w:rsid w:val="00FF34CB"/>
    <w:rsid w:val="00FF3AED"/>
    <w:rsid w:val="00FF530C"/>
    <w:rsid w:val="00FF6492"/>
    <w:rsid w:val="00FF67B2"/>
    <w:rsid w:val="00FF7459"/>
    <w:rsid w:val="00FF7C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49671"/>
  <w15:docId w15:val="{5ACECBBD-4F9E-4209-B376-6B05B55FB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link w:val="ListParagraphChar"/>
    <w:uiPriority w:val="34"/>
    <w:qFormat/>
    <w:rsid w:val="004177A6"/>
    <w:pPr>
      <w:ind w:left="720"/>
      <w:contextualSpacing/>
    </w:pPr>
  </w:style>
  <w:style w:type="character" w:customStyle="1" w:styleId="ListParagraphChar">
    <w:name w:val="List Paragraph Char"/>
    <w:basedOn w:val="DefaultParagraphFont"/>
    <w:link w:val="ListParagraph"/>
    <w:uiPriority w:val="34"/>
    <w:locked/>
    <w:rsid w:val="004177A6"/>
    <w:rPr>
      <w:sz w:val="22"/>
      <w:szCs w:val="22"/>
      <w:lang w:val="fr-FR"/>
    </w:rPr>
  </w:style>
  <w:style w:type="paragraph" w:customStyle="1" w:styleId="Default">
    <w:name w:val="Default"/>
    <w:rsid w:val="004177A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4177A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177A6"/>
    <w:rPr>
      <w:sz w:val="22"/>
      <w:szCs w:val="22"/>
    </w:rPr>
  </w:style>
  <w:style w:type="paragraph" w:styleId="NormalWeb">
    <w:name w:val="Normal (Web)"/>
    <w:basedOn w:val="Normal"/>
    <w:link w:val="NormalWebChar"/>
    <w:uiPriority w:val="99"/>
    <w:unhideWhenUsed/>
    <w:qFormat/>
    <w:rsid w:val="004177A6"/>
    <w:pPr>
      <w:jc w:val="left"/>
    </w:pPr>
    <w:rPr>
      <w:rFonts w:eastAsiaTheme="minorHAnsi"/>
      <w:sz w:val="24"/>
      <w:szCs w:val="24"/>
    </w:rPr>
  </w:style>
  <w:style w:type="paragraph" w:styleId="EndnoteText">
    <w:name w:val="endnote text"/>
    <w:basedOn w:val="Normal"/>
    <w:link w:val="EndnoteTextChar"/>
    <w:uiPriority w:val="99"/>
    <w:semiHidden/>
    <w:unhideWhenUsed/>
    <w:rsid w:val="004177A6"/>
    <w:rPr>
      <w:sz w:val="20"/>
      <w:szCs w:val="20"/>
    </w:rPr>
  </w:style>
  <w:style w:type="character" w:customStyle="1" w:styleId="EndnoteTextChar">
    <w:name w:val="Endnote Text Char"/>
    <w:basedOn w:val="DefaultParagraphFont"/>
    <w:link w:val="EndnoteText"/>
    <w:uiPriority w:val="99"/>
    <w:semiHidden/>
    <w:rsid w:val="004177A6"/>
    <w:rPr>
      <w:lang w:val="fr-FR"/>
    </w:rPr>
  </w:style>
  <w:style w:type="character" w:styleId="EndnoteReference">
    <w:name w:val="endnote reference"/>
    <w:basedOn w:val="DefaultParagraphFont"/>
    <w:uiPriority w:val="99"/>
    <w:semiHidden/>
    <w:unhideWhenUsed/>
    <w:rsid w:val="004177A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177A6"/>
    <w:rPr>
      <w:sz w:val="22"/>
      <w:szCs w:val="22"/>
    </w:rPr>
  </w:style>
  <w:style w:type="character" w:customStyle="1" w:styleId="NormalWebChar">
    <w:name w:val="Normal (Web) Char"/>
    <w:link w:val="NormalWeb"/>
    <w:uiPriority w:val="99"/>
    <w:rsid w:val="00DA6EC4"/>
    <w:rPr>
      <w:rFonts w:eastAsiaTheme="minorHAnsi"/>
      <w:sz w:val="24"/>
      <w:szCs w:val="24"/>
    </w:rPr>
  </w:style>
  <w:style w:type="character" w:customStyle="1" w:styleId="google-src-text1">
    <w:name w:val="google-src-text1"/>
    <w:basedOn w:val="DefaultParagraphFont"/>
    <w:uiPriority w:val="99"/>
    <w:qFormat/>
    <w:rsid w:val="00DA6EC4"/>
    <w:rPr>
      <w:vanish/>
    </w:rPr>
  </w:style>
  <w:style w:type="character" w:customStyle="1" w:styleId="cf01">
    <w:name w:val="cf01"/>
    <w:basedOn w:val="DefaultParagraphFont"/>
    <w:rsid w:val="00DD31F3"/>
    <w:rPr>
      <w:rFonts w:ascii="Segoe UI" w:hAnsi="Segoe UI" w:cs="Segoe UI" w:hint="default"/>
      <w:sz w:val="18"/>
      <w:szCs w:val="18"/>
    </w:rPr>
  </w:style>
  <w:style w:type="paragraph" w:customStyle="1" w:styleId="pf0">
    <w:name w:val="pf0"/>
    <w:basedOn w:val="Normal"/>
    <w:rsid w:val="00DD31F3"/>
    <w:pPr>
      <w:spacing w:before="100" w:beforeAutospacing="1" w:after="100" w:afterAutospacing="1"/>
      <w:jc w:val="left"/>
    </w:pPr>
    <w:rPr>
      <w:sz w:val="24"/>
      <w:szCs w:val="24"/>
      <w:lang w:eastAsia="en-GB"/>
    </w:rPr>
  </w:style>
  <w:style w:type="character" w:customStyle="1" w:styleId="cf11">
    <w:name w:val="cf11"/>
    <w:basedOn w:val="DefaultParagraphFont"/>
    <w:rsid w:val="00DD31F3"/>
    <w:rPr>
      <w:rFonts w:ascii="Segoe UI" w:hAnsi="Segoe UI" w:cs="Segoe UI" w:hint="default"/>
      <w:sz w:val="18"/>
      <w:szCs w:val="18"/>
      <w:vertAlign w:val="superscript"/>
    </w:rPr>
  </w:style>
  <w:style w:type="character" w:customStyle="1" w:styleId="normaltextrun">
    <w:name w:val="normaltextrun"/>
    <w:basedOn w:val="DefaultParagraphFont"/>
    <w:rsid w:val="007C1127"/>
  </w:style>
  <w:style w:type="character" w:customStyle="1" w:styleId="superscript">
    <w:name w:val="superscript"/>
    <w:basedOn w:val="DefaultParagraphFont"/>
    <w:rsid w:val="007C1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7595745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93BABC04-7384-49C7-8629-EAFC7BA27B81}"/>
</file>

<file path=docProps/app.xml><?xml version="1.0" encoding="utf-8"?>
<Properties xmlns="http://schemas.openxmlformats.org/officeDocument/2006/extended-properties" xmlns:vt="http://schemas.openxmlformats.org/officeDocument/2006/docPropsVTypes">
  <Template>Eec94G</Template>
  <TotalTime>17</TotalTime>
  <Pages>20</Pages>
  <Words>8907</Words>
  <Characters>50771</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Proposition de projet : Gabon</vt:lpstr>
    </vt:vector>
  </TitlesOfParts>
  <Company>UNMFS</Company>
  <LinksUpToDate>false</LinksUpToDate>
  <CharactersWithSpaces>59559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Gabon             </dc:title>
  <dc:subject/>
  <dc:creator>Dominika Anna Suwik</dc:creator>
  <cp:keywords>94th ExCom</cp:keywords>
  <cp:lastModifiedBy>Angela Xue He Yan</cp:lastModifiedBy>
  <cp:revision>9</cp:revision>
  <cp:lastPrinted>2024-05-09T18:16:00Z</cp:lastPrinted>
  <dcterms:created xsi:type="dcterms:W3CDTF">2024-05-08T17:29:00Z</dcterms:created>
  <dcterms:modified xsi:type="dcterms:W3CDTF">2024-05-09T18:17:00Z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UNEP/OzL.Pro/ExCom/94/36</vt:lpwstr>
  </property>
  <property fmtid="{D5CDD505-2E9C-101B-9397-08002B2CF9AE}" pid="3" name="Revision date">
    <vt:lpwstr>5/7/2024</vt:lpwstr>
  </property>
  <property fmtid="{D5CDD505-2E9C-101B-9397-08002B2CF9AE}" pid="4" name="ContentTypeId">
    <vt:lpwstr>0x010100281D6F5B3C066F4585A645B8FC801316</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1cc7aac79bbb35a43d05a78fa8bf8390aec5a1570a1028e136096e9d918c38a1</vt:lpwstr>
  </property>
  <property fmtid="{D5CDD505-2E9C-101B-9397-08002B2CF9AE}" pid="8" name="SharedWithUsers">
    <vt:lpwstr>Rossana Del Carmen Silva-Repetto88Kaleen Mcnamara76</vt:lpwstr>
  </property>
  <property fmtid="{D5CDD505-2E9C-101B-9397-08002B2CF9AE}" pid="10" name="lcf76f155ced4ddcb4097134ff3c332f">
    <vt:lpwstr/>
  </property>
</Properties>
</file>