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F0C3B06" w14:textId="77777777">
        <w:trPr>
          <w:trHeight w:val="720"/>
        </w:trPr>
        <w:tc>
          <w:tcPr>
            <w:tcW w:w="4410" w:type="dxa"/>
            <w:gridSpan w:val="2"/>
            <w:tcBorders>
              <w:bottom w:val="single" w:sz="18" w:space="0" w:color="auto"/>
            </w:tcBorders>
          </w:tcPr>
          <w:p w14:paraId="30F1AA88"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227E1BF"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49C8A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3411877"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1CF494B0" wp14:editId="6DF8D43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7DF134BD" wp14:editId="298127E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3546B6A" w14:textId="77777777" w:rsidR="007E5D09" w:rsidRDefault="00E1360E">
            <w:pPr>
              <w:spacing w:before="120"/>
              <w:jc w:val="left"/>
              <w:rPr>
                <w:lang w:val="en-US"/>
              </w:rPr>
            </w:pPr>
            <w:r>
              <w:rPr>
                <w:lang w:val="en-US"/>
              </w:rPr>
              <w:t>GENERAL</w:t>
            </w:r>
          </w:p>
          <w:p w14:paraId="68A9A7B5" w14:textId="77777777" w:rsidR="007E5D09" w:rsidRDefault="007E5D09">
            <w:pPr>
              <w:spacing w:before="120"/>
              <w:jc w:val="left"/>
              <w:rPr>
                <w:lang w:val="en-US"/>
              </w:rPr>
            </w:pPr>
          </w:p>
          <w:p w14:paraId="4F93C1AA" w14:textId="14FCCA19" w:rsidR="007E5D09" w:rsidRDefault="00615174">
            <w:pPr>
              <w:rPr>
                <w:rtl/>
              </w:rPr>
            </w:pPr>
            <w:r>
              <w:fldChar w:fldCharType="begin"/>
            </w:r>
            <w:r>
              <w:instrText xml:space="preserve"> DOCPROPERTY "Document number"  \* MERGEFORMAT </w:instrText>
            </w:r>
            <w:r>
              <w:fldChar w:fldCharType="separate"/>
            </w:r>
            <w:r w:rsidR="003922F8">
              <w:t>UNEP/OzL.Pro/ExCom/91/69</w:t>
            </w:r>
            <w:r>
              <w:fldChar w:fldCharType="end"/>
            </w:r>
          </w:p>
          <w:p w14:paraId="72797AB6" w14:textId="5DCAF533"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3922F8">
              <w:rPr>
                <w:lang w:val="en-US"/>
              </w:rPr>
              <w:t>11</w:t>
            </w:r>
            <w:r w:rsidR="003922F8" w:rsidRPr="003922F8">
              <w:t xml:space="preserve"> </w:t>
            </w:r>
            <w:r w:rsidR="003922F8">
              <w:rPr>
                <w:lang w:val="en-US"/>
              </w:rPr>
              <w:t>November</w:t>
            </w:r>
            <w:r w:rsidR="003922F8" w:rsidRPr="003922F8">
              <w:t xml:space="preserve"> 2022</w:t>
            </w:r>
            <w:r>
              <w:fldChar w:fldCharType="end"/>
            </w:r>
          </w:p>
          <w:p w14:paraId="39657DCC" w14:textId="77777777" w:rsidR="00662A73" w:rsidRDefault="00662A73">
            <w:pPr>
              <w:spacing w:before="120"/>
              <w:jc w:val="left"/>
              <w:rPr>
                <w:rtl/>
                <w:lang w:val="en-US" w:bidi="ar-AE"/>
              </w:rPr>
            </w:pPr>
          </w:p>
          <w:p w14:paraId="0597C152" w14:textId="77777777" w:rsidR="007E5D09" w:rsidRDefault="00E1360E">
            <w:pPr>
              <w:spacing w:before="120"/>
              <w:jc w:val="left"/>
              <w:rPr>
                <w:lang w:val="en-US"/>
              </w:rPr>
            </w:pPr>
            <w:r>
              <w:rPr>
                <w:lang w:val="en-US"/>
              </w:rPr>
              <w:t>ARABIC</w:t>
            </w:r>
          </w:p>
          <w:p w14:paraId="29E021D6"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67EC75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8B1273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F3A836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2D0147B"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3AE9B82" w14:textId="77777777" w:rsidR="007E5D09" w:rsidRDefault="007E5D09">
            <w:pPr>
              <w:rPr>
                <w:caps/>
                <w:lang w:val="en-US"/>
              </w:rPr>
            </w:pPr>
          </w:p>
          <w:p w14:paraId="3C90A87D" w14:textId="77777777" w:rsidR="007E5D09" w:rsidRDefault="007E5D09">
            <w:pPr>
              <w:rPr>
                <w:lang w:val="en-US"/>
              </w:rPr>
            </w:pPr>
          </w:p>
        </w:tc>
      </w:tr>
    </w:tbl>
    <w:p w14:paraId="546F52C5" w14:textId="77777777" w:rsidR="007E5D09" w:rsidRDefault="007E5D09">
      <w:pPr>
        <w:pStyle w:val="Caption"/>
        <w:spacing w:line="200" w:lineRule="exact"/>
        <w:ind w:left="187" w:right="187" w:hanging="187"/>
        <w:jc w:val="both"/>
        <w:rPr>
          <w:rFonts w:cs="Akhbar MT"/>
          <w:b/>
          <w:bCs/>
          <w:sz w:val="28"/>
          <w:szCs w:val="28"/>
          <w:rtl/>
        </w:rPr>
      </w:pPr>
    </w:p>
    <w:p w14:paraId="4DC733E5"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E1EBA58"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BDFC039"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1DE2718" w14:textId="77777777" w:rsidR="00702662" w:rsidRPr="00E95119" w:rsidRDefault="00702662" w:rsidP="00702662">
      <w:pPr>
        <w:pStyle w:val="0Heading0"/>
        <w:bidi/>
        <w:ind w:left="4"/>
        <w:rPr>
          <w:sz w:val="28"/>
          <w:szCs w:val="28"/>
          <w:rtl/>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55651EBC" w14:textId="4F030BC9" w:rsidR="00682477" w:rsidRDefault="00682477" w:rsidP="00682477">
      <w:pPr>
        <w:bidi/>
        <w:jc w:val="left"/>
        <w:rPr>
          <w:sz w:val="32"/>
          <w:szCs w:val="28"/>
          <w:lang w:eastAsia="ar" w:bidi="ar-EG"/>
        </w:rPr>
      </w:pPr>
      <w:r w:rsidRPr="00792E53">
        <w:rPr>
          <w:sz w:val="32"/>
          <w:szCs w:val="28"/>
          <w:rtl/>
          <w:lang w:eastAsia="ar" w:bidi="ar-EG"/>
        </w:rPr>
        <w:t>البند 14 من جدول الأعمال المؤقت</w:t>
      </w:r>
      <w:r w:rsidRPr="00792E53">
        <w:rPr>
          <w:sz w:val="32"/>
          <w:szCs w:val="28"/>
          <w:vertAlign w:val="superscript"/>
          <w:rtl/>
          <w:lang w:eastAsia="ar" w:bidi="ar-EG"/>
        </w:rPr>
        <w:footnoteReference w:id="1"/>
      </w:r>
    </w:p>
    <w:p w14:paraId="42E7EE91" w14:textId="77777777" w:rsidR="00F12FB5" w:rsidRPr="00792E53" w:rsidRDefault="00F12FB5" w:rsidP="00F12FB5">
      <w:pPr>
        <w:bidi/>
        <w:jc w:val="left"/>
        <w:rPr>
          <w:sz w:val="32"/>
          <w:szCs w:val="28"/>
          <w:lang w:val="en-CA"/>
        </w:rPr>
      </w:pPr>
    </w:p>
    <w:p w14:paraId="2358F91A" w14:textId="77777777" w:rsidR="00682477" w:rsidRPr="00F12FB5" w:rsidRDefault="00682477" w:rsidP="00682477">
      <w:pPr>
        <w:bidi/>
        <w:jc w:val="left"/>
      </w:pPr>
    </w:p>
    <w:p w14:paraId="1FAE5A71" w14:textId="23805F86" w:rsidR="00682477" w:rsidRPr="00F12FB5" w:rsidRDefault="00682477" w:rsidP="00F12FB5">
      <w:pPr>
        <w:bidi/>
        <w:jc w:val="center"/>
        <w:rPr>
          <w:sz w:val="36"/>
          <w:szCs w:val="32"/>
          <w:lang w:val="en-CA"/>
        </w:rPr>
      </w:pPr>
      <w:r w:rsidRPr="00F12FB5">
        <w:rPr>
          <w:b/>
          <w:bCs/>
          <w:sz w:val="36"/>
          <w:szCs w:val="32"/>
          <w:rtl/>
          <w:lang w:eastAsia="ar" w:bidi="ar-EG"/>
        </w:rPr>
        <w:t>استعراض عام لنظم الرصد والإبلاغ والتحقق والترخيص والحصص قيد النفاذ والتي وضعت بدعم من الصندوق المتعدد الأطراف (المقرر 89/2)</w:t>
      </w:r>
    </w:p>
    <w:p w14:paraId="7ED0635C" w14:textId="77777777" w:rsidR="00682477" w:rsidRPr="00792E53" w:rsidRDefault="00682477" w:rsidP="00682477">
      <w:pPr>
        <w:bidi/>
        <w:rPr>
          <w:sz w:val="32"/>
          <w:szCs w:val="28"/>
          <w:lang w:val="en-CA"/>
        </w:rPr>
      </w:pPr>
    </w:p>
    <w:p w14:paraId="1B80B71C" w14:textId="77777777" w:rsidR="00682477" w:rsidRPr="00F12FB5" w:rsidRDefault="00682477" w:rsidP="00682477">
      <w:pPr>
        <w:tabs>
          <w:tab w:val="left" w:pos="8280"/>
        </w:tabs>
        <w:bidi/>
        <w:jc w:val="center"/>
        <w:rPr>
          <w:b/>
          <w:sz w:val="28"/>
          <w:szCs w:val="28"/>
          <w:lang w:val="en-CA"/>
        </w:rPr>
      </w:pPr>
      <w:r w:rsidRPr="00F12FB5">
        <w:rPr>
          <w:b/>
          <w:bCs/>
          <w:sz w:val="28"/>
          <w:szCs w:val="28"/>
          <w:rtl/>
          <w:lang w:eastAsia="ar" w:bidi="ar-EG"/>
        </w:rPr>
        <w:t>مذكرة من الأمانة</w:t>
      </w:r>
    </w:p>
    <w:p w14:paraId="1E936263" w14:textId="77777777" w:rsidR="00682477" w:rsidRPr="00792E53" w:rsidRDefault="00682477" w:rsidP="00682477">
      <w:pPr>
        <w:tabs>
          <w:tab w:val="left" w:pos="8280"/>
        </w:tabs>
        <w:bidi/>
        <w:rPr>
          <w:b/>
          <w:sz w:val="32"/>
          <w:szCs w:val="32"/>
          <w:lang w:val="en-CA"/>
        </w:rPr>
      </w:pPr>
      <w:r w:rsidRPr="00792E53">
        <w:rPr>
          <w:b/>
          <w:bCs/>
          <w:sz w:val="32"/>
          <w:szCs w:val="32"/>
          <w:rtl/>
          <w:lang w:eastAsia="ar" w:bidi="ar-EG"/>
        </w:rPr>
        <w:t>مقدمة</w:t>
      </w:r>
    </w:p>
    <w:p w14:paraId="173234FA" w14:textId="77777777" w:rsidR="00682477" w:rsidRPr="00792E53" w:rsidRDefault="00682477" w:rsidP="00682477">
      <w:pPr>
        <w:bidi/>
        <w:rPr>
          <w:sz w:val="32"/>
          <w:szCs w:val="28"/>
          <w:lang w:val="en-CA"/>
        </w:rPr>
      </w:pPr>
    </w:p>
    <w:p w14:paraId="7C271975" w14:textId="77777777" w:rsidR="00682477" w:rsidRPr="00792E53" w:rsidRDefault="00682477" w:rsidP="00792E53">
      <w:pPr>
        <w:pStyle w:val="Heading1"/>
        <w:numPr>
          <w:ilvl w:val="0"/>
          <w:numId w:val="23"/>
        </w:numPr>
        <w:bidi/>
        <w:rPr>
          <w:sz w:val="28"/>
          <w:szCs w:val="28"/>
          <w:lang w:val="en-CA"/>
        </w:rPr>
      </w:pPr>
      <w:r w:rsidRPr="00792E53">
        <w:rPr>
          <w:sz w:val="28"/>
          <w:szCs w:val="28"/>
          <w:rtl/>
          <w:lang w:eastAsia="ar" w:bidi="ar-EG"/>
        </w:rPr>
        <w:t xml:space="preserve">نظرت اللجنة التنفيذية في اجتماعها التاسع والثمانين في الوثيقة </w:t>
      </w:r>
      <w:r w:rsidRPr="00792E53">
        <w:rPr>
          <w:sz w:val="28"/>
          <w:szCs w:val="28"/>
          <w:lang w:eastAsia="ar" w:bidi="en-GB"/>
        </w:rPr>
        <w:t>UNEP/OzL.Pro/ExCom</w:t>
      </w:r>
      <w:r w:rsidRPr="00792E53">
        <w:rPr>
          <w:sz w:val="28"/>
          <w:szCs w:val="28"/>
          <w:lang w:eastAsia="ar" w:bidi="ar-EG"/>
        </w:rPr>
        <w:t>/89/3</w:t>
      </w:r>
      <w:r w:rsidRPr="00792E53">
        <w:rPr>
          <w:sz w:val="28"/>
          <w:szCs w:val="28"/>
          <w:rtl/>
          <w:lang w:eastAsia="ar" w:bidi="ar-EG"/>
        </w:rPr>
        <w:t xml:space="preserve"> المستندة إلى الوثيقة </w:t>
      </w:r>
      <w:r w:rsidRPr="00792E53">
        <w:rPr>
          <w:sz w:val="28"/>
          <w:szCs w:val="28"/>
          <w:lang w:eastAsia="ar" w:bidi="en-GB"/>
        </w:rPr>
        <w:t>UNEP/OzL.Pro/ExCom</w:t>
      </w:r>
      <w:r w:rsidRPr="00792E53">
        <w:rPr>
          <w:sz w:val="28"/>
          <w:szCs w:val="28"/>
          <w:lang w:eastAsia="ar" w:bidi="ar-EG"/>
        </w:rPr>
        <w:t>/88/66</w:t>
      </w:r>
      <w:r w:rsidRPr="00792E53">
        <w:rPr>
          <w:sz w:val="28"/>
          <w:szCs w:val="28"/>
          <w:rtl/>
          <w:lang w:eastAsia="ar" w:bidi="ar-EG"/>
        </w:rPr>
        <w:t xml:space="preserve"> والتي حذفت منها الأمانة مقترحات بشأن الإبلاغ عن عمليات المصادرة المرتبط بالإتجار غير المشروع، ومناطق التجارة الحرة، وتحديد البلدان التي جرى تصدير البوليولات المسبقة الخلط إليها. </w:t>
      </w:r>
    </w:p>
    <w:p w14:paraId="03089804" w14:textId="77777777" w:rsidR="00682477" w:rsidRPr="00792E53" w:rsidRDefault="00682477" w:rsidP="00682477">
      <w:pPr>
        <w:numPr>
          <w:ilvl w:val="0"/>
          <w:numId w:val="1"/>
        </w:numPr>
        <w:bidi/>
        <w:spacing w:after="240"/>
        <w:outlineLvl w:val="0"/>
        <w:rPr>
          <w:sz w:val="32"/>
          <w:szCs w:val="28"/>
          <w:lang w:val="en-CA"/>
        </w:rPr>
      </w:pPr>
      <w:r w:rsidRPr="00792E53">
        <w:rPr>
          <w:sz w:val="32"/>
          <w:szCs w:val="28"/>
          <w:rtl/>
          <w:lang w:eastAsia="ar" w:bidi="ar-EG"/>
        </w:rPr>
        <w:t>وخلال المناقشات، لوحظ أنه سيكون من المهم أن تنظر اللجنة التنفيذية في الاستدامة الطويلة الأجل للأنشطة التي يدعمها الصندوق المتعدد الأطراف، على النحو الذي أبرزه التقييم الذي أجرته شبكة تقييم أداء المنظمات المتعددة الأطراف.</w:t>
      </w:r>
      <w:r w:rsidRPr="00792E53">
        <w:rPr>
          <w:rStyle w:val="FootnoteReference"/>
          <w:sz w:val="32"/>
          <w:szCs w:val="28"/>
          <w:rtl/>
          <w:lang w:eastAsia="ar" w:bidi="ar-EG"/>
        </w:rPr>
        <w:footnoteReference w:id="2"/>
      </w:r>
      <w:r w:rsidRPr="00792E53">
        <w:rPr>
          <w:sz w:val="32"/>
          <w:szCs w:val="28"/>
          <w:rtl/>
          <w:lang w:eastAsia="ar" w:bidi="ar-EG"/>
        </w:rPr>
        <w:t xml:space="preserve"> ولاحظت بعض البلدان أن الوثيقة تغطي مجموعة من القضايا المعقدة، بعضها خارج نطاق ولاية اللجنة التنفيذية، ومن الأفضل أن يتناولها اجتماع الأطراف. وتمثَّل دور اللجنة التنفيذية في ضمان امتثال البلدان العاملة بالمادة 5 للاتفاقات الخاصة بمشروعات بعينها، وينبغي ألا تفرض أي تغييرات تتعلق بالمسائل المتضمنة في الملخص المعروض في الوثيقة </w:t>
      </w:r>
      <w:r w:rsidRPr="00792E53">
        <w:rPr>
          <w:sz w:val="28"/>
          <w:szCs w:val="28"/>
          <w:lang w:eastAsia="ar" w:bidi="en-GB"/>
        </w:rPr>
        <w:t>UNEP/OzL.Pro/ExCom</w:t>
      </w:r>
      <w:r w:rsidRPr="00792E53">
        <w:rPr>
          <w:sz w:val="28"/>
          <w:szCs w:val="28"/>
          <w:lang w:eastAsia="ar" w:bidi="ar-EG"/>
        </w:rPr>
        <w:t>/89/3</w:t>
      </w:r>
      <w:r w:rsidRPr="00792E53">
        <w:rPr>
          <w:sz w:val="32"/>
          <w:szCs w:val="28"/>
          <w:rtl/>
          <w:lang w:eastAsia="ar" w:bidi="ar-EG"/>
        </w:rPr>
        <w:t xml:space="preserve"> أعباء إضافية على تلك البلدان. وينبغي ألا تُختص بذلك البلدان العاملة بالمادة 5، إذ إن المسائل المتضمنة في الملخص ينبغي أن تسري على جميع الأطراف في بروتوكول مونتريال. وقالت بلدان أخرى إنه على الرغم من أن العديد </w:t>
      </w:r>
      <w:r w:rsidRPr="00792E53">
        <w:rPr>
          <w:sz w:val="32"/>
          <w:szCs w:val="28"/>
          <w:rtl/>
          <w:lang w:eastAsia="ar" w:bidi="ar-EG"/>
        </w:rPr>
        <w:lastRenderedPageBreak/>
        <w:t xml:space="preserve">من القضايا التي أُثيرت كانت مشتركة بين جميع الأطراف، مثل مشكلة الاتجار غير المشروع، التي سيناقشها أيضاً الفريق العامل المفتوح العضوية، فإن القضايا الخاصة التي أُثيرت تقع في نطاق ولاية اللجنة التنفيذية، لأنها تتعلق بتمويل المشروعات وهي مهمة لتعزيز أنشطة الصندوق المتعدد الأطراف. </w:t>
      </w:r>
    </w:p>
    <w:p w14:paraId="7BBC8453" w14:textId="77777777" w:rsidR="00682477" w:rsidRPr="00792E53" w:rsidRDefault="00682477" w:rsidP="00682477">
      <w:pPr>
        <w:numPr>
          <w:ilvl w:val="0"/>
          <w:numId w:val="1"/>
        </w:numPr>
        <w:bidi/>
        <w:spacing w:after="240"/>
        <w:outlineLvl w:val="0"/>
        <w:rPr>
          <w:sz w:val="32"/>
          <w:szCs w:val="28"/>
          <w:lang w:val="en-CA"/>
        </w:rPr>
      </w:pPr>
      <w:r w:rsidRPr="00792E53">
        <w:rPr>
          <w:sz w:val="32"/>
          <w:szCs w:val="28"/>
          <w:rtl/>
          <w:lang w:eastAsia="ar" w:bidi="ar-EG"/>
        </w:rPr>
        <w:t xml:space="preserve">وعقب إجراء مناقشة في فريق اتصال، قررت اللجنة التنفيذية إرجاء مواصلة النظر في الاستعراض العام لنظم الرصد والإبلاغ والتحقق والترخيص والحصص الذي وضع بدعم من الصندوق المتعدد الأطراف، على النحو الواردة في الوثيقة </w:t>
      </w:r>
      <w:r w:rsidRPr="00792E53">
        <w:rPr>
          <w:sz w:val="28"/>
          <w:szCs w:val="28"/>
          <w:lang w:eastAsia="ar" w:bidi="en-GB"/>
        </w:rPr>
        <w:t>UNEP/OzL.Pro/ExCom</w:t>
      </w:r>
      <w:r w:rsidRPr="00792E53">
        <w:rPr>
          <w:sz w:val="28"/>
          <w:szCs w:val="28"/>
          <w:lang w:eastAsia="ar" w:bidi="ar-EG"/>
        </w:rPr>
        <w:t>/89/3</w:t>
      </w:r>
      <w:r w:rsidRPr="00792E53">
        <w:rPr>
          <w:sz w:val="32"/>
          <w:szCs w:val="28"/>
          <w:rtl/>
          <w:lang w:eastAsia="ar" w:bidi="ar-EG"/>
        </w:rPr>
        <w:t>، إلى الاجتماع الحادي والتسعين، مع مراعاة أي نتائج للاجتماع الرابع والأربعين للفريق العامل المفتوح العضوية واجتماع الأطراف الرابع والثلاثين (المقرر 89/2).</w:t>
      </w:r>
    </w:p>
    <w:p w14:paraId="0A2D712C" w14:textId="77777777" w:rsidR="00682477" w:rsidRPr="00792E53" w:rsidRDefault="00682477" w:rsidP="00682477">
      <w:pPr>
        <w:keepNext/>
        <w:tabs>
          <w:tab w:val="left" w:pos="8280"/>
        </w:tabs>
        <w:bidi/>
        <w:spacing w:after="240"/>
        <w:rPr>
          <w:sz w:val="32"/>
          <w:szCs w:val="28"/>
          <w:u w:val="single"/>
          <w:lang w:val="en-CA"/>
        </w:rPr>
      </w:pPr>
      <w:r w:rsidRPr="00792E53">
        <w:rPr>
          <w:sz w:val="32"/>
          <w:szCs w:val="28"/>
          <w:u w:val="single"/>
          <w:rtl/>
          <w:lang w:eastAsia="ar" w:bidi="ar-EG"/>
        </w:rPr>
        <w:t>مناقشات الاجتماع الرابع والأربعين للفريق العامل المفتوح العضوية</w:t>
      </w:r>
    </w:p>
    <w:p w14:paraId="0C5B69B2" w14:textId="77777777" w:rsidR="00682477" w:rsidRPr="00792E53" w:rsidRDefault="00682477" w:rsidP="00682477">
      <w:pPr>
        <w:pStyle w:val="Heading1"/>
        <w:bidi/>
        <w:rPr>
          <w:sz w:val="32"/>
          <w:szCs w:val="28"/>
        </w:rPr>
      </w:pPr>
      <w:r w:rsidRPr="00792E53">
        <w:rPr>
          <w:sz w:val="32"/>
          <w:szCs w:val="28"/>
          <w:rtl/>
          <w:lang w:eastAsia="ar" w:bidi="ar-EG"/>
        </w:rPr>
        <w:t xml:space="preserve">نظرت الأطراف في مذكرتين أعدتهما أمانة الأوزون، إحداهما تحتوي على معلومات أساسية عن القضية (الوثيقة </w:t>
      </w:r>
      <w:r w:rsidRPr="00792E53">
        <w:rPr>
          <w:sz w:val="28"/>
          <w:szCs w:val="28"/>
          <w:lang w:eastAsia="ar" w:bidi="en-GB"/>
        </w:rPr>
        <w:t>UNEP/OzL.Pro.WG</w:t>
      </w:r>
      <w:r w:rsidRPr="00792E53">
        <w:rPr>
          <w:sz w:val="28"/>
          <w:szCs w:val="28"/>
          <w:lang w:eastAsia="ar" w:bidi="ar-EG"/>
        </w:rPr>
        <w:t>.1/44/2</w:t>
      </w:r>
      <w:r w:rsidRPr="00792E53">
        <w:rPr>
          <w:sz w:val="32"/>
          <w:szCs w:val="28"/>
          <w:rtl/>
          <w:lang w:eastAsia="ar" w:bidi="ar-EG"/>
        </w:rPr>
        <w:t xml:space="preserve">) والأخرى تعيد عرض المرفقات ذات الصلة من مرفقات تقرير الاجتماع الثالث والستين للجنة التنفيذ، والتي تتناول الطرق الممكنة للتعامل مع الإنتاج غير المشروع للمواد الخاضعة للرقابة والاتجار غير المشروع بها في إطار بروتوكول مونتريال، وتحدد الثغرات المحتملة في إجراء عدم الامتثال، </w:t>
      </w:r>
      <w:r w:rsidRPr="00792E53">
        <w:rPr>
          <w:sz w:val="28"/>
          <w:szCs w:val="28"/>
          <w:rtl/>
          <w:lang w:eastAsia="ar" w:bidi="ar-EG"/>
        </w:rPr>
        <w:t xml:space="preserve">والتحديات، والأدوات، وأفكار ومقترحات للتحسين (الوثيقة </w:t>
      </w:r>
      <w:r w:rsidRPr="00792E53">
        <w:rPr>
          <w:sz w:val="28"/>
          <w:szCs w:val="28"/>
          <w:lang w:eastAsia="ar" w:bidi="en-GB"/>
        </w:rPr>
        <w:t>UNEP/OzL.Pro.WG</w:t>
      </w:r>
      <w:r w:rsidRPr="00792E53">
        <w:rPr>
          <w:sz w:val="28"/>
          <w:szCs w:val="28"/>
          <w:lang w:eastAsia="ar" w:bidi="ar-EG"/>
        </w:rPr>
        <w:t>.1/44/3</w:t>
      </w:r>
      <w:r w:rsidRPr="00792E53">
        <w:rPr>
          <w:sz w:val="28"/>
          <w:szCs w:val="28"/>
          <w:rtl/>
          <w:lang w:eastAsia="ar" w:bidi="ar-EG"/>
        </w:rPr>
        <w:t xml:space="preserve">). وبعد مناقشة، وافق الفريق العامل على إنشاء فريق غير رسمي لمناقشة الأهداف المتعلقة بالعمليات المؤسسية لتعزيز التنفيذ والإنفاذ الفعالين لبروتوكول مونتريال، وذلك باستخدام الوثيقة </w:t>
      </w:r>
      <w:r w:rsidRPr="00792E53">
        <w:rPr>
          <w:sz w:val="28"/>
          <w:szCs w:val="28"/>
          <w:lang w:eastAsia="ar" w:bidi="en-GB"/>
        </w:rPr>
        <w:t>UNEP/OzL.Pro.WG</w:t>
      </w:r>
      <w:r w:rsidRPr="00792E53">
        <w:rPr>
          <w:sz w:val="28"/>
          <w:szCs w:val="28"/>
          <w:lang w:eastAsia="ar" w:bidi="ar-EG"/>
        </w:rPr>
        <w:t>.1/44/3</w:t>
      </w:r>
      <w:r w:rsidRPr="00792E53">
        <w:rPr>
          <w:sz w:val="28"/>
          <w:szCs w:val="28"/>
          <w:rtl/>
          <w:lang w:eastAsia="ar" w:bidi="ar-EG"/>
        </w:rPr>
        <w:t xml:space="preserve"> بوصفها أساساً للمناقشة.</w:t>
      </w:r>
    </w:p>
    <w:p w14:paraId="29F29ACC" w14:textId="77777777" w:rsidR="00682477" w:rsidRPr="00792E53" w:rsidRDefault="00682477" w:rsidP="00682477">
      <w:pPr>
        <w:pStyle w:val="Heading1"/>
        <w:bidi/>
        <w:rPr>
          <w:sz w:val="32"/>
          <w:szCs w:val="28"/>
          <w:lang w:val="en-CA"/>
        </w:rPr>
      </w:pPr>
      <w:r w:rsidRPr="00792E53">
        <w:rPr>
          <w:sz w:val="32"/>
          <w:szCs w:val="28"/>
          <w:rtl/>
          <w:lang w:eastAsia="ar" w:bidi="ar-EG"/>
        </w:rPr>
        <w:t>وخلال المناقشات غير الرسمية، لوحظ أن مؤسسات بروتوكول مونتريال، بما فيها لجنة التنفيذ، تعمل بالفعل على نحو جيد؛ وأن هذا البند من جدول الأعمال يتيح فرصة لتحسين تبادل المعلومات وأفضل الممارسات، بما في ذلك فرص تحسين الإبلاغ؛ وأن الإجراءات الجديدة ينبغي أن تنطبق على جميع الأطراف وينبغي أن تكون أي تدابير جديدة متناسبة مع الفائدة المتوقعة منها؛ وأنه ينبغي النظر في التكلفة والعبء المترتبين على أي تدابير جديدة؛ وأن الأطراف ينبغي لها النظر في الاختلافات بين الالتزامات القانونية التي تترتب على الطرف في بروتوكول مونتريال والامتثال للقانون المحلي. وقد حدد الفريق غير الرسمي مجموعة من القضايا التي يمكن أن تستفيد من مزيد من النظر، ومنها الافتقار إلى تعريف للإنتاج والاستهلاك غير المشروعين، وتبادل أفضل الممارسات والخبرات بشأن المسائل المتعلقة بالتنفيذ والإنفاذ، ومسائل أخرى. وكان الفريق قد أعد قائمة ليست جامعة مانعة بأفكار ذات صلة بمجالات التحسين، غير مرتبة حسب الأولوية أو على نحو يشير إلى اتفاق بشأن تحديد القضايا التي تتطلب المزيد من الإجراءات، وذلك لتكون بمثابة أساس لإجراء مزيد من المناقشة. كما كان الفريق قد اتفق على أنه ينبغي إعطاء الأطراف الفرصة لتقديم مدخلات في الفترة الفاصلة بين الدورات قبل مواصلة المناقشة في اجتماع الأطراف الرابع والثلاثين.</w:t>
      </w:r>
    </w:p>
    <w:p w14:paraId="5B294260" w14:textId="77777777" w:rsidR="00682477" w:rsidRPr="00792E53" w:rsidRDefault="00682477" w:rsidP="00682477">
      <w:pPr>
        <w:pStyle w:val="Heading1"/>
        <w:bidi/>
        <w:rPr>
          <w:sz w:val="32"/>
          <w:szCs w:val="28"/>
          <w:lang w:val="en-CA"/>
        </w:rPr>
      </w:pPr>
      <w:r w:rsidRPr="00792E53">
        <w:rPr>
          <w:sz w:val="32"/>
          <w:szCs w:val="28"/>
          <w:rtl/>
          <w:lang w:eastAsia="ar" w:bidi="ar-EG"/>
        </w:rPr>
        <w:t>ووافق الفريق العامل على إحالة قائمة</w:t>
      </w:r>
      <w:r w:rsidRPr="00792E53">
        <w:rPr>
          <w:rStyle w:val="FootnoteReference"/>
          <w:sz w:val="32"/>
          <w:szCs w:val="28"/>
          <w:rtl/>
          <w:lang w:eastAsia="ar" w:bidi="ar-EG"/>
        </w:rPr>
        <w:footnoteReference w:id="3"/>
      </w:r>
      <w:r w:rsidRPr="00792E53">
        <w:rPr>
          <w:sz w:val="32"/>
          <w:szCs w:val="28"/>
          <w:rtl/>
          <w:lang w:eastAsia="ar" w:bidi="ar-EG"/>
        </w:rPr>
        <w:t xml:space="preserve"> الأفكار المخصصة لمجالات التحسين المتعلقة بالعمليات المؤسسية لتعزيز التنفيذ والإنفاذ الفعالين لبروتوكول مونتريال إلى اجتماع الأطراف الرابع والثلاثين لمواصلة النظر فيها.</w:t>
      </w:r>
    </w:p>
    <w:p w14:paraId="58E4348A" w14:textId="77777777" w:rsidR="00682477" w:rsidRPr="00792E53" w:rsidRDefault="00682477" w:rsidP="00682477">
      <w:pPr>
        <w:pStyle w:val="Heading1"/>
        <w:bidi/>
        <w:rPr>
          <w:sz w:val="32"/>
          <w:szCs w:val="28"/>
        </w:rPr>
      </w:pPr>
      <w:r w:rsidRPr="00792E53">
        <w:rPr>
          <w:sz w:val="32"/>
          <w:szCs w:val="28"/>
          <w:rtl/>
          <w:lang w:eastAsia="ar" w:bidi="ar-EG"/>
        </w:rPr>
        <w:lastRenderedPageBreak/>
        <w:t>كما نظر الأطراف أيضاً في الاجتماع الرابع والأربعين للفريق العامل المفتوح العضوية، في مسألة تحديد الثغرات في التغطية العالمية للرصد الجوي للمواد الخاضعة للرقابة والخيارات المتاحة لتعزيز هذا الرصد. وجرى تذكير الأطراف بأن الاتحاد الأوروبي قد أبلغ اجتماع الأطراف الثالث والثلاثين بأنه سيمول مشروعاً تجريبياً لتحديد المواقع المناسبة للرصد الإضافي. وخلال المناقشات، أشار عدد من الممثلين الآخرين إلى محدودية نطاق المشروع المتعمدة ورغبة مناطق أخرى في المشاركة، وشددوا على أنه إضافة إلى اتباع نهج علمي</w:t>
      </w:r>
      <w:r w:rsidRPr="00792E53">
        <w:rPr>
          <w:sz w:val="32"/>
          <w:szCs w:val="28"/>
          <w:rtl/>
          <w:lang w:eastAsia="ar" w:bidi="ar-EG"/>
        </w:rPr>
        <w:noBreakHyphen/>
        <w:t xml:space="preserve"> في اختيار مواقع الرصد الإضافي، من الضروري مراعاة استعداد الأطراف لأن تكون جزءاً من الشبكة؛ واستقلالها من حيث صنع القرار؛ وأطرها الوطنية وتشريعاتها وقدراتها، بما في ذلك من حيث بناء الموقع وتشغيله وصيانته والمعرفة بمعايير معايرة البيانات؛ وعبء العمل في الوفاء بالتزامات الامتثال لبروتوكول مونتريال. كما كان من اللازم تناول التحديات التقنية والتمويلية.</w:t>
      </w:r>
    </w:p>
    <w:p w14:paraId="45C07FE7" w14:textId="77777777" w:rsidR="00682477" w:rsidRPr="00792E53" w:rsidRDefault="00682477" w:rsidP="00682477">
      <w:pPr>
        <w:pStyle w:val="Heading1"/>
        <w:bidi/>
        <w:spacing w:after="120"/>
        <w:rPr>
          <w:sz w:val="32"/>
          <w:szCs w:val="28"/>
        </w:rPr>
      </w:pPr>
      <w:r w:rsidRPr="00792E53">
        <w:rPr>
          <w:sz w:val="32"/>
          <w:szCs w:val="28"/>
          <w:rtl/>
          <w:lang w:eastAsia="ar" w:bidi="ar-EG"/>
        </w:rPr>
        <w:t>وأكد أحد الممثلين عزم الطرف الذي يمثله على تكملة المشروع التجريبي بمبادرة تبحث في مصادر انبعاثات المواد ذات الصلة ببروتوكول مونتريال، لا سيما من العمليات الصناعية، ومواقعها والتوزيع الإقليمي ذي الصلة وتساعد على تحديدها. ونظراً لضيق الوقت المتاح للفريق الذي مُنح ولاية النظر في مشروع المقرر المقدم من الاتحاد الأوروبي، وافق الفريق العامل على إحالة مشروع المقرر</w:t>
      </w:r>
      <w:r w:rsidRPr="00792E53">
        <w:rPr>
          <w:rStyle w:val="FootnoteReference"/>
          <w:sz w:val="32"/>
          <w:szCs w:val="28"/>
          <w:rtl/>
          <w:lang w:eastAsia="ar" w:bidi="ar-EG"/>
        </w:rPr>
        <w:footnoteReference w:id="4"/>
      </w:r>
      <w:r w:rsidRPr="00792E53">
        <w:rPr>
          <w:sz w:val="32"/>
          <w:szCs w:val="28"/>
          <w:rtl/>
          <w:lang w:eastAsia="ar" w:bidi="ar-EG"/>
        </w:rPr>
        <w:t xml:space="preserve"> إلى اجتماع الأطراف الرابع والثلاثين لمواصلة النظر فيه.</w:t>
      </w:r>
    </w:p>
    <w:p w14:paraId="04F79EBB" w14:textId="77777777" w:rsidR="00682477" w:rsidRPr="00792E53" w:rsidRDefault="00682477" w:rsidP="00682477">
      <w:pPr>
        <w:keepNext/>
        <w:tabs>
          <w:tab w:val="left" w:pos="8280"/>
        </w:tabs>
        <w:bidi/>
        <w:spacing w:after="240"/>
        <w:rPr>
          <w:sz w:val="32"/>
          <w:szCs w:val="28"/>
          <w:u w:val="single"/>
          <w:lang w:val="en-CA"/>
        </w:rPr>
      </w:pPr>
      <w:r w:rsidRPr="00792E53">
        <w:rPr>
          <w:sz w:val="32"/>
          <w:szCs w:val="28"/>
          <w:u w:val="single"/>
          <w:rtl/>
          <w:lang w:eastAsia="ar" w:bidi="ar-EG"/>
        </w:rPr>
        <w:t>المناقشات في اجتماع الأطراف الرابع والثلاثين</w:t>
      </w:r>
    </w:p>
    <w:p w14:paraId="2A912F4C" w14:textId="77777777" w:rsidR="00682477" w:rsidRPr="00792E53" w:rsidRDefault="00682477" w:rsidP="00682477">
      <w:pPr>
        <w:pStyle w:val="Heading1"/>
        <w:bidi/>
        <w:spacing w:after="0"/>
        <w:rPr>
          <w:sz w:val="32"/>
          <w:szCs w:val="28"/>
          <w:lang w:val="en-CA"/>
        </w:rPr>
      </w:pPr>
      <w:r w:rsidRPr="00792E53">
        <w:rPr>
          <w:sz w:val="32"/>
          <w:szCs w:val="28"/>
          <w:rtl/>
          <w:lang w:eastAsia="ar" w:bidi="ar-EG"/>
        </w:rPr>
        <w:t xml:space="preserve">في اجتماع الأطراف الرابع والثلاثين، نظرت الأطراف في وثيقتين من قاعة الاجتماع في إطار بند جدول الأعمال المتعلق بالعمليات المؤسسية لتعزيز التنفيذ والإنفاذ الفعالين لبروتوكول مونتريال. واقترحت الوثيقة الأولى سلسلة من الإجراءات التي يمكن أن تتخذها الأطراف على المدى القصير (وهي: إدخال تقسيمات فرعية منفصلة للمواد الهيدروفلوروكربونية والخلائط في النظام الوطني للتصنيف الجمركي؛ والتشجيع على تبادل المعلومات وتكثيف الجهود المشتركة لتحسين وسائل اكتشاف الإتجار غير المشروع ومنعه؛ والتشجيع على إبلاغ الأمانة بحالات الإتجار غير المشروع المثبتة تماماً)، ومواصلة مناقشة هذه المسألة في عام 2023، مع تقديم أمانة الأوزون معلومات إضافية وتنظيمها حلقة عمل بشأن مواصلة تعزيز التنفيذ والإنفاذ الفعالين لبروتوكول مونتريال، تُعقد بالتعاقب مع الاجتماع </w:t>
      </w:r>
      <w:bookmarkStart w:id="0" w:name="_Hlk118140372"/>
      <w:r w:rsidRPr="00792E53">
        <w:rPr>
          <w:sz w:val="32"/>
          <w:szCs w:val="28"/>
          <w:rtl/>
          <w:lang w:eastAsia="ar" w:bidi="ar-EG"/>
        </w:rPr>
        <w:t>الخامس والأربعين للفريق العامل المفتوح العضوية</w:t>
      </w:r>
      <w:bookmarkEnd w:id="0"/>
      <w:r w:rsidRPr="00792E53">
        <w:rPr>
          <w:sz w:val="32"/>
          <w:szCs w:val="28"/>
          <w:rtl/>
          <w:lang w:eastAsia="ar" w:bidi="ar-EG"/>
        </w:rPr>
        <w:t>. وطلبت الوثيقة الثانية من فريق التكنولوجيا والتقييم الاقتصادي إعداد تقرير لاجتماع الأطراف الخامس والثلاثين يقدم معلومات إضافية تتعلق بالهيدروفلوروكربون-23. وبعد مناقشات في فريق اتصال، وافقت الأطراف على المقرر 34/7 (تعزيز العمليات المؤسسية فيما يتعلق بالمعلومات بشأن انبعاثات المنتج الثانوي الهيدروفلوروكربون-23؛) والمقرر 34/8 (تعزيز مؤسسات بروتوكول مونتريال، بما في ذلك لمكافحة الاتجار غير المشروع).</w:t>
      </w:r>
    </w:p>
    <w:p w14:paraId="1ED03567" w14:textId="77777777" w:rsidR="00682477" w:rsidRPr="00792E53" w:rsidRDefault="00682477" w:rsidP="00682477">
      <w:pPr>
        <w:bidi/>
        <w:rPr>
          <w:sz w:val="32"/>
          <w:szCs w:val="28"/>
          <w:lang w:val="en-CA"/>
        </w:rPr>
      </w:pPr>
    </w:p>
    <w:p w14:paraId="349D6C23" w14:textId="77777777" w:rsidR="00682477" w:rsidRPr="00792E53" w:rsidRDefault="00682477" w:rsidP="00682477">
      <w:pPr>
        <w:pStyle w:val="Heading1"/>
        <w:bidi/>
        <w:rPr>
          <w:sz w:val="32"/>
          <w:szCs w:val="28"/>
        </w:rPr>
      </w:pPr>
      <w:r w:rsidRPr="00792E53">
        <w:rPr>
          <w:sz w:val="32"/>
          <w:szCs w:val="28"/>
          <w:rtl/>
          <w:lang w:eastAsia="ar" w:bidi="ar-EG"/>
        </w:rPr>
        <w:t>وإضافة إلى ذلك نظرت الأطراف في ما يلي: تحديث من الأمانة لتقريرها المرحلي استجابة لطلب الأطراف في المقرر 33/4 بشأن تعزيز الرصد الجوي العالمي والإقليمي للمواد الخاضعة للرقابة بموجب بروتوكول مونتريال؛</w:t>
      </w:r>
      <w:r w:rsidRPr="00792E53">
        <w:rPr>
          <w:rStyle w:val="FootnoteReference"/>
          <w:sz w:val="32"/>
          <w:szCs w:val="28"/>
          <w:rtl/>
          <w:lang w:eastAsia="ar" w:bidi="ar-EG"/>
        </w:rPr>
        <w:footnoteReference w:id="5"/>
      </w:r>
      <w:r w:rsidRPr="00792E53">
        <w:rPr>
          <w:sz w:val="32"/>
          <w:szCs w:val="28"/>
          <w:rtl/>
          <w:lang w:eastAsia="ar" w:bidi="ar-EG"/>
        </w:rPr>
        <w:t xml:space="preserve"> ومشروع المقرر بشأن تحديد مصادر الانبعاثات الناشئة عن العمليات الصناعية الذي قدمه الاتحاد الأوروبي في الاجتماع الرابع والأربعين للفريق العامل المفتوح العضوية؛ ووثيقة من قاعة الاجتماع تهدف إلى المساعدة في سد الفجوات المعرفية الحالية بشأن انبعاثات رابع كلوريد الكربون. وبعد مناقشات جرت في فريق اتصال، وافقت الأطراف على المقرر 34/5 (تحديد الثغرات في التغطية العالمية </w:t>
      </w:r>
      <w:r w:rsidRPr="00792E53">
        <w:rPr>
          <w:sz w:val="32"/>
          <w:szCs w:val="28"/>
          <w:rtl/>
          <w:lang w:eastAsia="ar" w:bidi="ar-EG"/>
        </w:rPr>
        <w:lastRenderedPageBreak/>
        <w:t xml:space="preserve">للرصد الجوي للمواد الخاضعة للرقابة والخيارات المتاحة لتعزيز هذا الرصد) والمقرر 34/6 (الانبعاثات المستمرة من رابع كلوريد الكربون). </w:t>
      </w:r>
    </w:p>
    <w:p w14:paraId="164A4BA4" w14:textId="77777777" w:rsidR="00682477" w:rsidRPr="00792E53" w:rsidRDefault="00682477" w:rsidP="00682477">
      <w:pPr>
        <w:bidi/>
        <w:rPr>
          <w:b/>
          <w:bCs/>
          <w:sz w:val="32"/>
          <w:szCs w:val="32"/>
          <w:lang w:val="en-CA"/>
        </w:rPr>
      </w:pPr>
      <w:r w:rsidRPr="00792E53">
        <w:rPr>
          <w:b/>
          <w:bCs/>
          <w:sz w:val="32"/>
          <w:szCs w:val="32"/>
          <w:rtl/>
          <w:lang w:eastAsia="ar" w:bidi="ar-EG"/>
        </w:rPr>
        <w:t>تقديم الوثيقة إلى الاجتماع الحادي والتسعين</w:t>
      </w:r>
    </w:p>
    <w:p w14:paraId="3B448CA6" w14:textId="77777777" w:rsidR="00682477" w:rsidRPr="00792E53" w:rsidRDefault="00682477" w:rsidP="00682477">
      <w:pPr>
        <w:bidi/>
        <w:rPr>
          <w:sz w:val="32"/>
          <w:szCs w:val="28"/>
          <w:lang w:val="en-CA"/>
        </w:rPr>
      </w:pPr>
    </w:p>
    <w:p w14:paraId="4FD48D60" w14:textId="77777777" w:rsidR="00682477" w:rsidRPr="00792E53" w:rsidRDefault="00682477" w:rsidP="00682477">
      <w:pPr>
        <w:pStyle w:val="Heading1"/>
        <w:bidi/>
        <w:rPr>
          <w:sz w:val="28"/>
          <w:szCs w:val="28"/>
        </w:rPr>
      </w:pPr>
      <w:r w:rsidRPr="00792E53">
        <w:rPr>
          <w:sz w:val="28"/>
          <w:szCs w:val="28"/>
          <w:rtl/>
          <w:lang w:eastAsia="ar" w:bidi="ar-EG"/>
        </w:rPr>
        <w:t xml:space="preserve">لتيسير المناقشات في الاجتماع الحادي والتسعين عملاً بالمقرر 89/2، أرفقت الأمانة الوثيقة </w:t>
      </w:r>
      <w:r w:rsidRPr="00792E53">
        <w:rPr>
          <w:sz w:val="28"/>
          <w:szCs w:val="28"/>
          <w:lang w:eastAsia="ar" w:bidi="en-GB"/>
        </w:rPr>
        <w:t>UNEP/OzL.Pro/ExCom</w:t>
      </w:r>
      <w:r w:rsidRPr="00792E53">
        <w:rPr>
          <w:sz w:val="28"/>
          <w:szCs w:val="28"/>
          <w:lang w:eastAsia="ar" w:bidi="ar-EG"/>
        </w:rPr>
        <w:t>/89/3</w:t>
      </w:r>
      <w:r w:rsidRPr="00792E53">
        <w:rPr>
          <w:sz w:val="28"/>
          <w:szCs w:val="28"/>
          <w:rtl/>
          <w:lang w:eastAsia="ar" w:bidi="ar-EG"/>
        </w:rPr>
        <w:t xml:space="preserve"> بهذه المذكرة التي أعدتها الأمانة. </w:t>
      </w:r>
    </w:p>
    <w:p w14:paraId="28408A3F" w14:textId="77777777" w:rsidR="00682477" w:rsidRPr="00792E53" w:rsidRDefault="00682477" w:rsidP="00682477">
      <w:pPr>
        <w:bidi/>
        <w:rPr>
          <w:b/>
          <w:sz w:val="28"/>
          <w:szCs w:val="28"/>
          <w:lang w:val="en-CA"/>
        </w:rPr>
      </w:pPr>
      <w:r w:rsidRPr="00792E53">
        <w:rPr>
          <w:b/>
          <w:bCs/>
          <w:sz w:val="28"/>
          <w:szCs w:val="28"/>
          <w:rtl/>
          <w:lang w:eastAsia="ar" w:bidi="ar-EG"/>
        </w:rPr>
        <w:t>التوصية</w:t>
      </w:r>
    </w:p>
    <w:p w14:paraId="4F045BB7" w14:textId="77777777" w:rsidR="00682477" w:rsidRPr="00792E53" w:rsidRDefault="00682477" w:rsidP="00682477">
      <w:pPr>
        <w:bidi/>
        <w:rPr>
          <w:sz w:val="28"/>
          <w:szCs w:val="28"/>
          <w:lang w:val="en-CA"/>
        </w:rPr>
      </w:pPr>
    </w:p>
    <w:p w14:paraId="753F6A99" w14:textId="797D90B1" w:rsidR="00682477" w:rsidRPr="00792E53" w:rsidRDefault="00682477" w:rsidP="00682477">
      <w:pPr>
        <w:pStyle w:val="Heading1"/>
        <w:bidi/>
        <w:rPr>
          <w:sz w:val="28"/>
          <w:szCs w:val="28"/>
        </w:rPr>
      </w:pPr>
      <w:r w:rsidRPr="00792E53">
        <w:rPr>
          <w:sz w:val="28"/>
          <w:szCs w:val="28"/>
          <w:rtl/>
          <w:lang w:eastAsia="ar" w:bidi="ar-EG"/>
        </w:rPr>
        <w:t xml:space="preserve">قد ترغب اللجنة التنفيذية في أن تطلب إلى الأمانة إعداد تحديث للوثيقة </w:t>
      </w:r>
      <w:r w:rsidRPr="00792E53">
        <w:rPr>
          <w:sz w:val="28"/>
          <w:szCs w:val="28"/>
          <w:lang w:eastAsia="ar" w:bidi="en-GB"/>
        </w:rPr>
        <w:t>UNEP/OzL.Pro/ExCom</w:t>
      </w:r>
      <w:r w:rsidRPr="00792E53">
        <w:rPr>
          <w:sz w:val="28"/>
          <w:szCs w:val="28"/>
          <w:lang w:eastAsia="ar" w:bidi="ar-EG"/>
        </w:rPr>
        <w:t>/89/3</w:t>
      </w:r>
      <w:r w:rsidRPr="00792E53">
        <w:rPr>
          <w:sz w:val="28"/>
          <w:szCs w:val="28"/>
          <w:rtl/>
          <w:lang w:eastAsia="ar" w:bidi="ar-EG"/>
        </w:rPr>
        <w:t xml:space="preserve"> بشأن الاستعراض العام لنظم الرصد والإبلاغ والتحقق والترخيص والحصص، من أجل النظر فيها في الاجتماع الثالث والتسعين، تكون على نحو يتضمن مراعاة المناقشات التي جرت في الاجتماعين التاسع والثمانين والحادي والتسعين للجنة التنفيذية، ونتائج الاجتماع الرابع والثلاثين للأطراف في بروتوكول مونتريال، وحسب الاقتضاء، المناقشات في حلقة العمل التي ستنظم عملاً بالمقرر</w:t>
      </w:r>
      <w:r w:rsidR="00615174">
        <w:rPr>
          <w:rFonts w:hint="eastAsia"/>
          <w:sz w:val="28"/>
          <w:szCs w:val="28"/>
          <w:rtl/>
          <w:lang w:eastAsia="ar" w:bidi="ar-SY"/>
        </w:rPr>
        <w:t> </w:t>
      </w:r>
      <w:r w:rsidRPr="00792E53">
        <w:rPr>
          <w:sz w:val="28"/>
          <w:szCs w:val="28"/>
          <w:rtl/>
          <w:lang w:eastAsia="ar" w:bidi="ar-EG"/>
        </w:rPr>
        <w:t xml:space="preserve">34/8. </w:t>
      </w:r>
    </w:p>
    <w:p w14:paraId="028E9C23" w14:textId="77777777" w:rsidR="00702662" w:rsidRPr="00682477" w:rsidRDefault="00702662" w:rsidP="00702662">
      <w:pPr>
        <w:bidi/>
        <w:jc w:val="left"/>
        <w:rPr>
          <w:sz w:val="28"/>
          <w:szCs w:val="28"/>
          <w:rtl/>
          <w:lang w:bidi="ar-SA"/>
        </w:rPr>
      </w:pPr>
    </w:p>
    <w:p w14:paraId="3408AB14" w14:textId="77777777" w:rsidR="007E5D09" w:rsidRDefault="007E5D09">
      <w:pPr>
        <w:pStyle w:val="Heading2"/>
        <w:numPr>
          <w:ilvl w:val="0"/>
          <w:numId w:val="0"/>
        </w:numPr>
        <w:ind w:left="4"/>
        <w:rPr>
          <w:rtl/>
          <w:lang w:val="en-CA" w:bidi="ar-EG"/>
        </w:rPr>
      </w:pPr>
    </w:p>
    <w:p w14:paraId="4B97F93B" w14:textId="77777777" w:rsidR="007E5D09" w:rsidRDefault="007E5D09">
      <w:pPr>
        <w:pStyle w:val="StyleHeader4Para4Left0Firstline0"/>
        <w:numPr>
          <w:ilvl w:val="0"/>
          <w:numId w:val="0"/>
        </w:numPr>
      </w:pPr>
    </w:p>
    <w:p w14:paraId="20412A8C" w14:textId="77777777" w:rsidR="007E5D09" w:rsidRDefault="00E1360E">
      <w:pPr>
        <w:pStyle w:val="StyleHeader4Para4Left0Firstline0"/>
        <w:numPr>
          <w:ilvl w:val="0"/>
          <w:numId w:val="0"/>
        </w:numPr>
      </w:pPr>
      <w:r>
        <w:br w:type="page"/>
      </w:r>
    </w:p>
    <w:p w14:paraId="7F09F5BA" w14:textId="77777777" w:rsidR="007E5D09" w:rsidRDefault="007E5D09">
      <w:pPr>
        <w:pStyle w:val="StyleHeader4Para4Left0Firstline0"/>
        <w:numPr>
          <w:ilvl w:val="0"/>
          <w:numId w:val="0"/>
        </w:numPr>
      </w:pPr>
    </w:p>
    <w:p w14:paraId="3C24DB9A" w14:textId="77777777" w:rsidR="007E5D09" w:rsidRDefault="007E5D09">
      <w:pPr>
        <w:pStyle w:val="StyleHeader4Para4Left0Firstline0"/>
        <w:numPr>
          <w:ilvl w:val="0"/>
          <w:numId w:val="0"/>
        </w:numPr>
      </w:pPr>
    </w:p>
    <w:p w14:paraId="6D0986AC" w14:textId="77777777" w:rsidR="007E5D09" w:rsidRDefault="00E1360E">
      <w:pPr>
        <w:pStyle w:val="Heading3"/>
        <w:numPr>
          <w:ilvl w:val="0"/>
          <w:numId w:val="0"/>
        </w:numPr>
        <w:ind w:left="1361" w:firstLine="720"/>
      </w:pPr>
      <w:r>
        <w:br w:type="page"/>
      </w:r>
    </w:p>
    <w:p w14:paraId="21806B9F" w14:textId="77777777"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lastRenderedPageBreak/>
        <w:br w:type="page"/>
      </w:r>
    </w:p>
    <w:p w14:paraId="56AD8568"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59E3CE08" w14:textId="30948D0E"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p>
    <w:p w14:paraId="1363EE4A" w14:textId="77777777" w:rsidR="007E5D09" w:rsidRDefault="007E5D09">
      <w:pPr>
        <w:bidi/>
        <w:jc w:val="center"/>
        <w:rPr>
          <w:rFonts w:cs="Arabic Transparent"/>
          <w:b/>
          <w:bCs/>
          <w:sz w:val="26"/>
          <w:szCs w:val="26"/>
          <w:lang w:val="en-CA" w:bidi="ar-EG"/>
        </w:rPr>
      </w:pPr>
    </w:p>
    <w:p w14:paraId="7BB93724" w14:textId="77777777" w:rsidR="007E5D09" w:rsidRDefault="007E5D09">
      <w:pPr>
        <w:pStyle w:val="Heading3"/>
        <w:numPr>
          <w:ilvl w:val="0"/>
          <w:numId w:val="0"/>
        </w:numPr>
        <w:ind w:left="1361"/>
      </w:pPr>
    </w:p>
    <w:p w14:paraId="0B854B01" w14:textId="77777777" w:rsidR="007E5D09" w:rsidRDefault="007E5D09">
      <w:pPr>
        <w:pStyle w:val="StyleHeader4Para4Left0Firstline0"/>
        <w:numPr>
          <w:ilvl w:val="0"/>
          <w:numId w:val="0"/>
        </w:numPr>
        <w:rPr>
          <w:rtl/>
        </w:rPr>
      </w:pPr>
    </w:p>
    <w:p w14:paraId="139B20A2" w14:textId="77777777" w:rsidR="007E5D09" w:rsidRDefault="007E5D09">
      <w:pPr>
        <w:pStyle w:val="StyleHeader4Para4Left0Firstline0"/>
        <w:numPr>
          <w:ilvl w:val="0"/>
          <w:numId w:val="0"/>
        </w:numPr>
        <w:rPr>
          <w:rtl/>
        </w:rPr>
      </w:pPr>
    </w:p>
    <w:p w14:paraId="413FB454" w14:textId="77777777" w:rsidR="007E5D09" w:rsidRDefault="007E5D09">
      <w:pPr>
        <w:pStyle w:val="StyleHeader4Para4Left0Firstline0"/>
        <w:numPr>
          <w:ilvl w:val="0"/>
          <w:numId w:val="0"/>
        </w:numPr>
        <w:rPr>
          <w:rtl/>
        </w:rPr>
      </w:pPr>
    </w:p>
    <w:p w14:paraId="43F5CD50" w14:textId="77777777" w:rsidR="007E5D09" w:rsidRDefault="007E5D09">
      <w:pPr>
        <w:pStyle w:val="StyleHeader4Para4Left0Firstline0"/>
        <w:numPr>
          <w:ilvl w:val="0"/>
          <w:numId w:val="0"/>
        </w:numPr>
        <w:rPr>
          <w:rtl/>
        </w:rPr>
      </w:pPr>
    </w:p>
    <w:p w14:paraId="47D244E3" w14:textId="77777777" w:rsidR="007E5D09" w:rsidRDefault="007E5D09">
      <w:pPr>
        <w:pStyle w:val="StyleHeader4Para4Left0Firstline0"/>
        <w:numPr>
          <w:ilvl w:val="0"/>
          <w:numId w:val="0"/>
        </w:numPr>
        <w:rPr>
          <w:rtl/>
        </w:rPr>
      </w:pPr>
    </w:p>
    <w:p w14:paraId="68A99599" w14:textId="77777777" w:rsidR="007E5D09" w:rsidRDefault="007E5D09">
      <w:pPr>
        <w:pStyle w:val="StyleHeader4Para4Left0Firstline0"/>
        <w:numPr>
          <w:ilvl w:val="0"/>
          <w:numId w:val="0"/>
        </w:numPr>
        <w:rPr>
          <w:rtl/>
        </w:rPr>
      </w:pPr>
    </w:p>
    <w:p w14:paraId="4CDD0651" w14:textId="77777777" w:rsidR="007E5D09" w:rsidRDefault="007E5D09">
      <w:pPr>
        <w:pStyle w:val="StyleHeader4Para4Left0Firstline0"/>
        <w:numPr>
          <w:ilvl w:val="0"/>
          <w:numId w:val="0"/>
        </w:numPr>
        <w:rPr>
          <w:rtl/>
        </w:rPr>
      </w:pPr>
    </w:p>
    <w:p w14:paraId="5648354E" w14:textId="77777777" w:rsidR="007E5D09" w:rsidRDefault="007E5D09">
      <w:pPr>
        <w:pStyle w:val="StyleHeader4Para4Left0Firstline0"/>
        <w:numPr>
          <w:ilvl w:val="0"/>
          <w:numId w:val="0"/>
        </w:numPr>
        <w:rPr>
          <w:rtl/>
        </w:rPr>
      </w:pPr>
    </w:p>
    <w:p w14:paraId="2B31D00C" w14:textId="77777777" w:rsidR="007E5D09" w:rsidRDefault="007E5D09">
      <w:pPr>
        <w:pStyle w:val="StyleHeader4Para4Left0Firstline0"/>
        <w:numPr>
          <w:ilvl w:val="0"/>
          <w:numId w:val="0"/>
        </w:numPr>
        <w:rPr>
          <w:rtl/>
        </w:rPr>
      </w:pPr>
    </w:p>
    <w:p w14:paraId="3107269D" w14:textId="77777777" w:rsidR="007E5D09" w:rsidRDefault="007E5D09">
      <w:pPr>
        <w:pStyle w:val="StyleHeader4Para4Left0Firstline0"/>
        <w:numPr>
          <w:ilvl w:val="0"/>
          <w:numId w:val="0"/>
        </w:numPr>
        <w:rPr>
          <w:rtl/>
        </w:rPr>
      </w:pPr>
    </w:p>
    <w:p w14:paraId="7A612F19" w14:textId="77777777" w:rsidR="007E5D09" w:rsidRDefault="007E5D09">
      <w:pPr>
        <w:pStyle w:val="StyleHeader4Para4Left0Firstline0"/>
        <w:numPr>
          <w:ilvl w:val="0"/>
          <w:numId w:val="0"/>
        </w:numPr>
        <w:rPr>
          <w:rtl/>
        </w:rPr>
      </w:pPr>
    </w:p>
    <w:p w14:paraId="7D58B8A8" w14:textId="77777777" w:rsidR="007E5D09" w:rsidRDefault="007E5D09">
      <w:pPr>
        <w:pStyle w:val="StyleHeader4Para4Left0Firstline0"/>
        <w:numPr>
          <w:ilvl w:val="0"/>
          <w:numId w:val="0"/>
        </w:numPr>
        <w:rPr>
          <w:rtl/>
        </w:rPr>
      </w:pPr>
    </w:p>
    <w:p w14:paraId="4FB0F87F" w14:textId="77777777" w:rsidR="007E5D09" w:rsidRDefault="007E5D09">
      <w:pPr>
        <w:pStyle w:val="StyleHeader4Para4Left0Firstline0"/>
        <w:numPr>
          <w:ilvl w:val="0"/>
          <w:numId w:val="0"/>
        </w:numPr>
        <w:rPr>
          <w:rtl/>
        </w:rPr>
      </w:pPr>
    </w:p>
    <w:p w14:paraId="5339F687" w14:textId="77777777" w:rsidR="007E5D09" w:rsidRDefault="007E5D09">
      <w:pPr>
        <w:pStyle w:val="StyleHeader4Para4Left0Firstline0"/>
        <w:numPr>
          <w:ilvl w:val="0"/>
          <w:numId w:val="0"/>
        </w:numPr>
        <w:rPr>
          <w:rtl/>
        </w:rPr>
      </w:pPr>
    </w:p>
    <w:p w14:paraId="71B38370" w14:textId="77777777" w:rsidR="007E5D09" w:rsidRDefault="007E5D09">
      <w:pPr>
        <w:pStyle w:val="StyleHeader4Para4Left0Firstline0"/>
        <w:numPr>
          <w:ilvl w:val="0"/>
          <w:numId w:val="0"/>
        </w:numPr>
        <w:rPr>
          <w:rtl/>
        </w:rPr>
      </w:pPr>
    </w:p>
    <w:p w14:paraId="0EC65D32" w14:textId="77777777" w:rsidR="007E5D09" w:rsidRDefault="007E5D09">
      <w:pPr>
        <w:pStyle w:val="StyleHeader4Para4Left0Firstline0"/>
        <w:numPr>
          <w:ilvl w:val="0"/>
          <w:numId w:val="0"/>
        </w:numPr>
        <w:rPr>
          <w:rtl/>
        </w:rPr>
      </w:pPr>
    </w:p>
    <w:p w14:paraId="6AF2043A" w14:textId="77777777" w:rsidR="007E5D09" w:rsidRDefault="007E5D09">
      <w:pPr>
        <w:pStyle w:val="StyleHeader4Para4Left0Firstline0"/>
        <w:numPr>
          <w:ilvl w:val="0"/>
          <w:numId w:val="0"/>
        </w:numPr>
        <w:rPr>
          <w:rtl/>
        </w:rPr>
      </w:pPr>
    </w:p>
    <w:p w14:paraId="619926B2" w14:textId="77777777" w:rsidR="007E5D09" w:rsidRDefault="007E5D09">
      <w:pPr>
        <w:pStyle w:val="StyleHeader4Para4Left0Firstline0"/>
        <w:numPr>
          <w:ilvl w:val="0"/>
          <w:numId w:val="0"/>
        </w:numPr>
        <w:rPr>
          <w:rtl/>
        </w:rPr>
      </w:pPr>
    </w:p>
    <w:p w14:paraId="4B6E5DCB" w14:textId="77777777" w:rsidR="007E5D09" w:rsidRDefault="007E5D09">
      <w:pPr>
        <w:pStyle w:val="StyleHeader4Para4Left0Firstline0"/>
        <w:numPr>
          <w:ilvl w:val="0"/>
          <w:numId w:val="0"/>
        </w:numPr>
      </w:pPr>
    </w:p>
    <w:p w14:paraId="64111A7F" w14:textId="77777777" w:rsidR="007E5D09" w:rsidRDefault="007E5D09">
      <w:pPr>
        <w:rPr>
          <w:rtl/>
          <w:lang w:val="en-CA"/>
        </w:rPr>
      </w:pPr>
    </w:p>
    <w:p w14:paraId="7F326D99" w14:textId="77777777" w:rsidR="007E5D09" w:rsidRDefault="007E5D09">
      <w:pPr>
        <w:rPr>
          <w:rtl/>
          <w:lang w:val="en-CA"/>
        </w:rPr>
      </w:pPr>
    </w:p>
    <w:p w14:paraId="4CA38343" w14:textId="77777777" w:rsidR="007E5D09" w:rsidRDefault="007E5D09">
      <w:pPr>
        <w:rPr>
          <w:rtl/>
          <w:lang w:val="en-CA"/>
        </w:rPr>
      </w:pPr>
    </w:p>
    <w:p w14:paraId="37EF84C5" w14:textId="77777777" w:rsidR="007E5D09" w:rsidRDefault="007E5D09">
      <w:pPr>
        <w:rPr>
          <w:rtl/>
          <w:lang w:val="en-CA"/>
        </w:rPr>
      </w:pPr>
    </w:p>
    <w:p w14:paraId="7AC554D3" w14:textId="77777777" w:rsidR="007E5D09" w:rsidRDefault="007E5D09">
      <w:pPr>
        <w:rPr>
          <w:rtl/>
          <w:lang w:val="en-CA"/>
        </w:rPr>
      </w:pPr>
    </w:p>
    <w:p w14:paraId="7F542BFE" w14:textId="77777777" w:rsidR="007E5D09" w:rsidRDefault="007E5D09">
      <w:pPr>
        <w:rPr>
          <w:rtl/>
          <w:lang w:val="en-CA"/>
        </w:rPr>
      </w:pPr>
    </w:p>
    <w:p w14:paraId="5B28AD87" w14:textId="77777777"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128D0" w14:textId="77777777" w:rsidR="00A30794" w:rsidRDefault="00A30794">
      <w:r>
        <w:separator/>
      </w:r>
    </w:p>
  </w:endnote>
  <w:endnote w:type="continuationSeparator" w:id="0">
    <w:p w14:paraId="1E186FB1" w14:textId="77777777" w:rsidR="00A30794" w:rsidRDefault="00A30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B18F3"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059EE"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0536C140"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BA41D"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FD3C852"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02294"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307A2"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6CABE9C7"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1A345F12"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90A67" w14:textId="77777777" w:rsidR="00A30794" w:rsidRDefault="00A30794">
      <w:r>
        <w:separator/>
      </w:r>
    </w:p>
  </w:footnote>
  <w:footnote w:type="continuationSeparator" w:id="0">
    <w:p w14:paraId="3B3C52E5" w14:textId="77777777" w:rsidR="00A30794" w:rsidRDefault="00A30794">
      <w:r>
        <w:continuationSeparator/>
      </w:r>
    </w:p>
  </w:footnote>
  <w:footnote w:id="1">
    <w:p w14:paraId="1CE957BC" w14:textId="77777777" w:rsidR="00682477" w:rsidRDefault="00682477" w:rsidP="00682477">
      <w:pPr>
        <w:pStyle w:val="FootnoteText"/>
        <w:bidi/>
      </w:pPr>
      <w:r>
        <w:rPr>
          <w:rStyle w:val="FootnoteReference"/>
          <w:rtl/>
          <w:lang w:eastAsia="ar" w:bidi="ar-EG"/>
        </w:rPr>
        <w:footnoteRef/>
      </w:r>
      <w:r>
        <w:rPr>
          <w:rtl/>
          <w:lang w:eastAsia="ar" w:bidi="ar-EG"/>
        </w:rPr>
        <w:t xml:space="preserve"> الوثيقة </w:t>
      </w:r>
      <w:r>
        <w:rPr>
          <w:lang w:eastAsia="ar" w:bidi="en-GB"/>
        </w:rPr>
        <w:t>UNEP/OzL.Pro/ExCom</w:t>
      </w:r>
      <w:r>
        <w:rPr>
          <w:lang w:eastAsia="ar" w:bidi="ar-EG"/>
        </w:rPr>
        <w:t>/91/1</w:t>
      </w:r>
      <w:r>
        <w:rPr>
          <w:rtl/>
          <w:lang w:eastAsia="ar" w:bidi="ar-EG"/>
        </w:rPr>
        <w:t>.</w:t>
      </w:r>
    </w:p>
  </w:footnote>
  <w:footnote w:id="2">
    <w:p w14:paraId="3ED78D5B" w14:textId="77777777" w:rsidR="00682477" w:rsidRPr="00FA26A1" w:rsidRDefault="00682477" w:rsidP="00682477">
      <w:pPr>
        <w:pStyle w:val="FootnoteText"/>
        <w:bidi/>
        <w:spacing w:after="60"/>
        <w:rPr>
          <w:lang w:val="en-US"/>
        </w:rPr>
      </w:pPr>
      <w:r>
        <w:rPr>
          <w:rStyle w:val="FootnoteReference"/>
          <w:rtl/>
          <w:lang w:eastAsia="ar" w:bidi="ar-EG"/>
        </w:rPr>
        <w:footnoteRef/>
      </w:r>
      <w:r>
        <w:rPr>
          <w:rtl/>
          <w:lang w:eastAsia="ar" w:bidi="ar-EG"/>
        </w:rPr>
        <w:t xml:space="preserve"> الوثيقة </w:t>
      </w:r>
      <w:r>
        <w:rPr>
          <w:lang w:eastAsia="ar" w:bidi="en-GB"/>
        </w:rPr>
        <w:t>UNEP/OzL.Pro/ExCom/86/2/Add</w:t>
      </w:r>
      <w:r>
        <w:rPr>
          <w:lang w:eastAsia="ar" w:bidi="ar-EG"/>
        </w:rPr>
        <w:t>.1</w:t>
      </w:r>
      <w:r>
        <w:rPr>
          <w:rtl/>
          <w:lang w:eastAsia="ar" w:bidi="ar-EG"/>
        </w:rPr>
        <w:t>.</w:t>
      </w:r>
    </w:p>
  </w:footnote>
  <w:footnote w:id="3">
    <w:p w14:paraId="6E56AF87" w14:textId="77777777" w:rsidR="00682477" w:rsidRPr="009D15A8" w:rsidRDefault="00682477" w:rsidP="00682477">
      <w:pPr>
        <w:pStyle w:val="FootnoteText"/>
        <w:bidi/>
        <w:rPr>
          <w:lang w:val="en-CA"/>
        </w:rPr>
      </w:pPr>
      <w:r>
        <w:rPr>
          <w:rStyle w:val="FootnoteReference"/>
          <w:rtl/>
          <w:lang w:eastAsia="ar" w:bidi="ar-EG"/>
        </w:rPr>
        <w:footnoteRef/>
      </w:r>
      <w:r>
        <w:rPr>
          <w:rtl/>
          <w:lang w:eastAsia="ar" w:bidi="ar-EG"/>
        </w:rPr>
        <w:t xml:space="preserve"> على النحو المبين في القسم باء من المرفق الثاني بالوثيقة </w:t>
      </w:r>
      <w:r>
        <w:rPr>
          <w:lang w:eastAsia="ar" w:bidi="en-GB"/>
        </w:rPr>
        <w:t>UNEP/OzL.Pro.WG</w:t>
      </w:r>
      <w:r>
        <w:rPr>
          <w:lang w:eastAsia="ar" w:bidi="ar-EG"/>
        </w:rPr>
        <w:t>.1/44/4</w:t>
      </w:r>
      <w:r>
        <w:rPr>
          <w:rtl/>
          <w:lang w:eastAsia="ar" w:bidi="ar-EG"/>
        </w:rPr>
        <w:t>.</w:t>
      </w:r>
    </w:p>
  </w:footnote>
  <w:footnote w:id="4">
    <w:p w14:paraId="0E98B539" w14:textId="77777777" w:rsidR="00682477" w:rsidRPr="00C148AC" w:rsidRDefault="00682477" w:rsidP="00682477">
      <w:pPr>
        <w:pStyle w:val="FootnoteText"/>
        <w:bidi/>
        <w:rPr>
          <w:lang w:val="en-CA"/>
        </w:rPr>
      </w:pPr>
      <w:r>
        <w:rPr>
          <w:rStyle w:val="FootnoteReference"/>
          <w:rtl/>
          <w:lang w:eastAsia="ar" w:bidi="ar-EG"/>
        </w:rPr>
        <w:footnoteRef/>
      </w:r>
      <w:r>
        <w:rPr>
          <w:rtl/>
          <w:lang w:eastAsia="ar" w:bidi="ar-EG"/>
        </w:rPr>
        <w:t xml:space="preserve"> على النحو المبين في القسم ألف من المرفق الثاني بالوثيقة </w:t>
      </w:r>
      <w:r>
        <w:rPr>
          <w:lang w:eastAsia="ar" w:bidi="en-GB"/>
        </w:rPr>
        <w:t>UNEP/OzL.Pro.WG</w:t>
      </w:r>
      <w:r>
        <w:rPr>
          <w:lang w:eastAsia="ar" w:bidi="ar-EG"/>
        </w:rPr>
        <w:t>.1/44/4</w:t>
      </w:r>
      <w:r>
        <w:rPr>
          <w:rtl/>
          <w:lang w:eastAsia="ar" w:bidi="ar-EG"/>
        </w:rPr>
        <w:t>.</w:t>
      </w:r>
    </w:p>
  </w:footnote>
  <w:footnote w:id="5">
    <w:p w14:paraId="136D03D5" w14:textId="77777777" w:rsidR="00682477" w:rsidRPr="000613BA" w:rsidRDefault="00682477" w:rsidP="00682477">
      <w:pPr>
        <w:pStyle w:val="FootnoteText"/>
        <w:bidi/>
        <w:rPr>
          <w:lang w:val="en-US"/>
        </w:rPr>
      </w:pPr>
      <w:r>
        <w:rPr>
          <w:rStyle w:val="FootnoteReference"/>
          <w:rtl/>
          <w:lang w:eastAsia="ar" w:bidi="ar-EG"/>
        </w:rPr>
        <w:footnoteRef/>
      </w:r>
      <w:r w:rsidRPr="002C5AA1">
        <w:rPr>
          <w:rtl/>
          <w:lang w:eastAsia="ar" w:bidi="ar-EG"/>
        </w:rPr>
        <w:t xml:space="preserve"> الوثيقة </w:t>
      </w:r>
      <w:r w:rsidRPr="002C5AA1">
        <w:rPr>
          <w:lang w:eastAsia="ar" w:bidi="en-GB"/>
        </w:rPr>
        <w:t>UNEP/OzL.Pro.34/2/Add</w:t>
      </w:r>
      <w:r w:rsidRPr="002C5AA1">
        <w:rPr>
          <w:lang w:eastAsia="ar" w:bidi="ar-EG"/>
        </w:rPr>
        <w:t>.1</w:t>
      </w:r>
      <w:r w:rsidRPr="002C5AA1">
        <w:rPr>
          <w:rtl/>
          <w:lang w:eastAsia="ar"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05D2B" w14:textId="13812070" w:rsidR="007E5D09" w:rsidRDefault="00615174">
    <w:pPr>
      <w:jc w:val="right"/>
    </w:pPr>
    <w:r>
      <w:fldChar w:fldCharType="begin"/>
    </w:r>
    <w:r>
      <w:instrText xml:space="preserve"> DOCPROPERTY "Document number"  \* MERGEFORMAT </w:instrText>
    </w:r>
    <w:r>
      <w:fldChar w:fldCharType="separate"/>
    </w:r>
    <w:r w:rsidR="003922F8">
      <w:t>UNEP/OzL.Pro/ExCom/91/69</w:t>
    </w:r>
    <w:r>
      <w:fldChar w:fldCharType="end"/>
    </w:r>
  </w:p>
  <w:p w14:paraId="09F33F9F" w14:textId="77777777" w:rsidR="007E5D09" w:rsidRDefault="007E5D09"/>
  <w:p w14:paraId="53DC7A1F"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5B097" w14:textId="2D561A54" w:rsidR="007E5D09" w:rsidRDefault="00615174">
    <w:pPr>
      <w:jc w:val="left"/>
    </w:pPr>
    <w:r>
      <w:fldChar w:fldCharType="begin"/>
    </w:r>
    <w:r>
      <w:instrText xml:space="preserve"> DOCPROPERTY "Document number"  \* MERGEFORMAT </w:instrText>
    </w:r>
    <w:r>
      <w:fldChar w:fldCharType="separate"/>
    </w:r>
    <w:r w:rsidR="003922F8">
      <w:t>UNEP/OzL.Pro/ExCom/91/69</w:t>
    </w:r>
    <w:r>
      <w:fldChar w:fldCharType="end"/>
    </w:r>
  </w:p>
  <w:p w14:paraId="53F461C7" w14:textId="77777777" w:rsidR="007E5D09" w:rsidRDefault="007E5D09"/>
  <w:p w14:paraId="6157EFB9"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6EF69" w14:textId="77777777" w:rsidR="007E5D09" w:rsidRDefault="00615174">
    <w:r>
      <w:fldChar w:fldCharType="begin"/>
    </w:r>
    <w:r>
      <w:instrText xml:space="preserve"> DOCPROPERTY "Document number"  \* MERGEFORMAT </w:instrText>
    </w:r>
    <w:r>
      <w:fldChar w:fldCharType="separate"/>
    </w:r>
    <w:r w:rsidR="00682477">
      <w:t>UNEP/OzL.Pro/ExCom/91/1</w:t>
    </w:r>
    <w:r>
      <w:fldChar w:fldCharType="end"/>
    </w:r>
  </w:p>
  <w:p w14:paraId="4F2B40BF" w14:textId="77777777" w:rsidR="007E5D09" w:rsidRDefault="007E5D09"/>
  <w:p w14:paraId="495FC2AB"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AEBA3" w14:textId="77777777" w:rsidR="007E5D09" w:rsidRDefault="00615174">
    <w:pPr>
      <w:jc w:val="right"/>
    </w:pPr>
    <w:r>
      <w:fldChar w:fldCharType="begin"/>
    </w:r>
    <w:r>
      <w:instrText xml:space="preserve"> DOCPROPERTY "Document number"  \* MERGEFORMAT </w:instrText>
    </w:r>
    <w:r>
      <w:fldChar w:fldCharType="separate"/>
    </w:r>
    <w:r w:rsidR="00682477">
      <w:t>UNEP/OzL.Pro/ExCom/91/1</w:t>
    </w:r>
    <w:r>
      <w:fldChar w:fldCharType="end"/>
    </w:r>
  </w:p>
  <w:p w14:paraId="101EA35C" w14:textId="77777777" w:rsidR="007E5D09" w:rsidRDefault="007E5D09"/>
  <w:p w14:paraId="026DBD6B"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1FB92" w14:textId="77777777" w:rsidR="007E5D09" w:rsidRDefault="00615174">
    <w:pPr>
      <w:jc w:val="left"/>
    </w:pPr>
    <w:r>
      <w:fldChar w:fldCharType="begin"/>
    </w:r>
    <w:r>
      <w:instrText xml:space="preserve"> DOCPROPERTY "Document number"  \* MERGEFORMAT </w:instrText>
    </w:r>
    <w:r>
      <w:fldChar w:fldCharType="separate"/>
    </w:r>
    <w:r w:rsidR="00682477">
      <w:t>UNEP/OzL.Pro/ExCom/91/1</w:t>
    </w:r>
    <w:r>
      <w:fldChar w:fldCharType="end"/>
    </w:r>
  </w:p>
  <w:p w14:paraId="601CF8CA" w14:textId="77777777" w:rsidR="007E5D09" w:rsidRDefault="00017133">
    <w:r>
      <w:t>Annex I</w:t>
    </w:r>
  </w:p>
  <w:p w14:paraId="52814BAD"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7"/>
  </w:num>
  <w:num w:numId="20" w16cid:durableId="1935045211">
    <w:abstractNumId w:val="14"/>
  </w:num>
  <w:num w:numId="21" w16cid:durableId="1318917148">
    <w:abstractNumId w:val="11"/>
  </w:num>
  <w:num w:numId="22" w16cid:durableId="1824200708">
    <w:abstractNumId w:val="13"/>
  </w:num>
  <w:num w:numId="23" w16cid:durableId="18779617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477"/>
    <w:rsid w:val="00013372"/>
    <w:rsid w:val="00017133"/>
    <w:rsid w:val="0004254A"/>
    <w:rsid w:val="000861FE"/>
    <w:rsid w:val="000C2FE8"/>
    <w:rsid w:val="001D2B45"/>
    <w:rsid w:val="002B535E"/>
    <w:rsid w:val="002E6A6F"/>
    <w:rsid w:val="002E7EF7"/>
    <w:rsid w:val="002F505F"/>
    <w:rsid w:val="0035441C"/>
    <w:rsid w:val="003922F8"/>
    <w:rsid w:val="003C2739"/>
    <w:rsid w:val="003F2852"/>
    <w:rsid w:val="00416AD7"/>
    <w:rsid w:val="004C5B74"/>
    <w:rsid w:val="005B65DF"/>
    <w:rsid w:val="005C7D4A"/>
    <w:rsid w:val="00610463"/>
    <w:rsid w:val="00615174"/>
    <w:rsid w:val="00624AEF"/>
    <w:rsid w:val="00662A73"/>
    <w:rsid w:val="00682477"/>
    <w:rsid w:val="006F2A2C"/>
    <w:rsid w:val="00702662"/>
    <w:rsid w:val="00786775"/>
    <w:rsid w:val="00791A1A"/>
    <w:rsid w:val="00792E53"/>
    <w:rsid w:val="007C6EF9"/>
    <w:rsid w:val="007D141D"/>
    <w:rsid w:val="007D567C"/>
    <w:rsid w:val="007E5D09"/>
    <w:rsid w:val="00885865"/>
    <w:rsid w:val="008E3DF3"/>
    <w:rsid w:val="00983FD1"/>
    <w:rsid w:val="009C46B2"/>
    <w:rsid w:val="00A30794"/>
    <w:rsid w:val="00A44778"/>
    <w:rsid w:val="00A755B6"/>
    <w:rsid w:val="00AB4886"/>
    <w:rsid w:val="00B11DB6"/>
    <w:rsid w:val="00B40E87"/>
    <w:rsid w:val="00B81E83"/>
    <w:rsid w:val="00C0337B"/>
    <w:rsid w:val="00C27B58"/>
    <w:rsid w:val="00C55EF2"/>
    <w:rsid w:val="00D45C4D"/>
    <w:rsid w:val="00E1360E"/>
    <w:rsid w:val="00E86EBE"/>
    <w:rsid w:val="00E95119"/>
    <w:rsid w:val="00EC108E"/>
    <w:rsid w:val="00F12FB5"/>
    <w:rsid w:val="00F87A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8044B"/>
  <w15:docId w15:val="{9DA7BB91-5B95-431C-9BD7-0B519F736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C0337B"/>
    <w:rPr>
      <w:sz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C0337B"/>
    <w:rPr>
      <w:lang w:val="en-GB" w:bidi="ar-DZ"/>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82477"/>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December%202022_2500314953\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EAC5C7ADD6ECD4695636C78329026E7" ma:contentTypeVersion="5" ma:contentTypeDescription="Create a new document." ma:contentTypeScope="" ma:versionID="63ba975d2d803f1d166adc9f21410c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C32392A5-2BE5-42A4-9573-B112FF9B5528}"/>
</file>

<file path=customXml/itemProps3.xml><?xml version="1.0" encoding="utf-8"?>
<ds:datastoreItem xmlns:ds="http://schemas.openxmlformats.org/officeDocument/2006/customXml" ds:itemID="{AD09EBB0-71AD-41B5-9A15-D81565CEC12A}"/>
</file>

<file path=customXml/itemProps4.xml><?xml version="1.0" encoding="utf-8"?>
<ds:datastoreItem xmlns:ds="http://schemas.openxmlformats.org/officeDocument/2006/customXml" ds:itemID="{DCB6DD25-DB01-4FE6-A3DE-0C4F3A2FE7DE}"/>
</file>

<file path=docProps/app.xml><?xml version="1.0" encoding="utf-8"?>
<Properties xmlns="http://schemas.openxmlformats.org/officeDocument/2006/extended-properties" xmlns:vt="http://schemas.openxmlformats.org/officeDocument/2006/docPropsVTypes">
  <Template>A91-template</Template>
  <TotalTime>11</TotalTime>
  <Pages>7</Pages>
  <Words>1211</Words>
  <Characters>7131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استعراض عام لنظم الرصد والإبلاغ والتحقق والترخيص والحصص قيد النفاذ والتي وضعت بدعم من الصندوق المتعدد الأطراف (المقرر 89/2)</dc:title>
  <dc:creator>Fathi Abdelraouf Ahmed</dc:creator>
  <cp:lastModifiedBy>HBE</cp:lastModifiedBy>
  <cp:revision>6</cp:revision>
  <cp:lastPrinted>2001-05-26T16:40:00Z</cp:lastPrinted>
  <dcterms:created xsi:type="dcterms:W3CDTF">2022-11-14T14:24:00Z</dcterms:created>
  <dcterms:modified xsi:type="dcterms:W3CDTF">2022-11-25T04:18:00Z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UNEP/OzL.Pro/ExCom/91/69</vt:lpwstr>
  </property>
  <property fmtid="{D5CDD505-2E9C-101B-9397-08002B2CF9AE}" pid="3" name="Revision date">
    <vt:lpwstr>11/11/2022</vt:lpwstr>
  </property>
  <property fmtid="{D5CDD505-2E9C-101B-9397-08002B2CF9AE}" pid="4" name="ContentTypeId">
    <vt:lpwstr>0x0101000EAC5C7ADD6ECD4695636C78329026E7</vt:lpwstr>
  </property>
</Properties>
</file>