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771E2BB1" w14:textId="77777777" w:rsidTr="00103AB1">
        <w:trPr>
          <w:trHeight w:val="720"/>
        </w:trPr>
        <w:tc>
          <w:tcPr>
            <w:tcW w:w="5922" w:type="dxa"/>
            <w:gridSpan w:val="2"/>
            <w:tcBorders>
              <w:bottom w:val="single" w:sz="18" w:space="0" w:color="auto"/>
            </w:tcBorders>
          </w:tcPr>
          <w:p w14:paraId="08C6DC3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FFB05EB"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6C1EDD56"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477BB8" w14:paraId="3533D91D"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5B7F2474"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17392210" wp14:editId="3F9BA1B5">
                  <wp:simplePos x="0" y="0"/>
                  <wp:positionH relativeFrom="column">
                    <wp:posOffset>114299</wp:posOffset>
                  </wp:positionH>
                  <wp:positionV relativeFrom="paragraph">
                    <wp:posOffset>825842</wp:posOffset>
                  </wp:positionV>
                  <wp:extent cx="703385" cy="659765"/>
                  <wp:effectExtent l="0" t="0" r="1905"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04734" cy="66103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777E95B0" wp14:editId="4E416E1C">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7A6596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3C15190"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A62C62C" w14:textId="77777777" w:rsidR="00103AB1" w:rsidRDefault="00103AB1" w:rsidP="00AA523A">
            <w:pPr>
              <w:rPr>
                <w:rFonts w:ascii="Univers" w:hAnsi="Univers"/>
                <w:b/>
                <w:sz w:val="32"/>
                <w:lang w:val="fr-CA"/>
              </w:rPr>
            </w:pPr>
            <w:r>
              <w:rPr>
                <w:rFonts w:ascii="Univers" w:hAnsi="Univers"/>
                <w:b/>
                <w:sz w:val="32"/>
                <w:lang w:val="fr-CA"/>
              </w:rPr>
              <w:t>Nations Unies pour</w:t>
            </w:r>
          </w:p>
          <w:p w14:paraId="2A595D0D"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4153981C" w14:textId="77777777" w:rsidR="00103AB1" w:rsidRDefault="00103AB1" w:rsidP="00AA523A">
            <w:pPr>
              <w:rPr>
                <w:lang w:val="fr-FR"/>
              </w:rPr>
            </w:pPr>
          </w:p>
          <w:p w14:paraId="3EFF4296"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61AA5B38" w14:textId="77777777" w:rsidR="00103AB1" w:rsidRPr="00DD3433" w:rsidRDefault="00103AB1" w:rsidP="00AA523A">
            <w:pPr>
              <w:rPr>
                <w:lang w:val="fr-FR"/>
              </w:rPr>
            </w:pPr>
            <w:r w:rsidRPr="00DD3433">
              <w:rPr>
                <w:lang w:val="fr-FR"/>
              </w:rPr>
              <w:t>GÉNÉRALE</w:t>
            </w:r>
          </w:p>
          <w:p w14:paraId="5F7A4E4E" w14:textId="77777777" w:rsidR="00103AB1" w:rsidRPr="00DD3433" w:rsidRDefault="00103AB1" w:rsidP="00AA523A">
            <w:pPr>
              <w:rPr>
                <w:lang w:val="fr-FR"/>
              </w:rPr>
            </w:pPr>
          </w:p>
          <w:p w14:paraId="721AF3CE" w14:textId="5630E11E"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477BB8">
              <w:rPr>
                <w:lang w:val="fr-CA"/>
              </w:rPr>
              <w:t>UNEP/</w:t>
            </w:r>
            <w:proofErr w:type="spellStart"/>
            <w:r w:rsidR="00477BB8">
              <w:rPr>
                <w:lang w:val="fr-CA"/>
              </w:rPr>
              <w:t>OzL.Pro</w:t>
            </w:r>
            <w:proofErr w:type="spellEnd"/>
            <w:r w:rsidR="00477BB8">
              <w:rPr>
                <w:lang w:val="fr-CA"/>
              </w:rPr>
              <w:t>/</w:t>
            </w:r>
            <w:proofErr w:type="spellStart"/>
            <w:r w:rsidR="00477BB8">
              <w:rPr>
                <w:lang w:val="fr-CA"/>
              </w:rPr>
              <w:t>ExCom</w:t>
            </w:r>
            <w:proofErr w:type="spellEnd"/>
            <w:r w:rsidR="00477BB8">
              <w:rPr>
                <w:lang w:val="fr-CA"/>
              </w:rPr>
              <w:t>/95/64</w:t>
            </w:r>
            <w:r>
              <w:fldChar w:fldCharType="end"/>
            </w:r>
          </w:p>
          <w:p w14:paraId="0F080E24" w14:textId="2DD97C58" w:rsidR="00103AB1" w:rsidRPr="00DB2922" w:rsidRDefault="00477BB8" w:rsidP="00AA523A">
            <w:pPr>
              <w:rPr>
                <w:lang w:val="fr-CA"/>
              </w:rPr>
            </w:pPr>
            <w:r>
              <w:rPr>
                <w:lang w:val="fr-CA"/>
              </w:rPr>
              <w:t>24 novembre</w:t>
            </w:r>
            <w:r w:rsidR="00103AB1" w:rsidRPr="007778F9">
              <w:rPr>
                <w:lang w:val="fr-CA"/>
              </w:rPr>
              <w:t xml:space="preserve"> 2024</w:t>
            </w:r>
          </w:p>
          <w:p w14:paraId="4313288F" w14:textId="77777777" w:rsidR="00103AB1" w:rsidRDefault="00103AB1" w:rsidP="00AA523A">
            <w:pPr>
              <w:rPr>
                <w:caps/>
                <w:lang w:val="fr-FR"/>
              </w:rPr>
            </w:pPr>
            <w:r w:rsidRPr="00DB2922">
              <w:rPr>
                <w:caps/>
                <w:lang w:val="fr-CA"/>
              </w:rPr>
              <w:br/>
            </w:r>
            <w:r>
              <w:rPr>
                <w:caps/>
                <w:lang w:val="fr-FR"/>
              </w:rPr>
              <w:t>FRANÇAIS</w:t>
            </w:r>
          </w:p>
          <w:p w14:paraId="5107D99A" w14:textId="06407133" w:rsidR="00103AB1" w:rsidRPr="00E5237E" w:rsidRDefault="00103AB1" w:rsidP="00AA523A">
            <w:pPr>
              <w:rPr>
                <w:lang w:val="fr-CA"/>
              </w:rPr>
            </w:pPr>
            <w:r w:rsidRPr="00E5237E">
              <w:rPr>
                <w:lang w:val="fr-CA"/>
              </w:rPr>
              <w:t>ORIGINAL</w:t>
            </w:r>
            <w:r w:rsidR="00F74A1A">
              <w:rPr>
                <w:lang w:val="fr-CA"/>
              </w:rPr>
              <w:t> </w:t>
            </w:r>
            <w:r w:rsidRPr="00E5237E">
              <w:rPr>
                <w:lang w:val="fr-CA"/>
              </w:rPr>
              <w:t>: ANGLAIS</w:t>
            </w:r>
          </w:p>
        </w:tc>
      </w:tr>
    </w:tbl>
    <w:p w14:paraId="211D0428"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7135251B"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6D45DFAE" w14:textId="372B07E7" w:rsidR="00066CE8" w:rsidRPr="009F1924" w:rsidRDefault="00103AB1" w:rsidP="00857077">
      <w:pPr>
        <w:jc w:val="left"/>
        <w:rPr>
          <w:lang w:val="fr-FR"/>
        </w:rPr>
      </w:pPr>
      <w:r w:rsidRPr="00550019">
        <w:rPr>
          <w:lang w:val="fr-FR"/>
        </w:rPr>
        <w:t>Point</w:t>
      </w:r>
      <w:r w:rsidR="00477BB8">
        <w:rPr>
          <w:lang w:val="fr-FR"/>
        </w:rPr>
        <w:t> 9(d)</w:t>
      </w:r>
      <w:r w:rsidRPr="00550019">
        <w:rPr>
          <w:lang w:val="fr-FR"/>
        </w:rPr>
        <w:t xml:space="preserve"> de l'ordre du jour provisoire</w:t>
      </w:r>
      <w:r w:rsidRPr="00550019">
        <w:rPr>
          <w:rStyle w:val="FootnoteReference"/>
          <w:lang w:val="fr-FR"/>
        </w:rPr>
        <w:footnoteReference w:id="1"/>
      </w:r>
    </w:p>
    <w:p w14:paraId="2CA31A63" w14:textId="77777777" w:rsidR="004E7F9C" w:rsidRDefault="004E7F9C" w:rsidP="009F1924">
      <w:pPr>
        <w:pStyle w:val="Title1"/>
        <w:jc w:val="both"/>
        <w:rPr>
          <w:b w:val="0"/>
          <w:lang w:val="fr-CA"/>
        </w:rPr>
      </w:pPr>
    </w:p>
    <w:p w14:paraId="3E0192EA" w14:textId="77777777" w:rsidR="009F1924" w:rsidRDefault="009F1924" w:rsidP="009F1924">
      <w:pPr>
        <w:pStyle w:val="Title1"/>
        <w:jc w:val="both"/>
        <w:rPr>
          <w:b w:val="0"/>
          <w:lang w:val="fr-CA"/>
        </w:rPr>
      </w:pPr>
    </w:p>
    <w:p w14:paraId="5B5D3CC6" w14:textId="77777777" w:rsidR="009F1924" w:rsidRDefault="009F1924" w:rsidP="009F1924">
      <w:pPr>
        <w:pStyle w:val="Title1"/>
        <w:jc w:val="both"/>
        <w:rPr>
          <w:b w:val="0"/>
          <w:lang w:val="fr-CA"/>
        </w:rPr>
      </w:pPr>
    </w:p>
    <w:p w14:paraId="2178861C" w14:textId="77777777" w:rsidR="009F1924" w:rsidRPr="00103AB1" w:rsidRDefault="009F1924" w:rsidP="009F1924">
      <w:pPr>
        <w:pStyle w:val="Title1"/>
        <w:jc w:val="both"/>
        <w:rPr>
          <w:b w:val="0"/>
          <w:lang w:val="fr-CA"/>
        </w:rPr>
      </w:pPr>
    </w:p>
    <w:p w14:paraId="5E0DBC08" w14:textId="77777777" w:rsidR="00477BB8" w:rsidRPr="00477BB8" w:rsidRDefault="00477BB8" w:rsidP="00477BB8">
      <w:pPr>
        <w:jc w:val="center"/>
        <w:rPr>
          <w:b/>
          <w:lang w:val="fr-FR"/>
        </w:rPr>
      </w:pPr>
      <w:r>
        <w:rPr>
          <w:b/>
          <w:bCs/>
          <w:lang w:val="fr"/>
        </w:rPr>
        <w:t>PROPOSITION DE PROJET : MALAISIE</w:t>
      </w:r>
    </w:p>
    <w:p w14:paraId="4FF35E84" w14:textId="77777777" w:rsidR="00477BB8" w:rsidRPr="00477BB8" w:rsidRDefault="00477BB8" w:rsidP="00477BB8">
      <w:pPr>
        <w:rPr>
          <w:lang w:val="fr-FR"/>
        </w:rPr>
      </w:pPr>
    </w:p>
    <w:p w14:paraId="467DBF1A" w14:textId="77777777" w:rsidR="00477BB8" w:rsidRPr="00477BB8" w:rsidRDefault="00477BB8" w:rsidP="00477BB8">
      <w:pPr>
        <w:rPr>
          <w:lang w:val="fr-FR"/>
        </w:rPr>
      </w:pPr>
    </w:p>
    <w:p w14:paraId="6119176B" w14:textId="77777777" w:rsidR="00477BB8" w:rsidRPr="00477BB8" w:rsidRDefault="00477BB8" w:rsidP="00477BB8">
      <w:pPr>
        <w:rPr>
          <w:u w:val="single"/>
          <w:lang w:val="fr-FR"/>
        </w:rPr>
      </w:pPr>
      <w:r>
        <w:rPr>
          <w:u w:val="single"/>
          <w:lang w:val="fr"/>
        </w:rPr>
        <w:t>Efficacité énergétique</w:t>
      </w:r>
    </w:p>
    <w:p w14:paraId="1AA44EF2" w14:textId="77777777" w:rsidR="00477BB8" w:rsidRPr="00477BB8" w:rsidRDefault="00477BB8" w:rsidP="00477BB8">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1968"/>
        <w:gridCol w:w="1804"/>
      </w:tblGrid>
      <w:tr w:rsidR="00477BB8" w:rsidRPr="00814516" w14:paraId="0B806928" w14:textId="77777777" w:rsidTr="00F2642F">
        <w:tc>
          <w:tcPr>
            <w:tcW w:w="5588" w:type="dxa"/>
          </w:tcPr>
          <w:p w14:paraId="2C75630C" w14:textId="18E583A2" w:rsidR="00477BB8" w:rsidRPr="00477BB8" w:rsidRDefault="00477BB8" w:rsidP="00477BB8">
            <w:pPr>
              <w:pStyle w:val="ListParagraph"/>
              <w:numPr>
                <w:ilvl w:val="0"/>
                <w:numId w:val="21"/>
              </w:numPr>
              <w:ind w:left="337" w:hanging="447"/>
              <w:rPr>
                <w:lang w:val="fr-FR"/>
              </w:rPr>
            </w:pPr>
            <w:r>
              <w:rPr>
                <w:lang w:val="fr"/>
              </w:rPr>
              <w:t xml:space="preserve">Projet pilote </w:t>
            </w:r>
            <w:bookmarkStart w:id="0" w:name="_Hlk183360834"/>
            <w:r>
              <w:rPr>
                <w:lang w:val="fr"/>
              </w:rPr>
              <w:t>d’amélioration de l’efficacité énergétique des équipements de réfrigération commerciale autonomes en Malaisie dans le contexte de la réduction des HFC</w:t>
            </w:r>
            <w:bookmarkEnd w:id="0"/>
            <w:r>
              <w:rPr>
                <w:lang w:val="fr"/>
              </w:rPr>
              <w:t xml:space="preserve"> (activités </w:t>
            </w:r>
            <w:r w:rsidR="00D7063F">
              <w:rPr>
                <w:lang w:val="fr"/>
              </w:rPr>
              <w:t xml:space="preserve">portant </w:t>
            </w:r>
            <w:r w:rsidR="00152723">
              <w:rPr>
                <w:lang w:val="fr"/>
              </w:rPr>
              <w:t>et ne portant pas</w:t>
            </w:r>
            <w:r w:rsidR="00D7063F">
              <w:rPr>
                <w:lang w:val="fr"/>
              </w:rPr>
              <w:t xml:space="preserve"> sur</w:t>
            </w:r>
            <w:r>
              <w:rPr>
                <w:lang w:val="fr"/>
              </w:rPr>
              <w:t xml:space="preserve"> des investissements)</w:t>
            </w:r>
          </w:p>
        </w:tc>
        <w:tc>
          <w:tcPr>
            <w:tcW w:w="1968" w:type="dxa"/>
          </w:tcPr>
          <w:p w14:paraId="2E6581A0" w14:textId="77777777" w:rsidR="00477BB8" w:rsidRPr="00814516" w:rsidRDefault="00477BB8" w:rsidP="00F2642F">
            <w:pPr>
              <w:jc w:val="right"/>
            </w:pPr>
            <w:r>
              <w:rPr>
                <w:lang w:val="fr"/>
              </w:rPr>
              <w:t>Banque mondiale</w:t>
            </w:r>
          </w:p>
        </w:tc>
        <w:tc>
          <w:tcPr>
            <w:tcW w:w="1804" w:type="dxa"/>
          </w:tcPr>
          <w:p w14:paraId="072AAECB" w14:textId="77777777" w:rsidR="00477BB8" w:rsidRPr="00814516" w:rsidRDefault="00477BB8" w:rsidP="00F2642F">
            <w:pPr>
              <w:ind w:left="321"/>
              <w:jc w:val="center"/>
            </w:pPr>
            <w:r>
              <w:rPr>
                <w:lang w:val="fr"/>
              </w:rPr>
              <w:t>Pour examen individuel</w:t>
            </w:r>
          </w:p>
        </w:tc>
      </w:tr>
    </w:tbl>
    <w:p w14:paraId="584EDAFA" w14:textId="77777777" w:rsidR="00477BB8" w:rsidRPr="0034371D" w:rsidRDefault="00477BB8" w:rsidP="00477BB8"/>
    <w:p w14:paraId="6433928B" w14:textId="77777777" w:rsidR="00477BB8" w:rsidRPr="0034371D" w:rsidRDefault="00477BB8" w:rsidP="00477BB8"/>
    <w:p w14:paraId="2989C3A7" w14:textId="77777777" w:rsidR="00477BB8" w:rsidRPr="0034371D" w:rsidRDefault="00477BB8" w:rsidP="00477BB8"/>
    <w:p w14:paraId="25239963" w14:textId="77777777" w:rsidR="00477BB8" w:rsidRPr="0034371D" w:rsidRDefault="00477BB8" w:rsidP="00477BB8">
      <w:r>
        <w:rPr>
          <w:lang w:val="fr"/>
        </w:rPr>
        <w:br w:type="page"/>
      </w:r>
    </w:p>
    <w:p w14:paraId="61C03BE3" w14:textId="77777777" w:rsidR="00477BB8" w:rsidRPr="00477BB8" w:rsidRDefault="00477BB8" w:rsidP="00477BB8">
      <w:pPr>
        <w:spacing w:after="120"/>
        <w:jc w:val="center"/>
        <w:rPr>
          <w:b/>
          <w:lang w:val="fr-FR"/>
        </w:rPr>
      </w:pPr>
      <w:r>
        <w:rPr>
          <w:b/>
          <w:bCs/>
          <w:lang w:val="fr"/>
        </w:rPr>
        <w:lastRenderedPageBreak/>
        <w:t>FICHE D’ÉVALUATION DU PROJET – PROJETS NON PLURIANNUELS</w:t>
      </w:r>
    </w:p>
    <w:p w14:paraId="26C653E6" w14:textId="77777777" w:rsidR="00477BB8" w:rsidRPr="00477BB8" w:rsidRDefault="00477BB8" w:rsidP="00477BB8">
      <w:pPr>
        <w:spacing w:after="200"/>
        <w:jc w:val="center"/>
        <w:rPr>
          <w:b/>
          <w:lang w:val="fr-FR"/>
        </w:rPr>
      </w:pPr>
      <w:r>
        <w:rPr>
          <w:b/>
          <w:bCs/>
          <w:lang w:val="fr"/>
        </w:rPr>
        <w:t>Malaisie</w:t>
      </w:r>
    </w:p>
    <w:p w14:paraId="218D6FA1" w14:textId="77777777" w:rsidR="00477BB8" w:rsidRPr="00477BB8" w:rsidRDefault="00477BB8" w:rsidP="00477BB8">
      <w:pPr>
        <w:tabs>
          <w:tab w:val="left" w:pos="5580"/>
        </w:tabs>
        <w:ind w:right="-450" w:hanging="450"/>
        <w:rPr>
          <w:b/>
          <w:lang w:val="fr-FR"/>
        </w:rPr>
      </w:pPr>
      <w:bookmarkStart w:id="1" w:name="_Hlk149308122"/>
      <w:r>
        <w:rPr>
          <w:b/>
          <w:bCs/>
          <w:caps/>
          <w:lang w:val="fr"/>
        </w:rPr>
        <w:t>Titre du projet</w:t>
      </w:r>
      <w:bookmarkEnd w:id="1"/>
      <w:r>
        <w:rPr>
          <w:b/>
          <w:bCs/>
          <w:caps/>
          <w:lang w:val="fr"/>
        </w:rPr>
        <w:tab/>
        <w:t>Agence d’exécution/bilatérale</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467"/>
        <w:gridCol w:w="6572"/>
        <w:gridCol w:w="3126"/>
      </w:tblGrid>
      <w:tr w:rsidR="00477BB8" w:rsidRPr="00BE6C52" w14:paraId="1FE1CDFC" w14:textId="77777777" w:rsidTr="00F2642F">
        <w:trPr>
          <w:trHeight w:val="251"/>
        </w:trPr>
        <w:tc>
          <w:tcPr>
            <w:tcW w:w="467" w:type="dxa"/>
          </w:tcPr>
          <w:p w14:paraId="4A003B7E" w14:textId="77777777" w:rsidR="00477BB8" w:rsidRPr="00BE6C52" w:rsidRDefault="00477BB8" w:rsidP="00F2642F">
            <w:pPr>
              <w:tabs>
                <w:tab w:val="left" w:pos="383"/>
              </w:tabs>
              <w:rPr>
                <w:sz w:val="20"/>
                <w:szCs w:val="20"/>
              </w:rPr>
            </w:pPr>
            <w:r>
              <w:rPr>
                <w:sz w:val="20"/>
                <w:szCs w:val="20"/>
                <w:lang w:val="fr"/>
              </w:rPr>
              <w:t>(</w:t>
            </w:r>
            <w:proofErr w:type="gramStart"/>
            <w:r>
              <w:rPr>
                <w:sz w:val="20"/>
                <w:szCs w:val="20"/>
                <w:lang w:val="fr"/>
              </w:rPr>
              <w:t>a</w:t>
            </w:r>
            <w:proofErr w:type="gramEnd"/>
            <w:r>
              <w:rPr>
                <w:sz w:val="20"/>
                <w:szCs w:val="20"/>
                <w:lang w:val="fr"/>
              </w:rPr>
              <w:t>)</w:t>
            </w:r>
          </w:p>
        </w:tc>
        <w:tc>
          <w:tcPr>
            <w:tcW w:w="6572" w:type="dxa"/>
            <w:tcBorders>
              <w:right w:val="single" w:sz="4" w:space="0" w:color="auto"/>
            </w:tcBorders>
          </w:tcPr>
          <w:p w14:paraId="05F73FF9" w14:textId="77777777" w:rsidR="00477BB8" w:rsidRPr="00477BB8" w:rsidRDefault="00477BB8" w:rsidP="00F2642F">
            <w:pPr>
              <w:tabs>
                <w:tab w:val="left" w:pos="383"/>
              </w:tabs>
              <w:rPr>
                <w:sz w:val="20"/>
                <w:szCs w:val="20"/>
                <w:lang w:val="fr-FR"/>
              </w:rPr>
            </w:pPr>
            <w:r>
              <w:rPr>
                <w:sz w:val="20"/>
                <w:szCs w:val="20"/>
                <w:lang w:val="fr"/>
              </w:rPr>
              <w:t>Projet pilote d’amélioration de l’efficacité énergétique des équipements de réfrigération commerciale autonomes en Malaisie dans le contexte de la réduction des HFC (activités portant et ne portant pas sur des investissements)</w:t>
            </w:r>
            <w:r>
              <w:rPr>
                <w:sz w:val="20"/>
                <w:szCs w:val="20"/>
                <w:highlight w:val="cyan"/>
                <w:lang w:val="fr"/>
              </w:rPr>
              <w:t xml:space="preserve"> </w:t>
            </w:r>
          </w:p>
        </w:tc>
        <w:tc>
          <w:tcPr>
            <w:tcW w:w="3126" w:type="dxa"/>
            <w:tcBorders>
              <w:top w:val="single" w:sz="4" w:space="0" w:color="auto"/>
              <w:left w:val="single" w:sz="4" w:space="0" w:color="auto"/>
              <w:bottom w:val="single" w:sz="4" w:space="0" w:color="auto"/>
            </w:tcBorders>
          </w:tcPr>
          <w:p w14:paraId="795DD5D9" w14:textId="77777777" w:rsidR="00477BB8" w:rsidRPr="00BE6C52" w:rsidRDefault="00477BB8" w:rsidP="00F2642F">
            <w:pPr>
              <w:jc w:val="right"/>
              <w:rPr>
                <w:sz w:val="20"/>
                <w:szCs w:val="20"/>
              </w:rPr>
            </w:pPr>
            <w:r>
              <w:rPr>
                <w:sz w:val="20"/>
                <w:szCs w:val="20"/>
                <w:lang w:val="fr"/>
              </w:rPr>
              <w:t>Banque mondiale</w:t>
            </w:r>
          </w:p>
        </w:tc>
      </w:tr>
    </w:tbl>
    <w:p w14:paraId="34A8029B" w14:textId="77777777" w:rsidR="00477BB8" w:rsidRPr="00BE6C52" w:rsidRDefault="00477BB8" w:rsidP="00477BB8">
      <w:pPr>
        <w:rPr>
          <w:sz w:val="20"/>
          <w:szCs w:val="20"/>
        </w:rPr>
      </w:pPr>
    </w:p>
    <w:p w14:paraId="2C78C7C8" w14:textId="77777777" w:rsidR="00477BB8" w:rsidRPr="00BE6C52" w:rsidRDefault="00477BB8" w:rsidP="00477BB8">
      <w:pPr>
        <w:ind w:hanging="426"/>
      </w:pPr>
      <w:r>
        <w:rPr>
          <w:b/>
          <w:bCs/>
          <w:caps/>
          <w:lang w:val="fr"/>
        </w:rPr>
        <w:t>Objectif du projet</w:t>
      </w:r>
    </w:p>
    <w:tbl>
      <w:tblPr>
        <w:tblStyle w:val="TableGrid"/>
        <w:tblW w:w="10165" w:type="dxa"/>
        <w:jc w:val="center"/>
        <w:tblLook w:val="01E0" w:firstRow="1" w:lastRow="1" w:firstColumn="1" w:lastColumn="1" w:noHBand="0" w:noVBand="0"/>
      </w:tblPr>
      <w:tblGrid>
        <w:gridCol w:w="10165"/>
      </w:tblGrid>
      <w:tr w:rsidR="00477BB8" w:rsidRPr="001C0708" w14:paraId="5FD94E00" w14:textId="77777777" w:rsidTr="00F2642F">
        <w:trPr>
          <w:jc w:val="center"/>
        </w:trPr>
        <w:tc>
          <w:tcPr>
            <w:tcW w:w="10165" w:type="dxa"/>
          </w:tcPr>
          <w:p w14:paraId="30950478" w14:textId="2C89E74A" w:rsidR="00477BB8" w:rsidRPr="00477BB8" w:rsidRDefault="00477BB8" w:rsidP="00F2642F">
            <w:pPr>
              <w:rPr>
                <w:sz w:val="20"/>
                <w:szCs w:val="20"/>
                <w:highlight w:val="cyan"/>
                <w:lang w:val="fr-FR"/>
              </w:rPr>
            </w:pPr>
            <w:r>
              <w:rPr>
                <w:rStyle w:val="normaltextrun"/>
                <w:color w:val="000000"/>
                <w:sz w:val="20"/>
                <w:szCs w:val="20"/>
                <w:shd w:val="clear" w:color="auto" w:fill="FFFFFF"/>
                <w:lang w:val="fr"/>
              </w:rPr>
              <w:t>Projet pilote pour améliorer l’efficacité énergétique et encore réduire les émissions de CO</w:t>
            </w:r>
            <w:r>
              <w:rPr>
                <w:rStyle w:val="normaltextrun"/>
                <w:color w:val="000000"/>
                <w:sz w:val="16"/>
                <w:szCs w:val="16"/>
                <w:shd w:val="clear" w:color="auto" w:fill="FFFFFF"/>
                <w:vertAlign w:val="subscript"/>
                <w:lang w:val="fr"/>
              </w:rPr>
              <w:t>2</w:t>
            </w:r>
            <w:r>
              <w:rPr>
                <w:rStyle w:val="normaltextrun"/>
                <w:color w:val="000000"/>
                <w:sz w:val="20"/>
                <w:szCs w:val="20"/>
                <w:shd w:val="clear" w:color="auto" w:fill="FFFFFF"/>
                <w:lang w:val="fr"/>
              </w:rPr>
              <w:t xml:space="preserve"> des équipements de réfrigération commerciale autonomes dans le contexte de la réduction des HFC dans le cadre de la phase </w:t>
            </w:r>
            <w:r>
              <w:rPr>
                <w:rStyle w:val="normaltextrun"/>
                <w:color w:val="000000"/>
                <w:shd w:val="clear" w:color="auto" w:fill="FFFFFF"/>
                <w:lang w:val="fr"/>
              </w:rPr>
              <w:t xml:space="preserve">I du </w:t>
            </w:r>
            <w:r>
              <w:rPr>
                <w:rStyle w:val="normaltextrun"/>
                <w:color w:val="000000"/>
                <w:sz w:val="20"/>
                <w:szCs w:val="20"/>
                <w:shd w:val="clear" w:color="auto" w:fill="FFFFFF"/>
                <w:lang w:val="fr"/>
              </w:rPr>
              <w:t>plan de mise en œuvre de l’Amendement de Kigali relatif aux HFC (activités portant et ne portant pas sur des investissements)</w:t>
            </w:r>
            <w:r>
              <w:rPr>
                <w:rStyle w:val="eop"/>
                <w:color w:val="000000"/>
                <w:sz w:val="20"/>
                <w:szCs w:val="20"/>
                <w:shd w:val="clear" w:color="auto" w:fill="FFFFFF"/>
                <w:lang w:val="fr"/>
              </w:rPr>
              <w:t> </w:t>
            </w:r>
          </w:p>
        </w:tc>
      </w:tr>
    </w:tbl>
    <w:p w14:paraId="2E92511C" w14:textId="77777777" w:rsidR="00477BB8" w:rsidRPr="00477BB8" w:rsidRDefault="00477BB8" w:rsidP="00477BB8">
      <w:pPr>
        <w:rPr>
          <w:sz w:val="20"/>
          <w:szCs w:val="20"/>
          <w:lang w:val="fr-FR"/>
        </w:rPr>
      </w:pPr>
    </w:p>
    <w:tbl>
      <w:tblPr>
        <w:tblStyle w:val="TableGrid"/>
        <w:tblW w:w="10165" w:type="dxa"/>
        <w:jc w:val="center"/>
        <w:tblLook w:val="01E0" w:firstRow="1" w:lastRow="1" w:firstColumn="1" w:lastColumn="1" w:noHBand="0" w:noVBand="0"/>
      </w:tblPr>
      <w:tblGrid>
        <w:gridCol w:w="4390"/>
        <w:gridCol w:w="5775"/>
      </w:tblGrid>
      <w:tr w:rsidR="00477BB8" w:rsidRPr="00BE6C52" w14:paraId="2EF83CD4" w14:textId="77777777" w:rsidTr="002957E5">
        <w:trPr>
          <w:jc w:val="center"/>
        </w:trPr>
        <w:tc>
          <w:tcPr>
            <w:tcW w:w="4390" w:type="dxa"/>
          </w:tcPr>
          <w:p w14:paraId="3E3E635B" w14:textId="77777777" w:rsidR="00477BB8" w:rsidRPr="00BE6C52" w:rsidRDefault="00477BB8" w:rsidP="002957E5">
            <w:pPr>
              <w:jc w:val="left"/>
              <w:rPr>
                <w:sz w:val="20"/>
                <w:szCs w:val="20"/>
              </w:rPr>
            </w:pPr>
            <w:r>
              <w:rPr>
                <w:b/>
                <w:bCs/>
                <w:caps/>
                <w:sz w:val="20"/>
                <w:szCs w:val="20"/>
                <w:lang w:val="fr"/>
              </w:rPr>
              <w:t>Agence nationale de coordination</w:t>
            </w:r>
          </w:p>
        </w:tc>
        <w:tc>
          <w:tcPr>
            <w:tcW w:w="5775" w:type="dxa"/>
          </w:tcPr>
          <w:p w14:paraId="7A767F22" w14:textId="77777777" w:rsidR="00477BB8" w:rsidRPr="00BE6C52" w:rsidRDefault="00477BB8" w:rsidP="00F2642F">
            <w:pPr>
              <w:jc w:val="right"/>
              <w:rPr>
                <w:sz w:val="20"/>
                <w:szCs w:val="20"/>
              </w:rPr>
            </w:pPr>
            <w:r>
              <w:rPr>
                <w:sz w:val="20"/>
                <w:szCs w:val="20"/>
                <w:lang w:val="fr"/>
              </w:rPr>
              <w:t>Département de l’environnement (DOE)</w:t>
            </w:r>
          </w:p>
        </w:tc>
      </w:tr>
    </w:tbl>
    <w:p w14:paraId="04426610" w14:textId="77777777" w:rsidR="00477BB8" w:rsidRPr="00BE6C52" w:rsidRDefault="00477BB8" w:rsidP="00477BB8">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477BB8" w:rsidRPr="00BE6C52" w14:paraId="3B0D7409" w14:textId="77777777" w:rsidTr="00F2642F">
        <w:trPr>
          <w:trHeight w:val="77"/>
        </w:trPr>
        <w:tc>
          <w:tcPr>
            <w:tcW w:w="4644" w:type="dxa"/>
            <w:shd w:val="clear" w:color="auto" w:fill="auto"/>
          </w:tcPr>
          <w:p w14:paraId="02522D83" w14:textId="77777777" w:rsidR="00477BB8" w:rsidRPr="00477BB8" w:rsidRDefault="00477BB8" w:rsidP="00F2642F">
            <w:pPr>
              <w:jc w:val="left"/>
              <w:rPr>
                <w:b/>
                <w:sz w:val="20"/>
                <w:lang w:val="fr-FR"/>
              </w:rPr>
            </w:pPr>
            <w:r>
              <w:rPr>
                <w:b/>
                <w:bCs/>
                <w:sz w:val="20"/>
                <w:lang w:val="fr"/>
              </w:rPr>
              <w:t>DERNIÈRES DONNÉES COMMUNIQUÉES EN VERTU DE L’ARTICLE 7 (Annexe F)</w:t>
            </w:r>
          </w:p>
        </w:tc>
        <w:tc>
          <w:tcPr>
            <w:tcW w:w="1560" w:type="dxa"/>
            <w:shd w:val="clear" w:color="auto" w:fill="auto"/>
          </w:tcPr>
          <w:p w14:paraId="25A8A8D3" w14:textId="77777777" w:rsidR="00477BB8" w:rsidRPr="00BE6C52" w:rsidRDefault="00477BB8" w:rsidP="00F2642F">
            <w:pPr>
              <w:jc w:val="left"/>
              <w:rPr>
                <w:sz w:val="20"/>
              </w:rPr>
            </w:pPr>
            <w:proofErr w:type="gramStart"/>
            <w:r w:rsidRPr="00F14548">
              <w:rPr>
                <w:rStyle w:val="normaltextrun"/>
                <w:b/>
                <w:bCs/>
                <w:color w:val="000000"/>
                <w:shd w:val="clear" w:color="auto" w:fill="FFFFFF"/>
              </w:rPr>
              <w:t>Année</w:t>
            </w:r>
            <w:r w:rsidRPr="00F14548">
              <w:rPr>
                <w:rStyle w:val="normaltextrun"/>
                <w:color w:val="000000"/>
                <w:shd w:val="clear" w:color="auto" w:fill="FFFFFF"/>
              </w:rPr>
              <w:t> </w:t>
            </w:r>
            <w:r w:rsidRPr="00F14548">
              <w:rPr>
                <w:b/>
                <w:bCs/>
                <w:lang w:val="fr"/>
              </w:rPr>
              <w:t>:</w:t>
            </w:r>
            <w:proofErr w:type="gramEnd"/>
            <w:r>
              <w:rPr>
                <w:sz w:val="10"/>
                <w:szCs w:val="10"/>
                <w:lang w:val="fr"/>
              </w:rPr>
              <w:t xml:space="preserve"> </w:t>
            </w:r>
            <w:r>
              <w:rPr>
                <w:color w:val="000000" w:themeColor="text1"/>
                <w:sz w:val="20"/>
                <w:lang w:val="fr"/>
              </w:rPr>
              <w:t>2023</w:t>
            </w:r>
          </w:p>
        </w:tc>
        <w:tc>
          <w:tcPr>
            <w:tcW w:w="1417" w:type="dxa"/>
            <w:shd w:val="clear" w:color="auto" w:fill="auto"/>
          </w:tcPr>
          <w:p w14:paraId="52615CE7" w14:textId="77777777" w:rsidR="00477BB8" w:rsidRPr="000B782A" w:rsidRDefault="00477BB8" w:rsidP="00F2642F">
            <w:pPr>
              <w:ind w:left="-109"/>
              <w:jc w:val="right"/>
              <w:rPr>
                <w:sz w:val="20"/>
                <w:highlight w:val="yellow"/>
              </w:rPr>
            </w:pPr>
            <w:r>
              <w:rPr>
                <w:sz w:val="20"/>
                <w:lang w:val="fr"/>
              </w:rPr>
              <w:t>5 440,303 </w:t>
            </w:r>
            <w:proofErr w:type="spellStart"/>
            <w:r>
              <w:rPr>
                <w:sz w:val="20"/>
                <w:lang w:val="fr"/>
              </w:rPr>
              <w:t>tm</w:t>
            </w:r>
            <w:proofErr w:type="spellEnd"/>
          </w:p>
        </w:tc>
        <w:tc>
          <w:tcPr>
            <w:tcW w:w="2586" w:type="dxa"/>
            <w:shd w:val="clear" w:color="auto" w:fill="auto"/>
          </w:tcPr>
          <w:p w14:paraId="7C35E7E0" w14:textId="2C96F1F2" w:rsidR="00477BB8" w:rsidRPr="000B782A" w:rsidRDefault="00477BB8" w:rsidP="00F2642F">
            <w:pPr>
              <w:ind w:left="-110"/>
              <w:jc w:val="right"/>
              <w:rPr>
                <w:sz w:val="20"/>
                <w:szCs w:val="20"/>
                <w:highlight w:val="yellow"/>
              </w:rPr>
            </w:pPr>
            <w:bookmarkStart w:id="2" w:name="_Hlk165030613"/>
            <w:r>
              <w:rPr>
                <w:color w:val="1E1E1E"/>
                <w:sz w:val="20"/>
                <w:szCs w:val="20"/>
                <w:shd w:val="clear" w:color="auto" w:fill="FFFFFF"/>
                <w:lang w:val="fr"/>
              </w:rPr>
              <w:t>5 043</w:t>
            </w:r>
            <w:r w:rsidR="00BF339B">
              <w:rPr>
                <w:color w:val="1E1E1E"/>
                <w:sz w:val="20"/>
                <w:szCs w:val="20"/>
                <w:shd w:val="clear" w:color="auto" w:fill="FFFFFF"/>
                <w:lang w:val="fr"/>
              </w:rPr>
              <w:t> </w:t>
            </w:r>
            <w:r>
              <w:rPr>
                <w:color w:val="1E1E1E"/>
                <w:sz w:val="20"/>
                <w:szCs w:val="20"/>
                <w:shd w:val="clear" w:color="auto" w:fill="FFFFFF"/>
                <w:lang w:val="fr"/>
              </w:rPr>
              <w:t>404 </w:t>
            </w:r>
            <w:bookmarkEnd w:id="2"/>
            <w:r>
              <w:rPr>
                <w:sz w:val="20"/>
                <w:szCs w:val="20"/>
                <w:lang w:val="fr"/>
              </w:rPr>
              <w:t>tonnes eq-CO</w:t>
            </w:r>
            <w:r>
              <w:rPr>
                <w:sz w:val="20"/>
                <w:szCs w:val="20"/>
                <w:vertAlign w:val="subscript"/>
                <w:lang w:val="fr"/>
              </w:rPr>
              <w:t>2</w:t>
            </w:r>
          </w:p>
        </w:tc>
      </w:tr>
    </w:tbl>
    <w:p w14:paraId="0E295A42" w14:textId="77777777" w:rsidR="00477BB8" w:rsidRPr="00BE6C52" w:rsidRDefault="00477BB8" w:rsidP="00477BB8">
      <w:pPr>
        <w:jc w:val="center"/>
        <w:rPr>
          <w:sz w:val="10"/>
          <w:szCs w:val="10"/>
        </w:rPr>
      </w:pPr>
    </w:p>
    <w:p w14:paraId="63785969" w14:textId="77777777" w:rsidR="00477BB8" w:rsidRPr="00BE6C52" w:rsidRDefault="00477BB8" w:rsidP="00477BB8">
      <w:pPr>
        <w:rPr>
          <w:sz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57"/>
      </w:tblGrid>
      <w:tr w:rsidR="00477BB8" w:rsidRPr="001C0708" w14:paraId="7A04060D" w14:textId="77777777" w:rsidTr="00F2642F">
        <w:trPr>
          <w:trHeight w:val="264"/>
          <w:jc w:val="center"/>
        </w:trPr>
        <w:tc>
          <w:tcPr>
            <w:tcW w:w="6658" w:type="dxa"/>
            <w:vMerge w:val="restart"/>
            <w:tcBorders>
              <w:top w:val="single" w:sz="4" w:space="0" w:color="auto"/>
              <w:left w:val="single" w:sz="4" w:space="0" w:color="auto"/>
              <w:right w:val="single" w:sz="4" w:space="0" w:color="auto"/>
            </w:tcBorders>
          </w:tcPr>
          <w:p w14:paraId="1B0AFD45" w14:textId="77777777" w:rsidR="00477BB8" w:rsidRPr="00BE6C52"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bCs/>
                <w:sz w:val="20"/>
                <w:lang w:val="fr"/>
              </w:rPr>
              <w:t>Caractéristiques</w:t>
            </w:r>
          </w:p>
        </w:tc>
        <w:tc>
          <w:tcPr>
            <w:tcW w:w="3557" w:type="dxa"/>
            <w:tcBorders>
              <w:top w:val="single" w:sz="4" w:space="0" w:color="auto"/>
              <w:left w:val="single" w:sz="4" w:space="0" w:color="auto"/>
              <w:right w:val="single" w:sz="4" w:space="0" w:color="auto"/>
            </w:tcBorders>
          </w:tcPr>
          <w:p w14:paraId="0FA2F7AB" w14:textId="77777777" w:rsidR="00477BB8" w:rsidRPr="00477BB8"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FR"/>
              </w:rPr>
            </w:pPr>
            <w:r>
              <w:rPr>
                <w:sz w:val="20"/>
                <w:lang w:val="fr"/>
              </w:rPr>
              <w:t>Activités portant et ne portant pas sur des investissements</w:t>
            </w:r>
          </w:p>
        </w:tc>
      </w:tr>
      <w:tr w:rsidR="00477BB8" w:rsidRPr="00BE6C52" w14:paraId="1FC8557A" w14:textId="77777777" w:rsidTr="00F2642F">
        <w:trPr>
          <w:trHeight w:val="264"/>
          <w:jc w:val="center"/>
        </w:trPr>
        <w:tc>
          <w:tcPr>
            <w:tcW w:w="6658" w:type="dxa"/>
            <w:vMerge/>
            <w:tcBorders>
              <w:left w:val="single" w:sz="4" w:space="0" w:color="auto"/>
              <w:bottom w:val="single" w:sz="4" w:space="0" w:color="auto"/>
              <w:right w:val="single" w:sz="4" w:space="0" w:color="auto"/>
            </w:tcBorders>
          </w:tcPr>
          <w:p w14:paraId="07692400" w14:textId="77777777" w:rsidR="00477BB8" w:rsidRPr="00477BB8"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FR"/>
              </w:rPr>
            </w:pPr>
          </w:p>
        </w:tc>
        <w:tc>
          <w:tcPr>
            <w:tcW w:w="3557" w:type="dxa"/>
            <w:tcBorders>
              <w:left w:val="single" w:sz="4" w:space="0" w:color="auto"/>
              <w:bottom w:val="single" w:sz="4" w:space="0" w:color="auto"/>
              <w:right w:val="single" w:sz="4" w:space="0" w:color="auto"/>
            </w:tcBorders>
          </w:tcPr>
          <w:p w14:paraId="6796D077" w14:textId="77777777" w:rsidR="00477BB8" w:rsidRPr="00320BD8"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320BD8">
              <w:rPr>
                <w:sz w:val="20"/>
                <w:lang w:val="fr"/>
              </w:rPr>
              <w:t>Unités</w:t>
            </w:r>
          </w:p>
        </w:tc>
      </w:tr>
      <w:tr w:rsidR="00477BB8" w:rsidRPr="00BE6C52" w14:paraId="14543395" w14:textId="77777777" w:rsidTr="00F2642F">
        <w:trPr>
          <w:trHeight w:val="131"/>
          <w:jc w:val="center"/>
        </w:trPr>
        <w:tc>
          <w:tcPr>
            <w:tcW w:w="6658" w:type="dxa"/>
            <w:vMerge w:val="restart"/>
            <w:tcBorders>
              <w:top w:val="single" w:sz="4" w:space="0" w:color="auto"/>
              <w:left w:val="single" w:sz="4" w:space="0" w:color="auto"/>
              <w:right w:val="single" w:sz="4" w:space="0" w:color="auto"/>
            </w:tcBorders>
            <w:vAlign w:val="center"/>
          </w:tcPr>
          <w:p w14:paraId="6383E08A" w14:textId="77777777" w:rsidR="00477BB8" w:rsidRPr="00477BB8"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fr-FR"/>
              </w:rPr>
            </w:pPr>
            <w:r>
              <w:rPr>
                <w:sz w:val="20"/>
                <w:lang w:val="fr"/>
              </w:rPr>
              <w:t>HFC utilisé dans le secteur de l’entretien (données du programme du pays 2023)</w:t>
            </w:r>
          </w:p>
        </w:tc>
        <w:tc>
          <w:tcPr>
            <w:tcW w:w="3557" w:type="dxa"/>
            <w:tcBorders>
              <w:top w:val="single" w:sz="4" w:space="0" w:color="auto"/>
              <w:left w:val="single" w:sz="4" w:space="0" w:color="auto"/>
              <w:right w:val="single" w:sz="4" w:space="0" w:color="auto"/>
            </w:tcBorders>
            <w:shd w:val="clear" w:color="auto" w:fill="auto"/>
          </w:tcPr>
          <w:p w14:paraId="554A0950" w14:textId="77777777" w:rsidR="00477BB8" w:rsidRPr="004C4B31"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lang w:val="fr"/>
              </w:rPr>
              <w:t>624,98 </w:t>
            </w:r>
            <w:proofErr w:type="spellStart"/>
            <w:r>
              <w:rPr>
                <w:sz w:val="20"/>
                <w:lang w:val="fr"/>
              </w:rPr>
              <w:t>tm</w:t>
            </w:r>
            <w:proofErr w:type="spellEnd"/>
          </w:p>
        </w:tc>
      </w:tr>
      <w:tr w:rsidR="00477BB8" w:rsidRPr="00BE6C52" w14:paraId="57363F43" w14:textId="77777777" w:rsidTr="00F2642F">
        <w:trPr>
          <w:trHeight w:val="131"/>
          <w:jc w:val="center"/>
        </w:trPr>
        <w:tc>
          <w:tcPr>
            <w:tcW w:w="6658" w:type="dxa"/>
            <w:vMerge/>
            <w:tcBorders>
              <w:left w:val="single" w:sz="4" w:space="0" w:color="auto"/>
              <w:bottom w:val="single" w:sz="4" w:space="0" w:color="auto"/>
              <w:right w:val="single" w:sz="4" w:space="0" w:color="auto"/>
            </w:tcBorders>
          </w:tcPr>
          <w:p w14:paraId="7D4B95B8" w14:textId="77777777" w:rsidR="00477BB8" w:rsidRPr="00BE6C52"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p>
        </w:tc>
        <w:tc>
          <w:tcPr>
            <w:tcW w:w="3557" w:type="dxa"/>
            <w:tcBorders>
              <w:left w:val="single" w:sz="4" w:space="0" w:color="auto"/>
              <w:bottom w:val="single" w:sz="4" w:space="0" w:color="auto"/>
              <w:right w:val="single" w:sz="4" w:space="0" w:color="auto"/>
            </w:tcBorders>
            <w:shd w:val="clear" w:color="auto" w:fill="auto"/>
          </w:tcPr>
          <w:p w14:paraId="57BBB5B2" w14:textId="77777777" w:rsidR="00477BB8" w:rsidRPr="00B368BD" w:rsidRDefault="00477BB8" w:rsidP="00F2642F">
            <w:pPr>
              <w:jc w:val="right"/>
              <w:rPr>
                <w:sz w:val="20"/>
                <w:szCs w:val="20"/>
              </w:rPr>
            </w:pPr>
            <w:r>
              <w:rPr>
                <w:sz w:val="20"/>
                <w:lang w:val="fr"/>
              </w:rPr>
              <w:t>1 346 410 tonnes eq-CO</w:t>
            </w:r>
            <w:r>
              <w:rPr>
                <w:sz w:val="20"/>
                <w:vertAlign w:val="subscript"/>
                <w:lang w:val="fr"/>
              </w:rPr>
              <w:t>2</w:t>
            </w:r>
          </w:p>
        </w:tc>
      </w:tr>
      <w:tr w:rsidR="00477BB8" w:rsidRPr="00BE6C52" w14:paraId="02A1F2D2" w14:textId="77777777" w:rsidTr="00F2642F">
        <w:trPr>
          <w:trHeight w:val="277"/>
          <w:jc w:val="center"/>
        </w:trPr>
        <w:tc>
          <w:tcPr>
            <w:tcW w:w="6658" w:type="dxa"/>
            <w:tcBorders>
              <w:top w:val="single" w:sz="4" w:space="0" w:color="auto"/>
              <w:left w:val="single" w:sz="4" w:space="0" w:color="auto"/>
              <w:bottom w:val="single" w:sz="4" w:space="0" w:color="auto"/>
              <w:right w:val="single" w:sz="4" w:space="0" w:color="auto"/>
            </w:tcBorders>
          </w:tcPr>
          <w:p w14:paraId="5725BFC3" w14:textId="77777777" w:rsidR="00477BB8" w:rsidRPr="00BE6C52"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lang w:val="fr"/>
              </w:rPr>
              <w:t>Durée du projet (mois) :</w:t>
            </w:r>
          </w:p>
        </w:tc>
        <w:tc>
          <w:tcPr>
            <w:tcW w:w="3557" w:type="dxa"/>
            <w:tcBorders>
              <w:top w:val="single" w:sz="4" w:space="0" w:color="auto"/>
              <w:left w:val="single" w:sz="4" w:space="0" w:color="auto"/>
              <w:bottom w:val="single" w:sz="4" w:space="0" w:color="auto"/>
              <w:right w:val="single" w:sz="4" w:space="0" w:color="auto"/>
            </w:tcBorders>
            <w:shd w:val="clear" w:color="auto" w:fill="auto"/>
          </w:tcPr>
          <w:p w14:paraId="5E3A6E2F" w14:textId="4425F84B" w:rsidR="00477BB8" w:rsidRPr="00BE04C1" w:rsidRDefault="00477BB8" w:rsidP="00F2642F">
            <w:pPr>
              <w:jc w:val="right"/>
              <w:rPr>
                <w:sz w:val="20"/>
              </w:rPr>
            </w:pPr>
            <w:r>
              <w:rPr>
                <w:sz w:val="20"/>
                <w:lang w:val="fr"/>
              </w:rPr>
              <w:t>36</w:t>
            </w:r>
            <w:r w:rsidR="00070060">
              <w:rPr>
                <w:sz w:val="20"/>
                <w:lang w:val="fr"/>
              </w:rPr>
              <w:t> </w:t>
            </w:r>
            <w:r>
              <w:rPr>
                <w:sz w:val="20"/>
                <w:lang w:val="fr"/>
              </w:rPr>
              <w:t>mois</w:t>
            </w:r>
          </w:p>
        </w:tc>
      </w:tr>
      <w:tr w:rsidR="00477BB8" w:rsidRPr="00BE6C52" w14:paraId="595359DB" w14:textId="77777777" w:rsidTr="00F2642F">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19ED0B6D" w14:textId="77777777" w:rsidR="00477BB8" w:rsidRPr="00BE6C52"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lang w:val="fr"/>
              </w:rPr>
              <w:t>Montant initial demandé ($ US) :</w:t>
            </w:r>
          </w:p>
        </w:tc>
        <w:tc>
          <w:tcPr>
            <w:tcW w:w="3557" w:type="dxa"/>
            <w:tcBorders>
              <w:top w:val="single" w:sz="4" w:space="0" w:color="auto"/>
              <w:left w:val="single" w:sz="4" w:space="0" w:color="auto"/>
              <w:bottom w:val="single" w:sz="4" w:space="0" w:color="auto"/>
              <w:right w:val="single" w:sz="4" w:space="0" w:color="auto"/>
            </w:tcBorders>
            <w:shd w:val="clear" w:color="auto" w:fill="auto"/>
          </w:tcPr>
          <w:p w14:paraId="35DC23BA" w14:textId="77777777" w:rsidR="00477BB8" w:rsidRPr="00BE04C1"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lang w:val="fr"/>
              </w:rPr>
              <w:t>1 148 215</w:t>
            </w:r>
          </w:p>
        </w:tc>
      </w:tr>
      <w:tr w:rsidR="00477BB8" w:rsidRPr="00BE6C52" w14:paraId="7671289D" w14:textId="77777777" w:rsidTr="00F2642F">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6DAB04BE" w14:textId="77777777" w:rsidR="00477BB8" w:rsidRPr="00477BB8"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lang w:val="fr"/>
              </w:rPr>
              <w:t>Coût final du projet ($ US)</w:t>
            </w:r>
          </w:p>
        </w:tc>
        <w:tc>
          <w:tcPr>
            <w:tcW w:w="3557" w:type="dxa"/>
            <w:tcBorders>
              <w:top w:val="single" w:sz="4" w:space="0" w:color="auto"/>
              <w:left w:val="single" w:sz="4" w:space="0" w:color="auto"/>
              <w:bottom w:val="single" w:sz="4" w:space="0" w:color="auto"/>
              <w:right w:val="single" w:sz="4" w:space="0" w:color="auto"/>
            </w:tcBorders>
          </w:tcPr>
          <w:p w14:paraId="54E1D33A" w14:textId="77777777" w:rsidR="00477BB8" w:rsidRPr="00BE04C1"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lang w:val="fr"/>
              </w:rPr>
              <w:t>915 689</w:t>
            </w:r>
          </w:p>
        </w:tc>
      </w:tr>
      <w:tr w:rsidR="00477BB8" w:rsidRPr="00BE6C52" w14:paraId="0B7B23D4" w14:textId="77777777" w:rsidTr="00F2642F">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6E30195A" w14:textId="77777777" w:rsidR="00477BB8" w:rsidRPr="00477BB8"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lang w:val="fr"/>
              </w:rPr>
              <w:t>Coûts d’appui de l’agence d’exécution ($ US) :</w:t>
            </w:r>
          </w:p>
        </w:tc>
        <w:tc>
          <w:tcPr>
            <w:tcW w:w="3557" w:type="dxa"/>
            <w:tcBorders>
              <w:top w:val="single" w:sz="4" w:space="0" w:color="auto"/>
              <w:left w:val="single" w:sz="4" w:space="0" w:color="auto"/>
              <w:bottom w:val="single" w:sz="4" w:space="0" w:color="auto"/>
              <w:right w:val="single" w:sz="4" w:space="0" w:color="auto"/>
            </w:tcBorders>
          </w:tcPr>
          <w:p w14:paraId="46497786" w14:textId="77777777" w:rsidR="00477BB8" w:rsidRPr="00BE04C1"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lang w:val="fr"/>
              </w:rPr>
              <w:t>64 098</w:t>
            </w:r>
          </w:p>
        </w:tc>
      </w:tr>
      <w:tr w:rsidR="00477BB8" w:rsidRPr="00BE6C52" w14:paraId="41FC23CA" w14:textId="77777777" w:rsidTr="00F2642F">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0E1A2ED2" w14:textId="77777777" w:rsidR="00477BB8" w:rsidRPr="00477BB8"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lang w:val="fr"/>
              </w:rPr>
              <w:t>Coût total du projet pour le Fonds multilatéral ($ US) :</w:t>
            </w:r>
          </w:p>
        </w:tc>
        <w:tc>
          <w:tcPr>
            <w:tcW w:w="3557" w:type="dxa"/>
            <w:tcBorders>
              <w:top w:val="single" w:sz="4" w:space="0" w:color="auto"/>
              <w:left w:val="single" w:sz="4" w:space="0" w:color="auto"/>
              <w:bottom w:val="single" w:sz="4" w:space="0" w:color="auto"/>
              <w:right w:val="single" w:sz="4" w:space="0" w:color="auto"/>
            </w:tcBorders>
          </w:tcPr>
          <w:p w14:paraId="1D82E79D" w14:textId="77777777" w:rsidR="00477BB8" w:rsidRPr="00BE04C1"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lang w:val="fr"/>
              </w:rPr>
              <w:t>979 787</w:t>
            </w:r>
          </w:p>
        </w:tc>
      </w:tr>
      <w:tr w:rsidR="00477BB8" w:rsidRPr="000B782A" w14:paraId="60861A7F" w14:textId="77777777" w:rsidTr="00F2642F">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00F5C73E" w14:textId="77777777" w:rsidR="00477BB8" w:rsidRPr="00477BB8"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fr-FR"/>
              </w:rPr>
            </w:pPr>
            <w:r>
              <w:rPr>
                <w:sz w:val="20"/>
                <w:lang w:val="fr"/>
              </w:rPr>
              <w:t>Économies réalisées grâce à l’efficacité énergétique* ($ US/kWh/an) :</w:t>
            </w:r>
          </w:p>
        </w:tc>
        <w:tc>
          <w:tcPr>
            <w:tcW w:w="3557" w:type="dxa"/>
            <w:tcBorders>
              <w:top w:val="single" w:sz="4" w:space="0" w:color="auto"/>
              <w:left w:val="single" w:sz="4" w:space="0" w:color="auto"/>
              <w:bottom w:val="single" w:sz="4" w:space="0" w:color="auto"/>
              <w:right w:val="single" w:sz="4" w:space="0" w:color="auto"/>
            </w:tcBorders>
          </w:tcPr>
          <w:p w14:paraId="6FE9343E" w14:textId="77777777" w:rsidR="00477BB8" w:rsidRPr="00383432"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lang w:val="fr"/>
              </w:rPr>
              <w:t>0,007 (2,47/jour)</w:t>
            </w:r>
          </w:p>
        </w:tc>
      </w:tr>
      <w:tr w:rsidR="00477BB8" w:rsidRPr="00BE6C52" w14:paraId="12C0FB8B" w14:textId="77777777" w:rsidTr="00F2642F">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13B355C7" w14:textId="77777777" w:rsidR="00477BB8" w:rsidRPr="00477BB8"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lang w:val="fr"/>
              </w:rPr>
              <w:t>État du financement de contrepartie (O/N) :</w:t>
            </w:r>
          </w:p>
        </w:tc>
        <w:tc>
          <w:tcPr>
            <w:tcW w:w="3557" w:type="dxa"/>
            <w:tcBorders>
              <w:top w:val="single" w:sz="4" w:space="0" w:color="auto"/>
              <w:left w:val="single" w:sz="4" w:space="0" w:color="auto"/>
              <w:bottom w:val="single" w:sz="4" w:space="0" w:color="auto"/>
              <w:right w:val="single" w:sz="4" w:space="0" w:color="auto"/>
            </w:tcBorders>
          </w:tcPr>
          <w:p w14:paraId="61EE6C63" w14:textId="77777777" w:rsidR="00477BB8" w:rsidRPr="00B312C1"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lang w:val="fr"/>
              </w:rPr>
              <w:t>O</w:t>
            </w:r>
          </w:p>
        </w:tc>
      </w:tr>
      <w:tr w:rsidR="00477BB8" w:rsidRPr="00BE6C52" w14:paraId="238E9135" w14:textId="77777777" w:rsidTr="00F2642F">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107EB45A" w14:textId="77777777" w:rsidR="00477BB8" w:rsidRPr="00477BB8"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lang w:val="fr"/>
              </w:rPr>
              <w:t>Étapes de suivi du projet incluses (O/N) :</w:t>
            </w:r>
          </w:p>
        </w:tc>
        <w:tc>
          <w:tcPr>
            <w:tcW w:w="3557" w:type="dxa"/>
            <w:tcBorders>
              <w:top w:val="single" w:sz="4" w:space="0" w:color="auto"/>
              <w:left w:val="single" w:sz="4" w:space="0" w:color="auto"/>
              <w:bottom w:val="single" w:sz="4" w:space="0" w:color="auto"/>
              <w:right w:val="single" w:sz="4" w:space="0" w:color="auto"/>
            </w:tcBorders>
          </w:tcPr>
          <w:p w14:paraId="67D9A4A7" w14:textId="77777777" w:rsidR="00477BB8" w:rsidRPr="00B312C1"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lang w:val="fr"/>
              </w:rPr>
              <w:t>O</w:t>
            </w:r>
          </w:p>
        </w:tc>
      </w:tr>
      <w:tr w:rsidR="00477BB8" w:rsidRPr="00BE6C52" w14:paraId="614D0FCC" w14:textId="77777777" w:rsidTr="00F2642F">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2F655F5E" w14:textId="77777777" w:rsidR="00477BB8" w:rsidRPr="00477BB8"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FR"/>
              </w:rPr>
            </w:pPr>
            <w:r>
              <w:rPr>
                <w:sz w:val="20"/>
                <w:lang w:val="fr"/>
              </w:rPr>
              <w:t>Normes d’efficacité énergétique minimale disponible pour le secteur concerné (O/N) :</w:t>
            </w:r>
          </w:p>
        </w:tc>
        <w:tc>
          <w:tcPr>
            <w:tcW w:w="3557" w:type="dxa"/>
            <w:tcBorders>
              <w:top w:val="single" w:sz="4" w:space="0" w:color="auto"/>
              <w:left w:val="single" w:sz="4" w:space="0" w:color="auto"/>
              <w:bottom w:val="single" w:sz="4" w:space="0" w:color="auto"/>
              <w:right w:val="single" w:sz="4" w:space="0" w:color="auto"/>
            </w:tcBorders>
          </w:tcPr>
          <w:p w14:paraId="5F086D11" w14:textId="77777777" w:rsidR="00477BB8" w:rsidRPr="00B312C1"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lang w:val="fr"/>
              </w:rPr>
              <w:t>N</w:t>
            </w:r>
          </w:p>
        </w:tc>
      </w:tr>
    </w:tbl>
    <w:p w14:paraId="6463F127" w14:textId="77777777" w:rsidR="00477BB8" w:rsidRPr="00477BB8" w:rsidRDefault="00477BB8" w:rsidP="00477BB8">
      <w:pPr>
        <w:ind w:left="-426" w:right="-421"/>
        <w:rPr>
          <w:sz w:val="18"/>
          <w:szCs w:val="18"/>
          <w:lang w:val="fr-FR"/>
        </w:rPr>
      </w:pPr>
      <w:r>
        <w:rPr>
          <w:sz w:val="18"/>
          <w:szCs w:val="18"/>
          <w:lang w:val="fr"/>
        </w:rPr>
        <w:t>* En tenant compte uniquement des économies d’énergie et du financement relatifs aux activités au niveau des entreprises et en excluant ceux relatifs aux activités au niveau politique.</w:t>
      </w:r>
    </w:p>
    <w:p w14:paraId="69276285" w14:textId="77777777" w:rsidR="00477BB8" w:rsidRPr="00477BB8" w:rsidRDefault="00477BB8" w:rsidP="00477BB8">
      <w:pPr>
        <w:rPr>
          <w:sz w:val="18"/>
          <w:szCs w:val="18"/>
          <w:lang w:val="fr-FR"/>
        </w:rPr>
      </w:pPr>
    </w:p>
    <w:p w14:paraId="26FB841A" w14:textId="77777777" w:rsidR="00477BB8" w:rsidRPr="00477BB8" w:rsidRDefault="00477BB8" w:rsidP="00477BB8">
      <w:pPr>
        <w:rPr>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07"/>
      </w:tblGrid>
      <w:tr w:rsidR="00477BB8" w:rsidRPr="00BE6C52" w14:paraId="1AC7523D" w14:textId="77777777" w:rsidTr="00F2642F">
        <w:trPr>
          <w:trHeight w:val="296"/>
          <w:jc w:val="center"/>
        </w:trPr>
        <w:tc>
          <w:tcPr>
            <w:tcW w:w="6658" w:type="dxa"/>
            <w:tcBorders>
              <w:top w:val="single" w:sz="4" w:space="0" w:color="auto"/>
              <w:left w:val="single" w:sz="4" w:space="0" w:color="auto"/>
              <w:bottom w:val="single" w:sz="4" w:space="0" w:color="auto"/>
              <w:right w:val="single" w:sz="4" w:space="0" w:color="auto"/>
            </w:tcBorders>
          </w:tcPr>
          <w:p w14:paraId="1A078F9F" w14:textId="77777777" w:rsidR="00477BB8" w:rsidRPr="00BE6C52"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bCs/>
                <w:sz w:val="20"/>
                <w:lang w:val="fr"/>
              </w:rPr>
              <w:t>RECOMMANDATION DU SECRÉTARIAT</w:t>
            </w:r>
          </w:p>
        </w:tc>
        <w:tc>
          <w:tcPr>
            <w:tcW w:w="3507" w:type="dxa"/>
            <w:tcBorders>
              <w:top w:val="single" w:sz="4" w:space="0" w:color="auto"/>
              <w:left w:val="single" w:sz="4" w:space="0" w:color="auto"/>
              <w:bottom w:val="single" w:sz="4" w:space="0" w:color="auto"/>
              <w:right w:val="single" w:sz="4" w:space="0" w:color="auto"/>
            </w:tcBorders>
          </w:tcPr>
          <w:p w14:paraId="2F1D86C0" w14:textId="77777777" w:rsidR="00477BB8" w:rsidRPr="00BE6C52" w:rsidRDefault="00477BB8" w:rsidP="00F2642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lang w:val="fr"/>
              </w:rPr>
              <w:t>Pour examen individuel</w:t>
            </w:r>
          </w:p>
        </w:tc>
      </w:tr>
    </w:tbl>
    <w:p w14:paraId="6BAAA382" w14:textId="77777777" w:rsidR="00477BB8" w:rsidRPr="00BE6C52" w:rsidRDefault="00477BB8" w:rsidP="00477BB8">
      <w:pPr>
        <w:rPr>
          <w:sz w:val="10"/>
          <w:szCs w:val="10"/>
        </w:rPr>
      </w:pPr>
      <w:r>
        <w:rPr>
          <w:sz w:val="10"/>
          <w:szCs w:val="10"/>
          <w:lang w:val="fr"/>
        </w:rPr>
        <w:br w:type="page"/>
      </w:r>
    </w:p>
    <w:p w14:paraId="0C4F98A8" w14:textId="77777777" w:rsidR="00477BB8" w:rsidRPr="00477BB8" w:rsidRDefault="00477BB8" w:rsidP="00384A4A">
      <w:pPr>
        <w:keepNext/>
        <w:spacing w:after="240"/>
        <w:jc w:val="center"/>
        <w:rPr>
          <w:rStyle w:val="eop"/>
          <w:color w:val="000000"/>
          <w:shd w:val="clear" w:color="auto" w:fill="FFFFFF"/>
          <w:lang w:val="fr-FR"/>
        </w:rPr>
      </w:pPr>
      <w:r>
        <w:rPr>
          <w:rStyle w:val="normaltextrun"/>
          <w:b/>
          <w:bCs/>
          <w:color w:val="000000"/>
          <w:shd w:val="clear" w:color="auto" w:fill="FFFFFF"/>
          <w:lang w:val="fr"/>
        </w:rPr>
        <w:lastRenderedPageBreak/>
        <w:t xml:space="preserve">PROJET PILOTE </w:t>
      </w:r>
      <w:r>
        <w:rPr>
          <w:b/>
          <w:bCs/>
          <w:color w:val="000000"/>
          <w:shd w:val="clear" w:color="auto" w:fill="FFFFFF"/>
          <w:lang w:val="fr"/>
        </w:rPr>
        <w:t>D’AMÉLIORATION DE L’EFFICACITÉ ÉNERGÉTIQUE DES ÉQUIPEMENTS DE RÉFRIGÉRATION COMMERCIALE AUTONOMES EN MALAISIE DANS LE CONTEXTE DE LA RÉDUCTION DES HFC</w:t>
      </w:r>
      <w:r>
        <w:rPr>
          <w:rStyle w:val="normaltextrun"/>
          <w:b/>
          <w:bCs/>
          <w:color w:val="000000"/>
          <w:shd w:val="clear" w:color="auto" w:fill="FFFFFF"/>
          <w:lang w:val="fr"/>
        </w:rPr>
        <w:t xml:space="preserve"> (ACTIVITÉS PORTANT ET NE PORTANT PAS SUR DES INVESTISSEMENTS)</w:t>
      </w:r>
      <w:r>
        <w:rPr>
          <w:rStyle w:val="eop"/>
          <w:color w:val="000000"/>
          <w:shd w:val="clear" w:color="auto" w:fill="FFFFFF"/>
          <w:lang w:val="fr"/>
        </w:rPr>
        <w:t> </w:t>
      </w:r>
    </w:p>
    <w:p w14:paraId="64A02432" w14:textId="77777777" w:rsidR="00477BB8" w:rsidRPr="0034371D" w:rsidRDefault="00477BB8" w:rsidP="00477BB8">
      <w:pPr>
        <w:keepNext/>
        <w:spacing w:after="240"/>
        <w:jc w:val="center"/>
        <w:rPr>
          <w:b/>
        </w:rPr>
      </w:pPr>
      <w:r>
        <w:rPr>
          <w:b/>
          <w:bCs/>
          <w:lang w:val="fr"/>
        </w:rPr>
        <w:t>DESCRIPTION DU PROJET</w:t>
      </w:r>
    </w:p>
    <w:p w14:paraId="6E9970B9" w14:textId="77777777" w:rsidR="00477BB8" w:rsidRPr="00BE6C52" w:rsidRDefault="00477BB8" w:rsidP="00477BB8">
      <w:pPr>
        <w:spacing w:after="240"/>
        <w:rPr>
          <w:b/>
        </w:rPr>
      </w:pPr>
      <w:r>
        <w:rPr>
          <w:b/>
          <w:bCs/>
          <w:lang w:val="fr"/>
        </w:rPr>
        <w:t>Contexte</w:t>
      </w:r>
    </w:p>
    <w:p w14:paraId="0F864BE4" w14:textId="77777777" w:rsidR="00477BB8" w:rsidRPr="00477BB8" w:rsidRDefault="00477BB8" w:rsidP="00096AC6">
      <w:pPr>
        <w:pStyle w:val="Heading1"/>
        <w:numPr>
          <w:ilvl w:val="0"/>
          <w:numId w:val="22"/>
        </w:numPr>
        <w:tabs>
          <w:tab w:val="clear" w:pos="0"/>
          <w:tab w:val="num" w:pos="709"/>
        </w:tabs>
        <w:rPr>
          <w:lang w:val="fr-FR"/>
        </w:rPr>
      </w:pPr>
      <w:r>
        <w:rPr>
          <w:lang w:val="fr"/>
        </w:rPr>
        <w:t xml:space="preserve">Au nom du gouvernement de la Malaisie, la Banque mondiale a soumis, conformément aux décisions 91/65 et 94/60, une demande pour un </w:t>
      </w:r>
      <w:bookmarkStart w:id="3" w:name="_Hlk148535980"/>
      <w:r>
        <w:rPr>
          <w:lang w:val="fr"/>
        </w:rPr>
        <w:t>projet pilote de maintien et/ou d’amélioration de l’efficacité énergétique des technologies et équipements de remplacement dans le contexte de la réduction des HFC (activités portant et ne portant pas sur des investissements)</w:t>
      </w:r>
      <w:bookmarkEnd w:id="3"/>
      <w:r>
        <w:rPr>
          <w:lang w:val="fr"/>
        </w:rPr>
        <w:t xml:space="preserve"> pour un montant total de 1 148 215 $ US, plus les coûts d’appui d’agence à hauteur de 80 375 $ US, conformément à la demande initiale.</w:t>
      </w:r>
      <w:r>
        <w:rPr>
          <w:vertAlign w:val="superscript"/>
          <w:lang w:val="fr"/>
        </w:rPr>
        <w:footnoteReference w:id="2"/>
      </w:r>
    </w:p>
    <w:p w14:paraId="2E1A25D9" w14:textId="6B8BB3FE" w:rsidR="00477BB8" w:rsidRPr="00477BB8" w:rsidRDefault="00CA59E1" w:rsidP="00477BB8">
      <w:pPr>
        <w:pStyle w:val="Heading1"/>
        <w:numPr>
          <w:ilvl w:val="0"/>
          <w:numId w:val="0"/>
        </w:numPr>
        <w:rPr>
          <w:u w:val="single"/>
          <w:lang w:val="fr-FR"/>
        </w:rPr>
      </w:pPr>
      <w:r>
        <w:rPr>
          <w:u w:val="single"/>
          <w:lang w:val="fr-FR"/>
        </w:rPr>
        <w:t>État</w:t>
      </w:r>
      <w:r w:rsidR="00477BB8">
        <w:rPr>
          <w:u w:val="single"/>
          <w:lang w:val="fr"/>
        </w:rPr>
        <w:t xml:space="preserve"> de la mise en œuvre des activités liées à l’efficacité énergétique financées par le Fonds multilatéral</w:t>
      </w:r>
    </w:p>
    <w:p w14:paraId="3C2ABC44" w14:textId="243FD798" w:rsidR="00477BB8" w:rsidRPr="00477BB8" w:rsidRDefault="00477BB8" w:rsidP="00477BB8">
      <w:pPr>
        <w:pStyle w:val="Heading1"/>
        <w:rPr>
          <w:lang w:val="fr-FR"/>
        </w:rPr>
      </w:pPr>
      <w:r>
        <w:rPr>
          <w:lang w:val="fr"/>
        </w:rPr>
        <w:t>La mise en œuvre des activités de facilitation pour la mise en œuvre de l’Amendement de Kigali pour la réduction des HFC</w:t>
      </w:r>
      <w:r>
        <w:rPr>
          <w:vertAlign w:val="superscript"/>
          <w:lang w:val="fr"/>
        </w:rPr>
        <w:footnoteReference w:id="3"/>
      </w:r>
      <w:r>
        <w:rPr>
          <w:lang w:val="fr"/>
        </w:rPr>
        <w:t xml:space="preserve"> comprenait des activités pour déterminer la consommation moyenne et la valeur de référence de HFC, afin de soutenir l’élaboration d’un système d’octroi de </w:t>
      </w:r>
      <w:r w:rsidR="005417BA">
        <w:rPr>
          <w:lang w:val="fr"/>
        </w:rPr>
        <w:t>quotas</w:t>
      </w:r>
      <w:r>
        <w:rPr>
          <w:lang w:val="fr"/>
        </w:rPr>
        <w:t xml:space="preserve"> et a mené le Gouvernement à labelliser les HFC comme « substances interdites » sujettes à la réglementation et à introduire un nouveau système de codes tarifaires pour les HFC. La phase I du plan de mise en œuvre de l’Amendement de Kigali relatif aux HFC (KIP) approuvée à la 93</w:t>
      </w:r>
      <w:r>
        <w:rPr>
          <w:vertAlign w:val="superscript"/>
          <w:lang w:val="fr"/>
        </w:rPr>
        <w:t>e</w:t>
      </w:r>
      <w:r>
        <w:rPr>
          <w:lang w:val="fr"/>
        </w:rPr>
        <w:t> réunion</w:t>
      </w:r>
      <w:r>
        <w:rPr>
          <w:vertAlign w:val="superscript"/>
          <w:lang w:val="fr"/>
        </w:rPr>
        <w:footnoteReference w:id="4"/>
      </w:r>
      <w:r>
        <w:rPr>
          <w:lang w:val="fr"/>
        </w:rPr>
        <w:t xml:space="preserve"> comprend l’interdiction</w:t>
      </w:r>
      <w:r>
        <w:rPr>
          <w:rStyle w:val="normaltextrun"/>
          <w:color w:val="000000"/>
          <w:bdr w:val="none" w:sz="0" w:space="0" w:color="auto" w:frame="1"/>
          <w:lang w:val="fr"/>
        </w:rPr>
        <w:t xml:space="preserve"> d’installer de nouveaux systèmes d’extinction d’incendie utilisant du HFC-23 </w:t>
      </w:r>
      <w:r w:rsidR="00B20A41">
        <w:rPr>
          <w:rStyle w:val="normaltextrun"/>
          <w:color w:val="000000"/>
          <w:bdr w:val="none" w:sz="0" w:space="0" w:color="auto" w:frame="1"/>
          <w:lang w:val="fr"/>
        </w:rPr>
        <w:t>et</w:t>
      </w:r>
      <w:r>
        <w:rPr>
          <w:rStyle w:val="normaltextrun"/>
          <w:color w:val="000000"/>
          <w:bdr w:val="none" w:sz="0" w:space="0" w:color="auto" w:frame="1"/>
          <w:lang w:val="fr"/>
        </w:rPr>
        <w:t xml:space="preserve"> du HFC-125 d’ici le 1</w:t>
      </w:r>
      <w:r>
        <w:rPr>
          <w:rStyle w:val="normaltextrun"/>
          <w:color w:val="000000"/>
          <w:bdr w:val="none" w:sz="0" w:space="0" w:color="auto" w:frame="1"/>
          <w:vertAlign w:val="superscript"/>
          <w:lang w:val="fr"/>
        </w:rPr>
        <w:t>er</w:t>
      </w:r>
      <w:r>
        <w:rPr>
          <w:rStyle w:val="normaltextrun"/>
          <w:color w:val="000000"/>
          <w:bdr w:val="none" w:sz="0" w:space="0" w:color="auto" w:frame="1"/>
          <w:lang w:val="fr"/>
        </w:rPr>
        <w:t> janvier 2026 ; et d’ici le 1</w:t>
      </w:r>
      <w:r>
        <w:rPr>
          <w:rStyle w:val="normaltextrun"/>
          <w:color w:val="000000"/>
          <w:bdr w:val="none" w:sz="0" w:space="0" w:color="auto" w:frame="1"/>
          <w:vertAlign w:val="superscript"/>
          <w:lang w:val="fr"/>
        </w:rPr>
        <w:t>er</w:t>
      </w:r>
      <w:r>
        <w:rPr>
          <w:rStyle w:val="normaltextrun"/>
          <w:color w:val="000000"/>
          <w:bdr w:val="none" w:sz="0" w:space="0" w:color="auto" w:frame="1"/>
          <w:lang w:val="fr"/>
        </w:rPr>
        <w:t> janvier 2029, l’interdiction de fabriquer et d’importer des équipements de réfrigération commerciale autonomes utilisant du HFC</w:t>
      </w:r>
      <w:r w:rsidR="007C5757">
        <w:rPr>
          <w:rStyle w:val="normaltextrun"/>
          <w:color w:val="000000"/>
          <w:bdr w:val="none" w:sz="0" w:space="0" w:color="auto" w:frame="1"/>
          <w:lang w:val="fr"/>
        </w:rPr>
        <w:t>,</w:t>
      </w:r>
      <w:r>
        <w:rPr>
          <w:rStyle w:val="normaltextrun"/>
          <w:color w:val="000000"/>
          <w:bdr w:val="none" w:sz="0" w:space="0" w:color="auto" w:frame="1"/>
          <w:lang w:val="fr"/>
        </w:rPr>
        <w:t xml:space="preserve"> </w:t>
      </w:r>
      <w:r w:rsidR="00060961">
        <w:rPr>
          <w:rStyle w:val="normaltextrun"/>
          <w:color w:val="000000"/>
          <w:bdr w:val="none" w:sz="0" w:space="0" w:color="auto" w:frame="1"/>
          <w:lang w:val="fr"/>
        </w:rPr>
        <w:t xml:space="preserve">des équipements de réfrigération domestique utilisant du HFC, </w:t>
      </w:r>
      <w:r>
        <w:rPr>
          <w:rStyle w:val="normaltextrun"/>
          <w:color w:val="000000"/>
          <w:bdr w:val="none" w:sz="0" w:space="0" w:color="auto" w:frame="1"/>
          <w:lang w:val="fr"/>
        </w:rPr>
        <w:t>des composants pour le transport réfrigéré utilisant du HFC-134a, du R-452A et du R</w:t>
      </w:r>
      <w:r>
        <w:rPr>
          <w:rStyle w:val="normaltextrun"/>
          <w:color w:val="000000"/>
          <w:bdr w:val="none" w:sz="0" w:space="0" w:color="auto" w:frame="1"/>
          <w:lang w:val="fr"/>
        </w:rPr>
        <w:noBreakHyphen/>
        <w:t>404A, des climatiseurs à éléments séparés et des pompes à chaleur utilisant du R-407C et l’interdiction d’installer de nouveaux refroidisseurs utilisant du R-407C.</w:t>
      </w:r>
    </w:p>
    <w:p w14:paraId="4E854CA7" w14:textId="77777777" w:rsidR="00477BB8" w:rsidRPr="00BE6C52" w:rsidRDefault="00477BB8" w:rsidP="00477BB8">
      <w:pPr>
        <w:spacing w:after="240"/>
        <w:rPr>
          <w:b/>
          <w:bCs/>
        </w:rPr>
      </w:pPr>
      <w:r>
        <w:rPr>
          <w:b/>
          <w:bCs/>
          <w:lang w:val="fr"/>
        </w:rPr>
        <w:t>Projet pilote sur l’efficacité énergétique</w:t>
      </w:r>
    </w:p>
    <w:p w14:paraId="6ADA753D" w14:textId="3A70213B" w:rsidR="00477BB8" w:rsidRPr="00477BB8" w:rsidRDefault="00477BB8" w:rsidP="006C2FD4">
      <w:pPr>
        <w:pStyle w:val="Heading1"/>
        <w:numPr>
          <w:ilvl w:val="0"/>
          <w:numId w:val="22"/>
        </w:numPr>
        <w:tabs>
          <w:tab w:val="clear" w:pos="0"/>
          <w:tab w:val="left" w:pos="709"/>
        </w:tabs>
        <w:rPr>
          <w:lang w:val="fr-FR"/>
        </w:rPr>
      </w:pPr>
      <w:r>
        <w:rPr>
          <w:lang w:val="fr"/>
        </w:rPr>
        <w:t xml:space="preserve">La Malaisie a ratifié la totalité des amendements au Protocole de Montréal, notamment l’Amendement de Kigali, le 20 octobre 2020. La valeur de référence de HFC pour la Malaisie a été établie à </w:t>
      </w:r>
      <w:r>
        <w:rPr>
          <w:rStyle w:val="normaltextrun"/>
          <w:color w:val="000000"/>
          <w:bdr w:val="none" w:sz="0" w:space="0" w:color="auto" w:frame="1"/>
          <w:lang w:val="fr"/>
        </w:rPr>
        <w:t>26 703 717 </w:t>
      </w:r>
      <w:r>
        <w:rPr>
          <w:lang w:val="fr"/>
        </w:rPr>
        <w:t>tonnes eq-CO</w:t>
      </w:r>
      <w:r w:rsidRPr="00A82AAB">
        <w:rPr>
          <w:vertAlign w:val="subscript"/>
          <w:lang w:val="fr"/>
        </w:rPr>
        <w:t>2</w:t>
      </w:r>
      <w:r>
        <w:rPr>
          <w:lang w:val="fr"/>
        </w:rPr>
        <w:t xml:space="preserve">, que le pays s’est engagé à diminuer de 10 pour cent en 2029. Le gouvernement de la Malaisie a déclaré une consommation de </w:t>
      </w:r>
      <w:r>
        <w:rPr>
          <w:color w:val="1E1E1E"/>
          <w:shd w:val="clear" w:color="auto" w:fill="FFFFFF"/>
          <w:lang w:val="fr"/>
        </w:rPr>
        <w:t>5 043 404 </w:t>
      </w:r>
      <w:r>
        <w:rPr>
          <w:lang w:val="fr"/>
        </w:rPr>
        <w:t>tonnes eq-CO</w:t>
      </w:r>
      <w:r w:rsidRPr="00C50F6B">
        <w:rPr>
          <w:vertAlign w:val="subscript"/>
          <w:lang w:val="fr"/>
        </w:rPr>
        <w:t>2</w:t>
      </w:r>
      <w:r>
        <w:rPr>
          <w:lang w:val="fr"/>
        </w:rPr>
        <w:t xml:space="preserve"> de HFC en 2023, ce qui est 81 pour cent inférieur à la valeur de référence établie.</w:t>
      </w:r>
    </w:p>
    <w:p w14:paraId="59D08571" w14:textId="77777777" w:rsidR="00477BB8" w:rsidRPr="00BE6C52" w:rsidRDefault="00477BB8" w:rsidP="00477BB8">
      <w:pPr>
        <w:spacing w:after="240"/>
        <w:rPr>
          <w:u w:val="single"/>
        </w:rPr>
      </w:pPr>
      <w:r>
        <w:rPr>
          <w:u w:val="single"/>
          <w:lang w:val="fr"/>
        </w:rPr>
        <w:t>Cadres politique, réglementaire et institutionnel</w:t>
      </w:r>
    </w:p>
    <w:p w14:paraId="2F9C29A0" w14:textId="7E794210" w:rsidR="00477BB8" w:rsidRPr="00477BB8" w:rsidRDefault="00477BB8" w:rsidP="00477BB8">
      <w:pPr>
        <w:pStyle w:val="Heading1"/>
        <w:numPr>
          <w:ilvl w:val="0"/>
          <w:numId w:val="3"/>
        </w:numPr>
        <w:rPr>
          <w:color w:val="000000"/>
          <w:shd w:val="clear" w:color="auto" w:fill="FFFFFF"/>
          <w:lang w:val="fr-FR"/>
        </w:rPr>
      </w:pPr>
      <w:r>
        <w:rPr>
          <w:rStyle w:val="normaltextrun"/>
          <w:color w:val="000000"/>
          <w:shd w:val="clear" w:color="auto" w:fill="FFFFFF"/>
          <w:lang w:val="fr"/>
        </w:rPr>
        <w:t xml:space="preserve">Depuis 2014, les normes de performance énergétique minimale et l’étiquetage sont obligatoires pour les appareils </w:t>
      </w:r>
      <w:r w:rsidR="0086631B">
        <w:rPr>
          <w:rStyle w:val="normaltextrun"/>
          <w:color w:val="000000"/>
          <w:shd w:val="clear" w:color="auto" w:fill="FFFFFF"/>
          <w:lang w:val="fr"/>
        </w:rPr>
        <w:t>électroménagers</w:t>
      </w:r>
      <w:r>
        <w:rPr>
          <w:rStyle w:val="normaltextrun"/>
          <w:color w:val="000000"/>
          <w:shd w:val="clear" w:color="auto" w:fill="FFFFFF"/>
          <w:lang w:val="fr"/>
        </w:rPr>
        <w:t xml:space="preserve"> (moins de 300 litres par unité) en Malaisie et réglementé par la Commission de l’énergie </w:t>
      </w:r>
      <w:r w:rsidR="0086631B">
        <w:rPr>
          <w:rStyle w:val="normaltextrun"/>
          <w:color w:val="000000"/>
          <w:shd w:val="clear" w:color="auto" w:fill="FFFFFF"/>
          <w:lang w:val="fr"/>
        </w:rPr>
        <w:t xml:space="preserve">(EC) </w:t>
      </w:r>
      <w:r>
        <w:rPr>
          <w:rStyle w:val="normaltextrun"/>
          <w:color w:val="000000"/>
          <w:shd w:val="clear" w:color="auto" w:fill="FFFFFF"/>
          <w:lang w:val="fr"/>
        </w:rPr>
        <w:t xml:space="preserve">sous la tutelle du </w:t>
      </w:r>
      <w:proofErr w:type="gramStart"/>
      <w:r>
        <w:rPr>
          <w:rStyle w:val="normaltextrun"/>
          <w:color w:val="000000"/>
          <w:shd w:val="clear" w:color="auto" w:fill="FFFFFF"/>
          <w:lang w:val="fr"/>
        </w:rPr>
        <w:t>Ministère de l’énergie</w:t>
      </w:r>
      <w:proofErr w:type="gramEnd"/>
      <w:r>
        <w:rPr>
          <w:rStyle w:val="normaltextrun"/>
          <w:color w:val="000000"/>
          <w:shd w:val="clear" w:color="auto" w:fill="FFFFFF"/>
          <w:lang w:val="fr"/>
        </w:rPr>
        <w:t>. Cependant,</w:t>
      </w:r>
      <w:r>
        <w:rPr>
          <w:color w:val="000000"/>
          <w:shd w:val="clear" w:color="auto" w:fill="FFFFFF"/>
          <w:lang w:val="fr"/>
        </w:rPr>
        <w:t xml:space="preserve"> la Malaisie n’a actuellement pas mis en place de normes de performance énergétique minimale pour les équipements de réfrigération commerciale autonomes, comme les congélateurs coffres, les distributeurs de boissons ou les vitrines réfrigérées, ni </w:t>
      </w:r>
      <w:r w:rsidR="0097098B">
        <w:rPr>
          <w:color w:val="000000"/>
          <w:shd w:val="clear" w:color="auto" w:fill="FFFFFF"/>
          <w:lang w:val="fr"/>
        </w:rPr>
        <w:t xml:space="preserve">aucun type de </w:t>
      </w:r>
      <w:r>
        <w:rPr>
          <w:color w:val="000000"/>
          <w:shd w:val="clear" w:color="auto" w:fill="FFFFFF"/>
          <w:lang w:val="fr"/>
        </w:rPr>
        <w:t>norme volontaire ou de lignes directrices.</w:t>
      </w:r>
    </w:p>
    <w:p w14:paraId="14F5B658" w14:textId="072FEE6D" w:rsidR="00477BB8" w:rsidRPr="00477BB8" w:rsidRDefault="00477BB8" w:rsidP="00477BB8">
      <w:pPr>
        <w:pStyle w:val="Heading1"/>
        <w:rPr>
          <w:lang w:val="fr-FR"/>
        </w:rPr>
      </w:pPr>
      <w:r>
        <w:rPr>
          <w:lang w:val="fr"/>
        </w:rPr>
        <w:t>Le 11 octobre 2023, le parlement de Malaisie a adopté l</w:t>
      </w:r>
      <w:r w:rsidR="002D70CF">
        <w:rPr>
          <w:lang w:val="fr"/>
        </w:rPr>
        <w:t>a Loi</w:t>
      </w:r>
      <w:r>
        <w:rPr>
          <w:lang w:val="fr"/>
        </w:rPr>
        <w:t xml:space="preserve"> de conservation de l’efficacité énergétique, dans le cadre </w:t>
      </w:r>
      <w:r w:rsidR="00FF1A55">
        <w:rPr>
          <w:lang w:val="fr"/>
        </w:rPr>
        <w:t>de laquelle</w:t>
      </w:r>
      <w:r>
        <w:rPr>
          <w:lang w:val="fr"/>
        </w:rPr>
        <w:t xml:space="preserve"> la Commission de l’énergie a étendu son mandat pour réglementer </w:t>
      </w:r>
      <w:r>
        <w:rPr>
          <w:lang w:val="fr"/>
        </w:rPr>
        <w:lastRenderedPageBreak/>
        <w:t>les performances énergétiques de tous les équipements électriques (</w:t>
      </w:r>
      <w:r w:rsidR="00947F09">
        <w:rPr>
          <w:lang w:val="fr"/>
        </w:rPr>
        <w:t>au-delà</w:t>
      </w:r>
      <w:r>
        <w:rPr>
          <w:lang w:val="fr"/>
        </w:rPr>
        <w:t xml:space="preserve"> des appareils électroménagers).</w:t>
      </w:r>
      <w:r w:rsidR="00892D48">
        <w:rPr>
          <w:lang w:val="fr"/>
        </w:rPr>
        <w:t xml:space="preserve"> </w:t>
      </w:r>
      <w:r>
        <w:rPr>
          <w:lang w:val="fr"/>
        </w:rPr>
        <w:t>Le calendrier actuel des actions prioritaires de la Commission de l’énergie consiste à étendre les normes de performance énergétique minimale et le programme de classement par étoiles afin d’englober les moteurs électriques et les climatiseurs commerciaux d’ici 2026 et 2027, respectivement, car ces types d’équipements ont la consommation d’énergie la plus élevée.</w:t>
      </w:r>
      <w:r w:rsidR="00CF15AD">
        <w:rPr>
          <w:lang w:val="fr"/>
        </w:rPr>
        <w:t xml:space="preserve"> </w:t>
      </w:r>
      <w:r>
        <w:rPr>
          <w:rStyle w:val="normaltextrun"/>
          <w:color w:val="000000"/>
          <w:shd w:val="clear" w:color="auto" w:fill="FFFFFF"/>
          <w:lang w:val="fr"/>
        </w:rPr>
        <w:t xml:space="preserve">Avec le soutien de ce projet, la Commission de l’énergie intégrera les réfrigérateurs et les congélateurs </w:t>
      </w:r>
      <w:r w:rsidR="00AF380A">
        <w:rPr>
          <w:rStyle w:val="normaltextrun"/>
          <w:color w:val="000000"/>
          <w:shd w:val="clear" w:color="auto" w:fill="FFFFFF"/>
          <w:lang w:val="fr"/>
        </w:rPr>
        <w:t xml:space="preserve">commerciaux </w:t>
      </w:r>
      <w:r>
        <w:rPr>
          <w:rStyle w:val="normaltextrun"/>
          <w:color w:val="000000"/>
          <w:shd w:val="clear" w:color="auto" w:fill="FFFFFF"/>
          <w:lang w:val="fr"/>
        </w:rPr>
        <w:t xml:space="preserve">dans ses normes de performance énergétique minimale et son programme de classement par étoiles d’ici début 2029, au lieu de 2030 ou plus tard, permettant ainsi </w:t>
      </w:r>
      <w:r w:rsidR="00FE6664">
        <w:rPr>
          <w:rStyle w:val="normaltextrun"/>
          <w:color w:val="000000"/>
          <w:shd w:val="clear" w:color="auto" w:fill="FFFFFF"/>
          <w:lang w:val="fr"/>
        </w:rPr>
        <w:t>que la</w:t>
      </w:r>
      <w:r>
        <w:rPr>
          <w:rStyle w:val="normaltextrun"/>
          <w:color w:val="000000"/>
          <w:shd w:val="clear" w:color="auto" w:fill="FFFFFF"/>
          <w:lang w:val="fr"/>
        </w:rPr>
        <w:t xml:space="preserve"> réduction des HFC dans le secteur de la réfrigération commerciale au titre du plan de mise en œuvre de l’Amendement de Kigali relatif aux HFC </w:t>
      </w:r>
      <w:r w:rsidR="00E21596">
        <w:rPr>
          <w:rStyle w:val="normaltextrun"/>
          <w:color w:val="000000"/>
          <w:shd w:val="clear" w:color="auto" w:fill="FFFFFF"/>
          <w:lang w:val="fr"/>
        </w:rPr>
        <w:t>se</w:t>
      </w:r>
      <w:r>
        <w:rPr>
          <w:rStyle w:val="normaltextrun"/>
          <w:color w:val="000000"/>
          <w:shd w:val="clear" w:color="auto" w:fill="FFFFFF"/>
          <w:lang w:val="fr"/>
        </w:rPr>
        <w:t xml:space="preserve"> synchronise avec des améliorations énergétiques pour améliorer les bénéfices globaux pour le climat.</w:t>
      </w:r>
    </w:p>
    <w:p w14:paraId="316111EE" w14:textId="77777777" w:rsidR="00477BB8" w:rsidRPr="004650B5" w:rsidRDefault="00477BB8" w:rsidP="00477BB8">
      <w:pPr>
        <w:spacing w:after="240"/>
        <w:outlineLvl w:val="0"/>
        <w:rPr>
          <w:u w:val="single"/>
        </w:rPr>
      </w:pPr>
      <w:r>
        <w:rPr>
          <w:u w:val="single"/>
          <w:lang w:val="fr"/>
        </w:rPr>
        <w:t>Objectif du projet</w:t>
      </w:r>
    </w:p>
    <w:p w14:paraId="73F9A7A2" w14:textId="614C3E82" w:rsidR="00477BB8" w:rsidRPr="00477BB8" w:rsidRDefault="00477BB8" w:rsidP="00477BB8">
      <w:pPr>
        <w:pStyle w:val="Heading1"/>
        <w:rPr>
          <w:rStyle w:val="normaltextrun"/>
          <w:color w:val="000000"/>
          <w:shd w:val="clear" w:color="auto" w:fill="FFFFFF"/>
          <w:lang w:val="fr-FR"/>
        </w:rPr>
      </w:pPr>
      <w:r>
        <w:rPr>
          <w:lang w:val="fr"/>
        </w:rPr>
        <w:t xml:space="preserve">L’objectif du projet consiste à </w:t>
      </w:r>
      <w:r>
        <w:rPr>
          <w:rStyle w:val="normaltextrun"/>
          <w:color w:val="000000"/>
          <w:shd w:val="clear" w:color="auto" w:fill="FFFFFF"/>
          <w:lang w:val="fr"/>
        </w:rPr>
        <w:t xml:space="preserve">améliorer l’efficacité énergétique des équipements de réfrigération commerciale autonomes en Malaisie de 20 à 40 pour cent, en parallèle d’une élimination totale des HFC dans </w:t>
      </w:r>
      <w:proofErr w:type="gramStart"/>
      <w:r>
        <w:rPr>
          <w:rStyle w:val="normaltextrun"/>
          <w:color w:val="000000"/>
          <w:shd w:val="clear" w:color="auto" w:fill="FFFFFF"/>
          <w:lang w:val="fr"/>
        </w:rPr>
        <w:t>le sous-secteur prévu</w:t>
      </w:r>
      <w:r w:rsidR="00D42022">
        <w:rPr>
          <w:rStyle w:val="normaltextrun"/>
          <w:color w:val="000000"/>
          <w:shd w:val="clear" w:color="auto" w:fill="FFFFFF"/>
          <w:lang w:val="fr"/>
        </w:rPr>
        <w:t>e</w:t>
      </w:r>
      <w:proofErr w:type="gramEnd"/>
      <w:r>
        <w:rPr>
          <w:rStyle w:val="normaltextrun"/>
          <w:color w:val="000000"/>
          <w:shd w:val="clear" w:color="auto" w:fill="FFFFFF"/>
          <w:lang w:val="fr"/>
        </w:rPr>
        <w:t xml:space="preserve"> au titre de la phase I du plan de mise en œuvre de l’Amendement de Kigali relatif aux HFC du pays.</w:t>
      </w:r>
    </w:p>
    <w:p w14:paraId="4BA0D954" w14:textId="71898B2B" w:rsidR="00477BB8" w:rsidRPr="00477BB8" w:rsidRDefault="00477BB8" w:rsidP="00477BB8">
      <w:pPr>
        <w:pStyle w:val="Heading1"/>
        <w:rPr>
          <w:rStyle w:val="eop"/>
          <w:color w:val="000000"/>
          <w:shd w:val="clear" w:color="auto" w:fill="FFFFFF"/>
          <w:lang w:val="fr-FR"/>
        </w:rPr>
      </w:pPr>
      <w:r>
        <w:rPr>
          <w:lang w:val="fr"/>
        </w:rPr>
        <w:t>Il y a environ 30 fabricants et assembleurs de réfrigérateurs commerciaux et de systèmes de réfrigération industrielle en Malaisie, parmi lesquels</w:t>
      </w:r>
      <w:r>
        <w:rPr>
          <w:rStyle w:val="normaltextrun"/>
          <w:color w:val="000000"/>
          <w:shd w:val="clear" w:color="auto" w:fill="FFFFFF"/>
          <w:lang w:val="fr"/>
        </w:rPr>
        <w:t xml:space="preserve"> quatre fournissent activement des réfrigérateurs commerciaux autonomes. Les deux plus importants sont les bénéficiaires de ce projet, </w:t>
      </w:r>
      <w:proofErr w:type="spellStart"/>
      <w:r>
        <w:rPr>
          <w:rStyle w:val="normaltextrun"/>
          <w:color w:val="000000"/>
          <w:shd w:val="clear" w:color="auto" w:fill="FFFFFF"/>
          <w:lang w:val="fr"/>
        </w:rPr>
        <w:t>Berjaya</w:t>
      </w:r>
      <w:proofErr w:type="spellEnd"/>
      <w:r>
        <w:rPr>
          <w:rStyle w:val="normaltextrun"/>
          <w:color w:val="000000"/>
          <w:shd w:val="clear" w:color="auto" w:fill="FFFFFF"/>
          <w:lang w:val="fr"/>
        </w:rPr>
        <w:t xml:space="preserve"> Steel Product </w:t>
      </w:r>
      <w:proofErr w:type="spellStart"/>
      <w:r>
        <w:rPr>
          <w:rStyle w:val="normaltextrun"/>
          <w:color w:val="000000"/>
          <w:shd w:val="clear" w:color="auto" w:fill="FFFFFF"/>
          <w:lang w:val="fr"/>
        </w:rPr>
        <w:t>Sdn</w:t>
      </w:r>
      <w:proofErr w:type="spellEnd"/>
      <w:r>
        <w:rPr>
          <w:rStyle w:val="normaltextrun"/>
          <w:color w:val="000000"/>
          <w:shd w:val="clear" w:color="auto" w:fill="FFFFFF"/>
          <w:lang w:val="fr"/>
        </w:rPr>
        <w:t xml:space="preserve"> </w:t>
      </w:r>
      <w:proofErr w:type="spellStart"/>
      <w:r>
        <w:rPr>
          <w:rStyle w:val="normaltextrun"/>
          <w:color w:val="000000"/>
          <w:shd w:val="clear" w:color="auto" w:fill="FFFFFF"/>
          <w:lang w:val="fr"/>
        </w:rPr>
        <w:t>Bhd</w:t>
      </w:r>
      <w:proofErr w:type="spellEnd"/>
      <w:r>
        <w:rPr>
          <w:rStyle w:val="normaltextrun"/>
          <w:color w:val="000000"/>
          <w:shd w:val="clear" w:color="auto" w:fill="FFFFFF"/>
          <w:lang w:val="fr"/>
        </w:rPr>
        <w:t xml:space="preserve"> (</w:t>
      </w:r>
      <w:proofErr w:type="spellStart"/>
      <w:r>
        <w:rPr>
          <w:rStyle w:val="normaltextrun"/>
          <w:color w:val="000000"/>
          <w:shd w:val="clear" w:color="auto" w:fill="FFFFFF"/>
          <w:lang w:val="fr"/>
        </w:rPr>
        <w:t>Berjaya</w:t>
      </w:r>
      <w:proofErr w:type="spellEnd"/>
      <w:r>
        <w:rPr>
          <w:rStyle w:val="normaltextrun"/>
          <w:color w:val="000000"/>
          <w:shd w:val="clear" w:color="auto" w:fill="FFFFFF"/>
          <w:lang w:val="fr"/>
        </w:rPr>
        <w:t xml:space="preserve"> Steel) et </w:t>
      </w:r>
      <w:proofErr w:type="spellStart"/>
      <w:r>
        <w:rPr>
          <w:rStyle w:val="normaltextrun"/>
          <w:color w:val="000000"/>
          <w:shd w:val="clear" w:color="auto" w:fill="FFFFFF"/>
          <w:lang w:val="fr"/>
        </w:rPr>
        <w:t>Zun</w:t>
      </w:r>
      <w:proofErr w:type="spellEnd"/>
      <w:r>
        <w:rPr>
          <w:rStyle w:val="normaltextrun"/>
          <w:color w:val="000000"/>
          <w:shd w:val="clear" w:color="auto" w:fill="FFFFFF"/>
          <w:lang w:val="fr"/>
        </w:rPr>
        <w:t xml:space="preserve"> </w:t>
      </w:r>
      <w:proofErr w:type="spellStart"/>
      <w:r>
        <w:rPr>
          <w:rStyle w:val="normaltextrun"/>
          <w:color w:val="000000"/>
          <w:shd w:val="clear" w:color="auto" w:fill="FFFFFF"/>
          <w:lang w:val="fr"/>
        </w:rPr>
        <w:t>Utara</w:t>
      </w:r>
      <w:proofErr w:type="spellEnd"/>
      <w:r>
        <w:rPr>
          <w:rStyle w:val="normaltextrun"/>
          <w:color w:val="000000"/>
          <w:shd w:val="clear" w:color="auto" w:fill="FFFFFF"/>
          <w:lang w:val="fr"/>
        </w:rPr>
        <w:t xml:space="preserve"> </w:t>
      </w:r>
      <w:proofErr w:type="spellStart"/>
      <w:r>
        <w:rPr>
          <w:rStyle w:val="normaltextrun"/>
          <w:color w:val="000000"/>
          <w:shd w:val="clear" w:color="auto" w:fill="FFFFFF"/>
          <w:lang w:val="fr"/>
        </w:rPr>
        <w:t>Industry</w:t>
      </w:r>
      <w:proofErr w:type="spellEnd"/>
      <w:r>
        <w:rPr>
          <w:rStyle w:val="normaltextrun"/>
          <w:color w:val="000000"/>
          <w:shd w:val="clear" w:color="auto" w:fill="FFFFFF"/>
          <w:lang w:val="fr"/>
        </w:rPr>
        <w:t xml:space="preserve"> </w:t>
      </w:r>
      <w:proofErr w:type="spellStart"/>
      <w:r>
        <w:rPr>
          <w:rStyle w:val="normaltextrun"/>
          <w:color w:val="000000"/>
          <w:shd w:val="clear" w:color="auto" w:fill="FFFFFF"/>
          <w:lang w:val="fr"/>
        </w:rPr>
        <w:t>Sdn</w:t>
      </w:r>
      <w:proofErr w:type="spellEnd"/>
      <w:r>
        <w:rPr>
          <w:rStyle w:val="normaltextrun"/>
          <w:color w:val="000000"/>
          <w:shd w:val="clear" w:color="auto" w:fill="FFFFFF"/>
          <w:lang w:val="fr"/>
        </w:rPr>
        <w:t xml:space="preserve"> </w:t>
      </w:r>
      <w:proofErr w:type="spellStart"/>
      <w:r>
        <w:rPr>
          <w:rStyle w:val="normaltextrun"/>
          <w:color w:val="000000"/>
          <w:shd w:val="clear" w:color="auto" w:fill="FFFFFF"/>
          <w:lang w:val="fr"/>
        </w:rPr>
        <w:t>Bhd</w:t>
      </w:r>
      <w:proofErr w:type="spellEnd"/>
      <w:r>
        <w:rPr>
          <w:rStyle w:val="normaltextrun"/>
          <w:color w:val="000000"/>
          <w:shd w:val="clear" w:color="auto" w:fill="FFFFFF"/>
          <w:lang w:val="fr"/>
        </w:rPr>
        <w:t xml:space="preserve"> (</w:t>
      </w:r>
      <w:proofErr w:type="spellStart"/>
      <w:r>
        <w:rPr>
          <w:rStyle w:val="normaltextrun"/>
          <w:color w:val="000000"/>
          <w:shd w:val="clear" w:color="auto" w:fill="FFFFFF"/>
          <w:lang w:val="fr"/>
        </w:rPr>
        <w:t>Zun</w:t>
      </w:r>
      <w:proofErr w:type="spellEnd"/>
      <w:r>
        <w:rPr>
          <w:rStyle w:val="normaltextrun"/>
          <w:color w:val="000000"/>
          <w:shd w:val="clear" w:color="auto" w:fill="FFFFFF"/>
          <w:lang w:val="fr"/>
        </w:rPr>
        <w:t xml:space="preserve"> </w:t>
      </w:r>
      <w:proofErr w:type="spellStart"/>
      <w:r>
        <w:rPr>
          <w:rStyle w:val="normaltextrun"/>
          <w:color w:val="000000"/>
          <w:shd w:val="clear" w:color="auto" w:fill="FFFFFF"/>
          <w:lang w:val="fr"/>
        </w:rPr>
        <w:t>Utara</w:t>
      </w:r>
      <w:proofErr w:type="spellEnd"/>
      <w:r>
        <w:rPr>
          <w:rStyle w:val="normaltextrun"/>
          <w:color w:val="000000"/>
          <w:shd w:val="clear" w:color="auto" w:fill="FFFFFF"/>
          <w:lang w:val="fr"/>
        </w:rPr>
        <w:t>), qui représentent</w:t>
      </w:r>
      <w:r w:rsidR="00372ECA">
        <w:rPr>
          <w:rStyle w:val="normaltextrun"/>
          <w:color w:val="000000"/>
          <w:shd w:val="clear" w:color="auto" w:fill="FFFFFF"/>
          <w:lang w:val="fr"/>
        </w:rPr>
        <w:t>,</w:t>
      </w:r>
      <w:r>
        <w:rPr>
          <w:rStyle w:val="normaltextrun"/>
          <w:color w:val="000000"/>
          <w:shd w:val="clear" w:color="auto" w:fill="FFFFFF"/>
          <w:lang w:val="fr"/>
        </w:rPr>
        <w:t xml:space="preserve"> </w:t>
      </w:r>
      <w:r w:rsidR="00624F97">
        <w:rPr>
          <w:rStyle w:val="normaltextrun"/>
          <w:color w:val="000000"/>
          <w:shd w:val="clear" w:color="auto" w:fill="FFFFFF"/>
          <w:lang w:val="fr"/>
        </w:rPr>
        <w:t>à eux deux</w:t>
      </w:r>
      <w:r w:rsidR="00372ECA">
        <w:rPr>
          <w:rStyle w:val="normaltextrun"/>
          <w:color w:val="000000"/>
          <w:shd w:val="clear" w:color="auto" w:fill="FFFFFF"/>
          <w:lang w:val="fr"/>
        </w:rPr>
        <w:t>,</w:t>
      </w:r>
      <w:r>
        <w:rPr>
          <w:rStyle w:val="normaltextrun"/>
          <w:color w:val="000000"/>
          <w:shd w:val="clear" w:color="auto" w:fill="FFFFFF"/>
          <w:lang w:val="fr"/>
        </w:rPr>
        <w:t xml:space="preserve"> 80 pour cent du marché de la réfrigération commerciale autonome. Ces entreprises ont accepté d’arrêter d’utiliser des HFC (HFC-134a et R-404A) pour la fabrication avec le soutien du Fonds multilatéral dans le cadre de la phase I du plan de mise en œuvre de l’Amendement de Kigali relatif aux HFC</w:t>
      </w:r>
      <w:r w:rsidR="0048052F">
        <w:rPr>
          <w:rStyle w:val="normaltextrun"/>
          <w:color w:val="000000"/>
          <w:shd w:val="clear" w:color="auto" w:fill="FFFFFF"/>
          <w:lang w:val="fr"/>
        </w:rPr>
        <w:t xml:space="preserve"> de la Malaisie</w:t>
      </w:r>
      <w:r>
        <w:rPr>
          <w:rStyle w:val="normaltextrun"/>
          <w:color w:val="000000"/>
          <w:shd w:val="clear" w:color="auto" w:fill="FFFFFF"/>
          <w:lang w:val="fr"/>
        </w:rPr>
        <w:t>, comme indiqué au tableau 1.</w:t>
      </w:r>
      <w:r w:rsidR="000A64A9">
        <w:rPr>
          <w:rStyle w:val="normaltextrun"/>
          <w:color w:val="000000"/>
          <w:shd w:val="clear" w:color="auto" w:fill="FFFFFF"/>
          <w:lang w:val="fr"/>
        </w:rPr>
        <w:t xml:space="preserve"> </w:t>
      </w:r>
      <w:r>
        <w:rPr>
          <w:rStyle w:val="normaltextrun"/>
          <w:color w:val="000000"/>
          <w:shd w:val="clear" w:color="auto" w:fill="FFFFFF"/>
          <w:lang w:val="fr"/>
        </w:rPr>
        <w:t xml:space="preserve">Le reste du </w:t>
      </w:r>
      <w:r w:rsidR="008C3F64">
        <w:rPr>
          <w:rStyle w:val="normaltextrun"/>
          <w:color w:val="000000"/>
          <w:shd w:val="clear" w:color="auto" w:fill="FFFFFF"/>
          <w:lang w:val="fr"/>
        </w:rPr>
        <w:t>sous-</w:t>
      </w:r>
      <w:r>
        <w:rPr>
          <w:rStyle w:val="normaltextrun"/>
          <w:color w:val="000000"/>
          <w:shd w:val="clear" w:color="auto" w:fill="FFFFFF"/>
          <w:lang w:val="fr"/>
        </w:rPr>
        <w:t xml:space="preserve">secteur de la réfrigération autonome sera aussi obligé d’éliminer les HFC d’ici 2029 quand l’interdiction de </w:t>
      </w:r>
      <w:r>
        <w:rPr>
          <w:rStyle w:val="normaltextrun"/>
          <w:color w:val="000000"/>
          <w:bdr w:val="none" w:sz="0" w:space="0" w:color="auto" w:frame="1"/>
          <w:lang w:val="fr"/>
        </w:rPr>
        <w:t>fabriquer des équipements de réfrigération commerciale autonomes</w:t>
      </w:r>
      <w:r>
        <w:rPr>
          <w:rStyle w:val="normaltextrun"/>
          <w:color w:val="000000"/>
          <w:shd w:val="clear" w:color="auto" w:fill="FFFFFF"/>
          <w:lang w:val="fr"/>
        </w:rPr>
        <w:t xml:space="preserve"> entrera en vigueur dans le cadre du plan de mise en œuvre de l’Amendement de Kigali relatif aux HFC.</w:t>
      </w:r>
    </w:p>
    <w:p w14:paraId="74BE3F82" w14:textId="77777777" w:rsidR="00477BB8" w:rsidRPr="00477BB8" w:rsidRDefault="00477BB8" w:rsidP="00477BB8">
      <w:pPr>
        <w:keepNext/>
        <w:keepLines/>
        <w:rPr>
          <w:b/>
          <w:bCs/>
          <w:lang w:val="fr-FR"/>
        </w:rPr>
      </w:pPr>
      <w:r>
        <w:rPr>
          <w:b/>
          <w:bCs/>
          <w:lang w:val="fr"/>
        </w:rPr>
        <w:t>Tableau 1. Réduction annuelle dans les activités de réfrigération commerciale dans le cadre du plan de mise en œuvre de l’Amendement de Kigali relatif aux HFC</w:t>
      </w:r>
    </w:p>
    <w:tbl>
      <w:tblPr>
        <w:tblW w:w="5000" w:type="pct"/>
        <w:tblLook w:val="04A0" w:firstRow="1" w:lastRow="0" w:firstColumn="1" w:lastColumn="0" w:noHBand="0" w:noVBand="1"/>
      </w:tblPr>
      <w:tblGrid>
        <w:gridCol w:w="1838"/>
        <w:gridCol w:w="1275"/>
        <w:gridCol w:w="1631"/>
        <w:gridCol w:w="1204"/>
        <w:gridCol w:w="1702"/>
        <w:gridCol w:w="1700"/>
      </w:tblGrid>
      <w:tr w:rsidR="00477BB8" w:rsidRPr="000F2277" w14:paraId="5C229B8C" w14:textId="77777777" w:rsidTr="00F2642F">
        <w:trPr>
          <w:trHeight w:val="144"/>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974FD1" w14:textId="77777777" w:rsidR="00477BB8" w:rsidRPr="000F2277" w:rsidRDefault="00477BB8" w:rsidP="00F2642F">
            <w:pPr>
              <w:keepNext/>
              <w:keepLines/>
              <w:jc w:val="center"/>
              <w:rPr>
                <w:b/>
                <w:bCs/>
                <w:color w:val="000000"/>
                <w:sz w:val="20"/>
                <w:szCs w:val="20"/>
              </w:rPr>
            </w:pPr>
            <w:r>
              <w:rPr>
                <w:b/>
                <w:bCs/>
                <w:color w:val="000000"/>
                <w:sz w:val="20"/>
                <w:szCs w:val="20"/>
                <w:lang w:val="fr"/>
              </w:rPr>
              <w:t>Entreprise</w:t>
            </w:r>
          </w:p>
        </w:tc>
        <w:tc>
          <w:tcPr>
            <w:tcW w:w="1554" w:type="pct"/>
            <w:gridSpan w:val="2"/>
            <w:tcBorders>
              <w:top w:val="single" w:sz="4" w:space="0" w:color="auto"/>
              <w:left w:val="nil"/>
              <w:bottom w:val="single" w:sz="4" w:space="0" w:color="auto"/>
              <w:right w:val="single" w:sz="4" w:space="0" w:color="auto"/>
            </w:tcBorders>
            <w:shd w:val="clear" w:color="auto" w:fill="auto"/>
            <w:vAlign w:val="center"/>
            <w:hideMark/>
          </w:tcPr>
          <w:p w14:paraId="64DDECD9" w14:textId="4679A090" w:rsidR="00477BB8" w:rsidRPr="000F2277" w:rsidRDefault="00DA7A8D" w:rsidP="00F2642F">
            <w:pPr>
              <w:keepNext/>
              <w:keepLines/>
              <w:jc w:val="center"/>
              <w:rPr>
                <w:b/>
                <w:bCs/>
                <w:color w:val="000000"/>
                <w:sz w:val="20"/>
                <w:szCs w:val="20"/>
              </w:rPr>
            </w:pPr>
            <w:r>
              <w:rPr>
                <w:b/>
                <w:bCs/>
                <w:color w:val="000000"/>
                <w:sz w:val="20"/>
                <w:szCs w:val="20"/>
                <w:lang w:val="fr"/>
              </w:rPr>
              <w:t>Consommation</w:t>
            </w:r>
            <w:r w:rsidR="00477BB8">
              <w:rPr>
                <w:b/>
                <w:bCs/>
                <w:color w:val="000000"/>
                <w:sz w:val="20"/>
                <w:szCs w:val="20"/>
                <w:lang w:val="fr"/>
              </w:rPr>
              <w:t xml:space="preserve"> de HFC</w:t>
            </w:r>
          </w:p>
        </w:tc>
        <w:tc>
          <w:tcPr>
            <w:tcW w:w="1554" w:type="pct"/>
            <w:gridSpan w:val="2"/>
            <w:tcBorders>
              <w:top w:val="single" w:sz="4" w:space="0" w:color="auto"/>
              <w:left w:val="nil"/>
              <w:bottom w:val="single" w:sz="4" w:space="0" w:color="auto"/>
              <w:right w:val="single" w:sz="4" w:space="0" w:color="auto"/>
            </w:tcBorders>
            <w:shd w:val="clear" w:color="auto" w:fill="auto"/>
            <w:vAlign w:val="center"/>
            <w:hideMark/>
          </w:tcPr>
          <w:p w14:paraId="30D43E90" w14:textId="77777777" w:rsidR="00477BB8" w:rsidRPr="00477BB8" w:rsidRDefault="00477BB8" w:rsidP="00F2642F">
            <w:pPr>
              <w:keepNext/>
              <w:keepLines/>
              <w:jc w:val="center"/>
              <w:rPr>
                <w:b/>
                <w:bCs/>
                <w:color w:val="000000"/>
                <w:sz w:val="20"/>
                <w:szCs w:val="20"/>
                <w:lang w:val="fr-FR"/>
              </w:rPr>
            </w:pPr>
            <w:r>
              <w:rPr>
                <w:b/>
                <w:bCs/>
                <w:color w:val="000000"/>
                <w:sz w:val="20"/>
                <w:szCs w:val="20"/>
                <w:lang w:val="fr"/>
              </w:rPr>
              <w:t>Consommation de substances de remplacement</w:t>
            </w:r>
          </w:p>
        </w:tc>
        <w:tc>
          <w:tcPr>
            <w:tcW w:w="909" w:type="pct"/>
            <w:tcBorders>
              <w:top w:val="single" w:sz="4" w:space="0" w:color="auto"/>
              <w:left w:val="nil"/>
              <w:bottom w:val="single" w:sz="4" w:space="0" w:color="auto"/>
              <w:right w:val="single" w:sz="4" w:space="0" w:color="auto"/>
            </w:tcBorders>
            <w:shd w:val="clear" w:color="auto" w:fill="auto"/>
            <w:vAlign w:val="center"/>
            <w:hideMark/>
          </w:tcPr>
          <w:p w14:paraId="5970EC35" w14:textId="77777777" w:rsidR="00477BB8" w:rsidRPr="000F2277" w:rsidRDefault="00477BB8" w:rsidP="00F2642F">
            <w:pPr>
              <w:keepNext/>
              <w:keepLines/>
              <w:jc w:val="center"/>
              <w:rPr>
                <w:b/>
                <w:bCs/>
                <w:color w:val="000000"/>
                <w:sz w:val="20"/>
                <w:szCs w:val="20"/>
              </w:rPr>
            </w:pPr>
            <w:r>
              <w:rPr>
                <w:b/>
                <w:bCs/>
                <w:color w:val="000000"/>
                <w:sz w:val="20"/>
                <w:szCs w:val="20"/>
                <w:lang w:val="fr"/>
              </w:rPr>
              <w:t xml:space="preserve">Réduction </w:t>
            </w:r>
          </w:p>
        </w:tc>
      </w:tr>
      <w:tr w:rsidR="00477BB8" w:rsidRPr="000F2277" w14:paraId="002FF242" w14:textId="77777777" w:rsidTr="00F2642F">
        <w:trPr>
          <w:trHeight w:val="144"/>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36B63216" w14:textId="77777777" w:rsidR="00477BB8" w:rsidRPr="000F2277" w:rsidRDefault="00477BB8" w:rsidP="00F2642F">
            <w:pPr>
              <w:keepNext/>
              <w:keepLines/>
              <w:jc w:val="left"/>
              <w:rPr>
                <w:b/>
                <w:bCs/>
                <w:color w:val="000000"/>
                <w:sz w:val="20"/>
                <w:szCs w:val="20"/>
              </w:rPr>
            </w:pPr>
          </w:p>
        </w:tc>
        <w:tc>
          <w:tcPr>
            <w:tcW w:w="682" w:type="pct"/>
            <w:tcBorders>
              <w:top w:val="nil"/>
              <w:left w:val="nil"/>
              <w:bottom w:val="single" w:sz="4" w:space="0" w:color="auto"/>
              <w:right w:val="single" w:sz="4" w:space="0" w:color="auto"/>
            </w:tcBorders>
            <w:shd w:val="clear" w:color="auto" w:fill="auto"/>
            <w:vAlign w:val="center"/>
            <w:hideMark/>
          </w:tcPr>
          <w:p w14:paraId="06AC42DF" w14:textId="77777777" w:rsidR="00477BB8" w:rsidRPr="000F2277" w:rsidRDefault="00477BB8" w:rsidP="00F2642F">
            <w:pPr>
              <w:keepNext/>
              <w:keepLines/>
              <w:jc w:val="center"/>
              <w:rPr>
                <w:b/>
                <w:bCs/>
                <w:color w:val="000000"/>
                <w:sz w:val="20"/>
                <w:szCs w:val="20"/>
              </w:rPr>
            </w:pPr>
            <w:proofErr w:type="spellStart"/>
            <w:proofErr w:type="gramStart"/>
            <w:r>
              <w:rPr>
                <w:b/>
                <w:bCs/>
                <w:color w:val="000000"/>
                <w:sz w:val="20"/>
                <w:szCs w:val="20"/>
                <w:lang w:val="fr"/>
              </w:rPr>
              <w:t>tm</w:t>
            </w:r>
            <w:proofErr w:type="spellEnd"/>
            <w:proofErr w:type="gramEnd"/>
          </w:p>
        </w:tc>
        <w:tc>
          <w:tcPr>
            <w:tcW w:w="872" w:type="pct"/>
            <w:tcBorders>
              <w:top w:val="nil"/>
              <w:left w:val="nil"/>
              <w:bottom w:val="single" w:sz="4" w:space="0" w:color="auto"/>
              <w:right w:val="single" w:sz="4" w:space="0" w:color="auto"/>
            </w:tcBorders>
            <w:shd w:val="clear" w:color="auto" w:fill="auto"/>
            <w:vAlign w:val="center"/>
            <w:hideMark/>
          </w:tcPr>
          <w:p w14:paraId="198E266D" w14:textId="389814CE" w:rsidR="00477BB8" w:rsidRPr="000F2277" w:rsidRDefault="000F33C9" w:rsidP="00F2642F">
            <w:pPr>
              <w:keepNext/>
              <w:keepLines/>
              <w:jc w:val="center"/>
              <w:rPr>
                <w:b/>
                <w:bCs/>
                <w:color w:val="000000"/>
                <w:sz w:val="20"/>
                <w:szCs w:val="20"/>
              </w:rPr>
            </w:pPr>
            <w:r>
              <w:rPr>
                <w:b/>
                <w:bCs/>
                <w:color w:val="000000"/>
                <w:sz w:val="20"/>
                <w:szCs w:val="20"/>
                <w:lang w:val="fr"/>
              </w:rPr>
              <w:t>T</w:t>
            </w:r>
            <w:r w:rsidR="00477BB8">
              <w:rPr>
                <w:b/>
                <w:bCs/>
                <w:color w:val="000000"/>
                <w:sz w:val="20"/>
                <w:szCs w:val="20"/>
                <w:lang w:val="fr"/>
              </w:rPr>
              <w:t>onnes eq-CO</w:t>
            </w:r>
            <w:r w:rsidR="00477BB8">
              <w:rPr>
                <w:b/>
                <w:bCs/>
                <w:color w:val="000000"/>
                <w:sz w:val="20"/>
                <w:szCs w:val="20"/>
                <w:vertAlign w:val="subscript"/>
                <w:lang w:val="fr"/>
              </w:rPr>
              <w:t xml:space="preserve">2 </w:t>
            </w:r>
          </w:p>
        </w:tc>
        <w:tc>
          <w:tcPr>
            <w:tcW w:w="644" w:type="pct"/>
            <w:tcBorders>
              <w:top w:val="nil"/>
              <w:left w:val="nil"/>
              <w:bottom w:val="single" w:sz="4" w:space="0" w:color="auto"/>
              <w:right w:val="single" w:sz="4" w:space="0" w:color="auto"/>
            </w:tcBorders>
            <w:shd w:val="clear" w:color="auto" w:fill="auto"/>
            <w:vAlign w:val="center"/>
            <w:hideMark/>
          </w:tcPr>
          <w:p w14:paraId="7D64ED06" w14:textId="77777777" w:rsidR="00477BB8" w:rsidRPr="000F2277" w:rsidRDefault="00477BB8" w:rsidP="00F2642F">
            <w:pPr>
              <w:keepNext/>
              <w:keepLines/>
              <w:jc w:val="center"/>
              <w:rPr>
                <w:b/>
                <w:bCs/>
                <w:color w:val="000000"/>
                <w:sz w:val="20"/>
                <w:szCs w:val="20"/>
              </w:rPr>
            </w:pPr>
            <w:proofErr w:type="spellStart"/>
            <w:proofErr w:type="gramStart"/>
            <w:r>
              <w:rPr>
                <w:b/>
                <w:bCs/>
                <w:color w:val="000000"/>
                <w:sz w:val="20"/>
                <w:szCs w:val="20"/>
                <w:lang w:val="fr"/>
              </w:rPr>
              <w:t>tm</w:t>
            </w:r>
            <w:proofErr w:type="spellEnd"/>
            <w:proofErr w:type="gramEnd"/>
          </w:p>
        </w:tc>
        <w:tc>
          <w:tcPr>
            <w:tcW w:w="910" w:type="pct"/>
            <w:tcBorders>
              <w:top w:val="nil"/>
              <w:left w:val="nil"/>
              <w:bottom w:val="single" w:sz="4" w:space="0" w:color="auto"/>
              <w:right w:val="single" w:sz="4" w:space="0" w:color="auto"/>
            </w:tcBorders>
            <w:shd w:val="clear" w:color="auto" w:fill="auto"/>
            <w:vAlign w:val="center"/>
            <w:hideMark/>
          </w:tcPr>
          <w:p w14:paraId="23E5FFAF" w14:textId="17E65D25" w:rsidR="00477BB8" w:rsidRPr="000F2277" w:rsidRDefault="000F33C9" w:rsidP="00F2642F">
            <w:pPr>
              <w:keepNext/>
              <w:keepLines/>
              <w:jc w:val="center"/>
              <w:rPr>
                <w:b/>
                <w:bCs/>
                <w:color w:val="000000"/>
                <w:sz w:val="20"/>
                <w:szCs w:val="20"/>
              </w:rPr>
            </w:pPr>
            <w:r>
              <w:rPr>
                <w:b/>
                <w:bCs/>
                <w:color w:val="000000"/>
                <w:sz w:val="20"/>
                <w:szCs w:val="20"/>
                <w:lang w:val="fr"/>
              </w:rPr>
              <w:t>T</w:t>
            </w:r>
            <w:r w:rsidR="00477BB8">
              <w:rPr>
                <w:b/>
                <w:bCs/>
                <w:color w:val="000000"/>
                <w:sz w:val="20"/>
                <w:szCs w:val="20"/>
                <w:lang w:val="fr"/>
              </w:rPr>
              <w:t>onnes eq-CO</w:t>
            </w:r>
            <w:r w:rsidR="00477BB8">
              <w:rPr>
                <w:b/>
                <w:bCs/>
                <w:color w:val="000000"/>
                <w:sz w:val="20"/>
                <w:szCs w:val="20"/>
                <w:vertAlign w:val="subscript"/>
                <w:lang w:val="fr"/>
              </w:rPr>
              <w:t xml:space="preserve">2 </w:t>
            </w:r>
          </w:p>
        </w:tc>
        <w:tc>
          <w:tcPr>
            <w:tcW w:w="909" w:type="pct"/>
            <w:tcBorders>
              <w:top w:val="nil"/>
              <w:left w:val="nil"/>
              <w:bottom w:val="single" w:sz="4" w:space="0" w:color="auto"/>
              <w:right w:val="single" w:sz="4" w:space="0" w:color="auto"/>
            </w:tcBorders>
            <w:shd w:val="clear" w:color="auto" w:fill="auto"/>
            <w:vAlign w:val="center"/>
            <w:hideMark/>
          </w:tcPr>
          <w:p w14:paraId="498EA3D5" w14:textId="622D35C7" w:rsidR="00477BB8" w:rsidRPr="000F2277" w:rsidRDefault="000F33C9" w:rsidP="00F2642F">
            <w:pPr>
              <w:keepNext/>
              <w:keepLines/>
              <w:jc w:val="center"/>
              <w:rPr>
                <w:b/>
                <w:bCs/>
                <w:color w:val="000000"/>
                <w:sz w:val="20"/>
                <w:szCs w:val="20"/>
              </w:rPr>
            </w:pPr>
            <w:r>
              <w:rPr>
                <w:b/>
                <w:bCs/>
                <w:color w:val="000000"/>
                <w:sz w:val="20"/>
                <w:szCs w:val="20"/>
                <w:lang w:val="fr"/>
              </w:rPr>
              <w:t>T</w:t>
            </w:r>
            <w:r w:rsidR="00477BB8">
              <w:rPr>
                <w:b/>
                <w:bCs/>
                <w:color w:val="000000"/>
                <w:sz w:val="20"/>
                <w:szCs w:val="20"/>
                <w:lang w:val="fr"/>
              </w:rPr>
              <w:t>onnes eq-CO</w:t>
            </w:r>
            <w:r w:rsidR="00477BB8">
              <w:rPr>
                <w:b/>
                <w:bCs/>
                <w:color w:val="000000"/>
                <w:sz w:val="20"/>
                <w:szCs w:val="20"/>
                <w:vertAlign w:val="subscript"/>
                <w:lang w:val="fr"/>
              </w:rPr>
              <w:t xml:space="preserve">2 </w:t>
            </w:r>
          </w:p>
        </w:tc>
      </w:tr>
      <w:tr w:rsidR="00477BB8" w:rsidRPr="000F2277" w14:paraId="3A31D613" w14:textId="77777777" w:rsidTr="00F2642F">
        <w:trPr>
          <w:trHeight w:val="144"/>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4A6D7337" w14:textId="77777777" w:rsidR="00477BB8" w:rsidRPr="000F2277" w:rsidRDefault="00477BB8" w:rsidP="00F2642F">
            <w:pPr>
              <w:keepNext/>
              <w:keepLines/>
              <w:jc w:val="left"/>
              <w:rPr>
                <w:color w:val="000000"/>
                <w:sz w:val="20"/>
                <w:szCs w:val="20"/>
              </w:rPr>
            </w:pPr>
            <w:proofErr w:type="spellStart"/>
            <w:r>
              <w:rPr>
                <w:color w:val="000000"/>
                <w:sz w:val="20"/>
                <w:szCs w:val="20"/>
                <w:lang w:val="fr"/>
              </w:rPr>
              <w:t>Zun</w:t>
            </w:r>
            <w:proofErr w:type="spellEnd"/>
            <w:r>
              <w:rPr>
                <w:color w:val="000000"/>
                <w:sz w:val="20"/>
                <w:szCs w:val="20"/>
                <w:lang w:val="fr"/>
              </w:rPr>
              <w:t xml:space="preserve"> </w:t>
            </w:r>
            <w:proofErr w:type="spellStart"/>
            <w:r>
              <w:rPr>
                <w:color w:val="000000"/>
                <w:sz w:val="20"/>
                <w:szCs w:val="20"/>
                <w:lang w:val="fr"/>
              </w:rPr>
              <w:t>Utara</w:t>
            </w:r>
            <w:proofErr w:type="spellEnd"/>
          </w:p>
        </w:tc>
        <w:tc>
          <w:tcPr>
            <w:tcW w:w="682" w:type="pct"/>
            <w:tcBorders>
              <w:top w:val="nil"/>
              <w:left w:val="nil"/>
              <w:bottom w:val="single" w:sz="4" w:space="0" w:color="auto"/>
              <w:right w:val="single" w:sz="4" w:space="0" w:color="auto"/>
            </w:tcBorders>
            <w:shd w:val="clear" w:color="auto" w:fill="auto"/>
            <w:vAlign w:val="center"/>
            <w:hideMark/>
          </w:tcPr>
          <w:p w14:paraId="63E9E962" w14:textId="77777777" w:rsidR="00477BB8" w:rsidRPr="000F2277" w:rsidRDefault="00477BB8" w:rsidP="00F2642F">
            <w:pPr>
              <w:keepNext/>
              <w:keepLines/>
              <w:jc w:val="right"/>
              <w:rPr>
                <w:color w:val="000000"/>
                <w:sz w:val="20"/>
                <w:szCs w:val="20"/>
              </w:rPr>
            </w:pPr>
            <w:r>
              <w:rPr>
                <w:color w:val="000000"/>
                <w:sz w:val="20"/>
                <w:szCs w:val="20"/>
                <w:lang w:val="fr"/>
              </w:rPr>
              <w:t>6,57</w:t>
            </w:r>
          </w:p>
        </w:tc>
        <w:tc>
          <w:tcPr>
            <w:tcW w:w="872" w:type="pct"/>
            <w:tcBorders>
              <w:top w:val="nil"/>
              <w:left w:val="nil"/>
              <w:bottom w:val="single" w:sz="4" w:space="0" w:color="auto"/>
              <w:right w:val="single" w:sz="4" w:space="0" w:color="auto"/>
            </w:tcBorders>
            <w:shd w:val="clear" w:color="auto" w:fill="auto"/>
            <w:vAlign w:val="center"/>
            <w:hideMark/>
          </w:tcPr>
          <w:p w14:paraId="1FAB4C1D" w14:textId="77777777" w:rsidR="00477BB8" w:rsidRPr="000F2277" w:rsidRDefault="00477BB8" w:rsidP="00F2642F">
            <w:pPr>
              <w:keepNext/>
              <w:keepLines/>
              <w:jc w:val="right"/>
              <w:rPr>
                <w:color w:val="000000"/>
                <w:sz w:val="20"/>
                <w:szCs w:val="20"/>
              </w:rPr>
            </w:pPr>
            <w:r>
              <w:rPr>
                <w:color w:val="000000"/>
                <w:sz w:val="20"/>
                <w:szCs w:val="20"/>
                <w:lang w:val="fr"/>
              </w:rPr>
              <w:t>9 664</w:t>
            </w:r>
          </w:p>
        </w:tc>
        <w:tc>
          <w:tcPr>
            <w:tcW w:w="644" w:type="pct"/>
            <w:tcBorders>
              <w:top w:val="nil"/>
              <w:left w:val="nil"/>
              <w:bottom w:val="single" w:sz="4" w:space="0" w:color="auto"/>
              <w:right w:val="single" w:sz="4" w:space="0" w:color="auto"/>
            </w:tcBorders>
            <w:shd w:val="clear" w:color="auto" w:fill="auto"/>
            <w:vAlign w:val="center"/>
            <w:hideMark/>
          </w:tcPr>
          <w:p w14:paraId="0993C383" w14:textId="77777777" w:rsidR="00477BB8" w:rsidRPr="000F2277" w:rsidRDefault="00477BB8" w:rsidP="00F2642F">
            <w:pPr>
              <w:keepNext/>
              <w:keepLines/>
              <w:jc w:val="right"/>
              <w:rPr>
                <w:color w:val="000000"/>
                <w:sz w:val="20"/>
                <w:szCs w:val="20"/>
              </w:rPr>
            </w:pPr>
            <w:r>
              <w:rPr>
                <w:color w:val="000000"/>
                <w:sz w:val="20"/>
                <w:szCs w:val="20"/>
                <w:lang w:val="fr"/>
              </w:rPr>
              <w:t xml:space="preserve">3,29 </w:t>
            </w:r>
          </w:p>
        </w:tc>
        <w:tc>
          <w:tcPr>
            <w:tcW w:w="910" w:type="pct"/>
            <w:tcBorders>
              <w:top w:val="nil"/>
              <w:left w:val="nil"/>
              <w:bottom w:val="single" w:sz="4" w:space="0" w:color="auto"/>
              <w:right w:val="single" w:sz="4" w:space="0" w:color="auto"/>
            </w:tcBorders>
            <w:shd w:val="clear" w:color="auto" w:fill="auto"/>
            <w:vAlign w:val="center"/>
            <w:hideMark/>
          </w:tcPr>
          <w:p w14:paraId="04C03D4E" w14:textId="77777777" w:rsidR="00477BB8" w:rsidRPr="000F2277" w:rsidRDefault="00477BB8" w:rsidP="00F2642F">
            <w:pPr>
              <w:keepNext/>
              <w:keepLines/>
              <w:jc w:val="right"/>
              <w:rPr>
                <w:color w:val="000000"/>
                <w:sz w:val="20"/>
                <w:szCs w:val="20"/>
              </w:rPr>
            </w:pPr>
            <w:r>
              <w:rPr>
                <w:color w:val="000000"/>
                <w:sz w:val="20"/>
                <w:szCs w:val="20"/>
                <w:lang w:val="fr"/>
              </w:rPr>
              <w:t xml:space="preserve">10 </w:t>
            </w:r>
          </w:p>
        </w:tc>
        <w:tc>
          <w:tcPr>
            <w:tcW w:w="909" w:type="pct"/>
            <w:tcBorders>
              <w:top w:val="nil"/>
              <w:left w:val="nil"/>
              <w:bottom w:val="single" w:sz="4" w:space="0" w:color="auto"/>
              <w:right w:val="single" w:sz="4" w:space="0" w:color="auto"/>
            </w:tcBorders>
            <w:shd w:val="clear" w:color="auto" w:fill="auto"/>
            <w:vAlign w:val="center"/>
            <w:hideMark/>
          </w:tcPr>
          <w:p w14:paraId="5DFC7C1A" w14:textId="77777777" w:rsidR="00477BB8" w:rsidRPr="000F2277" w:rsidRDefault="00477BB8" w:rsidP="00F2642F">
            <w:pPr>
              <w:keepNext/>
              <w:keepLines/>
              <w:jc w:val="right"/>
              <w:rPr>
                <w:color w:val="000000"/>
                <w:sz w:val="20"/>
                <w:szCs w:val="20"/>
              </w:rPr>
            </w:pPr>
            <w:r>
              <w:rPr>
                <w:color w:val="000000"/>
                <w:sz w:val="20"/>
                <w:szCs w:val="20"/>
                <w:lang w:val="fr"/>
              </w:rPr>
              <w:t>9 654</w:t>
            </w:r>
          </w:p>
        </w:tc>
      </w:tr>
      <w:tr w:rsidR="00477BB8" w:rsidRPr="000F2277" w14:paraId="0C12A653" w14:textId="77777777" w:rsidTr="00F2642F">
        <w:trPr>
          <w:trHeight w:val="144"/>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24EE6E92" w14:textId="77777777" w:rsidR="00477BB8" w:rsidRPr="000F2277" w:rsidRDefault="00477BB8" w:rsidP="00F2642F">
            <w:pPr>
              <w:keepNext/>
              <w:keepLines/>
              <w:jc w:val="left"/>
              <w:rPr>
                <w:color w:val="000000"/>
                <w:sz w:val="20"/>
                <w:szCs w:val="20"/>
              </w:rPr>
            </w:pPr>
            <w:proofErr w:type="spellStart"/>
            <w:r>
              <w:rPr>
                <w:color w:val="000000"/>
                <w:sz w:val="20"/>
                <w:szCs w:val="20"/>
                <w:lang w:val="fr"/>
              </w:rPr>
              <w:t>Berjaya</w:t>
            </w:r>
            <w:proofErr w:type="spellEnd"/>
            <w:r>
              <w:rPr>
                <w:color w:val="000000"/>
                <w:sz w:val="20"/>
                <w:szCs w:val="20"/>
                <w:lang w:val="fr"/>
              </w:rPr>
              <w:t xml:space="preserve"> Steel</w:t>
            </w:r>
          </w:p>
        </w:tc>
        <w:tc>
          <w:tcPr>
            <w:tcW w:w="682" w:type="pct"/>
            <w:tcBorders>
              <w:top w:val="nil"/>
              <w:left w:val="nil"/>
              <w:bottom w:val="single" w:sz="4" w:space="0" w:color="auto"/>
              <w:right w:val="single" w:sz="4" w:space="0" w:color="auto"/>
            </w:tcBorders>
            <w:shd w:val="clear" w:color="auto" w:fill="auto"/>
            <w:vAlign w:val="center"/>
            <w:hideMark/>
          </w:tcPr>
          <w:p w14:paraId="6A149E72" w14:textId="77777777" w:rsidR="00477BB8" w:rsidRPr="000F2277" w:rsidRDefault="00477BB8" w:rsidP="00F2642F">
            <w:pPr>
              <w:keepNext/>
              <w:keepLines/>
              <w:jc w:val="right"/>
              <w:rPr>
                <w:color w:val="000000"/>
                <w:sz w:val="20"/>
                <w:szCs w:val="20"/>
              </w:rPr>
            </w:pPr>
            <w:r>
              <w:rPr>
                <w:color w:val="000000"/>
                <w:sz w:val="20"/>
                <w:szCs w:val="20"/>
                <w:lang w:val="fr"/>
              </w:rPr>
              <w:t>8,92</w:t>
            </w:r>
          </w:p>
        </w:tc>
        <w:tc>
          <w:tcPr>
            <w:tcW w:w="872" w:type="pct"/>
            <w:tcBorders>
              <w:top w:val="nil"/>
              <w:left w:val="nil"/>
              <w:bottom w:val="single" w:sz="4" w:space="0" w:color="auto"/>
              <w:right w:val="single" w:sz="4" w:space="0" w:color="auto"/>
            </w:tcBorders>
            <w:shd w:val="clear" w:color="auto" w:fill="auto"/>
            <w:vAlign w:val="center"/>
            <w:hideMark/>
          </w:tcPr>
          <w:p w14:paraId="340F593A" w14:textId="77777777" w:rsidR="00477BB8" w:rsidRPr="000F2277" w:rsidRDefault="00477BB8" w:rsidP="00F2642F">
            <w:pPr>
              <w:keepNext/>
              <w:keepLines/>
              <w:jc w:val="right"/>
              <w:rPr>
                <w:color w:val="000000"/>
                <w:sz w:val="20"/>
                <w:szCs w:val="20"/>
              </w:rPr>
            </w:pPr>
            <w:r>
              <w:rPr>
                <w:color w:val="000000"/>
                <w:sz w:val="20"/>
                <w:szCs w:val="20"/>
                <w:lang w:val="fr"/>
              </w:rPr>
              <w:t>25 448</w:t>
            </w:r>
          </w:p>
        </w:tc>
        <w:tc>
          <w:tcPr>
            <w:tcW w:w="644" w:type="pct"/>
            <w:tcBorders>
              <w:top w:val="nil"/>
              <w:left w:val="nil"/>
              <w:bottom w:val="single" w:sz="4" w:space="0" w:color="auto"/>
              <w:right w:val="single" w:sz="4" w:space="0" w:color="auto"/>
            </w:tcBorders>
            <w:shd w:val="clear" w:color="auto" w:fill="auto"/>
            <w:vAlign w:val="center"/>
            <w:hideMark/>
          </w:tcPr>
          <w:p w14:paraId="4BDEC96E" w14:textId="77777777" w:rsidR="00477BB8" w:rsidRPr="000F2277" w:rsidRDefault="00477BB8" w:rsidP="00F2642F">
            <w:pPr>
              <w:keepNext/>
              <w:keepLines/>
              <w:jc w:val="right"/>
              <w:rPr>
                <w:color w:val="000000"/>
                <w:sz w:val="20"/>
                <w:szCs w:val="20"/>
              </w:rPr>
            </w:pPr>
            <w:r>
              <w:rPr>
                <w:color w:val="000000"/>
                <w:sz w:val="20"/>
                <w:szCs w:val="20"/>
                <w:lang w:val="fr"/>
              </w:rPr>
              <w:t xml:space="preserve">4,46 </w:t>
            </w:r>
          </w:p>
        </w:tc>
        <w:tc>
          <w:tcPr>
            <w:tcW w:w="910" w:type="pct"/>
            <w:tcBorders>
              <w:top w:val="nil"/>
              <w:left w:val="nil"/>
              <w:bottom w:val="single" w:sz="4" w:space="0" w:color="auto"/>
              <w:right w:val="single" w:sz="4" w:space="0" w:color="auto"/>
            </w:tcBorders>
            <w:shd w:val="clear" w:color="auto" w:fill="auto"/>
            <w:vAlign w:val="center"/>
            <w:hideMark/>
          </w:tcPr>
          <w:p w14:paraId="3CE2661D" w14:textId="77777777" w:rsidR="00477BB8" w:rsidRPr="000F2277" w:rsidRDefault="00477BB8" w:rsidP="00F2642F">
            <w:pPr>
              <w:keepNext/>
              <w:keepLines/>
              <w:jc w:val="right"/>
              <w:rPr>
                <w:color w:val="000000"/>
                <w:sz w:val="20"/>
                <w:szCs w:val="20"/>
              </w:rPr>
            </w:pPr>
            <w:r>
              <w:rPr>
                <w:color w:val="000000"/>
                <w:sz w:val="20"/>
                <w:szCs w:val="20"/>
                <w:lang w:val="fr"/>
              </w:rPr>
              <w:t xml:space="preserve">13 </w:t>
            </w:r>
          </w:p>
        </w:tc>
        <w:tc>
          <w:tcPr>
            <w:tcW w:w="909" w:type="pct"/>
            <w:tcBorders>
              <w:top w:val="nil"/>
              <w:left w:val="nil"/>
              <w:bottom w:val="single" w:sz="4" w:space="0" w:color="auto"/>
              <w:right w:val="single" w:sz="4" w:space="0" w:color="auto"/>
            </w:tcBorders>
            <w:shd w:val="clear" w:color="auto" w:fill="auto"/>
            <w:vAlign w:val="center"/>
            <w:hideMark/>
          </w:tcPr>
          <w:p w14:paraId="5474489E" w14:textId="77777777" w:rsidR="00477BB8" w:rsidRPr="000F2277" w:rsidRDefault="00477BB8" w:rsidP="00F2642F">
            <w:pPr>
              <w:keepNext/>
              <w:keepLines/>
              <w:jc w:val="right"/>
              <w:rPr>
                <w:color w:val="000000"/>
                <w:sz w:val="20"/>
                <w:szCs w:val="20"/>
              </w:rPr>
            </w:pPr>
            <w:r>
              <w:rPr>
                <w:color w:val="000000"/>
                <w:sz w:val="20"/>
                <w:szCs w:val="20"/>
                <w:lang w:val="fr"/>
              </w:rPr>
              <w:t>25 435</w:t>
            </w:r>
          </w:p>
        </w:tc>
      </w:tr>
      <w:tr w:rsidR="00477BB8" w:rsidRPr="000F2277" w14:paraId="1AC2FE90" w14:textId="77777777" w:rsidTr="00F2642F">
        <w:trPr>
          <w:trHeight w:val="144"/>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42837839" w14:textId="77777777" w:rsidR="00477BB8" w:rsidRPr="000F2277" w:rsidRDefault="00477BB8" w:rsidP="00F2642F">
            <w:pPr>
              <w:keepNext/>
              <w:keepLines/>
              <w:rPr>
                <w:b/>
                <w:bCs/>
                <w:color w:val="000000"/>
                <w:sz w:val="20"/>
                <w:szCs w:val="20"/>
              </w:rPr>
            </w:pPr>
            <w:r>
              <w:rPr>
                <w:b/>
                <w:bCs/>
                <w:color w:val="000000"/>
                <w:sz w:val="20"/>
                <w:szCs w:val="20"/>
                <w:lang w:val="fr"/>
              </w:rPr>
              <w:t>Total</w:t>
            </w:r>
          </w:p>
        </w:tc>
        <w:tc>
          <w:tcPr>
            <w:tcW w:w="682" w:type="pct"/>
            <w:tcBorders>
              <w:top w:val="nil"/>
              <w:left w:val="nil"/>
              <w:bottom w:val="single" w:sz="4" w:space="0" w:color="auto"/>
              <w:right w:val="single" w:sz="4" w:space="0" w:color="auto"/>
            </w:tcBorders>
            <w:shd w:val="clear" w:color="auto" w:fill="auto"/>
            <w:hideMark/>
          </w:tcPr>
          <w:p w14:paraId="48A7F3C7" w14:textId="77777777" w:rsidR="00477BB8" w:rsidRPr="000F2277" w:rsidRDefault="00477BB8" w:rsidP="00F2642F">
            <w:pPr>
              <w:keepNext/>
              <w:keepLines/>
              <w:jc w:val="right"/>
              <w:rPr>
                <w:b/>
                <w:bCs/>
                <w:color w:val="000000"/>
                <w:sz w:val="20"/>
                <w:szCs w:val="20"/>
              </w:rPr>
            </w:pPr>
            <w:r>
              <w:rPr>
                <w:b/>
                <w:bCs/>
                <w:sz w:val="20"/>
                <w:szCs w:val="20"/>
                <w:lang w:val="fr"/>
              </w:rPr>
              <w:t>15,49</w:t>
            </w:r>
          </w:p>
        </w:tc>
        <w:tc>
          <w:tcPr>
            <w:tcW w:w="872" w:type="pct"/>
            <w:tcBorders>
              <w:top w:val="nil"/>
              <w:left w:val="nil"/>
              <w:bottom w:val="single" w:sz="4" w:space="0" w:color="auto"/>
              <w:right w:val="single" w:sz="4" w:space="0" w:color="auto"/>
            </w:tcBorders>
            <w:shd w:val="clear" w:color="auto" w:fill="auto"/>
            <w:hideMark/>
          </w:tcPr>
          <w:p w14:paraId="6E4007A9" w14:textId="77777777" w:rsidR="00477BB8" w:rsidRPr="000F2277" w:rsidRDefault="00477BB8" w:rsidP="00F2642F">
            <w:pPr>
              <w:keepNext/>
              <w:keepLines/>
              <w:jc w:val="right"/>
              <w:rPr>
                <w:b/>
                <w:bCs/>
                <w:color w:val="000000"/>
                <w:sz w:val="20"/>
                <w:szCs w:val="20"/>
              </w:rPr>
            </w:pPr>
            <w:r>
              <w:rPr>
                <w:b/>
                <w:bCs/>
                <w:sz w:val="20"/>
                <w:szCs w:val="20"/>
                <w:lang w:val="fr"/>
              </w:rPr>
              <w:t>35 112</w:t>
            </w:r>
          </w:p>
        </w:tc>
        <w:tc>
          <w:tcPr>
            <w:tcW w:w="644" w:type="pct"/>
            <w:tcBorders>
              <w:top w:val="nil"/>
              <w:left w:val="nil"/>
              <w:bottom w:val="single" w:sz="4" w:space="0" w:color="auto"/>
              <w:right w:val="single" w:sz="4" w:space="0" w:color="auto"/>
            </w:tcBorders>
            <w:shd w:val="clear" w:color="auto" w:fill="auto"/>
            <w:hideMark/>
          </w:tcPr>
          <w:p w14:paraId="2972CD97" w14:textId="77777777" w:rsidR="00477BB8" w:rsidRPr="000F2277" w:rsidRDefault="00477BB8" w:rsidP="00F2642F">
            <w:pPr>
              <w:keepNext/>
              <w:keepLines/>
              <w:jc w:val="right"/>
              <w:rPr>
                <w:b/>
                <w:bCs/>
                <w:color w:val="000000"/>
                <w:sz w:val="20"/>
                <w:szCs w:val="20"/>
              </w:rPr>
            </w:pPr>
            <w:r>
              <w:rPr>
                <w:b/>
                <w:bCs/>
                <w:sz w:val="20"/>
                <w:szCs w:val="20"/>
                <w:lang w:val="fr"/>
              </w:rPr>
              <w:t>7,75</w:t>
            </w:r>
          </w:p>
        </w:tc>
        <w:tc>
          <w:tcPr>
            <w:tcW w:w="910" w:type="pct"/>
            <w:tcBorders>
              <w:top w:val="nil"/>
              <w:left w:val="nil"/>
              <w:bottom w:val="single" w:sz="4" w:space="0" w:color="auto"/>
              <w:right w:val="single" w:sz="4" w:space="0" w:color="auto"/>
            </w:tcBorders>
            <w:shd w:val="clear" w:color="auto" w:fill="auto"/>
            <w:hideMark/>
          </w:tcPr>
          <w:p w14:paraId="3445E29D" w14:textId="77777777" w:rsidR="00477BB8" w:rsidRPr="000F2277" w:rsidRDefault="00477BB8" w:rsidP="00F2642F">
            <w:pPr>
              <w:keepNext/>
              <w:keepLines/>
              <w:jc w:val="right"/>
              <w:rPr>
                <w:b/>
                <w:bCs/>
                <w:color w:val="000000"/>
                <w:sz w:val="20"/>
                <w:szCs w:val="20"/>
              </w:rPr>
            </w:pPr>
            <w:r>
              <w:rPr>
                <w:b/>
                <w:bCs/>
                <w:sz w:val="20"/>
                <w:szCs w:val="20"/>
                <w:lang w:val="fr"/>
              </w:rPr>
              <w:t>23</w:t>
            </w:r>
          </w:p>
        </w:tc>
        <w:tc>
          <w:tcPr>
            <w:tcW w:w="909" w:type="pct"/>
            <w:tcBorders>
              <w:top w:val="nil"/>
              <w:left w:val="nil"/>
              <w:bottom w:val="single" w:sz="4" w:space="0" w:color="auto"/>
              <w:right w:val="single" w:sz="4" w:space="0" w:color="auto"/>
            </w:tcBorders>
            <w:shd w:val="clear" w:color="auto" w:fill="auto"/>
            <w:hideMark/>
          </w:tcPr>
          <w:p w14:paraId="781362D2" w14:textId="77777777" w:rsidR="00477BB8" w:rsidRPr="000F2277" w:rsidRDefault="00477BB8" w:rsidP="00F2642F">
            <w:pPr>
              <w:keepNext/>
              <w:keepLines/>
              <w:jc w:val="right"/>
              <w:rPr>
                <w:b/>
                <w:bCs/>
                <w:color w:val="000000"/>
                <w:sz w:val="20"/>
                <w:szCs w:val="20"/>
              </w:rPr>
            </w:pPr>
            <w:r>
              <w:rPr>
                <w:b/>
                <w:bCs/>
                <w:sz w:val="20"/>
                <w:szCs w:val="20"/>
                <w:lang w:val="fr"/>
              </w:rPr>
              <w:t>35 089</w:t>
            </w:r>
          </w:p>
        </w:tc>
      </w:tr>
    </w:tbl>
    <w:p w14:paraId="45AC9FEC" w14:textId="4CEFC257" w:rsidR="00477BB8" w:rsidRPr="00477BB8" w:rsidRDefault="00477BB8" w:rsidP="00477BB8">
      <w:pPr>
        <w:pStyle w:val="Heading1"/>
        <w:spacing w:before="240"/>
        <w:rPr>
          <w:lang w:val="fr-FR"/>
        </w:rPr>
      </w:pPr>
      <w:r>
        <w:rPr>
          <w:lang w:val="fr"/>
        </w:rPr>
        <w:t xml:space="preserve">En se basant sur l’expérience actuelle dans le pays, la fabrication de réfrigérateurs et de congélateurs </w:t>
      </w:r>
      <w:r w:rsidR="00696275">
        <w:rPr>
          <w:lang w:val="fr"/>
        </w:rPr>
        <w:t xml:space="preserve">commerciaux </w:t>
      </w:r>
      <w:r>
        <w:rPr>
          <w:lang w:val="fr"/>
        </w:rPr>
        <w:t>avec une meilleure efficacité énergétique ne nécessiterait pas de changement dans les procédés de fabrication ; des condenseurs et des évaporateurs</w:t>
      </w:r>
      <w:r w:rsidR="0047631A">
        <w:rPr>
          <w:lang w:val="fr"/>
        </w:rPr>
        <w:t xml:space="preserve"> plus effi</w:t>
      </w:r>
      <w:r w:rsidR="001F6B44">
        <w:rPr>
          <w:lang w:val="fr"/>
        </w:rPr>
        <w:t>c</w:t>
      </w:r>
      <w:r w:rsidR="0047631A">
        <w:rPr>
          <w:lang w:val="fr"/>
        </w:rPr>
        <w:t>aces</w:t>
      </w:r>
      <w:r>
        <w:rPr>
          <w:lang w:val="fr"/>
        </w:rPr>
        <w:t>, des moteurs de ventilateurs, des portes en double vitrage, des compresseurs à vitesse variable et des variateurs de vitesse pourraient être montés sur les réfrigérateurs et congélateurs commerciaux de la même manière et avec les mêmes outils.</w:t>
      </w:r>
    </w:p>
    <w:p w14:paraId="0A7FF0C3" w14:textId="77777777" w:rsidR="00477BB8" w:rsidRPr="00477BB8" w:rsidRDefault="00477BB8" w:rsidP="00477BB8">
      <w:pPr>
        <w:rPr>
          <w:i/>
          <w:iCs/>
          <w:lang w:val="fr-FR"/>
        </w:rPr>
      </w:pPr>
      <w:r>
        <w:rPr>
          <w:i/>
          <w:iCs/>
          <w:lang w:val="fr"/>
        </w:rPr>
        <w:t xml:space="preserve">Équipements fabriqués par </w:t>
      </w:r>
      <w:proofErr w:type="spellStart"/>
      <w:r>
        <w:rPr>
          <w:i/>
          <w:iCs/>
          <w:lang w:val="fr"/>
        </w:rPr>
        <w:t>Berjaya</w:t>
      </w:r>
      <w:proofErr w:type="spellEnd"/>
      <w:r>
        <w:rPr>
          <w:i/>
          <w:iCs/>
          <w:lang w:val="fr"/>
        </w:rPr>
        <w:t xml:space="preserve"> Steel et </w:t>
      </w:r>
      <w:proofErr w:type="spellStart"/>
      <w:r>
        <w:rPr>
          <w:i/>
          <w:iCs/>
          <w:lang w:val="fr"/>
        </w:rPr>
        <w:t>Zun</w:t>
      </w:r>
      <w:proofErr w:type="spellEnd"/>
      <w:r>
        <w:rPr>
          <w:i/>
          <w:iCs/>
          <w:lang w:val="fr"/>
        </w:rPr>
        <w:t xml:space="preserve"> </w:t>
      </w:r>
      <w:proofErr w:type="spellStart"/>
      <w:r>
        <w:rPr>
          <w:i/>
          <w:iCs/>
          <w:lang w:val="fr"/>
        </w:rPr>
        <w:t>Utara</w:t>
      </w:r>
      <w:proofErr w:type="spellEnd"/>
    </w:p>
    <w:p w14:paraId="69441C04" w14:textId="77777777" w:rsidR="00477BB8" w:rsidRPr="00477BB8" w:rsidRDefault="00477BB8" w:rsidP="00477BB8">
      <w:pPr>
        <w:rPr>
          <w:i/>
          <w:iCs/>
          <w:lang w:val="fr-FR"/>
        </w:rPr>
      </w:pPr>
    </w:p>
    <w:p w14:paraId="74F3A19D" w14:textId="5687A41F" w:rsidR="00477BB8" w:rsidRPr="00477BB8" w:rsidRDefault="00477BB8" w:rsidP="00477BB8">
      <w:pPr>
        <w:pStyle w:val="Heading1"/>
        <w:rPr>
          <w:lang w:val="fr-FR"/>
        </w:rPr>
      </w:pPr>
      <w:proofErr w:type="spellStart"/>
      <w:r>
        <w:rPr>
          <w:lang w:val="fr"/>
        </w:rPr>
        <w:t>Berjaya</w:t>
      </w:r>
      <w:proofErr w:type="spellEnd"/>
      <w:r>
        <w:rPr>
          <w:lang w:val="fr"/>
        </w:rPr>
        <w:t xml:space="preserve"> Steel fabrique actuellement 25 modèles de réfrigérateurs et congélateurs commerciaux, parmi lesquels des vitrines réfrigérées, des armoires réfrigérées, des congélateurs armoires, des comptoirs réfrigérés, des congélateurs de comptoir et des vitrines-comptoirs réfrigérées. Elle propose des réfrigérateurs et des congélateurs du modèle à une porte au modèle à quatre portes. Tous les produits utilisent des technologies de compresseurs à vitesse fixe sans appliquer de ventilateurs pour favoriser l’efficacité énergétique des évaporateurs et des condenseurs.</w:t>
      </w:r>
    </w:p>
    <w:p w14:paraId="418BEDE9" w14:textId="2F85990C" w:rsidR="00477BB8" w:rsidRPr="00477BB8" w:rsidRDefault="00477BB8" w:rsidP="00477BB8">
      <w:pPr>
        <w:pStyle w:val="Heading1"/>
        <w:rPr>
          <w:lang w:val="fr-FR"/>
        </w:rPr>
      </w:pPr>
      <w:proofErr w:type="spellStart"/>
      <w:r>
        <w:rPr>
          <w:lang w:val="fr"/>
        </w:rPr>
        <w:lastRenderedPageBreak/>
        <w:t>Zun</w:t>
      </w:r>
      <w:proofErr w:type="spellEnd"/>
      <w:r>
        <w:rPr>
          <w:lang w:val="fr"/>
        </w:rPr>
        <w:t xml:space="preserve"> </w:t>
      </w:r>
      <w:proofErr w:type="spellStart"/>
      <w:r>
        <w:rPr>
          <w:lang w:val="fr"/>
        </w:rPr>
        <w:t>Utara</w:t>
      </w:r>
      <w:proofErr w:type="spellEnd"/>
      <w:r>
        <w:rPr>
          <w:lang w:val="fr"/>
        </w:rPr>
        <w:t xml:space="preserve"> a aussi fabriqué 25 modèles de réfrigérateurs et de congélateurs commerciaux, parmi lesquels 22 utilisent du HFC-134a et trois du R-404A ; deux modèles utilisant du HFC-134a ont récemment été abandonnés. Les 23 modèles restants comprennent des congélateurs coffres à ouverture </w:t>
      </w:r>
      <w:r w:rsidR="00460674">
        <w:rPr>
          <w:lang w:val="fr"/>
        </w:rPr>
        <w:t xml:space="preserve">à bascule </w:t>
      </w:r>
      <w:r>
        <w:rPr>
          <w:lang w:val="fr"/>
        </w:rPr>
        <w:t xml:space="preserve">par le haut, </w:t>
      </w:r>
      <w:r w:rsidR="00460674">
        <w:rPr>
          <w:lang w:val="fr"/>
        </w:rPr>
        <w:t xml:space="preserve">des congélateurs coffres </w:t>
      </w:r>
      <w:r>
        <w:rPr>
          <w:lang w:val="fr"/>
        </w:rPr>
        <w:t xml:space="preserve">à portes vitrées coulissantes, des vitrines réfrigérées et </w:t>
      </w:r>
      <w:r w:rsidR="006C53C5">
        <w:rPr>
          <w:lang w:val="fr"/>
        </w:rPr>
        <w:t>congélateurs</w:t>
      </w:r>
      <w:r w:rsidR="00CF7CDD">
        <w:rPr>
          <w:lang w:val="fr"/>
        </w:rPr>
        <w:t>-</w:t>
      </w:r>
      <w:r w:rsidR="006C53C5">
        <w:rPr>
          <w:lang w:val="fr"/>
        </w:rPr>
        <w:t>armoires vitrés</w:t>
      </w:r>
      <w:r>
        <w:rPr>
          <w:lang w:val="fr"/>
        </w:rPr>
        <w:t xml:space="preserve">. En raison de la concurrence sur le marché de produis importés aussi bien en matière de performances que de coût, l’entreprise a mis à niveau régulièrement ses produits afin d’améliorer l’efficacité énergétique de ceux-ci. La plupart des modèles existants utilisent des évaporateurs et condenseurs à surface, qui ne nécessitent pas de ventilo-convecteurs. En outre, l’entreprise a réduit sa charge thermique en améliorant les propriétés isolantes de sa mousse et en remplaçant les portes vitrées par du double vitrage. Ces modifications </w:t>
      </w:r>
      <w:r w:rsidR="006C53C5">
        <w:rPr>
          <w:lang w:val="fr"/>
        </w:rPr>
        <w:t>ont</w:t>
      </w:r>
      <w:r>
        <w:rPr>
          <w:lang w:val="fr"/>
        </w:rPr>
        <w:t xml:space="preserve"> permis à </w:t>
      </w:r>
      <w:proofErr w:type="spellStart"/>
      <w:r>
        <w:rPr>
          <w:lang w:val="fr"/>
        </w:rPr>
        <w:t>Zun</w:t>
      </w:r>
      <w:proofErr w:type="spellEnd"/>
      <w:r>
        <w:rPr>
          <w:lang w:val="fr"/>
        </w:rPr>
        <w:t xml:space="preserve"> </w:t>
      </w:r>
      <w:proofErr w:type="spellStart"/>
      <w:r>
        <w:rPr>
          <w:lang w:val="fr"/>
        </w:rPr>
        <w:t>Utara</w:t>
      </w:r>
      <w:proofErr w:type="spellEnd"/>
      <w:r>
        <w:rPr>
          <w:lang w:val="fr"/>
        </w:rPr>
        <w:t xml:space="preserve"> de fabriquer des produits plus économes en énergie que ceux des autres fournisseurs sur le marché. Cependant, l’entreprise n’a pas mis en œuvre l’utilisation de compresseurs reposant sur la technologie </w:t>
      </w:r>
      <w:proofErr w:type="spellStart"/>
      <w:r>
        <w:rPr>
          <w:lang w:val="fr"/>
        </w:rPr>
        <w:t>inverter</w:t>
      </w:r>
      <w:proofErr w:type="spellEnd"/>
      <w:r>
        <w:rPr>
          <w:lang w:val="fr"/>
        </w:rPr>
        <w:t>.</w:t>
      </w:r>
    </w:p>
    <w:p w14:paraId="3032D073" w14:textId="77777777" w:rsidR="00477BB8" w:rsidRPr="00833B5D" w:rsidRDefault="00477BB8" w:rsidP="00477BB8">
      <w:pPr>
        <w:keepNext/>
        <w:spacing w:before="240" w:after="240"/>
        <w:rPr>
          <w:u w:val="single"/>
        </w:rPr>
      </w:pPr>
      <w:r>
        <w:rPr>
          <w:u w:val="single"/>
          <w:lang w:val="fr"/>
        </w:rPr>
        <w:t>Activités proposées</w:t>
      </w:r>
    </w:p>
    <w:p w14:paraId="28738639" w14:textId="4C503E6E" w:rsidR="00477BB8" w:rsidRPr="00477BB8" w:rsidRDefault="00477BB8" w:rsidP="00477BB8">
      <w:pPr>
        <w:pStyle w:val="Heading1"/>
        <w:rPr>
          <w:lang w:val="fr-FR"/>
        </w:rPr>
      </w:pPr>
      <w:r>
        <w:rPr>
          <w:lang w:val="fr"/>
        </w:rPr>
        <w:t xml:space="preserve">Le projet comprend des activités au niveau de </w:t>
      </w:r>
      <w:r w:rsidR="00EC08ED">
        <w:rPr>
          <w:lang w:val="fr"/>
        </w:rPr>
        <w:t>l’</w:t>
      </w:r>
      <w:r>
        <w:rPr>
          <w:lang w:val="fr"/>
        </w:rPr>
        <w:t xml:space="preserve">entreprise, afin de permettre aux </w:t>
      </w:r>
      <w:r w:rsidR="00442532">
        <w:rPr>
          <w:lang w:val="fr"/>
        </w:rPr>
        <w:t xml:space="preserve">deux </w:t>
      </w:r>
      <w:r>
        <w:rPr>
          <w:lang w:val="fr"/>
        </w:rPr>
        <w:t>entreprises bénéficiaires d’améliorer l’efficacité énergétique des produits qu’elles fabriquent, et des activités au niveau politique, afin de permettre la mise en œuvre des normes de performance énergétique minimale et de l’étiquetage volontaire pour les équipements de réfrigération commerciale autonomes ainsi que le renforcement de la capacité pour ses tests et certification.</w:t>
      </w:r>
    </w:p>
    <w:p w14:paraId="72F10641" w14:textId="77777777" w:rsidR="00477BB8" w:rsidRDefault="00477BB8" w:rsidP="00477BB8">
      <w:pPr>
        <w:rPr>
          <w:i/>
          <w:iCs/>
        </w:rPr>
      </w:pPr>
      <w:r>
        <w:rPr>
          <w:i/>
          <w:iCs/>
          <w:lang w:val="fr"/>
        </w:rPr>
        <w:t>Activités au niveau de l’entreprise</w:t>
      </w:r>
    </w:p>
    <w:p w14:paraId="2389EBBE" w14:textId="77777777" w:rsidR="00477BB8" w:rsidRDefault="00477BB8" w:rsidP="00477BB8">
      <w:pPr>
        <w:rPr>
          <w:i/>
          <w:iCs/>
        </w:rPr>
      </w:pPr>
    </w:p>
    <w:p w14:paraId="7D25A2E0" w14:textId="5F4750C4" w:rsidR="00477BB8" w:rsidRPr="00477BB8" w:rsidRDefault="00477BB8" w:rsidP="00477BB8">
      <w:pPr>
        <w:pStyle w:val="Heading1"/>
        <w:rPr>
          <w:lang w:val="fr-FR"/>
        </w:rPr>
      </w:pPr>
      <w:r>
        <w:rPr>
          <w:lang w:val="fr"/>
        </w:rPr>
        <w:t xml:space="preserve">Les deux entreprises amélioreront l’efficacité énergétique moyenne de leurs modèles d’au moins 30 pour cent en mettant en œuvre la technologie </w:t>
      </w:r>
      <w:proofErr w:type="spellStart"/>
      <w:r>
        <w:rPr>
          <w:lang w:val="fr"/>
        </w:rPr>
        <w:t>inverter</w:t>
      </w:r>
      <w:proofErr w:type="spellEnd"/>
      <w:r>
        <w:rPr>
          <w:lang w:val="fr"/>
        </w:rPr>
        <w:t xml:space="preserve"> pour tous les modèles qu’elles fabriquent actuellement ainsi qu’en mettant en œuvre d’autres mesures en fonction des modèles (à savoir, le double vitrage des portes pour les vitrines où c’est applicable, des ventilo-convecteurs de condenseurs et d’évaporateurs plus économes en énergie pour les modèles sans évaporateurs et condenseurs à surface ; en remplaçant les moteurs électriques des ventilateurs par des moteurs plus économes en énergie ; et d’autres mesures.)</w:t>
      </w:r>
    </w:p>
    <w:p w14:paraId="27E656D3" w14:textId="02648FC3" w:rsidR="00477BB8" w:rsidRPr="00477BB8" w:rsidRDefault="00477BB8" w:rsidP="00477BB8">
      <w:pPr>
        <w:pStyle w:val="Heading1"/>
        <w:rPr>
          <w:lang w:val="fr-FR"/>
        </w:rPr>
      </w:pPr>
      <w:r>
        <w:rPr>
          <w:lang w:val="fr"/>
        </w:rPr>
        <w:t xml:space="preserve">Les compresseurs à vitesse variable sont des compresseurs équipés de régulateurs de vitesse ou de variateurs électroniques de vitesse. Le </w:t>
      </w:r>
      <w:r w:rsidR="005B4188">
        <w:rPr>
          <w:lang w:val="fr"/>
        </w:rPr>
        <w:t>régulateur</w:t>
      </w:r>
      <w:r>
        <w:rPr>
          <w:lang w:val="fr"/>
        </w:rPr>
        <w:t xml:space="preserve"> de vitesse possède deux modes de fonctionnement : mode de modulation d’impulsion en largeur (MIL) ou mode automatique. Pour les régulateurs typiques, le variateur ajuste la vitesse du compresseur par le biais de signaux MIL provenant du tableau de commande. En mode automatique, le variateur contrôle le compresseur en l’allumant ou en l’éteignant par le biais d’un signal de relais. Le variateur est préprogrammé pour que le compresseur fonctionne à trois ou quatre vitesses distinctes. Pour que le compresseur fonctionne en mode MIL, un générateur de fréquence supplémentaire est nécessaire afin de fournir des signaux pour contrôler la vitesse du compresseur. Le générateur de fréquence est optionnel si le compresseur fonctionne en mode automatique. Les compresseurs à vitesse variable avec des variateurs et des générateurs de fréquence consomment moins d’énergie, mais ont un coût de fabrication plus élevé. Comme les deux entreprises ont des capacités techniques limitées, en particulier en ce qui concerne la technologie de </w:t>
      </w:r>
      <w:r w:rsidR="008F082E">
        <w:rPr>
          <w:lang w:val="fr"/>
        </w:rPr>
        <w:t>commande</w:t>
      </w:r>
      <w:r>
        <w:rPr>
          <w:lang w:val="fr"/>
        </w:rPr>
        <w:t xml:space="preserve"> électronique, ils devraient plus dépendre des fournisseurs de compresseurs. La maintenance des compresseurs et des composants électroniques supplémentaires pourrait être plus importante, car la plupart des fabricants de compresseurs préfèrent les vendre sous forme de lot.</w:t>
      </w:r>
    </w:p>
    <w:p w14:paraId="4A9DA269" w14:textId="16507C18" w:rsidR="00477BB8" w:rsidRPr="00477BB8" w:rsidRDefault="00477BB8" w:rsidP="00477BB8">
      <w:pPr>
        <w:pStyle w:val="Heading1"/>
        <w:rPr>
          <w:lang w:val="fr-FR"/>
        </w:rPr>
      </w:pPr>
      <w:r>
        <w:rPr>
          <w:lang w:val="fr"/>
        </w:rPr>
        <w:t xml:space="preserve">Le projet propose donc d’introduire des compresseurs à vitesse variable avec des variateurs fonctionnant en mode automatique. Le projet comprendra une assistance technique afin d’améliorer la capacité des techniciens et des ingénieurs de conception des deux entreprises à adopter cette technologie et </w:t>
      </w:r>
      <w:r w:rsidR="005C47A4">
        <w:rPr>
          <w:lang w:val="fr"/>
        </w:rPr>
        <w:t>de</w:t>
      </w:r>
      <w:r>
        <w:rPr>
          <w:lang w:val="fr"/>
        </w:rPr>
        <w:t xml:space="preserve"> leur permettre de réaliser des réparations basiques sur les variateurs. Comme le même variateur peut être utilisé tant pour le mode automatique que pour le mode MIL, l’assistance technique proposée abordera aussi les réparations basiques et l’étalonnage des générateurs de fréquence. Avec une capacité technique </w:t>
      </w:r>
      <w:r>
        <w:rPr>
          <w:lang w:val="fr"/>
        </w:rPr>
        <w:lastRenderedPageBreak/>
        <w:t>améliorée, les deux entreprises pourraient mener plus loin l’amélioration de leurs performances énergétiques pour leurs produits dans le futur, y compris en adoptant le générateur de fréquence nécessaire pour fonctionner en mode MIL.</w:t>
      </w:r>
    </w:p>
    <w:p w14:paraId="1C6C741B" w14:textId="5CD19658" w:rsidR="00477BB8" w:rsidRPr="00477BB8" w:rsidRDefault="00477BB8" w:rsidP="00477BB8">
      <w:pPr>
        <w:pStyle w:val="Heading1"/>
        <w:rPr>
          <w:lang w:val="fr-FR"/>
        </w:rPr>
      </w:pPr>
      <w:r>
        <w:rPr>
          <w:lang w:val="fr"/>
        </w:rPr>
        <w:t>La Banque mondiale a proposé des coûts différentiels d’investissement (CDI) basés s</w:t>
      </w:r>
      <w:r w:rsidR="007C19B5">
        <w:rPr>
          <w:lang w:val="fr"/>
        </w:rPr>
        <w:t>u</w:t>
      </w:r>
      <w:r>
        <w:rPr>
          <w:lang w:val="fr"/>
        </w:rPr>
        <w:t>r les coûts supplémentaires engagés par les entreprises entreprenant le projet pilote, y compris les coûts de test</w:t>
      </w:r>
      <w:r w:rsidR="007C19B5">
        <w:rPr>
          <w:lang w:val="fr"/>
        </w:rPr>
        <w:t>s</w:t>
      </w:r>
      <w:r>
        <w:rPr>
          <w:lang w:val="fr"/>
        </w:rPr>
        <w:t xml:space="preserve"> des unités à technologie </w:t>
      </w:r>
      <w:proofErr w:type="spellStart"/>
      <w:r>
        <w:rPr>
          <w:lang w:val="fr"/>
        </w:rPr>
        <w:t>inverter</w:t>
      </w:r>
      <w:proofErr w:type="spellEnd"/>
      <w:r>
        <w:rPr>
          <w:lang w:val="fr"/>
        </w:rPr>
        <w:t xml:space="preserve"> (2 332 $ US par modèle pour </w:t>
      </w:r>
      <w:proofErr w:type="spellStart"/>
      <w:r>
        <w:rPr>
          <w:lang w:val="fr"/>
        </w:rPr>
        <w:t>Berjaya</w:t>
      </w:r>
      <w:proofErr w:type="spellEnd"/>
      <w:r>
        <w:rPr>
          <w:lang w:val="fr"/>
        </w:rPr>
        <w:t xml:space="preserve"> et 2 032 $ US par modèle </w:t>
      </w:r>
      <w:r w:rsidR="00F93C54">
        <w:rPr>
          <w:lang w:val="fr"/>
        </w:rPr>
        <w:t>pour</w:t>
      </w:r>
      <w:r>
        <w:rPr>
          <w:lang w:val="fr"/>
        </w:rPr>
        <w:t xml:space="preserve"> </w:t>
      </w:r>
      <w:proofErr w:type="spellStart"/>
      <w:r>
        <w:rPr>
          <w:lang w:val="fr"/>
        </w:rPr>
        <w:t>Zun</w:t>
      </w:r>
      <w:proofErr w:type="spellEnd"/>
      <w:r>
        <w:rPr>
          <w:lang w:val="fr"/>
        </w:rPr>
        <w:t xml:space="preserve"> </w:t>
      </w:r>
      <w:proofErr w:type="spellStart"/>
      <w:r>
        <w:rPr>
          <w:lang w:val="fr"/>
        </w:rPr>
        <w:t>Utara</w:t>
      </w:r>
      <w:proofErr w:type="spellEnd"/>
      <w:r>
        <w:rPr>
          <w:lang w:val="fr"/>
        </w:rPr>
        <w:t>), la certification d’efficacité énergétique (2 000 $ US par modèle), l’amélioration des chambres de test</w:t>
      </w:r>
      <w:r w:rsidR="00F005C6">
        <w:rPr>
          <w:lang w:val="fr"/>
        </w:rPr>
        <w:t>s</w:t>
      </w:r>
      <w:r>
        <w:rPr>
          <w:lang w:val="fr"/>
        </w:rPr>
        <w:t xml:space="preserve"> existantes dans les deux entreprises afin d’y accommoder des équipements plus grands (18 000 $ US par entreprise), et le transfert technologique (25 000 $ US par transfert), entraînant des CDI pour les deux entreprises de 283 004 $ US.</w:t>
      </w:r>
    </w:p>
    <w:p w14:paraId="07AF011C" w14:textId="20F41417" w:rsidR="00477BB8" w:rsidRPr="00477BB8" w:rsidRDefault="00477BB8" w:rsidP="00477BB8">
      <w:pPr>
        <w:pStyle w:val="Heading1"/>
        <w:rPr>
          <w:lang w:val="fr-FR"/>
        </w:rPr>
      </w:pPr>
      <w:r>
        <w:rPr>
          <w:lang w:val="fr"/>
        </w:rPr>
        <w:t xml:space="preserve">La Banque mondiale a aussi proposé des surcoûts d’exploitation basés sur la moyenne pondérée de différence de coût entre les composants respectifs (à savoir le compresseur, le ventilo-convecteur de l’évaporateur, </w:t>
      </w:r>
      <w:r w:rsidR="00925966">
        <w:rPr>
          <w:lang w:val="fr"/>
        </w:rPr>
        <w:t xml:space="preserve">le ventilo-convecteur du condenseur, </w:t>
      </w:r>
      <w:r>
        <w:rPr>
          <w:lang w:val="fr"/>
        </w:rPr>
        <w:t xml:space="preserve">le système de chauffage du corps et le verre) utilisés par les réfrigérateurs et les congélateurs à vitesse fixe et </w:t>
      </w:r>
      <w:r w:rsidR="009E7398">
        <w:rPr>
          <w:lang w:val="fr"/>
        </w:rPr>
        <w:t xml:space="preserve">à vitesse </w:t>
      </w:r>
      <w:r>
        <w:rPr>
          <w:lang w:val="fr"/>
        </w:rPr>
        <w:t>variable. Par exemple, le surcoût moyen pondéré pour les compresseurs est calculé en additionnant le</w:t>
      </w:r>
      <w:r w:rsidR="009B0FD1">
        <w:rPr>
          <w:lang w:val="fr"/>
        </w:rPr>
        <w:t>s</w:t>
      </w:r>
      <w:r>
        <w:rPr>
          <w:lang w:val="fr"/>
        </w:rPr>
        <w:t xml:space="preserve"> produit</w:t>
      </w:r>
      <w:r w:rsidR="009B0FD1">
        <w:rPr>
          <w:lang w:val="fr"/>
        </w:rPr>
        <w:t>s</w:t>
      </w:r>
      <w:r>
        <w:rPr>
          <w:lang w:val="fr"/>
        </w:rPr>
        <w:t xml:space="preserve"> de la différence de coût pour chaque modèle </w:t>
      </w:r>
      <w:r w:rsidR="00E20F34">
        <w:rPr>
          <w:lang w:val="fr"/>
        </w:rPr>
        <w:t>par</w:t>
      </w:r>
      <w:r>
        <w:rPr>
          <w:lang w:val="fr"/>
        </w:rPr>
        <w:t xml:space="preserve"> le nombre moyen d’unités des modèles respectifs fabriqués et vendus entre 2021 et 2023 </w:t>
      </w:r>
      <w:r w:rsidR="009B0FD1">
        <w:rPr>
          <w:lang w:val="fr"/>
        </w:rPr>
        <w:t>divisé</w:t>
      </w:r>
      <w:r>
        <w:rPr>
          <w:lang w:val="fr"/>
        </w:rPr>
        <w:t xml:space="preserve"> par le nombre moyen total de réfrigérateurs et de congélateurs fabriqués durant cette même période. Les surcoûts d’exploitation totaux pour chaque entreprise ont été déterminés en multipliant la moyenne pondérée de chaque composant par le nombre moyen d’unités fabriquées durant cette période de trois ans (2021-2023), entraînant des surcoûts d’exploitation de 1 011 852 $ US pour </w:t>
      </w:r>
      <w:proofErr w:type="spellStart"/>
      <w:r>
        <w:rPr>
          <w:lang w:val="fr"/>
        </w:rPr>
        <w:t>Berjaya</w:t>
      </w:r>
      <w:proofErr w:type="spellEnd"/>
      <w:r>
        <w:rPr>
          <w:lang w:val="fr"/>
        </w:rPr>
        <w:t xml:space="preserve"> Steel et de 1 067 045 $ US pour </w:t>
      </w:r>
      <w:proofErr w:type="spellStart"/>
      <w:r>
        <w:rPr>
          <w:lang w:val="fr"/>
        </w:rPr>
        <w:t>Zun</w:t>
      </w:r>
      <w:proofErr w:type="spellEnd"/>
      <w:r>
        <w:rPr>
          <w:lang w:val="fr"/>
        </w:rPr>
        <w:t xml:space="preserve"> </w:t>
      </w:r>
      <w:proofErr w:type="spellStart"/>
      <w:r>
        <w:rPr>
          <w:lang w:val="fr"/>
        </w:rPr>
        <w:t>Utara</w:t>
      </w:r>
      <w:proofErr w:type="spellEnd"/>
      <w:r>
        <w:rPr>
          <w:lang w:val="fr"/>
        </w:rPr>
        <w:t xml:space="preserve">. Dans le cadre du projet, le financement est uniquement demandé pour soutenir les surcoûts d’exploitation liés aux compresseurs à vitesse variable et aux variateurs, les surcoûts d’exploitation de remplacement des autres composants (à savoir, le ventilo-convecteur de l’évaporateur, le ventilo-convecteur du condenseur, le système de chauffe du corps et le verre), seront cofinancés par les entreprises respectives, entraînant des surcoûts d’exploitation de 539 768 $ US pour </w:t>
      </w:r>
      <w:proofErr w:type="spellStart"/>
      <w:r>
        <w:rPr>
          <w:lang w:val="fr"/>
        </w:rPr>
        <w:t>Berjaya</w:t>
      </w:r>
      <w:proofErr w:type="spellEnd"/>
      <w:r>
        <w:rPr>
          <w:lang w:val="fr"/>
        </w:rPr>
        <w:t xml:space="preserve"> Steel et de 811 698 $ US pour </w:t>
      </w:r>
      <w:proofErr w:type="spellStart"/>
      <w:r>
        <w:rPr>
          <w:lang w:val="fr"/>
        </w:rPr>
        <w:t>Zun</w:t>
      </w:r>
      <w:proofErr w:type="spellEnd"/>
      <w:r>
        <w:rPr>
          <w:lang w:val="fr"/>
        </w:rPr>
        <w:t xml:space="preserve"> </w:t>
      </w:r>
      <w:proofErr w:type="spellStart"/>
      <w:r>
        <w:rPr>
          <w:lang w:val="fr"/>
        </w:rPr>
        <w:t>Utara</w:t>
      </w:r>
      <w:proofErr w:type="spellEnd"/>
      <w:r>
        <w:rPr>
          <w:lang w:val="fr"/>
        </w:rPr>
        <w:t xml:space="preserve">. Sur ces surcoûts d’exploitation, </w:t>
      </w:r>
      <w:proofErr w:type="spellStart"/>
      <w:r>
        <w:rPr>
          <w:lang w:val="fr"/>
        </w:rPr>
        <w:t>Berjaya</w:t>
      </w:r>
      <w:proofErr w:type="spellEnd"/>
      <w:r>
        <w:rPr>
          <w:lang w:val="fr"/>
        </w:rPr>
        <w:t xml:space="preserve"> Steel cofinancera 373 712 $ US et </w:t>
      </w:r>
      <w:proofErr w:type="spellStart"/>
      <w:r>
        <w:rPr>
          <w:lang w:val="fr"/>
        </w:rPr>
        <w:t>Zun</w:t>
      </w:r>
      <w:proofErr w:type="spellEnd"/>
      <w:r>
        <w:rPr>
          <w:lang w:val="fr"/>
        </w:rPr>
        <w:t xml:space="preserve"> </w:t>
      </w:r>
      <w:proofErr w:type="spellStart"/>
      <w:r>
        <w:rPr>
          <w:lang w:val="fr"/>
        </w:rPr>
        <w:t>Utara</w:t>
      </w:r>
      <w:proofErr w:type="spellEnd"/>
      <w:r>
        <w:rPr>
          <w:lang w:val="fr"/>
        </w:rPr>
        <w:t xml:space="preserve"> 650 843 $ US, entraînant des surcoûts d’exploitation demandés s’élevant à 166 056 $ US et 160 855 $ US, comme résumé plus en détail dans le tableau 2 ci-dessous.</w:t>
      </w:r>
    </w:p>
    <w:p w14:paraId="5FCA45B8" w14:textId="77777777" w:rsidR="00477BB8" w:rsidRPr="00477BB8" w:rsidRDefault="00477BB8" w:rsidP="00477BB8">
      <w:pPr>
        <w:pStyle w:val="Heading1"/>
        <w:rPr>
          <w:lang w:val="fr-FR"/>
        </w:rPr>
      </w:pPr>
      <w:r>
        <w:rPr>
          <w:lang w:val="fr"/>
        </w:rPr>
        <w:t xml:space="preserve">La Banque mondiale a fourni des informations détaillées pour chaque modèle fabriqué par les deux entreprises, y compris le nombre d’unités vendues entre 2020 et 2023, le volume, la température de fonctionnement, la température de test, le volume effectif, la zone totale d’étalage (pour les vitrines), les frigorigènes et la charge en frigorigène, le compresseur et la consommation d’énergie de référence et celle ciblée. Ces informations sont considérées comme confidentielles et disponibles sur demande pour les membres du Comité exécutif étant entendu que ces informations ne seront pas partagées et seront utilisées uniquement pour évaluer le projet. </w:t>
      </w:r>
    </w:p>
    <w:p w14:paraId="6DE186AC" w14:textId="77777777" w:rsidR="00477BB8" w:rsidRPr="00815B8C" w:rsidRDefault="00477BB8" w:rsidP="00477BB8">
      <w:pPr>
        <w:rPr>
          <w:i/>
          <w:iCs/>
        </w:rPr>
      </w:pPr>
      <w:r>
        <w:rPr>
          <w:i/>
          <w:iCs/>
          <w:lang w:val="fr"/>
        </w:rPr>
        <w:t>Activités au niveau politique</w:t>
      </w:r>
    </w:p>
    <w:p w14:paraId="7FF864B9" w14:textId="77777777" w:rsidR="00477BB8" w:rsidRPr="00815B8C" w:rsidRDefault="00477BB8" w:rsidP="00477BB8"/>
    <w:p w14:paraId="773D114D" w14:textId="675B884D" w:rsidR="00477BB8" w:rsidRPr="00477BB8" w:rsidRDefault="00477BB8" w:rsidP="00477BB8">
      <w:pPr>
        <w:pStyle w:val="Heading1"/>
        <w:rPr>
          <w:lang w:val="fr-FR"/>
        </w:rPr>
      </w:pPr>
      <w:r>
        <w:rPr>
          <w:lang w:val="fr"/>
        </w:rPr>
        <w:t xml:space="preserve">Les réfrigérateurs et congélateurs commerciaux, qui ne sont pas considérés comme des appareils électroménagers, ne sont actuellement pas réglementés </w:t>
      </w:r>
      <w:r w:rsidR="006C0122">
        <w:rPr>
          <w:lang w:val="fr"/>
        </w:rPr>
        <w:t>par les</w:t>
      </w:r>
      <w:r>
        <w:rPr>
          <w:lang w:val="fr"/>
        </w:rPr>
        <w:t xml:space="preserve"> normes de performance énergétique minimale</w:t>
      </w:r>
      <w:r w:rsidR="00890F7C">
        <w:rPr>
          <w:lang w:val="fr"/>
        </w:rPr>
        <w:t xml:space="preserve"> en vigueur</w:t>
      </w:r>
      <w:r>
        <w:rPr>
          <w:lang w:val="fr"/>
        </w:rPr>
        <w:t xml:space="preserve">. L’installation de tests du Service d’assurance qualité de l’Institut de recherches industrielles et normatives (SIRIM QAS), établie pour soutenir la mise en œuvre des normes de performance énergétique minimale, ne possède pas la capacité de traiter des réfrigérateurs et congélateurs avec des volumes supérieurs à 300 litres. Pour étendre les normes de performance énergétique minimale afin qu’elles englobent les réfrigérateurs et congélateurs commerciaux, l’installation de tests existante (enceinte climatique) doit être mise à niveau. Le soutien fourni dans le cadre de ce </w:t>
      </w:r>
      <w:r w:rsidR="008520F1">
        <w:rPr>
          <w:lang w:val="fr"/>
        </w:rPr>
        <w:t>projet</w:t>
      </w:r>
      <w:r>
        <w:rPr>
          <w:lang w:val="fr"/>
        </w:rPr>
        <w:t xml:space="preserve"> permettra au SIRIM QAS d’offrir des services de tests aux fabricants et aux importateurs </w:t>
      </w:r>
      <w:r w:rsidR="0085358B">
        <w:rPr>
          <w:lang w:val="fr"/>
        </w:rPr>
        <w:t xml:space="preserve">locaux </w:t>
      </w:r>
      <w:r>
        <w:rPr>
          <w:lang w:val="fr"/>
        </w:rPr>
        <w:t>de réfrigérateurs et de congélateurs commerciaux.</w:t>
      </w:r>
    </w:p>
    <w:p w14:paraId="7CCDC02A" w14:textId="531E405C" w:rsidR="00477BB8" w:rsidRPr="00477BB8" w:rsidRDefault="00477BB8" w:rsidP="00477BB8">
      <w:pPr>
        <w:pStyle w:val="Heading1"/>
        <w:rPr>
          <w:lang w:val="fr-FR"/>
        </w:rPr>
      </w:pPr>
      <w:r>
        <w:rPr>
          <w:lang w:val="fr"/>
        </w:rPr>
        <w:lastRenderedPageBreak/>
        <w:t>Dans le cadre actuel du système de normes de performance énergétique minimale pour les appareils électroménagers, la certification de performances énergétiques délivrée par la Commission de l’énergie</w:t>
      </w:r>
      <w:r>
        <w:rPr>
          <w:rStyle w:val="FootnoteReference"/>
          <w:lang w:val="fr"/>
        </w:rPr>
        <w:footnoteReference w:id="5"/>
      </w:r>
      <w:r>
        <w:rPr>
          <w:lang w:val="fr"/>
        </w:rPr>
        <w:t xml:space="preserve"> reste valide uniquement pour cinq ans. Pour renouveler la certification de performances énergétiques, de nouveaux tests sont nécessaires. Avoir une installation de tests disponible dans le pays accélérerait la procédure de tests et de certification et réduirait les coûts pour les fabricants et les importateurs, car ils n’auraient plus besoin d’envoyer les unités à tester à l’étranger.</w:t>
      </w:r>
    </w:p>
    <w:p w14:paraId="7C51FB92" w14:textId="793444BA" w:rsidR="00477BB8" w:rsidRPr="00477BB8" w:rsidRDefault="00477BB8" w:rsidP="00477BB8">
      <w:pPr>
        <w:pStyle w:val="Heading1"/>
        <w:rPr>
          <w:lang w:val="fr-FR"/>
        </w:rPr>
      </w:pPr>
      <w:r>
        <w:rPr>
          <w:lang w:val="fr"/>
        </w:rPr>
        <w:t xml:space="preserve">Avant de mettre à niveau l’enceinte climatique, la Commission de l’énergie doit réaliser une étude de marché afin de déterminer l’impact potentiel de conservation d’énergie si elle </w:t>
      </w:r>
      <w:r w:rsidR="0037413B">
        <w:rPr>
          <w:lang w:val="fr"/>
        </w:rPr>
        <w:t>intègre</w:t>
      </w:r>
      <w:r>
        <w:rPr>
          <w:lang w:val="fr"/>
        </w:rPr>
        <w:t xml:space="preserve"> les réfrigérateurs et congélateurs commerciaux dans le programme de normes de performance énergétique minimale. Les résultats seront utilisés pour déterminer quels modèles de réfrigérateurs et de congélateurs commerciaux devraient être soumis aux normes de performance énergétique minimale, ceux considérés comme non rentables pour être </w:t>
      </w:r>
      <w:r w:rsidR="00074FD7">
        <w:rPr>
          <w:lang w:val="fr"/>
        </w:rPr>
        <w:t>soumis aux</w:t>
      </w:r>
      <w:r>
        <w:rPr>
          <w:lang w:val="fr"/>
        </w:rPr>
        <w:t xml:space="preserve"> normes de performance énergétique minimale (programme obligatoire) en raison de l’échelle de la demande/utilisation pourraient à la place être intégrés sur la base du volontariat dans un programme international de vérification </w:t>
      </w:r>
      <w:r w:rsidR="006B7EE8">
        <w:rPr>
          <w:lang w:val="fr"/>
        </w:rPr>
        <w:t xml:space="preserve">des </w:t>
      </w:r>
      <w:r>
        <w:rPr>
          <w:lang w:val="fr"/>
        </w:rPr>
        <w:t>technologi</w:t>
      </w:r>
      <w:r w:rsidR="006B7EE8">
        <w:rPr>
          <w:lang w:val="fr"/>
        </w:rPr>
        <w:t xml:space="preserve">es </w:t>
      </w:r>
      <w:r>
        <w:rPr>
          <w:lang w:val="fr"/>
        </w:rPr>
        <w:t>environnementale</w:t>
      </w:r>
      <w:r w:rsidR="006B7EE8">
        <w:rPr>
          <w:lang w:val="fr"/>
        </w:rPr>
        <w:t>s</w:t>
      </w:r>
      <w:r>
        <w:rPr>
          <w:lang w:val="fr"/>
        </w:rPr>
        <w:t xml:space="preserve"> (ETV) et géré par le SIRIM ETV.</w:t>
      </w:r>
    </w:p>
    <w:p w14:paraId="702D1B07" w14:textId="39DAEBD1" w:rsidR="00477BB8" w:rsidRPr="00477BB8" w:rsidRDefault="00477BB8" w:rsidP="00477BB8">
      <w:pPr>
        <w:pStyle w:val="Heading1"/>
        <w:rPr>
          <w:lang w:val="fr-FR"/>
        </w:rPr>
      </w:pPr>
      <w:r>
        <w:rPr>
          <w:lang w:val="fr"/>
        </w:rPr>
        <w:t xml:space="preserve">Ainsi, le financement est demandé pour soutenir aussi bien la Commission de l’énergie </w:t>
      </w:r>
      <w:r w:rsidR="006B7EE8">
        <w:rPr>
          <w:lang w:val="fr"/>
        </w:rPr>
        <w:t>que</w:t>
      </w:r>
      <w:r>
        <w:rPr>
          <w:lang w:val="fr"/>
        </w:rPr>
        <w:t xml:space="preserve"> le SIRIM ETV afin de développer des lignes directrices et des protocoles de tests pour les normes de performance énergétique minimale et l’ETV. Aborder les réfrigérateurs et les congélateurs commerciaux dans le cadre de mesures obligatoires et volontaires contribuera à améliorer les performances énergétiques de tous les produits de ce secteur. Afin de garantir que les directives et les protocoles de tests tant pour les programmes obligatoires que volontaires so</w:t>
      </w:r>
      <w:r w:rsidR="00A97090">
        <w:rPr>
          <w:lang w:val="fr"/>
        </w:rPr>
        <w:t>n</w:t>
      </w:r>
      <w:r>
        <w:rPr>
          <w:lang w:val="fr"/>
        </w:rPr>
        <w:t>t conformes aux normes internationales, le projet propose des tournées d’étude tant pour la Commission de l’énergie que pour le SIRIM ETV afin qu’ils se familiarisent avec des programmes similaires déjà établis dans des pays voisins. Les détails de coûts de ces activités sont indiqués au tableau 2.</w:t>
      </w:r>
    </w:p>
    <w:p w14:paraId="0D72D9A7" w14:textId="4DB7C813" w:rsidR="00477BB8" w:rsidRPr="00477BB8" w:rsidRDefault="00477BB8" w:rsidP="00477BB8">
      <w:pPr>
        <w:pStyle w:val="Heading1"/>
        <w:keepNext/>
        <w:numPr>
          <w:ilvl w:val="0"/>
          <w:numId w:val="0"/>
        </w:numPr>
        <w:spacing w:after="0"/>
        <w:rPr>
          <w:b/>
          <w:bCs/>
          <w:lang w:val="fr-FR"/>
        </w:rPr>
      </w:pPr>
      <w:r>
        <w:rPr>
          <w:b/>
          <w:bCs/>
          <w:lang w:val="fr"/>
        </w:rPr>
        <w:t>Tableau 2. Coûts proposés pour les activités portant sur l’efficacité énergétique</w:t>
      </w:r>
    </w:p>
    <w:tbl>
      <w:tblPr>
        <w:tblStyle w:val="TableGrid"/>
        <w:tblW w:w="9351" w:type="dxa"/>
        <w:tblLayout w:type="fixed"/>
        <w:tblLook w:val="04A0" w:firstRow="1" w:lastRow="0" w:firstColumn="1" w:lastColumn="0" w:noHBand="0" w:noVBand="1"/>
      </w:tblPr>
      <w:tblGrid>
        <w:gridCol w:w="6799"/>
        <w:gridCol w:w="1276"/>
        <w:gridCol w:w="1276"/>
      </w:tblGrid>
      <w:tr w:rsidR="00477BB8" w:rsidRPr="00BB3814" w14:paraId="5A985080" w14:textId="77777777" w:rsidTr="00F2642F">
        <w:trPr>
          <w:tblHeader/>
        </w:trPr>
        <w:tc>
          <w:tcPr>
            <w:tcW w:w="6799" w:type="dxa"/>
          </w:tcPr>
          <w:p w14:paraId="0A1483C2" w14:textId="77777777" w:rsidR="00477BB8" w:rsidRPr="00BB3814" w:rsidRDefault="00477BB8" w:rsidP="00F2642F">
            <w:pPr>
              <w:pStyle w:val="Heading1"/>
              <w:keepNext/>
              <w:numPr>
                <w:ilvl w:val="0"/>
                <w:numId w:val="0"/>
              </w:numPr>
              <w:spacing w:after="0"/>
              <w:jc w:val="center"/>
              <w:rPr>
                <w:b/>
                <w:bCs/>
                <w:sz w:val="20"/>
                <w:szCs w:val="20"/>
              </w:rPr>
            </w:pPr>
            <w:r>
              <w:rPr>
                <w:b/>
                <w:bCs/>
                <w:sz w:val="20"/>
                <w:szCs w:val="20"/>
                <w:lang w:val="fr"/>
              </w:rPr>
              <w:t>Activité</w:t>
            </w:r>
          </w:p>
        </w:tc>
        <w:tc>
          <w:tcPr>
            <w:tcW w:w="1276" w:type="dxa"/>
          </w:tcPr>
          <w:p w14:paraId="500F63C5" w14:textId="77777777" w:rsidR="00477BB8" w:rsidRPr="00BB3814" w:rsidRDefault="00477BB8" w:rsidP="00F2642F">
            <w:pPr>
              <w:pStyle w:val="Heading1"/>
              <w:keepNext/>
              <w:numPr>
                <w:ilvl w:val="0"/>
                <w:numId w:val="0"/>
              </w:numPr>
              <w:spacing w:after="0"/>
              <w:jc w:val="center"/>
              <w:rPr>
                <w:b/>
                <w:bCs/>
                <w:sz w:val="20"/>
                <w:szCs w:val="20"/>
              </w:rPr>
            </w:pPr>
            <w:r>
              <w:rPr>
                <w:b/>
                <w:bCs/>
                <w:sz w:val="20"/>
                <w:szCs w:val="20"/>
                <w:lang w:val="fr"/>
              </w:rPr>
              <w:t>Nombre d’unités</w:t>
            </w:r>
          </w:p>
        </w:tc>
        <w:tc>
          <w:tcPr>
            <w:tcW w:w="1276" w:type="dxa"/>
          </w:tcPr>
          <w:p w14:paraId="7973628A" w14:textId="77777777" w:rsidR="00477BB8" w:rsidRPr="00BB3814" w:rsidRDefault="00477BB8" w:rsidP="00F2642F">
            <w:pPr>
              <w:pStyle w:val="Heading1"/>
              <w:keepNext/>
              <w:numPr>
                <w:ilvl w:val="0"/>
                <w:numId w:val="0"/>
              </w:numPr>
              <w:spacing w:after="0"/>
              <w:jc w:val="center"/>
              <w:rPr>
                <w:b/>
                <w:bCs/>
                <w:sz w:val="20"/>
                <w:szCs w:val="20"/>
              </w:rPr>
            </w:pPr>
            <w:r>
              <w:rPr>
                <w:b/>
                <w:bCs/>
                <w:sz w:val="20"/>
                <w:szCs w:val="20"/>
                <w:lang w:val="fr"/>
              </w:rPr>
              <w:t>Coût ($ US)</w:t>
            </w:r>
          </w:p>
        </w:tc>
      </w:tr>
      <w:tr w:rsidR="00477BB8" w:rsidRPr="005C20EB" w14:paraId="7EF1EC7A" w14:textId="77777777" w:rsidTr="00F2642F">
        <w:tc>
          <w:tcPr>
            <w:tcW w:w="9351" w:type="dxa"/>
            <w:gridSpan w:val="3"/>
          </w:tcPr>
          <w:p w14:paraId="20552ED2" w14:textId="77777777" w:rsidR="00477BB8" w:rsidRPr="005C20EB" w:rsidRDefault="00477BB8" w:rsidP="00F2642F">
            <w:pPr>
              <w:pStyle w:val="Heading1"/>
              <w:keepNext/>
              <w:numPr>
                <w:ilvl w:val="0"/>
                <w:numId w:val="0"/>
              </w:numPr>
              <w:spacing w:after="0"/>
              <w:ind w:right="64"/>
              <w:jc w:val="center"/>
              <w:rPr>
                <w:i/>
                <w:iCs/>
                <w:sz w:val="20"/>
                <w:szCs w:val="20"/>
              </w:rPr>
            </w:pPr>
            <w:r>
              <w:rPr>
                <w:i/>
                <w:iCs/>
                <w:sz w:val="20"/>
                <w:szCs w:val="20"/>
                <w:lang w:val="fr"/>
              </w:rPr>
              <w:t>CDI (311 304 $ US)</w:t>
            </w:r>
          </w:p>
        </w:tc>
      </w:tr>
      <w:tr w:rsidR="00477BB8" w14:paraId="3242335F" w14:textId="77777777" w:rsidTr="00F2642F">
        <w:tc>
          <w:tcPr>
            <w:tcW w:w="6799" w:type="dxa"/>
          </w:tcPr>
          <w:p w14:paraId="2209FB62" w14:textId="79B49C06" w:rsidR="00477BB8" w:rsidRPr="00477BB8" w:rsidRDefault="00477BB8" w:rsidP="00F2642F">
            <w:pPr>
              <w:pStyle w:val="Heading1"/>
              <w:keepNext/>
              <w:numPr>
                <w:ilvl w:val="0"/>
                <w:numId w:val="0"/>
              </w:numPr>
              <w:spacing w:after="0"/>
              <w:jc w:val="left"/>
              <w:rPr>
                <w:sz w:val="20"/>
                <w:szCs w:val="20"/>
                <w:lang w:val="fr-FR"/>
              </w:rPr>
            </w:pPr>
            <w:r>
              <w:rPr>
                <w:sz w:val="20"/>
                <w:szCs w:val="20"/>
                <w:lang w:val="fr"/>
              </w:rPr>
              <w:t xml:space="preserve">Mise à niveau </w:t>
            </w:r>
            <w:r w:rsidR="00EC2B3B">
              <w:rPr>
                <w:sz w:val="20"/>
                <w:szCs w:val="20"/>
                <w:lang w:val="fr"/>
              </w:rPr>
              <w:t>des chambres de tests</w:t>
            </w:r>
            <w:r>
              <w:rPr>
                <w:sz w:val="20"/>
                <w:szCs w:val="20"/>
                <w:lang w:val="fr"/>
              </w:rPr>
              <w:t xml:space="preserve"> pour traiter des équipements plus grands (&gt;300 litres) </w:t>
            </w:r>
          </w:p>
        </w:tc>
        <w:tc>
          <w:tcPr>
            <w:tcW w:w="1276" w:type="dxa"/>
          </w:tcPr>
          <w:p w14:paraId="73FDAA34" w14:textId="77777777" w:rsidR="00477BB8" w:rsidRPr="0087058A" w:rsidRDefault="00477BB8" w:rsidP="00F2642F">
            <w:pPr>
              <w:pStyle w:val="Heading1"/>
              <w:keepNext/>
              <w:numPr>
                <w:ilvl w:val="0"/>
                <w:numId w:val="0"/>
              </w:numPr>
              <w:spacing w:after="0"/>
              <w:ind w:right="64"/>
              <w:jc w:val="right"/>
              <w:rPr>
                <w:sz w:val="20"/>
                <w:szCs w:val="20"/>
              </w:rPr>
            </w:pPr>
            <w:r>
              <w:rPr>
                <w:sz w:val="20"/>
                <w:szCs w:val="20"/>
                <w:lang w:val="fr"/>
              </w:rPr>
              <w:t>2</w:t>
            </w:r>
          </w:p>
        </w:tc>
        <w:tc>
          <w:tcPr>
            <w:tcW w:w="1276" w:type="dxa"/>
          </w:tcPr>
          <w:p w14:paraId="6577714B" w14:textId="77777777" w:rsidR="00477BB8" w:rsidRPr="0087058A" w:rsidRDefault="00477BB8" w:rsidP="00F2642F">
            <w:pPr>
              <w:pStyle w:val="Heading1"/>
              <w:keepNext/>
              <w:numPr>
                <w:ilvl w:val="0"/>
                <w:numId w:val="0"/>
              </w:numPr>
              <w:spacing w:after="0"/>
              <w:jc w:val="right"/>
              <w:rPr>
                <w:sz w:val="20"/>
                <w:szCs w:val="20"/>
              </w:rPr>
            </w:pPr>
            <w:r>
              <w:rPr>
                <w:sz w:val="20"/>
                <w:szCs w:val="20"/>
                <w:lang w:val="fr"/>
              </w:rPr>
              <w:t>36 000</w:t>
            </w:r>
          </w:p>
        </w:tc>
      </w:tr>
      <w:tr w:rsidR="00477BB8" w:rsidRPr="005A124F" w14:paraId="2AC43DEF" w14:textId="77777777" w:rsidTr="00F2642F">
        <w:tc>
          <w:tcPr>
            <w:tcW w:w="6799" w:type="dxa"/>
          </w:tcPr>
          <w:p w14:paraId="30B99748" w14:textId="77777777" w:rsidR="00477BB8" w:rsidRPr="00477BB8" w:rsidRDefault="00477BB8" w:rsidP="00F2642F">
            <w:pPr>
              <w:pStyle w:val="Heading1"/>
              <w:numPr>
                <w:ilvl w:val="0"/>
                <w:numId w:val="0"/>
              </w:numPr>
              <w:spacing w:after="0"/>
              <w:jc w:val="left"/>
              <w:rPr>
                <w:sz w:val="20"/>
                <w:szCs w:val="20"/>
                <w:lang w:val="fr-FR"/>
              </w:rPr>
            </w:pPr>
            <w:r>
              <w:rPr>
                <w:rStyle w:val="normaltextrun"/>
                <w:color w:val="000000"/>
                <w:sz w:val="20"/>
                <w:szCs w:val="20"/>
                <w:shd w:val="clear" w:color="auto" w:fill="FFFFFF"/>
                <w:lang w:val="fr"/>
              </w:rPr>
              <w:t>Développement de prototypes pour chaque modèle d’équipement autonome produit par les entreprises pour tests et certification</w:t>
            </w:r>
          </w:p>
        </w:tc>
        <w:tc>
          <w:tcPr>
            <w:tcW w:w="1276" w:type="dxa"/>
          </w:tcPr>
          <w:p w14:paraId="5AED81D7" w14:textId="77777777" w:rsidR="00477BB8" w:rsidRPr="00807214" w:rsidRDefault="00477BB8" w:rsidP="00F2642F">
            <w:pPr>
              <w:pStyle w:val="Heading1"/>
              <w:numPr>
                <w:ilvl w:val="0"/>
                <w:numId w:val="0"/>
              </w:numPr>
              <w:spacing w:after="0"/>
              <w:jc w:val="right"/>
              <w:rPr>
                <w:sz w:val="20"/>
                <w:szCs w:val="20"/>
              </w:rPr>
            </w:pPr>
            <w:r>
              <w:rPr>
                <w:sz w:val="20"/>
                <w:szCs w:val="20"/>
                <w:lang w:val="fr"/>
              </w:rPr>
              <w:t>47</w:t>
            </w:r>
            <w:r>
              <w:rPr>
                <w:sz w:val="20"/>
                <w:szCs w:val="20"/>
                <w:vertAlign w:val="superscript"/>
                <w:lang w:val="fr"/>
              </w:rPr>
              <w:t>*</w:t>
            </w:r>
          </w:p>
        </w:tc>
        <w:tc>
          <w:tcPr>
            <w:tcW w:w="1276" w:type="dxa"/>
          </w:tcPr>
          <w:p w14:paraId="649B0964" w14:textId="77777777" w:rsidR="00477BB8" w:rsidRPr="00807214" w:rsidRDefault="00477BB8" w:rsidP="00F2642F">
            <w:pPr>
              <w:pStyle w:val="Heading1"/>
              <w:numPr>
                <w:ilvl w:val="0"/>
                <w:numId w:val="0"/>
              </w:numPr>
              <w:spacing w:after="0"/>
              <w:jc w:val="right"/>
              <w:rPr>
                <w:sz w:val="20"/>
                <w:szCs w:val="20"/>
              </w:rPr>
            </w:pPr>
            <w:r>
              <w:rPr>
                <w:sz w:val="20"/>
                <w:szCs w:val="20"/>
                <w:lang w:val="fr"/>
              </w:rPr>
              <w:t>103 004</w:t>
            </w:r>
          </w:p>
        </w:tc>
      </w:tr>
      <w:tr w:rsidR="00477BB8" w14:paraId="77C32504" w14:textId="77777777" w:rsidTr="00F2642F">
        <w:tc>
          <w:tcPr>
            <w:tcW w:w="6799" w:type="dxa"/>
          </w:tcPr>
          <w:p w14:paraId="4588D649" w14:textId="77777777" w:rsidR="00477BB8" w:rsidRPr="00477BB8" w:rsidRDefault="00477BB8" w:rsidP="00F2642F">
            <w:pPr>
              <w:pStyle w:val="Heading1"/>
              <w:numPr>
                <w:ilvl w:val="0"/>
                <w:numId w:val="0"/>
              </w:numPr>
              <w:spacing w:after="0"/>
              <w:jc w:val="left"/>
              <w:rPr>
                <w:sz w:val="20"/>
                <w:szCs w:val="20"/>
                <w:lang w:val="fr-FR"/>
              </w:rPr>
            </w:pPr>
            <w:r>
              <w:rPr>
                <w:sz w:val="20"/>
                <w:szCs w:val="20"/>
                <w:lang w:val="fr"/>
              </w:rPr>
              <w:t>Certification d’efficacité énergétique par un laboratoire tiers</w:t>
            </w:r>
          </w:p>
        </w:tc>
        <w:tc>
          <w:tcPr>
            <w:tcW w:w="1276" w:type="dxa"/>
          </w:tcPr>
          <w:p w14:paraId="2D918DE8" w14:textId="77777777" w:rsidR="00477BB8" w:rsidRPr="0087058A" w:rsidRDefault="00477BB8" w:rsidP="00F2642F">
            <w:pPr>
              <w:pStyle w:val="Heading1"/>
              <w:numPr>
                <w:ilvl w:val="0"/>
                <w:numId w:val="0"/>
              </w:numPr>
              <w:spacing w:after="0"/>
              <w:jc w:val="right"/>
              <w:rPr>
                <w:sz w:val="20"/>
                <w:szCs w:val="20"/>
              </w:rPr>
            </w:pPr>
            <w:r>
              <w:rPr>
                <w:sz w:val="20"/>
                <w:szCs w:val="20"/>
                <w:lang w:val="fr"/>
              </w:rPr>
              <w:t>47</w:t>
            </w:r>
            <w:r>
              <w:rPr>
                <w:sz w:val="20"/>
                <w:szCs w:val="20"/>
                <w:vertAlign w:val="superscript"/>
                <w:lang w:val="fr"/>
              </w:rPr>
              <w:t>*</w:t>
            </w:r>
          </w:p>
        </w:tc>
        <w:tc>
          <w:tcPr>
            <w:tcW w:w="1276" w:type="dxa"/>
          </w:tcPr>
          <w:p w14:paraId="43FDB986" w14:textId="77777777" w:rsidR="00477BB8" w:rsidRPr="0087058A" w:rsidRDefault="00477BB8" w:rsidP="00F2642F">
            <w:pPr>
              <w:pStyle w:val="Heading1"/>
              <w:numPr>
                <w:ilvl w:val="0"/>
                <w:numId w:val="0"/>
              </w:numPr>
              <w:spacing w:after="0"/>
              <w:jc w:val="right"/>
              <w:rPr>
                <w:sz w:val="20"/>
                <w:szCs w:val="20"/>
              </w:rPr>
            </w:pPr>
            <w:r>
              <w:rPr>
                <w:sz w:val="20"/>
                <w:szCs w:val="20"/>
                <w:lang w:val="fr"/>
              </w:rPr>
              <w:t>94 000</w:t>
            </w:r>
          </w:p>
        </w:tc>
      </w:tr>
      <w:tr w:rsidR="00477BB8" w14:paraId="762C7870" w14:textId="77777777" w:rsidTr="00F2642F">
        <w:tc>
          <w:tcPr>
            <w:tcW w:w="6799" w:type="dxa"/>
          </w:tcPr>
          <w:p w14:paraId="146FF468" w14:textId="77777777" w:rsidR="00477BB8" w:rsidRPr="00477BB8" w:rsidRDefault="00477BB8" w:rsidP="00F2642F">
            <w:pPr>
              <w:pStyle w:val="Heading1"/>
              <w:numPr>
                <w:ilvl w:val="0"/>
                <w:numId w:val="0"/>
              </w:numPr>
              <w:spacing w:after="0"/>
              <w:jc w:val="left"/>
              <w:rPr>
                <w:sz w:val="20"/>
                <w:szCs w:val="20"/>
                <w:lang w:val="fr-FR"/>
              </w:rPr>
            </w:pPr>
            <w:r>
              <w:rPr>
                <w:sz w:val="20"/>
                <w:szCs w:val="20"/>
                <w:lang w:val="fr"/>
              </w:rPr>
              <w:t>Transfert technologique pour l’adoption de mesures d’efficacité énergétique dans la conception des équipements</w:t>
            </w:r>
          </w:p>
        </w:tc>
        <w:tc>
          <w:tcPr>
            <w:tcW w:w="1276" w:type="dxa"/>
          </w:tcPr>
          <w:p w14:paraId="25FFE744" w14:textId="77777777" w:rsidR="00477BB8" w:rsidRPr="0087058A" w:rsidRDefault="00477BB8" w:rsidP="00F2642F">
            <w:pPr>
              <w:pStyle w:val="Heading1"/>
              <w:keepNext/>
              <w:numPr>
                <w:ilvl w:val="0"/>
                <w:numId w:val="0"/>
              </w:numPr>
              <w:spacing w:after="0"/>
              <w:ind w:right="64"/>
              <w:jc w:val="right"/>
              <w:rPr>
                <w:sz w:val="20"/>
                <w:szCs w:val="20"/>
              </w:rPr>
            </w:pPr>
            <w:r>
              <w:rPr>
                <w:sz w:val="20"/>
                <w:szCs w:val="20"/>
                <w:lang w:val="fr"/>
              </w:rPr>
              <w:t>2</w:t>
            </w:r>
          </w:p>
        </w:tc>
        <w:tc>
          <w:tcPr>
            <w:tcW w:w="1276" w:type="dxa"/>
          </w:tcPr>
          <w:p w14:paraId="6557D8FE" w14:textId="77777777" w:rsidR="00477BB8" w:rsidRPr="0087058A" w:rsidRDefault="00477BB8" w:rsidP="00F2642F">
            <w:pPr>
              <w:pStyle w:val="Heading1"/>
              <w:numPr>
                <w:ilvl w:val="0"/>
                <w:numId w:val="0"/>
              </w:numPr>
              <w:spacing w:after="0"/>
              <w:jc w:val="right"/>
              <w:rPr>
                <w:sz w:val="20"/>
                <w:szCs w:val="20"/>
              </w:rPr>
            </w:pPr>
            <w:r>
              <w:rPr>
                <w:sz w:val="20"/>
                <w:szCs w:val="20"/>
                <w:lang w:val="fr"/>
              </w:rPr>
              <w:t>50 000</w:t>
            </w:r>
          </w:p>
        </w:tc>
      </w:tr>
      <w:tr w:rsidR="00477BB8" w14:paraId="3764C756" w14:textId="77777777" w:rsidTr="00F2642F">
        <w:tc>
          <w:tcPr>
            <w:tcW w:w="6799" w:type="dxa"/>
          </w:tcPr>
          <w:p w14:paraId="23155DAC" w14:textId="77777777" w:rsidR="00477BB8" w:rsidRPr="0087058A" w:rsidRDefault="00477BB8" w:rsidP="00F2642F">
            <w:pPr>
              <w:pStyle w:val="Heading1"/>
              <w:numPr>
                <w:ilvl w:val="0"/>
                <w:numId w:val="0"/>
              </w:numPr>
              <w:spacing w:after="0"/>
              <w:jc w:val="left"/>
              <w:rPr>
                <w:sz w:val="20"/>
                <w:szCs w:val="20"/>
              </w:rPr>
            </w:pPr>
            <w:r>
              <w:rPr>
                <w:sz w:val="20"/>
                <w:szCs w:val="20"/>
                <w:lang w:val="fr"/>
              </w:rPr>
              <w:t>Imprévus</w:t>
            </w:r>
          </w:p>
        </w:tc>
        <w:tc>
          <w:tcPr>
            <w:tcW w:w="1276" w:type="dxa"/>
          </w:tcPr>
          <w:p w14:paraId="05B74211" w14:textId="77777777" w:rsidR="00477BB8" w:rsidRPr="0087058A" w:rsidRDefault="00477BB8" w:rsidP="00F2642F">
            <w:pPr>
              <w:pStyle w:val="Heading1"/>
              <w:numPr>
                <w:ilvl w:val="0"/>
                <w:numId w:val="0"/>
              </w:numPr>
              <w:spacing w:after="0"/>
              <w:jc w:val="right"/>
              <w:rPr>
                <w:sz w:val="20"/>
                <w:szCs w:val="20"/>
              </w:rPr>
            </w:pPr>
          </w:p>
        </w:tc>
        <w:tc>
          <w:tcPr>
            <w:tcW w:w="1276" w:type="dxa"/>
          </w:tcPr>
          <w:p w14:paraId="626E2A97" w14:textId="77777777" w:rsidR="00477BB8" w:rsidRPr="0087058A" w:rsidRDefault="00477BB8" w:rsidP="00F2642F">
            <w:pPr>
              <w:pStyle w:val="Heading1"/>
              <w:numPr>
                <w:ilvl w:val="0"/>
                <w:numId w:val="0"/>
              </w:numPr>
              <w:spacing w:after="0"/>
              <w:jc w:val="right"/>
              <w:rPr>
                <w:sz w:val="20"/>
                <w:szCs w:val="20"/>
              </w:rPr>
            </w:pPr>
            <w:r>
              <w:rPr>
                <w:sz w:val="20"/>
                <w:szCs w:val="20"/>
                <w:lang w:val="fr"/>
              </w:rPr>
              <w:t>28 300</w:t>
            </w:r>
          </w:p>
        </w:tc>
      </w:tr>
      <w:tr w:rsidR="00477BB8" w:rsidRPr="005C20EB" w14:paraId="2118DB1C" w14:textId="77777777" w:rsidTr="00F2642F">
        <w:tc>
          <w:tcPr>
            <w:tcW w:w="9351" w:type="dxa"/>
            <w:gridSpan w:val="3"/>
          </w:tcPr>
          <w:p w14:paraId="303FF7F9" w14:textId="77777777" w:rsidR="00477BB8" w:rsidRPr="006D3BC9" w:rsidRDefault="00477BB8" w:rsidP="00F2642F">
            <w:pPr>
              <w:pStyle w:val="Heading1"/>
              <w:numPr>
                <w:ilvl w:val="0"/>
                <w:numId w:val="0"/>
              </w:numPr>
              <w:spacing w:after="0"/>
              <w:jc w:val="center"/>
              <w:rPr>
                <w:i/>
                <w:iCs/>
                <w:sz w:val="20"/>
                <w:szCs w:val="20"/>
              </w:rPr>
            </w:pPr>
            <w:r>
              <w:rPr>
                <w:i/>
                <w:iCs/>
                <w:sz w:val="20"/>
                <w:szCs w:val="20"/>
                <w:lang w:val="fr"/>
              </w:rPr>
              <w:t>Surcoûts d’exploitation (326 911 $ US)</w:t>
            </w:r>
          </w:p>
        </w:tc>
      </w:tr>
      <w:tr w:rsidR="00477BB8" w14:paraId="13F6AB90" w14:textId="77777777" w:rsidTr="00F2642F">
        <w:tc>
          <w:tcPr>
            <w:tcW w:w="6799" w:type="dxa"/>
          </w:tcPr>
          <w:p w14:paraId="519A77DE" w14:textId="77777777" w:rsidR="00477BB8" w:rsidRPr="0087058A" w:rsidRDefault="00477BB8" w:rsidP="00F2642F">
            <w:pPr>
              <w:pStyle w:val="Heading1"/>
              <w:numPr>
                <w:ilvl w:val="0"/>
                <w:numId w:val="0"/>
              </w:numPr>
              <w:spacing w:after="0"/>
              <w:rPr>
                <w:sz w:val="20"/>
                <w:szCs w:val="20"/>
              </w:rPr>
            </w:pPr>
            <w:proofErr w:type="spellStart"/>
            <w:r>
              <w:rPr>
                <w:sz w:val="20"/>
                <w:szCs w:val="20"/>
                <w:lang w:val="fr"/>
              </w:rPr>
              <w:t>Berjaya</w:t>
            </w:r>
            <w:proofErr w:type="spellEnd"/>
            <w:r>
              <w:rPr>
                <w:sz w:val="20"/>
                <w:szCs w:val="20"/>
                <w:lang w:val="fr"/>
              </w:rPr>
              <w:t xml:space="preserve"> Steel</w:t>
            </w:r>
          </w:p>
        </w:tc>
        <w:tc>
          <w:tcPr>
            <w:tcW w:w="1276" w:type="dxa"/>
          </w:tcPr>
          <w:p w14:paraId="2DF5706B" w14:textId="77777777" w:rsidR="00477BB8" w:rsidRPr="006D3BC9" w:rsidRDefault="00477BB8" w:rsidP="00F2642F">
            <w:pPr>
              <w:pStyle w:val="Heading1"/>
              <w:numPr>
                <w:ilvl w:val="0"/>
                <w:numId w:val="0"/>
              </w:numPr>
              <w:spacing w:after="0"/>
              <w:jc w:val="right"/>
              <w:rPr>
                <w:sz w:val="20"/>
                <w:szCs w:val="20"/>
              </w:rPr>
            </w:pPr>
          </w:p>
        </w:tc>
        <w:tc>
          <w:tcPr>
            <w:tcW w:w="1276" w:type="dxa"/>
          </w:tcPr>
          <w:p w14:paraId="3BE67A82" w14:textId="77777777" w:rsidR="00477BB8" w:rsidRPr="006D3BC9" w:rsidRDefault="00477BB8" w:rsidP="00F2642F">
            <w:pPr>
              <w:pStyle w:val="Heading1"/>
              <w:numPr>
                <w:ilvl w:val="0"/>
                <w:numId w:val="0"/>
              </w:numPr>
              <w:spacing w:after="0"/>
              <w:jc w:val="right"/>
              <w:rPr>
                <w:sz w:val="20"/>
                <w:szCs w:val="20"/>
              </w:rPr>
            </w:pPr>
            <w:r>
              <w:rPr>
                <w:sz w:val="20"/>
                <w:szCs w:val="20"/>
                <w:lang w:val="fr"/>
              </w:rPr>
              <w:t>166 056</w:t>
            </w:r>
          </w:p>
        </w:tc>
      </w:tr>
      <w:tr w:rsidR="00477BB8" w14:paraId="3A3FE4AA" w14:textId="77777777" w:rsidTr="00F2642F">
        <w:tc>
          <w:tcPr>
            <w:tcW w:w="6799" w:type="dxa"/>
          </w:tcPr>
          <w:p w14:paraId="79208116" w14:textId="77777777" w:rsidR="00477BB8" w:rsidRPr="0087058A" w:rsidRDefault="00477BB8" w:rsidP="00F2642F">
            <w:pPr>
              <w:pStyle w:val="Heading1"/>
              <w:numPr>
                <w:ilvl w:val="0"/>
                <w:numId w:val="0"/>
              </w:numPr>
              <w:spacing w:after="0"/>
              <w:rPr>
                <w:sz w:val="20"/>
                <w:szCs w:val="20"/>
              </w:rPr>
            </w:pPr>
            <w:proofErr w:type="spellStart"/>
            <w:r>
              <w:rPr>
                <w:sz w:val="20"/>
                <w:szCs w:val="20"/>
                <w:lang w:val="fr"/>
              </w:rPr>
              <w:t>Zun</w:t>
            </w:r>
            <w:proofErr w:type="spellEnd"/>
            <w:r>
              <w:rPr>
                <w:sz w:val="20"/>
                <w:szCs w:val="20"/>
                <w:lang w:val="fr"/>
              </w:rPr>
              <w:t xml:space="preserve"> </w:t>
            </w:r>
            <w:proofErr w:type="spellStart"/>
            <w:r>
              <w:rPr>
                <w:sz w:val="20"/>
                <w:szCs w:val="20"/>
                <w:lang w:val="fr"/>
              </w:rPr>
              <w:t>Utara</w:t>
            </w:r>
            <w:proofErr w:type="spellEnd"/>
          </w:p>
        </w:tc>
        <w:tc>
          <w:tcPr>
            <w:tcW w:w="1276" w:type="dxa"/>
          </w:tcPr>
          <w:p w14:paraId="6F0517A9" w14:textId="77777777" w:rsidR="00477BB8" w:rsidRPr="006D3BC9" w:rsidRDefault="00477BB8" w:rsidP="00F2642F">
            <w:pPr>
              <w:pStyle w:val="Heading1"/>
              <w:numPr>
                <w:ilvl w:val="0"/>
                <w:numId w:val="0"/>
              </w:numPr>
              <w:spacing w:after="0"/>
              <w:jc w:val="right"/>
              <w:rPr>
                <w:sz w:val="20"/>
                <w:szCs w:val="20"/>
              </w:rPr>
            </w:pPr>
          </w:p>
        </w:tc>
        <w:tc>
          <w:tcPr>
            <w:tcW w:w="1276" w:type="dxa"/>
          </w:tcPr>
          <w:p w14:paraId="3169932D" w14:textId="77777777" w:rsidR="00477BB8" w:rsidRPr="006D3BC9" w:rsidRDefault="00477BB8" w:rsidP="00F2642F">
            <w:pPr>
              <w:pStyle w:val="Heading1"/>
              <w:numPr>
                <w:ilvl w:val="0"/>
                <w:numId w:val="0"/>
              </w:numPr>
              <w:spacing w:after="0"/>
              <w:jc w:val="right"/>
              <w:rPr>
                <w:sz w:val="20"/>
                <w:szCs w:val="20"/>
              </w:rPr>
            </w:pPr>
            <w:r>
              <w:rPr>
                <w:sz w:val="20"/>
                <w:szCs w:val="20"/>
                <w:lang w:val="fr"/>
              </w:rPr>
              <w:t>160 855</w:t>
            </w:r>
          </w:p>
        </w:tc>
      </w:tr>
      <w:tr w:rsidR="00477BB8" w:rsidRPr="001C0708" w14:paraId="28EBEC45" w14:textId="77777777" w:rsidTr="00F2642F">
        <w:tc>
          <w:tcPr>
            <w:tcW w:w="9351" w:type="dxa"/>
            <w:gridSpan w:val="3"/>
          </w:tcPr>
          <w:p w14:paraId="403413E4" w14:textId="77777777" w:rsidR="00477BB8" w:rsidRPr="00477BB8" w:rsidRDefault="00477BB8" w:rsidP="00F2642F">
            <w:pPr>
              <w:pStyle w:val="Heading1"/>
              <w:numPr>
                <w:ilvl w:val="0"/>
                <w:numId w:val="0"/>
              </w:numPr>
              <w:spacing w:after="0"/>
              <w:jc w:val="center"/>
              <w:rPr>
                <w:i/>
                <w:iCs/>
                <w:sz w:val="20"/>
                <w:szCs w:val="20"/>
                <w:lang w:val="fr-FR"/>
              </w:rPr>
            </w:pPr>
            <w:r>
              <w:rPr>
                <w:i/>
                <w:iCs/>
                <w:sz w:val="20"/>
                <w:szCs w:val="20"/>
                <w:lang w:val="fr"/>
              </w:rPr>
              <w:t>Assistance technique et développement politique (480 000 $ US)</w:t>
            </w:r>
          </w:p>
        </w:tc>
      </w:tr>
      <w:tr w:rsidR="00477BB8" w14:paraId="7CAB1D1F" w14:textId="77777777" w:rsidTr="00F2642F">
        <w:tc>
          <w:tcPr>
            <w:tcW w:w="6799" w:type="dxa"/>
          </w:tcPr>
          <w:p w14:paraId="7DD3CFC1" w14:textId="77777777" w:rsidR="00477BB8" w:rsidRPr="00477BB8" w:rsidRDefault="00477BB8" w:rsidP="00F2642F">
            <w:pPr>
              <w:pStyle w:val="Heading1"/>
              <w:numPr>
                <w:ilvl w:val="0"/>
                <w:numId w:val="0"/>
              </w:numPr>
              <w:spacing w:after="0"/>
              <w:rPr>
                <w:sz w:val="20"/>
                <w:szCs w:val="20"/>
                <w:lang w:val="fr-FR"/>
              </w:rPr>
            </w:pPr>
            <w:r>
              <w:rPr>
                <w:sz w:val="20"/>
                <w:szCs w:val="20"/>
                <w:lang w:val="fr"/>
              </w:rPr>
              <w:t>Mise à niveau de l’enceinte climatique (installation de tests)</w:t>
            </w:r>
          </w:p>
        </w:tc>
        <w:tc>
          <w:tcPr>
            <w:tcW w:w="1276" w:type="dxa"/>
          </w:tcPr>
          <w:p w14:paraId="41D62443" w14:textId="77777777" w:rsidR="00477BB8" w:rsidRPr="0087058A" w:rsidRDefault="00477BB8" w:rsidP="00F2642F">
            <w:pPr>
              <w:pStyle w:val="Heading1"/>
              <w:keepNext/>
              <w:numPr>
                <w:ilvl w:val="0"/>
                <w:numId w:val="0"/>
              </w:numPr>
              <w:spacing w:after="0"/>
              <w:ind w:right="64"/>
              <w:jc w:val="right"/>
              <w:rPr>
                <w:sz w:val="20"/>
                <w:szCs w:val="20"/>
              </w:rPr>
            </w:pPr>
            <w:r>
              <w:rPr>
                <w:sz w:val="20"/>
                <w:szCs w:val="20"/>
                <w:lang w:val="fr"/>
              </w:rPr>
              <w:t>1</w:t>
            </w:r>
          </w:p>
        </w:tc>
        <w:tc>
          <w:tcPr>
            <w:tcW w:w="1276" w:type="dxa"/>
          </w:tcPr>
          <w:p w14:paraId="4F39EFA3" w14:textId="77777777" w:rsidR="00477BB8" w:rsidRPr="0087058A" w:rsidRDefault="00477BB8" w:rsidP="00F2642F">
            <w:pPr>
              <w:pStyle w:val="Heading1"/>
              <w:numPr>
                <w:ilvl w:val="0"/>
                <w:numId w:val="0"/>
              </w:numPr>
              <w:spacing w:after="0"/>
              <w:jc w:val="right"/>
              <w:rPr>
                <w:sz w:val="20"/>
                <w:szCs w:val="20"/>
              </w:rPr>
            </w:pPr>
            <w:r>
              <w:rPr>
                <w:sz w:val="20"/>
                <w:szCs w:val="20"/>
                <w:lang w:val="fr"/>
              </w:rPr>
              <w:t>300 000</w:t>
            </w:r>
          </w:p>
        </w:tc>
      </w:tr>
      <w:tr w:rsidR="00477BB8" w14:paraId="56491E25" w14:textId="77777777" w:rsidTr="00F2642F">
        <w:tc>
          <w:tcPr>
            <w:tcW w:w="6799" w:type="dxa"/>
          </w:tcPr>
          <w:p w14:paraId="4B893774" w14:textId="76359FE5" w:rsidR="00477BB8" w:rsidRPr="00477BB8" w:rsidRDefault="00477BB8" w:rsidP="00F2642F">
            <w:pPr>
              <w:pStyle w:val="Heading1"/>
              <w:numPr>
                <w:ilvl w:val="0"/>
                <w:numId w:val="0"/>
              </w:numPr>
              <w:spacing w:after="0"/>
              <w:rPr>
                <w:sz w:val="20"/>
                <w:szCs w:val="20"/>
                <w:lang w:val="fr-FR"/>
              </w:rPr>
            </w:pPr>
            <w:r>
              <w:rPr>
                <w:sz w:val="20"/>
                <w:szCs w:val="20"/>
                <w:lang w:val="fr"/>
              </w:rPr>
              <w:t xml:space="preserve">Étude </w:t>
            </w:r>
            <w:r w:rsidR="00EB4837">
              <w:rPr>
                <w:sz w:val="20"/>
                <w:szCs w:val="20"/>
                <w:lang w:val="fr"/>
              </w:rPr>
              <w:t xml:space="preserve">et analyse </w:t>
            </w:r>
            <w:r>
              <w:rPr>
                <w:sz w:val="20"/>
                <w:szCs w:val="20"/>
                <w:lang w:val="fr"/>
              </w:rPr>
              <w:t>de marché pour le développement de normes de performance énergétique minimale (</w:t>
            </w:r>
            <w:r w:rsidR="006B1A2D">
              <w:rPr>
                <w:sz w:val="20"/>
                <w:szCs w:val="20"/>
                <w:lang w:val="fr"/>
              </w:rPr>
              <w:t xml:space="preserve">service de </w:t>
            </w:r>
            <w:r>
              <w:rPr>
                <w:sz w:val="20"/>
                <w:szCs w:val="20"/>
                <w:lang w:val="fr"/>
              </w:rPr>
              <w:t>consultan</w:t>
            </w:r>
            <w:r w:rsidR="006B1A2D">
              <w:rPr>
                <w:sz w:val="20"/>
                <w:szCs w:val="20"/>
                <w:lang w:val="fr"/>
              </w:rPr>
              <w:t>ce</w:t>
            </w:r>
            <w:r>
              <w:rPr>
                <w:sz w:val="20"/>
                <w:szCs w:val="20"/>
                <w:lang w:val="fr"/>
              </w:rPr>
              <w:t>)</w:t>
            </w:r>
          </w:p>
        </w:tc>
        <w:tc>
          <w:tcPr>
            <w:tcW w:w="1276" w:type="dxa"/>
          </w:tcPr>
          <w:p w14:paraId="6A214D75" w14:textId="77777777" w:rsidR="00477BB8" w:rsidRPr="0087058A" w:rsidRDefault="00477BB8" w:rsidP="00F2642F">
            <w:pPr>
              <w:pStyle w:val="Heading1"/>
              <w:keepNext/>
              <w:numPr>
                <w:ilvl w:val="0"/>
                <w:numId w:val="0"/>
              </w:numPr>
              <w:spacing w:after="0"/>
              <w:ind w:right="64"/>
              <w:jc w:val="right"/>
              <w:rPr>
                <w:sz w:val="20"/>
                <w:szCs w:val="20"/>
              </w:rPr>
            </w:pPr>
            <w:r>
              <w:rPr>
                <w:sz w:val="20"/>
                <w:szCs w:val="20"/>
                <w:lang w:val="fr"/>
              </w:rPr>
              <w:t>1</w:t>
            </w:r>
          </w:p>
        </w:tc>
        <w:tc>
          <w:tcPr>
            <w:tcW w:w="1276" w:type="dxa"/>
          </w:tcPr>
          <w:p w14:paraId="1AA5660F" w14:textId="77777777" w:rsidR="00477BB8" w:rsidRPr="0087058A" w:rsidRDefault="00477BB8" w:rsidP="00F2642F">
            <w:pPr>
              <w:pStyle w:val="Heading1"/>
              <w:numPr>
                <w:ilvl w:val="0"/>
                <w:numId w:val="0"/>
              </w:numPr>
              <w:spacing w:after="0"/>
              <w:jc w:val="right"/>
              <w:rPr>
                <w:sz w:val="20"/>
                <w:szCs w:val="20"/>
              </w:rPr>
            </w:pPr>
            <w:r>
              <w:rPr>
                <w:sz w:val="20"/>
                <w:szCs w:val="20"/>
                <w:lang w:val="fr"/>
              </w:rPr>
              <w:t>50 000</w:t>
            </w:r>
          </w:p>
        </w:tc>
      </w:tr>
      <w:tr w:rsidR="00477BB8" w14:paraId="56758518" w14:textId="77777777" w:rsidTr="00F2642F">
        <w:tc>
          <w:tcPr>
            <w:tcW w:w="6799" w:type="dxa"/>
          </w:tcPr>
          <w:p w14:paraId="4E166355" w14:textId="77777777" w:rsidR="00477BB8" w:rsidRPr="00477BB8" w:rsidRDefault="00477BB8" w:rsidP="00F2642F">
            <w:pPr>
              <w:pStyle w:val="Heading1"/>
              <w:numPr>
                <w:ilvl w:val="0"/>
                <w:numId w:val="0"/>
              </w:numPr>
              <w:spacing w:after="0"/>
              <w:rPr>
                <w:sz w:val="20"/>
                <w:szCs w:val="20"/>
                <w:lang w:val="fr-FR"/>
              </w:rPr>
            </w:pPr>
            <w:r>
              <w:rPr>
                <w:sz w:val="20"/>
                <w:szCs w:val="20"/>
                <w:lang w:val="fr"/>
              </w:rPr>
              <w:t>Développement de directives pour les normes de performance énergétique minimale et de protocoles de tests, programme obligatoire pour des réfrigérateurs et des congélateurs commerciaux spécifiques</w:t>
            </w:r>
          </w:p>
        </w:tc>
        <w:tc>
          <w:tcPr>
            <w:tcW w:w="1276" w:type="dxa"/>
          </w:tcPr>
          <w:p w14:paraId="4BED9150" w14:textId="77777777" w:rsidR="00477BB8" w:rsidRPr="0087058A" w:rsidRDefault="00477BB8" w:rsidP="00F2642F">
            <w:pPr>
              <w:pStyle w:val="Heading1"/>
              <w:keepNext/>
              <w:numPr>
                <w:ilvl w:val="0"/>
                <w:numId w:val="0"/>
              </w:numPr>
              <w:spacing w:after="0"/>
              <w:ind w:right="64"/>
              <w:jc w:val="right"/>
              <w:rPr>
                <w:sz w:val="20"/>
                <w:szCs w:val="20"/>
              </w:rPr>
            </w:pPr>
            <w:r>
              <w:rPr>
                <w:sz w:val="20"/>
                <w:szCs w:val="20"/>
                <w:lang w:val="fr"/>
              </w:rPr>
              <w:t>1</w:t>
            </w:r>
          </w:p>
        </w:tc>
        <w:tc>
          <w:tcPr>
            <w:tcW w:w="1276" w:type="dxa"/>
          </w:tcPr>
          <w:p w14:paraId="73EC974E" w14:textId="77777777" w:rsidR="00477BB8" w:rsidRPr="0087058A" w:rsidRDefault="00477BB8" w:rsidP="00F2642F">
            <w:pPr>
              <w:pStyle w:val="Heading1"/>
              <w:numPr>
                <w:ilvl w:val="0"/>
                <w:numId w:val="0"/>
              </w:numPr>
              <w:spacing w:after="0"/>
              <w:jc w:val="right"/>
              <w:rPr>
                <w:sz w:val="20"/>
                <w:szCs w:val="20"/>
              </w:rPr>
            </w:pPr>
            <w:r>
              <w:rPr>
                <w:sz w:val="20"/>
                <w:szCs w:val="20"/>
                <w:lang w:val="fr"/>
              </w:rPr>
              <w:t>50 000</w:t>
            </w:r>
          </w:p>
        </w:tc>
      </w:tr>
      <w:tr w:rsidR="00477BB8" w14:paraId="70F3B6D4" w14:textId="77777777" w:rsidTr="00F2642F">
        <w:tc>
          <w:tcPr>
            <w:tcW w:w="6799" w:type="dxa"/>
          </w:tcPr>
          <w:p w14:paraId="757FCA00" w14:textId="06D1DEB2" w:rsidR="00477BB8" w:rsidRPr="00477BB8" w:rsidRDefault="00477BB8" w:rsidP="00F2642F">
            <w:pPr>
              <w:pStyle w:val="Heading1"/>
              <w:numPr>
                <w:ilvl w:val="0"/>
                <w:numId w:val="0"/>
              </w:numPr>
              <w:spacing w:after="0"/>
              <w:rPr>
                <w:sz w:val="20"/>
                <w:szCs w:val="20"/>
                <w:lang w:val="fr-FR"/>
              </w:rPr>
            </w:pPr>
            <w:r>
              <w:rPr>
                <w:sz w:val="20"/>
                <w:szCs w:val="20"/>
                <w:lang w:val="fr"/>
              </w:rPr>
              <w:t xml:space="preserve">Développement de directives ETV et de protocoles de tests, programme volontaire pour les modèles non rentables pour être </w:t>
            </w:r>
            <w:r w:rsidR="00EA7E7E">
              <w:rPr>
                <w:sz w:val="20"/>
                <w:szCs w:val="20"/>
                <w:lang w:val="fr"/>
              </w:rPr>
              <w:t>soumis aux</w:t>
            </w:r>
            <w:r>
              <w:rPr>
                <w:sz w:val="20"/>
                <w:szCs w:val="20"/>
                <w:lang w:val="fr"/>
              </w:rPr>
              <w:t xml:space="preserve"> normes de performance énergétique minimale</w:t>
            </w:r>
          </w:p>
        </w:tc>
        <w:tc>
          <w:tcPr>
            <w:tcW w:w="1276" w:type="dxa"/>
          </w:tcPr>
          <w:p w14:paraId="42754B80" w14:textId="77777777" w:rsidR="00477BB8" w:rsidRPr="0087058A" w:rsidRDefault="00477BB8" w:rsidP="00F2642F">
            <w:pPr>
              <w:pStyle w:val="Heading1"/>
              <w:keepNext/>
              <w:numPr>
                <w:ilvl w:val="0"/>
                <w:numId w:val="0"/>
              </w:numPr>
              <w:spacing w:after="0"/>
              <w:ind w:right="64"/>
              <w:jc w:val="right"/>
              <w:rPr>
                <w:sz w:val="20"/>
                <w:szCs w:val="20"/>
              </w:rPr>
            </w:pPr>
            <w:r>
              <w:rPr>
                <w:sz w:val="20"/>
                <w:szCs w:val="20"/>
                <w:lang w:val="fr"/>
              </w:rPr>
              <w:t>1</w:t>
            </w:r>
          </w:p>
        </w:tc>
        <w:tc>
          <w:tcPr>
            <w:tcW w:w="1276" w:type="dxa"/>
          </w:tcPr>
          <w:p w14:paraId="28DE3DC0" w14:textId="77777777" w:rsidR="00477BB8" w:rsidRPr="0087058A" w:rsidRDefault="00477BB8" w:rsidP="00F2642F">
            <w:pPr>
              <w:pStyle w:val="Heading1"/>
              <w:numPr>
                <w:ilvl w:val="0"/>
                <w:numId w:val="0"/>
              </w:numPr>
              <w:spacing w:after="0"/>
              <w:jc w:val="right"/>
              <w:rPr>
                <w:sz w:val="20"/>
                <w:szCs w:val="20"/>
              </w:rPr>
            </w:pPr>
            <w:r>
              <w:rPr>
                <w:sz w:val="20"/>
                <w:szCs w:val="20"/>
                <w:lang w:val="fr"/>
              </w:rPr>
              <w:t>20 000</w:t>
            </w:r>
          </w:p>
        </w:tc>
      </w:tr>
      <w:tr w:rsidR="00477BB8" w14:paraId="3ECEDA6A" w14:textId="77777777" w:rsidTr="00F2642F">
        <w:tc>
          <w:tcPr>
            <w:tcW w:w="6799" w:type="dxa"/>
          </w:tcPr>
          <w:p w14:paraId="50B9D92D" w14:textId="77777777" w:rsidR="00477BB8" w:rsidRPr="00477BB8" w:rsidRDefault="00477BB8" w:rsidP="00F2642F">
            <w:pPr>
              <w:pStyle w:val="Heading1"/>
              <w:numPr>
                <w:ilvl w:val="0"/>
                <w:numId w:val="0"/>
              </w:numPr>
              <w:spacing w:after="0"/>
              <w:rPr>
                <w:sz w:val="20"/>
                <w:szCs w:val="20"/>
                <w:lang w:val="fr-FR"/>
              </w:rPr>
            </w:pPr>
            <w:r>
              <w:rPr>
                <w:sz w:val="20"/>
                <w:szCs w:val="20"/>
                <w:lang w:val="fr"/>
              </w:rPr>
              <w:lastRenderedPageBreak/>
              <w:t>Tournées d’études pour étudier les normes de performance énergétique minimale et les protocoles de tests ETV déjà établis dans les pays voisins</w:t>
            </w:r>
          </w:p>
        </w:tc>
        <w:tc>
          <w:tcPr>
            <w:tcW w:w="1276" w:type="dxa"/>
          </w:tcPr>
          <w:p w14:paraId="04CD7E6D" w14:textId="77777777" w:rsidR="00477BB8" w:rsidRPr="0087058A" w:rsidRDefault="00477BB8" w:rsidP="00F2642F">
            <w:pPr>
              <w:pStyle w:val="Heading1"/>
              <w:keepNext/>
              <w:numPr>
                <w:ilvl w:val="0"/>
                <w:numId w:val="0"/>
              </w:numPr>
              <w:spacing w:after="0"/>
              <w:ind w:right="64"/>
              <w:jc w:val="right"/>
              <w:rPr>
                <w:sz w:val="20"/>
                <w:szCs w:val="20"/>
              </w:rPr>
            </w:pPr>
            <w:r>
              <w:rPr>
                <w:sz w:val="20"/>
                <w:szCs w:val="20"/>
                <w:lang w:val="fr"/>
              </w:rPr>
              <w:t>2</w:t>
            </w:r>
          </w:p>
        </w:tc>
        <w:tc>
          <w:tcPr>
            <w:tcW w:w="1276" w:type="dxa"/>
          </w:tcPr>
          <w:p w14:paraId="5A77BE5D" w14:textId="77777777" w:rsidR="00477BB8" w:rsidRPr="0087058A" w:rsidRDefault="00477BB8" w:rsidP="00F2642F">
            <w:pPr>
              <w:pStyle w:val="Heading1"/>
              <w:numPr>
                <w:ilvl w:val="0"/>
                <w:numId w:val="0"/>
              </w:numPr>
              <w:spacing w:after="0"/>
              <w:jc w:val="right"/>
              <w:rPr>
                <w:sz w:val="20"/>
                <w:szCs w:val="20"/>
              </w:rPr>
            </w:pPr>
            <w:r>
              <w:rPr>
                <w:sz w:val="20"/>
                <w:szCs w:val="20"/>
                <w:lang w:val="fr"/>
              </w:rPr>
              <w:t>60 000</w:t>
            </w:r>
          </w:p>
        </w:tc>
      </w:tr>
      <w:tr w:rsidR="00477BB8" w:rsidRPr="001C0708" w14:paraId="657A41C1" w14:textId="77777777" w:rsidTr="00F2642F">
        <w:tc>
          <w:tcPr>
            <w:tcW w:w="9351" w:type="dxa"/>
            <w:gridSpan w:val="3"/>
          </w:tcPr>
          <w:p w14:paraId="209DEC2D" w14:textId="77777777" w:rsidR="00477BB8" w:rsidRPr="00477BB8" w:rsidRDefault="00477BB8" w:rsidP="00F2642F">
            <w:pPr>
              <w:pStyle w:val="Heading1"/>
              <w:numPr>
                <w:ilvl w:val="0"/>
                <w:numId w:val="0"/>
              </w:numPr>
              <w:spacing w:after="0"/>
              <w:jc w:val="center"/>
              <w:rPr>
                <w:i/>
                <w:iCs/>
                <w:sz w:val="20"/>
                <w:szCs w:val="20"/>
                <w:lang w:val="fr-FR"/>
              </w:rPr>
            </w:pPr>
            <w:r>
              <w:rPr>
                <w:i/>
                <w:iCs/>
                <w:sz w:val="20"/>
                <w:szCs w:val="20"/>
                <w:lang w:val="fr"/>
              </w:rPr>
              <w:t>Supervision de la pénétration sur le marché et incidence sur le climat (30 000 $ US)</w:t>
            </w:r>
          </w:p>
        </w:tc>
      </w:tr>
      <w:tr w:rsidR="00477BB8" w14:paraId="7083651C" w14:textId="77777777" w:rsidTr="00F2642F">
        <w:tc>
          <w:tcPr>
            <w:tcW w:w="6799" w:type="dxa"/>
          </w:tcPr>
          <w:p w14:paraId="1E3966ED" w14:textId="77777777" w:rsidR="00477BB8" w:rsidRPr="00477BB8" w:rsidRDefault="00477BB8" w:rsidP="00F2642F">
            <w:pPr>
              <w:pStyle w:val="Heading1"/>
              <w:numPr>
                <w:ilvl w:val="0"/>
                <w:numId w:val="0"/>
              </w:numPr>
              <w:spacing w:after="0"/>
              <w:rPr>
                <w:sz w:val="20"/>
                <w:szCs w:val="20"/>
                <w:lang w:val="fr-FR"/>
              </w:rPr>
            </w:pPr>
            <w:r>
              <w:rPr>
                <w:sz w:val="20"/>
                <w:szCs w:val="20"/>
                <w:lang w:val="fr"/>
              </w:rPr>
              <w:t>Services de conseil en évaluation (embauché par l’unité de mise en œuvre et de supervision du projet)</w:t>
            </w:r>
          </w:p>
        </w:tc>
        <w:tc>
          <w:tcPr>
            <w:tcW w:w="1276" w:type="dxa"/>
          </w:tcPr>
          <w:p w14:paraId="1B2E5576" w14:textId="77777777" w:rsidR="00477BB8" w:rsidRPr="0087058A" w:rsidRDefault="00477BB8" w:rsidP="00F2642F">
            <w:pPr>
              <w:pStyle w:val="Heading1"/>
              <w:keepNext/>
              <w:numPr>
                <w:ilvl w:val="0"/>
                <w:numId w:val="0"/>
              </w:numPr>
              <w:spacing w:after="0"/>
              <w:ind w:right="64"/>
              <w:jc w:val="right"/>
              <w:rPr>
                <w:sz w:val="20"/>
                <w:szCs w:val="20"/>
              </w:rPr>
            </w:pPr>
            <w:r>
              <w:rPr>
                <w:sz w:val="20"/>
                <w:szCs w:val="20"/>
                <w:lang w:val="fr"/>
              </w:rPr>
              <w:t>3</w:t>
            </w:r>
          </w:p>
        </w:tc>
        <w:tc>
          <w:tcPr>
            <w:tcW w:w="1276" w:type="dxa"/>
          </w:tcPr>
          <w:p w14:paraId="5B914EA8" w14:textId="77777777" w:rsidR="00477BB8" w:rsidRPr="0087058A" w:rsidRDefault="00477BB8" w:rsidP="00F2642F">
            <w:pPr>
              <w:pStyle w:val="Heading1"/>
              <w:numPr>
                <w:ilvl w:val="0"/>
                <w:numId w:val="0"/>
              </w:numPr>
              <w:spacing w:after="0"/>
              <w:jc w:val="right"/>
              <w:rPr>
                <w:sz w:val="20"/>
                <w:szCs w:val="20"/>
              </w:rPr>
            </w:pPr>
            <w:r>
              <w:rPr>
                <w:sz w:val="20"/>
                <w:szCs w:val="20"/>
                <w:lang w:val="fr"/>
              </w:rPr>
              <w:t>30 000</w:t>
            </w:r>
          </w:p>
        </w:tc>
      </w:tr>
      <w:tr w:rsidR="00477BB8" w14:paraId="13E3BA56" w14:textId="77777777" w:rsidTr="00F2642F">
        <w:tc>
          <w:tcPr>
            <w:tcW w:w="8075" w:type="dxa"/>
            <w:gridSpan w:val="2"/>
          </w:tcPr>
          <w:p w14:paraId="7BCADA74" w14:textId="77777777" w:rsidR="00477BB8" w:rsidRPr="0087058A" w:rsidRDefault="00477BB8" w:rsidP="00F2642F">
            <w:pPr>
              <w:pStyle w:val="Heading1"/>
              <w:numPr>
                <w:ilvl w:val="0"/>
                <w:numId w:val="0"/>
              </w:numPr>
              <w:spacing w:after="0"/>
              <w:jc w:val="left"/>
              <w:rPr>
                <w:b/>
                <w:bCs/>
                <w:sz w:val="20"/>
                <w:szCs w:val="20"/>
              </w:rPr>
            </w:pPr>
            <w:r>
              <w:rPr>
                <w:b/>
                <w:bCs/>
                <w:sz w:val="20"/>
                <w:szCs w:val="20"/>
                <w:lang w:val="fr"/>
              </w:rPr>
              <w:t>Total</w:t>
            </w:r>
          </w:p>
        </w:tc>
        <w:tc>
          <w:tcPr>
            <w:tcW w:w="1276" w:type="dxa"/>
          </w:tcPr>
          <w:p w14:paraId="302B9AF0" w14:textId="77777777" w:rsidR="00477BB8" w:rsidRPr="0087058A" w:rsidRDefault="00477BB8" w:rsidP="00F2642F">
            <w:pPr>
              <w:pStyle w:val="Heading1"/>
              <w:numPr>
                <w:ilvl w:val="0"/>
                <w:numId w:val="0"/>
              </w:numPr>
              <w:spacing w:after="0"/>
              <w:jc w:val="right"/>
              <w:rPr>
                <w:b/>
                <w:bCs/>
                <w:sz w:val="20"/>
                <w:szCs w:val="20"/>
              </w:rPr>
            </w:pPr>
            <w:r>
              <w:rPr>
                <w:b/>
                <w:bCs/>
                <w:sz w:val="20"/>
                <w:szCs w:val="20"/>
                <w:lang w:val="fr"/>
              </w:rPr>
              <w:t>1 148 215</w:t>
            </w:r>
          </w:p>
        </w:tc>
      </w:tr>
    </w:tbl>
    <w:p w14:paraId="22704438" w14:textId="139F0C47" w:rsidR="00477BB8" w:rsidRPr="00477BB8" w:rsidRDefault="00477BB8" w:rsidP="00477BB8">
      <w:pPr>
        <w:outlineLvl w:val="0"/>
        <w:rPr>
          <w:sz w:val="16"/>
          <w:szCs w:val="16"/>
          <w:lang w:val="fr-FR"/>
        </w:rPr>
      </w:pPr>
      <w:r>
        <w:rPr>
          <w:sz w:val="16"/>
          <w:szCs w:val="16"/>
          <w:lang w:val="fr"/>
        </w:rPr>
        <w:t xml:space="preserve">* Comprenant 25 unités pour </w:t>
      </w:r>
      <w:proofErr w:type="spellStart"/>
      <w:r>
        <w:rPr>
          <w:sz w:val="16"/>
          <w:szCs w:val="16"/>
          <w:lang w:val="fr"/>
        </w:rPr>
        <w:t>Berjaya</w:t>
      </w:r>
      <w:proofErr w:type="spellEnd"/>
      <w:r>
        <w:rPr>
          <w:sz w:val="16"/>
          <w:szCs w:val="16"/>
          <w:lang w:val="fr"/>
        </w:rPr>
        <w:t xml:space="preserve"> Steel et 22 unités pour </w:t>
      </w:r>
      <w:proofErr w:type="spellStart"/>
      <w:r>
        <w:rPr>
          <w:sz w:val="16"/>
          <w:szCs w:val="16"/>
          <w:lang w:val="fr"/>
        </w:rPr>
        <w:t>Zun</w:t>
      </w:r>
      <w:proofErr w:type="spellEnd"/>
      <w:r>
        <w:rPr>
          <w:sz w:val="16"/>
          <w:szCs w:val="16"/>
          <w:lang w:val="fr"/>
        </w:rPr>
        <w:t xml:space="preserve"> </w:t>
      </w:r>
      <w:proofErr w:type="spellStart"/>
      <w:r>
        <w:rPr>
          <w:sz w:val="16"/>
          <w:szCs w:val="16"/>
          <w:lang w:val="fr"/>
        </w:rPr>
        <w:t>Utara</w:t>
      </w:r>
      <w:proofErr w:type="spellEnd"/>
      <w:r>
        <w:rPr>
          <w:sz w:val="16"/>
          <w:szCs w:val="16"/>
          <w:lang w:val="fr"/>
        </w:rPr>
        <w:t xml:space="preserve"> (une unité pour chaque modèle de réfrigérateur et de congélateur fabriqué par l’entreprise).</w:t>
      </w:r>
    </w:p>
    <w:p w14:paraId="47F5DD0E" w14:textId="77777777" w:rsidR="00477BB8" w:rsidRPr="00477BB8" w:rsidRDefault="00477BB8" w:rsidP="00477BB8">
      <w:pPr>
        <w:outlineLvl w:val="0"/>
        <w:rPr>
          <w:sz w:val="16"/>
          <w:szCs w:val="16"/>
          <w:u w:val="single"/>
          <w:lang w:val="fr-FR"/>
        </w:rPr>
      </w:pPr>
    </w:p>
    <w:p w14:paraId="3E2E2B37" w14:textId="77777777" w:rsidR="00477BB8" w:rsidRPr="00BE6C52" w:rsidRDefault="00477BB8" w:rsidP="00477BB8">
      <w:pPr>
        <w:spacing w:after="240"/>
        <w:outlineLvl w:val="0"/>
        <w:rPr>
          <w:u w:val="single"/>
        </w:rPr>
      </w:pPr>
      <w:r>
        <w:rPr>
          <w:u w:val="single"/>
          <w:lang w:val="fr"/>
        </w:rPr>
        <w:t>Coût total du projet pilote</w:t>
      </w:r>
    </w:p>
    <w:p w14:paraId="0C3CC19D" w14:textId="77777777" w:rsidR="00477BB8" w:rsidRPr="00477BB8" w:rsidRDefault="00477BB8" w:rsidP="00477BB8">
      <w:pPr>
        <w:pStyle w:val="Heading1"/>
        <w:rPr>
          <w:lang w:val="fr-FR"/>
        </w:rPr>
      </w:pPr>
      <w:r>
        <w:rPr>
          <w:lang w:val="fr"/>
        </w:rPr>
        <w:t>Le coût total de ce projet de maintien et d’amélioration de l’efficacité énergétique des technologies et équipements de remplacement dans le contexte de la réduction des HFC s’élèvent à 1 148 215 $ US, plus les coûts d’appui d’agence et sera mise en œuvre entre janvier 2025 et décembre 2027.</w:t>
      </w:r>
    </w:p>
    <w:p w14:paraId="11DC5557" w14:textId="77777777" w:rsidR="00477BB8" w:rsidRPr="00477BB8" w:rsidRDefault="00477BB8" w:rsidP="00477BB8">
      <w:pPr>
        <w:keepNext/>
        <w:spacing w:before="360"/>
        <w:jc w:val="center"/>
        <w:rPr>
          <w:b/>
          <w:lang w:val="fr-FR"/>
        </w:rPr>
      </w:pPr>
      <w:r>
        <w:rPr>
          <w:b/>
          <w:bCs/>
          <w:lang w:val="fr"/>
        </w:rPr>
        <w:t>OBSERVATIONS ET RECOMMANDATIONS DU SECRÉTARIAT</w:t>
      </w:r>
    </w:p>
    <w:p w14:paraId="4CC2B203" w14:textId="77777777" w:rsidR="00477BB8" w:rsidRPr="00477BB8" w:rsidRDefault="00477BB8" w:rsidP="00477BB8">
      <w:pPr>
        <w:keepNext/>
        <w:spacing w:before="240" w:after="240"/>
        <w:rPr>
          <w:b/>
          <w:lang w:val="fr-FR"/>
        </w:rPr>
      </w:pPr>
      <w:r>
        <w:rPr>
          <w:b/>
          <w:bCs/>
          <w:lang w:val="fr"/>
        </w:rPr>
        <w:t>OBSERVATIONS</w:t>
      </w:r>
    </w:p>
    <w:p w14:paraId="6433FAE6" w14:textId="2E2FC6F5" w:rsidR="00477BB8" w:rsidRPr="00477BB8" w:rsidRDefault="00477BB8" w:rsidP="00477BB8">
      <w:pPr>
        <w:pStyle w:val="Heading1"/>
        <w:rPr>
          <w:lang w:val="fr-FR"/>
        </w:rPr>
      </w:pPr>
      <w:r>
        <w:rPr>
          <w:rStyle w:val="normaltextrun"/>
          <w:color w:val="000000"/>
          <w:shd w:val="clear" w:color="auto" w:fill="FFFFFF"/>
          <w:lang w:val="fr"/>
        </w:rPr>
        <w:t xml:space="preserve">Le projet comprend aussi bien </w:t>
      </w:r>
      <w:r>
        <w:rPr>
          <w:lang w:val="fr"/>
        </w:rPr>
        <w:t>des activités au niveau de l’entreprise qu’au niveau politique. Les deux sont nécessaires pour une mise en œuvre réussie de ce projet. Le Secrétariat a révisé le premier type d’activités au titre de la décision 94/60 et le deuxième type au titre de la décision 91/65.</w:t>
      </w:r>
    </w:p>
    <w:p w14:paraId="392D3347" w14:textId="2311FD9F" w:rsidR="00477BB8" w:rsidRPr="00477BB8" w:rsidRDefault="00477BB8" w:rsidP="00477BB8">
      <w:pPr>
        <w:pStyle w:val="Heading1"/>
        <w:rPr>
          <w:lang w:val="fr-FR"/>
        </w:rPr>
      </w:pPr>
      <w:r>
        <w:rPr>
          <w:lang w:val="fr"/>
        </w:rPr>
        <w:t xml:space="preserve">Conformément à la décision 91/65, le gouvernement de la Malaisie a bien confirmé que l’Unité nationale d’ozone (UNO) se coordonnera avec les autorités </w:t>
      </w:r>
      <w:r w:rsidR="002B1AED">
        <w:rPr>
          <w:lang w:val="fr"/>
        </w:rPr>
        <w:t xml:space="preserve">pertinentes </w:t>
      </w:r>
      <w:r>
        <w:rPr>
          <w:lang w:val="fr"/>
        </w:rPr>
        <w:t xml:space="preserve">en charge de l’efficacité énergétique et les organes nationaux en charge des normes afin de faciliter la prise en compte de la transition des frigorigènes dans le développement des normes sur l’efficacité énergétique dans les applications/secteurs pertinents ; que, si la Malaisie a mobilisé ou décide de mobiliser du financement provenant d’autres sources que le Fonds multilatéral pour des éléments liés à l’efficacité énergétique durant sa réduction des HFC, le projet n’entraînera pas de duplication des activités financées par le Fonds multilatéral et </w:t>
      </w:r>
      <w:r w:rsidR="00FE5C0D">
        <w:rPr>
          <w:lang w:val="fr"/>
        </w:rPr>
        <w:t xml:space="preserve">celles </w:t>
      </w:r>
      <w:r>
        <w:rPr>
          <w:lang w:val="fr"/>
        </w:rPr>
        <w:t xml:space="preserve">provenant d’autres sources de financement ; que les informations sur l’avancement du projet, les résultats et les découvertes essentielles seront rendues disponibles, selon ce qu’il convient ; et que la date d’achèvement du projet ne sera pas </w:t>
      </w:r>
      <w:r w:rsidR="00C0691F">
        <w:rPr>
          <w:lang w:val="fr"/>
        </w:rPr>
        <w:t>fixée</w:t>
      </w:r>
      <w:r>
        <w:rPr>
          <w:lang w:val="fr"/>
        </w:rPr>
        <w:t xml:space="preserve"> plus de 36 mois après la date d’approbation par le Comité exécutif et qu’un rapport détaillé de projet sera soumis au Comité exécutif pas plus de six mois après la date d’achèvement du projet.</w:t>
      </w:r>
    </w:p>
    <w:p w14:paraId="16150FF3" w14:textId="77777777" w:rsidR="00477BB8" w:rsidRPr="00477BB8" w:rsidRDefault="00477BB8" w:rsidP="00477BB8">
      <w:pPr>
        <w:keepNext/>
        <w:rPr>
          <w:rFonts w:asciiTheme="majorBidi" w:hAnsiTheme="majorBidi" w:cstheme="majorBidi"/>
          <w:u w:val="single"/>
          <w:lang w:val="fr-FR"/>
        </w:rPr>
      </w:pPr>
      <w:r>
        <w:rPr>
          <w:rFonts w:asciiTheme="majorBidi" w:hAnsiTheme="majorBidi" w:cstheme="majorBidi"/>
          <w:u w:val="single"/>
          <w:lang w:val="fr"/>
        </w:rPr>
        <w:t>Cadres politique, réglementaire et institutionnel</w:t>
      </w:r>
    </w:p>
    <w:p w14:paraId="411198FF" w14:textId="77777777" w:rsidR="00477BB8" w:rsidRPr="00477BB8" w:rsidRDefault="00477BB8" w:rsidP="00477BB8">
      <w:pPr>
        <w:keepNext/>
        <w:rPr>
          <w:rFonts w:asciiTheme="majorBidi" w:hAnsiTheme="majorBidi" w:cstheme="majorBidi"/>
          <w:i/>
          <w:iCs/>
          <w:lang w:val="fr-FR"/>
        </w:rPr>
      </w:pPr>
    </w:p>
    <w:p w14:paraId="5B273F8F" w14:textId="77777777" w:rsidR="00477BB8" w:rsidRPr="00477BB8" w:rsidRDefault="00477BB8" w:rsidP="00477BB8">
      <w:pPr>
        <w:keepNext/>
        <w:rPr>
          <w:rFonts w:asciiTheme="majorBidi" w:hAnsiTheme="majorBidi" w:cstheme="majorBidi"/>
          <w:i/>
          <w:iCs/>
          <w:lang w:val="fr-FR"/>
        </w:rPr>
      </w:pPr>
      <w:r>
        <w:rPr>
          <w:rFonts w:asciiTheme="majorBidi" w:hAnsiTheme="majorBidi" w:cstheme="majorBidi"/>
          <w:i/>
          <w:iCs/>
          <w:lang w:val="fr"/>
        </w:rPr>
        <w:t>Développement et mise en œuvre de normes de performance énergétique minimale</w:t>
      </w:r>
    </w:p>
    <w:p w14:paraId="0BBE3163" w14:textId="77777777" w:rsidR="00477BB8" w:rsidRPr="00477BB8" w:rsidRDefault="00477BB8" w:rsidP="00477BB8">
      <w:pPr>
        <w:rPr>
          <w:rFonts w:asciiTheme="majorBidi" w:hAnsiTheme="majorBidi" w:cstheme="majorBidi"/>
          <w:i/>
          <w:iCs/>
          <w:lang w:val="fr-FR"/>
        </w:rPr>
      </w:pPr>
    </w:p>
    <w:p w14:paraId="1A794DAD" w14:textId="7213461A" w:rsidR="00477BB8" w:rsidRPr="00477BB8" w:rsidRDefault="00477BB8" w:rsidP="00477BB8">
      <w:pPr>
        <w:pStyle w:val="Heading1"/>
        <w:rPr>
          <w:rStyle w:val="normaltextrun"/>
          <w:color w:val="000000"/>
          <w:shd w:val="clear" w:color="auto" w:fill="FFFFFF"/>
          <w:lang w:val="fr-FR"/>
        </w:rPr>
      </w:pPr>
      <w:r>
        <w:rPr>
          <w:rStyle w:val="normaltextrun"/>
          <w:color w:val="000000"/>
          <w:shd w:val="clear" w:color="auto" w:fill="FFFFFF"/>
          <w:lang w:val="fr"/>
        </w:rPr>
        <w:t xml:space="preserve">La Banque mondiale a expliqué que le Plan d’action national sur l’efficacité énergétique </w:t>
      </w:r>
      <w:r w:rsidR="00233889" w:rsidRPr="00993219">
        <w:rPr>
          <w:rStyle w:val="normaltextrun"/>
          <w:color w:val="000000"/>
          <w:shd w:val="clear" w:color="auto" w:fill="FFFFFF"/>
          <w:lang w:val="fr-FR"/>
        </w:rPr>
        <w:t xml:space="preserve">(NEEAP) </w:t>
      </w:r>
      <w:r>
        <w:rPr>
          <w:rStyle w:val="normaltextrun"/>
          <w:color w:val="000000"/>
          <w:shd w:val="clear" w:color="auto" w:fill="FFFFFF"/>
          <w:lang w:val="fr"/>
        </w:rPr>
        <w:t xml:space="preserve">du pays 2016-2025 présente une stratégie de mise en œuvre de mesures relatives à l’efficacité énergétique dans les secteurs industriel, commercial et résidentiel, y compris la promotion des appareils électroménagers classés 5 étoiles. Malgré cette stratégie, la Malaisie n’a actuellement pas mis en place de normes de performance énergétique minimale pour les équipements de réfrigération commerciale autonomes, ni de normes volontaires ou de lignes directrices. L’UNO était en contact étroit avec la Commission de l’énergie </w:t>
      </w:r>
      <w:r>
        <w:rPr>
          <w:lang w:val="fr"/>
        </w:rPr>
        <w:t>et le SIRIM ETV</w:t>
      </w:r>
      <w:r>
        <w:rPr>
          <w:rStyle w:val="normaltextrun"/>
          <w:color w:val="000000"/>
          <w:shd w:val="clear" w:color="auto" w:fill="FFFFFF"/>
          <w:lang w:val="fr"/>
        </w:rPr>
        <w:t xml:space="preserve"> </w:t>
      </w:r>
      <w:r w:rsidR="00993219">
        <w:rPr>
          <w:rStyle w:val="normaltextrun"/>
          <w:color w:val="000000"/>
          <w:shd w:val="clear" w:color="auto" w:fill="FFFFFF"/>
          <w:lang w:val="fr"/>
        </w:rPr>
        <w:t>concernant</w:t>
      </w:r>
      <w:r>
        <w:rPr>
          <w:rStyle w:val="normaltextrun"/>
          <w:color w:val="000000"/>
          <w:shd w:val="clear" w:color="auto" w:fill="FFFFFF"/>
          <w:lang w:val="fr"/>
        </w:rPr>
        <w:t xml:space="preserve"> le développement de normes de performance énergétique minimale et l’étiquetage volontaire pour les équipements de réfrigération commerciale. Étant donné les étapes requises pour la finalisation des normes de performance énergétique minimale pour les catégories spécifiques d’équipement, notamment des consultations avec les parties prenantes, il sera difficile, voire impossible, pour le Gouvernement de mettre en œuvre des normes de performance énergétique minimale d’ici le 1</w:t>
      </w:r>
      <w:r w:rsidRPr="0058408E">
        <w:rPr>
          <w:rStyle w:val="normaltextrun"/>
          <w:color w:val="000000"/>
          <w:shd w:val="clear" w:color="auto" w:fill="FFFFFF"/>
          <w:vertAlign w:val="superscript"/>
          <w:lang w:val="fr"/>
        </w:rPr>
        <w:t>er</w:t>
      </w:r>
      <w:r>
        <w:rPr>
          <w:rStyle w:val="normaltextrun"/>
          <w:color w:val="000000"/>
          <w:shd w:val="clear" w:color="auto" w:fill="FFFFFF"/>
          <w:lang w:val="fr"/>
        </w:rPr>
        <w:t> janvier 2026 ou 2027 comme proposé initialement par le Secrétariat.</w:t>
      </w:r>
    </w:p>
    <w:p w14:paraId="3AA5ADDB" w14:textId="3540466C" w:rsidR="00477BB8" w:rsidRPr="00477BB8" w:rsidRDefault="00477BB8" w:rsidP="00477BB8">
      <w:pPr>
        <w:pStyle w:val="Heading1"/>
        <w:rPr>
          <w:rStyle w:val="normaltextrun"/>
          <w:color w:val="000000"/>
          <w:shd w:val="clear" w:color="auto" w:fill="FFFFFF"/>
          <w:lang w:val="fr-FR"/>
        </w:rPr>
      </w:pPr>
      <w:r>
        <w:rPr>
          <w:rStyle w:val="normaltextrun"/>
          <w:color w:val="000000"/>
          <w:shd w:val="clear" w:color="auto" w:fill="FFFFFF"/>
          <w:lang w:val="fr"/>
        </w:rPr>
        <w:lastRenderedPageBreak/>
        <w:t>Conformément à la décision 94/60(b)(i), et au paragraphe 34 du document UNEP/</w:t>
      </w:r>
      <w:proofErr w:type="spellStart"/>
      <w:r>
        <w:rPr>
          <w:rStyle w:val="normaltextrun"/>
          <w:color w:val="000000"/>
          <w:shd w:val="clear" w:color="auto" w:fill="FFFFFF"/>
          <w:lang w:val="fr"/>
        </w:rPr>
        <w:t>OzL.Pro</w:t>
      </w:r>
      <w:proofErr w:type="spellEnd"/>
      <w:r>
        <w:rPr>
          <w:rStyle w:val="normaltextrun"/>
          <w:color w:val="000000"/>
          <w:shd w:val="clear" w:color="auto" w:fill="FFFFFF"/>
          <w:lang w:val="fr"/>
        </w:rPr>
        <w:t>/</w:t>
      </w:r>
      <w:proofErr w:type="spellStart"/>
      <w:r>
        <w:rPr>
          <w:rStyle w:val="normaltextrun"/>
          <w:color w:val="000000"/>
          <w:shd w:val="clear" w:color="auto" w:fill="FFFFFF"/>
          <w:lang w:val="fr"/>
        </w:rPr>
        <w:t>ExCom</w:t>
      </w:r>
      <w:proofErr w:type="spellEnd"/>
      <w:r>
        <w:rPr>
          <w:rStyle w:val="normaltextrun"/>
          <w:color w:val="000000"/>
          <w:shd w:val="clear" w:color="auto" w:fill="FFFFFF"/>
          <w:lang w:val="fr"/>
        </w:rPr>
        <w:t>/94/61 tel qu’amendé dans cette décision, aucune mesure d’incitation ne sera disponible pour les équipements qui ne disposent pas de normes de performance énergétique minimale obligatoire établies dans le pays. Le raisonnement derrière la recommandation du Secrétariat au paragraphe 34 du document UNEP/</w:t>
      </w:r>
      <w:proofErr w:type="spellStart"/>
      <w:r>
        <w:rPr>
          <w:rStyle w:val="normaltextrun"/>
          <w:color w:val="000000"/>
          <w:shd w:val="clear" w:color="auto" w:fill="FFFFFF"/>
          <w:lang w:val="fr"/>
        </w:rPr>
        <w:t>OzL.Pro</w:t>
      </w:r>
      <w:proofErr w:type="spellEnd"/>
      <w:r>
        <w:rPr>
          <w:rStyle w:val="normaltextrun"/>
          <w:color w:val="000000"/>
          <w:shd w:val="clear" w:color="auto" w:fill="FFFFFF"/>
          <w:lang w:val="fr"/>
        </w:rPr>
        <w:t>/</w:t>
      </w:r>
      <w:proofErr w:type="spellStart"/>
      <w:r>
        <w:rPr>
          <w:rStyle w:val="normaltextrun"/>
          <w:color w:val="000000"/>
          <w:shd w:val="clear" w:color="auto" w:fill="FFFFFF"/>
          <w:lang w:val="fr"/>
        </w:rPr>
        <w:t>ExCom</w:t>
      </w:r>
      <w:proofErr w:type="spellEnd"/>
      <w:r>
        <w:rPr>
          <w:rStyle w:val="normaltextrun"/>
          <w:color w:val="000000"/>
          <w:shd w:val="clear" w:color="auto" w:fill="FFFFFF"/>
          <w:lang w:val="fr"/>
        </w:rPr>
        <w:t>/94/61 était de garantir la pérennité des gains d’efficacité énergétique obtenus dans le cadre des projets soumis au titre de la décision 94/60 ; de plus, les normes de performance énergétique minimale ont permis de calculer les coûts des composants supplémentaires. Cependant, le Secrétariat reconnaît qu’il est peu probable que les circonstances en Malaisie soient uniques au sein des pays visés à l’Article 5 ; en effet, il est probable que de nombreux pays visés à l’Article 5 n’aient pas encore mis en œuvre leurs normes de performance énergétique minimale pour les équipements de réfrigération commerciale autonome</w:t>
      </w:r>
      <w:r w:rsidR="00D67269">
        <w:rPr>
          <w:rStyle w:val="normaltextrun"/>
          <w:color w:val="000000"/>
          <w:shd w:val="clear" w:color="auto" w:fill="FFFFFF"/>
          <w:lang w:val="fr"/>
        </w:rPr>
        <w:t>s</w:t>
      </w:r>
      <w:r>
        <w:rPr>
          <w:rStyle w:val="normaltextrun"/>
          <w:color w:val="000000"/>
          <w:shd w:val="clear" w:color="auto" w:fill="FFFFFF"/>
          <w:lang w:val="fr"/>
        </w:rPr>
        <w:t xml:space="preserve">, ce qui pourrait créer un obstacle à la soumission à court terme de projets supplémentaires </w:t>
      </w:r>
      <w:r w:rsidR="003170C6">
        <w:rPr>
          <w:rStyle w:val="normaltextrun"/>
          <w:color w:val="000000"/>
          <w:shd w:val="clear" w:color="auto" w:fill="FFFFFF"/>
          <w:lang w:val="fr"/>
        </w:rPr>
        <w:t>au titre</w:t>
      </w:r>
      <w:r>
        <w:rPr>
          <w:rStyle w:val="normaltextrun"/>
          <w:color w:val="000000"/>
          <w:shd w:val="clear" w:color="auto" w:fill="FFFFFF"/>
          <w:lang w:val="fr"/>
        </w:rPr>
        <w:t xml:space="preserve"> de la décision 94/60 pour les fabricants de tels équipements.</w:t>
      </w:r>
    </w:p>
    <w:p w14:paraId="010B7365" w14:textId="7650921A" w:rsidR="00477BB8" w:rsidRPr="00477BB8" w:rsidRDefault="00477BB8" w:rsidP="00477BB8">
      <w:pPr>
        <w:pStyle w:val="Heading1"/>
        <w:rPr>
          <w:rStyle w:val="normaltextrun"/>
          <w:color w:val="000000"/>
          <w:shd w:val="clear" w:color="auto" w:fill="FFFFFF"/>
          <w:lang w:val="fr-FR"/>
        </w:rPr>
      </w:pPr>
      <w:r>
        <w:rPr>
          <w:rStyle w:val="normaltextrun"/>
          <w:color w:val="000000"/>
          <w:shd w:val="clear" w:color="auto" w:fill="FFFFFF"/>
          <w:lang w:val="fr"/>
        </w:rPr>
        <w:t>Par conséquent, et de noter la décision 94/60(b)(ii), et de façon exceptionnelle, il a été décidé d’aligner la date de mise en œuvre des normes de performance énergétique minimale avec la date à laquelle le pays interdira les HFC dans la fabrication et l’importation d’équipements de réfrigération commerciale autonome</w:t>
      </w:r>
      <w:r w:rsidR="00525FEE">
        <w:rPr>
          <w:rStyle w:val="normaltextrun"/>
          <w:color w:val="000000"/>
          <w:shd w:val="clear" w:color="auto" w:fill="FFFFFF"/>
          <w:lang w:val="fr"/>
        </w:rPr>
        <w:t>s</w:t>
      </w:r>
      <w:r>
        <w:rPr>
          <w:rStyle w:val="normaltextrun"/>
          <w:color w:val="000000"/>
          <w:shd w:val="clear" w:color="auto" w:fill="FFFFFF"/>
          <w:lang w:val="fr"/>
        </w:rPr>
        <w:t xml:space="preserve"> (à savoir, d’ici le 1</w:t>
      </w:r>
      <w:r w:rsidRPr="00CD66B7">
        <w:rPr>
          <w:rStyle w:val="normaltextrun"/>
          <w:color w:val="000000"/>
          <w:shd w:val="clear" w:color="auto" w:fill="FFFFFF"/>
          <w:vertAlign w:val="superscript"/>
          <w:lang w:val="fr"/>
        </w:rPr>
        <w:t>er</w:t>
      </w:r>
      <w:r>
        <w:rPr>
          <w:rStyle w:val="normaltextrun"/>
          <w:color w:val="000000"/>
          <w:shd w:val="clear" w:color="auto" w:fill="FFFFFF"/>
          <w:lang w:val="fr"/>
        </w:rPr>
        <w:t> janvier 2029), étant entendu que les entreprises atteignent les cibles d’efficacité énergétique proposées dans le cadre du projet d’ici la date d’achèvement du projet (c’est-à-dire dans les trois ans, ou d’ici le 31 décembre 2027), et par la suite communique</w:t>
      </w:r>
      <w:r w:rsidR="00D76252">
        <w:rPr>
          <w:rStyle w:val="normaltextrun"/>
          <w:color w:val="000000"/>
          <w:shd w:val="clear" w:color="auto" w:fill="FFFFFF"/>
          <w:lang w:val="fr"/>
        </w:rPr>
        <w:t>nt</w:t>
      </w:r>
      <w:r>
        <w:rPr>
          <w:rStyle w:val="normaltextrun"/>
          <w:color w:val="000000"/>
          <w:shd w:val="clear" w:color="auto" w:fill="FFFFFF"/>
          <w:lang w:val="fr"/>
        </w:rPr>
        <w:t xml:space="preserve"> sur leur fabrication d’équipements aux niveaux d’efficacité énergétique ciblés (ou mieux) chaque année jusqu’à la mise en place des normes de performance énergétique minimale.</w:t>
      </w:r>
    </w:p>
    <w:p w14:paraId="2F568C16" w14:textId="68F2A1DB" w:rsidR="00477BB8" w:rsidRPr="00477BB8" w:rsidRDefault="00477BB8" w:rsidP="00477BB8">
      <w:pPr>
        <w:pStyle w:val="Heading1"/>
        <w:rPr>
          <w:lang w:val="fr-FR"/>
        </w:rPr>
      </w:pPr>
      <w:r>
        <w:rPr>
          <w:rStyle w:val="eop"/>
          <w:color w:val="000000"/>
          <w:shd w:val="clear" w:color="auto" w:fill="FFFFFF"/>
          <w:lang w:val="fr"/>
        </w:rPr>
        <w:t>L</w:t>
      </w:r>
      <w:r>
        <w:rPr>
          <w:lang w:val="fr"/>
        </w:rPr>
        <w:t>es normes de performance énergétique minimale ne couvriraient pas tous les équipements de réfrigération commerciale autonome</w:t>
      </w:r>
      <w:r w:rsidR="00CE5B45">
        <w:rPr>
          <w:lang w:val="fr"/>
        </w:rPr>
        <w:t>s</w:t>
      </w:r>
      <w:r>
        <w:rPr>
          <w:lang w:val="fr"/>
        </w:rPr>
        <w:t xml:space="preserve">. Par exemple, les équipements fabriqués sur mesure pour des applications spécifiques ne seraient pas couverts. Bien que la Banque mondiale ne soit pas en mesure de quantifier le nombre d’unités fabriquées ou importées dans le pays qui seraient concernées par la norme volontaire plutôt que par les normes de performance énergétique minimale, le nombre de telles unités devrait être limité. En particulier, la Banque mondiale a clarifié que le champ d’application des équipements qui ne seraient pas concernés par les normes de performance énergétique minimale </w:t>
      </w:r>
      <w:r w:rsidR="00043202">
        <w:rPr>
          <w:lang w:val="fr"/>
        </w:rPr>
        <w:t>mais</w:t>
      </w:r>
      <w:r>
        <w:rPr>
          <w:lang w:val="fr"/>
        </w:rPr>
        <w:t xml:space="preserve"> </w:t>
      </w:r>
      <w:r w:rsidR="0097458F">
        <w:rPr>
          <w:lang w:val="fr"/>
        </w:rPr>
        <w:t xml:space="preserve">qui </w:t>
      </w:r>
      <w:r>
        <w:rPr>
          <w:lang w:val="fr"/>
        </w:rPr>
        <w:t xml:space="preserve">seraient </w:t>
      </w:r>
      <w:proofErr w:type="gramStart"/>
      <w:r w:rsidR="00043202">
        <w:rPr>
          <w:lang w:val="fr"/>
        </w:rPr>
        <w:t xml:space="preserve">à la place </w:t>
      </w:r>
      <w:r>
        <w:rPr>
          <w:lang w:val="fr"/>
        </w:rPr>
        <w:t>concernés</w:t>
      </w:r>
      <w:proofErr w:type="gramEnd"/>
      <w:r>
        <w:rPr>
          <w:lang w:val="fr"/>
        </w:rPr>
        <w:t xml:space="preserve"> par la norme volontaire sera déterminé une fois les données collectées auprès de tous les fabricants et importateurs. Les équipements fabriqués ou importés en petites quantités par agrégat et ne générant pas de bénéfices/économies d’énergie significatifs seraient soumis aux directives de performances énergétiques volontaires. Cela concerne très probablement des équipements plus spécialisés pour lesquels la demande est faible.</w:t>
      </w:r>
    </w:p>
    <w:p w14:paraId="2648E9C8" w14:textId="77777777" w:rsidR="00477BB8" w:rsidRPr="00477BB8" w:rsidRDefault="00477BB8" w:rsidP="00477BB8">
      <w:pPr>
        <w:rPr>
          <w:rStyle w:val="eop"/>
          <w:color w:val="000000"/>
          <w:shd w:val="clear" w:color="auto" w:fill="FFFFFF"/>
          <w:lang w:val="fr-FR"/>
        </w:rPr>
      </w:pPr>
      <w:r>
        <w:rPr>
          <w:u w:val="single"/>
          <w:lang w:val="fr"/>
        </w:rPr>
        <w:t>Questions techniques et relatives aux coûts</w:t>
      </w:r>
      <w:r>
        <w:rPr>
          <w:rStyle w:val="eop"/>
          <w:color w:val="000000"/>
          <w:shd w:val="clear" w:color="auto" w:fill="FFFFFF"/>
          <w:lang w:val="fr"/>
        </w:rPr>
        <w:t> </w:t>
      </w:r>
    </w:p>
    <w:p w14:paraId="563D6F11" w14:textId="77777777" w:rsidR="00477BB8" w:rsidRPr="00477BB8" w:rsidRDefault="00477BB8" w:rsidP="00477BB8">
      <w:pPr>
        <w:rPr>
          <w:color w:val="000000"/>
          <w:shd w:val="clear" w:color="auto" w:fill="FFFFFF"/>
          <w:lang w:val="fr-FR"/>
        </w:rPr>
      </w:pPr>
    </w:p>
    <w:p w14:paraId="0DDAB35C" w14:textId="77777777" w:rsidR="00477BB8" w:rsidRPr="007E1CDA" w:rsidRDefault="00477BB8" w:rsidP="00477BB8">
      <w:pPr>
        <w:rPr>
          <w:i/>
          <w:iCs/>
          <w:color w:val="000000"/>
          <w:shd w:val="clear" w:color="auto" w:fill="FFFFFF"/>
        </w:rPr>
      </w:pPr>
      <w:r>
        <w:rPr>
          <w:i/>
          <w:iCs/>
          <w:color w:val="000000"/>
          <w:shd w:val="clear" w:color="auto" w:fill="FFFFFF"/>
          <w:lang w:val="fr"/>
        </w:rPr>
        <w:t>Activités au niveau de l’entreprise</w:t>
      </w:r>
    </w:p>
    <w:p w14:paraId="1A1F99DB" w14:textId="77777777" w:rsidR="00477BB8" w:rsidRDefault="00477BB8" w:rsidP="00477BB8">
      <w:pPr>
        <w:rPr>
          <w:color w:val="000000"/>
          <w:shd w:val="clear" w:color="auto" w:fill="FFFFFF"/>
        </w:rPr>
      </w:pPr>
    </w:p>
    <w:p w14:paraId="495E1A55" w14:textId="1917337C" w:rsidR="00477BB8" w:rsidRPr="00477BB8" w:rsidRDefault="00477BB8" w:rsidP="00477BB8">
      <w:pPr>
        <w:pStyle w:val="Heading1"/>
        <w:rPr>
          <w:shd w:val="clear" w:color="auto" w:fill="FFFFFF"/>
          <w:lang w:val="fr-FR"/>
        </w:rPr>
      </w:pPr>
      <w:r>
        <w:rPr>
          <w:shd w:val="clear" w:color="auto" w:fill="FFFFFF"/>
          <w:lang w:val="fr"/>
        </w:rPr>
        <w:t xml:space="preserve">Le Secrétariat a </w:t>
      </w:r>
      <w:r w:rsidR="00DB2135">
        <w:rPr>
          <w:shd w:val="clear" w:color="auto" w:fill="FFFFFF"/>
          <w:lang w:val="fr"/>
        </w:rPr>
        <w:t>évalué</w:t>
      </w:r>
      <w:r>
        <w:rPr>
          <w:shd w:val="clear" w:color="auto" w:fill="FFFFFF"/>
          <w:lang w:val="fr"/>
        </w:rPr>
        <w:t xml:space="preserve"> la mesure incitative éligible pour les entreprises conformément à la décision 94/60. En particulier, le Secrétariat a déterminé la mesure incitative suivant la méthodologie indiquée à l’Annexe II et en se basant sur le coût d’investissement supplémentaire et les coûts de composants supplémentaires spécifiés aux tableaux 1 et 2 du document </w:t>
      </w:r>
      <w:r>
        <w:rPr>
          <w:rFonts w:asciiTheme="majorBidi" w:hAnsiTheme="majorBidi"/>
          <w:lang w:val="fr"/>
        </w:rPr>
        <w:t>PNUE/</w:t>
      </w:r>
      <w:proofErr w:type="spellStart"/>
      <w:r>
        <w:rPr>
          <w:rFonts w:asciiTheme="majorBidi" w:hAnsiTheme="majorBidi"/>
          <w:lang w:val="fr"/>
        </w:rPr>
        <w:t>OzL.Pro</w:t>
      </w:r>
      <w:proofErr w:type="spellEnd"/>
      <w:r>
        <w:rPr>
          <w:rFonts w:asciiTheme="majorBidi" w:hAnsiTheme="majorBidi"/>
          <w:lang w:val="fr"/>
        </w:rPr>
        <w:t>/</w:t>
      </w:r>
      <w:proofErr w:type="spellStart"/>
      <w:r>
        <w:rPr>
          <w:rFonts w:asciiTheme="majorBidi" w:hAnsiTheme="majorBidi"/>
          <w:lang w:val="fr"/>
        </w:rPr>
        <w:t>ExCom</w:t>
      </w:r>
      <w:proofErr w:type="spellEnd"/>
      <w:r>
        <w:rPr>
          <w:rFonts w:asciiTheme="majorBidi" w:hAnsiTheme="majorBidi"/>
          <w:lang w:val="fr"/>
        </w:rPr>
        <w:t>/94/61.</w:t>
      </w:r>
    </w:p>
    <w:p w14:paraId="3A251C6D" w14:textId="196AF6F2" w:rsidR="00477BB8" w:rsidRPr="00477BB8" w:rsidRDefault="00477BB8" w:rsidP="00477BB8">
      <w:pPr>
        <w:pStyle w:val="Heading1"/>
        <w:rPr>
          <w:lang w:val="fr-FR"/>
        </w:rPr>
      </w:pPr>
      <w:r>
        <w:rPr>
          <w:lang w:val="fr"/>
        </w:rPr>
        <w:t xml:space="preserve">Le tableau 1 du document spécifie les coûts d’investissement supplémentaires à fournir aux entreprises en fonction de leur capacité de fabrication annuelle (unité par an) de la classe spécifiée d’équipement. Aussi bien </w:t>
      </w:r>
      <w:proofErr w:type="spellStart"/>
      <w:r>
        <w:rPr>
          <w:lang w:val="fr"/>
        </w:rPr>
        <w:t>Berjaya</w:t>
      </w:r>
      <w:proofErr w:type="spellEnd"/>
      <w:r>
        <w:rPr>
          <w:lang w:val="fr"/>
        </w:rPr>
        <w:t xml:space="preserve"> Steel que </w:t>
      </w:r>
      <w:proofErr w:type="spellStart"/>
      <w:r>
        <w:rPr>
          <w:lang w:val="fr"/>
        </w:rPr>
        <w:t>Zun</w:t>
      </w:r>
      <w:proofErr w:type="spellEnd"/>
      <w:r>
        <w:rPr>
          <w:lang w:val="fr"/>
        </w:rPr>
        <w:t xml:space="preserve"> </w:t>
      </w:r>
      <w:proofErr w:type="spellStart"/>
      <w:r>
        <w:rPr>
          <w:lang w:val="fr"/>
        </w:rPr>
        <w:t>Utara</w:t>
      </w:r>
      <w:proofErr w:type="spellEnd"/>
      <w:r>
        <w:rPr>
          <w:lang w:val="fr"/>
        </w:rPr>
        <w:t xml:space="preserve"> fabriquent des réfrigérateurs et des congélateurs coffres commerciaux </w:t>
      </w:r>
      <w:r w:rsidR="002F558B">
        <w:rPr>
          <w:lang w:val="fr"/>
        </w:rPr>
        <w:t xml:space="preserve">ainsi </w:t>
      </w:r>
      <w:r>
        <w:rPr>
          <w:lang w:val="fr"/>
        </w:rPr>
        <w:t xml:space="preserve">que des vitrines réfrigérées. Pour évaluer les coûts d’investissement supplémentaires pour les entreprises qui fabriquent et sont éligibles à recevoir une mesure incitative pour les deux classes d’équipement (c’est-à-dire, les réfrigérateurs et congélateurs coffres, ou les vitrines réfrigérées), le Secrétariat a </w:t>
      </w:r>
      <w:r w:rsidR="006F462E">
        <w:rPr>
          <w:lang w:val="fr"/>
        </w:rPr>
        <w:t>pris en compte</w:t>
      </w:r>
      <w:r>
        <w:rPr>
          <w:lang w:val="fr"/>
        </w:rPr>
        <w:t xml:space="preserve"> le nombre d’unités de chaque classe d’équipement éligible à </w:t>
      </w:r>
      <w:r>
        <w:rPr>
          <w:lang w:val="fr"/>
        </w:rPr>
        <w:lastRenderedPageBreak/>
        <w:t>une mesure incitative afin de déterminer leur capacité respective.</w:t>
      </w:r>
      <w:r>
        <w:rPr>
          <w:rStyle w:val="FootnoteReference"/>
          <w:lang w:val="fr"/>
        </w:rPr>
        <w:footnoteReference w:id="6"/>
      </w:r>
      <w:r w:rsidR="00CF1572">
        <w:rPr>
          <w:lang w:val="fr"/>
        </w:rPr>
        <w:t xml:space="preserve"> </w:t>
      </w:r>
      <w:r>
        <w:rPr>
          <w:lang w:val="fr"/>
        </w:rPr>
        <w:t xml:space="preserve">Le coût d’investissement supplémentaire correspond à 90 pour cent de la somme des coûts d’investissement supplémentaires pour leur capacité éligible respective pour les réfrigérateurs et congélateurs coffres et </w:t>
      </w:r>
      <w:r w:rsidR="004A3127">
        <w:rPr>
          <w:lang w:val="fr"/>
        </w:rPr>
        <w:t xml:space="preserve">pour </w:t>
      </w:r>
      <w:r>
        <w:rPr>
          <w:lang w:val="fr"/>
        </w:rPr>
        <w:t>l</w:t>
      </w:r>
      <w:r w:rsidR="004A3127">
        <w:rPr>
          <w:lang w:val="fr"/>
        </w:rPr>
        <w:t>eur</w:t>
      </w:r>
      <w:r>
        <w:rPr>
          <w:lang w:val="fr"/>
        </w:rPr>
        <w:t xml:space="preserve"> capacité éligible pour les vitrines réfrigérées.</w:t>
      </w:r>
      <w:r>
        <w:rPr>
          <w:rStyle w:val="FootnoteReference"/>
          <w:lang w:val="fr"/>
        </w:rPr>
        <w:footnoteReference w:id="7"/>
      </w:r>
      <w:r>
        <w:rPr>
          <w:lang w:val="fr"/>
        </w:rPr>
        <w:t xml:space="preserve"> En fonction de la capacité éligible</w:t>
      </w:r>
      <w:r>
        <w:rPr>
          <w:rStyle w:val="FootnoteReference"/>
          <w:lang w:val="fr"/>
        </w:rPr>
        <w:footnoteReference w:id="8"/>
      </w:r>
      <w:r>
        <w:rPr>
          <w:lang w:val="fr"/>
        </w:rPr>
        <w:t xml:space="preserve"> de </w:t>
      </w:r>
      <w:proofErr w:type="spellStart"/>
      <w:r>
        <w:rPr>
          <w:lang w:val="fr"/>
        </w:rPr>
        <w:t>Berjaya</w:t>
      </w:r>
      <w:proofErr w:type="spellEnd"/>
      <w:r>
        <w:rPr>
          <w:lang w:val="fr"/>
        </w:rPr>
        <w:t xml:space="preserve"> Steel et de </w:t>
      </w:r>
      <w:proofErr w:type="spellStart"/>
      <w:r>
        <w:rPr>
          <w:lang w:val="fr"/>
        </w:rPr>
        <w:t>Zun</w:t>
      </w:r>
      <w:proofErr w:type="spellEnd"/>
      <w:r>
        <w:rPr>
          <w:lang w:val="fr"/>
        </w:rPr>
        <w:t xml:space="preserve"> </w:t>
      </w:r>
      <w:proofErr w:type="spellStart"/>
      <w:r>
        <w:rPr>
          <w:lang w:val="fr"/>
        </w:rPr>
        <w:t>Utara</w:t>
      </w:r>
      <w:proofErr w:type="spellEnd"/>
      <w:r>
        <w:rPr>
          <w:lang w:val="fr"/>
        </w:rPr>
        <w:t>, cela entraîne des coûts d’investissement supplémentaire de 225 000 $ US et de 150 000 $ US, respectivement.</w:t>
      </w:r>
    </w:p>
    <w:p w14:paraId="3CC04A81" w14:textId="7D482132" w:rsidR="00477BB8" w:rsidRPr="00477BB8" w:rsidRDefault="00477BB8" w:rsidP="00477BB8">
      <w:pPr>
        <w:pStyle w:val="Heading1"/>
        <w:rPr>
          <w:rFonts w:asciiTheme="majorBidi" w:hAnsiTheme="majorBidi" w:cstheme="majorBidi"/>
          <w:lang w:val="fr-FR"/>
        </w:rPr>
      </w:pPr>
      <w:r>
        <w:rPr>
          <w:rFonts w:asciiTheme="majorBidi" w:hAnsiTheme="majorBidi" w:cstheme="majorBidi"/>
          <w:lang w:val="fr"/>
        </w:rPr>
        <w:t>Les coûts de composants supplémentaires spécifiés dans le tableau 2 d</w:t>
      </w:r>
      <w:r w:rsidR="0069778B">
        <w:rPr>
          <w:rFonts w:asciiTheme="majorBidi" w:hAnsiTheme="majorBidi" w:cstheme="majorBidi"/>
          <w:lang w:val="fr"/>
        </w:rPr>
        <w:t>e</w:t>
      </w:r>
      <w:r>
        <w:rPr>
          <w:rFonts w:asciiTheme="majorBidi" w:hAnsiTheme="majorBidi" w:cstheme="majorBidi"/>
          <w:lang w:val="fr"/>
        </w:rPr>
        <w:t xml:space="preserve"> ce document sont basés sur les niveaux d’énergie spécifiés dans le modèle de directives réglementaires U4E (Unis pour l’efficacité) pour les équipements de réfrigération commerciale économes en énergie et respectueux du climat (révisés en juillet 2023).</w:t>
      </w:r>
      <w:r>
        <w:rPr>
          <w:rStyle w:val="FootnoteReference"/>
          <w:rFonts w:asciiTheme="majorBidi" w:hAnsiTheme="majorBidi" w:cstheme="majorBidi"/>
          <w:lang w:val="fr"/>
        </w:rPr>
        <w:footnoteReference w:id="9"/>
      </w:r>
      <w:r w:rsidR="00671DB9">
        <w:rPr>
          <w:rFonts w:asciiTheme="majorBidi" w:hAnsiTheme="majorBidi" w:cstheme="majorBidi"/>
          <w:lang w:val="fr"/>
        </w:rPr>
        <w:t xml:space="preserve"> </w:t>
      </w:r>
      <w:r>
        <w:rPr>
          <w:rFonts w:asciiTheme="majorBidi" w:hAnsiTheme="majorBidi" w:cstheme="majorBidi"/>
          <w:lang w:val="fr"/>
        </w:rPr>
        <w:t>Ces directives spécifient des normes de mesure, qui comprennent les conditions de tests, en fonction du type d’équipement de réfrigération commerciale. Les entreprises testent leurs équipements à une température de test plus élevée (30-32 °C, ou 38 °C, en fonction du type d’équipement) que ce qui est spécifié dans les normes de mesure identifiées par l’U4E. Le Secrétariat n’est pas en mesure d’ajuster les résultats des tests en fonction de ces conditions de test différentes.</w:t>
      </w:r>
    </w:p>
    <w:p w14:paraId="37F70696" w14:textId="05454358" w:rsidR="00477BB8" w:rsidRPr="00477BB8" w:rsidRDefault="00477BB8" w:rsidP="00477BB8">
      <w:pPr>
        <w:pStyle w:val="Heading1"/>
        <w:rPr>
          <w:lang w:val="fr-FR"/>
        </w:rPr>
      </w:pPr>
      <w:r>
        <w:rPr>
          <w:lang w:val="fr"/>
        </w:rPr>
        <w:t xml:space="preserve">En </w:t>
      </w:r>
      <w:r w:rsidR="006867D5">
        <w:rPr>
          <w:lang w:val="fr"/>
        </w:rPr>
        <w:t>se basant sur</w:t>
      </w:r>
      <w:r>
        <w:rPr>
          <w:lang w:val="fr"/>
        </w:rPr>
        <w:t xml:space="preserve"> </w:t>
      </w:r>
      <w:r w:rsidR="006867D5">
        <w:rPr>
          <w:lang w:val="fr"/>
        </w:rPr>
        <w:t>l</w:t>
      </w:r>
      <w:r>
        <w:rPr>
          <w:lang w:val="fr"/>
        </w:rPr>
        <w:t xml:space="preserve">es coûts des composants supplémentaires spécifiés dans le tableau 2 de ce document, la consommation d’énergie de référence et celle ciblée par modèle, et le nombre d’unités fabriquées par les entreprises, la mesure incitative supplémentaire pour les composants s’élève à 32 911 $ US pour </w:t>
      </w:r>
      <w:proofErr w:type="spellStart"/>
      <w:r>
        <w:rPr>
          <w:lang w:val="fr"/>
        </w:rPr>
        <w:t>Berjaya</w:t>
      </w:r>
      <w:proofErr w:type="spellEnd"/>
      <w:r>
        <w:rPr>
          <w:lang w:val="fr"/>
        </w:rPr>
        <w:t xml:space="preserve"> Steel et 7 778 $ US pour </w:t>
      </w:r>
      <w:proofErr w:type="spellStart"/>
      <w:r>
        <w:rPr>
          <w:lang w:val="fr"/>
        </w:rPr>
        <w:t>Zun</w:t>
      </w:r>
      <w:proofErr w:type="spellEnd"/>
      <w:r>
        <w:rPr>
          <w:lang w:val="fr"/>
        </w:rPr>
        <w:t xml:space="preserve"> </w:t>
      </w:r>
      <w:proofErr w:type="spellStart"/>
      <w:r>
        <w:rPr>
          <w:lang w:val="fr"/>
        </w:rPr>
        <w:t>Utara</w:t>
      </w:r>
      <w:proofErr w:type="spellEnd"/>
      <w:r>
        <w:rPr>
          <w:lang w:val="fr"/>
        </w:rPr>
        <w:t>.</w:t>
      </w:r>
    </w:p>
    <w:p w14:paraId="1AC48C86" w14:textId="77777777" w:rsidR="00477BB8" w:rsidRPr="00477BB8" w:rsidRDefault="00477BB8" w:rsidP="00477BB8">
      <w:pPr>
        <w:pStyle w:val="Heading1"/>
        <w:rPr>
          <w:lang w:val="fr-FR"/>
        </w:rPr>
      </w:pPr>
      <w:r>
        <w:rPr>
          <w:lang w:val="fr"/>
        </w:rPr>
        <w:t>À la suite des consultations, les coûts calculés par le Secrétariat ont été convenus comme résumé au tableau 3 ci-dessous. Conformément à la décision 94/60, les coûts d’investissement supplémentaires seront mis à disposition des bénéficiaires après approbation du projet par le Comité exécutif, et les coûts supplémentaires liés aux composants seraient mis à disposition en fonction des performances des équipements vérifiées après achèvement du projet conformément à la décision 94/60.</w:t>
      </w:r>
    </w:p>
    <w:p w14:paraId="014FB6F7" w14:textId="77777777" w:rsidR="00477BB8" w:rsidRPr="00477BB8" w:rsidRDefault="00477BB8" w:rsidP="00477BB8">
      <w:pPr>
        <w:rPr>
          <w:rFonts w:asciiTheme="majorBidi" w:hAnsiTheme="majorBidi" w:cstheme="majorBidi"/>
          <w:b/>
          <w:bCs/>
          <w:lang w:val="fr-FR"/>
        </w:rPr>
      </w:pPr>
      <w:r>
        <w:rPr>
          <w:rFonts w:asciiTheme="majorBidi" w:hAnsiTheme="majorBidi" w:cstheme="majorBidi"/>
          <w:b/>
          <w:bCs/>
          <w:lang w:val="fr"/>
        </w:rPr>
        <w:t>Tableau 3. Mesure incitative de composant et d’investissement supplémentaire convenue ($ US)</w:t>
      </w:r>
    </w:p>
    <w:tbl>
      <w:tblPr>
        <w:tblStyle w:val="TableGrid"/>
        <w:tblW w:w="0" w:type="auto"/>
        <w:tblLook w:val="04A0" w:firstRow="1" w:lastRow="0" w:firstColumn="1" w:lastColumn="0" w:noHBand="0" w:noVBand="1"/>
      </w:tblPr>
      <w:tblGrid>
        <w:gridCol w:w="2183"/>
        <w:gridCol w:w="1750"/>
        <w:gridCol w:w="1895"/>
        <w:gridCol w:w="2042"/>
        <w:gridCol w:w="1458"/>
      </w:tblGrid>
      <w:tr w:rsidR="00477BB8" w14:paraId="50B9C5D0" w14:textId="77777777" w:rsidTr="00F2642F">
        <w:trPr>
          <w:trHeight w:val="429"/>
        </w:trPr>
        <w:tc>
          <w:tcPr>
            <w:tcW w:w="2183" w:type="dxa"/>
          </w:tcPr>
          <w:p w14:paraId="6A2AE3BD" w14:textId="77777777" w:rsidR="00477BB8" w:rsidRPr="00477BB8" w:rsidRDefault="00477BB8" w:rsidP="00F2642F">
            <w:pPr>
              <w:rPr>
                <w:rFonts w:asciiTheme="majorBidi" w:hAnsiTheme="majorBidi" w:cstheme="majorBidi"/>
                <w:sz w:val="20"/>
                <w:szCs w:val="20"/>
                <w:lang w:val="fr-FR"/>
              </w:rPr>
            </w:pPr>
          </w:p>
        </w:tc>
        <w:tc>
          <w:tcPr>
            <w:tcW w:w="1750" w:type="dxa"/>
          </w:tcPr>
          <w:p w14:paraId="0A6FCAD7" w14:textId="77777777" w:rsidR="00477BB8" w:rsidRPr="00477BB8" w:rsidRDefault="00477BB8" w:rsidP="00F2642F">
            <w:pPr>
              <w:jc w:val="center"/>
              <w:rPr>
                <w:rFonts w:asciiTheme="majorBidi" w:hAnsiTheme="majorBidi" w:cstheme="majorBidi"/>
                <w:b/>
                <w:bCs/>
                <w:sz w:val="20"/>
                <w:szCs w:val="20"/>
                <w:lang w:val="fr-FR"/>
              </w:rPr>
            </w:pPr>
            <w:r>
              <w:rPr>
                <w:rFonts w:asciiTheme="majorBidi" w:hAnsiTheme="majorBidi" w:cstheme="majorBidi"/>
                <w:b/>
                <w:bCs/>
                <w:sz w:val="20"/>
                <w:szCs w:val="20"/>
                <w:lang w:val="fr"/>
              </w:rPr>
              <w:t xml:space="preserve">Coûts totaux conformément à la demande </w:t>
            </w:r>
          </w:p>
        </w:tc>
        <w:tc>
          <w:tcPr>
            <w:tcW w:w="1895" w:type="dxa"/>
          </w:tcPr>
          <w:p w14:paraId="7DC55EBD" w14:textId="77777777" w:rsidR="00477BB8" w:rsidRPr="00403308" w:rsidRDefault="00477BB8" w:rsidP="00F2642F">
            <w:pPr>
              <w:jc w:val="center"/>
              <w:rPr>
                <w:rFonts w:asciiTheme="majorBidi" w:hAnsiTheme="majorBidi" w:cstheme="majorBidi"/>
                <w:b/>
                <w:bCs/>
                <w:sz w:val="20"/>
                <w:szCs w:val="20"/>
              </w:rPr>
            </w:pPr>
            <w:r>
              <w:rPr>
                <w:rFonts w:asciiTheme="majorBidi" w:hAnsiTheme="majorBidi" w:cstheme="majorBidi"/>
                <w:b/>
                <w:bCs/>
                <w:sz w:val="20"/>
                <w:szCs w:val="20"/>
                <w:lang w:val="fr"/>
              </w:rPr>
              <w:t>Coûts d’investissement supplémentaires</w:t>
            </w:r>
          </w:p>
        </w:tc>
        <w:tc>
          <w:tcPr>
            <w:tcW w:w="2042" w:type="dxa"/>
          </w:tcPr>
          <w:p w14:paraId="17D06130" w14:textId="77777777" w:rsidR="00477BB8" w:rsidRPr="00477BB8" w:rsidRDefault="00477BB8" w:rsidP="00F2642F">
            <w:pPr>
              <w:jc w:val="center"/>
              <w:rPr>
                <w:rFonts w:asciiTheme="majorBidi" w:hAnsiTheme="majorBidi" w:cstheme="majorBidi"/>
                <w:b/>
                <w:bCs/>
                <w:sz w:val="20"/>
                <w:szCs w:val="20"/>
                <w:lang w:val="fr-FR"/>
              </w:rPr>
            </w:pPr>
            <w:r>
              <w:rPr>
                <w:rFonts w:asciiTheme="majorBidi" w:hAnsiTheme="majorBidi" w:cstheme="majorBidi"/>
                <w:b/>
                <w:bCs/>
                <w:sz w:val="20"/>
                <w:szCs w:val="20"/>
                <w:lang w:val="fr"/>
              </w:rPr>
              <w:t>Mesure incitative supplémentaire liée aux composants</w:t>
            </w:r>
          </w:p>
        </w:tc>
        <w:tc>
          <w:tcPr>
            <w:tcW w:w="1458" w:type="dxa"/>
          </w:tcPr>
          <w:p w14:paraId="302D30E6" w14:textId="77777777" w:rsidR="00477BB8" w:rsidRPr="00403308" w:rsidRDefault="00477BB8" w:rsidP="00F2642F">
            <w:pPr>
              <w:jc w:val="center"/>
              <w:rPr>
                <w:rFonts w:asciiTheme="majorBidi" w:hAnsiTheme="majorBidi" w:cstheme="majorBidi"/>
                <w:b/>
                <w:bCs/>
                <w:sz w:val="20"/>
                <w:szCs w:val="20"/>
              </w:rPr>
            </w:pPr>
            <w:r>
              <w:rPr>
                <w:rFonts w:asciiTheme="majorBidi" w:hAnsiTheme="majorBidi" w:cstheme="majorBidi"/>
                <w:b/>
                <w:bCs/>
                <w:sz w:val="20"/>
                <w:szCs w:val="20"/>
                <w:lang w:val="fr"/>
              </w:rPr>
              <w:t>Coût total convenu</w:t>
            </w:r>
          </w:p>
        </w:tc>
      </w:tr>
      <w:tr w:rsidR="00477BB8" w14:paraId="7F043F56" w14:textId="77777777" w:rsidTr="00F2642F">
        <w:trPr>
          <w:trHeight w:val="208"/>
        </w:trPr>
        <w:tc>
          <w:tcPr>
            <w:tcW w:w="2183" w:type="dxa"/>
          </w:tcPr>
          <w:p w14:paraId="01E6A9BD" w14:textId="77777777" w:rsidR="00477BB8" w:rsidRPr="00403308" w:rsidRDefault="00477BB8" w:rsidP="00F2642F">
            <w:pPr>
              <w:rPr>
                <w:rFonts w:asciiTheme="majorBidi" w:hAnsiTheme="majorBidi" w:cstheme="majorBidi"/>
                <w:sz w:val="20"/>
                <w:szCs w:val="20"/>
              </w:rPr>
            </w:pPr>
            <w:proofErr w:type="spellStart"/>
            <w:r>
              <w:rPr>
                <w:rFonts w:asciiTheme="majorBidi" w:hAnsiTheme="majorBidi" w:cstheme="majorBidi"/>
                <w:sz w:val="20"/>
                <w:szCs w:val="20"/>
                <w:lang w:val="fr"/>
              </w:rPr>
              <w:t>Zun</w:t>
            </w:r>
            <w:proofErr w:type="spellEnd"/>
            <w:r>
              <w:rPr>
                <w:rFonts w:asciiTheme="majorBidi" w:hAnsiTheme="majorBidi" w:cstheme="majorBidi"/>
                <w:sz w:val="20"/>
                <w:szCs w:val="20"/>
                <w:lang w:val="fr"/>
              </w:rPr>
              <w:t xml:space="preserve"> </w:t>
            </w:r>
            <w:proofErr w:type="spellStart"/>
            <w:r>
              <w:rPr>
                <w:rFonts w:asciiTheme="majorBidi" w:hAnsiTheme="majorBidi" w:cstheme="majorBidi"/>
                <w:sz w:val="20"/>
                <w:szCs w:val="20"/>
                <w:lang w:val="fr"/>
              </w:rPr>
              <w:t>Utara</w:t>
            </w:r>
            <w:proofErr w:type="spellEnd"/>
          </w:p>
        </w:tc>
        <w:tc>
          <w:tcPr>
            <w:tcW w:w="1750" w:type="dxa"/>
            <w:shd w:val="clear" w:color="auto" w:fill="auto"/>
          </w:tcPr>
          <w:p w14:paraId="090A5DBA" w14:textId="77777777" w:rsidR="00477BB8" w:rsidRPr="00403308" w:rsidRDefault="00477BB8" w:rsidP="00F2642F">
            <w:pPr>
              <w:jc w:val="right"/>
              <w:rPr>
                <w:rFonts w:asciiTheme="majorBidi" w:hAnsiTheme="majorBidi" w:cstheme="majorBidi"/>
                <w:sz w:val="20"/>
                <w:szCs w:val="20"/>
              </w:rPr>
            </w:pPr>
            <w:r>
              <w:rPr>
                <w:rFonts w:asciiTheme="majorBidi" w:hAnsiTheme="majorBidi" w:cstheme="majorBidi"/>
                <w:sz w:val="20"/>
                <w:szCs w:val="20"/>
                <w:lang w:val="fr"/>
              </w:rPr>
              <w:t>292 356</w:t>
            </w:r>
          </w:p>
        </w:tc>
        <w:tc>
          <w:tcPr>
            <w:tcW w:w="1895" w:type="dxa"/>
          </w:tcPr>
          <w:p w14:paraId="6DBA6689" w14:textId="77777777" w:rsidR="00477BB8" w:rsidRPr="00403308" w:rsidRDefault="00477BB8" w:rsidP="00F2642F">
            <w:pPr>
              <w:jc w:val="right"/>
              <w:rPr>
                <w:rFonts w:asciiTheme="majorBidi" w:hAnsiTheme="majorBidi" w:cstheme="majorBidi"/>
                <w:sz w:val="20"/>
                <w:szCs w:val="20"/>
              </w:rPr>
            </w:pPr>
            <w:r>
              <w:rPr>
                <w:rFonts w:asciiTheme="majorBidi" w:hAnsiTheme="majorBidi" w:cstheme="majorBidi"/>
                <w:sz w:val="20"/>
                <w:szCs w:val="20"/>
                <w:lang w:val="fr"/>
              </w:rPr>
              <w:t>150 000</w:t>
            </w:r>
          </w:p>
        </w:tc>
        <w:tc>
          <w:tcPr>
            <w:tcW w:w="2042" w:type="dxa"/>
          </w:tcPr>
          <w:p w14:paraId="22FC8EEC" w14:textId="77777777" w:rsidR="00477BB8" w:rsidRPr="00403308" w:rsidRDefault="00477BB8" w:rsidP="00F2642F">
            <w:pPr>
              <w:jc w:val="right"/>
              <w:rPr>
                <w:rFonts w:asciiTheme="majorBidi" w:hAnsiTheme="majorBidi" w:cstheme="majorBidi"/>
                <w:sz w:val="20"/>
                <w:szCs w:val="20"/>
              </w:rPr>
            </w:pPr>
            <w:r>
              <w:rPr>
                <w:rFonts w:asciiTheme="majorBidi" w:hAnsiTheme="majorBidi" w:cstheme="majorBidi"/>
                <w:sz w:val="20"/>
                <w:szCs w:val="20"/>
                <w:lang w:val="fr"/>
              </w:rPr>
              <w:t>7 778</w:t>
            </w:r>
          </w:p>
        </w:tc>
        <w:tc>
          <w:tcPr>
            <w:tcW w:w="1458" w:type="dxa"/>
          </w:tcPr>
          <w:p w14:paraId="4E03B359" w14:textId="77777777" w:rsidR="00477BB8" w:rsidRPr="00403308" w:rsidRDefault="00477BB8" w:rsidP="00F2642F">
            <w:pPr>
              <w:jc w:val="right"/>
              <w:rPr>
                <w:rFonts w:asciiTheme="majorBidi" w:hAnsiTheme="majorBidi" w:cstheme="majorBidi"/>
                <w:sz w:val="20"/>
                <w:szCs w:val="20"/>
              </w:rPr>
            </w:pPr>
            <w:r>
              <w:rPr>
                <w:rFonts w:asciiTheme="majorBidi" w:hAnsiTheme="majorBidi" w:cstheme="majorBidi"/>
                <w:sz w:val="20"/>
                <w:szCs w:val="20"/>
                <w:lang w:val="fr"/>
              </w:rPr>
              <w:t>157 778</w:t>
            </w:r>
          </w:p>
        </w:tc>
      </w:tr>
      <w:tr w:rsidR="00477BB8" w14:paraId="2862D3C0" w14:textId="77777777" w:rsidTr="00F2642F">
        <w:trPr>
          <w:trHeight w:val="208"/>
        </w:trPr>
        <w:tc>
          <w:tcPr>
            <w:tcW w:w="2183" w:type="dxa"/>
          </w:tcPr>
          <w:p w14:paraId="60FEB68F" w14:textId="77777777" w:rsidR="00477BB8" w:rsidRPr="00403308" w:rsidRDefault="00477BB8" w:rsidP="00F2642F">
            <w:pPr>
              <w:rPr>
                <w:rFonts w:asciiTheme="majorBidi" w:hAnsiTheme="majorBidi" w:cstheme="majorBidi"/>
                <w:sz w:val="20"/>
                <w:szCs w:val="20"/>
              </w:rPr>
            </w:pPr>
            <w:proofErr w:type="spellStart"/>
            <w:r>
              <w:rPr>
                <w:rFonts w:asciiTheme="majorBidi" w:hAnsiTheme="majorBidi" w:cstheme="majorBidi"/>
                <w:sz w:val="20"/>
                <w:szCs w:val="20"/>
                <w:lang w:val="fr"/>
              </w:rPr>
              <w:t>Berjaya</w:t>
            </w:r>
            <w:proofErr w:type="spellEnd"/>
            <w:r>
              <w:rPr>
                <w:rFonts w:asciiTheme="majorBidi" w:hAnsiTheme="majorBidi" w:cstheme="majorBidi"/>
                <w:sz w:val="20"/>
                <w:szCs w:val="20"/>
                <w:lang w:val="fr"/>
              </w:rPr>
              <w:t xml:space="preserve"> Steel</w:t>
            </w:r>
          </w:p>
        </w:tc>
        <w:tc>
          <w:tcPr>
            <w:tcW w:w="1750" w:type="dxa"/>
            <w:shd w:val="clear" w:color="auto" w:fill="auto"/>
          </w:tcPr>
          <w:p w14:paraId="26AE7094" w14:textId="77777777" w:rsidR="00477BB8" w:rsidRPr="00403308" w:rsidRDefault="00477BB8" w:rsidP="00F2642F">
            <w:pPr>
              <w:jc w:val="right"/>
              <w:rPr>
                <w:rFonts w:asciiTheme="majorBidi" w:hAnsiTheme="majorBidi" w:cstheme="majorBidi"/>
                <w:sz w:val="20"/>
                <w:szCs w:val="20"/>
              </w:rPr>
            </w:pPr>
            <w:r>
              <w:rPr>
                <w:rFonts w:asciiTheme="majorBidi" w:hAnsiTheme="majorBidi" w:cstheme="majorBidi"/>
                <w:sz w:val="20"/>
                <w:szCs w:val="20"/>
                <w:lang w:val="fr"/>
              </w:rPr>
              <w:t>267 559</w:t>
            </w:r>
          </w:p>
        </w:tc>
        <w:tc>
          <w:tcPr>
            <w:tcW w:w="1895" w:type="dxa"/>
          </w:tcPr>
          <w:p w14:paraId="0D21B56F" w14:textId="77777777" w:rsidR="00477BB8" w:rsidRPr="00403308" w:rsidRDefault="00477BB8" w:rsidP="00F2642F">
            <w:pPr>
              <w:jc w:val="right"/>
              <w:rPr>
                <w:rFonts w:asciiTheme="majorBidi" w:hAnsiTheme="majorBidi" w:cstheme="majorBidi"/>
                <w:sz w:val="20"/>
                <w:szCs w:val="20"/>
              </w:rPr>
            </w:pPr>
            <w:r>
              <w:rPr>
                <w:rFonts w:asciiTheme="majorBidi" w:hAnsiTheme="majorBidi" w:cstheme="majorBidi"/>
                <w:sz w:val="20"/>
                <w:szCs w:val="20"/>
                <w:lang w:val="fr"/>
              </w:rPr>
              <w:t>225 000</w:t>
            </w:r>
          </w:p>
        </w:tc>
        <w:tc>
          <w:tcPr>
            <w:tcW w:w="2042" w:type="dxa"/>
          </w:tcPr>
          <w:p w14:paraId="613A2ABB" w14:textId="77777777" w:rsidR="00477BB8" w:rsidRPr="00403308" w:rsidRDefault="00477BB8" w:rsidP="00F2642F">
            <w:pPr>
              <w:jc w:val="right"/>
              <w:rPr>
                <w:rFonts w:asciiTheme="majorBidi" w:hAnsiTheme="majorBidi" w:cstheme="majorBidi"/>
                <w:sz w:val="20"/>
                <w:szCs w:val="20"/>
              </w:rPr>
            </w:pPr>
            <w:r>
              <w:rPr>
                <w:rFonts w:asciiTheme="majorBidi" w:hAnsiTheme="majorBidi" w:cstheme="majorBidi"/>
                <w:sz w:val="20"/>
                <w:szCs w:val="20"/>
                <w:lang w:val="fr"/>
              </w:rPr>
              <w:t>32 911</w:t>
            </w:r>
          </w:p>
        </w:tc>
        <w:tc>
          <w:tcPr>
            <w:tcW w:w="1458" w:type="dxa"/>
          </w:tcPr>
          <w:p w14:paraId="0F8625BF" w14:textId="77777777" w:rsidR="00477BB8" w:rsidRPr="00403308" w:rsidRDefault="00477BB8" w:rsidP="00F2642F">
            <w:pPr>
              <w:jc w:val="right"/>
              <w:rPr>
                <w:rFonts w:asciiTheme="majorBidi" w:hAnsiTheme="majorBidi" w:cstheme="majorBidi"/>
                <w:sz w:val="20"/>
                <w:szCs w:val="20"/>
              </w:rPr>
            </w:pPr>
            <w:r>
              <w:rPr>
                <w:rFonts w:asciiTheme="majorBidi" w:hAnsiTheme="majorBidi" w:cstheme="majorBidi"/>
                <w:sz w:val="20"/>
                <w:szCs w:val="20"/>
                <w:lang w:val="fr"/>
              </w:rPr>
              <w:t>257 911</w:t>
            </w:r>
          </w:p>
        </w:tc>
      </w:tr>
      <w:tr w:rsidR="00477BB8" w14:paraId="2AE829DA" w14:textId="77777777" w:rsidTr="00F2642F">
        <w:trPr>
          <w:trHeight w:val="208"/>
        </w:trPr>
        <w:tc>
          <w:tcPr>
            <w:tcW w:w="2183" w:type="dxa"/>
          </w:tcPr>
          <w:p w14:paraId="72622B8A" w14:textId="77777777" w:rsidR="00477BB8" w:rsidRPr="00403308" w:rsidRDefault="00477BB8" w:rsidP="00F2642F">
            <w:pPr>
              <w:rPr>
                <w:rFonts w:asciiTheme="majorBidi" w:hAnsiTheme="majorBidi" w:cstheme="majorBidi"/>
                <w:sz w:val="20"/>
                <w:szCs w:val="20"/>
              </w:rPr>
            </w:pPr>
            <w:r>
              <w:rPr>
                <w:rFonts w:asciiTheme="majorBidi" w:hAnsiTheme="majorBidi" w:cstheme="majorBidi"/>
                <w:sz w:val="20"/>
                <w:szCs w:val="20"/>
                <w:lang w:val="fr"/>
              </w:rPr>
              <w:t>Transfert technologique</w:t>
            </w:r>
          </w:p>
        </w:tc>
        <w:tc>
          <w:tcPr>
            <w:tcW w:w="1750" w:type="dxa"/>
            <w:shd w:val="clear" w:color="auto" w:fill="auto"/>
          </w:tcPr>
          <w:p w14:paraId="3B2D2F37" w14:textId="77777777" w:rsidR="00477BB8" w:rsidRPr="00403308" w:rsidRDefault="00477BB8" w:rsidP="00F2642F">
            <w:pPr>
              <w:jc w:val="right"/>
              <w:rPr>
                <w:rFonts w:asciiTheme="majorBidi" w:hAnsiTheme="majorBidi" w:cstheme="majorBidi"/>
                <w:sz w:val="20"/>
                <w:szCs w:val="20"/>
              </w:rPr>
            </w:pPr>
            <w:r>
              <w:rPr>
                <w:rFonts w:asciiTheme="majorBidi" w:hAnsiTheme="majorBidi" w:cstheme="majorBidi"/>
                <w:sz w:val="20"/>
                <w:szCs w:val="20"/>
                <w:lang w:val="fr"/>
              </w:rPr>
              <w:t>78 300</w:t>
            </w:r>
          </w:p>
        </w:tc>
        <w:tc>
          <w:tcPr>
            <w:tcW w:w="1895" w:type="dxa"/>
          </w:tcPr>
          <w:p w14:paraId="4F7921FA" w14:textId="77777777" w:rsidR="00477BB8" w:rsidRPr="00403308" w:rsidRDefault="00477BB8" w:rsidP="00F2642F">
            <w:pPr>
              <w:jc w:val="right"/>
              <w:rPr>
                <w:rFonts w:asciiTheme="majorBidi" w:hAnsiTheme="majorBidi" w:cstheme="majorBidi"/>
                <w:sz w:val="20"/>
                <w:szCs w:val="20"/>
              </w:rPr>
            </w:pPr>
            <w:proofErr w:type="spellStart"/>
            <w:r>
              <w:rPr>
                <w:rFonts w:asciiTheme="majorBidi" w:hAnsiTheme="majorBidi" w:cstheme="majorBidi"/>
                <w:sz w:val="20"/>
                <w:szCs w:val="20"/>
                <w:lang w:val="fr"/>
              </w:rPr>
              <w:t>s.o</w:t>
            </w:r>
            <w:proofErr w:type="spellEnd"/>
            <w:r>
              <w:rPr>
                <w:rFonts w:asciiTheme="majorBidi" w:hAnsiTheme="majorBidi" w:cstheme="majorBidi"/>
                <w:sz w:val="20"/>
                <w:szCs w:val="20"/>
                <w:lang w:val="fr"/>
              </w:rPr>
              <w:t>.</w:t>
            </w:r>
          </w:p>
        </w:tc>
        <w:tc>
          <w:tcPr>
            <w:tcW w:w="2042" w:type="dxa"/>
          </w:tcPr>
          <w:p w14:paraId="75195B38" w14:textId="77777777" w:rsidR="00477BB8" w:rsidRPr="00403308" w:rsidRDefault="00477BB8" w:rsidP="00F2642F">
            <w:pPr>
              <w:jc w:val="right"/>
              <w:rPr>
                <w:rFonts w:asciiTheme="majorBidi" w:hAnsiTheme="majorBidi" w:cstheme="majorBidi"/>
                <w:sz w:val="20"/>
                <w:szCs w:val="20"/>
              </w:rPr>
            </w:pPr>
            <w:proofErr w:type="spellStart"/>
            <w:r>
              <w:rPr>
                <w:rFonts w:asciiTheme="majorBidi" w:hAnsiTheme="majorBidi" w:cstheme="majorBidi"/>
                <w:sz w:val="20"/>
                <w:szCs w:val="20"/>
                <w:lang w:val="fr"/>
              </w:rPr>
              <w:t>s.o</w:t>
            </w:r>
            <w:proofErr w:type="spellEnd"/>
            <w:r>
              <w:rPr>
                <w:rFonts w:asciiTheme="majorBidi" w:hAnsiTheme="majorBidi" w:cstheme="majorBidi"/>
                <w:sz w:val="20"/>
                <w:szCs w:val="20"/>
                <w:lang w:val="fr"/>
              </w:rPr>
              <w:t>.</w:t>
            </w:r>
          </w:p>
        </w:tc>
        <w:tc>
          <w:tcPr>
            <w:tcW w:w="1458" w:type="dxa"/>
          </w:tcPr>
          <w:p w14:paraId="68CD66A8" w14:textId="77777777" w:rsidR="00477BB8" w:rsidRPr="00403308" w:rsidRDefault="00477BB8" w:rsidP="00F2642F">
            <w:pPr>
              <w:jc w:val="right"/>
              <w:rPr>
                <w:rFonts w:asciiTheme="majorBidi" w:hAnsiTheme="majorBidi" w:cstheme="majorBidi"/>
                <w:sz w:val="20"/>
                <w:szCs w:val="20"/>
              </w:rPr>
            </w:pPr>
            <w:proofErr w:type="spellStart"/>
            <w:r>
              <w:rPr>
                <w:rFonts w:asciiTheme="majorBidi" w:hAnsiTheme="majorBidi" w:cstheme="majorBidi"/>
                <w:sz w:val="20"/>
                <w:szCs w:val="20"/>
                <w:lang w:val="fr"/>
              </w:rPr>
              <w:t>s.o</w:t>
            </w:r>
            <w:proofErr w:type="spellEnd"/>
            <w:r>
              <w:rPr>
                <w:rFonts w:asciiTheme="majorBidi" w:hAnsiTheme="majorBidi" w:cstheme="majorBidi"/>
                <w:sz w:val="20"/>
                <w:szCs w:val="20"/>
                <w:lang w:val="fr"/>
              </w:rPr>
              <w:t>.</w:t>
            </w:r>
          </w:p>
        </w:tc>
      </w:tr>
      <w:tr w:rsidR="00477BB8" w14:paraId="17FF6D46" w14:textId="77777777" w:rsidTr="00F2642F">
        <w:trPr>
          <w:trHeight w:val="208"/>
        </w:trPr>
        <w:tc>
          <w:tcPr>
            <w:tcW w:w="2183" w:type="dxa"/>
          </w:tcPr>
          <w:p w14:paraId="279A5C79" w14:textId="77777777" w:rsidR="00477BB8" w:rsidRPr="00403308" w:rsidRDefault="00477BB8" w:rsidP="00F2642F">
            <w:pPr>
              <w:rPr>
                <w:rFonts w:asciiTheme="majorBidi" w:hAnsiTheme="majorBidi" w:cstheme="majorBidi"/>
                <w:b/>
                <w:bCs/>
                <w:sz w:val="20"/>
                <w:szCs w:val="20"/>
              </w:rPr>
            </w:pPr>
            <w:r>
              <w:rPr>
                <w:rFonts w:asciiTheme="majorBidi" w:hAnsiTheme="majorBidi" w:cstheme="majorBidi"/>
                <w:b/>
                <w:bCs/>
                <w:sz w:val="20"/>
                <w:szCs w:val="20"/>
                <w:lang w:val="fr"/>
              </w:rPr>
              <w:t>Total</w:t>
            </w:r>
          </w:p>
        </w:tc>
        <w:tc>
          <w:tcPr>
            <w:tcW w:w="1750" w:type="dxa"/>
          </w:tcPr>
          <w:p w14:paraId="67DA6459" w14:textId="77777777" w:rsidR="00477BB8" w:rsidRPr="00403308" w:rsidRDefault="00477BB8" w:rsidP="00F2642F">
            <w:pPr>
              <w:jc w:val="right"/>
              <w:rPr>
                <w:rFonts w:asciiTheme="majorBidi" w:hAnsiTheme="majorBidi" w:cstheme="majorBidi"/>
                <w:b/>
                <w:bCs/>
                <w:sz w:val="20"/>
                <w:szCs w:val="20"/>
              </w:rPr>
            </w:pPr>
            <w:r>
              <w:rPr>
                <w:rFonts w:asciiTheme="majorBidi" w:hAnsiTheme="majorBidi" w:cstheme="majorBidi"/>
                <w:b/>
                <w:bCs/>
                <w:sz w:val="20"/>
                <w:szCs w:val="20"/>
                <w:lang w:val="fr"/>
              </w:rPr>
              <w:t>638 215</w:t>
            </w:r>
          </w:p>
        </w:tc>
        <w:tc>
          <w:tcPr>
            <w:tcW w:w="1895" w:type="dxa"/>
          </w:tcPr>
          <w:p w14:paraId="404894BB" w14:textId="77777777" w:rsidR="00477BB8" w:rsidRPr="00403308" w:rsidRDefault="00477BB8" w:rsidP="00F2642F">
            <w:pPr>
              <w:jc w:val="right"/>
              <w:rPr>
                <w:rFonts w:asciiTheme="majorBidi" w:hAnsiTheme="majorBidi" w:cstheme="majorBidi"/>
                <w:b/>
                <w:bCs/>
                <w:sz w:val="20"/>
                <w:szCs w:val="20"/>
              </w:rPr>
            </w:pPr>
            <w:r>
              <w:rPr>
                <w:rFonts w:asciiTheme="majorBidi" w:hAnsiTheme="majorBidi" w:cstheme="majorBidi"/>
                <w:b/>
                <w:bCs/>
                <w:sz w:val="20"/>
                <w:szCs w:val="20"/>
                <w:lang w:val="fr"/>
              </w:rPr>
              <w:t>375 000</w:t>
            </w:r>
          </w:p>
        </w:tc>
        <w:tc>
          <w:tcPr>
            <w:tcW w:w="2042" w:type="dxa"/>
          </w:tcPr>
          <w:p w14:paraId="3B7EA113" w14:textId="77777777" w:rsidR="00477BB8" w:rsidRPr="00403308" w:rsidRDefault="00477BB8" w:rsidP="00F2642F">
            <w:pPr>
              <w:jc w:val="right"/>
              <w:rPr>
                <w:rFonts w:asciiTheme="majorBidi" w:hAnsiTheme="majorBidi" w:cstheme="majorBidi"/>
                <w:b/>
                <w:bCs/>
                <w:sz w:val="20"/>
                <w:szCs w:val="20"/>
              </w:rPr>
            </w:pPr>
            <w:r>
              <w:rPr>
                <w:rFonts w:asciiTheme="majorBidi" w:hAnsiTheme="majorBidi" w:cstheme="majorBidi"/>
                <w:b/>
                <w:bCs/>
                <w:sz w:val="20"/>
                <w:szCs w:val="20"/>
                <w:lang w:val="fr"/>
              </w:rPr>
              <w:t>40 689</w:t>
            </w:r>
          </w:p>
        </w:tc>
        <w:tc>
          <w:tcPr>
            <w:tcW w:w="1458" w:type="dxa"/>
          </w:tcPr>
          <w:p w14:paraId="03F63943" w14:textId="77777777" w:rsidR="00477BB8" w:rsidRPr="00403308" w:rsidRDefault="00477BB8" w:rsidP="00F2642F">
            <w:pPr>
              <w:jc w:val="right"/>
              <w:rPr>
                <w:rFonts w:asciiTheme="majorBidi" w:hAnsiTheme="majorBidi" w:cstheme="majorBidi"/>
                <w:b/>
                <w:bCs/>
                <w:sz w:val="20"/>
                <w:szCs w:val="20"/>
              </w:rPr>
            </w:pPr>
            <w:r>
              <w:rPr>
                <w:rFonts w:asciiTheme="majorBidi" w:hAnsiTheme="majorBidi" w:cstheme="majorBidi"/>
                <w:b/>
                <w:bCs/>
                <w:sz w:val="20"/>
                <w:szCs w:val="20"/>
                <w:lang w:val="fr"/>
              </w:rPr>
              <w:t>415 689</w:t>
            </w:r>
          </w:p>
        </w:tc>
      </w:tr>
    </w:tbl>
    <w:p w14:paraId="3D0FD72B" w14:textId="69207166" w:rsidR="00477BB8" w:rsidRPr="00477BB8" w:rsidRDefault="00477BB8" w:rsidP="00477BB8">
      <w:pPr>
        <w:pStyle w:val="Heading1"/>
        <w:spacing w:before="240"/>
        <w:rPr>
          <w:lang w:val="fr-FR"/>
        </w:rPr>
      </w:pPr>
      <w:r>
        <w:rPr>
          <w:lang w:val="fr"/>
        </w:rPr>
        <w:t xml:space="preserve">En fonction de la consommation d’énergie de référence par modèle, </w:t>
      </w:r>
      <w:r w:rsidR="00D01254">
        <w:rPr>
          <w:lang w:val="fr"/>
        </w:rPr>
        <w:t xml:space="preserve">de </w:t>
      </w:r>
      <w:r>
        <w:rPr>
          <w:lang w:val="fr"/>
        </w:rPr>
        <w:t xml:space="preserve">l’efficacité énergétique ciblée et </w:t>
      </w:r>
      <w:r w:rsidR="00F0226B">
        <w:rPr>
          <w:lang w:val="fr"/>
        </w:rPr>
        <w:t>du</w:t>
      </w:r>
      <w:r>
        <w:rPr>
          <w:lang w:val="fr"/>
        </w:rPr>
        <w:t xml:space="preserve"> nombre d’unités de chaque modèle fabriqué par les entreprises,</w:t>
      </w:r>
      <w:r>
        <w:rPr>
          <w:rStyle w:val="FootnoteReference"/>
          <w:lang w:val="fr"/>
        </w:rPr>
        <w:footnoteReference w:id="10"/>
      </w:r>
      <w:r>
        <w:rPr>
          <w:lang w:val="fr"/>
        </w:rPr>
        <w:t xml:space="preserve"> les économies d’énergie cumulées s’élèvent à 61 331 361 kWh/an. En fonction des coûts convenus de 415 689 $ US, cela entraîne un rapport coût-efficacité de cette composante de projet de 0,007/kWh/an ou 2,47/kWh/jour.</w:t>
      </w:r>
    </w:p>
    <w:p w14:paraId="23BE6411" w14:textId="410DECCD" w:rsidR="00477BB8" w:rsidRPr="00477BB8" w:rsidRDefault="00477BB8" w:rsidP="00477BB8">
      <w:pPr>
        <w:pStyle w:val="Heading1"/>
        <w:rPr>
          <w:lang w:val="fr-FR"/>
        </w:rPr>
      </w:pPr>
      <w:r>
        <w:rPr>
          <w:lang w:val="fr"/>
        </w:rPr>
        <w:t>Le Secrétariat et la Banque mondiale ont mené des discussions détaillées sur les conditions spécifiées aux paragraphes 36 du document UNEP/</w:t>
      </w:r>
      <w:proofErr w:type="spellStart"/>
      <w:r>
        <w:rPr>
          <w:lang w:val="fr"/>
        </w:rPr>
        <w:t>OzL.Pro</w:t>
      </w:r>
      <w:proofErr w:type="spellEnd"/>
      <w:r>
        <w:rPr>
          <w:lang w:val="fr"/>
        </w:rPr>
        <w:t>/</w:t>
      </w:r>
      <w:proofErr w:type="spellStart"/>
      <w:r>
        <w:rPr>
          <w:lang w:val="fr"/>
        </w:rPr>
        <w:t>ExCom</w:t>
      </w:r>
      <w:proofErr w:type="spellEnd"/>
      <w:r>
        <w:rPr>
          <w:lang w:val="fr"/>
        </w:rPr>
        <w:t xml:space="preserve">/94/61 qui exige que si le projet prend plus de trois ans à partir de la fin du mois durant lequel le projet a été approuvé par le Comité exécutif, la </w:t>
      </w:r>
      <w:r>
        <w:rPr>
          <w:lang w:val="fr"/>
        </w:rPr>
        <w:lastRenderedPageBreak/>
        <w:t xml:space="preserve">mesure d’incitation ne soit pas disponible, et que tout financement fourni à l’entreprise soit restitué au Fonds multilatéral. À titre exceptionnel, et </w:t>
      </w:r>
      <w:r w:rsidR="00695404">
        <w:rPr>
          <w:lang w:val="fr"/>
        </w:rPr>
        <w:t>compte tenu</w:t>
      </w:r>
      <w:r>
        <w:rPr>
          <w:lang w:val="fr"/>
        </w:rPr>
        <w:t xml:space="preserve"> des informations fournies par la Banque mondiale sur le calendrier de mise en œuvre prévu, le Secrétariat a proposé que s’il y avait du retard dans le projet et que les entreprises ne sont pas en mesure de fabriquer les équipements aux niveaux d’efficacité énergétique ciblés proposés (ou mieux) en trois ans, les étapes suivantes aient lieu :</w:t>
      </w:r>
    </w:p>
    <w:p w14:paraId="5A1192AD" w14:textId="77777777" w:rsidR="00477BB8" w:rsidRPr="00477BB8" w:rsidRDefault="00477BB8" w:rsidP="00477BB8">
      <w:pPr>
        <w:pStyle w:val="Heading2"/>
        <w:rPr>
          <w:lang w:val="fr-FR"/>
        </w:rPr>
      </w:pPr>
      <w:r>
        <w:rPr>
          <w:u w:val="single"/>
          <w:lang w:val="fr"/>
        </w:rPr>
        <w:t>À la fin de la première année après 36 mois :</w:t>
      </w:r>
      <w:r>
        <w:rPr>
          <w:lang w:val="fr"/>
        </w:rPr>
        <w:t xml:space="preserve"> les entreprises soumettraient un rapport annuel sur la situation du projet, comprenant l’efficacité énergétique des équipements fabriqués, les raisons du retard et les mesures prévues pour remettre les projets sur la bonne voie ;</w:t>
      </w:r>
    </w:p>
    <w:p w14:paraId="6F34E105" w14:textId="77777777" w:rsidR="00477BB8" w:rsidRPr="00477BB8" w:rsidRDefault="00477BB8" w:rsidP="00477BB8">
      <w:pPr>
        <w:pStyle w:val="Heading2"/>
        <w:rPr>
          <w:lang w:val="fr-FR"/>
        </w:rPr>
      </w:pPr>
      <w:r>
        <w:rPr>
          <w:u w:val="single"/>
          <w:lang w:val="fr"/>
        </w:rPr>
        <w:t>À la fin de la deuxième année après 36 mois :</w:t>
      </w:r>
      <w:r>
        <w:rPr>
          <w:lang w:val="fr"/>
        </w:rPr>
        <w:t xml:space="preserve"> si les entreprises ne sont pas capables d’atteindre les niveaux d’efficacité énergétique proposés à la fin de la deuxième année après la date d’achèvement du projet (à savoir le 31 décembre 2029), la mesure incitative supplémentaire liée aux composants ne sera pas fournie aux entreprises et sera à la place restituée au Fonds multilatéral. </w:t>
      </w:r>
    </w:p>
    <w:p w14:paraId="5AA9656A" w14:textId="45FCC705" w:rsidR="00477BB8" w:rsidRPr="00477BB8" w:rsidRDefault="00477BB8" w:rsidP="00477BB8">
      <w:pPr>
        <w:pStyle w:val="Heading1"/>
        <w:rPr>
          <w:lang w:val="fr-FR"/>
        </w:rPr>
      </w:pPr>
      <w:r>
        <w:rPr>
          <w:lang w:val="fr"/>
        </w:rPr>
        <w:t>En outre, le Secrétariat a estimé que certains des coûts d’investissement supplémentaires fournis aux entreprises devraient être restitués au Fonds multilatéral, de noter qu’il est probable que durant les cinq ans écoulés depuis l’approbation du projet, les entreprises auraient investi leurs propres ressources afin d’améliorer l’efficacité énergétique des équipements qu’elles fabriquent dans le cadre d’un scénario de maintien du statu quo afin de rester compétitives. Dans les faits, cela constituerait un mécanisme de partage des risques liés à l’investissement de coûts d’investissement supplémentaire</w:t>
      </w:r>
      <w:r w:rsidR="00D6178B">
        <w:rPr>
          <w:lang w:val="fr"/>
        </w:rPr>
        <w:t>s</w:t>
      </w:r>
      <w:r>
        <w:rPr>
          <w:lang w:val="fr"/>
        </w:rPr>
        <w:t>, ce qui dans le cas présent constitue la majorité du financement pour le projet soumis au titre de la décision 94/60. Le Secrétariat a suggéré que dans un tel cas, 50 pour cent des coûts d’investissement supplémentaires soient restitués au Fonds multilatéral.</w:t>
      </w:r>
    </w:p>
    <w:p w14:paraId="2FA4833A" w14:textId="415AF3C5" w:rsidR="00477BB8" w:rsidRPr="00477BB8" w:rsidRDefault="00477BB8" w:rsidP="00477BB8">
      <w:pPr>
        <w:pStyle w:val="Heading1"/>
        <w:rPr>
          <w:lang w:val="fr-FR"/>
        </w:rPr>
      </w:pPr>
      <w:r>
        <w:rPr>
          <w:lang w:val="fr"/>
        </w:rPr>
        <w:t xml:space="preserve">La Banque mondiale a expliqué qu’une condition de performance qui nécessite une </w:t>
      </w:r>
      <w:r w:rsidR="00A64C49">
        <w:rPr>
          <w:lang w:val="fr"/>
        </w:rPr>
        <w:t xml:space="preserve">restitution des coûts d’investissement supplémentaires approuvés et décaissés était </w:t>
      </w:r>
      <w:r>
        <w:rPr>
          <w:lang w:val="fr"/>
        </w:rPr>
        <w:t>inacceptable en raison des difficultés à convaincre les entreprises qui prennent les risques liés à l’adoption de nouvelles technologies, y compris l’investissement en temps et en ressources pour l’adoption de ces technologies. En outre, la Banque mondiale a estimé qu’elle n’avait pas de mécanisme en place capable de permettre une telle restitution et que la demande de restitution de financement décaissé était sans précédent au sein des projets soutenus par le Fonds multilatéral ; en effet habituellement, seuls les soldes restants (non dépensés) sont restitués pour les projets inachevés ou annulés.</w:t>
      </w:r>
    </w:p>
    <w:p w14:paraId="554B1B3D" w14:textId="25B99944" w:rsidR="00477BB8" w:rsidRPr="00477BB8" w:rsidRDefault="00477BB8" w:rsidP="00477BB8">
      <w:pPr>
        <w:pStyle w:val="Heading1"/>
        <w:rPr>
          <w:lang w:val="fr-FR"/>
        </w:rPr>
      </w:pPr>
      <w:r>
        <w:rPr>
          <w:lang w:val="fr"/>
        </w:rPr>
        <w:t xml:space="preserve">Comme aucun accord n’a été </w:t>
      </w:r>
      <w:r w:rsidR="00CF670F">
        <w:rPr>
          <w:lang w:val="fr"/>
        </w:rPr>
        <w:t>trouvé</w:t>
      </w:r>
      <w:r>
        <w:rPr>
          <w:lang w:val="fr"/>
        </w:rPr>
        <w:t xml:space="preserve"> sur ce point, le Secrétariat souhaite demander conseil au Comité exécutif pour savoir si une restitution des coûts d’investissement supplémentaires dans le cas où les entreprises ne seraient pas en mesure d’atteindre les objectifs d’efficacité énergétique d’ici le 31 décembre 2029 serait appropriée ou non et, si c’était le cas, à quel niveau de restitution.</w:t>
      </w:r>
    </w:p>
    <w:p w14:paraId="3D60E4D4" w14:textId="77777777" w:rsidR="00477BB8" w:rsidRPr="007E1CDA" w:rsidRDefault="00477BB8" w:rsidP="00477BB8">
      <w:pPr>
        <w:rPr>
          <w:i/>
          <w:iCs/>
          <w:color w:val="000000"/>
          <w:shd w:val="clear" w:color="auto" w:fill="FFFFFF"/>
        </w:rPr>
      </w:pPr>
      <w:r>
        <w:rPr>
          <w:i/>
          <w:iCs/>
          <w:color w:val="000000"/>
          <w:shd w:val="clear" w:color="auto" w:fill="FFFFFF"/>
          <w:lang w:val="fr"/>
        </w:rPr>
        <w:t>Activités au niveau politique</w:t>
      </w:r>
    </w:p>
    <w:p w14:paraId="4937618C" w14:textId="77777777" w:rsidR="00477BB8" w:rsidRDefault="00477BB8" w:rsidP="00477BB8"/>
    <w:p w14:paraId="6CA60B1A" w14:textId="12F2F96D" w:rsidR="00477BB8" w:rsidRPr="00477BB8" w:rsidRDefault="00477BB8" w:rsidP="00477BB8">
      <w:pPr>
        <w:pStyle w:val="Heading1"/>
        <w:rPr>
          <w:lang w:val="fr-FR"/>
        </w:rPr>
      </w:pPr>
      <w:r>
        <w:rPr>
          <w:lang w:val="fr"/>
        </w:rPr>
        <w:t xml:space="preserve">Le Secrétariat et la Banque mondiale ont mené des discussions détaillées sur les coûts des activités proposées. Concernant l’amélioration de l’enceinte climatique de tests, que le Secrétariat estime être nécessaire pour la pérennité à long terme du projet, </w:t>
      </w:r>
      <w:r w:rsidR="00163A89">
        <w:rPr>
          <w:lang w:val="fr"/>
        </w:rPr>
        <w:t>l</w:t>
      </w:r>
      <w:r>
        <w:rPr>
          <w:lang w:val="fr"/>
        </w:rPr>
        <w:t>a Banque mondiale a expliqué que les coûts de mise à niveau étaient estimés en fonction des systèmes de tests déjà achetés par le SIRIM ;</w:t>
      </w:r>
      <w:r>
        <w:rPr>
          <w:rStyle w:val="FootnoteReference"/>
          <w:lang w:val="fr"/>
        </w:rPr>
        <w:footnoteReference w:id="11"/>
      </w:r>
      <w:r>
        <w:rPr>
          <w:lang w:val="fr"/>
        </w:rPr>
        <w:t xml:space="preserve"> et basés sur des consultations auprès de fournisseurs d’équipements de tests, qui ont suggéré que le coût pour un système de test pouvant accommoder un module pour les équipements de réfrigération commerciale serait entre 500 000 et 700 000 $ US. Un montant plus faible était demandé, car l’enceinte climatique existante, qui est </w:t>
      </w:r>
      <w:r>
        <w:rPr>
          <w:lang w:val="fr"/>
        </w:rPr>
        <w:lastRenderedPageBreak/>
        <w:t xml:space="preserve">déjà en mesure de tester les équipements en question avec une charge au R-290, peut être modifiée au lieu de racheter une nouvelle enceinte climatique. De noter que les coûts étaient incertains, le Secrétariat a proposé que le Fonds multilatéral fournisse trois quarts du financement demandé (soit, 225 000 $ US), et que le Gouvernement cofinance le quart restant (soit 75 000 $ US), si un tel financement supplémentaire s’avérait nécessaire. La Banque mondiale </w:t>
      </w:r>
      <w:r w:rsidR="00BE3AF4">
        <w:rPr>
          <w:lang w:val="fr"/>
        </w:rPr>
        <w:t>a exprimé son désaccord</w:t>
      </w:r>
      <w:r>
        <w:rPr>
          <w:lang w:val="fr"/>
        </w:rPr>
        <w:t>, de noter que l’estimation de coûts était plutôt prudente et qu’ils pourraient s’avérer plus élevés. Le Secrétariat comprend que la Banque mondiale estime que le coût estimé de 300 000 $ US est la meilleure estimation disponible. Le Secrétariat a convenu des coûts conformément à la demande, de noter que ces coûts sont incertains.</w:t>
      </w:r>
    </w:p>
    <w:p w14:paraId="3904DD15" w14:textId="57834A2F" w:rsidR="00477BB8" w:rsidRPr="00477BB8" w:rsidRDefault="00477BB8" w:rsidP="00477BB8">
      <w:pPr>
        <w:pStyle w:val="Heading1"/>
        <w:rPr>
          <w:rFonts w:asciiTheme="majorBidi" w:hAnsiTheme="majorBidi" w:cstheme="majorBidi"/>
          <w:lang w:val="fr-FR"/>
        </w:rPr>
      </w:pPr>
      <w:r>
        <w:rPr>
          <w:lang w:val="fr"/>
        </w:rPr>
        <w:t>Concernant le coût d’une étude et analyse de marché pour le développement des normes de performance énergétique minimale, de développement des normes de performance énergétique minimale, des directives, des protocoles de tests, et du développement des directives et protocoles de tests ETV, la Banque mondiale a estimé ces coûts en se basant sur des projets précédents de développement de normes de performance énergétique minimale pour d’autres applications dans d’autres pays. Le Secrétariat estime que les coûts agrégés pour ces activités sont raisonnables. Concernant le besoin de tournées d’étude, la Banque mondiale a clarifié que c’est nécessaire pour comprendre les normes régionales, les problèmes de mise en œuvre rencontrés par d’autres pays et pour coordonner le développement des normes de performance énergétique minimale et des normes volontaires avec l’ANASE</w:t>
      </w:r>
      <w:r w:rsidR="005958FE">
        <w:rPr>
          <w:rStyle w:val="FootnoteReference"/>
        </w:rPr>
        <w:footnoteReference w:id="12"/>
      </w:r>
      <w:r>
        <w:rPr>
          <w:lang w:val="fr"/>
        </w:rPr>
        <w:t xml:space="preserve"> et les partenaires régionaux. Par conséquent, il a été convenu que 50 000 $ US seraient </w:t>
      </w:r>
      <w:r w:rsidR="00CC4A1F">
        <w:rPr>
          <w:lang w:val="fr"/>
        </w:rPr>
        <w:t>alloués</w:t>
      </w:r>
      <w:r>
        <w:rPr>
          <w:lang w:val="fr"/>
        </w:rPr>
        <w:t xml:space="preserve"> à l’assistance technique pour permettre une telle coordination, comme résumé au tableau 4 ci-dessous. Ces coûts seraient financés dans le cadre de la fenêtre de financement établie </w:t>
      </w:r>
      <w:r w:rsidR="005B0BC5">
        <w:rPr>
          <w:lang w:val="fr"/>
        </w:rPr>
        <w:t>au titre</w:t>
      </w:r>
      <w:r>
        <w:rPr>
          <w:lang w:val="fr"/>
        </w:rPr>
        <w:t xml:space="preserve"> de la décision 91/65.</w:t>
      </w:r>
    </w:p>
    <w:p w14:paraId="0AA23331" w14:textId="77777777" w:rsidR="00477BB8" w:rsidRPr="00477BB8" w:rsidRDefault="00477BB8" w:rsidP="00477BB8">
      <w:pPr>
        <w:rPr>
          <w:rFonts w:asciiTheme="majorBidi" w:hAnsiTheme="majorBidi" w:cstheme="majorBidi"/>
          <w:b/>
          <w:bCs/>
          <w:lang w:val="fr-FR"/>
        </w:rPr>
      </w:pPr>
      <w:r>
        <w:rPr>
          <w:rFonts w:asciiTheme="majorBidi" w:hAnsiTheme="majorBidi" w:cstheme="majorBidi"/>
          <w:b/>
          <w:bCs/>
          <w:lang w:val="fr"/>
        </w:rPr>
        <w:t>Tableau 4 : Coûts convenus pour des activités au niveau politique d’amélioration de l’efficacité énergétique des équipements de réfrigération commerciale autonomes en Malaisie ($ US)</w:t>
      </w:r>
    </w:p>
    <w:tbl>
      <w:tblPr>
        <w:tblW w:w="5228" w:type="pct"/>
        <w:jc w:val="center"/>
        <w:tblLayout w:type="fixed"/>
        <w:tblLook w:val="04A0" w:firstRow="1" w:lastRow="0" w:firstColumn="1" w:lastColumn="0" w:noHBand="0" w:noVBand="1"/>
      </w:tblPr>
      <w:tblGrid>
        <w:gridCol w:w="704"/>
        <w:gridCol w:w="2978"/>
        <w:gridCol w:w="1558"/>
        <w:gridCol w:w="3545"/>
        <w:gridCol w:w="991"/>
      </w:tblGrid>
      <w:tr w:rsidR="00477BB8" w:rsidRPr="00410E3C" w14:paraId="4BE07019" w14:textId="77777777" w:rsidTr="00D10513">
        <w:trPr>
          <w:cantSplit/>
          <w:trHeight w:val="510"/>
          <w:jc w:val="center"/>
        </w:trPr>
        <w:tc>
          <w:tcPr>
            <w:tcW w:w="360" w:type="pct"/>
            <w:tcBorders>
              <w:top w:val="single" w:sz="4" w:space="0" w:color="auto"/>
              <w:left w:val="single" w:sz="4" w:space="0" w:color="auto"/>
              <w:bottom w:val="single" w:sz="4" w:space="0" w:color="auto"/>
              <w:right w:val="single" w:sz="4" w:space="0" w:color="auto"/>
            </w:tcBorders>
            <w:vAlign w:val="center"/>
            <w:hideMark/>
          </w:tcPr>
          <w:p w14:paraId="0B9299FF" w14:textId="77777777" w:rsidR="00477BB8" w:rsidRPr="00410E3C" w:rsidRDefault="00477BB8" w:rsidP="00F2642F">
            <w:pPr>
              <w:jc w:val="center"/>
              <w:rPr>
                <w:b/>
                <w:bCs/>
                <w:color w:val="000000"/>
                <w:sz w:val="20"/>
                <w:szCs w:val="20"/>
              </w:rPr>
            </w:pPr>
            <w:r>
              <w:rPr>
                <w:b/>
                <w:bCs/>
                <w:color w:val="000000"/>
                <w:sz w:val="20"/>
                <w:szCs w:val="20"/>
                <w:lang w:val="fr"/>
              </w:rPr>
              <w:t>Poste</w:t>
            </w:r>
          </w:p>
        </w:tc>
        <w:tc>
          <w:tcPr>
            <w:tcW w:w="1523" w:type="pct"/>
            <w:tcBorders>
              <w:top w:val="single" w:sz="4" w:space="0" w:color="auto"/>
              <w:left w:val="nil"/>
              <w:bottom w:val="single" w:sz="4" w:space="0" w:color="auto"/>
              <w:right w:val="single" w:sz="4" w:space="0" w:color="auto"/>
            </w:tcBorders>
            <w:vAlign w:val="center"/>
            <w:hideMark/>
          </w:tcPr>
          <w:p w14:paraId="122A9226" w14:textId="77777777" w:rsidR="00477BB8" w:rsidRPr="00410E3C" w:rsidRDefault="00477BB8" w:rsidP="00F2642F">
            <w:pPr>
              <w:jc w:val="center"/>
              <w:rPr>
                <w:b/>
                <w:bCs/>
                <w:color w:val="000000"/>
                <w:sz w:val="20"/>
                <w:szCs w:val="20"/>
              </w:rPr>
            </w:pPr>
            <w:r>
              <w:rPr>
                <w:b/>
                <w:bCs/>
                <w:color w:val="000000"/>
                <w:sz w:val="20"/>
                <w:szCs w:val="20"/>
                <w:lang w:val="fr"/>
              </w:rPr>
              <w:t>Activité</w:t>
            </w:r>
          </w:p>
        </w:tc>
        <w:tc>
          <w:tcPr>
            <w:tcW w:w="797" w:type="pct"/>
            <w:tcBorders>
              <w:top w:val="single" w:sz="4" w:space="0" w:color="auto"/>
              <w:left w:val="nil"/>
              <w:bottom w:val="single" w:sz="4" w:space="0" w:color="auto"/>
              <w:right w:val="single" w:sz="4" w:space="0" w:color="auto"/>
            </w:tcBorders>
            <w:vAlign w:val="center"/>
            <w:hideMark/>
          </w:tcPr>
          <w:p w14:paraId="06356C5D" w14:textId="3DAA70B2" w:rsidR="00477BB8" w:rsidRPr="00B70E7E" w:rsidRDefault="00B70E7E" w:rsidP="00F2642F">
            <w:pPr>
              <w:jc w:val="center"/>
              <w:rPr>
                <w:b/>
                <w:bCs/>
                <w:color w:val="000000"/>
                <w:sz w:val="20"/>
                <w:szCs w:val="20"/>
                <w:lang w:val="fr-CH"/>
              </w:rPr>
            </w:pPr>
            <w:r w:rsidRPr="00B70E7E">
              <w:rPr>
                <w:b/>
                <w:bCs/>
                <w:color w:val="000000"/>
                <w:sz w:val="20"/>
                <w:szCs w:val="20"/>
                <w:lang w:val="fr-CH"/>
              </w:rPr>
              <w:t>Conformément</w:t>
            </w:r>
            <w:r w:rsidR="00477BB8" w:rsidRPr="00B70E7E">
              <w:rPr>
                <w:b/>
                <w:bCs/>
                <w:color w:val="000000"/>
                <w:sz w:val="20"/>
                <w:szCs w:val="20"/>
                <w:lang w:val="fr-CH"/>
              </w:rPr>
              <w:t xml:space="preserve"> à la demande</w:t>
            </w:r>
          </w:p>
        </w:tc>
        <w:tc>
          <w:tcPr>
            <w:tcW w:w="1813" w:type="pct"/>
            <w:tcBorders>
              <w:top w:val="single" w:sz="4" w:space="0" w:color="auto"/>
              <w:left w:val="nil"/>
              <w:bottom w:val="single" w:sz="4" w:space="0" w:color="auto"/>
              <w:right w:val="single" w:sz="4" w:space="0" w:color="auto"/>
            </w:tcBorders>
            <w:vAlign w:val="center"/>
            <w:hideMark/>
          </w:tcPr>
          <w:p w14:paraId="4A8AD3DF" w14:textId="77777777" w:rsidR="00477BB8" w:rsidRPr="00410E3C" w:rsidRDefault="00477BB8" w:rsidP="00F2642F">
            <w:pPr>
              <w:jc w:val="center"/>
              <w:rPr>
                <w:b/>
                <w:bCs/>
                <w:color w:val="000000"/>
                <w:sz w:val="20"/>
                <w:szCs w:val="20"/>
              </w:rPr>
            </w:pPr>
            <w:r>
              <w:rPr>
                <w:b/>
                <w:bCs/>
                <w:color w:val="000000"/>
                <w:sz w:val="20"/>
                <w:szCs w:val="20"/>
                <w:lang w:val="fr"/>
              </w:rPr>
              <w:t>Activité</w:t>
            </w:r>
          </w:p>
        </w:tc>
        <w:tc>
          <w:tcPr>
            <w:tcW w:w="507" w:type="pct"/>
            <w:tcBorders>
              <w:top w:val="single" w:sz="4" w:space="0" w:color="auto"/>
              <w:left w:val="nil"/>
              <w:bottom w:val="single" w:sz="4" w:space="0" w:color="auto"/>
              <w:right w:val="single" w:sz="4" w:space="0" w:color="auto"/>
            </w:tcBorders>
            <w:vAlign w:val="center"/>
            <w:hideMark/>
          </w:tcPr>
          <w:p w14:paraId="4AEEF2AB" w14:textId="463EBEC9" w:rsidR="00477BB8" w:rsidRPr="00410E3C" w:rsidRDefault="00477BB8" w:rsidP="00F2642F">
            <w:pPr>
              <w:jc w:val="center"/>
              <w:rPr>
                <w:b/>
                <w:bCs/>
                <w:color w:val="000000"/>
                <w:sz w:val="20"/>
                <w:szCs w:val="20"/>
              </w:rPr>
            </w:pPr>
            <w:r>
              <w:rPr>
                <w:b/>
                <w:bCs/>
                <w:color w:val="000000"/>
                <w:sz w:val="20"/>
                <w:szCs w:val="20"/>
                <w:lang w:val="fr"/>
              </w:rPr>
              <w:t>Convenu</w:t>
            </w:r>
          </w:p>
        </w:tc>
      </w:tr>
      <w:tr w:rsidR="00477BB8" w:rsidRPr="00410E3C" w14:paraId="4330947E" w14:textId="77777777" w:rsidTr="004D3F06">
        <w:trPr>
          <w:cantSplit/>
          <w:trHeight w:val="255"/>
          <w:jc w:val="center"/>
        </w:trPr>
        <w:tc>
          <w:tcPr>
            <w:tcW w:w="360" w:type="pct"/>
            <w:tcBorders>
              <w:top w:val="nil"/>
              <w:left w:val="single" w:sz="4" w:space="0" w:color="auto"/>
              <w:bottom w:val="single" w:sz="4" w:space="0" w:color="auto"/>
              <w:right w:val="single" w:sz="4" w:space="0" w:color="auto"/>
            </w:tcBorders>
            <w:vAlign w:val="center"/>
            <w:hideMark/>
          </w:tcPr>
          <w:p w14:paraId="7C395116" w14:textId="77777777" w:rsidR="00477BB8" w:rsidRPr="00410E3C" w:rsidRDefault="00477BB8" w:rsidP="00F2642F">
            <w:pPr>
              <w:jc w:val="center"/>
              <w:rPr>
                <w:color w:val="000000"/>
                <w:sz w:val="20"/>
                <w:szCs w:val="20"/>
              </w:rPr>
            </w:pPr>
            <w:r>
              <w:rPr>
                <w:color w:val="000000"/>
                <w:sz w:val="20"/>
                <w:szCs w:val="20"/>
                <w:lang w:val="fr"/>
              </w:rPr>
              <w:t>1</w:t>
            </w:r>
          </w:p>
        </w:tc>
        <w:tc>
          <w:tcPr>
            <w:tcW w:w="1523" w:type="pct"/>
            <w:tcBorders>
              <w:top w:val="nil"/>
              <w:left w:val="nil"/>
              <w:bottom w:val="single" w:sz="4" w:space="0" w:color="auto"/>
              <w:right w:val="single" w:sz="4" w:space="0" w:color="auto"/>
            </w:tcBorders>
            <w:vAlign w:val="center"/>
            <w:hideMark/>
          </w:tcPr>
          <w:p w14:paraId="3DE8A94F" w14:textId="77777777" w:rsidR="00477BB8" w:rsidRPr="00477BB8" w:rsidRDefault="00477BB8" w:rsidP="00F2642F">
            <w:pPr>
              <w:rPr>
                <w:color w:val="000000"/>
                <w:sz w:val="20"/>
                <w:szCs w:val="20"/>
                <w:lang w:val="fr-FR"/>
              </w:rPr>
            </w:pPr>
            <w:r>
              <w:rPr>
                <w:color w:val="000000"/>
                <w:sz w:val="20"/>
                <w:szCs w:val="20"/>
                <w:lang w:val="fr"/>
              </w:rPr>
              <w:t>Mise à niveau de l’enceinte climatique de tests</w:t>
            </w:r>
          </w:p>
        </w:tc>
        <w:tc>
          <w:tcPr>
            <w:tcW w:w="797" w:type="pct"/>
            <w:tcBorders>
              <w:top w:val="nil"/>
              <w:left w:val="nil"/>
              <w:bottom w:val="single" w:sz="4" w:space="0" w:color="auto"/>
              <w:right w:val="single" w:sz="4" w:space="0" w:color="auto"/>
            </w:tcBorders>
            <w:vAlign w:val="center"/>
            <w:hideMark/>
          </w:tcPr>
          <w:p w14:paraId="21B42055" w14:textId="77777777" w:rsidR="00477BB8" w:rsidRPr="00410E3C" w:rsidRDefault="00477BB8" w:rsidP="00F2642F">
            <w:pPr>
              <w:jc w:val="right"/>
              <w:rPr>
                <w:color w:val="000000"/>
                <w:sz w:val="20"/>
                <w:szCs w:val="20"/>
              </w:rPr>
            </w:pPr>
            <w:r>
              <w:rPr>
                <w:color w:val="000000"/>
                <w:sz w:val="20"/>
                <w:szCs w:val="20"/>
                <w:lang w:val="fr"/>
              </w:rPr>
              <w:t>300 000</w:t>
            </w:r>
          </w:p>
        </w:tc>
        <w:tc>
          <w:tcPr>
            <w:tcW w:w="1813" w:type="pct"/>
            <w:tcBorders>
              <w:top w:val="nil"/>
              <w:left w:val="nil"/>
              <w:bottom w:val="single" w:sz="4" w:space="0" w:color="auto"/>
              <w:right w:val="single" w:sz="4" w:space="0" w:color="auto"/>
            </w:tcBorders>
            <w:vAlign w:val="center"/>
            <w:hideMark/>
          </w:tcPr>
          <w:p w14:paraId="16490E2F" w14:textId="77777777" w:rsidR="00477BB8" w:rsidRPr="00477BB8" w:rsidRDefault="00477BB8" w:rsidP="00F2642F">
            <w:pPr>
              <w:rPr>
                <w:color w:val="000000"/>
                <w:sz w:val="20"/>
                <w:szCs w:val="20"/>
                <w:lang w:val="fr-FR"/>
              </w:rPr>
            </w:pPr>
            <w:r>
              <w:rPr>
                <w:color w:val="000000"/>
                <w:sz w:val="20"/>
                <w:szCs w:val="20"/>
                <w:lang w:val="fr"/>
              </w:rPr>
              <w:t>Mise à niveau de l’enceinte climatique de tests</w:t>
            </w:r>
          </w:p>
        </w:tc>
        <w:tc>
          <w:tcPr>
            <w:tcW w:w="507" w:type="pct"/>
            <w:tcBorders>
              <w:top w:val="nil"/>
              <w:left w:val="nil"/>
              <w:bottom w:val="single" w:sz="4" w:space="0" w:color="auto"/>
              <w:right w:val="single" w:sz="4" w:space="0" w:color="auto"/>
            </w:tcBorders>
            <w:noWrap/>
            <w:vAlign w:val="center"/>
            <w:hideMark/>
          </w:tcPr>
          <w:p w14:paraId="0BB1E87C" w14:textId="77777777" w:rsidR="00477BB8" w:rsidRPr="00410E3C" w:rsidRDefault="00477BB8" w:rsidP="004D3F06">
            <w:pPr>
              <w:jc w:val="right"/>
              <w:rPr>
                <w:color w:val="000000"/>
                <w:sz w:val="20"/>
                <w:szCs w:val="20"/>
              </w:rPr>
            </w:pPr>
            <w:r>
              <w:rPr>
                <w:color w:val="000000"/>
                <w:sz w:val="20"/>
                <w:szCs w:val="20"/>
                <w:lang w:val="fr"/>
              </w:rPr>
              <w:t>300 000</w:t>
            </w:r>
          </w:p>
        </w:tc>
      </w:tr>
      <w:tr w:rsidR="00477BB8" w:rsidRPr="00410E3C" w14:paraId="09E7CD85" w14:textId="77777777" w:rsidTr="00D10513">
        <w:trPr>
          <w:cantSplit/>
          <w:trHeight w:val="255"/>
          <w:jc w:val="center"/>
        </w:trPr>
        <w:tc>
          <w:tcPr>
            <w:tcW w:w="360" w:type="pct"/>
            <w:tcBorders>
              <w:top w:val="nil"/>
              <w:left w:val="single" w:sz="4" w:space="0" w:color="auto"/>
              <w:bottom w:val="single" w:sz="4" w:space="0" w:color="auto"/>
              <w:right w:val="single" w:sz="4" w:space="0" w:color="auto"/>
            </w:tcBorders>
            <w:vAlign w:val="center"/>
            <w:hideMark/>
          </w:tcPr>
          <w:p w14:paraId="39BD8F7F" w14:textId="77777777" w:rsidR="00477BB8" w:rsidRPr="00410E3C" w:rsidRDefault="00477BB8" w:rsidP="00F2642F">
            <w:pPr>
              <w:jc w:val="center"/>
              <w:rPr>
                <w:color w:val="000000"/>
                <w:sz w:val="20"/>
                <w:szCs w:val="20"/>
              </w:rPr>
            </w:pPr>
            <w:r>
              <w:rPr>
                <w:color w:val="000000"/>
                <w:sz w:val="20"/>
                <w:szCs w:val="20"/>
                <w:lang w:val="fr"/>
              </w:rPr>
              <w:t>2</w:t>
            </w:r>
          </w:p>
        </w:tc>
        <w:tc>
          <w:tcPr>
            <w:tcW w:w="1523" w:type="pct"/>
            <w:tcBorders>
              <w:top w:val="nil"/>
              <w:left w:val="nil"/>
              <w:bottom w:val="single" w:sz="4" w:space="0" w:color="auto"/>
              <w:right w:val="single" w:sz="4" w:space="0" w:color="auto"/>
            </w:tcBorders>
            <w:vAlign w:val="center"/>
            <w:hideMark/>
          </w:tcPr>
          <w:p w14:paraId="3836E04A" w14:textId="7BB6EB93" w:rsidR="00477BB8" w:rsidRPr="00477BB8" w:rsidRDefault="00477BB8" w:rsidP="00F2642F">
            <w:pPr>
              <w:rPr>
                <w:color w:val="000000"/>
                <w:sz w:val="20"/>
                <w:szCs w:val="20"/>
                <w:lang w:val="fr-FR"/>
              </w:rPr>
            </w:pPr>
            <w:r>
              <w:rPr>
                <w:color w:val="000000"/>
                <w:sz w:val="20"/>
                <w:szCs w:val="20"/>
                <w:lang w:val="fr"/>
              </w:rPr>
              <w:t xml:space="preserve">Étude </w:t>
            </w:r>
            <w:r w:rsidR="00AE1F14">
              <w:rPr>
                <w:color w:val="000000"/>
                <w:sz w:val="20"/>
                <w:szCs w:val="20"/>
                <w:lang w:val="fr"/>
              </w:rPr>
              <w:t xml:space="preserve">et analyse </w:t>
            </w:r>
            <w:r>
              <w:rPr>
                <w:color w:val="000000"/>
                <w:sz w:val="20"/>
                <w:szCs w:val="20"/>
                <w:lang w:val="fr"/>
              </w:rPr>
              <w:t>de marché pour le développement de normes de performance énergétique minimale</w:t>
            </w:r>
          </w:p>
        </w:tc>
        <w:tc>
          <w:tcPr>
            <w:tcW w:w="797" w:type="pct"/>
            <w:tcBorders>
              <w:top w:val="nil"/>
              <w:left w:val="nil"/>
              <w:bottom w:val="single" w:sz="4" w:space="0" w:color="auto"/>
              <w:right w:val="single" w:sz="4" w:space="0" w:color="auto"/>
            </w:tcBorders>
            <w:vAlign w:val="center"/>
            <w:hideMark/>
          </w:tcPr>
          <w:p w14:paraId="2C4758F7" w14:textId="77777777" w:rsidR="00477BB8" w:rsidRPr="00410E3C" w:rsidRDefault="00477BB8" w:rsidP="00F2642F">
            <w:pPr>
              <w:jc w:val="right"/>
              <w:rPr>
                <w:color w:val="000000"/>
                <w:sz w:val="20"/>
                <w:szCs w:val="20"/>
              </w:rPr>
            </w:pPr>
            <w:r>
              <w:rPr>
                <w:color w:val="000000"/>
                <w:sz w:val="20"/>
                <w:szCs w:val="20"/>
                <w:lang w:val="fr"/>
              </w:rPr>
              <w:t>50 000</w:t>
            </w:r>
          </w:p>
        </w:tc>
        <w:tc>
          <w:tcPr>
            <w:tcW w:w="1813" w:type="pct"/>
            <w:vMerge w:val="restart"/>
            <w:tcBorders>
              <w:top w:val="nil"/>
              <w:left w:val="single" w:sz="4" w:space="0" w:color="auto"/>
              <w:bottom w:val="single" w:sz="4" w:space="0" w:color="auto"/>
              <w:right w:val="single" w:sz="4" w:space="0" w:color="auto"/>
            </w:tcBorders>
            <w:vAlign w:val="center"/>
            <w:hideMark/>
          </w:tcPr>
          <w:p w14:paraId="482CCCA7" w14:textId="77777777" w:rsidR="00477BB8" w:rsidRPr="00477BB8" w:rsidRDefault="00477BB8" w:rsidP="00F2642F">
            <w:pPr>
              <w:rPr>
                <w:color w:val="000000"/>
                <w:sz w:val="20"/>
                <w:szCs w:val="20"/>
                <w:lang w:val="fr-FR"/>
              </w:rPr>
            </w:pPr>
            <w:r>
              <w:rPr>
                <w:color w:val="000000"/>
                <w:sz w:val="20"/>
                <w:szCs w:val="20"/>
                <w:lang w:val="fr"/>
              </w:rPr>
              <w:t>Étude de marché, développement de normes de performance énergétique minimale, ETV, directives et protocoles de tests</w:t>
            </w:r>
          </w:p>
        </w:tc>
        <w:tc>
          <w:tcPr>
            <w:tcW w:w="507" w:type="pct"/>
            <w:vMerge w:val="restart"/>
            <w:tcBorders>
              <w:top w:val="nil"/>
              <w:left w:val="single" w:sz="4" w:space="0" w:color="auto"/>
              <w:bottom w:val="single" w:sz="4" w:space="0" w:color="000000"/>
              <w:right w:val="single" w:sz="4" w:space="0" w:color="auto"/>
            </w:tcBorders>
            <w:noWrap/>
            <w:vAlign w:val="center"/>
            <w:hideMark/>
          </w:tcPr>
          <w:p w14:paraId="79B40319" w14:textId="77777777" w:rsidR="00477BB8" w:rsidRPr="00410E3C" w:rsidRDefault="00477BB8" w:rsidP="00F2642F">
            <w:pPr>
              <w:jc w:val="right"/>
              <w:rPr>
                <w:color w:val="000000"/>
                <w:sz w:val="20"/>
                <w:szCs w:val="20"/>
              </w:rPr>
            </w:pPr>
            <w:r>
              <w:rPr>
                <w:color w:val="000000"/>
                <w:sz w:val="20"/>
                <w:szCs w:val="20"/>
                <w:lang w:val="fr"/>
              </w:rPr>
              <w:t>120 000</w:t>
            </w:r>
          </w:p>
        </w:tc>
      </w:tr>
      <w:tr w:rsidR="00477BB8" w:rsidRPr="00410E3C" w14:paraId="51CFF91D" w14:textId="77777777" w:rsidTr="00D10513">
        <w:trPr>
          <w:cantSplit/>
          <w:trHeight w:val="255"/>
          <w:jc w:val="center"/>
        </w:trPr>
        <w:tc>
          <w:tcPr>
            <w:tcW w:w="360" w:type="pct"/>
            <w:tcBorders>
              <w:top w:val="nil"/>
              <w:left w:val="single" w:sz="4" w:space="0" w:color="auto"/>
              <w:bottom w:val="single" w:sz="4" w:space="0" w:color="auto"/>
              <w:right w:val="single" w:sz="4" w:space="0" w:color="auto"/>
            </w:tcBorders>
            <w:vAlign w:val="center"/>
            <w:hideMark/>
          </w:tcPr>
          <w:p w14:paraId="1CC42F7A" w14:textId="77777777" w:rsidR="00477BB8" w:rsidRPr="00410E3C" w:rsidRDefault="00477BB8" w:rsidP="00F2642F">
            <w:pPr>
              <w:jc w:val="center"/>
              <w:rPr>
                <w:color w:val="000000"/>
                <w:sz w:val="20"/>
                <w:szCs w:val="20"/>
              </w:rPr>
            </w:pPr>
            <w:r>
              <w:rPr>
                <w:color w:val="000000"/>
                <w:sz w:val="20"/>
                <w:szCs w:val="20"/>
                <w:lang w:val="fr"/>
              </w:rPr>
              <w:t>3</w:t>
            </w:r>
          </w:p>
        </w:tc>
        <w:tc>
          <w:tcPr>
            <w:tcW w:w="1523" w:type="pct"/>
            <w:tcBorders>
              <w:top w:val="nil"/>
              <w:left w:val="nil"/>
              <w:bottom w:val="single" w:sz="4" w:space="0" w:color="auto"/>
              <w:right w:val="single" w:sz="4" w:space="0" w:color="auto"/>
            </w:tcBorders>
            <w:vAlign w:val="center"/>
            <w:hideMark/>
          </w:tcPr>
          <w:p w14:paraId="2D5E0BBA" w14:textId="77777777" w:rsidR="00477BB8" w:rsidRPr="00477BB8" w:rsidRDefault="00477BB8" w:rsidP="00F2642F">
            <w:pPr>
              <w:rPr>
                <w:color w:val="000000"/>
                <w:sz w:val="20"/>
                <w:szCs w:val="20"/>
                <w:lang w:val="fr-FR"/>
              </w:rPr>
            </w:pPr>
            <w:r>
              <w:rPr>
                <w:color w:val="000000"/>
                <w:sz w:val="20"/>
                <w:szCs w:val="20"/>
                <w:lang w:val="fr"/>
              </w:rPr>
              <w:t>Développement de normes de performance énergétique minimale, de directives, des protocoles de tests</w:t>
            </w:r>
          </w:p>
        </w:tc>
        <w:tc>
          <w:tcPr>
            <w:tcW w:w="797" w:type="pct"/>
            <w:tcBorders>
              <w:top w:val="nil"/>
              <w:left w:val="nil"/>
              <w:bottom w:val="single" w:sz="4" w:space="0" w:color="auto"/>
              <w:right w:val="single" w:sz="4" w:space="0" w:color="auto"/>
            </w:tcBorders>
            <w:vAlign w:val="center"/>
            <w:hideMark/>
          </w:tcPr>
          <w:p w14:paraId="0BF49F16" w14:textId="77777777" w:rsidR="00477BB8" w:rsidRPr="00410E3C" w:rsidRDefault="00477BB8" w:rsidP="00F2642F">
            <w:pPr>
              <w:jc w:val="right"/>
              <w:rPr>
                <w:color w:val="000000"/>
                <w:sz w:val="20"/>
                <w:szCs w:val="20"/>
              </w:rPr>
            </w:pPr>
            <w:r>
              <w:rPr>
                <w:color w:val="000000"/>
                <w:sz w:val="20"/>
                <w:szCs w:val="20"/>
                <w:lang w:val="fr"/>
              </w:rPr>
              <w:t>50 000</w:t>
            </w:r>
          </w:p>
        </w:tc>
        <w:tc>
          <w:tcPr>
            <w:tcW w:w="1813" w:type="pct"/>
            <w:vMerge/>
            <w:tcBorders>
              <w:top w:val="nil"/>
              <w:left w:val="single" w:sz="4" w:space="0" w:color="auto"/>
              <w:bottom w:val="single" w:sz="4" w:space="0" w:color="auto"/>
              <w:right w:val="single" w:sz="4" w:space="0" w:color="auto"/>
            </w:tcBorders>
            <w:vAlign w:val="center"/>
            <w:hideMark/>
          </w:tcPr>
          <w:p w14:paraId="4287D187" w14:textId="77777777" w:rsidR="00477BB8" w:rsidRPr="00410E3C" w:rsidRDefault="00477BB8" w:rsidP="00F2642F">
            <w:pPr>
              <w:rPr>
                <w:color w:val="000000"/>
                <w:sz w:val="20"/>
                <w:szCs w:val="20"/>
              </w:rPr>
            </w:pPr>
          </w:p>
        </w:tc>
        <w:tc>
          <w:tcPr>
            <w:tcW w:w="507" w:type="pct"/>
            <w:vMerge/>
            <w:tcBorders>
              <w:top w:val="nil"/>
              <w:left w:val="single" w:sz="4" w:space="0" w:color="auto"/>
              <w:bottom w:val="single" w:sz="4" w:space="0" w:color="000000"/>
              <w:right w:val="single" w:sz="4" w:space="0" w:color="auto"/>
            </w:tcBorders>
            <w:vAlign w:val="center"/>
            <w:hideMark/>
          </w:tcPr>
          <w:p w14:paraId="6F7E0D45" w14:textId="77777777" w:rsidR="00477BB8" w:rsidRPr="00410E3C" w:rsidRDefault="00477BB8" w:rsidP="00F2642F">
            <w:pPr>
              <w:rPr>
                <w:color w:val="000000"/>
                <w:sz w:val="20"/>
                <w:szCs w:val="20"/>
              </w:rPr>
            </w:pPr>
          </w:p>
        </w:tc>
      </w:tr>
      <w:tr w:rsidR="00477BB8" w:rsidRPr="00410E3C" w14:paraId="26F65C13" w14:textId="77777777" w:rsidTr="00D10513">
        <w:trPr>
          <w:cantSplit/>
          <w:trHeight w:val="255"/>
          <w:jc w:val="center"/>
        </w:trPr>
        <w:tc>
          <w:tcPr>
            <w:tcW w:w="360" w:type="pct"/>
            <w:tcBorders>
              <w:top w:val="nil"/>
              <w:left w:val="single" w:sz="4" w:space="0" w:color="auto"/>
              <w:bottom w:val="single" w:sz="4" w:space="0" w:color="auto"/>
              <w:right w:val="single" w:sz="4" w:space="0" w:color="auto"/>
            </w:tcBorders>
            <w:vAlign w:val="center"/>
            <w:hideMark/>
          </w:tcPr>
          <w:p w14:paraId="3294C0DA" w14:textId="77777777" w:rsidR="00477BB8" w:rsidRPr="00410E3C" w:rsidRDefault="00477BB8" w:rsidP="00F2642F">
            <w:pPr>
              <w:jc w:val="center"/>
              <w:rPr>
                <w:color w:val="000000"/>
                <w:sz w:val="20"/>
                <w:szCs w:val="20"/>
              </w:rPr>
            </w:pPr>
            <w:r>
              <w:rPr>
                <w:color w:val="000000"/>
                <w:sz w:val="20"/>
                <w:szCs w:val="20"/>
                <w:lang w:val="fr"/>
              </w:rPr>
              <w:t>4</w:t>
            </w:r>
          </w:p>
        </w:tc>
        <w:tc>
          <w:tcPr>
            <w:tcW w:w="1523" w:type="pct"/>
            <w:tcBorders>
              <w:top w:val="nil"/>
              <w:left w:val="nil"/>
              <w:bottom w:val="single" w:sz="4" w:space="0" w:color="auto"/>
              <w:right w:val="single" w:sz="4" w:space="0" w:color="auto"/>
            </w:tcBorders>
            <w:vAlign w:val="center"/>
            <w:hideMark/>
          </w:tcPr>
          <w:p w14:paraId="0FB73394" w14:textId="77777777" w:rsidR="00477BB8" w:rsidRPr="00477BB8" w:rsidRDefault="00477BB8" w:rsidP="00F2642F">
            <w:pPr>
              <w:rPr>
                <w:color w:val="000000"/>
                <w:sz w:val="20"/>
                <w:szCs w:val="20"/>
                <w:lang w:val="fr-FR"/>
              </w:rPr>
            </w:pPr>
            <w:r>
              <w:rPr>
                <w:color w:val="000000"/>
                <w:sz w:val="20"/>
                <w:szCs w:val="20"/>
                <w:lang w:val="fr"/>
              </w:rPr>
              <w:t>Développement de directives et de protocoles de tests ETV</w:t>
            </w:r>
          </w:p>
        </w:tc>
        <w:tc>
          <w:tcPr>
            <w:tcW w:w="797" w:type="pct"/>
            <w:tcBorders>
              <w:top w:val="nil"/>
              <w:left w:val="nil"/>
              <w:bottom w:val="single" w:sz="4" w:space="0" w:color="auto"/>
              <w:right w:val="single" w:sz="4" w:space="0" w:color="auto"/>
            </w:tcBorders>
            <w:vAlign w:val="center"/>
            <w:hideMark/>
          </w:tcPr>
          <w:p w14:paraId="02427A14" w14:textId="77777777" w:rsidR="00477BB8" w:rsidRPr="00410E3C" w:rsidRDefault="00477BB8" w:rsidP="00F2642F">
            <w:pPr>
              <w:jc w:val="right"/>
              <w:rPr>
                <w:color w:val="000000"/>
                <w:sz w:val="20"/>
                <w:szCs w:val="20"/>
              </w:rPr>
            </w:pPr>
            <w:r>
              <w:rPr>
                <w:color w:val="000000"/>
                <w:sz w:val="20"/>
                <w:szCs w:val="20"/>
                <w:lang w:val="fr"/>
              </w:rPr>
              <w:t>20 000</w:t>
            </w:r>
          </w:p>
        </w:tc>
        <w:tc>
          <w:tcPr>
            <w:tcW w:w="1813" w:type="pct"/>
            <w:vMerge/>
            <w:tcBorders>
              <w:top w:val="nil"/>
              <w:left w:val="single" w:sz="4" w:space="0" w:color="auto"/>
              <w:bottom w:val="single" w:sz="4" w:space="0" w:color="auto"/>
              <w:right w:val="single" w:sz="4" w:space="0" w:color="auto"/>
            </w:tcBorders>
            <w:vAlign w:val="center"/>
            <w:hideMark/>
          </w:tcPr>
          <w:p w14:paraId="4B52056A" w14:textId="77777777" w:rsidR="00477BB8" w:rsidRPr="00410E3C" w:rsidRDefault="00477BB8" w:rsidP="00F2642F">
            <w:pPr>
              <w:rPr>
                <w:color w:val="000000"/>
                <w:sz w:val="20"/>
                <w:szCs w:val="20"/>
              </w:rPr>
            </w:pPr>
          </w:p>
        </w:tc>
        <w:tc>
          <w:tcPr>
            <w:tcW w:w="507" w:type="pct"/>
            <w:vMerge/>
            <w:tcBorders>
              <w:top w:val="nil"/>
              <w:left w:val="single" w:sz="4" w:space="0" w:color="auto"/>
              <w:bottom w:val="single" w:sz="4" w:space="0" w:color="000000"/>
              <w:right w:val="single" w:sz="4" w:space="0" w:color="auto"/>
            </w:tcBorders>
            <w:vAlign w:val="center"/>
            <w:hideMark/>
          </w:tcPr>
          <w:p w14:paraId="24A69D89" w14:textId="77777777" w:rsidR="00477BB8" w:rsidRPr="00410E3C" w:rsidRDefault="00477BB8" w:rsidP="00F2642F">
            <w:pPr>
              <w:rPr>
                <w:color w:val="000000"/>
                <w:sz w:val="20"/>
                <w:szCs w:val="20"/>
              </w:rPr>
            </w:pPr>
          </w:p>
        </w:tc>
      </w:tr>
      <w:tr w:rsidR="00477BB8" w:rsidRPr="00410E3C" w14:paraId="1DD49385" w14:textId="77777777" w:rsidTr="00D10513">
        <w:trPr>
          <w:cantSplit/>
          <w:trHeight w:val="510"/>
          <w:jc w:val="center"/>
        </w:trPr>
        <w:tc>
          <w:tcPr>
            <w:tcW w:w="360" w:type="pct"/>
            <w:tcBorders>
              <w:top w:val="nil"/>
              <w:left w:val="single" w:sz="4" w:space="0" w:color="auto"/>
              <w:bottom w:val="single" w:sz="4" w:space="0" w:color="auto"/>
              <w:right w:val="single" w:sz="4" w:space="0" w:color="auto"/>
            </w:tcBorders>
            <w:vAlign w:val="center"/>
            <w:hideMark/>
          </w:tcPr>
          <w:p w14:paraId="54370D6F" w14:textId="77777777" w:rsidR="00477BB8" w:rsidRPr="00410E3C" w:rsidRDefault="00477BB8" w:rsidP="00F2642F">
            <w:pPr>
              <w:jc w:val="center"/>
              <w:rPr>
                <w:color w:val="000000"/>
                <w:sz w:val="20"/>
                <w:szCs w:val="20"/>
              </w:rPr>
            </w:pPr>
            <w:r>
              <w:rPr>
                <w:color w:val="000000"/>
                <w:sz w:val="20"/>
                <w:szCs w:val="20"/>
                <w:lang w:val="fr"/>
              </w:rPr>
              <w:t>5</w:t>
            </w:r>
          </w:p>
        </w:tc>
        <w:tc>
          <w:tcPr>
            <w:tcW w:w="1523" w:type="pct"/>
            <w:tcBorders>
              <w:top w:val="nil"/>
              <w:left w:val="nil"/>
              <w:bottom w:val="single" w:sz="4" w:space="0" w:color="auto"/>
              <w:right w:val="single" w:sz="4" w:space="0" w:color="auto"/>
            </w:tcBorders>
            <w:vAlign w:val="center"/>
            <w:hideMark/>
          </w:tcPr>
          <w:p w14:paraId="5F0B2E91" w14:textId="77777777" w:rsidR="00477BB8" w:rsidRPr="00477BB8" w:rsidRDefault="00477BB8" w:rsidP="00F2642F">
            <w:pPr>
              <w:rPr>
                <w:color w:val="000000"/>
                <w:sz w:val="20"/>
                <w:szCs w:val="20"/>
                <w:lang w:val="fr-FR"/>
              </w:rPr>
            </w:pPr>
            <w:r>
              <w:rPr>
                <w:color w:val="000000"/>
                <w:sz w:val="20"/>
                <w:szCs w:val="20"/>
                <w:lang w:val="fr"/>
              </w:rPr>
              <w:t>Tournées d’études pour étudier les normes de performance énergétique minimale et les protocoles de tests ETV</w:t>
            </w:r>
          </w:p>
        </w:tc>
        <w:tc>
          <w:tcPr>
            <w:tcW w:w="797" w:type="pct"/>
            <w:tcBorders>
              <w:top w:val="nil"/>
              <w:left w:val="nil"/>
              <w:bottom w:val="single" w:sz="4" w:space="0" w:color="auto"/>
              <w:right w:val="single" w:sz="4" w:space="0" w:color="auto"/>
            </w:tcBorders>
            <w:vAlign w:val="center"/>
            <w:hideMark/>
          </w:tcPr>
          <w:p w14:paraId="4B06694F" w14:textId="77777777" w:rsidR="00477BB8" w:rsidRPr="00410E3C" w:rsidRDefault="00477BB8" w:rsidP="00F2642F">
            <w:pPr>
              <w:jc w:val="right"/>
              <w:rPr>
                <w:color w:val="000000"/>
                <w:sz w:val="20"/>
                <w:szCs w:val="20"/>
              </w:rPr>
            </w:pPr>
            <w:r>
              <w:rPr>
                <w:color w:val="000000"/>
                <w:sz w:val="20"/>
                <w:szCs w:val="20"/>
                <w:lang w:val="fr"/>
              </w:rPr>
              <w:t>60 000</w:t>
            </w:r>
          </w:p>
        </w:tc>
        <w:tc>
          <w:tcPr>
            <w:tcW w:w="1813" w:type="pct"/>
            <w:tcBorders>
              <w:top w:val="nil"/>
              <w:left w:val="nil"/>
              <w:bottom w:val="single" w:sz="4" w:space="0" w:color="auto"/>
              <w:right w:val="single" w:sz="4" w:space="0" w:color="auto"/>
            </w:tcBorders>
            <w:vAlign w:val="bottom"/>
            <w:hideMark/>
          </w:tcPr>
          <w:p w14:paraId="5002E679" w14:textId="77777777" w:rsidR="00477BB8" w:rsidRPr="00477BB8" w:rsidRDefault="00477BB8" w:rsidP="00F2642F">
            <w:pPr>
              <w:rPr>
                <w:color w:val="000000"/>
                <w:sz w:val="20"/>
                <w:szCs w:val="20"/>
                <w:lang w:val="fr-FR"/>
              </w:rPr>
            </w:pPr>
            <w:r>
              <w:rPr>
                <w:color w:val="000000"/>
                <w:sz w:val="20"/>
                <w:szCs w:val="20"/>
                <w:lang w:val="fr"/>
              </w:rPr>
              <w:t>Assistance technique pour la coordination régionale et avec l’ANASE sur les normes de performance énergétique minimale et les normes volontaires</w:t>
            </w:r>
          </w:p>
        </w:tc>
        <w:tc>
          <w:tcPr>
            <w:tcW w:w="507" w:type="pct"/>
            <w:tcBorders>
              <w:top w:val="nil"/>
              <w:left w:val="nil"/>
              <w:bottom w:val="single" w:sz="4" w:space="0" w:color="auto"/>
              <w:right w:val="single" w:sz="4" w:space="0" w:color="auto"/>
            </w:tcBorders>
            <w:noWrap/>
            <w:vAlign w:val="center"/>
            <w:hideMark/>
          </w:tcPr>
          <w:p w14:paraId="1A508394" w14:textId="77777777" w:rsidR="00477BB8" w:rsidRPr="00410E3C" w:rsidRDefault="00477BB8" w:rsidP="00F2642F">
            <w:pPr>
              <w:jc w:val="right"/>
              <w:rPr>
                <w:color w:val="000000"/>
                <w:sz w:val="20"/>
                <w:szCs w:val="20"/>
              </w:rPr>
            </w:pPr>
            <w:r>
              <w:rPr>
                <w:color w:val="000000"/>
                <w:sz w:val="20"/>
                <w:szCs w:val="20"/>
                <w:lang w:val="fr"/>
              </w:rPr>
              <w:t>50 000</w:t>
            </w:r>
          </w:p>
        </w:tc>
      </w:tr>
      <w:tr w:rsidR="00477BB8" w:rsidRPr="00410E3C" w14:paraId="1C48AEBA" w14:textId="77777777" w:rsidTr="00D10513">
        <w:trPr>
          <w:cantSplit/>
          <w:trHeight w:val="255"/>
          <w:jc w:val="center"/>
        </w:trPr>
        <w:tc>
          <w:tcPr>
            <w:tcW w:w="360" w:type="pct"/>
            <w:tcBorders>
              <w:top w:val="nil"/>
              <w:left w:val="single" w:sz="4" w:space="0" w:color="auto"/>
              <w:bottom w:val="single" w:sz="4" w:space="0" w:color="auto"/>
              <w:right w:val="single" w:sz="4" w:space="0" w:color="auto"/>
            </w:tcBorders>
            <w:vAlign w:val="center"/>
            <w:hideMark/>
          </w:tcPr>
          <w:p w14:paraId="7F2C051E" w14:textId="77777777" w:rsidR="00477BB8" w:rsidRPr="00410E3C" w:rsidRDefault="00477BB8" w:rsidP="00F2642F">
            <w:pPr>
              <w:jc w:val="center"/>
              <w:rPr>
                <w:color w:val="000000"/>
                <w:sz w:val="20"/>
                <w:szCs w:val="20"/>
              </w:rPr>
            </w:pPr>
            <w:r>
              <w:rPr>
                <w:color w:val="000000"/>
                <w:sz w:val="20"/>
                <w:szCs w:val="20"/>
                <w:lang w:val="fr"/>
              </w:rPr>
              <w:t>6</w:t>
            </w:r>
          </w:p>
        </w:tc>
        <w:tc>
          <w:tcPr>
            <w:tcW w:w="1523" w:type="pct"/>
            <w:tcBorders>
              <w:top w:val="nil"/>
              <w:left w:val="nil"/>
              <w:bottom w:val="single" w:sz="4" w:space="0" w:color="auto"/>
              <w:right w:val="single" w:sz="4" w:space="0" w:color="auto"/>
            </w:tcBorders>
            <w:vAlign w:val="center"/>
            <w:hideMark/>
          </w:tcPr>
          <w:p w14:paraId="56CD4BC1" w14:textId="77777777" w:rsidR="00477BB8" w:rsidRPr="00477BB8" w:rsidRDefault="00477BB8" w:rsidP="00F2642F">
            <w:pPr>
              <w:rPr>
                <w:color w:val="000000"/>
                <w:sz w:val="20"/>
                <w:szCs w:val="20"/>
                <w:lang w:val="fr-FR"/>
              </w:rPr>
            </w:pPr>
            <w:r>
              <w:rPr>
                <w:color w:val="000000"/>
                <w:sz w:val="20"/>
                <w:szCs w:val="20"/>
                <w:lang w:val="fr"/>
              </w:rPr>
              <w:t>Service de conseil en évaluation</w:t>
            </w:r>
          </w:p>
        </w:tc>
        <w:tc>
          <w:tcPr>
            <w:tcW w:w="797" w:type="pct"/>
            <w:tcBorders>
              <w:top w:val="nil"/>
              <w:left w:val="nil"/>
              <w:bottom w:val="single" w:sz="4" w:space="0" w:color="auto"/>
              <w:right w:val="single" w:sz="4" w:space="0" w:color="auto"/>
            </w:tcBorders>
            <w:vAlign w:val="center"/>
            <w:hideMark/>
          </w:tcPr>
          <w:p w14:paraId="1CE00EB2" w14:textId="77777777" w:rsidR="00477BB8" w:rsidRPr="00410E3C" w:rsidRDefault="00477BB8" w:rsidP="00F2642F">
            <w:pPr>
              <w:jc w:val="right"/>
              <w:rPr>
                <w:color w:val="000000"/>
                <w:sz w:val="20"/>
                <w:szCs w:val="20"/>
              </w:rPr>
            </w:pPr>
            <w:r>
              <w:rPr>
                <w:color w:val="000000"/>
                <w:sz w:val="20"/>
                <w:szCs w:val="20"/>
                <w:lang w:val="fr"/>
              </w:rPr>
              <w:t>30 000</w:t>
            </w:r>
          </w:p>
        </w:tc>
        <w:tc>
          <w:tcPr>
            <w:tcW w:w="1813" w:type="pct"/>
            <w:tcBorders>
              <w:top w:val="nil"/>
              <w:left w:val="nil"/>
              <w:bottom w:val="single" w:sz="4" w:space="0" w:color="auto"/>
              <w:right w:val="single" w:sz="4" w:space="0" w:color="auto"/>
            </w:tcBorders>
            <w:noWrap/>
            <w:vAlign w:val="bottom"/>
            <w:hideMark/>
          </w:tcPr>
          <w:p w14:paraId="5AA08580" w14:textId="77777777" w:rsidR="00477BB8" w:rsidRPr="00477BB8" w:rsidRDefault="00477BB8" w:rsidP="00F2642F">
            <w:pPr>
              <w:rPr>
                <w:color w:val="000000"/>
                <w:sz w:val="20"/>
                <w:szCs w:val="20"/>
                <w:lang w:val="fr-FR"/>
              </w:rPr>
            </w:pPr>
            <w:r>
              <w:rPr>
                <w:color w:val="000000"/>
                <w:sz w:val="20"/>
                <w:szCs w:val="20"/>
                <w:lang w:val="fr"/>
              </w:rPr>
              <w:t>Service de conseil en évaluation</w:t>
            </w:r>
          </w:p>
        </w:tc>
        <w:tc>
          <w:tcPr>
            <w:tcW w:w="507" w:type="pct"/>
            <w:tcBorders>
              <w:top w:val="nil"/>
              <w:left w:val="nil"/>
              <w:bottom w:val="single" w:sz="4" w:space="0" w:color="auto"/>
              <w:right w:val="single" w:sz="4" w:space="0" w:color="auto"/>
            </w:tcBorders>
            <w:noWrap/>
            <w:vAlign w:val="bottom"/>
            <w:hideMark/>
          </w:tcPr>
          <w:p w14:paraId="5B2E5A3D" w14:textId="77777777" w:rsidR="00477BB8" w:rsidRPr="00410E3C" w:rsidRDefault="00477BB8" w:rsidP="00F2642F">
            <w:pPr>
              <w:jc w:val="right"/>
              <w:rPr>
                <w:color w:val="000000"/>
                <w:sz w:val="20"/>
                <w:szCs w:val="20"/>
              </w:rPr>
            </w:pPr>
            <w:r>
              <w:rPr>
                <w:color w:val="000000"/>
                <w:sz w:val="20"/>
                <w:szCs w:val="20"/>
                <w:lang w:val="fr"/>
              </w:rPr>
              <w:t>30 000</w:t>
            </w:r>
          </w:p>
        </w:tc>
      </w:tr>
      <w:tr w:rsidR="00477BB8" w:rsidRPr="00410E3C" w14:paraId="3F1C7398" w14:textId="77777777" w:rsidTr="00D10513">
        <w:trPr>
          <w:cantSplit/>
          <w:trHeight w:val="300"/>
          <w:jc w:val="center"/>
        </w:trPr>
        <w:tc>
          <w:tcPr>
            <w:tcW w:w="1883" w:type="pct"/>
            <w:gridSpan w:val="2"/>
            <w:tcBorders>
              <w:top w:val="single" w:sz="4" w:space="0" w:color="auto"/>
              <w:left w:val="single" w:sz="4" w:space="0" w:color="auto"/>
              <w:bottom w:val="single" w:sz="4" w:space="0" w:color="auto"/>
              <w:right w:val="single" w:sz="4" w:space="0" w:color="auto"/>
            </w:tcBorders>
            <w:vAlign w:val="center"/>
            <w:hideMark/>
          </w:tcPr>
          <w:p w14:paraId="2B63E3DF" w14:textId="46B5004D" w:rsidR="00477BB8" w:rsidRPr="00477BB8" w:rsidRDefault="00477BB8" w:rsidP="00F2642F">
            <w:pPr>
              <w:jc w:val="center"/>
              <w:rPr>
                <w:b/>
                <w:bCs/>
                <w:color w:val="000000"/>
                <w:sz w:val="20"/>
                <w:szCs w:val="20"/>
                <w:lang w:val="fr-FR"/>
              </w:rPr>
            </w:pPr>
            <w:r>
              <w:rPr>
                <w:b/>
                <w:bCs/>
                <w:color w:val="000000"/>
                <w:sz w:val="20"/>
                <w:szCs w:val="20"/>
                <w:lang w:val="fr"/>
              </w:rPr>
              <w:t xml:space="preserve">Total global pour le projet </w:t>
            </w:r>
            <w:r w:rsidR="00710996">
              <w:rPr>
                <w:b/>
                <w:bCs/>
                <w:color w:val="000000"/>
                <w:sz w:val="20"/>
                <w:szCs w:val="20"/>
                <w:lang w:val="fr"/>
              </w:rPr>
              <w:t>au titre</w:t>
            </w:r>
            <w:r>
              <w:rPr>
                <w:b/>
                <w:bCs/>
                <w:color w:val="000000"/>
                <w:sz w:val="20"/>
                <w:szCs w:val="20"/>
                <w:lang w:val="fr"/>
              </w:rPr>
              <w:t xml:space="preserve"> de la décision 91/65</w:t>
            </w:r>
          </w:p>
        </w:tc>
        <w:tc>
          <w:tcPr>
            <w:tcW w:w="797" w:type="pct"/>
            <w:tcBorders>
              <w:top w:val="nil"/>
              <w:left w:val="nil"/>
              <w:bottom w:val="single" w:sz="4" w:space="0" w:color="auto"/>
              <w:right w:val="single" w:sz="4" w:space="0" w:color="auto"/>
            </w:tcBorders>
            <w:vAlign w:val="center"/>
            <w:hideMark/>
          </w:tcPr>
          <w:p w14:paraId="3229B4BC" w14:textId="77777777" w:rsidR="00477BB8" w:rsidRPr="00410E3C" w:rsidRDefault="00477BB8" w:rsidP="00F2642F">
            <w:pPr>
              <w:jc w:val="right"/>
              <w:rPr>
                <w:b/>
                <w:bCs/>
                <w:color w:val="000000"/>
                <w:sz w:val="20"/>
                <w:szCs w:val="20"/>
              </w:rPr>
            </w:pPr>
            <w:r>
              <w:rPr>
                <w:b/>
                <w:bCs/>
                <w:color w:val="000000"/>
                <w:sz w:val="20"/>
                <w:szCs w:val="20"/>
                <w:lang w:val="fr"/>
              </w:rPr>
              <w:t>510 000</w:t>
            </w:r>
          </w:p>
        </w:tc>
        <w:tc>
          <w:tcPr>
            <w:tcW w:w="1813" w:type="pct"/>
            <w:tcBorders>
              <w:top w:val="nil"/>
              <w:left w:val="nil"/>
              <w:bottom w:val="single" w:sz="4" w:space="0" w:color="auto"/>
              <w:right w:val="single" w:sz="4" w:space="0" w:color="auto"/>
            </w:tcBorders>
            <w:noWrap/>
            <w:vAlign w:val="bottom"/>
            <w:hideMark/>
          </w:tcPr>
          <w:p w14:paraId="05075828" w14:textId="77777777" w:rsidR="00477BB8" w:rsidRPr="00410E3C" w:rsidRDefault="00477BB8" w:rsidP="00F2642F">
            <w:pPr>
              <w:rPr>
                <w:color w:val="000000"/>
                <w:sz w:val="20"/>
                <w:szCs w:val="20"/>
              </w:rPr>
            </w:pPr>
            <w:r>
              <w:rPr>
                <w:color w:val="000000"/>
                <w:sz w:val="20"/>
                <w:szCs w:val="20"/>
                <w:lang w:val="fr"/>
              </w:rPr>
              <w:t> </w:t>
            </w:r>
          </w:p>
        </w:tc>
        <w:tc>
          <w:tcPr>
            <w:tcW w:w="507" w:type="pct"/>
            <w:tcBorders>
              <w:top w:val="nil"/>
              <w:left w:val="nil"/>
              <w:bottom w:val="single" w:sz="4" w:space="0" w:color="auto"/>
              <w:right w:val="single" w:sz="4" w:space="0" w:color="auto"/>
            </w:tcBorders>
            <w:vAlign w:val="center"/>
            <w:hideMark/>
          </w:tcPr>
          <w:p w14:paraId="05CDB16E" w14:textId="77777777" w:rsidR="00477BB8" w:rsidRPr="00410E3C" w:rsidRDefault="00477BB8" w:rsidP="00F2642F">
            <w:pPr>
              <w:jc w:val="right"/>
              <w:rPr>
                <w:b/>
                <w:bCs/>
                <w:color w:val="000000"/>
                <w:sz w:val="20"/>
                <w:szCs w:val="20"/>
              </w:rPr>
            </w:pPr>
            <w:r>
              <w:rPr>
                <w:b/>
                <w:bCs/>
                <w:color w:val="000000"/>
                <w:sz w:val="20"/>
                <w:szCs w:val="20"/>
                <w:lang w:val="fr"/>
              </w:rPr>
              <w:t>500 000</w:t>
            </w:r>
          </w:p>
        </w:tc>
      </w:tr>
    </w:tbl>
    <w:p w14:paraId="418B759F" w14:textId="77777777" w:rsidR="00477BB8" w:rsidRDefault="00477BB8" w:rsidP="00477BB8">
      <w:pPr>
        <w:rPr>
          <w:rFonts w:asciiTheme="majorBidi" w:hAnsiTheme="majorBidi" w:cstheme="majorBidi"/>
        </w:rPr>
      </w:pPr>
    </w:p>
    <w:p w14:paraId="1E2C21B7" w14:textId="77777777" w:rsidR="00477BB8" w:rsidRPr="00477BB8" w:rsidRDefault="00477BB8" w:rsidP="00477BB8">
      <w:pPr>
        <w:rPr>
          <w:rStyle w:val="eop"/>
          <w:color w:val="000000"/>
          <w:shd w:val="clear" w:color="auto" w:fill="FFFFFF"/>
          <w:lang w:val="fr-FR"/>
        </w:rPr>
      </w:pPr>
      <w:r>
        <w:rPr>
          <w:rStyle w:val="normaltextrun"/>
          <w:color w:val="000000"/>
          <w:u w:val="single"/>
          <w:shd w:val="clear" w:color="auto" w:fill="FFFFFF"/>
          <w:lang w:val="fr"/>
        </w:rPr>
        <w:t>Pérennité du projet pilote et évaluation des risques</w:t>
      </w:r>
      <w:r>
        <w:rPr>
          <w:rStyle w:val="eop"/>
          <w:color w:val="000000"/>
          <w:shd w:val="clear" w:color="auto" w:fill="FFFFFF"/>
          <w:lang w:val="fr"/>
        </w:rPr>
        <w:t> </w:t>
      </w:r>
    </w:p>
    <w:p w14:paraId="1E1631DD" w14:textId="77777777" w:rsidR="00477BB8" w:rsidRPr="00477BB8" w:rsidRDefault="00477BB8" w:rsidP="00477BB8">
      <w:pPr>
        <w:rPr>
          <w:rStyle w:val="eop"/>
          <w:color w:val="000000"/>
          <w:shd w:val="clear" w:color="auto" w:fill="FFFFFF"/>
          <w:lang w:val="fr-FR"/>
        </w:rPr>
      </w:pPr>
    </w:p>
    <w:p w14:paraId="5483B098" w14:textId="537C7412" w:rsidR="00477BB8" w:rsidRPr="00477BB8" w:rsidRDefault="00477BB8" w:rsidP="00477BB8">
      <w:pPr>
        <w:pStyle w:val="Heading1"/>
        <w:rPr>
          <w:rStyle w:val="eop"/>
          <w:color w:val="000000"/>
          <w:shd w:val="clear" w:color="auto" w:fill="FFFFFF"/>
          <w:lang w:val="fr-FR"/>
        </w:rPr>
      </w:pPr>
      <w:r>
        <w:rPr>
          <w:rStyle w:val="eop"/>
          <w:color w:val="000000"/>
          <w:shd w:val="clear" w:color="auto" w:fill="FFFFFF"/>
          <w:lang w:val="fr"/>
        </w:rPr>
        <w:t xml:space="preserve">Le projet, le premier soumis au titre de la décision 94/60, devrait mener à la fabrication d’équipements de réfrigération commerciale </w:t>
      </w:r>
      <w:r w:rsidR="000168D3">
        <w:rPr>
          <w:rStyle w:val="eop"/>
          <w:color w:val="000000"/>
          <w:shd w:val="clear" w:color="auto" w:fill="FFFFFF"/>
          <w:lang w:val="fr"/>
        </w:rPr>
        <w:t xml:space="preserve">économes en énergie </w:t>
      </w:r>
      <w:r>
        <w:rPr>
          <w:rStyle w:val="eop"/>
          <w:color w:val="000000"/>
          <w:shd w:val="clear" w:color="auto" w:fill="FFFFFF"/>
          <w:lang w:val="fr"/>
        </w:rPr>
        <w:t xml:space="preserve">à </w:t>
      </w:r>
      <w:proofErr w:type="spellStart"/>
      <w:r>
        <w:rPr>
          <w:rStyle w:val="eop"/>
          <w:color w:val="000000"/>
          <w:shd w:val="clear" w:color="auto" w:fill="FFFFFF"/>
          <w:lang w:val="fr"/>
        </w:rPr>
        <w:t>Berjaya</w:t>
      </w:r>
      <w:proofErr w:type="spellEnd"/>
      <w:r>
        <w:rPr>
          <w:rStyle w:val="eop"/>
          <w:color w:val="000000"/>
          <w:shd w:val="clear" w:color="auto" w:fill="FFFFFF"/>
          <w:lang w:val="fr"/>
        </w:rPr>
        <w:t xml:space="preserve"> Steel et à </w:t>
      </w:r>
      <w:proofErr w:type="spellStart"/>
      <w:r>
        <w:rPr>
          <w:rStyle w:val="eop"/>
          <w:color w:val="000000"/>
          <w:shd w:val="clear" w:color="auto" w:fill="FFFFFF"/>
          <w:lang w:val="fr"/>
        </w:rPr>
        <w:t>Zun</w:t>
      </w:r>
      <w:proofErr w:type="spellEnd"/>
      <w:r>
        <w:rPr>
          <w:rStyle w:val="eop"/>
          <w:color w:val="000000"/>
          <w:shd w:val="clear" w:color="auto" w:fill="FFFFFF"/>
          <w:lang w:val="fr"/>
        </w:rPr>
        <w:t xml:space="preserve"> </w:t>
      </w:r>
      <w:proofErr w:type="spellStart"/>
      <w:r>
        <w:rPr>
          <w:rStyle w:val="eop"/>
          <w:color w:val="000000"/>
          <w:shd w:val="clear" w:color="auto" w:fill="FFFFFF"/>
          <w:lang w:val="fr"/>
        </w:rPr>
        <w:t>Utara</w:t>
      </w:r>
      <w:proofErr w:type="spellEnd"/>
      <w:r>
        <w:rPr>
          <w:rStyle w:val="eop"/>
          <w:color w:val="000000"/>
          <w:shd w:val="clear" w:color="auto" w:fill="FFFFFF"/>
          <w:lang w:val="fr"/>
        </w:rPr>
        <w:t>, et permettre au Gouvernement de développer et de mettre en œuvre des normes de performance énergétique minimale pour les équipements de réfrigération commerciale autonome</w:t>
      </w:r>
      <w:r w:rsidR="00C65FDF">
        <w:rPr>
          <w:rStyle w:val="eop"/>
          <w:color w:val="000000"/>
          <w:shd w:val="clear" w:color="auto" w:fill="FFFFFF"/>
          <w:lang w:val="fr"/>
        </w:rPr>
        <w:t>s</w:t>
      </w:r>
      <w:r>
        <w:rPr>
          <w:rStyle w:val="eop"/>
          <w:color w:val="000000"/>
          <w:shd w:val="clear" w:color="auto" w:fill="FFFFFF"/>
          <w:lang w:val="fr"/>
        </w:rPr>
        <w:t xml:space="preserve">. Il existe deux facteurs qui </w:t>
      </w:r>
      <w:r>
        <w:rPr>
          <w:rStyle w:val="eop"/>
          <w:color w:val="000000"/>
          <w:shd w:val="clear" w:color="auto" w:fill="FFFFFF"/>
          <w:lang w:val="fr"/>
        </w:rPr>
        <w:lastRenderedPageBreak/>
        <w:t xml:space="preserve">contribuent aux risques liés au projet : </w:t>
      </w:r>
      <w:proofErr w:type="gramStart"/>
      <w:r>
        <w:rPr>
          <w:rStyle w:val="eop"/>
          <w:color w:val="000000"/>
          <w:shd w:val="clear" w:color="auto" w:fill="FFFFFF"/>
          <w:lang w:val="fr"/>
        </w:rPr>
        <w:t>le premier porte</w:t>
      </w:r>
      <w:proofErr w:type="gramEnd"/>
      <w:r>
        <w:rPr>
          <w:rStyle w:val="eop"/>
          <w:color w:val="000000"/>
          <w:shd w:val="clear" w:color="auto" w:fill="FFFFFF"/>
          <w:lang w:val="fr"/>
        </w:rPr>
        <w:t xml:space="preserve"> sur le fait que tous les équipements de réfrigération commerciale autonome</w:t>
      </w:r>
      <w:r w:rsidR="00454B0A">
        <w:rPr>
          <w:rStyle w:val="eop"/>
          <w:color w:val="000000"/>
          <w:shd w:val="clear" w:color="auto" w:fill="FFFFFF"/>
          <w:lang w:val="fr"/>
        </w:rPr>
        <w:t>s</w:t>
      </w:r>
      <w:r>
        <w:rPr>
          <w:rStyle w:val="eop"/>
          <w:color w:val="000000"/>
          <w:shd w:val="clear" w:color="auto" w:fill="FFFFFF"/>
          <w:lang w:val="fr"/>
        </w:rPr>
        <w:t xml:space="preserve"> ne seraient pas </w:t>
      </w:r>
      <w:r w:rsidR="00D55FDA">
        <w:rPr>
          <w:rStyle w:val="eop"/>
          <w:color w:val="000000"/>
          <w:shd w:val="clear" w:color="auto" w:fill="FFFFFF"/>
          <w:lang w:val="fr"/>
        </w:rPr>
        <w:t>soumis aux</w:t>
      </w:r>
      <w:r>
        <w:rPr>
          <w:rStyle w:val="eop"/>
          <w:color w:val="000000"/>
          <w:shd w:val="clear" w:color="auto" w:fill="FFFFFF"/>
          <w:lang w:val="fr"/>
        </w:rPr>
        <w:t xml:space="preserve"> normes de performance énergétique minimale et le deuxième porte sur le calendrier de mise en œuvre des normes de performance énergétique minimale. Concernant le premier</w:t>
      </w:r>
      <w:r w:rsidR="009D4393">
        <w:rPr>
          <w:rStyle w:val="eop"/>
          <w:color w:val="000000"/>
          <w:shd w:val="clear" w:color="auto" w:fill="FFFFFF"/>
          <w:lang w:val="fr"/>
        </w:rPr>
        <w:t xml:space="preserve"> facteur</w:t>
      </w:r>
      <w:r>
        <w:rPr>
          <w:rStyle w:val="eop"/>
          <w:color w:val="000000"/>
          <w:shd w:val="clear" w:color="auto" w:fill="FFFFFF"/>
          <w:lang w:val="fr"/>
        </w:rPr>
        <w:t xml:space="preserve">, le Secrétariat estime que le risque est faible, car seuls les équipements fabriqués ou importés en petites quantités ne seraient pas </w:t>
      </w:r>
      <w:r w:rsidR="00C7225E">
        <w:rPr>
          <w:rStyle w:val="eop"/>
          <w:color w:val="000000"/>
          <w:shd w:val="clear" w:color="auto" w:fill="FFFFFF"/>
          <w:lang w:val="fr"/>
        </w:rPr>
        <w:t>soumis aux</w:t>
      </w:r>
      <w:r>
        <w:rPr>
          <w:rStyle w:val="eop"/>
          <w:color w:val="000000"/>
          <w:shd w:val="clear" w:color="auto" w:fill="FFFFFF"/>
          <w:lang w:val="fr"/>
        </w:rPr>
        <w:t xml:space="preserve"> normes de performance énergétique minimale. Concernant le deuxième</w:t>
      </w:r>
      <w:r w:rsidR="00D6698B">
        <w:rPr>
          <w:rStyle w:val="eop"/>
          <w:color w:val="000000"/>
          <w:shd w:val="clear" w:color="auto" w:fill="FFFFFF"/>
          <w:lang w:val="fr"/>
        </w:rPr>
        <w:t xml:space="preserve"> facteur</w:t>
      </w:r>
      <w:r>
        <w:rPr>
          <w:rStyle w:val="eop"/>
          <w:color w:val="000000"/>
          <w:shd w:val="clear" w:color="auto" w:fill="FFFFFF"/>
          <w:lang w:val="fr"/>
        </w:rPr>
        <w:t>, le Secrétariat estime que les mesures de sauvegarde convenues avec la Banque mondiale, en particulier les rapports annuels qui seront fournis après l’achèvement du projet et jusqu’à la mise en œuvre des normes de performance énergétique minimale, constituent une approche raisonnable afin de superviser la pérennité du projet étant donné le temps nécessaire pour que le Gouvernement mette en œuvre les normes de performance énergétique minimale.</w:t>
      </w:r>
    </w:p>
    <w:p w14:paraId="5B1A91BB" w14:textId="77777777" w:rsidR="00477BB8" w:rsidRDefault="00477BB8" w:rsidP="00477BB8">
      <w:pPr>
        <w:keepNext/>
        <w:spacing w:before="240" w:after="240"/>
      </w:pPr>
      <w:r>
        <w:rPr>
          <w:b/>
          <w:bCs/>
          <w:lang w:val="fr"/>
        </w:rPr>
        <w:t>Recommandation</w:t>
      </w:r>
      <w:r>
        <w:rPr>
          <w:lang w:val="fr"/>
        </w:rPr>
        <w:t> </w:t>
      </w:r>
    </w:p>
    <w:p w14:paraId="25559CF6" w14:textId="77777777" w:rsidR="00477BB8" w:rsidRPr="00477BB8" w:rsidRDefault="00477BB8" w:rsidP="00477BB8">
      <w:pPr>
        <w:pStyle w:val="Heading1"/>
        <w:keepNext/>
        <w:rPr>
          <w:lang w:val="fr-FR"/>
        </w:rPr>
      </w:pPr>
      <w:r>
        <w:rPr>
          <w:lang w:val="fr"/>
        </w:rPr>
        <w:t>Le Comité exécutif pourrait envisager :</w:t>
      </w:r>
    </w:p>
    <w:p w14:paraId="60733DAA" w14:textId="34D2DDF9" w:rsidR="00477BB8" w:rsidRPr="00477BB8" w:rsidRDefault="00477BB8" w:rsidP="00477BB8">
      <w:pPr>
        <w:pStyle w:val="Heading2"/>
        <w:widowControl/>
        <w:rPr>
          <w:lang w:val="fr-FR"/>
        </w:rPr>
      </w:pPr>
      <w:r>
        <w:rPr>
          <w:lang w:val="fr"/>
        </w:rPr>
        <w:t xml:space="preserve">De statuer si une restitution des coûts d’investissements supplémentaires dans le cas où les entreprises </w:t>
      </w:r>
      <w:proofErr w:type="spellStart"/>
      <w:r>
        <w:rPr>
          <w:lang w:val="fr"/>
        </w:rPr>
        <w:t>Berjaya</w:t>
      </w:r>
      <w:proofErr w:type="spellEnd"/>
      <w:r>
        <w:rPr>
          <w:lang w:val="fr"/>
        </w:rPr>
        <w:t xml:space="preserve"> Steel et </w:t>
      </w:r>
      <w:proofErr w:type="spellStart"/>
      <w:r>
        <w:rPr>
          <w:lang w:val="fr"/>
        </w:rPr>
        <w:t>Zun</w:t>
      </w:r>
      <w:proofErr w:type="spellEnd"/>
      <w:r>
        <w:rPr>
          <w:lang w:val="fr"/>
        </w:rPr>
        <w:t xml:space="preserve"> </w:t>
      </w:r>
      <w:proofErr w:type="spellStart"/>
      <w:r>
        <w:rPr>
          <w:lang w:val="fr"/>
        </w:rPr>
        <w:t>Utara</w:t>
      </w:r>
      <w:proofErr w:type="spellEnd"/>
      <w:r>
        <w:rPr>
          <w:lang w:val="fr"/>
        </w:rPr>
        <w:t xml:space="preserve"> ne seraient pas en mesure d’atteindre les objectifs d’efficacité énergétique d’ici le 31 décembre 2029 serait appropriée ou non et, si c’était le cas, à quel niveau de restitution</w:t>
      </w:r>
      <w:r w:rsidR="00DA17F5">
        <w:rPr>
          <w:lang w:val="fr"/>
        </w:rPr>
        <w:t> ;</w:t>
      </w:r>
    </w:p>
    <w:p w14:paraId="40119AB8" w14:textId="120D74FE" w:rsidR="00477BB8" w:rsidRPr="00477BB8" w:rsidRDefault="00477BB8" w:rsidP="00477BB8">
      <w:pPr>
        <w:pStyle w:val="Heading2"/>
        <w:rPr>
          <w:lang w:val="fr-FR"/>
        </w:rPr>
      </w:pPr>
      <w:r>
        <w:rPr>
          <w:lang w:val="fr"/>
        </w:rPr>
        <w:t>D’approuver le projet pilote d’amélioration de l’efficacité énergétique des équipements de réfrigération commerciale autonomes en Malaisie dans le contexte de la réduction des HFC (activités portant et ne portant pas sur des investissements), pour un montant de 915 689 $ US, plus les coûts d’appui d’agence à hauteur de 64 098 $ US pour la Banque mondiale, de noter :</w:t>
      </w:r>
    </w:p>
    <w:p w14:paraId="7E695743" w14:textId="77777777" w:rsidR="00477BB8" w:rsidRPr="00477BB8" w:rsidRDefault="00477BB8" w:rsidP="00477BB8">
      <w:pPr>
        <w:pStyle w:val="Heading3"/>
        <w:rPr>
          <w:lang w:val="fr-FR"/>
        </w:rPr>
      </w:pPr>
      <w:r>
        <w:rPr>
          <w:lang w:val="fr"/>
        </w:rPr>
        <w:t>Que le gouvernement de la Malaisie s’est engagé à se conformer aux conditions indiquées dans la décision 91/65(b)(</w:t>
      </w:r>
      <w:proofErr w:type="gramStart"/>
      <w:r>
        <w:rPr>
          <w:lang w:val="fr"/>
        </w:rPr>
        <w:t>iv)b.</w:t>
      </w:r>
      <w:proofErr w:type="gramEnd"/>
      <w:r>
        <w:rPr>
          <w:lang w:val="fr"/>
        </w:rPr>
        <w:t xml:space="preserve"> à (b)(iv)d. ; et </w:t>
      </w:r>
    </w:p>
    <w:p w14:paraId="2A459E0D" w14:textId="77777777" w:rsidR="00477BB8" w:rsidRPr="00477BB8" w:rsidRDefault="00477BB8" w:rsidP="00477BB8">
      <w:pPr>
        <w:pStyle w:val="Heading3"/>
        <w:rPr>
          <w:lang w:val="fr-FR"/>
        </w:rPr>
      </w:pPr>
      <w:r>
        <w:rPr>
          <w:lang w:val="fr"/>
        </w:rPr>
        <w:t>Que le gouvernement de la Malaisie s’est engagé à mettre en œuvre des normes de performance énergétique minimale</w:t>
      </w:r>
      <w:r>
        <w:rPr>
          <w:rStyle w:val="normaltextrun"/>
          <w:color w:val="000000"/>
          <w:shd w:val="clear" w:color="auto" w:fill="FFFFFF"/>
          <w:lang w:val="fr"/>
        </w:rPr>
        <w:t xml:space="preserve"> pour les équipements de réfrigération commerciale autonomes d’ici le 1</w:t>
      </w:r>
      <w:r>
        <w:rPr>
          <w:rStyle w:val="normaltextrun"/>
          <w:color w:val="000000"/>
          <w:shd w:val="clear" w:color="auto" w:fill="FFFFFF"/>
          <w:vertAlign w:val="superscript"/>
          <w:lang w:val="fr"/>
        </w:rPr>
        <w:t>er</w:t>
      </w:r>
      <w:r>
        <w:rPr>
          <w:rStyle w:val="normaltextrun"/>
          <w:color w:val="000000"/>
          <w:shd w:val="clear" w:color="auto" w:fill="FFFFFF"/>
          <w:lang w:val="fr"/>
        </w:rPr>
        <w:t> janvier 2029 ;</w:t>
      </w:r>
    </w:p>
    <w:p w14:paraId="4BCD242D" w14:textId="53E6F098" w:rsidR="00477BB8" w:rsidRPr="00477BB8" w:rsidRDefault="00477BB8" w:rsidP="00477BB8">
      <w:pPr>
        <w:pStyle w:val="Heading3"/>
        <w:rPr>
          <w:lang w:val="fr-FR"/>
        </w:rPr>
      </w:pPr>
      <w:r>
        <w:rPr>
          <w:lang w:val="fr"/>
        </w:rPr>
        <w:t xml:space="preserve">Que, sur le financement convenu, 415 689 $ US, plus les coûts d’appui d’agence de 29 098 $ US pour la Banque mondiale, seraient alloués à la fenêtre de financement approuvée au titre de la décision 94/60, et que 500 000 $ US, plus </w:t>
      </w:r>
      <w:r w:rsidR="00B42ACE">
        <w:rPr>
          <w:lang w:val="fr"/>
        </w:rPr>
        <w:t xml:space="preserve">les </w:t>
      </w:r>
      <w:r>
        <w:rPr>
          <w:lang w:val="fr"/>
        </w:rPr>
        <w:t>coûts d’appui d’agence de 35 000 $ US pour la Banque mondiale, seraient alloués à la fenêtre de financement approuvée un titre de la décision 91/65 ;</w:t>
      </w:r>
    </w:p>
    <w:p w14:paraId="17F1A8D1" w14:textId="77777777" w:rsidR="00477BB8" w:rsidRPr="00477BB8" w:rsidRDefault="00477BB8" w:rsidP="00477BB8">
      <w:pPr>
        <w:pStyle w:val="Heading3"/>
        <w:rPr>
          <w:lang w:val="fr-FR"/>
        </w:rPr>
      </w:pPr>
      <w:r>
        <w:rPr>
          <w:lang w:val="fr"/>
        </w:rPr>
        <w:t xml:space="preserve">Que le projet </w:t>
      </w:r>
      <w:proofErr w:type="gramStart"/>
      <w:r>
        <w:rPr>
          <w:lang w:val="fr"/>
        </w:rPr>
        <w:t>sera</w:t>
      </w:r>
      <w:proofErr w:type="gramEnd"/>
      <w:r>
        <w:rPr>
          <w:lang w:val="fr"/>
        </w:rPr>
        <w:t xml:space="preserve"> achevé au niveau opérationnel pas plus tard que le décembre 2027 et qu’un rapport détaillé de projet sera soumis au Comité exécutif dans les six mois suivant la date d’achèvement du projet. </w:t>
      </w:r>
    </w:p>
    <w:p w14:paraId="2CE624EE" w14:textId="77777777" w:rsidR="00477BB8" w:rsidRPr="00477BB8" w:rsidRDefault="00477BB8" w:rsidP="00477BB8">
      <w:pPr>
        <w:rPr>
          <w:lang w:val="fr-FR"/>
        </w:rPr>
      </w:pPr>
    </w:p>
    <w:p w14:paraId="1423917C" w14:textId="77777777" w:rsidR="00477BB8" w:rsidRPr="00477BB8" w:rsidRDefault="00477BB8" w:rsidP="00477BB8">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77BB8" w:rsidRPr="001C0708" w14:paraId="4AAC3553" w14:textId="77777777" w:rsidTr="00F2642F">
        <w:tc>
          <w:tcPr>
            <w:tcW w:w="1871" w:type="dxa"/>
          </w:tcPr>
          <w:p w14:paraId="3390FF6A" w14:textId="77777777" w:rsidR="00477BB8" w:rsidRPr="00477BB8" w:rsidRDefault="00477BB8" w:rsidP="00F2642F">
            <w:pPr>
              <w:rPr>
                <w:lang w:val="fr-FR"/>
              </w:rPr>
            </w:pPr>
          </w:p>
        </w:tc>
        <w:tc>
          <w:tcPr>
            <w:tcW w:w="1872" w:type="dxa"/>
          </w:tcPr>
          <w:p w14:paraId="5CA35647" w14:textId="77777777" w:rsidR="00477BB8" w:rsidRPr="00477BB8" w:rsidRDefault="00477BB8" w:rsidP="00F2642F">
            <w:pPr>
              <w:rPr>
                <w:lang w:val="fr-FR"/>
              </w:rPr>
            </w:pPr>
          </w:p>
        </w:tc>
        <w:tc>
          <w:tcPr>
            <w:tcW w:w="1872" w:type="dxa"/>
            <w:tcBorders>
              <w:bottom w:val="single" w:sz="4" w:space="0" w:color="auto"/>
            </w:tcBorders>
          </w:tcPr>
          <w:p w14:paraId="0131DAA8" w14:textId="77777777" w:rsidR="00477BB8" w:rsidRPr="00477BB8" w:rsidRDefault="00477BB8" w:rsidP="00F2642F">
            <w:pPr>
              <w:rPr>
                <w:lang w:val="fr-FR"/>
              </w:rPr>
            </w:pPr>
          </w:p>
        </w:tc>
        <w:tc>
          <w:tcPr>
            <w:tcW w:w="1872" w:type="dxa"/>
          </w:tcPr>
          <w:p w14:paraId="709E11FB" w14:textId="77777777" w:rsidR="00477BB8" w:rsidRPr="00477BB8" w:rsidRDefault="00477BB8" w:rsidP="00F2642F">
            <w:pPr>
              <w:rPr>
                <w:lang w:val="fr-FR"/>
              </w:rPr>
            </w:pPr>
          </w:p>
        </w:tc>
        <w:tc>
          <w:tcPr>
            <w:tcW w:w="1873" w:type="dxa"/>
          </w:tcPr>
          <w:p w14:paraId="7B24B7CD" w14:textId="77777777" w:rsidR="00477BB8" w:rsidRPr="00477BB8" w:rsidRDefault="00477BB8" w:rsidP="00F2642F">
            <w:pPr>
              <w:rPr>
                <w:lang w:val="fr-FR"/>
              </w:rPr>
            </w:pPr>
          </w:p>
        </w:tc>
      </w:tr>
    </w:tbl>
    <w:p w14:paraId="08380B54" w14:textId="77777777" w:rsidR="004E7F9C" w:rsidRPr="00477BB8" w:rsidRDefault="004E7F9C" w:rsidP="004E7F9C">
      <w:pPr>
        <w:pStyle w:val="Title1"/>
        <w:rPr>
          <w:lang w:val="fr-FR"/>
        </w:rPr>
      </w:pPr>
    </w:p>
    <w:sectPr w:rsidR="004E7F9C" w:rsidRPr="00477BB8" w:rsidSect="008A494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303DB" w14:textId="77777777" w:rsidR="00B97269" w:rsidRDefault="00B97269" w:rsidP="004A504B">
      <w:r>
        <w:separator/>
      </w:r>
    </w:p>
  </w:endnote>
  <w:endnote w:type="continuationSeparator" w:id="0">
    <w:p w14:paraId="4A57821A" w14:textId="77777777" w:rsidR="00B97269" w:rsidRDefault="00B9726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79963916"/>
      <w:docPartObj>
        <w:docPartGallery w:val="Page Numbers (Bottom of Page)"/>
        <w:docPartUnique/>
      </w:docPartObj>
    </w:sdtPr>
    <w:sdtEndPr>
      <w:rPr>
        <w:rStyle w:val="PageNumber"/>
      </w:rPr>
    </w:sdtEndPr>
    <w:sdtContent>
      <w:p w14:paraId="01739E16" w14:textId="2516641C" w:rsidR="00174F5A" w:rsidRDefault="00174F5A" w:rsidP="00C163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0F8A0AD" w14:textId="3DDF6BC6"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18989940"/>
      <w:docPartObj>
        <w:docPartGallery w:val="Page Numbers (Bottom of Page)"/>
        <w:docPartUnique/>
      </w:docPartObj>
    </w:sdtPr>
    <w:sdtEndPr>
      <w:rPr>
        <w:rStyle w:val="PageNumber"/>
      </w:rPr>
    </w:sdtEndPr>
    <w:sdtContent>
      <w:p w14:paraId="670B403D" w14:textId="6522970C" w:rsidR="00174F5A" w:rsidRDefault="00174F5A" w:rsidP="00C163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sdtContent>
  </w:sdt>
  <w:p w14:paraId="3ADFC0A5" w14:textId="3F365E07" w:rsidR="00DC6A10" w:rsidRPr="008A4946" w:rsidRDefault="00DC6A10" w:rsidP="008A4946">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C3CEF" w14:textId="25D7599A" w:rsidR="00103AB1" w:rsidRPr="00E019D3" w:rsidRDefault="00103AB1" w:rsidP="00E019D3">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E019D3">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1F1A8846"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8253C8" w14:textId="77777777" w:rsidR="00B97269" w:rsidRDefault="00B97269" w:rsidP="004A504B">
      <w:r>
        <w:separator/>
      </w:r>
    </w:p>
  </w:footnote>
  <w:footnote w:type="continuationSeparator" w:id="0">
    <w:p w14:paraId="79EC5B55" w14:textId="77777777" w:rsidR="00B97269" w:rsidRDefault="00B97269" w:rsidP="004A504B">
      <w:r>
        <w:continuationSeparator/>
      </w:r>
    </w:p>
  </w:footnote>
  <w:footnote w:id="1">
    <w:p w14:paraId="5A934933" w14:textId="59CD197E" w:rsidR="00103AB1" w:rsidRPr="00564224" w:rsidRDefault="00103AB1" w:rsidP="00103AB1">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4B8682C0" w14:textId="77777777" w:rsidR="00477BB8" w:rsidRPr="00477BB8" w:rsidRDefault="00477BB8" w:rsidP="00477BB8">
      <w:pPr>
        <w:pStyle w:val="FootnoteText"/>
        <w:rPr>
          <w:lang w:val="fr-FR"/>
        </w:rPr>
      </w:pPr>
      <w:r>
        <w:rPr>
          <w:rStyle w:val="FootnoteReference"/>
          <w:lang w:val="fr"/>
        </w:rPr>
        <w:footnoteRef/>
      </w:r>
      <w:r>
        <w:rPr>
          <w:lang w:val="fr"/>
        </w:rPr>
        <w:t xml:space="preserve"> Conformément à la lettre adressée à la Banque mondiale par le Département de l’environnement du </w:t>
      </w:r>
      <w:proofErr w:type="gramStart"/>
      <w:r>
        <w:rPr>
          <w:lang w:val="fr"/>
        </w:rPr>
        <w:t>Ministère de la durabilité</w:t>
      </w:r>
      <w:proofErr w:type="gramEnd"/>
      <w:r>
        <w:rPr>
          <w:lang w:val="fr"/>
        </w:rPr>
        <w:t xml:space="preserve"> des ressources naturelles et de l’environnement de la Malaisie le 4 septembre 2024.</w:t>
      </w:r>
    </w:p>
  </w:footnote>
  <w:footnote w:id="3">
    <w:p w14:paraId="0252D22D" w14:textId="77777777" w:rsidR="00477BB8" w:rsidRPr="00477BB8" w:rsidRDefault="00477BB8" w:rsidP="00477BB8">
      <w:pPr>
        <w:pStyle w:val="FootnoteText"/>
        <w:rPr>
          <w:lang w:val="fr-FR"/>
        </w:rPr>
      </w:pPr>
      <w:r>
        <w:rPr>
          <w:rStyle w:val="FootnoteReference"/>
          <w:lang w:val="fr"/>
        </w:rPr>
        <w:footnoteRef/>
      </w:r>
      <w:r>
        <w:rPr>
          <w:lang w:val="fr"/>
        </w:rPr>
        <w:t xml:space="preserve"> Décision 80/52</w:t>
      </w:r>
    </w:p>
  </w:footnote>
  <w:footnote w:id="4">
    <w:p w14:paraId="3E55B455" w14:textId="77777777" w:rsidR="00477BB8" w:rsidRPr="00477BB8" w:rsidRDefault="00477BB8" w:rsidP="00477BB8">
      <w:pPr>
        <w:pStyle w:val="FootnoteText"/>
        <w:rPr>
          <w:lang w:val="fr-FR"/>
        </w:rPr>
      </w:pPr>
      <w:r>
        <w:rPr>
          <w:rStyle w:val="FootnoteReference"/>
          <w:lang w:val="fr"/>
        </w:rPr>
        <w:footnoteRef/>
      </w:r>
      <w:r>
        <w:rPr>
          <w:lang w:val="fr"/>
        </w:rPr>
        <w:t xml:space="preserve"> Décision 93/67</w:t>
      </w:r>
    </w:p>
  </w:footnote>
  <w:footnote w:id="5">
    <w:p w14:paraId="78F3EC42" w14:textId="2C57D748" w:rsidR="00477BB8" w:rsidRPr="00477BB8" w:rsidRDefault="00477BB8" w:rsidP="00477BB8">
      <w:pPr>
        <w:pStyle w:val="FootnoteText"/>
        <w:rPr>
          <w:lang w:val="fr-FR"/>
        </w:rPr>
      </w:pPr>
      <w:r>
        <w:rPr>
          <w:rStyle w:val="FootnoteReference"/>
          <w:lang w:val="fr"/>
        </w:rPr>
        <w:footnoteRef/>
      </w:r>
      <w:r w:rsidR="00345674">
        <w:rPr>
          <w:lang w:val="fr"/>
        </w:rPr>
        <w:t> </w:t>
      </w:r>
      <w:r>
        <w:rPr>
          <w:lang w:val="fr"/>
        </w:rPr>
        <w:t xml:space="preserve">La Commission de l’énergie sous la tutelle du </w:t>
      </w:r>
      <w:proofErr w:type="gramStart"/>
      <w:r>
        <w:rPr>
          <w:lang w:val="fr"/>
        </w:rPr>
        <w:t>Ministère de l’énergie</w:t>
      </w:r>
      <w:proofErr w:type="gramEnd"/>
      <w:r>
        <w:rPr>
          <w:lang w:val="fr"/>
        </w:rPr>
        <w:t xml:space="preserve"> possède un mandat pour réguler les performances énergétiques des appareils électroménagers.</w:t>
      </w:r>
    </w:p>
  </w:footnote>
  <w:footnote w:id="6">
    <w:p w14:paraId="40BB867B" w14:textId="5E6435B0" w:rsidR="00477BB8" w:rsidRPr="00477BB8" w:rsidRDefault="00477BB8" w:rsidP="00477BB8">
      <w:pPr>
        <w:pStyle w:val="FootnoteText"/>
        <w:rPr>
          <w:lang w:val="fr-FR"/>
        </w:rPr>
      </w:pPr>
      <w:r>
        <w:rPr>
          <w:rStyle w:val="FootnoteReference"/>
          <w:lang w:val="fr"/>
        </w:rPr>
        <w:footnoteRef/>
      </w:r>
      <w:r w:rsidR="00DE0B48">
        <w:rPr>
          <w:lang w:val="fr"/>
        </w:rPr>
        <w:t> </w:t>
      </w:r>
      <w:r>
        <w:rPr>
          <w:lang w:val="fr"/>
        </w:rPr>
        <w:t>Par exemple, une entreprise qui a fabriqué 80 000 réfrigérateurs et congélateurs coffres par an, parmi lesquels 60 000 sont éligibles à une mesure incitative, serait éligible à recevoir 120 000 $ US en coûts d’investissements supplémentaires.</w:t>
      </w:r>
    </w:p>
  </w:footnote>
  <w:footnote w:id="7">
    <w:p w14:paraId="7522E2BD" w14:textId="4C17BDEA" w:rsidR="00477BB8" w:rsidRPr="00477BB8" w:rsidRDefault="00477BB8" w:rsidP="00477BB8">
      <w:pPr>
        <w:pStyle w:val="FootnoteText"/>
        <w:rPr>
          <w:lang w:val="fr-FR"/>
        </w:rPr>
      </w:pPr>
      <w:r>
        <w:rPr>
          <w:rStyle w:val="FootnoteReference"/>
          <w:lang w:val="fr"/>
        </w:rPr>
        <w:footnoteRef/>
      </w:r>
      <w:r w:rsidR="00DE0B48">
        <w:rPr>
          <w:lang w:val="fr"/>
        </w:rPr>
        <w:t> </w:t>
      </w:r>
      <w:r>
        <w:rPr>
          <w:lang w:val="fr"/>
        </w:rPr>
        <w:t>Par exemple, une entreprise qui a fabriqué 60 000 réfrigérateurs et congélateurs coffres et 10 000 vitrines réfrigérées par an éligibles à une mesure incitative serait éligible à recevoir 243 000 $ US en coûts d’investissements supplémentaires.</w:t>
      </w:r>
    </w:p>
  </w:footnote>
  <w:footnote w:id="8">
    <w:p w14:paraId="5661667E" w14:textId="0B89B6F3" w:rsidR="00477BB8" w:rsidRPr="00477BB8" w:rsidRDefault="00477BB8" w:rsidP="00477BB8">
      <w:pPr>
        <w:pStyle w:val="FootnoteText"/>
        <w:rPr>
          <w:lang w:val="fr-FR"/>
        </w:rPr>
      </w:pPr>
      <w:r>
        <w:rPr>
          <w:rStyle w:val="FootnoteReference"/>
          <w:lang w:val="fr"/>
        </w:rPr>
        <w:footnoteRef/>
      </w:r>
      <w:r w:rsidR="00DE0B48">
        <w:rPr>
          <w:lang w:val="fr"/>
        </w:rPr>
        <w:t> </w:t>
      </w:r>
      <w:r>
        <w:rPr>
          <w:lang w:val="fr"/>
        </w:rPr>
        <w:t>Information considérée comme confidentielle</w:t>
      </w:r>
    </w:p>
  </w:footnote>
  <w:footnote w:id="9">
    <w:p w14:paraId="71A5D719" w14:textId="623CAD35" w:rsidR="00477BB8" w:rsidRPr="001C0708" w:rsidRDefault="00477BB8" w:rsidP="00477BB8">
      <w:pPr>
        <w:pStyle w:val="FootnoteText"/>
        <w:jc w:val="left"/>
        <w:rPr>
          <w:lang w:val="fr-CA"/>
        </w:rPr>
      </w:pPr>
      <w:r>
        <w:rPr>
          <w:rStyle w:val="FootnoteReference"/>
          <w:lang w:val="fr"/>
        </w:rPr>
        <w:footnoteRef/>
      </w:r>
      <w:r w:rsidR="00DE0B48" w:rsidRPr="001C0708">
        <w:rPr>
          <w:lang w:val="fr-CA"/>
        </w:rPr>
        <w:t> </w:t>
      </w:r>
      <w:r w:rsidRPr="001C0708">
        <w:rPr>
          <w:lang w:val="fr-CA"/>
        </w:rPr>
        <w:t>https://united4efficiency.org/wp-content/uploads/2021/11/U4E_CommercialRefrig_ ModelRegulation_20230728 _EN.pdf</w:t>
      </w:r>
    </w:p>
  </w:footnote>
  <w:footnote w:id="10">
    <w:p w14:paraId="0239C66F" w14:textId="0989D4A2" w:rsidR="00477BB8" w:rsidRPr="00477BB8" w:rsidRDefault="00477BB8" w:rsidP="00477BB8">
      <w:pPr>
        <w:pStyle w:val="FootnoteText"/>
        <w:rPr>
          <w:lang w:val="fr-FR"/>
        </w:rPr>
      </w:pPr>
      <w:r>
        <w:rPr>
          <w:rStyle w:val="FootnoteReference"/>
          <w:lang w:val="fr"/>
        </w:rPr>
        <w:footnoteRef/>
      </w:r>
      <w:r w:rsidR="00DE0B48">
        <w:rPr>
          <w:lang w:val="fr"/>
        </w:rPr>
        <w:t> </w:t>
      </w:r>
      <w:r>
        <w:rPr>
          <w:lang w:val="fr"/>
        </w:rPr>
        <w:t>Information considérée comme confidentielle.</w:t>
      </w:r>
    </w:p>
  </w:footnote>
  <w:footnote w:id="11">
    <w:p w14:paraId="7D7E369C" w14:textId="768147A2" w:rsidR="00477BB8" w:rsidRPr="00477BB8" w:rsidRDefault="00477BB8" w:rsidP="00477BB8">
      <w:pPr>
        <w:pStyle w:val="FootnoteText"/>
        <w:rPr>
          <w:lang w:val="fr-FR"/>
        </w:rPr>
      </w:pPr>
      <w:r>
        <w:rPr>
          <w:rStyle w:val="FootnoteReference"/>
          <w:lang w:val="fr"/>
        </w:rPr>
        <w:footnoteRef/>
      </w:r>
      <w:r>
        <w:rPr>
          <w:lang w:val="fr"/>
        </w:rPr>
        <w:t xml:space="preserve"> Coût forfaitaire englobant le matériel et le logiciel compris entre 450 000 $ US et 625 000 $ US par système de tests.</w:t>
      </w:r>
    </w:p>
  </w:footnote>
  <w:footnote w:id="12">
    <w:p w14:paraId="62C1D0BA" w14:textId="3FECF0F3" w:rsidR="005958FE" w:rsidRPr="005958FE" w:rsidRDefault="005958FE" w:rsidP="005958FE">
      <w:pPr>
        <w:pStyle w:val="FootnoteText"/>
        <w:rPr>
          <w:lang w:val="fr-FR"/>
        </w:rPr>
      </w:pPr>
      <w:r>
        <w:rPr>
          <w:rStyle w:val="FootnoteReference"/>
        </w:rPr>
        <w:footnoteRef/>
      </w:r>
      <w:r w:rsidRPr="005958FE">
        <w:rPr>
          <w:lang w:val="fr-FR"/>
        </w:rPr>
        <w:t xml:space="preserve"> Association des nations de l'Asie du Sud-Est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65569" w14:textId="4AD7E45E" w:rsidR="00DC6A10" w:rsidRPr="0033525D" w:rsidRDefault="00D11735">
    <w:r>
      <w:fldChar w:fldCharType="begin"/>
    </w:r>
    <w:r>
      <w:instrText xml:space="preserve"> DOCPROPERTY "Document number"  \* MERGEFORMAT </w:instrText>
    </w:r>
    <w:r>
      <w:fldChar w:fldCharType="separate"/>
    </w:r>
    <w:r w:rsidR="00477BB8">
      <w:t>UNEP/</w:t>
    </w:r>
    <w:proofErr w:type="spellStart"/>
    <w:r w:rsidR="00477BB8">
      <w:t>OzL.Pro</w:t>
    </w:r>
    <w:proofErr w:type="spellEnd"/>
    <w:r w:rsidR="00477BB8">
      <w:t>/ExCom/95/</w:t>
    </w:r>
    <w:r w:rsidR="00B91B01">
      <w:t>64</w:t>
    </w:r>
    <w:r>
      <w:fldChar w:fldCharType="end"/>
    </w:r>
  </w:p>
  <w:p w14:paraId="3D27642D" w14:textId="77777777" w:rsidR="00DC6A10" w:rsidRPr="0033525D" w:rsidRDefault="00DC6A10"/>
  <w:p w14:paraId="2B3AF3A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8CBA2" w14:textId="7A1CBAA7" w:rsidR="00DC6A10" w:rsidRDefault="00D11735">
    <w:pPr>
      <w:jc w:val="right"/>
    </w:pPr>
    <w:r>
      <w:fldChar w:fldCharType="begin"/>
    </w:r>
    <w:r>
      <w:instrText xml:space="preserve"> DOCPROPERTY "Document number"  \* MERGEFORMAT </w:instrText>
    </w:r>
    <w:r>
      <w:fldChar w:fldCharType="separate"/>
    </w:r>
    <w:r w:rsidR="00477BB8">
      <w:t>UNEP/</w:t>
    </w:r>
    <w:proofErr w:type="spellStart"/>
    <w:r w:rsidR="00477BB8">
      <w:t>OzL.Pro</w:t>
    </w:r>
    <w:proofErr w:type="spellEnd"/>
    <w:r w:rsidR="00477BB8">
      <w:t>/ExCom/95/</w:t>
    </w:r>
    <w:r w:rsidR="00B91B01">
      <w:t>64</w:t>
    </w:r>
    <w:r>
      <w:fldChar w:fldCharType="end"/>
    </w:r>
  </w:p>
  <w:p w14:paraId="554A92C9" w14:textId="07EB8027" w:rsidR="00DC6A10" w:rsidRDefault="00DC6A10">
    <w:pPr>
      <w:pStyle w:val="Header"/>
    </w:pPr>
  </w:p>
  <w:p w14:paraId="44A9C49C" w14:textId="77777777" w:rsidR="00B91B01" w:rsidRPr="0033525D" w:rsidRDefault="00B91B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 w:numId="22" w16cid:durableId="176620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77BB8"/>
    <w:rsid w:val="00000FED"/>
    <w:rsid w:val="0000434E"/>
    <w:rsid w:val="000168D3"/>
    <w:rsid w:val="000211A9"/>
    <w:rsid w:val="00021238"/>
    <w:rsid w:val="00022071"/>
    <w:rsid w:val="00024F01"/>
    <w:rsid w:val="00024FB5"/>
    <w:rsid w:val="00031260"/>
    <w:rsid w:val="0003681A"/>
    <w:rsid w:val="000372B7"/>
    <w:rsid w:val="00043202"/>
    <w:rsid w:val="00050F6E"/>
    <w:rsid w:val="00060961"/>
    <w:rsid w:val="00061EC2"/>
    <w:rsid w:val="00063D5F"/>
    <w:rsid w:val="00066CE8"/>
    <w:rsid w:val="00070060"/>
    <w:rsid w:val="00072648"/>
    <w:rsid w:val="00074FD7"/>
    <w:rsid w:val="00080ED0"/>
    <w:rsid w:val="00085B8F"/>
    <w:rsid w:val="00090481"/>
    <w:rsid w:val="00096AC6"/>
    <w:rsid w:val="000A3826"/>
    <w:rsid w:val="000A3F1A"/>
    <w:rsid w:val="000A4BFB"/>
    <w:rsid w:val="000A64A9"/>
    <w:rsid w:val="000A6C26"/>
    <w:rsid w:val="000A797D"/>
    <w:rsid w:val="000B36C8"/>
    <w:rsid w:val="000B5458"/>
    <w:rsid w:val="000B7B1B"/>
    <w:rsid w:val="000C701C"/>
    <w:rsid w:val="000D52A4"/>
    <w:rsid w:val="000E07BC"/>
    <w:rsid w:val="000E2E21"/>
    <w:rsid w:val="000F1CD4"/>
    <w:rsid w:val="000F33C9"/>
    <w:rsid w:val="000F4103"/>
    <w:rsid w:val="000F70A7"/>
    <w:rsid w:val="00103AB1"/>
    <w:rsid w:val="00106116"/>
    <w:rsid w:val="00113CCA"/>
    <w:rsid w:val="00122F25"/>
    <w:rsid w:val="001352C3"/>
    <w:rsid w:val="00135980"/>
    <w:rsid w:val="0013786F"/>
    <w:rsid w:val="00152723"/>
    <w:rsid w:val="00163A89"/>
    <w:rsid w:val="00164719"/>
    <w:rsid w:val="00166FC4"/>
    <w:rsid w:val="001677AC"/>
    <w:rsid w:val="00174F5A"/>
    <w:rsid w:val="001804EA"/>
    <w:rsid w:val="001825DD"/>
    <w:rsid w:val="001832C0"/>
    <w:rsid w:val="00190A61"/>
    <w:rsid w:val="00197179"/>
    <w:rsid w:val="001A2215"/>
    <w:rsid w:val="001A3342"/>
    <w:rsid w:val="001A3E3D"/>
    <w:rsid w:val="001A7049"/>
    <w:rsid w:val="001B0376"/>
    <w:rsid w:val="001B1E40"/>
    <w:rsid w:val="001C04E2"/>
    <w:rsid w:val="001C0708"/>
    <w:rsid w:val="001C764E"/>
    <w:rsid w:val="001E1052"/>
    <w:rsid w:val="001E21B1"/>
    <w:rsid w:val="001E2F93"/>
    <w:rsid w:val="001E4554"/>
    <w:rsid w:val="001E61E5"/>
    <w:rsid w:val="001F2159"/>
    <w:rsid w:val="001F53FD"/>
    <w:rsid w:val="001F6B44"/>
    <w:rsid w:val="00210B8B"/>
    <w:rsid w:val="00214863"/>
    <w:rsid w:val="002156B4"/>
    <w:rsid w:val="00223AFD"/>
    <w:rsid w:val="00224FCD"/>
    <w:rsid w:val="00233889"/>
    <w:rsid w:val="00253222"/>
    <w:rsid w:val="00261C13"/>
    <w:rsid w:val="00262847"/>
    <w:rsid w:val="00267A95"/>
    <w:rsid w:val="00281BB2"/>
    <w:rsid w:val="002957E5"/>
    <w:rsid w:val="002A03C3"/>
    <w:rsid w:val="002B1AED"/>
    <w:rsid w:val="002B254E"/>
    <w:rsid w:val="002B4CE8"/>
    <w:rsid w:val="002B72E9"/>
    <w:rsid w:val="002C7998"/>
    <w:rsid w:val="002D70CF"/>
    <w:rsid w:val="002F1E53"/>
    <w:rsid w:val="002F2CAA"/>
    <w:rsid w:val="002F558B"/>
    <w:rsid w:val="0030052C"/>
    <w:rsid w:val="00313EFE"/>
    <w:rsid w:val="003170C6"/>
    <w:rsid w:val="00320BD8"/>
    <w:rsid w:val="00325678"/>
    <w:rsid w:val="003264E1"/>
    <w:rsid w:val="003306E1"/>
    <w:rsid w:val="003320E4"/>
    <w:rsid w:val="0033525D"/>
    <w:rsid w:val="003414F3"/>
    <w:rsid w:val="00345674"/>
    <w:rsid w:val="0035613E"/>
    <w:rsid w:val="003579C0"/>
    <w:rsid w:val="00363EE9"/>
    <w:rsid w:val="00372ECA"/>
    <w:rsid w:val="0037413B"/>
    <w:rsid w:val="00376128"/>
    <w:rsid w:val="0037742E"/>
    <w:rsid w:val="00377D56"/>
    <w:rsid w:val="0038245A"/>
    <w:rsid w:val="003840E6"/>
    <w:rsid w:val="00384A4A"/>
    <w:rsid w:val="00385CFC"/>
    <w:rsid w:val="0039337A"/>
    <w:rsid w:val="003A0CD2"/>
    <w:rsid w:val="003A3189"/>
    <w:rsid w:val="003A3CA7"/>
    <w:rsid w:val="003B33BD"/>
    <w:rsid w:val="003B569D"/>
    <w:rsid w:val="003C3C0E"/>
    <w:rsid w:val="003D42A6"/>
    <w:rsid w:val="003D4F21"/>
    <w:rsid w:val="003D4FAC"/>
    <w:rsid w:val="003D6D2E"/>
    <w:rsid w:val="003E1885"/>
    <w:rsid w:val="003E4A0F"/>
    <w:rsid w:val="003E7906"/>
    <w:rsid w:val="003F000F"/>
    <w:rsid w:val="003F0987"/>
    <w:rsid w:val="003F31D6"/>
    <w:rsid w:val="003F3C50"/>
    <w:rsid w:val="00406202"/>
    <w:rsid w:val="004064DB"/>
    <w:rsid w:val="00406A6A"/>
    <w:rsid w:val="00406B22"/>
    <w:rsid w:val="00407147"/>
    <w:rsid w:val="004078FA"/>
    <w:rsid w:val="00431E08"/>
    <w:rsid w:val="004328A7"/>
    <w:rsid w:val="00434C74"/>
    <w:rsid w:val="00442532"/>
    <w:rsid w:val="00454B0A"/>
    <w:rsid w:val="00456EB4"/>
    <w:rsid w:val="00457827"/>
    <w:rsid w:val="00460674"/>
    <w:rsid w:val="004718F3"/>
    <w:rsid w:val="00475040"/>
    <w:rsid w:val="0047631A"/>
    <w:rsid w:val="00477BB8"/>
    <w:rsid w:val="0048052F"/>
    <w:rsid w:val="004847DE"/>
    <w:rsid w:val="00490C06"/>
    <w:rsid w:val="00493D40"/>
    <w:rsid w:val="00493EE3"/>
    <w:rsid w:val="004967B6"/>
    <w:rsid w:val="004A3127"/>
    <w:rsid w:val="004A4FA0"/>
    <w:rsid w:val="004A504B"/>
    <w:rsid w:val="004A6911"/>
    <w:rsid w:val="004B3652"/>
    <w:rsid w:val="004B54E0"/>
    <w:rsid w:val="004B7384"/>
    <w:rsid w:val="004C4269"/>
    <w:rsid w:val="004D3F06"/>
    <w:rsid w:val="004D6236"/>
    <w:rsid w:val="004D7F90"/>
    <w:rsid w:val="004E4DBB"/>
    <w:rsid w:val="004E4E41"/>
    <w:rsid w:val="004E73DB"/>
    <w:rsid w:val="004E7F9C"/>
    <w:rsid w:val="004F21AB"/>
    <w:rsid w:val="004F3493"/>
    <w:rsid w:val="004F5143"/>
    <w:rsid w:val="00501965"/>
    <w:rsid w:val="00512B09"/>
    <w:rsid w:val="00514BBF"/>
    <w:rsid w:val="005220ED"/>
    <w:rsid w:val="00525FEE"/>
    <w:rsid w:val="00533796"/>
    <w:rsid w:val="00535232"/>
    <w:rsid w:val="00537343"/>
    <w:rsid w:val="005417BA"/>
    <w:rsid w:val="005516F3"/>
    <w:rsid w:val="00555D75"/>
    <w:rsid w:val="00560DF0"/>
    <w:rsid w:val="0056759C"/>
    <w:rsid w:val="00567785"/>
    <w:rsid w:val="0058408E"/>
    <w:rsid w:val="0059513E"/>
    <w:rsid w:val="005958FE"/>
    <w:rsid w:val="005A6AA4"/>
    <w:rsid w:val="005A6D9F"/>
    <w:rsid w:val="005B0BC5"/>
    <w:rsid w:val="005B4188"/>
    <w:rsid w:val="005B48FF"/>
    <w:rsid w:val="005C1E32"/>
    <w:rsid w:val="005C47A4"/>
    <w:rsid w:val="005C670D"/>
    <w:rsid w:val="005D363F"/>
    <w:rsid w:val="00604C15"/>
    <w:rsid w:val="006158D5"/>
    <w:rsid w:val="00624F97"/>
    <w:rsid w:val="00625D83"/>
    <w:rsid w:val="00651984"/>
    <w:rsid w:val="006623E7"/>
    <w:rsid w:val="00662B80"/>
    <w:rsid w:val="0066768F"/>
    <w:rsid w:val="00670F6C"/>
    <w:rsid w:val="00671DB9"/>
    <w:rsid w:val="00676E58"/>
    <w:rsid w:val="006852C7"/>
    <w:rsid w:val="006852CE"/>
    <w:rsid w:val="006854E4"/>
    <w:rsid w:val="006867D5"/>
    <w:rsid w:val="00687FC0"/>
    <w:rsid w:val="00692D14"/>
    <w:rsid w:val="00695404"/>
    <w:rsid w:val="00696275"/>
    <w:rsid w:val="0069692B"/>
    <w:rsid w:val="0069778B"/>
    <w:rsid w:val="006A5E3B"/>
    <w:rsid w:val="006A7A3B"/>
    <w:rsid w:val="006B14DF"/>
    <w:rsid w:val="006B1A2D"/>
    <w:rsid w:val="006B65C7"/>
    <w:rsid w:val="006B7EE8"/>
    <w:rsid w:val="006C0122"/>
    <w:rsid w:val="006C1727"/>
    <w:rsid w:val="006C2FD4"/>
    <w:rsid w:val="006C32FD"/>
    <w:rsid w:val="006C39CE"/>
    <w:rsid w:val="006C53C5"/>
    <w:rsid w:val="006D0FCC"/>
    <w:rsid w:val="006D21F5"/>
    <w:rsid w:val="006D3089"/>
    <w:rsid w:val="006E126D"/>
    <w:rsid w:val="006E1FC3"/>
    <w:rsid w:val="006F462E"/>
    <w:rsid w:val="00704CE9"/>
    <w:rsid w:val="0070616B"/>
    <w:rsid w:val="00706295"/>
    <w:rsid w:val="00706FDA"/>
    <w:rsid w:val="00710996"/>
    <w:rsid w:val="00711F9A"/>
    <w:rsid w:val="00713810"/>
    <w:rsid w:val="007303A5"/>
    <w:rsid w:val="00730B3E"/>
    <w:rsid w:val="00733443"/>
    <w:rsid w:val="0073420B"/>
    <w:rsid w:val="00736367"/>
    <w:rsid w:val="00742181"/>
    <w:rsid w:val="0074760E"/>
    <w:rsid w:val="007548C4"/>
    <w:rsid w:val="00754ABA"/>
    <w:rsid w:val="00762D35"/>
    <w:rsid w:val="00782B0D"/>
    <w:rsid w:val="0079781A"/>
    <w:rsid w:val="007A1546"/>
    <w:rsid w:val="007A228C"/>
    <w:rsid w:val="007A368E"/>
    <w:rsid w:val="007A5868"/>
    <w:rsid w:val="007A7F81"/>
    <w:rsid w:val="007B04CE"/>
    <w:rsid w:val="007B6714"/>
    <w:rsid w:val="007B6871"/>
    <w:rsid w:val="007B7A2F"/>
    <w:rsid w:val="007B7E83"/>
    <w:rsid w:val="007C19B5"/>
    <w:rsid w:val="007C32EE"/>
    <w:rsid w:val="007C3D33"/>
    <w:rsid w:val="007C3F40"/>
    <w:rsid w:val="007C5757"/>
    <w:rsid w:val="007D294A"/>
    <w:rsid w:val="007D47D2"/>
    <w:rsid w:val="007D6EC0"/>
    <w:rsid w:val="007D7E1D"/>
    <w:rsid w:val="007E503C"/>
    <w:rsid w:val="0080345C"/>
    <w:rsid w:val="00811F09"/>
    <w:rsid w:val="00816509"/>
    <w:rsid w:val="0082522F"/>
    <w:rsid w:val="00831979"/>
    <w:rsid w:val="00851352"/>
    <w:rsid w:val="008520F1"/>
    <w:rsid w:val="0085358B"/>
    <w:rsid w:val="00857077"/>
    <w:rsid w:val="00863230"/>
    <w:rsid w:val="00865BD0"/>
    <w:rsid w:val="0086631B"/>
    <w:rsid w:val="008717D8"/>
    <w:rsid w:val="0087215C"/>
    <w:rsid w:val="00875D25"/>
    <w:rsid w:val="00880E35"/>
    <w:rsid w:val="00884236"/>
    <w:rsid w:val="008875FE"/>
    <w:rsid w:val="00887F8E"/>
    <w:rsid w:val="00890F7C"/>
    <w:rsid w:val="00892C56"/>
    <w:rsid w:val="00892D48"/>
    <w:rsid w:val="00896234"/>
    <w:rsid w:val="00897E43"/>
    <w:rsid w:val="008A1F4B"/>
    <w:rsid w:val="008A4946"/>
    <w:rsid w:val="008C222B"/>
    <w:rsid w:val="008C3F64"/>
    <w:rsid w:val="008C4224"/>
    <w:rsid w:val="008C5738"/>
    <w:rsid w:val="008C7EAD"/>
    <w:rsid w:val="008D05C9"/>
    <w:rsid w:val="008D0CFE"/>
    <w:rsid w:val="008D6152"/>
    <w:rsid w:val="008E7BA9"/>
    <w:rsid w:val="008F082E"/>
    <w:rsid w:val="008F0F81"/>
    <w:rsid w:val="008F27BF"/>
    <w:rsid w:val="008F2E64"/>
    <w:rsid w:val="008F52BB"/>
    <w:rsid w:val="00900DC5"/>
    <w:rsid w:val="00912DF3"/>
    <w:rsid w:val="009142EC"/>
    <w:rsid w:val="009145E4"/>
    <w:rsid w:val="009154C3"/>
    <w:rsid w:val="00915EDB"/>
    <w:rsid w:val="00923540"/>
    <w:rsid w:val="00925966"/>
    <w:rsid w:val="00926767"/>
    <w:rsid w:val="009361D5"/>
    <w:rsid w:val="009428A4"/>
    <w:rsid w:val="00947F09"/>
    <w:rsid w:val="009659F4"/>
    <w:rsid w:val="0097098B"/>
    <w:rsid w:val="00970D60"/>
    <w:rsid w:val="0097458F"/>
    <w:rsid w:val="009874D0"/>
    <w:rsid w:val="00993219"/>
    <w:rsid w:val="0099390E"/>
    <w:rsid w:val="009960E5"/>
    <w:rsid w:val="009A7ADC"/>
    <w:rsid w:val="009B0D30"/>
    <w:rsid w:val="009B0FD1"/>
    <w:rsid w:val="009C19B7"/>
    <w:rsid w:val="009C5ABB"/>
    <w:rsid w:val="009D4393"/>
    <w:rsid w:val="009D7C51"/>
    <w:rsid w:val="009E196C"/>
    <w:rsid w:val="009E6A0A"/>
    <w:rsid w:val="009E7398"/>
    <w:rsid w:val="009F1924"/>
    <w:rsid w:val="009F36BF"/>
    <w:rsid w:val="009F7A3F"/>
    <w:rsid w:val="00A111B6"/>
    <w:rsid w:val="00A2229E"/>
    <w:rsid w:val="00A26D27"/>
    <w:rsid w:val="00A376EE"/>
    <w:rsid w:val="00A42A99"/>
    <w:rsid w:val="00A42F79"/>
    <w:rsid w:val="00A5151A"/>
    <w:rsid w:val="00A57E0A"/>
    <w:rsid w:val="00A64C49"/>
    <w:rsid w:val="00A77919"/>
    <w:rsid w:val="00A823F6"/>
    <w:rsid w:val="00A82AAB"/>
    <w:rsid w:val="00A8719E"/>
    <w:rsid w:val="00A97090"/>
    <w:rsid w:val="00AA0A89"/>
    <w:rsid w:val="00AA5368"/>
    <w:rsid w:val="00AA6429"/>
    <w:rsid w:val="00AC01AA"/>
    <w:rsid w:val="00AC3EE9"/>
    <w:rsid w:val="00AC4F72"/>
    <w:rsid w:val="00AC5041"/>
    <w:rsid w:val="00AE1F14"/>
    <w:rsid w:val="00AE482E"/>
    <w:rsid w:val="00AF1B39"/>
    <w:rsid w:val="00AF2909"/>
    <w:rsid w:val="00AF380A"/>
    <w:rsid w:val="00AF741A"/>
    <w:rsid w:val="00B01ADB"/>
    <w:rsid w:val="00B04161"/>
    <w:rsid w:val="00B056F9"/>
    <w:rsid w:val="00B11E3D"/>
    <w:rsid w:val="00B14D2C"/>
    <w:rsid w:val="00B17E82"/>
    <w:rsid w:val="00B20A41"/>
    <w:rsid w:val="00B24A1C"/>
    <w:rsid w:val="00B414E6"/>
    <w:rsid w:val="00B42ACE"/>
    <w:rsid w:val="00B4575A"/>
    <w:rsid w:val="00B575BA"/>
    <w:rsid w:val="00B61520"/>
    <w:rsid w:val="00B70E7E"/>
    <w:rsid w:val="00B71144"/>
    <w:rsid w:val="00B71608"/>
    <w:rsid w:val="00B76429"/>
    <w:rsid w:val="00B76757"/>
    <w:rsid w:val="00B818F6"/>
    <w:rsid w:val="00B86471"/>
    <w:rsid w:val="00B91B01"/>
    <w:rsid w:val="00B956D4"/>
    <w:rsid w:val="00B95913"/>
    <w:rsid w:val="00B97269"/>
    <w:rsid w:val="00B97446"/>
    <w:rsid w:val="00BA7432"/>
    <w:rsid w:val="00BB2764"/>
    <w:rsid w:val="00BB2D99"/>
    <w:rsid w:val="00BC1AA0"/>
    <w:rsid w:val="00BC2495"/>
    <w:rsid w:val="00BC314A"/>
    <w:rsid w:val="00BC7EB9"/>
    <w:rsid w:val="00BD2643"/>
    <w:rsid w:val="00BD56B1"/>
    <w:rsid w:val="00BD6558"/>
    <w:rsid w:val="00BE3AF4"/>
    <w:rsid w:val="00BE7457"/>
    <w:rsid w:val="00BF2AD7"/>
    <w:rsid w:val="00BF2F76"/>
    <w:rsid w:val="00BF3022"/>
    <w:rsid w:val="00BF3214"/>
    <w:rsid w:val="00BF339B"/>
    <w:rsid w:val="00BF5573"/>
    <w:rsid w:val="00C0691F"/>
    <w:rsid w:val="00C10143"/>
    <w:rsid w:val="00C15867"/>
    <w:rsid w:val="00C22398"/>
    <w:rsid w:val="00C2296D"/>
    <w:rsid w:val="00C23155"/>
    <w:rsid w:val="00C40C41"/>
    <w:rsid w:val="00C42C21"/>
    <w:rsid w:val="00C45885"/>
    <w:rsid w:val="00C50F22"/>
    <w:rsid w:val="00C50F6B"/>
    <w:rsid w:val="00C57971"/>
    <w:rsid w:val="00C65BD7"/>
    <w:rsid w:val="00C65FDF"/>
    <w:rsid w:val="00C7225E"/>
    <w:rsid w:val="00C76BA4"/>
    <w:rsid w:val="00C80370"/>
    <w:rsid w:val="00C83A48"/>
    <w:rsid w:val="00C85865"/>
    <w:rsid w:val="00C85E85"/>
    <w:rsid w:val="00C926C8"/>
    <w:rsid w:val="00C940F9"/>
    <w:rsid w:val="00CA2EAE"/>
    <w:rsid w:val="00CA4AC1"/>
    <w:rsid w:val="00CA59E1"/>
    <w:rsid w:val="00CA59FB"/>
    <w:rsid w:val="00CA6ABC"/>
    <w:rsid w:val="00CB0316"/>
    <w:rsid w:val="00CB0B11"/>
    <w:rsid w:val="00CB1DBA"/>
    <w:rsid w:val="00CB426A"/>
    <w:rsid w:val="00CB5354"/>
    <w:rsid w:val="00CC3C9E"/>
    <w:rsid w:val="00CC4A1F"/>
    <w:rsid w:val="00CC6A14"/>
    <w:rsid w:val="00CC70A3"/>
    <w:rsid w:val="00CD4442"/>
    <w:rsid w:val="00CD53C3"/>
    <w:rsid w:val="00CD574E"/>
    <w:rsid w:val="00CD66B7"/>
    <w:rsid w:val="00CE1CC2"/>
    <w:rsid w:val="00CE4C22"/>
    <w:rsid w:val="00CE5B45"/>
    <w:rsid w:val="00CE76E5"/>
    <w:rsid w:val="00CF1572"/>
    <w:rsid w:val="00CF15AD"/>
    <w:rsid w:val="00CF41EC"/>
    <w:rsid w:val="00CF5D04"/>
    <w:rsid w:val="00CF670F"/>
    <w:rsid w:val="00CF7CDD"/>
    <w:rsid w:val="00D01254"/>
    <w:rsid w:val="00D04DE4"/>
    <w:rsid w:val="00D063F1"/>
    <w:rsid w:val="00D10513"/>
    <w:rsid w:val="00D11735"/>
    <w:rsid w:val="00D14F22"/>
    <w:rsid w:val="00D42022"/>
    <w:rsid w:val="00D4741C"/>
    <w:rsid w:val="00D55FDA"/>
    <w:rsid w:val="00D57918"/>
    <w:rsid w:val="00D6178B"/>
    <w:rsid w:val="00D6698B"/>
    <w:rsid w:val="00D67269"/>
    <w:rsid w:val="00D7063F"/>
    <w:rsid w:val="00D73DC6"/>
    <w:rsid w:val="00D74C1A"/>
    <w:rsid w:val="00D754C1"/>
    <w:rsid w:val="00D76252"/>
    <w:rsid w:val="00D77393"/>
    <w:rsid w:val="00D77A35"/>
    <w:rsid w:val="00D81B3E"/>
    <w:rsid w:val="00D90C70"/>
    <w:rsid w:val="00D90E49"/>
    <w:rsid w:val="00D96ADE"/>
    <w:rsid w:val="00DA0CE2"/>
    <w:rsid w:val="00DA17F5"/>
    <w:rsid w:val="00DA2387"/>
    <w:rsid w:val="00DA7A8D"/>
    <w:rsid w:val="00DB2135"/>
    <w:rsid w:val="00DC111A"/>
    <w:rsid w:val="00DC6A10"/>
    <w:rsid w:val="00DD2F01"/>
    <w:rsid w:val="00DD3B37"/>
    <w:rsid w:val="00DE0B48"/>
    <w:rsid w:val="00DE4149"/>
    <w:rsid w:val="00DE657E"/>
    <w:rsid w:val="00DF1274"/>
    <w:rsid w:val="00DF4704"/>
    <w:rsid w:val="00E019D3"/>
    <w:rsid w:val="00E024AA"/>
    <w:rsid w:val="00E15C77"/>
    <w:rsid w:val="00E1693E"/>
    <w:rsid w:val="00E20F34"/>
    <w:rsid w:val="00E21596"/>
    <w:rsid w:val="00E250F1"/>
    <w:rsid w:val="00E34068"/>
    <w:rsid w:val="00E3550D"/>
    <w:rsid w:val="00E52838"/>
    <w:rsid w:val="00E614E0"/>
    <w:rsid w:val="00E73F7F"/>
    <w:rsid w:val="00E753E8"/>
    <w:rsid w:val="00E85409"/>
    <w:rsid w:val="00E9339B"/>
    <w:rsid w:val="00EA429F"/>
    <w:rsid w:val="00EA4F9E"/>
    <w:rsid w:val="00EA63CA"/>
    <w:rsid w:val="00EA6D3B"/>
    <w:rsid w:val="00EA7E7E"/>
    <w:rsid w:val="00EB00AD"/>
    <w:rsid w:val="00EB136C"/>
    <w:rsid w:val="00EB480E"/>
    <w:rsid w:val="00EB4837"/>
    <w:rsid w:val="00EB5EC6"/>
    <w:rsid w:val="00EB7FC9"/>
    <w:rsid w:val="00EC08ED"/>
    <w:rsid w:val="00EC2B3B"/>
    <w:rsid w:val="00ED1220"/>
    <w:rsid w:val="00ED27E8"/>
    <w:rsid w:val="00ED7137"/>
    <w:rsid w:val="00EE2FA2"/>
    <w:rsid w:val="00EF06EA"/>
    <w:rsid w:val="00F005C6"/>
    <w:rsid w:val="00F0226B"/>
    <w:rsid w:val="00F07604"/>
    <w:rsid w:val="00F14548"/>
    <w:rsid w:val="00F21088"/>
    <w:rsid w:val="00F211B3"/>
    <w:rsid w:val="00F326BF"/>
    <w:rsid w:val="00F327E7"/>
    <w:rsid w:val="00F35746"/>
    <w:rsid w:val="00F447C7"/>
    <w:rsid w:val="00F459B4"/>
    <w:rsid w:val="00F5211B"/>
    <w:rsid w:val="00F554A9"/>
    <w:rsid w:val="00F716FD"/>
    <w:rsid w:val="00F74A1A"/>
    <w:rsid w:val="00F80355"/>
    <w:rsid w:val="00F8467A"/>
    <w:rsid w:val="00F87C43"/>
    <w:rsid w:val="00F93C54"/>
    <w:rsid w:val="00FA3007"/>
    <w:rsid w:val="00FA5722"/>
    <w:rsid w:val="00FB0C81"/>
    <w:rsid w:val="00FC2200"/>
    <w:rsid w:val="00FC2540"/>
    <w:rsid w:val="00FE1FA0"/>
    <w:rsid w:val="00FE5C0D"/>
    <w:rsid w:val="00FE6664"/>
    <w:rsid w:val="00FE6A64"/>
    <w:rsid w:val="00FF0204"/>
    <w:rsid w:val="00FF1A55"/>
    <w:rsid w:val="00FF3AED"/>
    <w:rsid w:val="00FF51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AAF00F"/>
  <w15:docId w15:val="{852A9CE5-E91F-462F-8EDC-F4979E4DE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lp"/>
    <w:basedOn w:val="Normal"/>
    <w:link w:val="ListParagraphChar"/>
    <w:uiPriority w:val="34"/>
    <w:qFormat/>
    <w:rsid w:val="00477BB8"/>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77BB8"/>
    <w:rPr>
      <w:sz w:val="22"/>
      <w:szCs w:val="22"/>
      <w:lang w:val="en-CA"/>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477BB8"/>
    <w:rPr>
      <w:sz w:val="22"/>
      <w:szCs w:val="22"/>
      <w:lang w:val="en-GB"/>
    </w:rPr>
  </w:style>
  <w:style w:type="character" w:customStyle="1" w:styleId="normaltextrun">
    <w:name w:val="normaltextrun"/>
    <w:basedOn w:val="DefaultParagraphFont"/>
    <w:rsid w:val="00477BB8"/>
  </w:style>
  <w:style w:type="character" w:customStyle="1" w:styleId="eop">
    <w:name w:val="eop"/>
    <w:basedOn w:val="DefaultParagraphFont"/>
    <w:rsid w:val="00477BB8"/>
  </w:style>
  <w:style w:type="character" w:styleId="PageNumber">
    <w:name w:val="page number"/>
    <w:basedOn w:val="DefaultParagraphFont"/>
    <w:uiPriority w:val="99"/>
    <w:semiHidden/>
    <w:unhideWhenUsed/>
    <w:rsid w:val="00174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_TRADUCTION\CLIENTS\UNMFS_0045\202411_session\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F95-General template</Template>
  <TotalTime>172</TotalTime>
  <Pages>13</Pages>
  <Words>6676</Words>
  <Characters>37209</Characters>
  <Application>Microsoft Office Word</Application>
  <DocSecurity>0</DocSecurity>
  <Lines>310</Lines>
  <Paragraphs>87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Malaisie</vt:lpstr>
      <vt:lpstr/>
    </vt:vector>
  </TitlesOfParts>
  <Manager/>
  <Company>UNMFS</Company>
  <LinksUpToDate>false</LinksUpToDate>
  <CharactersWithSpaces>43798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Malaisie</dc:title>
  <dc:subject/>
  <dc:creator>Maïlys Lejosne | FAE Traduction</dc:creator>
  <cp:keywords/>
  <dc:description/>
  <cp:lastModifiedBy>Angela Xue He Yan</cp:lastModifiedBy>
  <cp:revision>427</cp:revision>
  <cp:lastPrinted>2001-05-26T16:40:00Z</cp:lastPrinted>
  <dcterms:created xsi:type="dcterms:W3CDTF">2024-11-28T14:27:00Z</dcterms:created>
  <dcterms:modified xsi:type="dcterms:W3CDTF">2024-11-29T14:52:00Z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UNEP/OzL.Pro/ExCom/95/64</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