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32" w:type="dxa"/>
        <w:tblInd w:w="-432" w:type="dxa"/>
        <w:tblLayout w:type="fixed"/>
        <w:tblLook w:val="0000" w:firstRow="0" w:lastRow="0" w:firstColumn="0" w:lastColumn="0" w:noHBand="0" w:noVBand="0"/>
      </w:tblPr>
      <w:tblGrid>
        <w:gridCol w:w="1817"/>
        <w:gridCol w:w="3885"/>
        <w:gridCol w:w="4030"/>
      </w:tblGrid>
      <w:tr w:rsidR="0087455A" w:rsidRPr="0098580B" w14:paraId="7A89F5A4" w14:textId="77777777" w:rsidTr="004A24B0">
        <w:trPr>
          <w:trHeight w:val="681"/>
        </w:trPr>
        <w:tc>
          <w:tcPr>
            <w:tcW w:w="5702" w:type="dxa"/>
            <w:gridSpan w:val="2"/>
            <w:tcBorders>
              <w:bottom w:val="single" w:sz="18" w:space="0" w:color="auto"/>
            </w:tcBorders>
          </w:tcPr>
          <w:p w14:paraId="128BE411" w14:textId="77777777" w:rsidR="0087455A" w:rsidRPr="0098580B" w:rsidRDefault="0024162E">
            <w:pPr>
              <w:rPr>
                <w:rFonts w:ascii="Univers" w:hAnsi="Univers"/>
                <w:b/>
                <w:sz w:val="28"/>
                <w:szCs w:val="28"/>
                <w:lang w:val="es-ES"/>
              </w:rPr>
            </w:pPr>
            <w:r w:rsidRPr="0098580B">
              <w:rPr>
                <w:rFonts w:ascii="Univers" w:hAnsi="Univers"/>
                <w:b/>
                <w:sz w:val="28"/>
                <w:szCs w:val="28"/>
                <w:lang w:val="es-ES"/>
              </w:rPr>
              <w:t>NACIONES</w:t>
            </w:r>
          </w:p>
          <w:p w14:paraId="1BB925B6" w14:textId="77777777" w:rsidR="0087455A" w:rsidRPr="0098580B" w:rsidRDefault="0024162E">
            <w:pPr>
              <w:rPr>
                <w:rFonts w:ascii="Univers" w:hAnsi="Univers"/>
                <w:b/>
                <w:sz w:val="28"/>
                <w:szCs w:val="28"/>
                <w:lang w:val="es-ES"/>
              </w:rPr>
            </w:pPr>
            <w:r w:rsidRPr="0098580B">
              <w:rPr>
                <w:rFonts w:ascii="Univers" w:hAnsi="Univers"/>
                <w:b/>
                <w:sz w:val="28"/>
                <w:szCs w:val="28"/>
                <w:lang w:val="es-ES"/>
              </w:rPr>
              <w:t>UNIDAS</w:t>
            </w:r>
          </w:p>
        </w:tc>
        <w:tc>
          <w:tcPr>
            <w:tcW w:w="4030" w:type="dxa"/>
            <w:tcBorders>
              <w:bottom w:val="single" w:sz="18" w:space="0" w:color="auto"/>
            </w:tcBorders>
          </w:tcPr>
          <w:p w14:paraId="28E8802D" w14:textId="77777777" w:rsidR="0087455A" w:rsidRPr="0098580B" w:rsidRDefault="0024162E">
            <w:pPr>
              <w:jc w:val="right"/>
              <w:rPr>
                <w:rFonts w:asciiTheme="minorBidi" w:hAnsiTheme="minorBidi" w:cstheme="minorBidi"/>
                <w:sz w:val="52"/>
                <w:szCs w:val="52"/>
                <w:lang w:val="es-ES"/>
              </w:rPr>
            </w:pPr>
            <w:r w:rsidRPr="0098580B">
              <w:rPr>
                <w:rFonts w:asciiTheme="minorBidi" w:hAnsiTheme="minorBidi" w:cstheme="minorBidi"/>
                <w:b/>
                <w:sz w:val="72"/>
                <w:lang w:val="es-ES"/>
              </w:rPr>
              <w:t>EP</w:t>
            </w:r>
          </w:p>
        </w:tc>
      </w:tr>
      <w:tr w:rsidR="0087455A" w:rsidRPr="0098580B" w14:paraId="16E11661" w14:textId="77777777" w:rsidTr="004A24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3"/>
        </w:trPr>
        <w:tc>
          <w:tcPr>
            <w:tcW w:w="1817" w:type="dxa"/>
            <w:tcBorders>
              <w:top w:val="nil"/>
              <w:left w:val="nil"/>
              <w:bottom w:val="single" w:sz="36" w:space="0" w:color="auto"/>
              <w:right w:val="nil"/>
            </w:tcBorders>
          </w:tcPr>
          <w:p w14:paraId="19A196BB" w14:textId="77777777" w:rsidR="0087455A" w:rsidRPr="0098580B" w:rsidRDefault="0024162E">
            <w:pPr>
              <w:spacing w:before="120"/>
              <w:rPr>
                <w:lang w:val="es-ES"/>
              </w:rPr>
            </w:pPr>
            <w:r w:rsidRPr="0098580B">
              <w:rPr>
                <w:noProof/>
                <w:lang w:val="en-CA" w:eastAsia="en-CA"/>
              </w:rPr>
              <w:drawing>
                <wp:anchor distT="0" distB="0" distL="114300" distR="114300" simplePos="0" relativeHeight="251660288" behindDoc="0" locked="0" layoutInCell="1" allowOverlap="1" wp14:anchorId="3C6D6243" wp14:editId="31BC0677">
                  <wp:simplePos x="0" y="0"/>
                  <wp:positionH relativeFrom="column">
                    <wp:posOffset>59055</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8580B">
              <w:rPr>
                <w:noProof/>
                <w:lang w:val="en-CA" w:eastAsia="en-CA"/>
              </w:rPr>
              <w:drawing>
                <wp:anchor distT="0" distB="0" distL="114300" distR="114300" simplePos="0" relativeHeight="251661312" behindDoc="1" locked="0" layoutInCell="0" allowOverlap="1" wp14:anchorId="29EE5715" wp14:editId="378F8A8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884" w:type="dxa"/>
            <w:tcBorders>
              <w:top w:val="nil"/>
              <w:left w:val="nil"/>
              <w:bottom w:val="single" w:sz="36" w:space="0" w:color="auto"/>
              <w:right w:val="nil"/>
            </w:tcBorders>
          </w:tcPr>
          <w:p w14:paraId="3B4D9620" w14:textId="77777777" w:rsidR="00BC6C4D" w:rsidRDefault="00BC6C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5CEBA6EE" w14:textId="0C733890" w:rsidR="0087455A" w:rsidRPr="0098580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8580B">
              <w:rPr>
                <w:rFonts w:ascii="Univers" w:hAnsi="Univers"/>
                <w:b/>
                <w:sz w:val="32"/>
                <w:lang w:val="es-ES"/>
              </w:rPr>
              <w:t>Programa de las</w:t>
            </w:r>
          </w:p>
          <w:p w14:paraId="576FF2AB" w14:textId="77777777" w:rsidR="0087455A" w:rsidRPr="0098580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8580B">
              <w:rPr>
                <w:rFonts w:ascii="Univers" w:hAnsi="Univers"/>
                <w:b/>
                <w:sz w:val="32"/>
                <w:lang w:val="es-ES"/>
              </w:rPr>
              <w:t>Naciones Unidas</w:t>
            </w:r>
          </w:p>
          <w:p w14:paraId="7CBD6DC6" w14:textId="77777777" w:rsidR="0087455A" w:rsidRPr="0098580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8580B">
              <w:rPr>
                <w:rFonts w:ascii="Univers" w:hAnsi="Univers"/>
                <w:b/>
                <w:sz w:val="32"/>
                <w:lang w:val="es-ES"/>
              </w:rPr>
              <w:t>para el Medio Ambiente</w:t>
            </w:r>
          </w:p>
          <w:p w14:paraId="0A29351A" w14:textId="77777777" w:rsidR="0087455A" w:rsidRPr="0098580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9E6D6C6" w14:textId="77777777" w:rsidR="0087455A" w:rsidRPr="0098580B" w:rsidRDefault="0087455A">
            <w:pPr>
              <w:spacing w:before="720"/>
              <w:ind w:left="158"/>
              <w:rPr>
                <w:lang w:val="es-ES"/>
              </w:rPr>
            </w:pPr>
          </w:p>
        </w:tc>
        <w:tc>
          <w:tcPr>
            <w:tcW w:w="4030" w:type="dxa"/>
            <w:tcBorders>
              <w:top w:val="nil"/>
              <w:left w:val="nil"/>
              <w:bottom w:val="single" w:sz="36" w:space="0" w:color="auto"/>
              <w:right w:val="nil"/>
            </w:tcBorders>
          </w:tcPr>
          <w:p w14:paraId="428AF1CD" w14:textId="77777777" w:rsidR="00BC6C4D" w:rsidRDefault="00BC6C4D">
            <w:pPr>
              <w:rPr>
                <w:lang w:val="es-ES"/>
              </w:rPr>
            </w:pPr>
          </w:p>
          <w:p w14:paraId="067F83C4" w14:textId="3F5888F5" w:rsidR="0087455A" w:rsidRPr="0098580B" w:rsidRDefault="0024162E">
            <w:pPr>
              <w:rPr>
                <w:lang w:val="es-ES"/>
              </w:rPr>
            </w:pPr>
            <w:proofErr w:type="spellStart"/>
            <w:r w:rsidRPr="0098580B">
              <w:rPr>
                <w:lang w:val="es-ES"/>
              </w:rPr>
              <w:t>Distr</w:t>
            </w:r>
            <w:proofErr w:type="spellEnd"/>
            <w:r w:rsidRPr="0098580B">
              <w:rPr>
                <w:lang w:val="es-ES"/>
              </w:rPr>
              <w:t>.</w:t>
            </w:r>
          </w:p>
          <w:p w14:paraId="64EEB4B1" w14:textId="77777777" w:rsidR="0087455A" w:rsidRPr="0098580B" w:rsidRDefault="0024162E">
            <w:pPr>
              <w:rPr>
                <w:lang w:val="es-ES"/>
              </w:rPr>
            </w:pPr>
            <w:r w:rsidRPr="0098580B">
              <w:rPr>
                <w:lang w:val="es-ES"/>
              </w:rPr>
              <w:t>GENERAL</w:t>
            </w:r>
          </w:p>
          <w:p w14:paraId="3496D6DF" w14:textId="77777777" w:rsidR="0087455A" w:rsidRPr="0098580B" w:rsidRDefault="0087455A">
            <w:pPr>
              <w:rPr>
                <w:lang w:val="es-ES"/>
              </w:rPr>
            </w:pPr>
          </w:p>
          <w:p w14:paraId="19BE0A6C" w14:textId="332B53DF" w:rsidR="0087455A" w:rsidRPr="00462FB5" w:rsidRDefault="0024162E">
            <w:pPr>
              <w:rPr>
                <w:lang w:val="en-CA"/>
              </w:rPr>
            </w:pPr>
            <w:r w:rsidRPr="0098580B">
              <w:rPr>
                <w:lang w:val="es-ES"/>
              </w:rPr>
              <w:fldChar w:fldCharType="begin"/>
            </w:r>
            <w:r w:rsidRPr="00462FB5">
              <w:rPr>
                <w:lang w:val="en-CA"/>
              </w:rPr>
              <w:instrText xml:space="preserve"> DOCPROPERTY "Document number"  \* MERGEFORMAT </w:instrText>
            </w:r>
            <w:r w:rsidRPr="0098580B">
              <w:rPr>
                <w:lang w:val="es-ES"/>
              </w:rPr>
              <w:fldChar w:fldCharType="separate"/>
            </w:r>
            <w:r w:rsidR="00462FB5" w:rsidRPr="00462FB5">
              <w:rPr>
                <w:lang w:val="en-CA"/>
              </w:rPr>
              <w:t>UNEP/</w:t>
            </w:r>
            <w:proofErr w:type="spellStart"/>
            <w:r w:rsidR="00462FB5" w:rsidRPr="00462FB5">
              <w:rPr>
                <w:lang w:val="en-CA"/>
              </w:rPr>
              <w:t>OzL.Pro</w:t>
            </w:r>
            <w:proofErr w:type="spellEnd"/>
            <w:r w:rsidR="00462FB5" w:rsidRPr="00462FB5">
              <w:rPr>
                <w:lang w:val="en-CA"/>
              </w:rPr>
              <w:t>/</w:t>
            </w:r>
            <w:proofErr w:type="spellStart"/>
            <w:r w:rsidR="00462FB5" w:rsidRPr="00462FB5">
              <w:rPr>
                <w:lang w:val="en-CA"/>
              </w:rPr>
              <w:t>ExCom</w:t>
            </w:r>
            <w:proofErr w:type="spellEnd"/>
            <w:r w:rsidR="00462FB5" w:rsidRPr="00462FB5">
              <w:rPr>
                <w:lang w:val="en-CA"/>
              </w:rPr>
              <w:t>/88/18/Add.1</w:t>
            </w:r>
            <w:r w:rsidRPr="0098580B">
              <w:rPr>
                <w:lang w:val="es-ES"/>
              </w:rPr>
              <w:fldChar w:fldCharType="end"/>
            </w:r>
          </w:p>
          <w:p w14:paraId="2AA289CF" w14:textId="4C2BE643" w:rsidR="002959B4" w:rsidRPr="0098580B" w:rsidRDefault="002959B4" w:rsidP="002959B4">
            <w:pPr>
              <w:rPr>
                <w:lang w:val="es-ES"/>
              </w:rPr>
            </w:pPr>
            <w:r w:rsidRPr="0098580B">
              <w:rPr>
                <w:lang w:val="es-ES"/>
              </w:rPr>
              <w:fldChar w:fldCharType="begin"/>
            </w:r>
            <w:r w:rsidRPr="0098580B">
              <w:rPr>
                <w:lang w:val="es-ES"/>
              </w:rPr>
              <w:instrText xml:space="preserve"> DOCPROPERTY "Revision date" \@ "d MMMM YYYY"  \* MERGEFORMAT </w:instrText>
            </w:r>
            <w:r w:rsidRPr="0098580B">
              <w:rPr>
                <w:lang w:val="es-ES"/>
              </w:rPr>
              <w:fldChar w:fldCharType="separate"/>
            </w:r>
            <w:r w:rsidR="00462FB5">
              <w:rPr>
                <w:lang w:val="es-ES"/>
              </w:rPr>
              <w:t xml:space="preserve">11 </w:t>
            </w:r>
            <w:r w:rsidR="00462FB5">
              <w:rPr>
                <w:lang w:val="es-ES"/>
              </w:rPr>
              <w:t xml:space="preserve">de </w:t>
            </w:r>
            <w:r w:rsidR="00462FB5">
              <w:rPr>
                <w:lang w:val="es-ES"/>
              </w:rPr>
              <w:t xml:space="preserve">noviembre </w:t>
            </w:r>
            <w:r w:rsidR="00462FB5">
              <w:rPr>
                <w:lang w:val="es-ES"/>
              </w:rPr>
              <w:t xml:space="preserve">de </w:t>
            </w:r>
            <w:r w:rsidR="00462FB5">
              <w:rPr>
                <w:lang w:val="es-ES"/>
              </w:rPr>
              <w:t>2021</w:t>
            </w:r>
            <w:r w:rsidRPr="0098580B">
              <w:rPr>
                <w:lang w:val="es-ES"/>
              </w:rPr>
              <w:fldChar w:fldCharType="end"/>
            </w:r>
          </w:p>
          <w:p w14:paraId="388D82FF" w14:textId="77777777" w:rsidR="00114CAA" w:rsidRPr="0098580B" w:rsidRDefault="00114CAA">
            <w:pPr>
              <w:rPr>
                <w:caps/>
                <w:lang w:val="es-ES"/>
              </w:rPr>
            </w:pPr>
          </w:p>
          <w:p w14:paraId="27E73E57" w14:textId="77777777" w:rsidR="0087455A" w:rsidRPr="0098580B" w:rsidRDefault="0024162E">
            <w:pPr>
              <w:rPr>
                <w:lang w:val="es-ES"/>
              </w:rPr>
            </w:pPr>
            <w:r w:rsidRPr="0098580B">
              <w:rPr>
                <w:lang w:val="es-ES"/>
              </w:rPr>
              <w:t xml:space="preserve">ESPAÑOL </w:t>
            </w:r>
          </w:p>
          <w:p w14:paraId="6D4F50F1" w14:textId="77777777" w:rsidR="0087455A" w:rsidRPr="0098580B" w:rsidRDefault="0024162E">
            <w:pPr>
              <w:rPr>
                <w:lang w:val="es-ES"/>
              </w:rPr>
            </w:pPr>
            <w:r w:rsidRPr="0098580B">
              <w:rPr>
                <w:lang w:val="es-ES"/>
              </w:rPr>
              <w:t>ORIGINAL: INGLÉS</w:t>
            </w:r>
          </w:p>
        </w:tc>
      </w:tr>
    </w:tbl>
    <w:p w14:paraId="0D99C865" w14:textId="77777777" w:rsidR="0087455A" w:rsidRPr="0098580B" w:rsidRDefault="0024162E">
      <w:pPr>
        <w:jc w:val="left"/>
        <w:rPr>
          <w:lang w:val="es-ES"/>
        </w:rPr>
      </w:pPr>
      <w:r w:rsidRPr="0098580B">
        <w:rPr>
          <w:lang w:val="es-ES"/>
        </w:rPr>
        <w:t>COMITÉ EJECUTIVO DEL FONDO MULTILATERAL</w:t>
      </w:r>
      <w:r w:rsidRPr="0098580B">
        <w:rPr>
          <w:lang w:val="es-ES"/>
        </w:rPr>
        <w:br/>
        <w:t xml:space="preserve">  PARA LA APLICACIÓN DEL</w:t>
      </w:r>
      <w:r w:rsidRPr="0098580B">
        <w:rPr>
          <w:lang w:val="es-ES"/>
        </w:rPr>
        <w:br/>
        <w:t xml:space="preserve">  PROTOCOLO DE MONTREAL</w:t>
      </w:r>
    </w:p>
    <w:p w14:paraId="5FA992FF" w14:textId="77777777" w:rsidR="00106F6E" w:rsidRPr="0098580B" w:rsidRDefault="00106F6E" w:rsidP="00344EAB">
      <w:pPr>
        <w:jc w:val="left"/>
        <w:rPr>
          <w:lang w:val="es-ES"/>
        </w:rPr>
      </w:pPr>
      <w:r w:rsidRPr="0098580B">
        <w:rPr>
          <w:lang w:val="es-ES"/>
        </w:rPr>
        <w:t xml:space="preserve">Octogésima </w:t>
      </w:r>
      <w:r w:rsidR="00344EAB" w:rsidRPr="0098580B">
        <w:rPr>
          <w:lang w:val="es-ES"/>
        </w:rPr>
        <w:t>octav</w:t>
      </w:r>
      <w:r w:rsidR="002959B4" w:rsidRPr="0098580B">
        <w:rPr>
          <w:lang w:val="es-ES"/>
        </w:rPr>
        <w:t>a</w:t>
      </w:r>
      <w:r w:rsidR="003863A4" w:rsidRPr="0098580B">
        <w:rPr>
          <w:lang w:val="es-ES"/>
        </w:rPr>
        <w:t xml:space="preserve"> Reunión</w:t>
      </w:r>
      <w:r w:rsidR="003863A4" w:rsidRPr="0098580B">
        <w:rPr>
          <w:lang w:val="es-ES"/>
        </w:rPr>
        <w:br/>
        <w:t xml:space="preserve">Montreal, </w:t>
      </w:r>
      <w:r w:rsidR="00344EAB" w:rsidRPr="0098580B">
        <w:rPr>
          <w:lang w:val="es-ES"/>
        </w:rPr>
        <w:t>15 – 19 de noviembre</w:t>
      </w:r>
      <w:r w:rsidR="002959B4" w:rsidRPr="0098580B">
        <w:rPr>
          <w:lang w:val="es-ES"/>
        </w:rPr>
        <w:t xml:space="preserve"> de 2021</w:t>
      </w:r>
      <w:r w:rsidR="002959B4" w:rsidRPr="0098580B">
        <w:rPr>
          <w:rStyle w:val="FootnoteReference"/>
          <w:lang w:val="es-ES"/>
        </w:rPr>
        <w:footnoteReference w:id="1"/>
      </w:r>
    </w:p>
    <w:p w14:paraId="07792558" w14:textId="77777777" w:rsidR="00106F6E" w:rsidRPr="0098580B" w:rsidRDefault="00106F6E" w:rsidP="00106F6E">
      <w:pPr>
        <w:jc w:val="left"/>
        <w:rPr>
          <w:lang w:val="es-ES"/>
        </w:rPr>
      </w:pPr>
    </w:p>
    <w:p w14:paraId="355E62CF" w14:textId="77777777" w:rsidR="0087455A" w:rsidRPr="0098580B" w:rsidRDefault="0087455A">
      <w:pPr>
        <w:pStyle w:val="Heading3"/>
        <w:numPr>
          <w:ilvl w:val="0"/>
          <w:numId w:val="0"/>
        </w:numPr>
        <w:spacing w:after="0"/>
        <w:rPr>
          <w:lang w:val="es-ES"/>
        </w:rPr>
      </w:pPr>
    </w:p>
    <w:p w14:paraId="3133FECE" w14:textId="77777777" w:rsidR="0098580B" w:rsidRPr="0098580B" w:rsidRDefault="0098580B" w:rsidP="0098580B">
      <w:pPr>
        <w:jc w:val="center"/>
        <w:outlineLvl w:val="0"/>
        <w:rPr>
          <w:b/>
          <w:caps/>
          <w:lang w:val="es-ES"/>
        </w:rPr>
      </w:pPr>
      <w:proofErr w:type="spellStart"/>
      <w:r w:rsidRPr="0098580B">
        <w:rPr>
          <w:b/>
          <w:lang w:val="es-ES"/>
        </w:rPr>
        <w:t>Addendum</w:t>
      </w:r>
      <w:proofErr w:type="spellEnd"/>
    </w:p>
    <w:p w14:paraId="32C2F563" w14:textId="77777777" w:rsidR="0098580B" w:rsidRPr="0098580B" w:rsidRDefault="0098580B" w:rsidP="0098580B">
      <w:pPr>
        <w:jc w:val="center"/>
        <w:outlineLvl w:val="0"/>
        <w:rPr>
          <w:b/>
          <w:caps/>
          <w:lang w:val="es-ES"/>
        </w:rPr>
      </w:pPr>
    </w:p>
    <w:p w14:paraId="0A47620F" w14:textId="77777777" w:rsidR="00BC6C4D" w:rsidRDefault="00BC6C4D" w:rsidP="00BC6C4D">
      <w:pPr>
        <w:jc w:val="center"/>
        <w:outlineLvl w:val="0"/>
        <w:rPr>
          <w:b/>
          <w:lang w:val="es-ES"/>
        </w:rPr>
      </w:pPr>
      <w:r>
        <w:rPr>
          <w:b/>
          <w:lang w:val="es-ES"/>
        </w:rPr>
        <w:t xml:space="preserve">INFORMES SOBRE LOS PROYECTOS </w:t>
      </w:r>
    </w:p>
    <w:p w14:paraId="7C4CA00E" w14:textId="14E496B9" w:rsidR="0098580B" w:rsidRDefault="00BC6C4D" w:rsidP="00BC6C4D">
      <w:pPr>
        <w:jc w:val="center"/>
        <w:outlineLvl w:val="0"/>
        <w:rPr>
          <w:b/>
          <w:lang w:val="es-ES"/>
        </w:rPr>
      </w:pPr>
      <w:r>
        <w:rPr>
          <w:b/>
          <w:lang w:val="es-ES"/>
        </w:rPr>
        <w:t>CON REQUISITOS ESPICIFICOS DE PRESENTACION DE INFORMES</w:t>
      </w:r>
    </w:p>
    <w:p w14:paraId="2076F074" w14:textId="77777777" w:rsidR="00BC6C4D" w:rsidRPr="0098580B" w:rsidRDefault="00BC6C4D" w:rsidP="00BC6C4D">
      <w:pPr>
        <w:jc w:val="center"/>
        <w:outlineLvl w:val="0"/>
        <w:rPr>
          <w:b/>
          <w:caps/>
          <w:lang w:val="es-ES"/>
        </w:rPr>
      </w:pPr>
    </w:p>
    <w:p w14:paraId="22A52D6A" w14:textId="77777777" w:rsidR="0098580B" w:rsidRPr="0098580B" w:rsidRDefault="0098580B" w:rsidP="0098580B">
      <w:pPr>
        <w:jc w:val="center"/>
        <w:outlineLvl w:val="0"/>
        <w:rPr>
          <w:b/>
          <w:caps/>
          <w:lang w:val="es-ES"/>
        </w:rPr>
      </w:pPr>
    </w:p>
    <w:p w14:paraId="35CC022B" w14:textId="77777777" w:rsidR="0098580B" w:rsidRPr="0098580B" w:rsidRDefault="0098580B" w:rsidP="0098580B">
      <w:pPr>
        <w:pStyle w:val="Heading1"/>
        <w:rPr>
          <w:lang w:val="es-ES"/>
        </w:rPr>
      </w:pPr>
      <w:r w:rsidRPr="0098580B">
        <w:rPr>
          <w:lang w:val="es-ES"/>
        </w:rPr>
        <w:t>El presente addendum incluye informes sobre los proyectos con requisitos específicos de presentación de informes relativos a China que deben presentarse en la 88ª reunión.  Se aplazaron dos para su consideración en la 87ª reunión.</w:t>
      </w:r>
    </w:p>
    <w:p w14:paraId="6E7BEA1C" w14:textId="77777777" w:rsidR="0098580B" w:rsidRPr="0098580B" w:rsidRDefault="0098580B" w:rsidP="0098580B">
      <w:pPr>
        <w:pStyle w:val="Heading1"/>
        <w:rPr>
          <w:lang w:val="es-ES"/>
        </w:rPr>
      </w:pPr>
      <w:r w:rsidRPr="0098580B">
        <w:rPr>
          <w:lang w:val="es-ES"/>
        </w:rPr>
        <w:t>El documento se divide en las siguientes cinco partes:</w:t>
      </w:r>
    </w:p>
    <w:tbl>
      <w:tblPr>
        <w:tblStyle w:val="TableGrid10"/>
        <w:tblW w:w="8635" w:type="dxa"/>
        <w:tblInd w:w="720" w:type="dxa"/>
        <w:tblLayout w:type="fixed"/>
        <w:tblLook w:val="04A0" w:firstRow="1" w:lastRow="0" w:firstColumn="1" w:lastColumn="0" w:noHBand="0" w:noVBand="1"/>
      </w:tblPr>
      <w:tblGrid>
        <w:gridCol w:w="835"/>
        <w:gridCol w:w="6455"/>
        <w:gridCol w:w="1345"/>
      </w:tblGrid>
      <w:tr w:rsidR="0098580B" w:rsidRPr="0098580B" w14:paraId="2E7A963E" w14:textId="77777777" w:rsidTr="004A24B0">
        <w:trPr>
          <w:tblHeader/>
        </w:trPr>
        <w:tc>
          <w:tcPr>
            <w:tcW w:w="835" w:type="dxa"/>
          </w:tcPr>
          <w:p w14:paraId="22D120BF" w14:textId="77777777" w:rsidR="0098580B" w:rsidRPr="0098580B" w:rsidRDefault="0098580B" w:rsidP="001D4AFE">
            <w:pPr>
              <w:widowControl w:val="0"/>
              <w:jc w:val="left"/>
              <w:rPr>
                <w:b/>
                <w:lang w:val="es-ES"/>
              </w:rPr>
            </w:pPr>
            <w:r w:rsidRPr="0098580B">
              <w:rPr>
                <w:b/>
                <w:lang w:val="es-ES"/>
              </w:rPr>
              <w:t>Parte</w:t>
            </w:r>
          </w:p>
        </w:tc>
        <w:tc>
          <w:tcPr>
            <w:tcW w:w="6455" w:type="dxa"/>
            <w:vAlign w:val="center"/>
          </w:tcPr>
          <w:p w14:paraId="4BE1FA81" w14:textId="77777777" w:rsidR="0098580B" w:rsidRPr="0098580B" w:rsidRDefault="0098580B" w:rsidP="001D4AFE">
            <w:pPr>
              <w:widowControl w:val="0"/>
              <w:jc w:val="center"/>
              <w:rPr>
                <w:b/>
                <w:lang w:val="es-ES"/>
              </w:rPr>
            </w:pPr>
            <w:r w:rsidRPr="0098580B">
              <w:rPr>
                <w:b/>
                <w:lang w:val="es-ES"/>
              </w:rPr>
              <w:t>Título del informe</w:t>
            </w:r>
          </w:p>
        </w:tc>
        <w:tc>
          <w:tcPr>
            <w:tcW w:w="1345" w:type="dxa"/>
            <w:vAlign w:val="center"/>
          </w:tcPr>
          <w:p w14:paraId="37540CC4" w14:textId="77777777" w:rsidR="0098580B" w:rsidRPr="0098580B" w:rsidRDefault="0098580B" w:rsidP="001D4AFE">
            <w:pPr>
              <w:widowControl w:val="0"/>
              <w:jc w:val="center"/>
              <w:rPr>
                <w:b/>
                <w:lang w:val="es-ES"/>
              </w:rPr>
            </w:pPr>
            <w:r w:rsidRPr="0098580B">
              <w:rPr>
                <w:b/>
                <w:lang w:val="es-ES"/>
              </w:rPr>
              <w:t>Apartados</w:t>
            </w:r>
          </w:p>
        </w:tc>
      </w:tr>
      <w:tr w:rsidR="0098580B" w:rsidRPr="0098580B" w14:paraId="7D4CDF94" w14:textId="77777777" w:rsidTr="004A24B0">
        <w:tc>
          <w:tcPr>
            <w:tcW w:w="835" w:type="dxa"/>
            <w:vAlign w:val="center"/>
          </w:tcPr>
          <w:p w14:paraId="2FE2969A" w14:textId="77777777" w:rsidR="0098580B" w:rsidRPr="0098580B" w:rsidRDefault="0098580B" w:rsidP="001D4AFE">
            <w:pPr>
              <w:widowControl w:val="0"/>
              <w:jc w:val="center"/>
              <w:rPr>
                <w:lang w:val="es-ES"/>
              </w:rPr>
            </w:pPr>
            <w:r w:rsidRPr="0098580B">
              <w:rPr>
                <w:lang w:val="es-ES"/>
              </w:rPr>
              <w:t>I</w:t>
            </w:r>
          </w:p>
        </w:tc>
        <w:tc>
          <w:tcPr>
            <w:tcW w:w="6455" w:type="dxa"/>
            <w:vAlign w:val="center"/>
          </w:tcPr>
          <w:p w14:paraId="22B84FC3" w14:textId="77777777" w:rsidR="0098580B" w:rsidRPr="0098580B" w:rsidRDefault="0098580B" w:rsidP="001D4AFE">
            <w:pPr>
              <w:widowControl w:val="0"/>
              <w:jc w:val="left"/>
              <w:rPr>
                <w:lang w:val="es-ES"/>
              </w:rPr>
            </w:pPr>
            <w:r w:rsidRPr="0098580B">
              <w:rPr>
                <w:lang w:val="es-ES"/>
              </w:rPr>
              <w:t>Informes de auditoría financiera correspondientes a los sectores de producción de CFC, halones, espumas de poliuretano, agentes de procesos II, servicio y mantenimiento de equipos de refrigeración y disolventes</w:t>
            </w:r>
          </w:p>
        </w:tc>
        <w:tc>
          <w:tcPr>
            <w:tcW w:w="1345" w:type="dxa"/>
            <w:vAlign w:val="center"/>
          </w:tcPr>
          <w:p w14:paraId="13D8C010" w14:textId="77777777" w:rsidR="0098580B" w:rsidRPr="0098580B" w:rsidRDefault="0098580B" w:rsidP="001D4AFE">
            <w:pPr>
              <w:widowControl w:val="0"/>
              <w:jc w:val="center"/>
              <w:rPr>
                <w:lang w:val="es-ES"/>
              </w:rPr>
            </w:pPr>
            <w:r w:rsidRPr="0098580B">
              <w:rPr>
                <w:lang w:val="es-ES"/>
              </w:rPr>
              <w:t>3 - 6</w:t>
            </w:r>
          </w:p>
        </w:tc>
      </w:tr>
      <w:tr w:rsidR="0098580B" w:rsidRPr="0098580B" w14:paraId="1F11F8E4" w14:textId="77777777" w:rsidTr="004A24B0">
        <w:tc>
          <w:tcPr>
            <w:tcW w:w="835" w:type="dxa"/>
            <w:vAlign w:val="center"/>
          </w:tcPr>
          <w:p w14:paraId="092A32B2" w14:textId="77777777" w:rsidR="0098580B" w:rsidRPr="0098580B" w:rsidRDefault="0098580B" w:rsidP="001D4AFE">
            <w:pPr>
              <w:widowControl w:val="0"/>
              <w:jc w:val="center"/>
              <w:rPr>
                <w:lang w:val="es-ES"/>
              </w:rPr>
            </w:pPr>
            <w:r w:rsidRPr="0098580B">
              <w:rPr>
                <w:lang w:val="es-ES"/>
              </w:rPr>
              <w:t>II</w:t>
            </w:r>
          </w:p>
        </w:tc>
        <w:tc>
          <w:tcPr>
            <w:tcW w:w="6455" w:type="dxa"/>
            <w:vAlign w:val="center"/>
          </w:tcPr>
          <w:p w14:paraId="32E788F1" w14:textId="77777777" w:rsidR="0098580B" w:rsidRPr="0098580B" w:rsidRDefault="0098580B" w:rsidP="001D4AFE">
            <w:pPr>
              <w:widowControl w:val="0"/>
              <w:jc w:val="left"/>
              <w:rPr>
                <w:lang w:val="es-ES"/>
              </w:rPr>
            </w:pPr>
            <w:r w:rsidRPr="0098580B">
              <w:rPr>
                <w:lang w:val="es-ES"/>
              </w:rPr>
              <w:t>Informe sobre la marcha de ejecución de las actividades listadas en la decisión 83/41 e)</w:t>
            </w:r>
          </w:p>
        </w:tc>
        <w:tc>
          <w:tcPr>
            <w:tcW w:w="1345" w:type="dxa"/>
            <w:vAlign w:val="center"/>
          </w:tcPr>
          <w:p w14:paraId="777D5AD1" w14:textId="77777777" w:rsidR="0098580B" w:rsidRPr="0098580B" w:rsidRDefault="0098580B" w:rsidP="001D4AFE">
            <w:pPr>
              <w:widowControl w:val="0"/>
              <w:jc w:val="center"/>
              <w:rPr>
                <w:lang w:val="es-ES"/>
              </w:rPr>
            </w:pPr>
            <w:r w:rsidRPr="0098580B">
              <w:rPr>
                <w:lang w:val="es-ES"/>
              </w:rPr>
              <w:t>7 - 10</w:t>
            </w:r>
          </w:p>
        </w:tc>
      </w:tr>
      <w:tr w:rsidR="0098580B" w:rsidRPr="0098580B" w14:paraId="0B61137F" w14:textId="77777777" w:rsidTr="004A24B0">
        <w:tc>
          <w:tcPr>
            <w:tcW w:w="835" w:type="dxa"/>
            <w:vAlign w:val="center"/>
          </w:tcPr>
          <w:p w14:paraId="0F860B23" w14:textId="77777777" w:rsidR="0098580B" w:rsidRPr="0098580B" w:rsidRDefault="0098580B" w:rsidP="001D4AFE">
            <w:pPr>
              <w:widowControl w:val="0"/>
              <w:jc w:val="center"/>
              <w:rPr>
                <w:lang w:val="es-ES"/>
              </w:rPr>
            </w:pPr>
            <w:r w:rsidRPr="0098580B">
              <w:rPr>
                <w:lang w:val="es-ES"/>
              </w:rPr>
              <w:t>III</w:t>
            </w:r>
          </w:p>
        </w:tc>
        <w:tc>
          <w:tcPr>
            <w:tcW w:w="6455" w:type="dxa"/>
            <w:vAlign w:val="center"/>
          </w:tcPr>
          <w:p w14:paraId="2465FC0F" w14:textId="77777777" w:rsidR="0098580B" w:rsidRPr="0098580B" w:rsidRDefault="0098580B" w:rsidP="001D4AFE">
            <w:pPr>
              <w:widowControl w:val="0"/>
              <w:jc w:val="left"/>
              <w:rPr>
                <w:lang w:val="es-ES"/>
              </w:rPr>
            </w:pPr>
            <w:r w:rsidRPr="0098580B">
              <w:rPr>
                <w:lang w:val="es-ES"/>
              </w:rPr>
              <w:t>Estudio para establecer qué circunstancias reglamentarias, de vigilancia, de políticas o de mercado podrían haber posibilitado la producción o el uso ilegal de CFC-11 y CFC-12 (decisión 83/41 d))</w:t>
            </w:r>
          </w:p>
        </w:tc>
        <w:tc>
          <w:tcPr>
            <w:tcW w:w="1345" w:type="dxa"/>
            <w:vAlign w:val="center"/>
          </w:tcPr>
          <w:p w14:paraId="778383B8" w14:textId="77777777" w:rsidR="0098580B" w:rsidRPr="0098580B" w:rsidRDefault="0098580B" w:rsidP="001D4AFE">
            <w:pPr>
              <w:widowControl w:val="0"/>
              <w:jc w:val="center"/>
              <w:rPr>
                <w:lang w:val="es-ES"/>
              </w:rPr>
            </w:pPr>
            <w:r w:rsidRPr="0098580B">
              <w:rPr>
                <w:lang w:val="es-ES"/>
              </w:rPr>
              <w:t>11 - 12</w:t>
            </w:r>
          </w:p>
        </w:tc>
      </w:tr>
      <w:tr w:rsidR="0098580B" w:rsidRPr="0098580B" w14:paraId="258DDCE9" w14:textId="77777777" w:rsidTr="004A24B0">
        <w:tc>
          <w:tcPr>
            <w:tcW w:w="835" w:type="dxa"/>
            <w:vAlign w:val="center"/>
          </w:tcPr>
          <w:p w14:paraId="2635A71C" w14:textId="77777777" w:rsidR="0098580B" w:rsidRPr="0098580B" w:rsidRDefault="0098580B" w:rsidP="001D4AFE">
            <w:pPr>
              <w:widowControl w:val="0"/>
              <w:jc w:val="center"/>
              <w:rPr>
                <w:lang w:val="es-ES"/>
              </w:rPr>
            </w:pPr>
            <w:r w:rsidRPr="0098580B">
              <w:rPr>
                <w:lang w:val="es-ES"/>
              </w:rPr>
              <w:t>IV</w:t>
            </w:r>
          </w:p>
        </w:tc>
        <w:tc>
          <w:tcPr>
            <w:tcW w:w="6455" w:type="dxa"/>
            <w:vAlign w:val="center"/>
          </w:tcPr>
          <w:p w14:paraId="7358AAF2" w14:textId="77777777" w:rsidR="0098580B" w:rsidRPr="0098580B" w:rsidRDefault="0098580B" w:rsidP="001D4AFE">
            <w:pPr>
              <w:widowControl w:val="0"/>
              <w:jc w:val="left"/>
              <w:rPr>
                <w:lang w:val="es-ES"/>
              </w:rPr>
            </w:pPr>
            <w:r w:rsidRPr="0098580B">
              <w:rPr>
                <w:lang w:val="es-ES"/>
              </w:rPr>
              <w:t>Informe actualizado sobre la producción de CTC y sus usos como materia prima</w:t>
            </w:r>
          </w:p>
        </w:tc>
        <w:tc>
          <w:tcPr>
            <w:tcW w:w="1345" w:type="dxa"/>
            <w:vAlign w:val="center"/>
          </w:tcPr>
          <w:p w14:paraId="2BA2F496" w14:textId="77777777" w:rsidR="0098580B" w:rsidRPr="0098580B" w:rsidRDefault="0098580B" w:rsidP="001D4AFE">
            <w:pPr>
              <w:widowControl w:val="0"/>
              <w:jc w:val="center"/>
              <w:rPr>
                <w:lang w:val="es-ES"/>
              </w:rPr>
            </w:pPr>
            <w:r w:rsidRPr="0098580B">
              <w:rPr>
                <w:lang w:val="es-ES"/>
              </w:rPr>
              <w:t>13 - 20</w:t>
            </w:r>
          </w:p>
        </w:tc>
      </w:tr>
      <w:tr w:rsidR="0098580B" w:rsidRPr="0098580B" w14:paraId="1B52560B" w14:textId="77777777" w:rsidTr="004A24B0">
        <w:tc>
          <w:tcPr>
            <w:tcW w:w="835" w:type="dxa"/>
            <w:vAlign w:val="center"/>
          </w:tcPr>
          <w:p w14:paraId="4E6095E2" w14:textId="77777777" w:rsidR="0098580B" w:rsidRPr="0098580B" w:rsidRDefault="0098580B" w:rsidP="001D4AFE">
            <w:pPr>
              <w:widowControl w:val="0"/>
              <w:jc w:val="center"/>
              <w:rPr>
                <w:lang w:val="es-ES"/>
              </w:rPr>
            </w:pPr>
            <w:r w:rsidRPr="0098580B">
              <w:rPr>
                <w:lang w:val="es-ES"/>
              </w:rPr>
              <w:t>V</w:t>
            </w:r>
          </w:p>
        </w:tc>
        <w:tc>
          <w:tcPr>
            <w:tcW w:w="6455" w:type="dxa"/>
            <w:vAlign w:val="center"/>
          </w:tcPr>
          <w:p w14:paraId="6A62E4A1" w14:textId="77777777" w:rsidR="0098580B" w:rsidRPr="0098580B" w:rsidRDefault="0098580B" w:rsidP="001D4AFE">
            <w:pPr>
              <w:widowControl w:val="0"/>
              <w:jc w:val="left"/>
              <w:rPr>
                <w:lang w:val="es-ES"/>
              </w:rPr>
            </w:pPr>
            <w:r w:rsidRPr="0098580B">
              <w:rPr>
                <w:lang w:val="es-ES"/>
              </w:rPr>
              <w:t>Plan sectorial para la eliminación de la producción de metilbromuro</w:t>
            </w:r>
          </w:p>
        </w:tc>
        <w:tc>
          <w:tcPr>
            <w:tcW w:w="1345" w:type="dxa"/>
            <w:vAlign w:val="center"/>
          </w:tcPr>
          <w:p w14:paraId="6EE9D30C" w14:textId="77777777" w:rsidR="0098580B" w:rsidRPr="0098580B" w:rsidRDefault="0098580B" w:rsidP="001D4AFE">
            <w:pPr>
              <w:widowControl w:val="0"/>
              <w:jc w:val="center"/>
              <w:rPr>
                <w:lang w:val="es-ES"/>
              </w:rPr>
            </w:pPr>
            <w:r w:rsidRPr="0098580B">
              <w:rPr>
                <w:lang w:val="es-ES"/>
              </w:rPr>
              <w:t>21 - 32</w:t>
            </w:r>
          </w:p>
        </w:tc>
      </w:tr>
    </w:tbl>
    <w:p w14:paraId="40BBA004" w14:textId="77777777" w:rsidR="0098580B" w:rsidRPr="0098580B" w:rsidRDefault="0098580B" w:rsidP="0098580B">
      <w:pPr>
        <w:jc w:val="left"/>
        <w:rPr>
          <w:lang w:val="es-ES"/>
        </w:rPr>
      </w:pPr>
      <w:r w:rsidRPr="0098580B">
        <w:rPr>
          <w:lang w:val="es-ES"/>
        </w:rPr>
        <w:br w:type="page"/>
      </w:r>
    </w:p>
    <w:p w14:paraId="78F67FE2" w14:textId="77777777" w:rsidR="0098580B" w:rsidRPr="0098580B" w:rsidRDefault="0098580B" w:rsidP="0098580B">
      <w:pPr>
        <w:keepNext/>
        <w:spacing w:after="240"/>
        <w:ind w:left="1080" w:hanging="1080"/>
        <w:rPr>
          <w:b/>
          <w:caps/>
          <w:lang w:val="es-ES"/>
        </w:rPr>
      </w:pPr>
      <w:r w:rsidRPr="0098580B">
        <w:rPr>
          <w:b/>
          <w:caps/>
          <w:lang w:val="es-ES"/>
        </w:rPr>
        <w:lastRenderedPageBreak/>
        <w:t>PARTE I:</w:t>
      </w:r>
      <w:r w:rsidRPr="0098580B">
        <w:rPr>
          <w:b/>
          <w:caps/>
          <w:lang w:val="es-ES"/>
        </w:rPr>
        <w:tab/>
        <w:t>Informes de auditoría financiera correspondientes a los sectores de producción de CFC, halones, espumas de poliuretano, agentes de procesos II, servicio y mantenimiento de equipos de refrigeración y disolventes</w:t>
      </w:r>
    </w:p>
    <w:p w14:paraId="2394F76A" w14:textId="77777777" w:rsidR="0098580B" w:rsidRPr="0098580B" w:rsidRDefault="0098580B" w:rsidP="0098580B">
      <w:pPr>
        <w:spacing w:after="240"/>
        <w:rPr>
          <w:b/>
          <w:lang w:val="es-ES"/>
        </w:rPr>
      </w:pPr>
      <w:r w:rsidRPr="0098580B">
        <w:rPr>
          <w:b/>
          <w:lang w:val="es-ES"/>
        </w:rPr>
        <w:t>Antecedentes</w:t>
      </w:r>
    </w:p>
    <w:p w14:paraId="24E47028" w14:textId="06DE7A2F" w:rsidR="0098580B" w:rsidRPr="0098580B" w:rsidRDefault="0098580B" w:rsidP="0098580B">
      <w:pPr>
        <w:pStyle w:val="Heading1"/>
        <w:rPr>
          <w:lang w:val="es-ES"/>
        </w:rPr>
      </w:pPr>
      <w:r w:rsidRPr="0098580B">
        <w:rPr>
          <w:lang w:val="es-ES"/>
        </w:rPr>
        <w:t>De conformidad con la decisión 84/39 c) i), los organismos de ejecución pertinentes, en nombre del Gobierno de China, presentaron a la 85ª reunión los informes de auditoría financiera a fecha de 31</w:t>
      </w:r>
      <w:r w:rsidR="004A24B0">
        <w:rPr>
          <w:lang w:val="es-ES"/>
        </w:rPr>
        <w:t> </w:t>
      </w:r>
      <w:r w:rsidRPr="0098580B">
        <w:rPr>
          <w:lang w:val="es-ES"/>
        </w:rPr>
        <w:t>de</w:t>
      </w:r>
      <w:r w:rsidR="004A24B0">
        <w:rPr>
          <w:lang w:val="es-ES"/>
        </w:rPr>
        <w:t> </w:t>
      </w:r>
      <w:r w:rsidRPr="0098580B">
        <w:rPr>
          <w:lang w:val="es-ES"/>
        </w:rPr>
        <w:t>diciembre de 2019; los informes de terminación de proyecto para los sectores de producción de CFC, espumas de poliuretano, servicio y mantenimiento de equipos de refrigeración y disolventes; los informes finales complementarios para los sectores de servicio y mantenimiento de equipos de refrigeración y disolventes; y una actualización sobre los progresos logrados en el sector de halones y agentes de procesos II.</w:t>
      </w:r>
      <w:r w:rsidRPr="0098580B">
        <w:rPr>
          <w:vertAlign w:val="superscript"/>
          <w:lang w:val="es-ES"/>
        </w:rPr>
        <w:footnoteReference w:id="2"/>
      </w:r>
      <w:r w:rsidRPr="0098580B">
        <w:rPr>
          <w:lang w:val="es-ES"/>
        </w:rPr>
        <w:t xml:space="preserve"> De conformidad con los procedimientos acordados para la celebración de la 85ª reunión, la cuestión se examinó en la 86ª reunión, donde el Comité Ejecutivo tomó nota, entre otras cosas, de los informes de auditoría financiera y de la devolución de saldos por parte del Banco Mundial (sectores de producción de CFC y espumas de poliuretano), la ONUDI (sector de servicio y mantenimiento de equipos de refrigeración) y el PNUD (sector de disolventes de CFC); y solicitó al Oficial superior de supervisión y evaluación que colabore con los organismos de ejecución pertinentes para asegurar que los informes de terminación de proyecto presentados para los planes sectoriales de producción de CFC, espumas de poliuretano, servicio y mantenimiento de equipos de refrigeración y disolventes reflejasen los desembolsos a los beneficiarios finales, de conformidad con la información proporcionada en los informes de auditoría financiera presentados a la 86ª reunión (decisión 86/41).</w:t>
      </w:r>
    </w:p>
    <w:p w14:paraId="6AAF6F6B" w14:textId="77777777" w:rsidR="0098580B" w:rsidRPr="0098580B" w:rsidRDefault="0098580B" w:rsidP="0098580B">
      <w:pPr>
        <w:numPr>
          <w:ilvl w:val="0"/>
          <w:numId w:val="1"/>
        </w:numPr>
        <w:spacing w:after="240"/>
        <w:outlineLvl w:val="0"/>
        <w:rPr>
          <w:lang w:val="es-ES"/>
        </w:rPr>
      </w:pPr>
      <w:r w:rsidRPr="0098580B">
        <w:rPr>
          <w:lang w:val="es-ES"/>
        </w:rPr>
        <w:t>El Banco Mundial, en nombre del Gobierno de China, presentó a la 87ª reunión los informes de auditoría financiera a fecha de 31 de diciembre de 2020 correspondientes a los planes sectoriales de halones y agentes de procesos II, así como sus respectivos informes de terminación de proyecto, en línea con la decisión 86/41. La Secretaría notificó que los informes de terminación de proyecto correspondientes a los planes sectoriales de producción de CFC, espumas de poliuretano, halones y agentes de procesos II contienen datos financieros que están en consonancia con sus respectivos informes de auditoría financiera y con la devolución de los saldos remanentes al Fondo Multilateral; no obstante, los informes de terminación de proyecto de los planes sectoriales de servicio y mantenimiento de equipos de refrigeración y de disolventes que se completaron en diciembre de 2019 no contenían informes similares. Posteriormente, el Comité señaló, entre otras cosas, que el Oficial superior de supervisión y evaluación seguiría trabajando con los organismos de ejecución pertinentes para asegurar que los informes de terminación de proyecto presentados para los planes sectoriales de servicio y mantenimiento de equipos de refrigeración reflejasen los desembolsos a los beneficiarios finales, de conformidad con la información proporcionada en los informes de auditoría financiera presentados a la reunión 86ª (decisión 87/24).</w:t>
      </w:r>
    </w:p>
    <w:p w14:paraId="6752413F" w14:textId="77777777" w:rsidR="0098580B" w:rsidRPr="0098580B" w:rsidRDefault="0098580B" w:rsidP="0098580B">
      <w:pPr>
        <w:rPr>
          <w:b/>
          <w:lang w:val="es-ES"/>
        </w:rPr>
      </w:pPr>
      <w:r w:rsidRPr="0098580B">
        <w:rPr>
          <w:b/>
          <w:lang w:val="es-ES"/>
        </w:rPr>
        <w:t>Informe sobre la marcha de las actividades</w:t>
      </w:r>
    </w:p>
    <w:p w14:paraId="599E04DF" w14:textId="77777777" w:rsidR="0098580B" w:rsidRPr="0098580B" w:rsidRDefault="0098580B" w:rsidP="0098580B">
      <w:pPr>
        <w:rPr>
          <w:lang w:val="es-ES"/>
        </w:rPr>
      </w:pPr>
    </w:p>
    <w:p w14:paraId="1E2DC9F0" w14:textId="77777777" w:rsidR="0098580B" w:rsidRPr="0098580B" w:rsidRDefault="0098580B" w:rsidP="0098580B">
      <w:pPr>
        <w:pStyle w:val="Heading1"/>
        <w:rPr>
          <w:lang w:val="es-ES"/>
        </w:rPr>
      </w:pPr>
      <w:r w:rsidRPr="0098580B">
        <w:rPr>
          <w:lang w:val="es-ES"/>
        </w:rPr>
        <w:t xml:space="preserve">En respuesta a la decisión 87/24, el Oficial superior de supervisión y evaluación se puso en contacto con los representantes del PNUD, la ONUDI y el Banco Mundial para orientar sobre la actualización de los desembolsos a los beneficiarios finales en sus informes de terminación de proyecto presentados anteriormente, de conformidad con la información contenida en los informes de auditoría financiera. A la fecha de la publicación del presente documento, los organismos de ejecución estaban en proceso de actualizar la información de los respectivos informes de terminación de proyecto; una vez finalizada la tarea, los organismos presentarán los informes de terminación de proyecto revisados a la Secretaría. </w:t>
      </w:r>
    </w:p>
    <w:p w14:paraId="5DA8B761" w14:textId="77777777" w:rsidR="0098580B" w:rsidRPr="0098580B" w:rsidRDefault="0098580B" w:rsidP="004A24B0">
      <w:pPr>
        <w:keepNext/>
        <w:keepLines/>
        <w:widowControl w:val="0"/>
        <w:spacing w:after="240"/>
        <w:rPr>
          <w:b/>
          <w:bCs/>
          <w:lang w:val="es-ES"/>
        </w:rPr>
      </w:pPr>
      <w:r w:rsidRPr="0098580B">
        <w:rPr>
          <w:b/>
          <w:bCs/>
          <w:lang w:val="es-ES"/>
        </w:rPr>
        <w:lastRenderedPageBreak/>
        <w:t>Recomendación</w:t>
      </w:r>
    </w:p>
    <w:p w14:paraId="2C8FF11C" w14:textId="77777777" w:rsidR="0098580B" w:rsidRPr="0098580B" w:rsidRDefault="0098580B" w:rsidP="004A24B0">
      <w:pPr>
        <w:keepNext/>
        <w:keepLines/>
        <w:widowControl w:val="0"/>
        <w:numPr>
          <w:ilvl w:val="0"/>
          <w:numId w:val="1"/>
        </w:numPr>
        <w:spacing w:after="240"/>
        <w:outlineLvl w:val="0"/>
        <w:rPr>
          <w:lang w:val="es-ES"/>
        </w:rPr>
      </w:pPr>
      <w:r w:rsidRPr="0098580B">
        <w:rPr>
          <w:lang w:val="es-ES"/>
        </w:rPr>
        <w:t>El Comité Ejecutivo tal vez desee tomar nota de:</w:t>
      </w:r>
    </w:p>
    <w:p w14:paraId="29219617" w14:textId="77777777" w:rsidR="0098580B" w:rsidRPr="0098580B" w:rsidRDefault="0098580B" w:rsidP="0098580B">
      <w:pPr>
        <w:widowControl w:val="0"/>
        <w:numPr>
          <w:ilvl w:val="1"/>
          <w:numId w:val="1"/>
        </w:numPr>
        <w:spacing w:after="240"/>
        <w:outlineLvl w:val="1"/>
        <w:rPr>
          <w:lang w:val="es-ES"/>
        </w:rPr>
      </w:pPr>
      <w:r w:rsidRPr="0098580B">
        <w:rPr>
          <w:lang w:val="es-ES"/>
        </w:rPr>
        <w:t>El informe sobre los progresos en la ejecución de las decisiones 86/41 c) y 87/24 c) relativos a los informes de terminación de proyectos para los planes sectoriales de producción de CFC, espumas de poliuretano, agentes de procesos II, halones, servicio y mantenimiento de equipos de refrigeración y disolventes para China, que figura en el documento UNEP/OzL.Pro/ExCom/88/18/Add.1; y</w:t>
      </w:r>
    </w:p>
    <w:p w14:paraId="0887BECF" w14:textId="77777777" w:rsidR="0098580B" w:rsidRPr="0098580B" w:rsidRDefault="0098580B" w:rsidP="0098580B">
      <w:pPr>
        <w:widowControl w:val="0"/>
        <w:numPr>
          <w:ilvl w:val="1"/>
          <w:numId w:val="1"/>
        </w:numPr>
        <w:spacing w:after="240"/>
        <w:outlineLvl w:val="1"/>
        <w:rPr>
          <w:lang w:val="es-ES"/>
        </w:rPr>
      </w:pPr>
      <w:r w:rsidRPr="0098580B">
        <w:rPr>
          <w:lang w:val="es-ES"/>
        </w:rPr>
        <w:t>Que el PNUD, la ONUDI y el Banco Mundial están actualizando los informes de terminación de proyecto mencionados en el apartado a) anterior, y que la Secretaría informará a la 90ª reunión sobre la situación de la actualización.</w:t>
      </w:r>
    </w:p>
    <w:p w14:paraId="5AAFC57E" w14:textId="77777777" w:rsidR="0098580B" w:rsidRPr="0098580B" w:rsidRDefault="0098580B" w:rsidP="0098580B">
      <w:pPr>
        <w:spacing w:after="240"/>
        <w:ind w:left="1440" w:hanging="1440"/>
        <w:rPr>
          <w:lang w:val="es-ES"/>
        </w:rPr>
      </w:pPr>
      <w:r w:rsidRPr="0098580B">
        <w:rPr>
          <w:b/>
          <w:lang w:val="es-ES"/>
        </w:rPr>
        <w:t xml:space="preserve">PARTE II: </w:t>
      </w:r>
      <w:r w:rsidRPr="0098580B">
        <w:rPr>
          <w:b/>
          <w:lang w:val="es-ES"/>
        </w:rPr>
        <w:tab/>
        <w:t>INFORME SOBRE LA MARCHA DE EJECUCIÓN DE LAS ACTIVIDADES LISTADAS EN LA DECISIÓN 83/41 e)</w:t>
      </w:r>
    </w:p>
    <w:p w14:paraId="243858C1" w14:textId="77777777" w:rsidR="0098580B" w:rsidRPr="0098580B" w:rsidRDefault="0098580B" w:rsidP="0098580B">
      <w:pPr>
        <w:rPr>
          <w:b/>
          <w:lang w:val="es-ES"/>
        </w:rPr>
      </w:pPr>
      <w:r w:rsidRPr="0098580B">
        <w:rPr>
          <w:b/>
          <w:lang w:val="es-ES"/>
        </w:rPr>
        <w:t xml:space="preserve">Antecedentes </w:t>
      </w:r>
    </w:p>
    <w:p w14:paraId="20B19FC2" w14:textId="77777777" w:rsidR="0098580B" w:rsidRPr="0098580B" w:rsidRDefault="0098580B" w:rsidP="0098580B">
      <w:pPr>
        <w:rPr>
          <w:lang w:val="es-ES"/>
        </w:rPr>
      </w:pPr>
    </w:p>
    <w:p w14:paraId="594A9F6E" w14:textId="77777777" w:rsidR="0098580B" w:rsidRPr="0098580B" w:rsidRDefault="0098580B" w:rsidP="0098580B">
      <w:pPr>
        <w:pStyle w:val="Heading1"/>
        <w:rPr>
          <w:lang w:val="es-ES"/>
        </w:rPr>
      </w:pPr>
      <w:r w:rsidRPr="0098580B">
        <w:rPr>
          <w:lang w:val="es-ES"/>
        </w:rPr>
        <w:t>En su 83ª reunión, el Comité Ejecutivo examinó los siguientes dos documentos:</w:t>
      </w:r>
    </w:p>
    <w:p w14:paraId="1ED32384" w14:textId="77777777" w:rsidR="0098580B" w:rsidRPr="0098580B" w:rsidRDefault="0098580B" w:rsidP="0098580B">
      <w:pPr>
        <w:pStyle w:val="Heading2"/>
        <w:rPr>
          <w:lang w:val="es-ES"/>
        </w:rPr>
      </w:pPr>
      <w:r w:rsidRPr="0098580B">
        <w:rPr>
          <w:lang w:val="es-ES"/>
        </w:rPr>
        <w:t>Revisión de los sistemas actuales de supervisión, presentación de informes, verificación y vigilancia conforme a los Acuerdos establecidos entre el Gobierno de China y el Comité Ejecutivo sobre los consumos de HCFC y el plan de gestión de eliminación de los HCFC, presentado por el PNUD en nombre del Gobierno de China, en línea con las decisiones 82/65 y 82/71 a); y</w:t>
      </w:r>
    </w:p>
    <w:p w14:paraId="25064FA7" w14:textId="77777777" w:rsidR="0098580B" w:rsidRPr="0098580B" w:rsidRDefault="0098580B" w:rsidP="004A24B0">
      <w:pPr>
        <w:pStyle w:val="Heading2"/>
        <w:widowControl/>
        <w:spacing w:after="120"/>
        <w:rPr>
          <w:lang w:val="es-ES"/>
        </w:rPr>
      </w:pPr>
      <w:r w:rsidRPr="0098580B">
        <w:rPr>
          <w:lang w:val="es-ES"/>
        </w:rPr>
        <w:t xml:space="preserve">Estudio teórico sobre el sistema actual de supervisión del consumo de agentes espumantes por parte de las empresas que recibieron asistencia en la etapa I del plan de gestión de eliminación de los HCFC y metodología de verificación, presentado por el Banco Mundial en nombre del Gobierno de China en línea con la decisión 82/67 c). </w:t>
      </w:r>
    </w:p>
    <w:p w14:paraId="7E2A8531" w14:textId="77777777" w:rsidR="0098580B" w:rsidRPr="0098580B" w:rsidRDefault="0098580B" w:rsidP="004A24B0">
      <w:pPr>
        <w:pStyle w:val="Heading1"/>
        <w:spacing w:after="120"/>
        <w:rPr>
          <w:lang w:val="es-ES"/>
        </w:rPr>
      </w:pPr>
      <w:r w:rsidRPr="0098580B">
        <w:rPr>
          <w:lang w:val="es-ES"/>
        </w:rPr>
        <w:t xml:space="preserve">Durante sus deliberaciones, el Comité acogió con beneplácito, entre otras cosas, varias medidas reglamentarias y de vigilancia que el Gobierno tiene previsto tomar; tomó nota con beneplácito de que el Gobierno tomará medidas adicionales destinadas a apoyar sus acciones de vigilancia; y también tomó nota con beneplácito de que el Gobierno estudiará varias sugerencias para suplementar e incrementar sus medidas reglamentarias y de vigilancia. El Comité Ejecutivo también observó que el Gobierno de China entregaría un informe a la 84ª reunión, y otra vez a la 86ª reunión, sobre sus progresos en la ejecución de las actividades descritas en los </w:t>
      </w:r>
      <w:r w:rsidR="000D3334" w:rsidRPr="0098580B">
        <w:rPr>
          <w:lang w:val="es-ES"/>
        </w:rPr>
        <w:t>subapartados</w:t>
      </w:r>
      <w:r w:rsidRPr="0098580B">
        <w:rPr>
          <w:lang w:val="es-ES"/>
        </w:rPr>
        <w:t xml:space="preserve"> a)-d) de la decisión 83/41.</w:t>
      </w:r>
    </w:p>
    <w:p w14:paraId="4044AC9A" w14:textId="77777777" w:rsidR="0098580B" w:rsidRPr="0098580B" w:rsidRDefault="0098580B" w:rsidP="004A24B0">
      <w:pPr>
        <w:pStyle w:val="Heading1"/>
        <w:spacing w:after="120"/>
        <w:rPr>
          <w:lang w:val="es-ES"/>
        </w:rPr>
      </w:pPr>
      <w:r w:rsidRPr="0098580B">
        <w:rPr>
          <w:lang w:val="es-ES"/>
        </w:rPr>
        <w:t>En su 84ª reunión, el Comité Ejecutivo examinó el informe sobre la marcha de las actividades presentado por el Gobierno de China en línea con la decisión 83/41 e).</w:t>
      </w:r>
      <w:r w:rsidRPr="0098580B">
        <w:rPr>
          <w:rStyle w:val="FootnoteReference"/>
          <w:lang w:val="es-ES"/>
        </w:rPr>
        <w:footnoteReference w:id="3"/>
      </w:r>
      <w:r w:rsidRPr="0098580B">
        <w:rPr>
          <w:lang w:val="es-ES"/>
        </w:rPr>
        <w:t xml:space="preserve"> Tras una deliberación, el Comité Ejecutivo tomó nota de la información proporcionada por el representante del Gobierno de China en cuanto a la ejecución de las actividades indicadas en la decisión 83/41.</w:t>
      </w:r>
    </w:p>
    <w:p w14:paraId="259E56E8" w14:textId="21F799E1" w:rsidR="0098580B" w:rsidRPr="0098580B" w:rsidRDefault="0098580B" w:rsidP="004A24B0">
      <w:pPr>
        <w:pStyle w:val="Heading1"/>
        <w:spacing w:after="120"/>
        <w:rPr>
          <w:lang w:val="es-ES"/>
        </w:rPr>
      </w:pPr>
      <w:r w:rsidRPr="0098580B">
        <w:rPr>
          <w:lang w:val="es-ES"/>
        </w:rPr>
        <w:t>El Gobierno de China presentó a la 86ª reunión un Informe sobre la marcha de las actividades conforme a la decisión 83/41 ("</w:t>
      </w:r>
      <w:r w:rsidRPr="0098580B">
        <w:rPr>
          <w:i/>
          <w:lang w:val="es-ES"/>
        </w:rPr>
        <w:t>Informe sobre la marcha de las actividades</w:t>
      </w:r>
      <w:r w:rsidRPr="0098580B">
        <w:rPr>
          <w:lang w:val="es-ES"/>
        </w:rPr>
        <w:t>"). El Comité Ejecutivo aplazó la consideración del informe sobre la marcha de las actividades hasta la 87ª y posteriormente hasta la 88ª</w:t>
      </w:r>
      <w:r w:rsidR="004A24B0">
        <w:rPr>
          <w:lang w:val="es-ES"/>
        </w:rPr>
        <w:t> </w:t>
      </w:r>
      <w:r w:rsidRPr="0098580B">
        <w:rPr>
          <w:lang w:val="es-ES"/>
        </w:rPr>
        <w:t>reunión, de conformidad con los procedimientos convenidos para llevar a cabo esas reuniones.</w:t>
      </w:r>
      <w:r w:rsidRPr="0098580B">
        <w:rPr>
          <w:rStyle w:val="FootnoteReference"/>
          <w:lang w:val="es-ES"/>
        </w:rPr>
        <w:footnoteReference w:id="4"/>
      </w:r>
      <w:r w:rsidRPr="0098580B">
        <w:rPr>
          <w:lang w:val="es-ES"/>
        </w:rPr>
        <w:t xml:space="preserve"> Este informe sobre la marcha de las actividades se adjunta al presente documento en su totalidad, sin que haya sufrido ningún tipo de edición ni revisión adicional.</w:t>
      </w:r>
    </w:p>
    <w:p w14:paraId="4678B648" w14:textId="77777777" w:rsidR="0098580B" w:rsidRPr="0098580B" w:rsidRDefault="0098580B" w:rsidP="0098580B">
      <w:pPr>
        <w:spacing w:after="240"/>
        <w:ind w:left="1440" w:hanging="1440"/>
        <w:rPr>
          <w:b/>
          <w:lang w:val="es-ES"/>
        </w:rPr>
      </w:pPr>
      <w:r w:rsidRPr="0098580B">
        <w:rPr>
          <w:b/>
          <w:lang w:val="es-ES"/>
        </w:rPr>
        <w:lastRenderedPageBreak/>
        <w:t xml:space="preserve">PARTE III: </w:t>
      </w:r>
      <w:r w:rsidRPr="0098580B">
        <w:rPr>
          <w:b/>
          <w:lang w:val="es-ES"/>
        </w:rPr>
        <w:tab/>
        <w:t>ESTUDIO PARA ESTABLECER QUÉ CIRCUNSTANCIAS REGLAMENTARIAS, DE VIGILANCIA, DE POLÍTICAS O DEL MERCADO PODRÍAN HABER POSIBILITADO LA PRODUCCIÓN O EL USO ILEGAL DE CFC-11 y CFC-12 (DECISIÓN 83/41 d))</w:t>
      </w:r>
    </w:p>
    <w:p w14:paraId="1FF5C43F" w14:textId="77777777" w:rsidR="0098580B" w:rsidRPr="0098580B" w:rsidRDefault="0098580B" w:rsidP="0098580B">
      <w:pPr>
        <w:rPr>
          <w:b/>
          <w:lang w:val="es-ES"/>
        </w:rPr>
      </w:pPr>
      <w:r w:rsidRPr="0098580B">
        <w:rPr>
          <w:b/>
          <w:lang w:val="es-ES"/>
        </w:rPr>
        <w:t xml:space="preserve">Antecedentes </w:t>
      </w:r>
    </w:p>
    <w:p w14:paraId="3276616E" w14:textId="77777777" w:rsidR="0098580B" w:rsidRPr="0098580B" w:rsidRDefault="0098580B" w:rsidP="0098580B">
      <w:pPr>
        <w:rPr>
          <w:lang w:val="es-ES"/>
        </w:rPr>
      </w:pPr>
    </w:p>
    <w:p w14:paraId="028489D0" w14:textId="77777777" w:rsidR="0098580B" w:rsidRPr="0098580B" w:rsidRDefault="0098580B" w:rsidP="0098580B">
      <w:pPr>
        <w:pStyle w:val="Heading1"/>
        <w:rPr>
          <w:lang w:val="es-ES"/>
        </w:rPr>
      </w:pPr>
      <w:r w:rsidRPr="0098580B">
        <w:rPr>
          <w:lang w:val="es-ES"/>
        </w:rPr>
        <w:t xml:space="preserve">En el contexto de sus deliberaciones durante la 83ª reunión en relación a los sistemas de supervisión, presentación de informes, verificación y vigilancia de China, el Comité Ejecutivo decidió tomar nota, entre otras cosas, de que el Gobierno de China estudiará la contratación de un consultor no gubernamental para realizar un estudio (que incluirá datos cuantitativos, cuando estén disponibles, así como información cualitativa del mercado) que permita determinar las circunstancias reglamentarias, de vigilancia, de políticas o del mercado que podrían haber posibilitado la producción o uso ilegal de CFC-11 y CFC-12 (decisión 83/41 d)). </w:t>
      </w:r>
    </w:p>
    <w:p w14:paraId="31A7A3AA" w14:textId="77777777" w:rsidR="0098580B" w:rsidRPr="0098580B" w:rsidRDefault="0098580B" w:rsidP="0098580B">
      <w:pPr>
        <w:pStyle w:val="Heading1"/>
        <w:keepNext/>
        <w:keepLines/>
        <w:widowControl w:val="0"/>
        <w:rPr>
          <w:lang w:val="es-ES"/>
        </w:rPr>
      </w:pPr>
      <w:r w:rsidRPr="0098580B">
        <w:rPr>
          <w:lang w:val="es-ES"/>
        </w:rPr>
        <w:t>En prosecución de la decisión 83/41 d), el Gobierno de China presentó a la 86ª reunión el Estudio sobre la supervisión, vigilancia de las leyes, políticas y situación del mercado de las sustancias que agotan la capa de ozono en China, redactado por un consultor no gubernamental. El Comité Ejecutivo aplazó la consideración del estudio a la 87ª reunión y posteriormente la 88ª reunión, de conformidad con los procedimientos convenidos para llevar a cabo esas reuniones.</w:t>
      </w:r>
      <w:r w:rsidRPr="0098580B">
        <w:rPr>
          <w:rStyle w:val="FootnoteReference"/>
          <w:lang w:val="es-ES"/>
        </w:rPr>
        <w:footnoteReference w:id="5"/>
      </w:r>
      <w:r w:rsidRPr="0098580B">
        <w:rPr>
          <w:lang w:val="es-ES"/>
        </w:rPr>
        <w:t xml:space="preserve"> Este estudio se adjunta al presente documento en su totalidad, sin que haya sufrido ningún tipo de edición ni revisión adicional.</w:t>
      </w:r>
    </w:p>
    <w:p w14:paraId="073E85F5" w14:textId="77777777" w:rsidR="0098580B" w:rsidRPr="0098580B" w:rsidRDefault="0098580B" w:rsidP="0098580B">
      <w:pPr>
        <w:ind w:left="1350" w:hanging="1350"/>
        <w:rPr>
          <w:rFonts w:eastAsiaTheme="minorEastAsia"/>
          <w:b/>
          <w:lang w:val="es-ES"/>
        </w:rPr>
      </w:pPr>
      <w:r w:rsidRPr="0098580B">
        <w:rPr>
          <w:b/>
          <w:lang w:val="es-ES"/>
        </w:rPr>
        <w:t xml:space="preserve">PARTE IV:  </w:t>
      </w:r>
      <w:r w:rsidRPr="0098580B">
        <w:rPr>
          <w:b/>
          <w:lang w:val="es-ES"/>
        </w:rPr>
        <w:tab/>
        <w:t xml:space="preserve">INFORME ACTUALIZADO SOBRE LA PRODUCCIÓN DE CTC Y SUS USOS COMO MATERIA PRIMA </w:t>
      </w:r>
    </w:p>
    <w:p w14:paraId="04A5C047" w14:textId="77777777" w:rsidR="0098580B" w:rsidRPr="0098580B" w:rsidRDefault="0098580B" w:rsidP="0098580B">
      <w:pPr>
        <w:ind w:left="1440" w:hanging="1440"/>
        <w:rPr>
          <w:rFonts w:eastAsiaTheme="minorEastAsia"/>
          <w:b/>
          <w:lang w:val="es-ES"/>
        </w:rPr>
      </w:pPr>
    </w:p>
    <w:p w14:paraId="65CE2714" w14:textId="77777777" w:rsidR="0098580B" w:rsidRPr="0098580B" w:rsidRDefault="0098580B" w:rsidP="0098580B">
      <w:pPr>
        <w:pStyle w:val="Heading1"/>
        <w:rPr>
          <w:rFonts w:eastAsiaTheme="minorEastAsia"/>
          <w:lang w:val="es-ES"/>
        </w:rPr>
      </w:pPr>
      <w:r w:rsidRPr="0098580B">
        <w:rPr>
          <w:lang w:val="es-ES"/>
        </w:rPr>
        <w:t>El Gobierno de China, a través del Banco Mundial, presentó el informe actualizado sobre la producción de CTC y sus usos como materia prima en China,</w:t>
      </w:r>
      <w:r w:rsidRPr="0098580B">
        <w:rPr>
          <w:rStyle w:val="FootnoteReference"/>
          <w:lang w:val="es-ES"/>
        </w:rPr>
        <w:footnoteReference w:id="6"/>
      </w:r>
      <w:r w:rsidRPr="0098580B">
        <w:rPr>
          <w:lang w:val="es-ES"/>
        </w:rPr>
        <w:t xml:space="preserve"> en consonancia con la decisión 84/41 b).</w:t>
      </w:r>
      <w:r w:rsidRPr="0098580B">
        <w:rPr>
          <w:rStyle w:val="FootnoteReference"/>
          <w:lang w:val="es-ES"/>
        </w:rPr>
        <w:footnoteReference w:id="7"/>
      </w:r>
      <w:r w:rsidRPr="0098580B">
        <w:rPr>
          <w:lang w:val="es-ES"/>
        </w:rPr>
        <w:t xml:space="preserve"> </w:t>
      </w:r>
    </w:p>
    <w:p w14:paraId="30BE0874" w14:textId="77777777" w:rsidR="0098580B" w:rsidRPr="0098580B" w:rsidRDefault="0098580B" w:rsidP="0098580B">
      <w:pPr>
        <w:widowControl w:val="0"/>
        <w:spacing w:after="240"/>
        <w:outlineLvl w:val="0"/>
        <w:rPr>
          <w:rFonts w:eastAsiaTheme="minorEastAsia"/>
          <w:b/>
          <w:lang w:val="es-ES"/>
        </w:rPr>
      </w:pPr>
      <w:r w:rsidRPr="0098580B">
        <w:rPr>
          <w:b/>
          <w:lang w:val="es-ES"/>
        </w:rPr>
        <w:t>Comentarios de la Secretaría</w:t>
      </w:r>
    </w:p>
    <w:p w14:paraId="055709FC" w14:textId="77777777" w:rsidR="0098580B" w:rsidRPr="0098580B" w:rsidRDefault="0098580B" w:rsidP="0098580B">
      <w:pPr>
        <w:pStyle w:val="Heading1"/>
        <w:rPr>
          <w:rFonts w:eastAsiaTheme="minorEastAsia"/>
          <w:lang w:val="es-ES"/>
        </w:rPr>
      </w:pPr>
      <w:r w:rsidRPr="0098580B">
        <w:rPr>
          <w:lang w:val="es-ES"/>
        </w:rPr>
        <w:t xml:space="preserve">El informe se presentó el 20 de septiembre de 2021. No obstante, dentro del plazo limitado disponible, la Secretaría no pudo concluir un examen exhaustivo del informe, incluyendo conversaciones con el Banco Mundial. En consecuencia, la Secretaría presentará el documento y su examen al respecto a la 90ª reunión. </w:t>
      </w:r>
    </w:p>
    <w:p w14:paraId="7726B2BA" w14:textId="77777777" w:rsidR="0098580B" w:rsidRPr="0098580B" w:rsidRDefault="0098580B" w:rsidP="0098580B">
      <w:pPr>
        <w:pStyle w:val="Heading1"/>
        <w:rPr>
          <w:rFonts w:eastAsiaTheme="minorEastAsia"/>
          <w:lang w:val="es-ES"/>
        </w:rPr>
      </w:pPr>
      <w:r w:rsidRPr="0098580B">
        <w:rPr>
          <w:lang w:val="es-ES"/>
        </w:rPr>
        <w:t xml:space="preserve">En un examen preliminar, la Secretaría tomó nota de que el informe confirmaba que solo había una planta de percloroetileno que utiliza el proceso de cloración de alcanos. Todo el subproducto de CTC de esa empresa se recicla directamente en el reactor, junto con otros reactivos, después de la destilación del producto. El CTC se separa parcialmente en la torre de enfriamiento y en las unidades de purificación; los flujos de estos dos procesos que contienen una mezcla de CTC, percloroetileno y otros componentes se alimentan a un tanque de almacenamiento, y no </w:t>
      </w:r>
      <w:r w:rsidRPr="0098580B">
        <w:rPr>
          <w:color w:val="000000"/>
          <w:lang w:val="es-ES"/>
        </w:rPr>
        <w:t xml:space="preserve">son </w:t>
      </w:r>
      <w:r w:rsidRPr="0098580B">
        <w:rPr>
          <w:lang w:val="es-ES"/>
        </w:rPr>
        <w:t xml:space="preserve">aptos para la venta sin purificación. </w:t>
      </w:r>
      <w:r w:rsidRPr="0098580B">
        <w:rPr>
          <w:color w:val="000000"/>
          <w:lang w:val="es-ES"/>
        </w:rPr>
        <w:t>Dado</w:t>
      </w:r>
      <w:r w:rsidRPr="0098580B">
        <w:rPr>
          <w:lang w:val="es-ES"/>
        </w:rPr>
        <w:t xml:space="preserve"> que no hay unidad de purificación de CTC en la empresa, no se puede vender el CTC de la empresa; el contenido del </w:t>
      </w:r>
      <w:r w:rsidRPr="0098580B">
        <w:rPr>
          <w:lang w:val="es-ES"/>
        </w:rPr>
        <w:lastRenderedPageBreak/>
        <w:t>tanque de almacenamiento, incluyendo el subproducto de CTC, se recicla en el reactor. La producción de la empresa está supervisada por la oficina local de ecología y medio ambiente, que lleva a cabo la supervisión y control medioambiental habitual, y lleva a cabo inspecciones esporádicas para asegurar que nada de CTC abandone la línea de producción.</w:t>
      </w:r>
    </w:p>
    <w:p w14:paraId="22A393E4" w14:textId="77777777" w:rsidR="0098580B" w:rsidRPr="0098580B" w:rsidRDefault="0098580B" w:rsidP="0098580B">
      <w:pPr>
        <w:pStyle w:val="Heading1"/>
        <w:rPr>
          <w:lang w:val="es-ES"/>
        </w:rPr>
      </w:pPr>
      <w:r w:rsidRPr="0098580B">
        <w:rPr>
          <w:lang w:val="es-ES"/>
        </w:rPr>
        <w:t>El informe no incluye información ni análisis para abordar la diferencia de emisiones reflejada en la Evaluación científica del agotamiento del ozono de 2018 y en los documentos UNEP/OzL.Pro/ExCom/84/22/Add.2 y Add.3. En particular, el informe actualizado incluye emisiones estimadas de CTC que son órdenes de magnitud inferiores a las del Informe de evaluación científica de 2018, así como a las de un artículo de una revista científica de Lunt et al. (2018),</w:t>
      </w:r>
      <w:r w:rsidRPr="0098580B">
        <w:rPr>
          <w:rStyle w:val="FootnoteReference"/>
          <w:kern w:val="36"/>
          <w:lang w:val="es-ES"/>
        </w:rPr>
        <w:footnoteReference w:id="8"/>
      </w:r>
      <w:r w:rsidRPr="0098580B">
        <w:rPr>
          <w:lang w:val="es-ES"/>
        </w:rPr>
        <w:t xml:space="preserve"> que se publicó demasiado tarde para su consideración en el informe de 2018. La Secretaría observa que al menos un centro de supervisión atmosférica de China</w:t>
      </w:r>
      <w:r w:rsidRPr="0098580B">
        <w:rPr>
          <w:rStyle w:val="FootnoteReference"/>
          <w:lang w:val="es-ES"/>
        </w:rPr>
        <w:footnoteReference w:id="9"/>
      </w:r>
      <w:r w:rsidRPr="0098580B">
        <w:rPr>
          <w:lang w:val="es-ES"/>
        </w:rPr>
        <w:t xml:space="preserve"> incluyó observaciones de la concentración atmosférica de CTC, pero no estaba claro si esas observaciones se habían analizado o comparado con las de Lunt et al. (2018).</w:t>
      </w:r>
    </w:p>
    <w:p w14:paraId="786D514A" w14:textId="77777777" w:rsidR="0098580B" w:rsidRPr="0098580B" w:rsidRDefault="0098580B" w:rsidP="0098580B">
      <w:pPr>
        <w:pStyle w:val="Heading1"/>
        <w:rPr>
          <w:lang w:val="es-ES"/>
        </w:rPr>
      </w:pPr>
      <w:r w:rsidRPr="0098580B">
        <w:rPr>
          <w:lang w:val="es-ES"/>
        </w:rPr>
        <w:t xml:space="preserve">El informe actualizado indicó que podría haber emisiones potenciales adicionales de CTC del proceso de producción de clorometano (que representa entre el 73 y el 76 por ciento de dichas emisiones potenciales adicionales), así como de la eliminación o conversión de CTC, y las aplicaciones de materias primas (cada una de las cuales representa el 10-15 por ciento restante). En lo que respecta a las emisiones de producción de clorometano, el informe señala que esas emisiones adicionales se consideraron inverosímiles considerando el nivel avanzado de tecnología y gestión de procesos de las líneas de producción de clorometano, así como la estricta supervisión del control de las emisiones por parte de diversos organismos de ecología y protección del medio ambiente de China. La Secretaría toma nota de que aun con esas posibles emisiones adicionales, las emisiones del informe actualizado seguirían siendo un orden de magnitud inferior a las del Informe de evaluación científica de 2018 y de Lunt et al. (2018) y dos órdenes de magnitud inferiores si se excluyen las posibles emisiones adicionales del proceso de producción de clorometano. </w:t>
      </w:r>
    </w:p>
    <w:p w14:paraId="14D47E52" w14:textId="77777777" w:rsidR="0098580B" w:rsidRPr="0098580B" w:rsidRDefault="0098580B" w:rsidP="0098580B">
      <w:pPr>
        <w:pStyle w:val="Heading1"/>
        <w:rPr>
          <w:lang w:val="es-ES"/>
        </w:rPr>
      </w:pPr>
      <w:r w:rsidRPr="0098580B">
        <w:rPr>
          <w:lang w:val="es-ES"/>
        </w:rPr>
        <w:t>Además de una solicitud de aclaración con respecto a la diferencia de emisiones antes mencionada, el Gobierno de China, a través del Banco Mundial, tomó nota de la pertinencia de la relevancia de las discrepancias relativas a las emisiones de CTC y de que se han producido diferencias sustanciales durante años en las estimaciones descendentes y ascendentes de los datos sobre las emisiones de CTC. El Gobierno considera que se trata de un problema mundial que involucra no solo a China sino también a otros países de otras regiones. El Gobierno observó además que el Grupo de evaluación científica examinó esta cuestión durante más de diez años, y si bien la discrepancia de las emisiones de CTC entre las estimaciones descendentes y ascendentes se redujo significativamente en el Informe de evaluación científica de 2018, todavía hay diferencias y están pendientes de explicar. El Informe de evaluación científica de 2018 señaló la necesidad de mejorar la comprensión de factores tales como la concentración de las muestras de aire y las condiciones meteorológicas que afectan a la evaluación. El Gobierno de China manifestó su interés en continuar investigaciones pertinentes en ese sentido.</w:t>
      </w:r>
    </w:p>
    <w:p w14:paraId="36FEBBC6" w14:textId="77777777" w:rsidR="0098580B" w:rsidRPr="0098580B" w:rsidRDefault="0098580B" w:rsidP="0098580B">
      <w:pPr>
        <w:pStyle w:val="Heading1"/>
        <w:rPr>
          <w:rFonts w:eastAsiaTheme="minorEastAsia"/>
          <w:lang w:val="es-ES"/>
        </w:rPr>
      </w:pPr>
      <w:r w:rsidRPr="0098580B">
        <w:rPr>
          <w:lang w:val="es-ES"/>
        </w:rPr>
        <w:t xml:space="preserve">El Gobierno de China tomó nota de que, sobre la base del informe actualizado y las reglamentaciones sobre gestión y supervisión del CTC, las emisiones estimadas de CTC en el Informe de evaluación científica de 2018 no pudieron explicarse en su totalidad, de que no se encontró información sobre fuentes adicionales de emisiones de CTC, y destacó que: </w:t>
      </w:r>
    </w:p>
    <w:p w14:paraId="6576664E" w14:textId="77777777" w:rsidR="0098580B" w:rsidRPr="0098580B" w:rsidRDefault="0098580B" w:rsidP="0098580B">
      <w:pPr>
        <w:pStyle w:val="Heading2"/>
        <w:rPr>
          <w:rFonts w:eastAsiaTheme="minorEastAsia"/>
          <w:lang w:val="es-ES"/>
        </w:rPr>
      </w:pPr>
      <w:r w:rsidRPr="0098580B">
        <w:rPr>
          <w:lang w:val="es-ES"/>
        </w:rPr>
        <w:t>Las líneas de producción de clorometano son un sistema altamente automatizado y cerrado con conexiones sin fisuras entre los equipos y las unidades de incineración, por lo que las emisiones de CTC son prácticamente insignificantes;</w:t>
      </w:r>
    </w:p>
    <w:p w14:paraId="0A3FB434" w14:textId="77777777" w:rsidR="0098580B" w:rsidRPr="0098580B" w:rsidRDefault="0098580B" w:rsidP="0098580B">
      <w:pPr>
        <w:pStyle w:val="Heading2"/>
        <w:rPr>
          <w:rFonts w:eastAsiaTheme="minorEastAsia"/>
          <w:lang w:val="es-ES"/>
        </w:rPr>
      </w:pPr>
      <w:r w:rsidRPr="0098580B">
        <w:rPr>
          <w:lang w:val="es-ES"/>
        </w:rPr>
        <w:lastRenderedPageBreak/>
        <w:t>Las empresas que utilizan CTC como materia prima hacen lo posible por manejar el CTC de manera rentable para reducir sus costos de producción, por lo que no hay motivo para que las empresas emitan deliberadamente CTC; y</w:t>
      </w:r>
    </w:p>
    <w:p w14:paraId="48F0D7A7" w14:textId="77777777" w:rsidR="0098580B" w:rsidRPr="0098580B" w:rsidRDefault="0098580B" w:rsidP="0098580B">
      <w:pPr>
        <w:pStyle w:val="Heading2"/>
        <w:rPr>
          <w:rFonts w:eastAsiaTheme="minorEastAsia"/>
          <w:lang w:val="es-ES"/>
        </w:rPr>
      </w:pPr>
      <w:r w:rsidRPr="0098580B">
        <w:rPr>
          <w:lang w:val="es-ES"/>
        </w:rPr>
        <w:t>En los últimos años, el Gobierno aplicó inspecciones estrictas y medidas de aplicación de la ley para la protección del medio ambiente, especialmente para esas plantas químicas. La supervisión de los compuestos orgánicos volátiles y la demanda de oxígeno químico se fortaleció en gran medida mediante diversos organismos ecológicos y de protección medioambiental. A este respecto, es improbable que las emisiones de CTC de estas empresas sean las sugeridas en el Informe de evaluación científica de 2018 o el artículo de Lunt et al. (2018).</w:t>
      </w:r>
    </w:p>
    <w:p w14:paraId="5A8DF450" w14:textId="77777777" w:rsidR="0098580B" w:rsidRPr="0098580B" w:rsidRDefault="0098580B" w:rsidP="0098580B">
      <w:pPr>
        <w:rPr>
          <w:rFonts w:eastAsiaTheme="minorEastAsia"/>
          <w:b/>
          <w:lang w:val="es-ES"/>
        </w:rPr>
      </w:pPr>
      <w:r w:rsidRPr="0098580B">
        <w:rPr>
          <w:b/>
          <w:lang w:val="es-ES"/>
        </w:rPr>
        <w:t>Recomendación</w:t>
      </w:r>
    </w:p>
    <w:p w14:paraId="12E28851" w14:textId="77777777" w:rsidR="0098580B" w:rsidRPr="0098580B" w:rsidRDefault="0098580B" w:rsidP="0098580B">
      <w:pPr>
        <w:rPr>
          <w:rFonts w:eastAsiaTheme="minorEastAsia"/>
          <w:lang w:val="es-ES"/>
        </w:rPr>
      </w:pPr>
    </w:p>
    <w:p w14:paraId="17944A71" w14:textId="77777777" w:rsidR="0098580B" w:rsidRPr="0098580B" w:rsidRDefault="0098580B" w:rsidP="0098580B">
      <w:pPr>
        <w:pStyle w:val="Heading1"/>
        <w:rPr>
          <w:lang w:val="es-ES"/>
        </w:rPr>
      </w:pPr>
      <w:r w:rsidRPr="0098580B">
        <w:rPr>
          <w:lang w:val="es-ES"/>
        </w:rPr>
        <w:t xml:space="preserve">El Comité Ejecutivo podría estimar oportuno tomar nota de la presentación por el Gobierno de China, a través del Banco Mundial, del informe actualizado sobre la producción de CTC y sus usos como materia prima en China, que la Secretaría examinaría en profundidad y se presentaría en la 90ª reunión. </w:t>
      </w:r>
    </w:p>
    <w:p w14:paraId="2EF8A1AD" w14:textId="77777777" w:rsidR="0098580B" w:rsidRPr="0098580B" w:rsidRDefault="0098580B" w:rsidP="0098580B">
      <w:pPr>
        <w:keepNext/>
        <w:keepLines/>
        <w:spacing w:after="240"/>
        <w:ind w:left="1440" w:hanging="1440"/>
        <w:rPr>
          <w:rFonts w:eastAsiaTheme="minorEastAsia"/>
          <w:b/>
          <w:lang w:val="es-ES"/>
        </w:rPr>
      </w:pPr>
      <w:r w:rsidRPr="0098580B">
        <w:rPr>
          <w:b/>
          <w:lang w:val="es-ES"/>
        </w:rPr>
        <w:t>PARTE V:</w:t>
      </w:r>
      <w:r w:rsidRPr="0098580B">
        <w:rPr>
          <w:b/>
          <w:lang w:val="es-ES"/>
        </w:rPr>
        <w:tab/>
        <w:t>PLAN SECTORIAL PARA LA ELIMINACIÓN DE LA PRODUCCIÓN DE METILBROMURO (ONUDI)</w:t>
      </w:r>
    </w:p>
    <w:p w14:paraId="135F2E69" w14:textId="77777777" w:rsidR="0098580B" w:rsidRPr="0098580B" w:rsidRDefault="0098580B" w:rsidP="0098580B">
      <w:pPr>
        <w:keepNext/>
        <w:keepLines/>
        <w:widowControl w:val="0"/>
        <w:numPr>
          <w:ilvl w:val="0"/>
          <w:numId w:val="1"/>
        </w:numPr>
        <w:spacing w:after="240"/>
        <w:outlineLvl w:val="0"/>
        <w:rPr>
          <w:rFonts w:eastAsiaTheme="minorEastAsia"/>
          <w:lang w:val="es-ES"/>
        </w:rPr>
      </w:pPr>
      <w:r w:rsidRPr="0098580B">
        <w:rPr>
          <w:lang w:val="es-ES"/>
        </w:rPr>
        <w:t xml:space="preserve">En su 82ª reunión, el Comité Ejecutivo decidió, entre otras cosas, pedir al Gobierno de China y a la ONUDI que presentaran al Comité Ejecutivo informes anuales sobre el estado de ejecución del plan sectorial para la eliminación de la producción de metilbromuro (decisión 82/19 g)). </w:t>
      </w:r>
    </w:p>
    <w:p w14:paraId="45842D56" w14:textId="1E281A88" w:rsidR="0098580B" w:rsidRPr="0098580B" w:rsidRDefault="0098580B" w:rsidP="0098580B">
      <w:pPr>
        <w:pStyle w:val="Heading1"/>
        <w:keepNext/>
        <w:keepLines/>
        <w:rPr>
          <w:rFonts w:eastAsiaTheme="minorEastAsia"/>
          <w:lang w:val="es-ES"/>
        </w:rPr>
      </w:pPr>
      <w:r w:rsidRPr="0098580B">
        <w:rPr>
          <w:lang w:val="es-ES"/>
        </w:rPr>
        <w:t>En su 84ª reunión, el Comité Ejecutivo tomó nota, entre otras cosas, del informe sobre el estado de ejecución del plan sectorial para la eliminación de la producción de metilbromuro en China; pidió al Gobierno de China, a través de la ONUDI, que incluyese información actualizada sobre el sistema de etiquetado y trazabilidad del metilbromuro en el informe anual sobre el estado de ejecución del plan sectorial para la eliminación de la producción de metilbromuro en China, que se presentará en la</w:t>
      </w:r>
      <w:r w:rsidR="004A24B0">
        <w:rPr>
          <w:lang w:val="es-ES"/>
        </w:rPr>
        <w:t> </w:t>
      </w:r>
      <w:r w:rsidRPr="0098580B">
        <w:rPr>
          <w:lang w:val="es-ES"/>
        </w:rPr>
        <w:t>86ª</w:t>
      </w:r>
      <w:r w:rsidR="004A24B0">
        <w:rPr>
          <w:lang w:val="es-ES"/>
        </w:rPr>
        <w:t> </w:t>
      </w:r>
      <w:r w:rsidRPr="0098580B">
        <w:rPr>
          <w:lang w:val="es-ES"/>
        </w:rPr>
        <w:t>reunión; e invitó al Gobierno de China, a través de la ONUDI, a que proporcionara información sobre el caso 2014 de producción ilegal de metilbromuro mencionado en el documento UNEP/OzL. Pro/ExCom/84/22/Add.1 una vez que la información estuviera disponible públicamente.</w:t>
      </w:r>
    </w:p>
    <w:p w14:paraId="7ACC291C" w14:textId="77777777" w:rsidR="0098580B" w:rsidRPr="0098580B" w:rsidRDefault="0098580B" w:rsidP="0098580B">
      <w:pPr>
        <w:numPr>
          <w:ilvl w:val="0"/>
          <w:numId w:val="1"/>
        </w:numPr>
        <w:spacing w:after="240"/>
        <w:outlineLvl w:val="0"/>
        <w:rPr>
          <w:rFonts w:eastAsiaTheme="minorEastAsia"/>
          <w:lang w:val="es-ES"/>
        </w:rPr>
      </w:pPr>
      <w:r w:rsidRPr="0098580B">
        <w:rPr>
          <w:lang w:val="es-ES"/>
        </w:rPr>
        <w:t xml:space="preserve">En su 86ª reunión, el Comité Ejecutivo tomó nota del informe sobre el estado de ejecución del plan sectorial para la eliminación de la producción de metilbromuro en China, y la actualización sobre el sistema de etiquetado y trazabilidad del metilbromuro, presentado por la ONUDI. </w:t>
      </w:r>
    </w:p>
    <w:p w14:paraId="05521475" w14:textId="77777777" w:rsidR="0098580B" w:rsidRPr="0098580B" w:rsidRDefault="0098580B" w:rsidP="0098580B">
      <w:pPr>
        <w:numPr>
          <w:ilvl w:val="0"/>
          <w:numId w:val="1"/>
        </w:numPr>
        <w:spacing w:after="240"/>
        <w:outlineLvl w:val="0"/>
        <w:rPr>
          <w:rFonts w:eastAsiaTheme="minorEastAsia"/>
          <w:lang w:val="es-ES"/>
        </w:rPr>
      </w:pPr>
      <w:r w:rsidRPr="0098580B">
        <w:rPr>
          <w:lang w:val="es-ES"/>
        </w:rPr>
        <w:t>En nombre del Gobierno de China, la ONUDI presentó a la presente reunión el informe anual sobre el estado de ejecución del plan sectorial para la eliminación de la producción de metilbromuro, de conformidad con la decisión 82/19 g).</w:t>
      </w:r>
    </w:p>
    <w:p w14:paraId="38E77497" w14:textId="77777777" w:rsidR="0098580B" w:rsidRPr="0098580B" w:rsidRDefault="0098580B" w:rsidP="0098580B">
      <w:pPr>
        <w:pStyle w:val="Heading1"/>
        <w:rPr>
          <w:rFonts w:eastAsiaTheme="minorEastAsia"/>
          <w:lang w:val="es-ES"/>
        </w:rPr>
      </w:pPr>
      <w:r w:rsidRPr="0098580B">
        <w:rPr>
          <w:lang w:val="es-ES"/>
        </w:rPr>
        <w:t>El Acuerdo entre el Gobierno de China y el Comité Ejecutivo especificó una producción máxima anual admisible de metilbromuro para usos controlados para 2015 y los años siguientes de cero, excepto para usos de cuarentena y operaciones previas a la expedición, materia prima y usos críticos que deberán aprobar las Partes. El Gobierno de China no presentó una nominación de usos críticos para la producción de 2020. El informe de verificación 2020 confirmó que la producción de China para usos controlados fue de cero; el Gobierno informó de que no había consumo de metilbromuro en virtud del Artículo 7 del Protocolo de Montreal y en el marco del informe de datos del programa de país.</w:t>
      </w:r>
    </w:p>
    <w:p w14:paraId="2270A584" w14:textId="77777777" w:rsidR="0098580B" w:rsidRPr="0098580B" w:rsidRDefault="0098580B" w:rsidP="004A24B0">
      <w:pPr>
        <w:keepNext/>
        <w:keepLines/>
        <w:widowControl w:val="0"/>
        <w:spacing w:after="240"/>
        <w:outlineLvl w:val="0"/>
        <w:rPr>
          <w:rFonts w:eastAsiaTheme="minorEastAsia"/>
          <w:u w:val="single"/>
          <w:lang w:val="es-ES"/>
        </w:rPr>
      </w:pPr>
      <w:r w:rsidRPr="0098580B">
        <w:rPr>
          <w:u w:val="single"/>
          <w:lang w:val="es-ES"/>
        </w:rPr>
        <w:lastRenderedPageBreak/>
        <w:t>Verificación de la producción de metilbromuro de 2020</w:t>
      </w:r>
    </w:p>
    <w:p w14:paraId="568A7891" w14:textId="77777777" w:rsidR="0098580B" w:rsidRPr="0098580B" w:rsidRDefault="0098580B" w:rsidP="004A24B0">
      <w:pPr>
        <w:pStyle w:val="Heading1"/>
        <w:keepNext/>
        <w:keepLines/>
        <w:widowControl w:val="0"/>
        <w:rPr>
          <w:rFonts w:eastAsiaTheme="minorEastAsia"/>
          <w:lang w:val="es-ES"/>
        </w:rPr>
      </w:pPr>
      <w:r w:rsidRPr="0098580B">
        <w:rPr>
          <w:lang w:val="es-ES"/>
        </w:rPr>
        <w:t>En agosto de 2021 se llevó a cabo una verificación de los datos de producción de tres productores de metilbromuro. Se recopilaron y verificaron los datos de producción correspondientes de 2020, entre ellos: identificación, historial y detalles de la operación de la planta; cifras de ventas; e inventario al comienzo y al final del año. El equipo de verificación llegó a la conclusión de que ninguna de las tres empresas ha producido metilbromuro para usos controlados.</w:t>
      </w:r>
    </w:p>
    <w:p w14:paraId="194034AF" w14:textId="77777777" w:rsidR="0098580B" w:rsidRPr="0098580B" w:rsidRDefault="0098580B" w:rsidP="0098580B">
      <w:pPr>
        <w:rPr>
          <w:rFonts w:eastAsiaTheme="minorEastAsia"/>
          <w:u w:val="single"/>
          <w:lang w:val="es-ES"/>
        </w:rPr>
      </w:pPr>
      <w:r w:rsidRPr="0098580B">
        <w:rPr>
          <w:u w:val="single"/>
          <w:lang w:val="es-ES"/>
        </w:rPr>
        <w:t>Informe sobre la marcha de las actividades</w:t>
      </w:r>
    </w:p>
    <w:p w14:paraId="4F31E787" w14:textId="77777777" w:rsidR="0098580B" w:rsidRPr="0098580B" w:rsidRDefault="0098580B" w:rsidP="0098580B">
      <w:pPr>
        <w:rPr>
          <w:rFonts w:eastAsiaTheme="minorEastAsia"/>
          <w:lang w:val="es-ES"/>
        </w:rPr>
      </w:pPr>
    </w:p>
    <w:p w14:paraId="488C0A99" w14:textId="77777777" w:rsidR="0098580B" w:rsidRPr="0098580B" w:rsidRDefault="0098580B" w:rsidP="0098580B">
      <w:pPr>
        <w:numPr>
          <w:ilvl w:val="0"/>
          <w:numId w:val="1"/>
        </w:numPr>
        <w:spacing w:after="240"/>
        <w:outlineLvl w:val="0"/>
        <w:rPr>
          <w:rFonts w:eastAsiaTheme="minorEastAsia"/>
          <w:lang w:val="es-ES"/>
        </w:rPr>
      </w:pPr>
      <w:r w:rsidRPr="0098580B">
        <w:rPr>
          <w:lang w:val="es-ES"/>
        </w:rPr>
        <w:t xml:space="preserve">En la 82ª reunión, el Comité Ejecutivo tomó nota del plan de trabajo para 2019-2021, que consta de actividades a corto plazo que se centran en la supervisión y evaluación de la producción de metilbromuro de 2019 a 2021, y actividades destinadas a asegurar el cumplimiento a largo plazo, estableciendo e implantando para ello la efectiva supervisión y evaluación de los programas y herramientas atinentes al metilbromuro. </w:t>
      </w:r>
    </w:p>
    <w:p w14:paraId="3F7F6048" w14:textId="77777777" w:rsidR="0098580B" w:rsidRPr="0098580B" w:rsidRDefault="0098580B" w:rsidP="0098580B">
      <w:pPr>
        <w:numPr>
          <w:ilvl w:val="0"/>
          <w:numId w:val="1"/>
        </w:numPr>
        <w:spacing w:after="240"/>
        <w:outlineLvl w:val="0"/>
        <w:rPr>
          <w:rFonts w:eastAsiaTheme="minorEastAsia"/>
          <w:lang w:val="es-ES"/>
        </w:rPr>
      </w:pPr>
      <w:r w:rsidRPr="0098580B">
        <w:rPr>
          <w:lang w:val="es-ES"/>
        </w:rPr>
        <w:t xml:space="preserve">El FECO finalizó el mandato para establecer el sistema de etiquetado y trazabilidad del metilbromuro y </w:t>
      </w:r>
      <w:bookmarkStart w:id="0" w:name="_Hlk50023451"/>
      <w:r w:rsidRPr="0098580B">
        <w:rPr>
          <w:lang w:val="es-ES"/>
        </w:rPr>
        <w:t>seleccionó el Centro de inspección de animales, plantas y productos alimenticios del servicio de aduanas de Tianjin</w:t>
      </w:r>
      <w:bookmarkEnd w:id="0"/>
      <w:r w:rsidRPr="0098580B">
        <w:rPr>
          <w:lang w:val="es-ES"/>
        </w:rPr>
        <w:t xml:space="preserve"> para desarrollar el sistema basado en el sistema existente de presentación de datos de producción. Cada envase de metilbromuro que se fabricó en los tres productores de metilbromuro se etiquetó y se rastreó a lo largo de su uso para aplicaciones de cuarentena y aplicaciones previas a la expedición o como materia prima, y se estableció así un sistema dinámico de información para gestión sobre los datos de consumo y producción para la trazabilidad del metilbromuro, que finalizará a más tardar el 31 de diciembre de 2021. Además, el centro preparó una actualización de la publicación sobre principios y técnicas aplicadas de tratamiento de cuarentena animal y vegetal basado en nuevas investigaciones sobre alternativas al metilbromuro y métodos de aplicación; la actualización se presentó a la editorial en octubre de 2021.</w:t>
      </w:r>
    </w:p>
    <w:p w14:paraId="149D75B0" w14:textId="77777777" w:rsidR="0098580B" w:rsidRPr="0098580B" w:rsidRDefault="0098580B" w:rsidP="0098580B">
      <w:pPr>
        <w:widowControl w:val="0"/>
        <w:numPr>
          <w:ilvl w:val="0"/>
          <w:numId w:val="1"/>
        </w:numPr>
        <w:spacing w:after="240"/>
        <w:outlineLvl w:val="0"/>
        <w:rPr>
          <w:rFonts w:eastAsiaTheme="minorEastAsia"/>
          <w:lang w:val="es-ES"/>
        </w:rPr>
      </w:pPr>
      <w:r w:rsidRPr="0098580B">
        <w:rPr>
          <w:lang w:val="es-ES"/>
        </w:rPr>
        <w:t xml:space="preserve">Se realizó un estudio en el año 2020 que recopiló datos de los usos como materia prima del bromuro de metilo de 2017 a 2020 que se integrarán en el sistema de información para la gestión de datos. Se terminaron los proyectos de cooperación de asistencia técnica con la Administración general de supervisión de calidad, inspección y cuarentena, a excepción de un proyecto de investigación sobre políticas y reglamentaciones del uso del metilbromuro para aplicaciones de cuarentena y aplicaciones previas a la expedición, que finalizará a más tardar el 31 de diciembre de 2021. </w:t>
      </w:r>
    </w:p>
    <w:p w14:paraId="77B89802" w14:textId="77777777" w:rsidR="0098580B" w:rsidRPr="0098580B" w:rsidRDefault="0098580B" w:rsidP="0098580B">
      <w:pPr>
        <w:widowControl w:val="0"/>
        <w:spacing w:after="240"/>
        <w:outlineLvl w:val="0"/>
        <w:rPr>
          <w:rFonts w:eastAsiaTheme="minorEastAsia"/>
          <w:b/>
          <w:lang w:val="es-ES"/>
        </w:rPr>
      </w:pPr>
      <w:r w:rsidRPr="0098580B">
        <w:rPr>
          <w:b/>
          <w:lang w:val="es-ES"/>
        </w:rPr>
        <w:t>Comentarios de la Secretaría</w:t>
      </w:r>
    </w:p>
    <w:p w14:paraId="7FAC71F8" w14:textId="77777777" w:rsidR="0098580B" w:rsidRPr="0098580B" w:rsidRDefault="0098580B" w:rsidP="0098580B">
      <w:pPr>
        <w:pStyle w:val="Heading1"/>
        <w:rPr>
          <w:lang w:val="es-ES"/>
        </w:rPr>
      </w:pPr>
      <w:r w:rsidRPr="0098580B">
        <w:rPr>
          <w:lang w:val="es-ES"/>
        </w:rPr>
        <w:t>La ONUDI confirmó que el Gobierno completará la ejecución del plan sectorial para la eliminación de la producción de metilbromuro en China a más tardar el 31 de diciembre de 2021, y que no se solicitará ninguna otra prórroga. Dado que todavía se están realizando algunos proyectos y los desembolsos finales se realizarán para el 30 de junio de 2022, el nivel final de desembolso para el proyecto y el informe de terminación de proyecto se proporcionarán a más tardar el 1 de julio de 2022 y el 31 de diciembre de 2022, respectivamente.</w:t>
      </w:r>
    </w:p>
    <w:p w14:paraId="159D3101" w14:textId="77777777" w:rsidR="0098580B" w:rsidRPr="0098580B" w:rsidRDefault="0098580B" w:rsidP="0098580B">
      <w:pPr>
        <w:pStyle w:val="Heading1"/>
        <w:rPr>
          <w:rFonts w:eastAsiaTheme="minorEastAsia"/>
          <w:lang w:val="es-ES"/>
        </w:rPr>
      </w:pPr>
      <w:r w:rsidRPr="0098580B">
        <w:rPr>
          <w:lang w:val="es-ES"/>
        </w:rPr>
        <w:t xml:space="preserve">No se disponía de información sobre el caso 2014 de producción ilegal de metilbromuro mencionado en el documento UNEP/OzL.Pro/ExCom/84/22/Add.1 (decisión 84/40 c)). Además, no se disponía de más información sobre si todavía están en construcción las estaciones de supervisión atmosférica planeadas por China que se pueden establecer en las provincias de Jiangsu, Shandong, Shanghái y Zhejiang, donde se concentraba el uso de metilbromuro como materia prima, y que incluirían instrumentos capaces de medir la concentración atmosférica de metilbromuro como la red de supervisión atmosférica de SAO. </w:t>
      </w:r>
    </w:p>
    <w:p w14:paraId="4A6DBB38" w14:textId="77777777" w:rsidR="0098580B" w:rsidRPr="0098580B" w:rsidRDefault="0098580B" w:rsidP="004A24B0">
      <w:pPr>
        <w:keepNext/>
        <w:keepLines/>
        <w:widowControl w:val="0"/>
        <w:rPr>
          <w:rFonts w:eastAsiaTheme="minorEastAsia"/>
          <w:b/>
          <w:lang w:val="es-ES"/>
        </w:rPr>
      </w:pPr>
      <w:r w:rsidRPr="0098580B">
        <w:rPr>
          <w:b/>
          <w:lang w:val="es-ES"/>
        </w:rPr>
        <w:lastRenderedPageBreak/>
        <w:t>Recomendación</w:t>
      </w:r>
    </w:p>
    <w:p w14:paraId="6EB43499" w14:textId="77777777" w:rsidR="0098580B" w:rsidRPr="0098580B" w:rsidRDefault="0098580B" w:rsidP="004A24B0">
      <w:pPr>
        <w:keepNext/>
        <w:keepLines/>
        <w:widowControl w:val="0"/>
        <w:rPr>
          <w:rFonts w:eastAsiaTheme="minorEastAsia"/>
          <w:lang w:val="es-ES"/>
        </w:rPr>
      </w:pPr>
    </w:p>
    <w:p w14:paraId="1252C8F2" w14:textId="77777777" w:rsidR="0098580B" w:rsidRPr="0098580B" w:rsidRDefault="0098580B" w:rsidP="004A24B0">
      <w:pPr>
        <w:pStyle w:val="Heading1"/>
        <w:keepNext/>
        <w:keepLines/>
        <w:widowControl w:val="0"/>
        <w:rPr>
          <w:lang w:val="es-ES"/>
        </w:rPr>
      </w:pPr>
      <w:r w:rsidRPr="0098580B">
        <w:rPr>
          <w:lang w:val="es-ES"/>
        </w:rPr>
        <w:t>El Comité Ejecutivo podrá estimar oportuno tomar nota del informe sobre el estado de ejecución del plan sectorial para la eliminación de la producción de metilbromuro en China, que figura en el documento UNEP/OzL.Pro/ExCom/88/18/Add.1.</w:t>
      </w:r>
    </w:p>
    <w:p w14:paraId="4CA6F763" w14:textId="77777777" w:rsidR="0087455A" w:rsidRPr="0098580B" w:rsidRDefault="0087455A" w:rsidP="0098580B">
      <w:pPr>
        <w:pStyle w:val="Title1"/>
        <w:rPr>
          <w:b w:val="0"/>
          <w:bCs/>
          <w:lang w:val="es-ES"/>
        </w:rPr>
      </w:pPr>
      <w:bookmarkStart w:id="1" w:name="_GoBack"/>
      <w:bookmarkEnd w:id="1"/>
    </w:p>
    <w:sectPr w:rsidR="0087455A" w:rsidRPr="0098580B" w:rsidSect="0098580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C0D358" w14:textId="77777777" w:rsidR="005F2C1E" w:rsidRDefault="005F2C1E">
      <w:r>
        <w:separator/>
      </w:r>
    </w:p>
  </w:endnote>
  <w:endnote w:type="continuationSeparator" w:id="0">
    <w:p w14:paraId="72514245" w14:textId="77777777" w:rsidR="005F2C1E" w:rsidRDefault="005F2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5324634"/>
      <w:docPartObj>
        <w:docPartGallery w:val="Page Numbers (Bottom of Page)"/>
        <w:docPartUnique/>
      </w:docPartObj>
    </w:sdtPr>
    <w:sdtEndPr/>
    <w:sdtContent>
      <w:p w14:paraId="276F9BF5" w14:textId="4C83A586" w:rsidR="0098580B" w:rsidRDefault="0098580B" w:rsidP="0098580B">
        <w:pPr>
          <w:pStyle w:val="Footer"/>
          <w:jc w:val="center"/>
        </w:pPr>
        <w:r>
          <w:fldChar w:fldCharType="begin"/>
        </w:r>
        <w:r>
          <w:instrText>PAGE   \* MERGEFORMAT</w:instrText>
        </w:r>
        <w:r>
          <w:fldChar w:fldCharType="separate"/>
        </w:r>
        <w:r w:rsidR="0068320D" w:rsidRPr="0068320D">
          <w:rPr>
            <w:noProof/>
            <w:lang w:val="es-ES"/>
          </w:rPr>
          <w:t>8</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5313490"/>
      <w:docPartObj>
        <w:docPartGallery w:val="Page Numbers (Bottom of Page)"/>
        <w:docPartUnique/>
      </w:docPartObj>
    </w:sdtPr>
    <w:sdtEndPr/>
    <w:sdtContent>
      <w:p w14:paraId="53BBCB65" w14:textId="4ABECDB1" w:rsidR="0098580B" w:rsidRDefault="0098580B" w:rsidP="0098580B">
        <w:pPr>
          <w:pStyle w:val="Footer"/>
          <w:jc w:val="center"/>
        </w:pPr>
        <w:r>
          <w:fldChar w:fldCharType="begin"/>
        </w:r>
        <w:r>
          <w:instrText>PAGE   \* MERGEFORMAT</w:instrText>
        </w:r>
        <w:r>
          <w:fldChar w:fldCharType="separate"/>
        </w:r>
        <w:r w:rsidR="0068320D" w:rsidRPr="0068320D">
          <w:rPr>
            <w:noProof/>
            <w:lang w:val="es-ES"/>
          </w:rPr>
          <w:t>7</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826F27C" w14:textId="77777777" w:rsidR="0098580B" w:rsidRDefault="0098580B" w:rsidP="0098580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9A0CC" w14:textId="77777777" w:rsidR="005F2C1E" w:rsidRDefault="005F2C1E">
      <w:r>
        <w:separator/>
      </w:r>
    </w:p>
  </w:footnote>
  <w:footnote w:type="continuationSeparator" w:id="0">
    <w:p w14:paraId="2327F704" w14:textId="77777777" w:rsidR="005F2C1E" w:rsidRDefault="005F2C1E">
      <w:r>
        <w:continuationSeparator/>
      </w:r>
    </w:p>
  </w:footnote>
  <w:footnote w:id="1">
    <w:p w14:paraId="08EF9865" w14:textId="58ABCDBE" w:rsidR="002959B4" w:rsidRDefault="002959B4">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5200D8AD" w14:textId="7F184AEC" w:rsidR="00BC6C4D" w:rsidRDefault="00BC6C4D">
      <w:pPr>
        <w:pStyle w:val="FootnoteText"/>
        <w:rPr>
          <w:lang w:val="es-MX"/>
        </w:rPr>
      </w:pPr>
    </w:p>
    <w:p w14:paraId="61FF3572" w14:textId="77777777" w:rsidR="00BC6C4D" w:rsidRPr="0098580B" w:rsidRDefault="00BC6C4D">
      <w:pPr>
        <w:pStyle w:val="FootnoteText"/>
        <w:rPr>
          <w:lang w:val="es-MX"/>
        </w:rPr>
      </w:pPr>
    </w:p>
  </w:footnote>
  <w:footnote w:id="2">
    <w:p w14:paraId="6AB6095F" w14:textId="77777777" w:rsidR="0098580B" w:rsidRPr="00BC6C4D" w:rsidRDefault="0098580B" w:rsidP="0098580B">
      <w:pPr>
        <w:pStyle w:val="FootnoteText"/>
        <w:rPr>
          <w:lang w:val="es-MX"/>
        </w:rPr>
      </w:pPr>
      <w:r>
        <w:rPr>
          <w:rStyle w:val="FootnoteReference"/>
        </w:rPr>
        <w:footnoteRef/>
      </w:r>
      <w:r w:rsidRPr="00BC6C4D">
        <w:rPr>
          <w:lang w:val="es-MX"/>
        </w:rPr>
        <w:t xml:space="preserve"> UNEP/</w:t>
      </w:r>
      <w:proofErr w:type="spellStart"/>
      <w:r w:rsidRPr="00BC6C4D">
        <w:rPr>
          <w:lang w:val="es-MX"/>
        </w:rPr>
        <w:t>OzL.Pro</w:t>
      </w:r>
      <w:proofErr w:type="spellEnd"/>
      <w:r w:rsidRPr="00BC6C4D">
        <w:rPr>
          <w:lang w:val="es-MX"/>
        </w:rPr>
        <w:t>/</w:t>
      </w:r>
      <w:proofErr w:type="spellStart"/>
      <w:r w:rsidRPr="00BC6C4D">
        <w:rPr>
          <w:lang w:val="es-MX"/>
        </w:rPr>
        <w:t>ExCom</w:t>
      </w:r>
      <w:proofErr w:type="spellEnd"/>
      <w:r w:rsidRPr="00BC6C4D">
        <w:rPr>
          <w:lang w:val="es-MX"/>
        </w:rPr>
        <w:t>/85/9</w:t>
      </w:r>
    </w:p>
  </w:footnote>
  <w:footnote w:id="3">
    <w:p w14:paraId="64926191" w14:textId="77777777" w:rsidR="0098580B" w:rsidRPr="00BC6C4D" w:rsidRDefault="0098580B" w:rsidP="0098580B">
      <w:pPr>
        <w:pStyle w:val="FootnoteText"/>
        <w:rPr>
          <w:lang w:val="es-MX"/>
        </w:rPr>
      </w:pPr>
      <w:r>
        <w:rPr>
          <w:rStyle w:val="FootnoteReference"/>
        </w:rPr>
        <w:footnoteRef/>
      </w:r>
      <w:r w:rsidRPr="00BC6C4D">
        <w:rPr>
          <w:lang w:val="es-MX"/>
        </w:rPr>
        <w:t xml:space="preserve"> UNEP/</w:t>
      </w:r>
      <w:proofErr w:type="spellStart"/>
      <w:r w:rsidRPr="00BC6C4D">
        <w:rPr>
          <w:lang w:val="es-MX"/>
        </w:rPr>
        <w:t>OzL.Pro</w:t>
      </w:r>
      <w:proofErr w:type="spellEnd"/>
      <w:r w:rsidRPr="00BC6C4D">
        <w:rPr>
          <w:lang w:val="es-MX"/>
        </w:rPr>
        <w:t>/</w:t>
      </w:r>
      <w:proofErr w:type="spellStart"/>
      <w:r w:rsidRPr="00BC6C4D">
        <w:rPr>
          <w:lang w:val="es-MX"/>
        </w:rPr>
        <w:t>ExCom</w:t>
      </w:r>
      <w:proofErr w:type="spellEnd"/>
      <w:r w:rsidRPr="00BC6C4D">
        <w:rPr>
          <w:lang w:val="es-MX"/>
        </w:rPr>
        <w:t>/84/22/Add.1.</w:t>
      </w:r>
    </w:p>
  </w:footnote>
  <w:footnote w:id="4">
    <w:p w14:paraId="5EB5F2A2" w14:textId="77777777" w:rsidR="0098580B" w:rsidRPr="00BC6C4D" w:rsidRDefault="0098580B" w:rsidP="0098580B">
      <w:pPr>
        <w:pStyle w:val="FootnoteText"/>
        <w:rPr>
          <w:lang w:val="es-MX"/>
        </w:rPr>
      </w:pPr>
      <w:r>
        <w:rPr>
          <w:rStyle w:val="FootnoteReference"/>
        </w:rPr>
        <w:footnoteRef/>
      </w:r>
      <w:r w:rsidRPr="00BC6C4D">
        <w:rPr>
          <w:lang w:val="es-MX"/>
        </w:rPr>
        <w:t xml:space="preserve"> UNEP/</w:t>
      </w:r>
      <w:proofErr w:type="spellStart"/>
      <w:r w:rsidRPr="00BC6C4D">
        <w:rPr>
          <w:lang w:val="es-MX"/>
        </w:rPr>
        <w:t>OzL.Pro</w:t>
      </w:r>
      <w:proofErr w:type="spellEnd"/>
      <w:r w:rsidRPr="00BC6C4D">
        <w:rPr>
          <w:lang w:val="es-MX"/>
        </w:rPr>
        <w:t>/</w:t>
      </w:r>
      <w:proofErr w:type="spellStart"/>
      <w:r w:rsidRPr="00BC6C4D">
        <w:rPr>
          <w:lang w:val="es-MX"/>
        </w:rPr>
        <w:t>ExCom</w:t>
      </w:r>
      <w:proofErr w:type="spellEnd"/>
      <w:r w:rsidRPr="00BC6C4D">
        <w:rPr>
          <w:lang w:val="es-MX"/>
        </w:rPr>
        <w:t>/86/</w:t>
      </w:r>
      <w:proofErr w:type="spellStart"/>
      <w:r w:rsidRPr="00BC6C4D">
        <w:rPr>
          <w:lang w:val="es-MX"/>
        </w:rPr>
        <w:t>IAPext</w:t>
      </w:r>
      <w:proofErr w:type="spellEnd"/>
      <w:r w:rsidRPr="00BC6C4D">
        <w:rPr>
          <w:lang w:val="es-MX"/>
        </w:rPr>
        <w:t>/1/Rev.1 y UNEP/</w:t>
      </w:r>
      <w:proofErr w:type="spellStart"/>
      <w:r w:rsidRPr="00BC6C4D">
        <w:rPr>
          <w:lang w:val="es-MX"/>
        </w:rPr>
        <w:t>OzL.Pro</w:t>
      </w:r>
      <w:proofErr w:type="spellEnd"/>
      <w:r w:rsidRPr="00BC6C4D">
        <w:rPr>
          <w:lang w:val="es-MX"/>
        </w:rPr>
        <w:t>/</w:t>
      </w:r>
      <w:proofErr w:type="spellStart"/>
      <w:r w:rsidRPr="00BC6C4D">
        <w:rPr>
          <w:lang w:val="es-MX"/>
        </w:rPr>
        <w:t>ExCom</w:t>
      </w:r>
      <w:proofErr w:type="spellEnd"/>
      <w:r w:rsidRPr="00BC6C4D">
        <w:rPr>
          <w:lang w:val="es-MX"/>
        </w:rPr>
        <w:t>/87/IAP/1/Rev.1</w:t>
      </w:r>
    </w:p>
  </w:footnote>
  <w:footnote w:id="5">
    <w:p w14:paraId="052A0D78" w14:textId="77777777" w:rsidR="0098580B" w:rsidRPr="0098580B" w:rsidRDefault="0098580B" w:rsidP="0098580B">
      <w:pPr>
        <w:pStyle w:val="FootnoteText"/>
        <w:rPr>
          <w:lang w:val="es-ES"/>
        </w:rPr>
      </w:pPr>
      <w:r w:rsidRPr="0098580B">
        <w:rPr>
          <w:rStyle w:val="FootnoteReference"/>
          <w:lang w:val="es-ES"/>
        </w:rPr>
        <w:footnoteRef/>
      </w:r>
      <w:r w:rsidRPr="0098580B">
        <w:rPr>
          <w:lang w:val="es-ES"/>
        </w:rPr>
        <w:t xml:space="preserve"> UNEP/</w:t>
      </w:r>
      <w:proofErr w:type="spellStart"/>
      <w:r w:rsidRPr="0098580B">
        <w:rPr>
          <w:lang w:val="es-ES"/>
        </w:rPr>
        <w:t>OzL.Pro</w:t>
      </w:r>
      <w:proofErr w:type="spellEnd"/>
      <w:r w:rsidRPr="0098580B">
        <w:rPr>
          <w:lang w:val="es-ES"/>
        </w:rPr>
        <w:t>/</w:t>
      </w:r>
      <w:proofErr w:type="spellStart"/>
      <w:r w:rsidRPr="0098580B">
        <w:rPr>
          <w:lang w:val="es-ES"/>
        </w:rPr>
        <w:t>ExCom</w:t>
      </w:r>
      <w:proofErr w:type="spellEnd"/>
      <w:r w:rsidRPr="0098580B">
        <w:rPr>
          <w:lang w:val="es-ES"/>
        </w:rPr>
        <w:t>/86/</w:t>
      </w:r>
      <w:proofErr w:type="spellStart"/>
      <w:r w:rsidRPr="0098580B">
        <w:rPr>
          <w:lang w:val="es-ES"/>
        </w:rPr>
        <w:t>IAPext</w:t>
      </w:r>
      <w:proofErr w:type="spellEnd"/>
      <w:r w:rsidRPr="0098580B">
        <w:rPr>
          <w:lang w:val="es-ES"/>
        </w:rPr>
        <w:t>/1/Rev.1 y UNEP/</w:t>
      </w:r>
      <w:proofErr w:type="spellStart"/>
      <w:r w:rsidRPr="0098580B">
        <w:rPr>
          <w:lang w:val="es-ES"/>
        </w:rPr>
        <w:t>OzL.Pro</w:t>
      </w:r>
      <w:proofErr w:type="spellEnd"/>
      <w:r w:rsidRPr="0098580B">
        <w:rPr>
          <w:lang w:val="es-ES"/>
        </w:rPr>
        <w:t>/</w:t>
      </w:r>
      <w:proofErr w:type="spellStart"/>
      <w:r w:rsidRPr="0098580B">
        <w:rPr>
          <w:lang w:val="es-ES"/>
        </w:rPr>
        <w:t>ExCom</w:t>
      </w:r>
      <w:proofErr w:type="spellEnd"/>
      <w:r w:rsidRPr="0098580B">
        <w:rPr>
          <w:lang w:val="es-ES"/>
        </w:rPr>
        <w:t>/87/IAP/1/Rev.1</w:t>
      </w:r>
    </w:p>
  </w:footnote>
  <w:footnote w:id="6">
    <w:p w14:paraId="39535530" w14:textId="77777777" w:rsidR="0098580B" w:rsidRPr="0098580B" w:rsidRDefault="0098580B" w:rsidP="0098580B">
      <w:pPr>
        <w:pStyle w:val="FootnoteText"/>
        <w:rPr>
          <w:lang w:val="es-ES"/>
        </w:rPr>
      </w:pPr>
      <w:r w:rsidRPr="0098580B">
        <w:rPr>
          <w:rStyle w:val="FootnoteReference"/>
          <w:lang w:val="es-ES"/>
        </w:rPr>
        <w:footnoteRef/>
      </w:r>
      <w:r w:rsidRPr="0098580B">
        <w:rPr>
          <w:lang w:val="es-ES"/>
        </w:rPr>
        <w:t xml:space="preserve"> El informe actualizado contiene información que el Gobierno de China considera confidencial y está disponible por solicitud de los miembros del Comité Ejecutivo, en el entendido de que la información contenida en el mismo no se divulgará a terceros. </w:t>
      </w:r>
    </w:p>
  </w:footnote>
  <w:footnote w:id="7">
    <w:p w14:paraId="4CF7ECCD" w14:textId="77777777" w:rsidR="0098580B" w:rsidRPr="00BC6C4D" w:rsidRDefault="0098580B" w:rsidP="0098580B">
      <w:pPr>
        <w:pStyle w:val="FootnoteText"/>
        <w:rPr>
          <w:lang w:val="es-ES"/>
        </w:rPr>
      </w:pPr>
      <w:r w:rsidRPr="0098580B">
        <w:rPr>
          <w:rStyle w:val="FootnoteReference"/>
          <w:lang w:val="es-ES"/>
        </w:rPr>
        <w:footnoteRef/>
      </w:r>
      <w:r w:rsidRPr="0098580B">
        <w:rPr>
          <w:lang w:val="es-ES"/>
        </w:rPr>
        <w:t xml:space="preserve"> Invitar al Gobierno de China, a través del Banco Mundial, a que presente en la 88ª reunión un informe actualizado sobre la producción de CTC y sus usos como materia prima en el país, teniendo en cuenta la información que figura en los documentos UNEP/OzL.Pro/ExCom/84/22/Add.2 y Add.3, y que incluya: i) información actualizada sobre los progresos logrados en la supervisión de las plantas de percloroetileno que utilizaron el proceso de cloración de alcanos; ii) cualquier información adicional pertinente para la diferencia de emisiones descrita en el informe mencionado anteriormente, y las emisiones estimadas de CTC de China incluidas en la sección 1.2.3 de la Evaluación científica del agotamiento del ozono: 2018.</w:t>
      </w:r>
    </w:p>
  </w:footnote>
  <w:footnote w:id="8">
    <w:p w14:paraId="5E44508F" w14:textId="77777777" w:rsidR="0098580B" w:rsidRPr="0098580B" w:rsidRDefault="0098580B" w:rsidP="0098580B">
      <w:pPr>
        <w:pStyle w:val="FootnoteText"/>
        <w:rPr>
          <w:lang w:val="es-ES"/>
        </w:rPr>
      </w:pPr>
      <w:r w:rsidRPr="0098580B">
        <w:rPr>
          <w:rStyle w:val="FootnoteReference"/>
          <w:lang w:val="es-ES"/>
        </w:rPr>
        <w:footnoteRef/>
      </w:r>
      <w:r w:rsidRPr="0098580B">
        <w:rPr>
          <w:lang w:val="es-ES"/>
        </w:rPr>
        <w:t xml:space="preserve"> </w:t>
      </w:r>
      <w:proofErr w:type="spellStart"/>
      <w:r w:rsidRPr="0098580B">
        <w:rPr>
          <w:lang w:val="es-ES"/>
        </w:rPr>
        <w:t>Lunt</w:t>
      </w:r>
      <w:proofErr w:type="spellEnd"/>
      <w:r w:rsidRPr="0098580B">
        <w:rPr>
          <w:lang w:val="es-ES"/>
        </w:rPr>
        <w:t xml:space="preserve">, M. F., Park, S., Li, S., Henne, S., Manning, A. J., Ganesan, A. L., et al. (2018). Emisiones continuas de tetracloruro de carbono, sustancia que agota la capa de ozono en el este de Asia. </w:t>
      </w:r>
      <w:r w:rsidRPr="0098580B">
        <w:rPr>
          <w:i/>
          <w:iCs/>
          <w:lang w:val="es-ES"/>
        </w:rPr>
        <w:t>Geophysical Research Letters,</w:t>
      </w:r>
      <w:r w:rsidRPr="0098580B">
        <w:rPr>
          <w:lang w:val="es-ES"/>
        </w:rPr>
        <w:t xml:space="preserve"> 45. https://doi.org/10.1029/2018GL079500.</w:t>
      </w:r>
    </w:p>
  </w:footnote>
  <w:footnote w:id="9">
    <w:p w14:paraId="7DD360DA" w14:textId="77777777" w:rsidR="0098580B" w:rsidRPr="00021301" w:rsidRDefault="0098580B" w:rsidP="0098580B">
      <w:pPr>
        <w:pStyle w:val="FootnoteText"/>
      </w:pPr>
      <w:r w:rsidRPr="0098580B">
        <w:rPr>
          <w:rStyle w:val="FootnoteReference"/>
          <w:lang w:val="es-ES"/>
        </w:rPr>
        <w:footnoteRef/>
      </w:r>
      <w:r w:rsidRPr="0098580B">
        <w:rPr>
          <w:lang w:val="es-ES"/>
        </w:rPr>
        <w:t xml:space="preserve"> El </w:t>
      </w:r>
      <w:r w:rsidRPr="0098580B">
        <w:rPr>
          <w:color w:val="000000"/>
          <w:lang w:val="es-ES"/>
        </w:rPr>
        <w:t>Grupo Vigilante Atmosférico Mundial (GAW) de Shangdianzi.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AE001" w14:textId="77777777" w:rsidR="0098580B" w:rsidRDefault="0098580B" w:rsidP="0098580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r>
      <w:t>8/Add.1</w:t>
    </w:r>
  </w:p>
  <w:p w14:paraId="57B07FBF" w14:textId="77777777" w:rsidR="0098580B" w:rsidRDefault="0098580B" w:rsidP="0098580B">
    <w:pPr>
      <w:jc w:val="left"/>
    </w:pPr>
  </w:p>
  <w:p w14:paraId="2921B481" w14:textId="77777777" w:rsidR="0098580B" w:rsidRDefault="0098580B" w:rsidP="0098580B">
    <w:pP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30CFD" w14:textId="77777777" w:rsidR="0098580B" w:rsidRDefault="0098580B" w:rsidP="0098580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r>
      <w:t>8/Add.1</w:t>
    </w:r>
  </w:p>
  <w:p w14:paraId="0E461A6F" w14:textId="77777777" w:rsidR="0098580B" w:rsidRDefault="0098580B" w:rsidP="0098580B">
    <w:pPr>
      <w:jc w:val="right"/>
    </w:pPr>
  </w:p>
  <w:p w14:paraId="3270C39B" w14:textId="77777777" w:rsidR="0098580B" w:rsidRDefault="0098580B" w:rsidP="0098580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0CF"/>
    <w:rsid w:val="00053C17"/>
    <w:rsid w:val="00064429"/>
    <w:rsid w:val="000D3334"/>
    <w:rsid w:val="00106F6E"/>
    <w:rsid w:val="00114CAA"/>
    <w:rsid w:val="001C2D22"/>
    <w:rsid w:val="001F4047"/>
    <w:rsid w:val="00235D4C"/>
    <w:rsid w:val="0024162E"/>
    <w:rsid w:val="002425B4"/>
    <w:rsid w:val="00244477"/>
    <w:rsid w:val="002959B4"/>
    <w:rsid w:val="00344EAB"/>
    <w:rsid w:val="003863A4"/>
    <w:rsid w:val="003B7115"/>
    <w:rsid w:val="00455352"/>
    <w:rsid w:val="00462FB5"/>
    <w:rsid w:val="00476E28"/>
    <w:rsid w:val="004A24B0"/>
    <w:rsid w:val="005F2C1E"/>
    <w:rsid w:val="0068320D"/>
    <w:rsid w:val="006971AC"/>
    <w:rsid w:val="00792A47"/>
    <w:rsid w:val="00831BC5"/>
    <w:rsid w:val="0087455A"/>
    <w:rsid w:val="0098580B"/>
    <w:rsid w:val="00AB56E5"/>
    <w:rsid w:val="00AC7A52"/>
    <w:rsid w:val="00B60EEC"/>
    <w:rsid w:val="00B84ACF"/>
    <w:rsid w:val="00BC6C4D"/>
    <w:rsid w:val="00C14E67"/>
    <w:rsid w:val="00CB20CF"/>
    <w:rsid w:val="00D84B6F"/>
    <w:rsid w:val="00DB795B"/>
    <w:rsid w:val="00E17F97"/>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68AF3"/>
  <w15:docId w15:val="{2F48BA42-AF37-4EDF-AE16-10C925C78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locked/>
    <w:rsid w:val="0098580B"/>
    <w:rPr>
      <w:sz w:val="22"/>
      <w:szCs w:val="22"/>
      <w:lang w:val="en-GB"/>
    </w:rPr>
  </w:style>
  <w:style w:type="table" w:customStyle="1" w:styleId="TableGrid10">
    <w:name w:val="Table Grid1"/>
    <w:basedOn w:val="TableNormal"/>
    <w:next w:val="TableGrid"/>
    <w:qFormat/>
    <w:rsid w:val="0098580B"/>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110%20ONU,%2088\S8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UNEP/OzL.Pro/ExCom/88/18/Add.1</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4E62BC4-286A-4576-BAC9-0534012DCF5B}"/>
</file>

<file path=customXml/itemProps2.xml><?xml version="1.0" encoding="utf-8"?>
<ds:datastoreItem xmlns:ds="http://schemas.openxmlformats.org/officeDocument/2006/customXml" ds:itemID="{C91F636A-FE93-483D-9C20-4634FDC828BB}"/>
</file>

<file path=customXml/itemProps3.xml><?xml version="1.0" encoding="utf-8"?>
<ds:datastoreItem xmlns:ds="http://schemas.openxmlformats.org/officeDocument/2006/customXml" ds:itemID="{A27056DE-E9BB-4953-9BB0-7408FFED6691}"/>
</file>

<file path=customXml/itemProps4.xml><?xml version="1.0" encoding="utf-8"?>
<ds:datastoreItem xmlns:ds="http://schemas.openxmlformats.org/officeDocument/2006/customXml" ds:itemID="{7579A253-4AAE-4D66-9436-9517FF450CDA}"/>
</file>

<file path=docProps/app.xml><?xml version="1.0" encoding="utf-8"?>
<Properties xmlns="http://schemas.openxmlformats.org/officeDocument/2006/extended-properties" xmlns:vt="http://schemas.openxmlformats.org/officeDocument/2006/docPropsVTypes">
  <Template>S88-template (1)</Template>
  <TotalTime>9</TotalTime>
  <Pages>8</Pages>
  <Words>3445</Words>
  <Characters>19642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Informes sobre los proyectos con requisitos específicos de presentación de informes - Addendum</vt:lpstr>
    </vt:vector>
  </TitlesOfParts>
  <Company>UNMFS</Company>
  <LinksUpToDate>false</LinksUpToDate>
  <CharactersWithSpaces>23041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los proyectos con requisitos específicos de presentación de informes - Addendum</dc:title>
  <dc:creator>Alejandro Moreno-Ramos</dc:creator>
  <cp:lastModifiedBy>HBE</cp:lastModifiedBy>
  <cp:revision>11</cp:revision>
  <cp:lastPrinted>2001-05-26T16:40:00Z</cp:lastPrinted>
  <dcterms:created xsi:type="dcterms:W3CDTF">2021-11-07T14:18:00Z</dcterms:created>
  <dcterms:modified xsi:type="dcterms:W3CDTF">2021-11-22T18:13:00Z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UNEP/OzL.Pro/ExCom/88/18/Add.1</vt:lpwstr>
  </property>
  <property fmtid="{D5CDD505-2E9C-101B-9397-08002B2CF9AE}" pid="3" name="Revision date">
    <vt:lpwstr>11/11/2021</vt:lpwstr>
  </property>
  <property fmtid="{D5CDD505-2E9C-101B-9397-08002B2CF9AE}" pid="4" name="ContentTypeId">
    <vt:lpwstr>0x010100F9B34BAB91CF9C49929DFB9E017C6363</vt:lpwstr>
  </property>
</Properties>
</file>