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1" w:type="dxa"/>
        <w:tblInd w:w="-432" w:type="dxa"/>
        <w:tblLayout w:type="fixed"/>
        <w:tblLook w:val="0000" w:firstRow="0" w:lastRow="0" w:firstColumn="0" w:lastColumn="0" w:noHBand="0" w:noVBand="0"/>
      </w:tblPr>
      <w:tblGrid>
        <w:gridCol w:w="1890"/>
        <w:gridCol w:w="4040"/>
        <w:gridCol w:w="4191"/>
      </w:tblGrid>
      <w:tr w:rsidR="0087455A" w:rsidRPr="005D0DD1" w14:paraId="2E7075F6" w14:textId="77777777" w:rsidTr="008065AC">
        <w:trPr>
          <w:trHeight w:val="655"/>
        </w:trPr>
        <w:tc>
          <w:tcPr>
            <w:tcW w:w="5930" w:type="dxa"/>
            <w:gridSpan w:val="2"/>
            <w:tcBorders>
              <w:bottom w:val="single" w:sz="18" w:space="0" w:color="auto"/>
            </w:tcBorders>
          </w:tcPr>
          <w:p w14:paraId="5DB902EB" w14:textId="77777777" w:rsidR="0087455A" w:rsidRPr="005D0DD1" w:rsidRDefault="0024162E">
            <w:pPr>
              <w:rPr>
                <w:rFonts w:ascii="Univers" w:hAnsi="Univers"/>
                <w:b/>
                <w:sz w:val="28"/>
                <w:szCs w:val="28"/>
                <w:lang w:val="es-ES"/>
              </w:rPr>
            </w:pPr>
            <w:r w:rsidRPr="005D0DD1">
              <w:rPr>
                <w:rFonts w:ascii="Univers" w:hAnsi="Univers"/>
                <w:b/>
                <w:sz w:val="28"/>
                <w:szCs w:val="28"/>
                <w:lang w:val="es-ES"/>
              </w:rPr>
              <w:t>NACIONES</w:t>
            </w:r>
          </w:p>
          <w:p w14:paraId="1DB1C751" w14:textId="77777777" w:rsidR="0087455A" w:rsidRPr="005D0DD1" w:rsidRDefault="0024162E">
            <w:pPr>
              <w:rPr>
                <w:rFonts w:ascii="Univers" w:hAnsi="Univers"/>
                <w:b/>
                <w:sz w:val="28"/>
                <w:szCs w:val="28"/>
                <w:lang w:val="es-ES"/>
              </w:rPr>
            </w:pPr>
            <w:r w:rsidRPr="005D0DD1">
              <w:rPr>
                <w:rFonts w:ascii="Univers" w:hAnsi="Univers"/>
                <w:b/>
                <w:sz w:val="28"/>
                <w:szCs w:val="28"/>
                <w:lang w:val="es-ES"/>
              </w:rPr>
              <w:t>UNIDAS</w:t>
            </w:r>
          </w:p>
        </w:tc>
        <w:tc>
          <w:tcPr>
            <w:tcW w:w="4191" w:type="dxa"/>
            <w:tcBorders>
              <w:bottom w:val="single" w:sz="18" w:space="0" w:color="auto"/>
            </w:tcBorders>
          </w:tcPr>
          <w:p w14:paraId="48382F04" w14:textId="77777777" w:rsidR="0087455A" w:rsidRPr="005D0DD1" w:rsidRDefault="0024162E">
            <w:pPr>
              <w:jc w:val="right"/>
              <w:rPr>
                <w:rFonts w:asciiTheme="minorBidi" w:hAnsiTheme="minorBidi" w:cstheme="minorBidi"/>
                <w:sz w:val="52"/>
                <w:szCs w:val="52"/>
                <w:lang w:val="es-ES"/>
              </w:rPr>
            </w:pPr>
            <w:r w:rsidRPr="005D0DD1">
              <w:rPr>
                <w:rFonts w:asciiTheme="minorBidi" w:hAnsiTheme="minorBidi" w:cstheme="minorBidi"/>
                <w:b/>
                <w:sz w:val="72"/>
                <w:lang w:val="es-ES"/>
              </w:rPr>
              <w:t>EP</w:t>
            </w:r>
          </w:p>
        </w:tc>
      </w:tr>
      <w:tr w:rsidR="0087455A" w:rsidRPr="005D0DD1" w14:paraId="7B8EEA02" w14:textId="77777777" w:rsidTr="008065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8"/>
        </w:trPr>
        <w:tc>
          <w:tcPr>
            <w:tcW w:w="1890" w:type="dxa"/>
            <w:tcBorders>
              <w:top w:val="nil"/>
              <w:left w:val="nil"/>
              <w:bottom w:val="single" w:sz="36" w:space="0" w:color="auto"/>
              <w:right w:val="nil"/>
            </w:tcBorders>
          </w:tcPr>
          <w:p w14:paraId="2B6A191D" w14:textId="77777777" w:rsidR="0087455A" w:rsidRPr="005D0DD1" w:rsidRDefault="0024162E">
            <w:pPr>
              <w:spacing w:before="120"/>
              <w:rPr>
                <w:lang w:val="es-ES"/>
              </w:rPr>
            </w:pPr>
            <w:r w:rsidRPr="005D0DD1">
              <w:rPr>
                <w:noProof/>
                <w:lang w:val="es-ES" w:eastAsia="en-CA"/>
              </w:rPr>
              <w:drawing>
                <wp:anchor distT="0" distB="0" distL="114300" distR="114300" simplePos="0" relativeHeight="251660288" behindDoc="0" locked="0" layoutInCell="1" allowOverlap="1" wp14:anchorId="666FA039" wp14:editId="0CAE8106">
                  <wp:simplePos x="0" y="0"/>
                  <wp:positionH relativeFrom="column">
                    <wp:posOffset>-55245</wp:posOffset>
                  </wp:positionH>
                  <wp:positionV relativeFrom="paragraph">
                    <wp:posOffset>944880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5D0DD1">
              <w:rPr>
                <w:noProof/>
                <w:lang w:val="es-ES" w:eastAsia="en-CA"/>
              </w:rPr>
              <w:drawing>
                <wp:anchor distT="0" distB="0" distL="114300" distR="114300" simplePos="0" relativeHeight="251661312" behindDoc="1" locked="0" layoutInCell="0" allowOverlap="1" wp14:anchorId="59F8ED30" wp14:editId="3DB0316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040" w:type="dxa"/>
            <w:tcBorders>
              <w:top w:val="nil"/>
              <w:left w:val="nil"/>
              <w:bottom w:val="single" w:sz="36" w:space="0" w:color="auto"/>
              <w:right w:val="nil"/>
            </w:tcBorders>
          </w:tcPr>
          <w:p w14:paraId="20523099" w14:textId="77777777" w:rsidR="0087455A" w:rsidRPr="005D0DD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0C1F26DE" w14:textId="77777777" w:rsidR="0087455A" w:rsidRPr="005D0D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0DD1">
              <w:rPr>
                <w:rFonts w:ascii="Univers" w:hAnsi="Univers"/>
                <w:b/>
                <w:sz w:val="32"/>
                <w:lang w:val="es-ES"/>
              </w:rPr>
              <w:t>Programa de las</w:t>
            </w:r>
          </w:p>
          <w:p w14:paraId="2222B87D" w14:textId="77777777" w:rsidR="0087455A" w:rsidRPr="005D0D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0DD1">
              <w:rPr>
                <w:rFonts w:ascii="Univers" w:hAnsi="Univers"/>
                <w:b/>
                <w:sz w:val="32"/>
                <w:lang w:val="es-ES"/>
              </w:rPr>
              <w:t>Naciones Unidas</w:t>
            </w:r>
          </w:p>
          <w:p w14:paraId="290C62D6" w14:textId="77777777" w:rsidR="0087455A" w:rsidRPr="005D0DD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D0DD1">
              <w:rPr>
                <w:rFonts w:ascii="Univers" w:hAnsi="Univers"/>
                <w:b/>
                <w:sz w:val="32"/>
                <w:lang w:val="es-ES"/>
              </w:rPr>
              <w:t>para el Medio Ambiente</w:t>
            </w:r>
          </w:p>
          <w:p w14:paraId="5B3873E6" w14:textId="77777777" w:rsidR="0087455A" w:rsidRPr="005D0DD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1FC31553" w14:textId="77777777" w:rsidR="0087455A" w:rsidRPr="005D0DD1" w:rsidRDefault="0087455A">
            <w:pPr>
              <w:spacing w:before="720"/>
              <w:ind w:left="158"/>
              <w:rPr>
                <w:lang w:val="es-ES"/>
              </w:rPr>
            </w:pPr>
          </w:p>
        </w:tc>
        <w:tc>
          <w:tcPr>
            <w:tcW w:w="4191" w:type="dxa"/>
            <w:tcBorders>
              <w:top w:val="nil"/>
              <w:left w:val="nil"/>
              <w:bottom w:val="single" w:sz="36" w:space="0" w:color="auto"/>
              <w:right w:val="nil"/>
            </w:tcBorders>
          </w:tcPr>
          <w:p w14:paraId="1A15D1AB" w14:textId="77777777" w:rsidR="0087455A" w:rsidRPr="005D0DD1" w:rsidRDefault="0087455A">
            <w:pPr>
              <w:rPr>
                <w:lang w:val="es-ES"/>
              </w:rPr>
            </w:pPr>
          </w:p>
          <w:p w14:paraId="52194FA8" w14:textId="77777777" w:rsidR="0087455A" w:rsidRPr="005D0DD1" w:rsidRDefault="0024162E">
            <w:pPr>
              <w:rPr>
                <w:lang w:val="es-ES"/>
              </w:rPr>
            </w:pPr>
            <w:r w:rsidRPr="005D0DD1">
              <w:rPr>
                <w:lang w:val="es-ES"/>
              </w:rPr>
              <w:t>Distr.</w:t>
            </w:r>
          </w:p>
          <w:p w14:paraId="3011C543" w14:textId="77777777" w:rsidR="0087455A" w:rsidRPr="005D0DD1" w:rsidRDefault="0024162E">
            <w:pPr>
              <w:rPr>
                <w:lang w:val="es-ES"/>
              </w:rPr>
            </w:pPr>
            <w:r w:rsidRPr="005D0DD1">
              <w:rPr>
                <w:lang w:val="es-ES"/>
              </w:rPr>
              <w:t>GENERAL</w:t>
            </w:r>
          </w:p>
          <w:p w14:paraId="34C95E07" w14:textId="77777777" w:rsidR="0087455A" w:rsidRPr="005D0DD1" w:rsidRDefault="0087455A">
            <w:pPr>
              <w:rPr>
                <w:lang w:val="es-ES"/>
              </w:rPr>
            </w:pPr>
          </w:p>
          <w:p w14:paraId="2C28FF59" w14:textId="0048B776" w:rsidR="0087455A" w:rsidRPr="005D0DD1" w:rsidRDefault="0024162E">
            <w:pPr>
              <w:rPr>
                <w:lang w:val="es-ES"/>
              </w:rPr>
            </w:pPr>
            <w:r w:rsidRPr="005D0DD1">
              <w:rPr>
                <w:lang w:val="es-ES"/>
              </w:rPr>
              <w:fldChar w:fldCharType="begin"/>
            </w:r>
            <w:r w:rsidRPr="005D0DD1">
              <w:rPr>
                <w:lang w:val="es-ES"/>
              </w:rPr>
              <w:instrText xml:space="preserve"> DOCPROPERTY "Document number"  \* MERGEFORMAT </w:instrText>
            </w:r>
            <w:r w:rsidRPr="005D0DD1">
              <w:rPr>
                <w:lang w:val="es-ES"/>
              </w:rPr>
              <w:fldChar w:fldCharType="separate"/>
            </w:r>
            <w:r w:rsidR="008065AC">
              <w:rPr>
                <w:lang w:val="es-ES"/>
              </w:rPr>
              <w:t>UNEP/</w:t>
            </w:r>
            <w:proofErr w:type="spellStart"/>
            <w:r w:rsidR="008065AC">
              <w:rPr>
                <w:lang w:val="es-ES"/>
              </w:rPr>
              <w:t>OzL.Pro</w:t>
            </w:r>
            <w:proofErr w:type="spellEnd"/>
            <w:r w:rsidR="008065AC">
              <w:rPr>
                <w:lang w:val="es-ES"/>
              </w:rPr>
              <w:t>/</w:t>
            </w:r>
            <w:proofErr w:type="spellStart"/>
            <w:r w:rsidR="008065AC">
              <w:rPr>
                <w:lang w:val="es-ES"/>
              </w:rPr>
              <w:t>ExCom</w:t>
            </w:r>
            <w:proofErr w:type="spellEnd"/>
            <w:r w:rsidR="008065AC">
              <w:rPr>
                <w:lang w:val="es-ES"/>
              </w:rPr>
              <w:t>/93/54</w:t>
            </w:r>
            <w:r w:rsidRPr="005D0DD1">
              <w:rPr>
                <w:lang w:val="es-ES"/>
              </w:rPr>
              <w:fldChar w:fldCharType="end"/>
            </w:r>
          </w:p>
          <w:p w14:paraId="3BD8B3C7" w14:textId="233AE3BA" w:rsidR="002959B4" w:rsidRPr="005D0DD1" w:rsidRDefault="002959B4" w:rsidP="002959B4">
            <w:pPr>
              <w:rPr>
                <w:lang w:val="es-ES"/>
              </w:rPr>
            </w:pPr>
            <w:r w:rsidRPr="005D0DD1">
              <w:rPr>
                <w:lang w:val="es-ES"/>
              </w:rPr>
              <w:fldChar w:fldCharType="begin"/>
            </w:r>
            <w:r w:rsidRPr="005D0DD1">
              <w:rPr>
                <w:lang w:val="es-ES"/>
              </w:rPr>
              <w:instrText xml:space="preserve"> DOCPROPERTY "Revision date" \@ "d MMMM YYYY"  \* MERGEFORMAT </w:instrText>
            </w:r>
            <w:r w:rsidRPr="005D0DD1">
              <w:rPr>
                <w:lang w:val="es-ES"/>
              </w:rPr>
              <w:fldChar w:fldCharType="separate"/>
            </w:r>
            <w:r w:rsidR="005D0DD1">
              <w:rPr>
                <w:lang w:val="es-ES"/>
              </w:rPr>
              <w:t>7</w:t>
            </w:r>
            <w:r w:rsidR="001E74CE" w:rsidRPr="005D0DD1">
              <w:rPr>
                <w:lang w:val="es-ES"/>
              </w:rPr>
              <w:t xml:space="preserve"> </w:t>
            </w:r>
            <w:r w:rsidR="005D0DD1">
              <w:rPr>
                <w:lang w:val="es-ES"/>
              </w:rPr>
              <w:t>noviembre</w:t>
            </w:r>
            <w:r w:rsidR="001E74CE" w:rsidRPr="005D0DD1">
              <w:rPr>
                <w:lang w:val="es-ES"/>
              </w:rPr>
              <w:t xml:space="preserve"> 2023</w:t>
            </w:r>
            <w:r w:rsidRPr="005D0DD1">
              <w:rPr>
                <w:lang w:val="es-ES"/>
              </w:rPr>
              <w:fldChar w:fldCharType="end"/>
            </w:r>
          </w:p>
          <w:p w14:paraId="0375A6D9" w14:textId="77777777" w:rsidR="00114CAA" w:rsidRPr="005D0DD1" w:rsidRDefault="00114CAA">
            <w:pPr>
              <w:rPr>
                <w:caps/>
                <w:lang w:val="es-ES"/>
              </w:rPr>
            </w:pPr>
          </w:p>
          <w:p w14:paraId="538E863B" w14:textId="77777777" w:rsidR="0087455A" w:rsidRPr="005D0DD1" w:rsidRDefault="0024162E">
            <w:pPr>
              <w:rPr>
                <w:lang w:val="es-ES"/>
              </w:rPr>
            </w:pPr>
            <w:r w:rsidRPr="005D0DD1">
              <w:rPr>
                <w:lang w:val="es-ES"/>
              </w:rPr>
              <w:t xml:space="preserve">ESPAÑOL </w:t>
            </w:r>
          </w:p>
          <w:p w14:paraId="1DC07681" w14:textId="77777777" w:rsidR="0087455A" w:rsidRPr="005D0DD1" w:rsidRDefault="0024162E">
            <w:pPr>
              <w:rPr>
                <w:lang w:val="es-ES"/>
              </w:rPr>
            </w:pPr>
            <w:r w:rsidRPr="005D0DD1">
              <w:rPr>
                <w:lang w:val="es-ES"/>
              </w:rPr>
              <w:t>ORIGINAL: INGLÉS</w:t>
            </w:r>
          </w:p>
        </w:tc>
      </w:tr>
    </w:tbl>
    <w:p w14:paraId="0278E6E7" w14:textId="77777777" w:rsidR="002D5A1A" w:rsidRPr="005D0DD1" w:rsidRDefault="002D5A1A" w:rsidP="002D5A1A">
      <w:pPr>
        <w:jc w:val="left"/>
        <w:rPr>
          <w:lang w:val="es-ES"/>
        </w:rPr>
      </w:pPr>
      <w:r w:rsidRPr="005D0DD1">
        <w:rPr>
          <w:lang w:val="es-ES"/>
        </w:rPr>
        <w:t>COMITÉ EJECUTIVO DEL FONDO MULTILATERAL</w:t>
      </w:r>
      <w:r w:rsidRPr="005D0DD1">
        <w:rPr>
          <w:lang w:val="es-ES"/>
        </w:rPr>
        <w:br/>
        <w:t xml:space="preserve"> PARA LA APLICACIÓN DEL</w:t>
      </w:r>
      <w:r w:rsidRPr="005D0DD1">
        <w:rPr>
          <w:lang w:val="es-ES"/>
        </w:rPr>
        <w:br/>
        <w:t xml:space="preserve"> PROTOCOLO DE MONTREAL</w:t>
      </w:r>
      <w:r w:rsidRPr="005D0DD1">
        <w:rPr>
          <w:lang w:val="es-ES"/>
        </w:rPr>
        <w:br/>
      </w:r>
      <w:r w:rsidR="00B931C3" w:rsidRPr="005D0DD1">
        <w:rPr>
          <w:lang w:val="es-ES"/>
        </w:rPr>
        <w:t>Nonagésima</w:t>
      </w:r>
      <w:r w:rsidR="0073028E" w:rsidRPr="005D0DD1">
        <w:rPr>
          <w:lang w:val="es-ES"/>
        </w:rPr>
        <w:t xml:space="preserve"> </w:t>
      </w:r>
      <w:r w:rsidR="00D321F8" w:rsidRPr="005D0DD1">
        <w:rPr>
          <w:lang w:val="es-ES"/>
        </w:rPr>
        <w:t>tercera</w:t>
      </w:r>
      <w:r w:rsidR="0073028E" w:rsidRPr="005D0DD1">
        <w:rPr>
          <w:lang w:val="es-ES"/>
        </w:rPr>
        <w:t xml:space="preserve"> </w:t>
      </w:r>
      <w:r w:rsidR="00AA29EB" w:rsidRPr="005D0DD1">
        <w:rPr>
          <w:lang w:val="es-ES"/>
        </w:rPr>
        <w:t>reunión</w:t>
      </w:r>
    </w:p>
    <w:p w14:paraId="733EED1A" w14:textId="77777777" w:rsidR="002D5A1A" w:rsidRPr="005D0DD1" w:rsidRDefault="002D5A1A" w:rsidP="002D5A1A">
      <w:pPr>
        <w:jc w:val="left"/>
        <w:rPr>
          <w:lang w:val="es-ES"/>
        </w:rPr>
      </w:pPr>
      <w:r w:rsidRPr="005D0DD1">
        <w:rPr>
          <w:lang w:val="es-ES"/>
        </w:rPr>
        <w:t xml:space="preserve">Montreal, </w:t>
      </w:r>
      <w:r w:rsidR="00D321F8" w:rsidRPr="005D0DD1">
        <w:rPr>
          <w:lang w:val="es-ES"/>
        </w:rPr>
        <w:t xml:space="preserve">15 </w:t>
      </w:r>
      <w:r w:rsidR="0073028E" w:rsidRPr="005D0DD1">
        <w:rPr>
          <w:lang w:val="es-ES"/>
        </w:rPr>
        <w:t xml:space="preserve">– </w:t>
      </w:r>
      <w:r w:rsidR="00D321F8" w:rsidRPr="005D0DD1">
        <w:rPr>
          <w:lang w:val="es-ES"/>
        </w:rPr>
        <w:t>19</w:t>
      </w:r>
      <w:r w:rsidRPr="005D0DD1">
        <w:rPr>
          <w:lang w:val="es-ES"/>
        </w:rPr>
        <w:t xml:space="preserve"> de </w:t>
      </w:r>
      <w:r w:rsidR="00D321F8" w:rsidRPr="005D0DD1">
        <w:rPr>
          <w:lang w:val="es-ES"/>
        </w:rPr>
        <w:t xml:space="preserve">diciembre de </w:t>
      </w:r>
      <w:r w:rsidRPr="005D0DD1">
        <w:rPr>
          <w:lang w:val="es-ES"/>
        </w:rPr>
        <w:t>202</w:t>
      </w:r>
      <w:r w:rsidR="0073028E" w:rsidRPr="005D0DD1">
        <w:rPr>
          <w:lang w:val="es-ES"/>
        </w:rPr>
        <w:t>3</w:t>
      </w:r>
    </w:p>
    <w:p w14:paraId="6C521CD1" w14:textId="77777777" w:rsidR="005D0DD1" w:rsidRPr="005D0DD1" w:rsidRDefault="005D0DD1" w:rsidP="005D0DD1">
      <w:pPr>
        <w:jc w:val="left"/>
        <w:rPr>
          <w:lang w:val="es-ES"/>
        </w:rPr>
      </w:pPr>
      <w:r w:rsidRPr="005D0DD1">
        <w:rPr>
          <w:lang w:val="es-ES"/>
        </w:rPr>
        <w:t>Cuestión 9 c) del orden del día provisional</w:t>
      </w:r>
      <w:r w:rsidRPr="005D0DD1">
        <w:rPr>
          <w:rStyle w:val="FootnoteReference"/>
          <w:lang w:val="es-ES"/>
        </w:rPr>
        <w:footnoteReference w:id="1"/>
      </w:r>
    </w:p>
    <w:p w14:paraId="2528766A" w14:textId="77777777" w:rsidR="005D0DD1" w:rsidRPr="005D0DD1" w:rsidRDefault="005D0DD1" w:rsidP="005D0DD1">
      <w:pPr>
        <w:jc w:val="left"/>
        <w:rPr>
          <w:lang w:val="es-ES"/>
        </w:rPr>
      </w:pPr>
    </w:p>
    <w:p w14:paraId="1C5376FC" w14:textId="77777777" w:rsidR="005D0DD1" w:rsidRPr="005D0DD1" w:rsidRDefault="005D0DD1" w:rsidP="005D0DD1">
      <w:pPr>
        <w:jc w:val="left"/>
        <w:rPr>
          <w:lang w:val="es-ES"/>
        </w:rPr>
      </w:pPr>
    </w:p>
    <w:p w14:paraId="4908570C" w14:textId="77777777" w:rsidR="005D0DD1" w:rsidRPr="005D0DD1" w:rsidRDefault="005D0DD1" w:rsidP="005D0DD1">
      <w:pPr>
        <w:rPr>
          <w:lang w:val="es-ES"/>
        </w:rPr>
      </w:pPr>
    </w:p>
    <w:p w14:paraId="6000355C" w14:textId="57737BC0" w:rsidR="005D0DD1" w:rsidRPr="005D0DD1" w:rsidRDefault="008065AC" w:rsidP="005D0DD1">
      <w:pPr>
        <w:jc w:val="center"/>
        <w:rPr>
          <w:b/>
          <w:lang w:val="es-ES"/>
        </w:rPr>
      </w:pPr>
      <w:r w:rsidRPr="005D0DD1">
        <w:rPr>
          <w:b/>
          <w:lang w:val="es-ES"/>
        </w:rPr>
        <w:t>PROPUESTA DE PROYECTO: GAMBIA</w:t>
      </w:r>
    </w:p>
    <w:p w14:paraId="030BE7A3" w14:textId="77777777" w:rsidR="005D0DD1" w:rsidRPr="005D0DD1" w:rsidRDefault="005D0DD1" w:rsidP="005D0DD1">
      <w:pPr>
        <w:rPr>
          <w:lang w:val="es-ES"/>
        </w:rPr>
      </w:pPr>
    </w:p>
    <w:p w14:paraId="7AC20A30" w14:textId="77777777" w:rsidR="005D0DD1" w:rsidRPr="005D0DD1" w:rsidRDefault="005D0DD1" w:rsidP="005D0DD1">
      <w:pPr>
        <w:rPr>
          <w:lang w:val="es-ES"/>
        </w:rPr>
      </w:pPr>
    </w:p>
    <w:p w14:paraId="010DD991" w14:textId="77777777" w:rsidR="005D0DD1" w:rsidRPr="005D0DD1" w:rsidRDefault="005D0DD1" w:rsidP="005D0DD1">
      <w:pPr>
        <w:ind w:firstLine="720"/>
        <w:rPr>
          <w:lang w:val="es-ES"/>
        </w:rPr>
      </w:pPr>
      <w:r w:rsidRPr="005D0DD1">
        <w:rPr>
          <w:lang w:val="es-ES"/>
        </w:rPr>
        <w:t xml:space="preserve">Este documento consiste en las observaciones y la recomendación de la Secretaría sobre la siguiente propuesta de proyecto: </w:t>
      </w:r>
    </w:p>
    <w:p w14:paraId="0B60391D" w14:textId="77777777" w:rsidR="005D0DD1" w:rsidRPr="005D0DD1" w:rsidRDefault="005D0DD1" w:rsidP="005D0DD1">
      <w:pPr>
        <w:rPr>
          <w:lang w:val="es-ES"/>
        </w:rPr>
      </w:pPr>
    </w:p>
    <w:p w14:paraId="057BD22D" w14:textId="77777777" w:rsidR="005D0DD1" w:rsidRPr="005D0DD1" w:rsidRDefault="005D0DD1" w:rsidP="005D0DD1">
      <w:pPr>
        <w:rPr>
          <w:u w:val="single"/>
          <w:lang w:val="es-ES"/>
        </w:rPr>
      </w:pPr>
      <w:r w:rsidRPr="005D0DD1">
        <w:rPr>
          <w:u w:val="single"/>
          <w:lang w:val="es-ES"/>
        </w:rPr>
        <w:t>Eliminación</w:t>
      </w:r>
    </w:p>
    <w:p w14:paraId="7A3AAFA5" w14:textId="77777777" w:rsidR="005D0DD1" w:rsidRPr="005D0DD1" w:rsidRDefault="005D0DD1" w:rsidP="005D0D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0DD1" w:rsidRPr="005D0DD1" w14:paraId="770945B4" w14:textId="77777777" w:rsidTr="00CA0CD7">
        <w:tc>
          <w:tcPr>
            <w:tcW w:w="6941" w:type="dxa"/>
          </w:tcPr>
          <w:p w14:paraId="38714457" w14:textId="77777777" w:rsidR="005D0DD1" w:rsidRPr="005D0DD1" w:rsidRDefault="005D0DD1" w:rsidP="005D0DD1">
            <w:pPr>
              <w:pStyle w:val="ListParagraph"/>
              <w:numPr>
                <w:ilvl w:val="0"/>
                <w:numId w:val="21"/>
              </w:numPr>
              <w:ind w:hanging="830"/>
              <w:jc w:val="left"/>
            </w:pPr>
            <w:r w:rsidRPr="005D0DD1">
              <w:t>Plan de gestión de eliminación de los HCFC (etapa II, segundo tramo)</w:t>
            </w:r>
          </w:p>
        </w:tc>
        <w:tc>
          <w:tcPr>
            <w:tcW w:w="2409" w:type="dxa"/>
          </w:tcPr>
          <w:p w14:paraId="6C579558" w14:textId="77777777" w:rsidR="005D0DD1" w:rsidRPr="005D0DD1" w:rsidRDefault="005D0DD1" w:rsidP="00CA0CD7">
            <w:pPr>
              <w:jc w:val="right"/>
              <w:rPr>
                <w:lang w:val="es-ES"/>
              </w:rPr>
            </w:pPr>
            <w:r w:rsidRPr="005D0DD1">
              <w:rPr>
                <w:lang w:val="es-ES"/>
              </w:rPr>
              <w:t>PNUMA y ONUDI</w:t>
            </w:r>
          </w:p>
        </w:tc>
      </w:tr>
    </w:tbl>
    <w:p w14:paraId="39C40A98" w14:textId="77777777" w:rsidR="005D0DD1" w:rsidRPr="005D0DD1" w:rsidRDefault="005D0DD1" w:rsidP="005D0DD1">
      <w:pPr>
        <w:rPr>
          <w:lang w:val="es-ES"/>
        </w:rPr>
      </w:pPr>
    </w:p>
    <w:p w14:paraId="30D73AF7" w14:textId="77777777" w:rsidR="005D0DD1" w:rsidRPr="005D0DD1" w:rsidRDefault="005D0DD1" w:rsidP="005D0DD1">
      <w:pPr>
        <w:rPr>
          <w:lang w:val="es-ES"/>
        </w:rPr>
      </w:pPr>
    </w:p>
    <w:p w14:paraId="4BFDF616" w14:textId="77777777" w:rsidR="005D0DD1" w:rsidRPr="005D0DD1" w:rsidRDefault="005D0DD1" w:rsidP="005D0DD1">
      <w:pPr>
        <w:rPr>
          <w:lang w:val="es-ES"/>
        </w:rPr>
      </w:pPr>
    </w:p>
    <w:p w14:paraId="68D69A75" w14:textId="77777777" w:rsidR="005D0DD1" w:rsidRPr="005D0DD1" w:rsidRDefault="005D0DD1" w:rsidP="005D0DD1">
      <w:pPr>
        <w:rPr>
          <w:lang w:val="es-ES"/>
        </w:rPr>
      </w:pPr>
      <w:r w:rsidRPr="005D0DD1">
        <w:rPr>
          <w:lang w:val="es-ES"/>
        </w:rPr>
        <w:br w:type="page"/>
      </w:r>
    </w:p>
    <w:p w14:paraId="0BF06CFF" w14:textId="77777777" w:rsidR="005D0DD1" w:rsidRPr="005D0DD1" w:rsidRDefault="005D0DD1" w:rsidP="008065AC">
      <w:pPr>
        <w:spacing w:after="120"/>
        <w:jc w:val="center"/>
        <w:rPr>
          <w:b/>
          <w:lang w:val="es-ES"/>
        </w:rPr>
      </w:pPr>
      <w:r w:rsidRPr="005D0DD1">
        <w:rPr>
          <w:b/>
          <w:lang w:val="es-ES"/>
        </w:rPr>
        <w:lastRenderedPageBreak/>
        <w:t>HOJA DE EVALUACIÓN DE PROYECTO – PROYECTOS PLURIANUALES</w:t>
      </w:r>
    </w:p>
    <w:p w14:paraId="355EB408" w14:textId="3E31E8AE" w:rsidR="005D0DD1" w:rsidRPr="005D0DD1" w:rsidRDefault="005D0DD1" w:rsidP="008065AC">
      <w:pPr>
        <w:spacing w:after="120"/>
        <w:jc w:val="center"/>
        <w:rPr>
          <w:lang w:val="es-ES"/>
        </w:rPr>
      </w:pPr>
      <w:r w:rsidRPr="005D0DD1">
        <w:rPr>
          <w:b/>
          <w:lang w:val="es-ES"/>
        </w:rPr>
        <w:t>Gambia</w:t>
      </w:r>
    </w:p>
    <w:tbl>
      <w:tblPr>
        <w:tblStyle w:val="TableGrid"/>
        <w:tblW w:w="10733" w:type="dxa"/>
        <w:tblInd w:w="-725" w:type="dxa"/>
        <w:tblLook w:val="04A0" w:firstRow="1" w:lastRow="0" w:firstColumn="1" w:lastColumn="0" w:noHBand="0" w:noVBand="1"/>
      </w:tblPr>
      <w:tblGrid>
        <w:gridCol w:w="3555"/>
        <w:gridCol w:w="2127"/>
        <w:gridCol w:w="2409"/>
        <w:gridCol w:w="2642"/>
      </w:tblGrid>
      <w:tr w:rsidR="005D0DD1" w:rsidRPr="005D0DD1" w14:paraId="75D99180" w14:textId="77777777" w:rsidTr="008065AC">
        <w:trPr>
          <w:trHeight w:val="240"/>
        </w:trPr>
        <w:tc>
          <w:tcPr>
            <w:tcW w:w="3555" w:type="dxa"/>
            <w:hideMark/>
          </w:tcPr>
          <w:p w14:paraId="0D2D5AF2" w14:textId="77777777" w:rsidR="005D0DD1" w:rsidRPr="005D0DD1" w:rsidRDefault="005D0DD1" w:rsidP="00CA0CD7">
            <w:pPr>
              <w:jc w:val="left"/>
              <w:rPr>
                <w:b/>
                <w:sz w:val="20"/>
                <w:szCs w:val="20"/>
                <w:lang w:val="es-ES"/>
              </w:rPr>
            </w:pPr>
            <w:r w:rsidRPr="005D0DD1">
              <w:rPr>
                <w:b/>
                <w:sz w:val="20"/>
                <w:lang w:val="es-ES"/>
              </w:rPr>
              <w:t>I) TÍTULO DEL PROYECTO</w:t>
            </w:r>
          </w:p>
        </w:tc>
        <w:tc>
          <w:tcPr>
            <w:tcW w:w="2127" w:type="dxa"/>
            <w:hideMark/>
          </w:tcPr>
          <w:p w14:paraId="2006BDB3" w14:textId="77777777" w:rsidR="005D0DD1" w:rsidRPr="005D0DD1" w:rsidRDefault="005D0DD1" w:rsidP="00CA0CD7">
            <w:pPr>
              <w:jc w:val="center"/>
              <w:rPr>
                <w:b/>
                <w:sz w:val="20"/>
                <w:szCs w:val="20"/>
                <w:lang w:val="es-ES"/>
              </w:rPr>
            </w:pPr>
            <w:r w:rsidRPr="005D0DD1">
              <w:rPr>
                <w:b/>
                <w:sz w:val="20"/>
                <w:lang w:val="es-ES"/>
              </w:rPr>
              <w:t>ORGANISMO</w:t>
            </w:r>
          </w:p>
        </w:tc>
        <w:tc>
          <w:tcPr>
            <w:tcW w:w="2409" w:type="dxa"/>
            <w:hideMark/>
          </w:tcPr>
          <w:p w14:paraId="3DA82FF4" w14:textId="77777777" w:rsidR="005D0DD1" w:rsidRPr="005D0DD1" w:rsidRDefault="005D0DD1" w:rsidP="00CA0CD7">
            <w:pPr>
              <w:jc w:val="center"/>
              <w:rPr>
                <w:b/>
                <w:sz w:val="20"/>
                <w:szCs w:val="20"/>
                <w:lang w:val="es-ES"/>
              </w:rPr>
            </w:pPr>
            <w:r w:rsidRPr="005D0DD1">
              <w:rPr>
                <w:b/>
                <w:sz w:val="20"/>
                <w:lang w:val="es-ES"/>
              </w:rPr>
              <w:t>APROBADO EN LA REUNIÓN</w:t>
            </w:r>
          </w:p>
        </w:tc>
        <w:tc>
          <w:tcPr>
            <w:tcW w:w="2642" w:type="dxa"/>
            <w:hideMark/>
          </w:tcPr>
          <w:p w14:paraId="784478C2" w14:textId="77777777" w:rsidR="005D0DD1" w:rsidRPr="005D0DD1" w:rsidRDefault="005D0DD1" w:rsidP="00CA0CD7">
            <w:pPr>
              <w:jc w:val="center"/>
              <w:rPr>
                <w:b/>
                <w:sz w:val="20"/>
                <w:szCs w:val="20"/>
                <w:lang w:val="es-ES"/>
              </w:rPr>
            </w:pPr>
            <w:r w:rsidRPr="005D0DD1">
              <w:rPr>
                <w:b/>
                <w:sz w:val="20"/>
                <w:lang w:val="es-ES"/>
              </w:rPr>
              <w:t>MEDIDA DE CONTROL</w:t>
            </w:r>
          </w:p>
        </w:tc>
      </w:tr>
      <w:tr w:rsidR="005D0DD1" w:rsidRPr="005D0DD1" w14:paraId="0530171A" w14:textId="77777777" w:rsidTr="008065AC">
        <w:trPr>
          <w:trHeight w:val="240"/>
        </w:trPr>
        <w:tc>
          <w:tcPr>
            <w:tcW w:w="3555" w:type="dxa"/>
            <w:vAlign w:val="center"/>
            <w:hideMark/>
          </w:tcPr>
          <w:p w14:paraId="36AFD269" w14:textId="77777777" w:rsidR="005D0DD1" w:rsidRPr="005D0DD1" w:rsidRDefault="005D0DD1" w:rsidP="00CA0CD7">
            <w:pPr>
              <w:jc w:val="center"/>
              <w:rPr>
                <w:sz w:val="20"/>
                <w:szCs w:val="20"/>
                <w:lang w:val="es-ES"/>
              </w:rPr>
            </w:pPr>
            <w:r w:rsidRPr="005D0DD1">
              <w:rPr>
                <w:sz w:val="20"/>
                <w:lang w:val="es-ES"/>
              </w:rPr>
              <w:t>Plan de gestión de eliminación de los HCFC (etapa II)</w:t>
            </w:r>
          </w:p>
        </w:tc>
        <w:tc>
          <w:tcPr>
            <w:tcW w:w="2127" w:type="dxa"/>
            <w:vAlign w:val="center"/>
          </w:tcPr>
          <w:p w14:paraId="1227EA2D" w14:textId="77777777" w:rsidR="005D0DD1" w:rsidRPr="005D0DD1" w:rsidRDefault="005D0DD1" w:rsidP="00CA0CD7">
            <w:pPr>
              <w:jc w:val="center"/>
              <w:rPr>
                <w:sz w:val="20"/>
                <w:szCs w:val="20"/>
                <w:lang w:val="es-ES"/>
              </w:rPr>
            </w:pPr>
            <w:r w:rsidRPr="005D0DD1">
              <w:rPr>
                <w:color w:val="000000" w:themeColor="text1"/>
                <w:sz w:val="20"/>
                <w:lang w:val="es-ES"/>
              </w:rPr>
              <w:t>PNUMA (principal), ONUDI</w:t>
            </w:r>
          </w:p>
        </w:tc>
        <w:tc>
          <w:tcPr>
            <w:tcW w:w="2409" w:type="dxa"/>
            <w:vAlign w:val="center"/>
          </w:tcPr>
          <w:p w14:paraId="204F86A2" w14:textId="77777777" w:rsidR="005D0DD1" w:rsidRPr="005D0DD1" w:rsidRDefault="005D0DD1" w:rsidP="00CA0CD7">
            <w:pPr>
              <w:jc w:val="center"/>
              <w:rPr>
                <w:sz w:val="20"/>
                <w:szCs w:val="20"/>
                <w:lang w:val="es-ES"/>
              </w:rPr>
            </w:pPr>
            <w:r w:rsidRPr="005D0DD1">
              <w:rPr>
                <w:sz w:val="20"/>
                <w:lang w:val="es-ES"/>
              </w:rPr>
              <w:t>86</w:t>
            </w:r>
            <w:r w:rsidRPr="005D0DD1">
              <w:rPr>
                <w:sz w:val="20"/>
                <w:vertAlign w:val="superscript"/>
                <w:lang w:val="es-ES"/>
              </w:rPr>
              <w:t>a</w:t>
            </w:r>
            <w:r w:rsidRPr="005D0DD1">
              <w:rPr>
                <w:sz w:val="20"/>
                <w:lang w:val="es-ES"/>
              </w:rPr>
              <w:t xml:space="preserve"> </w:t>
            </w:r>
          </w:p>
        </w:tc>
        <w:tc>
          <w:tcPr>
            <w:tcW w:w="2642" w:type="dxa"/>
            <w:vAlign w:val="center"/>
          </w:tcPr>
          <w:p w14:paraId="25ECB6DE" w14:textId="77777777" w:rsidR="005D0DD1" w:rsidRPr="005D0DD1" w:rsidRDefault="005D0DD1" w:rsidP="00CA0CD7">
            <w:pPr>
              <w:jc w:val="center"/>
              <w:rPr>
                <w:sz w:val="20"/>
                <w:szCs w:val="20"/>
                <w:lang w:val="es-ES"/>
              </w:rPr>
            </w:pPr>
            <w:r w:rsidRPr="005D0DD1">
              <w:rPr>
                <w:sz w:val="20"/>
                <w:lang w:val="es-ES"/>
              </w:rPr>
              <w:t>Eliminación del 100% para 2030</w:t>
            </w:r>
          </w:p>
        </w:tc>
      </w:tr>
    </w:tbl>
    <w:p w14:paraId="20F2F99E" w14:textId="77777777" w:rsidR="005D0DD1" w:rsidRPr="008065AC" w:rsidRDefault="005D0DD1" w:rsidP="005D0DD1">
      <w:pPr>
        <w:jc w:val="center"/>
        <w:rPr>
          <w:sz w:val="16"/>
          <w:szCs w:val="16"/>
          <w:lang w:val="es-ES"/>
        </w:rPr>
      </w:pPr>
    </w:p>
    <w:tbl>
      <w:tblPr>
        <w:tblStyle w:val="TableGrid"/>
        <w:tblW w:w="10725" w:type="dxa"/>
        <w:tblInd w:w="-725" w:type="dxa"/>
        <w:tblLook w:val="04A0" w:firstRow="1" w:lastRow="0" w:firstColumn="1" w:lastColumn="0" w:noHBand="0" w:noVBand="1"/>
      </w:tblPr>
      <w:tblGrid>
        <w:gridCol w:w="5925"/>
        <w:gridCol w:w="2400"/>
        <w:gridCol w:w="2400"/>
      </w:tblGrid>
      <w:tr w:rsidR="005D0DD1" w:rsidRPr="005D0DD1" w14:paraId="5211566A" w14:textId="77777777" w:rsidTr="008065AC">
        <w:trPr>
          <w:trHeight w:val="43"/>
        </w:trPr>
        <w:tc>
          <w:tcPr>
            <w:tcW w:w="5925" w:type="dxa"/>
            <w:hideMark/>
          </w:tcPr>
          <w:p w14:paraId="245EEC94" w14:textId="77777777" w:rsidR="005D0DD1" w:rsidRPr="005D0DD1" w:rsidRDefault="005D0DD1" w:rsidP="00CA0CD7">
            <w:pPr>
              <w:jc w:val="left"/>
              <w:rPr>
                <w:b/>
                <w:sz w:val="20"/>
                <w:szCs w:val="20"/>
                <w:lang w:val="es-ES"/>
              </w:rPr>
            </w:pPr>
            <w:r w:rsidRPr="005D0DD1">
              <w:rPr>
                <w:b/>
                <w:sz w:val="20"/>
                <w:lang w:val="es-ES"/>
              </w:rPr>
              <w:t>II) DATOS MÁS RECIENTES CON ARREGLO AL ARTÍCULO 7 (grupo I del anexo C)</w:t>
            </w:r>
          </w:p>
        </w:tc>
        <w:tc>
          <w:tcPr>
            <w:tcW w:w="2400" w:type="dxa"/>
            <w:hideMark/>
          </w:tcPr>
          <w:p w14:paraId="68A6BCDC" w14:textId="77777777" w:rsidR="005D0DD1" w:rsidRPr="005D0DD1" w:rsidRDefault="005D0DD1" w:rsidP="00CA0CD7">
            <w:pPr>
              <w:jc w:val="center"/>
              <w:rPr>
                <w:sz w:val="20"/>
                <w:szCs w:val="20"/>
                <w:lang w:val="es-ES"/>
              </w:rPr>
            </w:pPr>
            <w:r w:rsidRPr="005D0DD1">
              <w:rPr>
                <w:sz w:val="20"/>
                <w:lang w:val="es-ES"/>
              </w:rPr>
              <w:t>Año: 2022</w:t>
            </w:r>
          </w:p>
        </w:tc>
        <w:tc>
          <w:tcPr>
            <w:tcW w:w="2400" w:type="dxa"/>
            <w:hideMark/>
          </w:tcPr>
          <w:p w14:paraId="5FA82E9E" w14:textId="77777777" w:rsidR="005D0DD1" w:rsidRPr="005D0DD1" w:rsidRDefault="005D0DD1" w:rsidP="00CA0CD7">
            <w:pPr>
              <w:jc w:val="right"/>
              <w:rPr>
                <w:sz w:val="20"/>
                <w:szCs w:val="20"/>
                <w:lang w:val="es-ES"/>
              </w:rPr>
            </w:pPr>
            <w:r w:rsidRPr="005D0DD1">
              <w:rPr>
                <w:sz w:val="20"/>
                <w:lang w:val="es-ES"/>
              </w:rPr>
              <w:t>0,17 toneladas PAO</w:t>
            </w:r>
          </w:p>
        </w:tc>
      </w:tr>
    </w:tbl>
    <w:p w14:paraId="7E2CF360" w14:textId="77777777" w:rsidR="005D0DD1" w:rsidRPr="008065AC" w:rsidRDefault="005D0DD1" w:rsidP="005D0DD1">
      <w:pPr>
        <w:jc w:val="center"/>
        <w:rPr>
          <w:sz w:val="16"/>
          <w:szCs w:val="16"/>
          <w:lang w:val="es-ES"/>
        </w:rPr>
      </w:pPr>
    </w:p>
    <w:tbl>
      <w:tblPr>
        <w:tblStyle w:val="TableGrid"/>
        <w:tblW w:w="10730" w:type="dxa"/>
        <w:tblInd w:w="-725" w:type="dxa"/>
        <w:tblLayout w:type="fixed"/>
        <w:tblLook w:val="04A0" w:firstRow="1" w:lastRow="0" w:firstColumn="1" w:lastColumn="0" w:noHBand="0" w:noVBand="1"/>
      </w:tblPr>
      <w:tblGrid>
        <w:gridCol w:w="1998"/>
        <w:gridCol w:w="851"/>
        <w:gridCol w:w="708"/>
        <w:gridCol w:w="851"/>
        <w:gridCol w:w="1418"/>
        <w:gridCol w:w="1131"/>
        <w:gridCol w:w="851"/>
        <w:gridCol w:w="850"/>
        <w:gridCol w:w="713"/>
        <w:gridCol w:w="1359"/>
      </w:tblGrid>
      <w:tr w:rsidR="005D0DD1" w:rsidRPr="005D0DD1" w14:paraId="4148645A" w14:textId="77777777" w:rsidTr="008065AC">
        <w:trPr>
          <w:trHeight w:val="249"/>
        </w:trPr>
        <w:tc>
          <w:tcPr>
            <w:tcW w:w="8658" w:type="dxa"/>
            <w:gridSpan w:val="8"/>
            <w:hideMark/>
          </w:tcPr>
          <w:p w14:paraId="1D81A609" w14:textId="77777777" w:rsidR="005D0DD1" w:rsidRPr="005D0DD1" w:rsidRDefault="005D0DD1" w:rsidP="00CA0CD7">
            <w:pPr>
              <w:jc w:val="left"/>
              <w:rPr>
                <w:b/>
                <w:sz w:val="20"/>
                <w:szCs w:val="20"/>
                <w:lang w:val="es-ES"/>
              </w:rPr>
            </w:pPr>
            <w:r w:rsidRPr="005D0DD1">
              <w:rPr>
                <w:b/>
                <w:sz w:val="20"/>
                <w:lang w:val="es-ES"/>
              </w:rPr>
              <w:t>III) DATOS SECTORIALES MÁS RECIENTES DEL PROGRAMA DE PAÍS (toneladas PAO)</w:t>
            </w:r>
          </w:p>
        </w:tc>
        <w:tc>
          <w:tcPr>
            <w:tcW w:w="2072" w:type="dxa"/>
            <w:gridSpan w:val="2"/>
            <w:hideMark/>
          </w:tcPr>
          <w:p w14:paraId="11CB5A00" w14:textId="77777777" w:rsidR="005D0DD1" w:rsidRPr="005D0DD1" w:rsidRDefault="005D0DD1" w:rsidP="00CA0CD7">
            <w:pPr>
              <w:jc w:val="right"/>
              <w:rPr>
                <w:b/>
                <w:sz w:val="20"/>
                <w:szCs w:val="20"/>
                <w:lang w:val="es-ES"/>
              </w:rPr>
            </w:pPr>
            <w:r w:rsidRPr="005D0DD1">
              <w:rPr>
                <w:b/>
                <w:sz w:val="20"/>
                <w:lang w:val="es-ES"/>
              </w:rPr>
              <w:t>Año: 2022</w:t>
            </w:r>
          </w:p>
        </w:tc>
      </w:tr>
      <w:tr w:rsidR="005D0DD1" w:rsidRPr="008065AC" w14:paraId="061580CA" w14:textId="77777777" w:rsidTr="008065AC">
        <w:trPr>
          <w:trHeight w:val="249"/>
        </w:trPr>
        <w:tc>
          <w:tcPr>
            <w:tcW w:w="1998" w:type="dxa"/>
            <w:vAlign w:val="center"/>
            <w:hideMark/>
          </w:tcPr>
          <w:p w14:paraId="113EACEF" w14:textId="77777777" w:rsidR="005D0DD1" w:rsidRPr="005D0DD1" w:rsidRDefault="005D0DD1" w:rsidP="00CA0CD7">
            <w:pPr>
              <w:jc w:val="center"/>
              <w:rPr>
                <w:sz w:val="20"/>
                <w:szCs w:val="20"/>
                <w:lang w:val="es-ES"/>
              </w:rPr>
            </w:pPr>
            <w:r w:rsidRPr="005D0DD1">
              <w:rPr>
                <w:sz w:val="20"/>
                <w:lang w:val="es-ES"/>
              </w:rPr>
              <w:t>Sustancias químicas</w:t>
            </w:r>
          </w:p>
        </w:tc>
        <w:tc>
          <w:tcPr>
            <w:tcW w:w="851" w:type="dxa"/>
            <w:vAlign w:val="center"/>
            <w:hideMark/>
          </w:tcPr>
          <w:p w14:paraId="2C7D174E" w14:textId="77777777" w:rsidR="005D0DD1" w:rsidRPr="005D0DD1" w:rsidRDefault="005D0DD1" w:rsidP="00CA0CD7">
            <w:pPr>
              <w:jc w:val="center"/>
              <w:rPr>
                <w:sz w:val="20"/>
                <w:szCs w:val="20"/>
                <w:lang w:val="es-ES"/>
              </w:rPr>
            </w:pPr>
            <w:r w:rsidRPr="005D0DD1">
              <w:rPr>
                <w:sz w:val="20"/>
                <w:lang w:val="es-ES"/>
              </w:rPr>
              <w:t>Aerosoles</w:t>
            </w:r>
          </w:p>
        </w:tc>
        <w:tc>
          <w:tcPr>
            <w:tcW w:w="708" w:type="dxa"/>
            <w:vAlign w:val="center"/>
            <w:hideMark/>
          </w:tcPr>
          <w:p w14:paraId="55F3D3F1" w14:textId="77777777" w:rsidR="005D0DD1" w:rsidRPr="005D0DD1" w:rsidRDefault="005D0DD1" w:rsidP="00CA0CD7">
            <w:pPr>
              <w:jc w:val="center"/>
              <w:rPr>
                <w:sz w:val="20"/>
                <w:szCs w:val="20"/>
                <w:lang w:val="es-ES"/>
              </w:rPr>
            </w:pPr>
            <w:r w:rsidRPr="005D0DD1">
              <w:rPr>
                <w:sz w:val="20"/>
                <w:lang w:val="es-ES"/>
              </w:rPr>
              <w:t>Espumas</w:t>
            </w:r>
          </w:p>
        </w:tc>
        <w:tc>
          <w:tcPr>
            <w:tcW w:w="851" w:type="dxa"/>
            <w:vAlign w:val="center"/>
            <w:hideMark/>
          </w:tcPr>
          <w:p w14:paraId="06169EC5" w14:textId="77777777" w:rsidR="005D0DD1" w:rsidRPr="005D0DD1" w:rsidRDefault="005D0DD1" w:rsidP="00CA0CD7">
            <w:pPr>
              <w:jc w:val="center"/>
              <w:rPr>
                <w:sz w:val="20"/>
                <w:szCs w:val="20"/>
                <w:lang w:val="es-ES"/>
              </w:rPr>
            </w:pPr>
            <w:r w:rsidRPr="005D0DD1">
              <w:rPr>
                <w:sz w:val="20"/>
                <w:lang w:val="es-ES"/>
              </w:rPr>
              <w:t>Extinción de incendios</w:t>
            </w:r>
          </w:p>
        </w:tc>
        <w:tc>
          <w:tcPr>
            <w:tcW w:w="2549" w:type="dxa"/>
            <w:gridSpan w:val="2"/>
            <w:vAlign w:val="center"/>
            <w:hideMark/>
          </w:tcPr>
          <w:p w14:paraId="2CD5935B" w14:textId="77777777" w:rsidR="005D0DD1" w:rsidRPr="005D0DD1" w:rsidRDefault="005D0DD1" w:rsidP="00CA0CD7">
            <w:pPr>
              <w:jc w:val="center"/>
              <w:rPr>
                <w:sz w:val="20"/>
                <w:szCs w:val="20"/>
                <w:lang w:val="es-ES"/>
              </w:rPr>
            </w:pPr>
            <w:r w:rsidRPr="005D0DD1">
              <w:rPr>
                <w:sz w:val="20"/>
                <w:lang w:val="es-ES"/>
              </w:rPr>
              <w:t>Refrigeración</w:t>
            </w:r>
          </w:p>
        </w:tc>
        <w:tc>
          <w:tcPr>
            <w:tcW w:w="851" w:type="dxa"/>
            <w:vAlign w:val="center"/>
            <w:hideMark/>
          </w:tcPr>
          <w:p w14:paraId="1882CED8" w14:textId="77777777" w:rsidR="005D0DD1" w:rsidRPr="005D0DD1" w:rsidRDefault="005D0DD1" w:rsidP="00CA0CD7">
            <w:pPr>
              <w:jc w:val="center"/>
              <w:rPr>
                <w:sz w:val="20"/>
                <w:szCs w:val="20"/>
                <w:lang w:val="es-ES"/>
              </w:rPr>
            </w:pPr>
            <w:r w:rsidRPr="005D0DD1">
              <w:rPr>
                <w:sz w:val="20"/>
                <w:lang w:val="es-ES"/>
              </w:rPr>
              <w:t>Disolventes</w:t>
            </w:r>
          </w:p>
        </w:tc>
        <w:tc>
          <w:tcPr>
            <w:tcW w:w="850" w:type="dxa"/>
            <w:vAlign w:val="center"/>
            <w:hideMark/>
          </w:tcPr>
          <w:p w14:paraId="6D460491" w14:textId="77777777" w:rsidR="005D0DD1" w:rsidRPr="005D0DD1" w:rsidRDefault="005D0DD1" w:rsidP="00CA0CD7">
            <w:pPr>
              <w:jc w:val="center"/>
              <w:rPr>
                <w:sz w:val="20"/>
                <w:szCs w:val="20"/>
                <w:lang w:val="es-ES"/>
              </w:rPr>
            </w:pPr>
            <w:r w:rsidRPr="005D0DD1">
              <w:rPr>
                <w:sz w:val="20"/>
                <w:lang w:val="es-ES"/>
              </w:rPr>
              <w:t>Agentes de procesos</w:t>
            </w:r>
          </w:p>
        </w:tc>
        <w:tc>
          <w:tcPr>
            <w:tcW w:w="713" w:type="dxa"/>
            <w:vAlign w:val="center"/>
            <w:hideMark/>
          </w:tcPr>
          <w:p w14:paraId="322A0F2F" w14:textId="77777777" w:rsidR="005D0DD1" w:rsidRPr="005D0DD1" w:rsidRDefault="005D0DD1" w:rsidP="00CA0CD7">
            <w:pPr>
              <w:jc w:val="center"/>
              <w:rPr>
                <w:sz w:val="20"/>
                <w:szCs w:val="20"/>
                <w:lang w:val="es-ES"/>
              </w:rPr>
            </w:pPr>
            <w:r w:rsidRPr="005D0DD1">
              <w:rPr>
                <w:sz w:val="20"/>
                <w:lang w:val="es-ES"/>
              </w:rPr>
              <w:t>Uso en lab.</w:t>
            </w:r>
          </w:p>
        </w:tc>
        <w:tc>
          <w:tcPr>
            <w:tcW w:w="1359" w:type="dxa"/>
            <w:vAlign w:val="center"/>
            <w:hideMark/>
          </w:tcPr>
          <w:p w14:paraId="1295561E" w14:textId="77777777" w:rsidR="005D0DD1" w:rsidRPr="005D0DD1" w:rsidRDefault="005D0DD1" w:rsidP="00CA0CD7">
            <w:pPr>
              <w:jc w:val="center"/>
              <w:rPr>
                <w:sz w:val="20"/>
                <w:szCs w:val="20"/>
                <w:lang w:val="es-ES"/>
              </w:rPr>
            </w:pPr>
            <w:r w:rsidRPr="005D0DD1">
              <w:rPr>
                <w:sz w:val="20"/>
                <w:lang w:val="es-ES"/>
              </w:rPr>
              <w:t>Consumo total de los sectores</w:t>
            </w:r>
          </w:p>
        </w:tc>
      </w:tr>
      <w:tr w:rsidR="005D0DD1" w:rsidRPr="005D0DD1" w14:paraId="71E932AF" w14:textId="77777777" w:rsidTr="008065AC">
        <w:trPr>
          <w:trHeight w:val="249"/>
        </w:trPr>
        <w:tc>
          <w:tcPr>
            <w:tcW w:w="4408" w:type="dxa"/>
            <w:gridSpan w:val="4"/>
            <w:hideMark/>
          </w:tcPr>
          <w:p w14:paraId="01FA683B" w14:textId="77777777" w:rsidR="005D0DD1" w:rsidRPr="005D0DD1" w:rsidRDefault="005D0DD1" w:rsidP="00CA0CD7">
            <w:pPr>
              <w:jc w:val="center"/>
              <w:rPr>
                <w:sz w:val="20"/>
                <w:szCs w:val="20"/>
                <w:lang w:val="es-ES"/>
              </w:rPr>
            </w:pPr>
            <w:r w:rsidRPr="005D0DD1">
              <w:rPr>
                <w:sz w:val="20"/>
                <w:lang w:val="es-ES"/>
              </w:rPr>
              <w:t xml:space="preserve"> </w:t>
            </w:r>
          </w:p>
        </w:tc>
        <w:tc>
          <w:tcPr>
            <w:tcW w:w="1418" w:type="dxa"/>
            <w:hideMark/>
          </w:tcPr>
          <w:p w14:paraId="7E7D3E4D" w14:textId="77777777" w:rsidR="005D0DD1" w:rsidRPr="005D0DD1" w:rsidRDefault="005D0DD1" w:rsidP="00CA0CD7">
            <w:pPr>
              <w:jc w:val="center"/>
              <w:rPr>
                <w:sz w:val="20"/>
                <w:szCs w:val="20"/>
                <w:lang w:val="es-ES"/>
              </w:rPr>
            </w:pPr>
            <w:r w:rsidRPr="005D0DD1">
              <w:rPr>
                <w:sz w:val="20"/>
                <w:lang w:val="es-ES"/>
              </w:rPr>
              <w:t>Fabricación</w:t>
            </w:r>
          </w:p>
        </w:tc>
        <w:tc>
          <w:tcPr>
            <w:tcW w:w="1131" w:type="dxa"/>
            <w:hideMark/>
          </w:tcPr>
          <w:p w14:paraId="25CC09E3" w14:textId="77777777" w:rsidR="005D0DD1" w:rsidRPr="005D0DD1" w:rsidRDefault="005D0DD1" w:rsidP="00CA0CD7">
            <w:pPr>
              <w:jc w:val="center"/>
              <w:rPr>
                <w:sz w:val="20"/>
                <w:szCs w:val="20"/>
                <w:lang w:val="es-ES"/>
              </w:rPr>
            </w:pPr>
            <w:r w:rsidRPr="005D0DD1">
              <w:rPr>
                <w:sz w:val="20"/>
                <w:lang w:val="es-ES"/>
              </w:rPr>
              <w:t>Servicio y mantenim.</w:t>
            </w:r>
          </w:p>
        </w:tc>
        <w:tc>
          <w:tcPr>
            <w:tcW w:w="3773" w:type="dxa"/>
            <w:gridSpan w:val="4"/>
          </w:tcPr>
          <w:p w14:paraId="1FA401E3" w14:textId="77777777" w:rsidR="005D0DD1" w:rsidRPr="005D0DD1" w:rsidRDefault="005D0DD1" w:rsidP="00CA0CD7">
            <w:pPr>
              <w:jc w:val="center"/>
              <w:rPr>
                <w:sz w:val="20"/>
                <w:szCs w:val="20"/>
                <w:lang w:val="es-ES"/>
              </w:rPr>
            </w:pPr>
          </w:p>
        </w:tc>
      </w:tr>
      <w:tr w:rsidR="005D0DD1" w:rsidRPr="005D0DD1" w14:paraId="751034C2" w14:textId="77777777" w:rsidTr="008065AC">
        <w:trPr>
          <w:trHeight w:val="249"/>
        </w:trPr>
        <w:tc>
          <w:tcPr>
            <w:tcW w:w="1998" w:type="dxa"/>
            <w:hideMark/>
          </w:tcPr>
          <w:p w14:paraId="1A4A5FE2" w14:textId="77777777" w:rsidR="005D0DD1" w:rsidRPr="005D0DD1" w:rsidRDefault="005D0DD1" w:rsidP="00CA0CD7">
            <w:pPr>
              <w:ind w:left="32"/>
              <w:jc w:val="left"/>
              <w:rPr>
                <w:sz w:val="20"/>
                <w:szCs w:val="20"/>
                <w:lang w:val="es-ES"/>
              </w:rPr>
            </w:pPr>
            <w:r w:rsidRPr="005D0DD1">
              <w:rPr>
                <w:sz w:val="20"/>
                <w:lang w:val="es-ES"/>
              </w:rPr>
              <w:t>HCFC-22</w:t>
            </w:r>
          </w:p>
        </w:tc>
        <w:tc>
          <w:tcPr>
            <w:tcW w:w="851" w:type="dxa"/>
          </w:tcPr>
          <w:p w14:paraId="324D21C4" w14:textId="77777777" w:rsidR="005D0DD1" w:rsidRPr="005D0DD1" w:rsidRDefault="005D0DD1" w:rsidP="00CA0CD7">
            <w:pPr>
              <w:jc w:val="right"/>
              <w:rPr>
                <w:sz w:val="20"/>
                <w:szCs w:val="20"/>
                <w:lang w:val="es-ES"/>
              </w:rPr>
            </w:pPr>
          </w:p>
        </w:tc>
        <w:tc>
          <w:tcPr>
            <w:tcW w:w="708" w:type="dxa"/>
          </w:tcPr>
          <w:p w14:paraId="54152CAD" w14:textId="77777777" w:rsidR="005D0DD1" w:rsidRPr="005D0DD1" w:rsidRDefault="005D0DD1" w:rsidP="00CA0CD7">
            <w:pPr>
              <w:jc w:val="right"/>
              <w:rPr>
                <w:sz w:val="20"/>
                <w:szCs w:val="20"/>
                <w:lang w:val="es-ES"/>
              </w:rPr>
            </w:pPr>
          </w:p>
        </w:tc>
        <w:tc>
          <w:tcPr>
            <w:tcW w:w="851" w:type="dxa"/>
          </w:tcPr>
          <w:p w14:paraId="4B5FC5D5" w14:textId="77777777" w:rsidR="005D0DD1" w:rsidRPr="005D0DD1" w:rsidRDefault="005D0DD1" w:rsidP="00CA0CD7">
            <w:pPr>
              <w:jc w:val="right"/>
              <w:rPr>
                <w:sz w:val="20"/>
                <w:szCs w:val="20"/>
                <w:lang w:val="es-ES"/>
              </w:rPr>
            </w:pPr>
          </w:p>
        </w:tc>
        <w:tc>
          <w:tcPr>
            <w:tcW w:w="1418" w:type="dxa"/>
          </w:tcPr>
          <w:p w14:paraId="3435662E" w14:textId="77777777" w:rsidR="005D0DD1" w:rsidRPr="005D0DD1" w:rsidRDefault="005D0DD1" w:rsidP="00CA0CD7">
            <w:pPr>
              <w:jc w:val="right"/>
              <w:rPr>
                <w:sz w:val="20"/>
                <w:szCs w:val="20"/>
                <w:lang w:val="es-ES"/>
              </w:rPr>
            </w:pPr>
          </w:p>
        </w:tc>
        <w:tc>
          <w:tcPr>
            <w:tcW w:w="1131" w:type="dxa"/>
          </w:tcPr>
          <w:p w14:paraId="7F9DB877" w14:textId="77777777" w:rsidR="005D0DD1" w:rsidRPr="005D0DD1" w:rsidRDefault="005D0DD1" w:rsidP="00CA0CD7">
            <w:pPr>
              <w:jc w:val="right"/>
              <w:rPr>
                <w:sz w:val="20"/>
                <w:szCs w:val="20"/>
                <w:lang w:val="es-ES"/>
              </w:rPr>
            </w:pPr>
            <w:r w:rsidRPr="005D0DD1">
              <w:rPr>
                <w:color w:val="000000" w:themeColor="text1"/>
                <w:sz w:val="20"/>
                <w:lang w:val="es-ES"/>
              </w:rPr>
              <w:t>0,17</w:t>
            </w:r>
          </w:p>
        </w:tc>
        <w:tc>
          <w:tcPr>
            <w:tcW w:w="851" w:type="dxa"/>
          </w:tcPr>
          <w:p w14:paraId="60BAB18D" w14:textId="77777777" w:rsidR="005D0DD1" w:rsidRPr="005D0DD1" w:rsidRDefault="005D0DD1" w:rsidP="00CA0CD7">
            <w:pPr>
              <w:jc w:val="right"/>
              <w:rPr>
                <w:sz w:val="20"/>
                <w:szCs w:val="20"/>
                <w:lang w:val="es-ES"/>
              </w:rPr>
            </w:pPr>
          </w:p>
        </w:tc>
        <w:tc>
          <w:tcPr>
            <w:tcW w:w="850" w:type="dxa"/>
          </w:tcPr>
          <w:p w14:paraId="753A6608" w14:textId="77777777" w:rsidR="005D0DD1" w:rsidRPr="005D0DD1" w:rsidRDefault="005D0DD1" w:rsidP="00CA0CD7">
            <w:pPr>
              <w:jc w:val="right"/>
              <w:rPr>
                <w:sz w:val="20"/>
                <w:szCs w:val="20"/>
                <w:lang w:val="es-ES"/>
              </w:rPr>
            </w:pPr>
          </w:p>
        </w:tc>
        <w:tc>
          <w:tcPr>
            <w:tcW w:w="713" w:type="dxa"/>
          </w:tcPr>
          <w:p w14:paraId="5C692BC1" w14:textId="77777777" w:rsidR="005D0DD1" w:rsidRPr="005D0DD1" w:rsidRDefault="005D0DD1" w:rsidP="00CA0CD7">
            <w:pPr>
              <w:jc w:val="right"/>
              <w:rPr>
                <w:sz w:val="20"/>
                <w:szCs w:val="20"/>
                <w:lang w:val="es-ES"/>
              </w:rPr>
            </w:pPr>
          </w:p>
        </w:tc>
        <w:tc>
          <w:tcPr>
            <w:tcW w:w="1359" w:type="dxa"/>
          </w:tcPr>
          <w:p w14:paraId="49C065DA" w14:textId="77777777" w:rsidR="005D0DD1" w:rsidRPr="005D0DD1" w:rsidRDefault="005D0DD1" w:rsidP="00CA0CD7">
            <w:pPr>
              <w:jc w:val="right"/>
              <w:rPr>
                <w:sz w:val="20"/>
                <w:szCs w:val="20"/>
                <w:lang w:val="es-ES"/>
              </w:rPr>
            </w:pPr>
            <w:r w:rsidRPr="005D0DD1">
              <w:rPr>
                <w:color w:val="000000" w:themeColor="text1"/>
                <w:sz w:val="20"/>
                <w:lang w:val="es-ES"/>
              </w:rPr>
              <w:t>0,17</w:t>
            </w:r>
          </w:p>
        </w:tc>
      </w:tr>
    </w:tbl>
    <w:p w14:paraId="09C4EB25" w14:textId="77777777" w:rsidR="005D0DD1" w:rsidRPr="008065AC" w:rsidRDefault="005D0DD1" w:rsidP="005D0DD1">
      <w:pPr>
        <w:jc w:val="center"/>
        <w:rPr>
          <w:sz w:val="16"/>
          <w:szCs w:val="16"/>
          <w:lang w:val="es-ES"/>
        </w:rPr>
      </w:pPr>
    </w:p>
    <w:tbl>
      <w:tblPr>
        <w:tblStyle w:val="TableGrid"/>
        <w:tblW w:w="10708" w:type="dxa"/>
        <w:tblInd w:w="-725" w:type="dxa"/>
        <w:tblLook w:val="04A0" w:firstRow="1" w:lastRow="0" w:firstColumn="1" w:lastColumn="0" w:noHBand="0" w:noVBand="1"/>
      </w:tblPr>
      <w:tblGrid>
        <w:gridCol w:w="3130"/>
        <w:gridCol w:w="1701"/>
        <w:gridCol w:w="4394"/>
        <w:gridCol w:w="1483"/>
      </w:tblGrid>
      <w:tr w:rsidR="005D0DD1" w:rsidRPr="005D0DD1" w14:paraId="0711DE34" w14:textId="77777777" w:rsidTr="008065AC">
        <w:trPr>
          <w:trHeight w:val="276"/>
        </w:trPr>
        <w:tc>
          <w:tcPr>
            <w:tcW w:w="10708" w:type="dxa"/>
            <w:gridSpan w:val="4"/>
            <w:hideMark/>
          </w:tcPr>
          <w:p w14:paraId="627D96DF" w14:textId="77777777" w:rsidR="005D0DD1" w:rsidRPr="005D0DD1" w:rsidRDefault="005D0DD1" w:rsidP="00CA0CD7">
            <w:pPr>
              <w:jc w:val="left"/>
              <w:rPr>
                <w:b/>
                <w:sz w:val="20"/>
                <w:szCs w:val="20"/>
                <w:lang w:val="es-ES"/>
              </w:rPr>
            </w:pPr>
            <w:r w:rsidRPr="005D0DD1">
              <w:rPr>
                <w:b/>
                <w:sz w:val="20"/>
                <w:lang w:val="es-ES"/>
              </w:rPr>
              <w:t>IV) DATOS DE CONSUMO (toneladas PAO)</w:t>
            </w:r>
          </w:p>
        </w:tc>
      </w:tr>
      <w:tr w:rsidR="005D0DD1" w:rsidRPr="005D0DD1" w14:paraId="77DED5AC" w14:textId="77777777" w:rsidTr="008065AC">
        <w:trPr>
          <w:trHeight w:val="276"/>
        </w:trPr>
        <w:tc>
          <w:tcPr>
            <w:tcW w:w="3130" w:type="dxa"/>
            <w:hideMark/>
          </w:tcPr>
          <w:p w14:paraId="538627AA" w14:textId="77777777" w:rsidR="005D0DD1" w:rsidRPr="005D0DD1" w:rsidRDefault="005D0DD1" w:rsidP="00CA0CD7">
            <w:pPr>
              <w:jc w:val="center"/>
              <w:rPr>
                <w:sz w:val="20"/>
                <w:szCs w:val="20"/>
                <w:lang w:val="es-ES"/>
              </w:rPr>
            </w:pPr>
            <w:r w:rsidRPr="005D0DD1">
              <w:rPr>
                <w:sz w:val="20"/>
                <w:lang w:val="es-ES"/>
              </w:rPr>
              <w:t>Nivel básico en 2009-2010:</w:t>
            </w:r>
          </w:p>
        </w:tc>
        <w:tc>
          <w:tcPr>
            <w:tcW w:w="1701" w:type="dxa"/>
            <w:hideMark/>
          </w:tcPr>
          <w:p w14:paraId="5CAC7621" w14:textId="77777777" w:rsidR="005D0DD1" w:rsidRPr="005D0DD1" w:rsidRDefault="005D0DD1" w:rsidP="00CA0CD7">
            <w:pPr>
              <w:jc w:val="right"/>
              <w:rPr>
                <w:sz w:val="20"/>
                <w:szCs w:val="20"/>
                <w:lang w:val="es-ES"/>
              </w:rPr>
            </w:pPr>
            <w:r w:rsidRPr="005D0DD1">
              <w:rPr>
                <w:sz w:val="20"/>
                <w:lang w:val="es-ES"/>
              </w:rPr>
              <w:t>1,5</w:t>
            </w:r>
          </w:p>
        </w:tc>
        <w:tc>
          <w:tcPr>
            <w:tcW w:w="4394" w:type="dxa"/>
            <w:hideMark/>
          </w:tcPr>
          <w:p w14:paraId="5F3CB3DE" w14:textId="77777777" w:rsidR="005D0DD1" w:rsidRPr="005D0DD1" w:rsidRDefault="005D0DD1" w:rsidP="00CA0CD7">
            <w:pPr>
              <w:jc w:val="center"/>
              <w:rPr>
                <w:sz w:val="20"/>
                <w:szCs w:val="20"/>
                <w:lang w:val="es-ES"/>
              </w:rPr>
            </w:pPr>
            <w:r w:rsidRPr="005D0DD1">
              <w:rPr>
                <w:sz w:val="20"/>
                <w:lang w:val="es-ES"/>
              </w:rPr>
              <w:t>Punto de partida para las reducciones acumuladas sostenidas:</w:t>
            </w:r>
          </w:p>
        </w:tc>
        <w:tc>
          <w:tcPr>
            <w:tcW w:w="1483" w:type="dxa"/>
            <w:hideMark/>
          </w:tcPr>
          <w:p w14:paraId="36CD2A5C" w14:textId="77777777" w:rsidR="005D0DD1" w:rsidRPr="005D0DD1" w:rsidRDefault="005D0DD1" w:rsidP="00CA0CD7">
            <w:pPr>
              <w:jc w:val="right"/>
              <w:rPr>
                <w:sz w:val="20"/>
                <w:szCs w:val="20"/>
                <w:lang w:val="es-ES"/>
              </w:rPr>
            </w:pPr>
            <w:r w:rsidRPr="005D0DD1">
              <w:rPr>
                <w:sz w:val="20"/>
                <w:lang w:val="es-ES"/>
              </w:rPr>
              <w:t>1,5</w:t>
            </w:r>
          </w:p>
        </w:tc>
      </w:tr>
      <w:tr w:rsidR="005D0DD1" w:rsidRPr="008065AC" w14:paraId="45DFFC5F" w14:textId="77777777" w:rsidTr="008065AC">
        <w:trPr>
          <w:trHeight w:val="276"/>
        </w:trPr>
        <w:tc>
          <w:tcPr>
            <w:tcW w:w="10708" w:type="dxa"/>
            <w:gridSpan w:val="4"/>
            <w:hideMark/>
          </w:tcPr>
          <w:p w14:paraId="3AB827EA" w14:textId="77777777" w:rsidR="005D0DD1" w:rsidRPr="005D0DD1" w:rsidRDefault="005D0DD1" w:rsidP="00CA0CD7">
            <w:pPr>
              <w:ind w:left="316"/>
              <w:rPr>
                <w:b/>
                <w:sz w:val="20"/>
                <w:szCs w:val="20"/>
                <w:lang w:val="es-ES"/>
              </w:rPr>
            </w:pPr>
            <w:r w:rsidRPr="005D0DD1">
              <w:rPr>
                <w:b/>
                <w:sz w:val="20"/>
                <w:lang w:val="es-ES"/>
              </w:rPr>
              <w:t>CONSUMO ADMISIBLE PARA LA FINANCIACIÓN</w:t>
            </w:r>
          </w:p>
        </w:tc>
      </w:tr>
      <w:tr w:rsidR="005D0DD1" w:rsidRPr="005D0DD1" w14:paraId="6888AEB5" w14:textId="77777777" w:rsidTr="008065AC">
        <w:trPr>
          <w:trHeight w:val="276"/>
        </w:trPr>
        <w:tc>
          <w:tcPr>
            <w:tcW w:w="3130" w:type="dxa"/>
            <w:hideMark/>
          </w:tcPr>
          <w:p w14:paraId="3CE1A37A" w14:textId="77777777" w:rsidR="005D0DD1" w:rsidRPr="005D0DD1" w:rsidRDefault="005D0DD1" w:rsidP="00CA0CD7">
            <w:pPr>
              <w:jc w:val="center"/>
              <w:rPr>
                <w:sz w:val="20"/>
                <w:szCs w:val="20"/>
                <w:lang w:val="es-ES"/>
              </w:rPr>
            </w:pPr>
            <w:r w:rsidRPr="005D0DD1">
              <w:rPr>
                <w:sz w:val="20"/>
                <w:lang w:val="es-ES"/>
              </w:rPr>
              <w:t>Ya aprobado:</w:t>
            </w:r>
          </w:p>
        </w:tc>
        <w:tc>
          <w:tcPr>
            <w:tcW w:w="1701" w:type="dxa"/>
            <w:hideMark/>
          </w:tcPr>
          <w:p w14:paraId="3749466E" w14:textId="77777777" w:rsidR="005D0DD1" w:rsidRPr="005D0DD1" w:rsidRDefault="005D0DD1" w:rsidP="00CA0CD7">
            <w:pPr>
              <w:jc w:val="right"/>
              <w:rPr>
                <w:sz w:val="20"/>
                <w:szCs w:val="20"/>
                <w:lang w:val="es-ES"/>
              </w:rPr>
            </w:pPr>
            <w:r w:rsidRPr="005D0DD1">
              <w:rPr>
                <w:sz w:val="20"/>
                <w:lang w:val="es-ES"/>
              </w:rPr>
              <w:t>1,5</w:t>
            </w:r>
          </w:p>
        </w:tc>
        <w:tc>
          <w:tcPr>
            <w:tcW w:w="4394" w:type="dxa"/>
            <w:hideMark/>
          </w:tcPr>
          <w:p w14:paraId="111FABE7" w14:textId="77777777" w:rsidR="005D0DD1" w:rsidRPr="005D0DD1" w:rsidRDefault="005D0DD1" w:rsidP="00CA0CD7">
            <w:pPr>
              <w:jc w:val="center"/>
              <w:rPr>
                <w:i/>
                <w:sz w:val="20"/>
                <w:szCs w:val="20"/>
                <w:lang w:val="es-ES"/>
              </w:rPr>
            </w:pPr>
            <w:r w:rsidRPr="005D0DD1">
              <w:rPr>
                <w:sz w:val="20"/>
                <w:lang w:val="es-ES"/>
              </w:rPr>
              <w:t>Restante:</w:t>
            </w:r>
          </w:p>
        </w:tc>
        <w:tc>
          <w:tcPr>
            <w:tcW w:w="1483" w:type="dxa"/>
            <w:hideMark/>
          </w:tcPr>
          <w:p w14:paraId="07126A67" w14:textId="77777777" w:rsidR="005D0DD1" w:rsidRPr="005D0DD1" w:rsidRDefault="005D0DD1" w:rsidP="00CA0CD7">
            <w:pPr>
              <w:jc w:val="right"/>
              <w:rPr>
                <w:sz w:val="20"/>
                <w:szCs w:val="20"/>
                <w:lang w:val="es-ES"/>
              </w:rPr>
            </w:pPr>
            <w:r w:rsidRPr="005D0DD1">
              <w:rPr>
                <w:sz w:val="20"/>
                <w:lang w:val="es-ES"/>
              </w:rPr>
              <w:t>0</w:t>
            </w:r>
          </w:p>
        </w:tc>
      </w:tr>
    </w:tbl>
    <w:p w14:paraId="5EA345EC" w14:textId="77777777" w:rsidR="005D0DD1" w:rsidRPr="008065AC" w:rsidRDefault="005D0DD1" w:rsidP="005D0DD1">
      <w:pPr>
        <w:jc w:val="center"/>
        <w:rPr>
          <w:sz w:val="16"/>
          <w:szCs w:val="16"/>
          <w:lang w:val="es-ES"/>
        </w:rPr>
      </w:pPr>
    </w:p>
    <w:tbl>
      <w:tblPr>
        <w:tblStyle w:val="TableGrid"/>
        <w:tblW w:w="5724" w:type="pct"/>
        <w:tblInd w:w="-725" w:type="dxa"/>
        <w:tblLook w:val="04A0" w:firstRow="1" w:lastRow="0" w:firstColumn="1" w:lastColumn="0" w:noHBand="0" w:noVBand="1"/>
      </w:tblPr>
      <w:tblGrid>
        <w:gridCol w:w="2138"/>
        <w:gridCol w:w="2655"/>
        <w:gridCol w:w="1460"/>
        <w:gridCol w:w="1460"/>
        <w:gridCol w:w="1460"/>
        <w:gridCol w:w="1531"/>
      </w:tblGrid>
      <w:tr w:rsidR="005D0DD1" w:rsidRPr="005D0DD1" w14:paraId="7D1AAFE5" w14:textId="77777777" w:rsidTr="008065AC">
        <w:trPr>
          <w:trHeight w:val="264"/>
        </w:trPr>
        <w:tc>
          <w:tcPr>
            <w:tcW w:w="2239" w:type="pct"/>
            <w:gridSpan w:val="2"/>
            <w:hideMark/>
          </w:tcPr>
          <w:p w14:paraId="38BE455A" w14:textId="77777777" w:rsidR="005D0DD1" w:rsidRPr="005D0DD1" w:rsidRDefault="005D0DD1" w:rsidP="00CA0CD7">
            <w:pPr>
              <w:jc w:val="left"/>
              <w:rPr>
                <w:b/>
                <w:sz w:val="20"/>
                <w:szCs w:val="20"/>
                <w:lang w:val="es-ES"/>
              </w:rPr>
            </w:pPr>
            <w:r w:rsidRPr="005D0DD1">
              <w:rPr>
                <w:b/>
                <w:sz w:val="20"/>
                <w:lang w:val="es-ES"/>
              </w:rPr>
              <w:t>V) PLAN ADMINISTRATIVO RESPALDADO</w:t>
            </w:r>
          </w:p>
        </w:tc>
        <w:tc>
          <w:tcPr>
            <w:tcW w:w="682" w:type="pct"/>
            <w:vAlign w:val="center"/>
            <w:hideMark/>
          </w:tcPr>
          <w:p w14:paraId="767766A2" w14:textId="77777777" w:rsidR="005D0DD1" w:rsidRPr="005D0DD1" w:rsidRDefault="005D0DD1" w:rsidP="00CA0CD7">
            <w:pPr>
              <w:jc w:val="center"/>
              <w:rPr>
                <w:b/>
                <w:sz w:val="20"/>
                <w:szCs w:val="20"/>
                <w:lang w:val="es-ES"/>
              </w:rPr>
            </w:pPr>
            <w:r w:rsidRPr="005D0DD1">
              <w:rPr>
                <w:b/>
                <w:sz w:val="20"/>
                <w:lang w:val="es-ES"/>
              </w:rPr>
              <w:t>2023</w:t>
            </w:r>
          </w:p>
        </w:tc>
        <w:tc>
          <w:tcPr>
            <w:tcW w:w="682" w:type="pct"/>
            <w:vAlign w:val="center"/>
            <w:hideMark/>
          </w:tcPr>
          <w:p w14:paraId="5DA945FE" w14:textId="77777777" w:rsidR="005D0DD1" w:rsidRPr="005D0DD1" w:rsidRDefault="005D0DD1" w:rsidP="00CA0CD7">
            <w:pPr>
              <w:jc w:val="center"/>
              <w:rPr>
                <w:b/>
                <w:sz w:val="20"/>
                <w:szCs w:val="20"/>
                <w:lang w:val="es-ES"/>
              </w:rPr>
            </w:pPr>
            <w:r w:rsidRPr="005D0DD1">
              <w:rPr>
                <w:b/>
                <w:sz w:val="20"/>
                <w:lang w:val="es-ES"/>
              </w:rPr>
              <w:t>2024</w:t>
            </w:r>
          </w:p>
        </w:tc>
        <w:tc>
          <w:tcPr>
            <w:tcW w:w="682" w:type="pct"/>
            <w:vAlign w:val="center"/>
            <w:hideMark/>
          </w:tcPr>
          <w:p w14:paraId="41EF05E7" w14:textId="77777777" w:rsidR="005D0DD1" w:rsidRPr="005D0DD1" w:rsidRDefault="005D0DD1" w:rsidP="00CA0CD7">
            <w:pPr>
              <w:jc w:val="center"/>
              <w:rPr>
                <w:b/>
                <w:sz w:val="20"/>
                <w:szCs w:val="20"/>
                <w:lang w:val="es-ES"/>
              </w:rPr>
            </w:pPr>
            <w:r w:rsidRPr="005D0DD1">
              <w:rPr>
                <w:b/>
                <w:sz w:val="20"/>
                <w:lang w:val="es-ES"/>
              </w:rPr>
              <w:t>2025</w:t>
            </w:r>
          </w:p>
        </w:tc>
        <w:tc>
          <w:tcPr>
            <w:tcW w:w="716" w:type="pct"/>
            <w:vAlign w:val="center"/>
            <w:hideMark/>
          </w:tcPr>
          <w:p w14:paraId="09C24696" w14:textId="77777777" w:rsidR="005D0DD1" w:rsidRPr="005D0DD1" w:rsidRDefault="005D0DD1" w:rsidP="00CA0CD7">
            <w:pPr>
              <w:jc w:val="center"/>
              <w:rPr>
                <w:b/>
                <w:sz w:val="20"/>
                <w:szCs w:val="20"/>
                <w:lang w:val="es-ES"/>
              </w:rPr>
            </w:pPr>
            <w:r w:rsidRPr="005D0DD1">
              <w:rPr>
                <w:b/>
                <w:sz w:val="20"/>
                <w:lang w:val="es-ES"/>
              </w:rPr>
              <w:t>Total</w:t>
            </w:r>
          </w:p>
        </w:tc>
      </w:tr>
      <w:tr w:rsidR="005D0DD1" w:rsidRPr="005D0DD1" w14:paraId="6B997678" w14:textId="77777777" w:rsidTr="008065AC">
        <w:trPr>
          <w:trHeight w:val="187"/>
        </w:trPr>
        <w:tc>
          <w:tcPr>
            <w:tcW w:w="999" w:type="pct"/>
            <w:vMerge w:val="restart"/>
            <w:vAlign w:val="center"/>
            <w:hideMark/>
          </w:tcPr>
          <w:p w14:paraId="03DAE85E" w14:textId="77777777" w:rsidR="005D0DD1" w:rsidRPr="005D0DD1" w:rsidRDefault="005D0DD1" w:rsidP="00CA0CD7">
            <w:pPr>
              <w:jc w:val="center"/>
              <w:rPr>
                <w:sz w:val="20"/>
                <w:szCs w:val="20"/>
                <w:lang w:val="es-ES"/>
              </w:rPr>
            </w:pPr>
            <w:r w:rsidRPr="005D0DD1">
              <w:rPr>
                <w:color w:val="000000" w:themeColor="text1"/>
                <w:sz w:val="20"/>
                <w:lang w:val="es-ES"/>
              </w:rPr>
              <w:t>PNUMA</w:t>
            </w:r>
          </w:p>
        </w:tc>
        <w:tc>
          <w:tcPr>
            <w:tcW w:w="1240" w:type="pct"/>
            <w:hideMark/>
          </w:tcPr>
          <w:p w14:paraId="00112183" w14:textId="77777777" w:rsidR="005D0DD1" w:rsidRPr="005D0DD1" w:rsidRDefault="005D0DD1" w:rsidP="00CA0CD7">
            <w:pPr>
              <w:jc w:val="left"/>
              <w:rPr>
                <w:sz w:val="20"/>
                <w:szCs w:val="20"/>
                <w:lang w:val="es-ES"/>
              </w:rPr>
            </w:pPr>
            <w:r w:rsidRPr="005D0DD1">
              <w:rPr>
                <w:sz w:val="20"/>
                <w:lang w:val="es-ES"/>
              </w:rPr>
              <w:t>Eliminación de SAO (toneladas PAO)</w:t>
            </w:r>
          </w:p>
        </w:tc>
        <w:tc>
          <w:tcPr>
            <w:tcW w:w="682" w:type="pct"/>
          </w:tcPr>
          <w:p w14:paraId="2C3F5D62" w14:textId="77777777" w:rsidR="005D0DD1" w:rsidRPr="005D0DD1" w:rsidRDefault="005D0DD1" w:rsidP="00CA0CD7">
            <w:pPr>
              <w:jc w:val="right"/>
              <w:rPr>
                <w:sz w:val="20"/>
                <w:szCs w:val="20"/>
                <w:lang w:val="es-ES"/>
              </w:rPr>
            </w:pPr>
            <w:r w:rsidRPr="005D0DD1">
              <w:rPr>
                <w:sz w:val="20"/>
                <w:lang w:val="es-ES"/>
              </w:rPr>
              <w:t>0,2</w:t>
            </w:r>
          </w:p>
        </w:tc>
        <w:tc>
          <w:tcPr>
            <w:tcW w:w="682" w:type="pct"/>
          </w:tcPr>
          <w:p w14:paraId="15EE3453" w14:textId="77777777" w:rsidR="005D0DD1" w:rsidRPr="005D0DD1" w:rsidRDefault="005D0DD1" w:rsidP="00CA0CD7">
            <w:pPr>
              <w:jc w:val="right"/>
              <w:rPr>
                <w:sz w:val="20"/>
                <w:szCs w:val="20"/>
                <w:lang w:val="es-ES"/>
              </w:rPr>
            </w:pPr>
            <w:r w:rsidRPr="005D0DD1">
              <w:rPr>
                <w:sz w:val="20"/>
                <w:lang w:val="es-ES"/>
              </w:rPr>
              <w:t>0,0</w:t>
            </w:r>
          </w:p>
        </w:tc>
        <w:tc>
          <w:tcPr>
            <w:tcW w:w="682" w:type="pct"/>
          </w:tcPr>
          <w:p w14:paraId="6E5A0C59" w14:textId="77777777" w:rsidR="005D0DD1" w:rsidRPr="005D0DD1" w:rsidRDefault="005D0DD1" w:rsidP="00CA0CD7">
            <w:pPr>
              <w:jc w:val="right"/>
              <w:rPr>
                <w:sz w:val="20"/>
                <w:szCs w:val="20"/>
                <w:lang w:val="es-ES"/>
              </w:rPr>
            </w:pPr>
            <w:r w:rsidRPr="005D0DD1">
              <w:rPr>
                <w:sz w:val="20"/>
                <w:lang w:val="es-ES"/>
              </w:rPr>
              <w:t>0,0</w:t>
            </w:r>
          </w:p>
        </w:tc>
        <w:tc>
          <w:tcPr>
            <w:tcW w:w="716" w:type="pct"/>
          </w:tcPr>
          <w:p w14:paraId="0F989504" w14:textId="77777777" w:rsidR="005D0DD1" w:rsidRPr="005D0DD1" w:rsidRDefault="005D0DD1" w:rsidP="00CA0CD7">
            <w:pPr>
              <w:jc w:val="right"/>
              <w:rPr>
                <w:sz w:val="20"/>
                <w:szCs w:val="20"/>
                <w:lang w:val="es-ES"/>
              </w:rPr>
            </w:pPr>
            <w:r w:rsidRPr="005D0DD1">
              <w:rPr>
                <w:sz w:val="20"/>
                <w:lang w:val="es-ES"/>
              </w:rPr>
              <w:t>0,2</w:t>
            </w:r>
          </w:p>
        </w:tc>
      </w:tr>
      <w:tr w:rsidR="005D0DD1" w:rsidRPr="005D0DD1" w14:paraId="0F0E7C89" w14:textId="77777777" w:rsidTr="008065AC">
        <w:trPr>
          <w:trHeight w:val="55"/>
        </w:trPr>
        <w:tc>
          <w:tcPr>
            <w:tcW w:w="999" w:type="pct"/>
            <w:vMerge/>
            <w:tcBorders>
              <w:bottom w:val="single" w:sz="4" w:space="0" w:color="auto"/>
            </w:tcBorders>
            <w:vAlign w:val="center"/>
            <w:hideMark/>
          </w:tcPr>
          <w:p w14:paraId="7962C663" w14:textId="77777777" w:rsidR="005D0DD1" w:rsidRPr="005D0DD1" w:rsidRDefault="005D0DD1" w:rsidP="00CA0CD7">
            <w:pPr>
              <w:rPr>
                <w:sz w:val="20"/>
                <w:szCs w:val="20"/>
                <w:lang w:val="es-ES"/>
              </w:rPr>
            </w:pPr>
          </w:p>
        </w:tc>
        <w:tc>
          <w:tcPr>
            <w:tcW w:w="1240" w:type="pct"/>
            <w:hideMark/>
          </w:tcPr>
          <w:p w14:paraId="5D61BA46" w14:textId="77777777" w:rsidR="005D0DD1" w:rsidRPr="005D0DD1" w:rsidRDefault="005D0DD1" w:rsidP="00CA0CD7">
            <w:pPr>
              <w:jc w:val="left"/>
              <w:rPr>
                <w:sz w:val="20"/>
                <w:szCs w:val="20"/>
                <w:lang w:val="es-ES"/>
              </w:rPr>
            </w:pPr>
            <w:r w:rsidRPr="005D0DD1">
              <w:rPr>
                <w:sz w:val="20"/>
                <w:lang w:val="es-ES"/>
              </w:rPr>
              <w:t>Financiación ($EUA)</w:t>
            </w:r>
          </w:p>
        </w:tc>
        <w:tc>
          <w:tcPr>
            <w:tcW w:w="682" w:type="pct"/>
          </w:tcPr>
          <w:p w14:paraId="09340871" w14:textId="77777777" w:rsidR="005D0DD1" w:rsidRPr="005D0DD1" w:rsidRDefault="005D0DD1" w:rsidP="00CA0CD7">
            <w:pPr>
              <w:jc w:val="right"/>
              <w:rPr>
                <w:sz w:val="20"/>
                <w:szCs w:val="20"/>
                <w:lang w:val="es-ES"/>
              </w:rPr>
            </w:pPr>
            <w:r w:rsidRPr="005D0DD1">
              <w:rPr>
                <w:sz w:val="20"/>
                <w:lang w:val="es-ES"/>
              </w:rPr>
              <w:t>180.800*</w:t>
            </w:r>
          </w:p>
        </w:tc>
        <w:tc>
          <w:tcPr>
            <w:tcW w:w="682" w:type="pct"/>
          </w:tcPr>
          <w:p w14:paraId="2C3497F1" w14:textId="77777777" w:rsidR="005D0DD1" w:rsidRPr="005D0DD1" w:rsidRDefault="005D0DD1" w:rsidP="00CA0CD7">
            <w:pPr>
              <w:jc w:val="right"/>
              <w:rPr>
                <w:sz w:val="20"/>
                <w:szCs w:val="20"/>
                <w:lang w:val="es-ES"/>
              </w:rPr>
            </w:pPr>
            <w:r w:rsidRPr="005D0DD1">
              <w:rPr>
                <w:sz w:val="20"/>
                <w:lang w:val="es-ES"/>
              </w:rPr>
              <w:t>0</w:t>
            </w:r>
          </w:p>
        </w:tc>
        <w:tc>
          <w:tcPr>
            <w:tcW w:w="682" w:type="pct"/>
          </w:tcPr>
          <w:p w14:paraId="78B5B790" w14:textId="77777777" w:rsidR="005D0DD1" w:rsidRPr="005D0DD1" w:rsidRDefault="005D0DD1" w:rsidP="00CA0CD7">
            <w:pPr>
              <w:jc w:val="right"/>
              <w:rPr>
                <w:sz w:val="20"/>
                <w:szCs w:val="20"/>
                <w:lang w:val="es-ES"/>
              </w:rPr>
            </w:pPr>
            <w:r w:rsidRPr="005D0DD1">
              <w:rPr>
                <w:sz w:val="20"/>
                <w:lang w:val="es-ES"/>
              </w:rPr>
              <w:t>0</w:t>
            </w:r>
          </w:p>
        </w:tc>
        <w:tc>
          <w:tcPr>
            <w:tcW w:w="716" w:type="pct"/>
          </w:tcPr>
          <w:p w14:paraId="6E50064C" w14:textId="77777777" w:rsidR="005D0DD1" w:rsidRPr="005D0DD1" w:rsidRDefault="005D0DD1" w:rsidP="00CA0CD7">
            <w:pPr>
              <w:jc w:val="right"/>
              <w:rPr>
                <w:sz w:val="20"/>
                <w:szCs w:val="20"/>
                <w:lang w:val="es-ES"/>
              </w:rPr>
            </w:pPr>
            <w:r w:rsidRPr="005D0DD1">
              <w:rPr>
                <w:sz w:val="20"/>
                <w:lang w:val="es-ES"/>
              </w:rPr>
              <w:t>180.800</w:t>
            </w:r>
          </w:p>
        </w:tc>
      </w:tr>
      <w:tr w:rsidR="005D0DD1" w:rsidRPr="005D0DD1" w14:paraId="061E8DAB" w14:textId="77777777" w:rsidTr="008065AC">
        <w:trPr>
          <w:trHeight w:val="264"/>
        </w:trPr>
        <w:tc>
          <w:tcPr>
            <w:tcW w:w="999" w:type="pct"/>
            <w:vMerge w:val="restart"/>
            <w:tcBorders>
              <w:bottom w:val="single" w:sz="4" w:space="0" w:color="auto"/>
            </w:tcBorders>
            <w:vAlign w:val="center"/>
            <w:hideMark/>
          </w:tcPr>
          <w:p w14:paraId="39CC4F0A" w14:textId="77777777" w:rsidR="005D0DD1" w:rsidRPr="005D0DD1" w:rsidRDefault="005D0DD1" w:rsidP="00CA0CD7">
            <w:pPr>
              <w:jc w:val="center"/>
              <w:rPr>
                <w:sz w:val="20"/>
                <w:szCs w:val="20"/>
                <w:lang w:val="es-ES"/>
              </w:rPr>
            </w:pPr>
            <w:r w:rsidRPr="005D0DD1">
              <w:rPr>
                <w:color w:val="000000" w:themeColor="text1"/>
                <w:sz w:val="20"/>
                <w:lang w:val="es-ES"/>
              </w:rPr>
              <w:t>ONUDI</w:t>
            </w:r>
          </w:p>
        </w:tc>
        <w:tc>
          <w:tcPr>
            <w:tcW w:w="1240" w:type="pct"/>
            <w:hideMark/>
          </w:tcPr>
          <w:p w14:paraId="6E01001B" w14:textId="77777777" w:rsidR="005D0DD1" w:rsidRPr="005D0DD1" w:rsidRDefault="005D0DD1" w:rsidP="00CA0CD7">
            <w:pPr>
              <w:jc w:val="left"/>
              <w:rPr>
                <w:sz w:val="20"/>
                <w:szCs w:val="20"/>
                <w:lang w:val="es-ES"/>
              </w:rPr>
            </w:pPr>
            <w:r w:rsidRPr="005D0DD1">
              <w:rPr>
                <w:sz w:val="20"/>
                <w:lang w:val="es-ES"/>
              </w:rPr>
              <w:t>Eliminación de SAO (toneladas PAO)</w:t>
            </w:r>
          </w:p>
        </w:tc>
        <w:tc>
          <w:tcPr>
            <w:tcW w:w="682" w:type="pct"/>
          </w:tcPr>
          <w:p w14:paraId="376E04F8" w14:textId="77777777" w:rsidR="005D0DD1" w:rsidRPr="005D0DD1" w:rsidRDefault="005D0DD1" w:rsidP="00CA0CD7">
            <w:pPr>
              <w:jc w:val="right"/>
              <w:rPr>
                <w:sz w:val="20"/>
                <w:szCs w:val="20"/>
                <w:lang w:val="es-ES"/>
              </w:rPr>
            </w:pPr>
            <w:r w:rsidRPr="005D0DD1">
              <w:rPr>
                <w:sz w:val="20"/>
                <w:lang w:val="es-ES"/>
              </w:rPr>
              <w:t>0,2</w:t>
            </w:r>
          </w:p>
        </w:tc>
        <w:tc>
          <w:tcPr>
            <w:tcW w:w="682" w:type="pct"/>
          </w:tcPr>
          <w:p w14:paraId="12C16CFF" w14:textId="77777777" w:rsidR="005D0DD1" w:rsidRPr="005D0DD1" w:rsidRDefault="005D0DD1" w:rsidP="00CA0CD7">
            <w:pPr>
              <w:jc w:val="right"/>
              <w:rPr>
                <w:sz w:val="20"/>
                <w:szCs w:val="20"/>
                <w:lang w:val="es-ES"/>
              </w:rPr>
            </w:pPr>
            <w:r w:rsidRPr="005D0DD1">
              <w:rPr>
                <w:sz w:val="20"/>
                <w:lang w:val="es-ES"/>
              </w:rPr>
              <w:t>0,0</w:t>
            </w:r>
          </w:p>
        </w:tc>
        <w:tc>
          <w:tcPr>
            <w:tcW w:w="682" w:type="pct"/>
          </w:tcPr>
          <w:p w14:paraId="217F3061" w14:textId="77777777" w:rsidR="005D0DD1" w:rsidRPr="005D0DD1" w:rsidRDefault="005D0DD1" w:rsidP="00CA0CD7">
            <w:pPr>
              <w:jc w:val="right"/>
              <w:rPr>
                <w:sz w:val="20"/>
                <w:szCs w:val="20"/>
                <w:lang w:val="es-ES"/>
              </w:rPr>
            </w:pPr>
            <w:r w:rsidRPr="005D0DD1">
              <w:rPr>
                <w:sz w:val="20"/>
                <w:lang w:val="es-ES"/>
              </w:rPr>
              <w:t>0,0</w:t>
            </w:r>
          </w:p>
        </w:tc>
        <w:tc>
          <w:tcPr>
            <w:tcW w:w="716" w:type="pct"/>
          </w:tcPr>
          <w:p w14:paraId="276FC67E" w14:textId="77777777" w:rsidR="005D0DD1" w:rsidRPr="005D0DD1" w:rsidRDefault="005D0DD1" w:rsidP="00CA0CD7">
            <w:pPr>
              <w:jc w:val="right"/>
              <w:rPr>
                <w:sz w:val="20"/>
                <w:szCs w:val="20"/>
                <w:lang w:val="es-ES"/>
              </w:rPr>
            </w:pPr>
            <w:r w:rsidRPr="005D0DD1">
              <w:rPr>
                <w:sz w:val="20"/>
                <w:lang w:val="es-ES"/>
              </w:rPr>
              <w:t>0,2</w:t>
            </w:r>
          </w:p>
        </w:tc>
      </w:tr>
      <w:tr w:rsidR="005D0DD1" w:rsidRPr="005D0DD1" w14:paraId="667495F7" w14:textId="77777777" w:rsidTr="008065AC">
        <w:trPr>
          <w:trHeight w:val="264"/>
        </w:trPr>
        <w:tc>
          <w:tcPr>
            <w:tcW w:w="999" w:type="pct"/>
            <w:vMerge/>
            <w:tcBorders>
              <w:bottom w:val="single" w:sz="4" w:space="0" w:color="auto"/>
            </w:tcBorders>
            <w:vAlign w:val="center"/>
            <w:hideMark/>
          </w:tcPr>
          <w:p w14:paraId="5D2D8DF2" w14:textId="77777777" w:rsidR="005D0DD1" w:rsidRPr="005D0DD1" w:rsidRDefault="005D0DD1" w:rsidP="00CA0CD7">
            <w:pPr>
              <w:rPr>
                <w:sz w:val="20"/>
                <w:szCs w:val="20"/>
                <w:lang w:val="es-ES"/>
              </w:rPr>
            </w:pPr>
          </w:p>
        </w:tc>
        <w:tc>
          <w:tcPr>
            <w:tcW w:w="1240" w:type="pct"/>
            <w:hideMark/>
          </w:tcPr>
          <w:p w14:paraId="37AB58ED" w14:textId="77777777" w:rsidR="005D0DD1" w:rsidRPr="005D0DD1" w:rsidRDefault="005D0DD1" w:rsidP="00CA0CD7">
            <w:pPr>
              <w:jc w:val="left"/>
              <w:rPr>
                <w:sz w:val="20"/>
                <w:szCs w:val="20"/>
                <w:lang w:val="es-ES"/>
              </w:rPr>
            </w:pPr>
            <w:r w:rsidRPr="005D0DD1">
              <w:rPr>
                <w:sz w:val="20"/>
                <w:lang w:val="es-ES"/>
              </w:rPr>
              <w:t>Financiación ($EUA)</w:t>
            </w:r>
          </w:p>
        </w:tc>
        <w:tc>
          <w:tcPr>
            <w:tcW w:w="682" w:type="pct"/>
          </w:tcPr>
          <w:p w14:paraId="437F5809" w14:textId="77777777" w:rsidR="005D0DD1" w:rsidRPr="005D0DD1" w:rsidRDefault="005D0DD1" w:rsidP="00CA0CD7">
            <w:pPr>
              <w:jc w:val="right"/>
              <w:rPr>
                <w:sz w:val="20"/>
                <w:szCs w:val="20"/>
                <w:lang w:val="es-ES"/>
              </w:rPr>
            </w:pPr>
            <w:r w:rsidRPr="005D0DD1">
              <w:rPr>
                <w:sz w:val="20"/>
                <w:lang w:val="es-ES"/>
              </w:rPr>
              <w:t>141.100*</w:t>
            </w:r>
          </w:p>
        </w:tc>
        <w:tc>
          <w:tcPr>
            <w:tcW w:w="682" w:type="pct"/>
          </w:tcPr>
          <w:p w14:paraId="0761263E" w14:textId="77777777" w:rsidR="005D0DD1" w:rsidRPr="005D0DD1" w:rsidRDefault="005D0DD1" w:rsidP="00CA0CD7">
            <w:pPr>
              <w:jc w:val="right"/>
              <w:rPr>
                <w:sz w:val="20"/>
                <w:szCs w:val="20"/>
                <w:lang w:val="es-ES"/>
              </w:rPr>
            </w:pPr>
            <w:r w:rsidRPr="005D0DD1">
              <w:rPr>
                <w:sz w:val="20"/>
                <w:lang w:val="es-ES"/>
              </w:rPr>
              <w:t>0</w:t>
            </w:r>
          </w:p>
        </w:tc>
        <w:tc>
          <w:tcPr>
            <w:tcW w:w="682" w:type="pct"/>
          </w:tcPr>
          <w:p w14:paraId="3504CB40" w14:textId="77777777" w:rsidR="005D0DD1" w:rsidRPr="005D0DD1" w:rsidRDefault="005D0DD1" w:rsidP="00CA0CD7">
            <w:pPr>
              <w:jc w:val="right"/>
              <w:rPr>
                <w:sz w:val="20"/>
                <w:szCs w:val="20"/>
                <w:lang w:val="es-ES"/>
              </w:rPr>
            </w:pPr>
            <w:r w:rsidRPr="005D0DD1">
              <w:rPr>
                <w:sz w:val="20"/>
                <w:lang w:val="es-ES"/>
              </w:rPr>
              <w:t>0</w:t>
            </w:r>
          </w:p>
        </w:tc>
        <w:tc>
          <w:tcPr>
            <w:tcW w:w="716" w:type="pct"/>
          </w:tcPr>
          <w:p w14:paraId="13F62EF8" w14:textId="77777777" w:rsidR="005D0DD1" w:rsidRPr="005D0DD1" w:rsidRDefault="005D0DD1" w:rsidP="00CA0CD7">
            <w:pPr>
              <w:jc w:val="right"/>
              <w:rPr>
                <w:sz w:val="20"/>
                <w:szCs w:val="20"/>
                <w:lang w:val="es-ES"/>
              </w:rPr>
            </w:pPr>
            <w:r w:rsidRPr="005D0DD1">
              <w:rPr>
                <w:sz w:val="20"/>
                <w:lang w:val="es-ES"/>
              </w:rPr>
              <w:t>141.100</w:t>
            </w:r>
          </w:p>
        </w:tc>
      </w:tr>
    </w:tbl>
    <w:p w14:paraId="150A7103" w14:textId="70E56C08" w:rsidR="005D0DD1" w:rsidRPr="005D0DD1" w:rsidRDefault="005D0DD1" w:rsidP="008065AC">
      <w:pPr>
        <w:spacing w:after="60"/>
        <w:ind w:right="-562"/>
        <w:rPr>
          <w:sz w:val="18"/>
          <w:szCs w:val="18"/>
          <w:lang w:val="es-ES"/>
        </w:rPr>
      </w:pPr>
      <w:r w:rsidRPr="005D0DD1">
        <w:rPr>
          <w:sz w:val="18"/>
          <w:lang w:val="es-ES"/>
        </w:rPr>
        <w:t>Incluye 79.100 $EUA para el PNUMA y 32.100 $EUA para la ONUDI, para actividades adicionales para mantener la eficiencia energética (decisión 89/6)</w:t>
      </w:r>
    </w:p>
    <w:tbl>
      <w:tblPr>
        <w:tblStyle w:val="TableGrid"/>
        <w:tblW w:w="10718" w:type="dxa"/>
        <w:tblInd w:w="-72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1080"/>
        <w:gridCol w:w="810"/>
        <w:gridCol w:w="1754"/>
        <w:gridCol w:w="786"/>
        <w:gridCol w:w="786"/>
        <w:gridCol w:w="786"/>
        <w:gridCol w:w="786"/>
        <w:gridCol w:w="786"/>
        <w:gridCol w:w="786"/>
        <w:gridCol w:w="786"/>
        <w:gridCol w:w="786"/>
        <w:gridCol w:w="786"/>
      </w:tblGrid>
      <w:tr w:rsidR="005D0DD1" w:rsidRPr="005D0DD1" w14:paraId="01FA74F4" w14:textId="77777777" w:rsidTr="008065AC">
        <w:trPr>
          <w:trHeight w:val="270"/>
        </w:trPr>
        <w:tc>
          <w:tcPr>
            <w:tcW w:w="3644" w:type="dxa"/>
            <w:gridSpan w:val="3"/>
            <w:tcBorders>
              <w:top w:val="single" w:sz="2" w:space="0" w:color="auto"/>
              <w:left w:val="single" w:sz="2" w:space="0" w:color="auto"/>
              <w:bottom w:val="single" w:sz="2" w:space="0" w:color="auto"/>
              <w:right w:val="single" w:sz="2" w:space="0" w:color="auto"/>
            </w:tcBorders>
            <w:hideMark/>
          </w:tcPr>
          <w:p w14:paraId="4C9E33F1" w14:textId="77777777" w:rsidR="005D0DD1" w:rsidRPr="005D0DD1" w:rsidRDefault="005D0DD1" w:rsidP="00CA0CD7">
            <w:pPr>
              <w:spacing w:afterLines="20" w:after="48"/>
              <w:jc w:val="left"/>
              <w:rPr>
                <w:b/>
                <w:sz w:val="18"/>
                <w:szCs w:val="18"/>
                <w:lang w:val="es-ES"/>
              </w:rPr>
            </w:pPr>
            <w:r w:rsidRPr="005D0DD1">
              <w:rPr>
                <w:b/>
                <w:sz w:val="18"/>
                <w:lang w:val="es-ES"/>
              </w:rPr>
              <w:t xml:space="preserve">VI) DATOS DEL PROYECTO </w:t>
            </w:r>
          </w:p>
        </w:tc>
        <w:tc>
          <w:tcPr>
            <w:tcW w:w="786" w:type="dxa"/>
            <w:tcBorders>
              <w:top w:val="single" w:sz="2" w:space="0" w:color="auto"/>
              <w:left w:val="single" w:sz="2" w:space="0" w:color="auto"/>
              <w:bottom w:val="single" w:sz="2" w:space="0" w:color="auto"/>
              <w:right w:val="single" w:sz="2" w:space="0" w:color="auto"/>
            </w:tcBorders>
            <w:vAlign w:val="center"/>
          </w:tcPr>
          <w:p w14:paraId="6C3B72B3" w14:textId="77777777" w:rsidR="005D0DD1" w:rsidRPr="005D0DD1" w:rsidRDefault="005D0DD1" w:rsidP="00CA0CD7">
            <w:pPr>
              <w:spacing w:afterLines="20" w:after="48"/>
              <w:jc w:val="center"/>
              <w:rPr>
                <w:b/>
                <w:sz w:val="18"/>
                <w:szCs w:val="18"/>
                <w:lang w:val="es-ES"/>
              </w:rPr>
            </w:pPr>
            <w:r w:rsidRPr="005D0DD1">
              <w:rPr>
                <w:b/>
                <w:color w:val="000000"/>
                <w:sz w:val="18"/>
                <w:lang w:val="es-ES"/>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3FAC282D" w14:textId="77777777" w:rsidR="005D0DD1" w:rsidRPr="005D0DD1" w:rsidRDefault="005D0DD1" w:rsidP="00CA0CD7">
            <w:pPr>
              <w:spacing w:afterLines="20" w:after="48"/>
              <w:jc w:val="center"/>
              <w:rPr>
                <w:b/>
                <w:sz w:val="18"/>
                <w:szCs w:val="18"/>
                <w:lang w:val="es-ES"/>
              </w:rPr>
            </w:pPr>
            <w:r w:rsidRPr="005D0DD1">
              <w:rPr>
                <w:b/>
                <w:color w:val="000000"/>
                <w:sz w:val="18"/>
                <w:lang w:val="es-ES"/>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4A8E1698" w14:textId="77777777" w:rsidR="005D0DD1" w:rsidRPr="005D0DD1" w:rsidRDefault="005D0DD1" w:rsidP="00CA0CD7">
            <w:pPr>
              <w:spacing w:afterLines="20" w:after="48"/>
              <w:jc w:val="center"/>
              <w:rPr>
                <w:b/>
                <w:sz w:val="18"/>
                <w:szCs w:val="18"/>
                <w:lang w:val="es-ES"/>
              </w:rPr>
            </w:pPr>
            <w:r w:rsidRPr="005D0DD1">
              <w:rPr>
                <w:b/>
                <w:color w:val="000000"/>
                <w:sz w:val="18"/>
                <w:lang w:val="es-ES"/>
              </w:rPr>
              <w:t>2023*</w:t>
            </w:r>
          </w:p>
        </w:tc>
        <w:tc>
          <w:tcPr>
            <w:tcW w:w="786" w:type="dxa"/>
            <w:tcBorders>
              <w:top w:val="single" w:sz="2" w:space="0" w:color="auto"/>
              <w:left w:val="single" w:sz="2" w:space="0" w:color="auto"/>
              <w:bottom w:val="single" w:sz="2" w:space="0" w:color="auto"/>
              <w:right w:val="single" w:sz="2" w:space="0" w:color="auto"/>
            </w:tcBorders>
            <w:vAlign w:val="center"/>
          </w:tcPr>
          <w:p w14:paraId="4805B3AA" w14:textId="77777777" w:rsidR="005D0DD1" w:rsidRPr="005D0DD1" w:rsidRDefault="005D0DD1" w:rsidP="00CA0CD7">
            <w:pPr>
              <w:spacing w:afterLines="20" w:after="48"/>
              <w:jc w:val="center"/>
              <w:rPr>
                <w:b/>
                <w:sz w:val="18"/>
                <w:szCs w:val="18"/>
                <w:highlight w:val="cyan"/>
                <w:lang w:val="es-ES"/>
              </w:rPr>
            </w:pPr>
            <w:r w:rsidRPr="005D0DD1">
              <w:rPr>
                <w:b/>
                <w:color w:val="000000"/>
                <w:sz w:val="18"/>
                <w:lang w:val="es-ES"/>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1DCA508F" w14:textId="77777777" w:rsidR="005D0DD1" w:rsidRPr="005D0DD1" w:rsidRDefault="005D0DD1" w:rsidP="00CA0CD7">
            <w:pPr>
              <w:spacing w:afterLines="20" w:after="48"/>
              <w:jc w:val="center"/>
              <w:rPr>
                <w:b/>
                <w:sz w:val="18"/>
                <w:szCs w:val="18"/>
                <w:highlight w:val="cyan"/>
                <w:lang w:val="es-ES"/>
              </w:rPr>
            </w:pPr>
            <w:r w:rsidRPr="005D0DD1">
              <w:rPr>
                <w:b/>
                <w:color w:val="000000"/>
                <w:sz w:val="18"/>
                <w:lang w:val="es-ES"/>
              </w:rPr>
              <w:t>2025-2026</w:t>
            </w:r>
          </w:p>
        </w:tc>
        <w:tc>
          <w:tcPr>
            <w:tcW w:w="786" w:type="dxa"/>
            <w:tcBorders>
              <w:top w:val="single" w:sz="2" w:space="0" w:color="auto"/>
              <w:left w:val="single" w:sz="2" w:space="0" w:color="auto"/>
              <w:bottom w:val="single" w:sz="2" w:space="0" w:color="auto"/>
              <w:right w:val="single" w:sz="2" w:space="0" w:color="auto"/>
            </w:tcBorders>
            <w:vAlign w:val="center"/>
          </w:tcPr>
          <w:p w14:paraId="75814295" w14:textId="77777777" w:rsidR="005D0DD1" w:rsidRPr="005D0DD1" w:rsidRDefault="005D0DD1" w:rsidP="00CA0CD7">
            <w:pPr>
              <w:spacing w:afterLines="20" w:after="48"/>
              <w:jc w:val="center"/>
              <w:rPr>
                <w:b/>
                <w:sz w:val="18"/>
                <w:szCs w:val="18"/>
                <w:highlight w:val="cyan"/>
                <w:lang w:val="es-ES"/>
              </w:rPr>
            </w:pPr>
            <w:r w:rsidRPr="005D0DD1">
              <w:rPr>
                <w:b/>
                <w:color w:val="000000"/>
                <w:sz w:val="18"/>
                <w:lang w:val="es-ES"/>
              </w:rPr>
              <w:t>2027</w:t>
            </w:r>
          </w:p>
        </w:tc>
        <w:tc>
          <w:tcPr>
            <w:tcW w:w="786" w:type="dxa"/>
            <w:tcBorders>
              <w:top w:val="single" w:sz="2" w:space="0" w:color="auto"/>
              <w:left w:val="single" w:sz="2" w:space="0" w:color="auto"/>
              <w:bottom w:val="single" w:sz="2" w:space="0" w:color="auto"/>
              <w:right w:val="single" w:sz="2" w:space="0" w:color="auto"/>
            </w:tcBorders>
            <w:vAlign w:val="center"/>
          </w:tcPr>
          <w:p w14:paraId="7AE436A7" w14:textId="77777777" w:rsidR="005D0DD1" w:rsidRPr="005D0DD1" w:rsidRDefault="005D0DD1" w:rsidP="00CA0CD7">
            <w:pPr>
              <w:spacing w:afterLines="20" w:after="48"/>
              <w:jc w:val="center"/>
              <w:rPr>
                <w:b/>
                <w:sz w:val="18"/>
                <w:szCs w:val="18"/>
                <w:highlight w:val="cyan"/>
                <w:lang w:val="es-ES"/>
              </w:rPr>
            </w:pPr>
            <w:r w:rsidRPr="005D0DD1">
              <w:rPr>
                <w:b/>
                <w:color w:val="000000"/>
                <w:sz w:val="18"/>
                <w:lang w:val="es-ES"/>
              </w:rPr>
              <w:t>2028-2029</w:t>
            </w:r>
          </w:p>
        </w:tc>
        <w:tc>
          <w:tcPr>
            <w:tcW w:w="786" w:type="dxa"/>
            <w:tcBorders>
              <w:top w:val="single" w:sz="2" w:space="0" w:color="auto"/>
              <w:left w:val="single" w:sz="2" w:space="0" w:color="auto"/>
              <w:bottom w:val="single" w:sz="2" w:space="0" w:color="auto"/>
              <w:right w:val="single" w:sz="2" w:space="0" w:color="auto"/>
            </w:tcBorders>
            <w:vAlign w:val="center"/>
          </w:tcPr>
          <w:p w14:paraId="20118D7F" w14:textId="77777777" w:rsidR="005D0DD1" w:rsidRPr="005D0DD1" w:rsidRDefault="005D0DD1" w:rsidP="00CA0CD7">
            <w:pPr>
              <w:spacing w:afterLines="20" w:after="48"/>
              <w:jc w:val="center"/>
              <w:rPr>
                <w:b/>
                <w:sz w:val="18"/>
                <w:szCs w:val="18"/>
                <w:highlight w:val="cyan"/>
                <w:lang w:val="es-ES"/>
              </w:rPr>
            </w:pPr>
            <w:r w:rsidRPr="005D0DD1">
              <w:rPr>
                <w:b/>
                <w:color w:val="000000"/>
                <w:sz w:val="18"/>
                <w:lang w:val="es-ES"/>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5C6DF91B" w14:textId="77777777" w:rsidR="005D0DD1" w:rsidRPr="005D0DD1" w:rsidRDefault="005D0DD1" w:rsidP="00CA0CD7">
            <w:pPr>
              <w:spacing w:afterLines="20" w:after="48"/>
              <w:jc w:val="center"/>
              <w:rPr>
                <w:b/>
                <w:sz w:val="18"/>
                <w:szCs w:val="18"/>
                <w:lang w:val="es-ES"/>
              </w:rPr>
            </w:pPr>
            <w:r w:rsidRPr="005D0DD1">
              <w:rPr>
                <w:b/>
                <w:color w:val="000000"/>
                <w:sz w:val="18"/>
                <w:lang w:val="es-ES"/>
              </w:rPr>
              <w:t>Total</w:t>
            </w:r>
          </w:p>
        </w:tc>
      </w:tr>
      <w:tr w:rsidR="005D0DD1" w:rsidRPr="005D0DD1" w14:paraId="2EB444B2" w14:textId="77777777" w:rsidTr="008065AC">
        <w:trPr>
          <w:trHeight w:val="400"/>
        </w:trPr>
        <w:tc>
          <w:tcPr>
            <w:tcW w:w="3644" w:type="dxa"/>
            <w:gridSpan w:val="3"/>
            <w:tcBorders>
              <w:top w:val="single" w:sz="2" w:space="0" w:color="auto"/>
              <w:left w:val="single" w:sz="2" w:space="0" w:color="auto"/>
              <w:bottom w:val="single" w:sz="2" w:space="0" w:color="auto"/>
              <w:right w:val="single" w:sz="2" w:space="0" w:color="auto"/>
            </w:tcBorders>
            <w:hideMark/>
          </w:tcPr>
          <w:p w14:paraId="00655696" w14:textId="77777777" w:rsidR="005D0DD1" w:rsidRPr="005D0DD1" w:rsidRDefault="005D0DD1" w:rsidP="00CA0CD7">
            <w:pPr>
              <w:spacing w:afterLines="20" w:after="48"/>
              <w:jc w:val="left"/>
              <w:rPr>
                <w:sz w:val="18"/>
                <w:szCs w:val="18"/>
                <w:lang w:val="es-ES"/>
              </w:rPr>
            </w:pPr>
            <w:r w:rsidRPr="005D0DD1">
              <w:rPr>
                <w:sz w:val="18"/>
                <w:lang w:val="es-ES"/>
              </w:rPr>
              <w:t>Límites de consumo del Protocolo de Montreal (toneladas PAO)</w:t>
            </w:r>
          </w:p>
        </w:tc>
        <w:tc>
          <w:tcPr>
            <w:tcW w:w="786" w:type="dxa"/>
            <w:tcBorders>
              <w:top w:val="single" w:sz="2" w:space="0" w:color="auto"/>
              <w:left w:val="single" w:sz="2" w:space="0" w:color="auto"/>
              <w:bottom w:val="single" w:sz="2" w:space="0" w:color="auto"/>
              <w:right w:val="single" w:sz="2" w:space="0" w:color="auto"/>
            </w:tcBorders>
          </w:tcPr>
          <w:p w14:paraId="4AB776D6"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7B56BF02"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49EAA66A"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49FEFF8F"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569EDCA0"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2782D180"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60ABDA23"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3BDC6B39" w14:textId="77777777" w:rsidR="005D0DD1" w:rsidRPr="005D0DD1" w:rsidRDefault="005D0DD1" w:rsidP="00CA0CD7">
            <w:pPr>
              <w:spacing w:afterLines="20" w:after="48"/>
              <w:jc w:val="right"/>
              <w:rPr>
                <w:sz w:val="18"/>
                <w:szCs w:val="18"/>
                <w:lang w:val="es-ES"/>
              </w:rPr>
            </w:pPr>
            <w:r w:rsidRPr="005D0DD1">
              <w:rPr>
                <w:sz w:val="18"/>
                <w:lang w:val="es-ES"/>
              </w:rPr>
              <w:t>0,00</w:t>
            </w:r>
          </w:p>
        </w:tc>
        <w:tc>
          <w:tcPr>
            <w:tcW w:w="786" w:type="dxa"/>
            <w:tcBorders>
              <w:top w:val="single" w:sz="2" w:space="0" w:color="auto"/>
              <w:left w:val="single" w:sz="2" w:space="0" w:color="auto"/>
              <w:bottom w:val="single" w:sz="2" w:space="0" w:color="auto"/>
              <w:right w:val="single" w:sz="2" w:space="0" w:color="auto"/>
            </w:tcBorders>
          </w:tcPr>
          <w:p w14:paraId="120A42E0" w14:textId="77777777" w:rsidR="005D0DD1" w:rsidRPr="005D0DD1" w:rsidRDefault="005D0DD1" w:rsidP="00CA0CD7">
            <w:pPr>
              <w:spacing w:afterLines="20" w:after="48"/>
              <w:jc w:val="right"/>
              <w:rPr>
                <w:sz w:val="18"/>
                <w:szCs w:val="18"/>
                <w:lang w:val="es-ES"/>
              </w:rPr>
            </w:pPr>
            <w:r w:rsidRPr="005D0DD1">
              <w:rPr>
                <w:sz w:val="18"/>
                <w:lang w:val="es-ES"/>
              </w:rPr>
              <w:t>n. a.</w:t>
            </w:r>
          </w:p>
        </w:tc>
      </w:tr>
      <w:tr w:rsidR="005D0DD1" w:rsidRPr="005D0DD1" w14:paraId="375ABD9B" w14:textId="77777777" w:rsidTr="008065AC">
        <w:trPr>
          <w:trHeight w:val="190"/>
        </w:trPr>
        <w:tc>
          <w:tcPr>
            <w:tcW w:w="3644" w:type="dxa"/>
            <w:gridSpan w:val="3"/>
            <w:tcBorders>
              <w:top w:val="single" w:sz="2" w:space="0" w:color="auto"/>
              <w:left w:val="single" w:sz="2" w:space="0" w:color="auto"/>
              <w:bottom w:val="single" w:sz="2" w:space="0" w:color="auto"/>
              <w:right w:val="single" w:sz="2" w:space="0" w:color="auto"/>
            </w:tcBorders>
            <w:hideMark/>
          </w:tcPr>
          <w:p w14:paraId="54BC38C7" w14:textId="77777777" w:rsidR="005D0DD1" w:rsidRPr="005D0DD1" w:rsidRDefault="005D0DD1" w:rsidP="00CA0CD7">
            <w:pPr>
              <w:spacing w:afterLines="20" w:after="48"/>
              <w:jc w:val="left"/>
              <w:rPr>
                <w:sz w:val="18"/>
                <w:szCs w:val="18"/>
                <w:lang w:val="es-ES"/>
              </w:rPr>
            </w:pPr>
            <w:r w:rsidRPr="005D0DD1">
              <w:rPr>
                <w:sz w:val="18"/>
                <w:lang w:val="es-ES"/>
              </w:rPr>
              <w:t>Consumo máximo permitido (toneladas PAO)</w:t>
            </w:r>
          </w:p>
        </w:tc>
        <w:tc>
          <w:tcPr>
            <w:tcW w:w="786" w:type="dxa"/>
            <w:tcBorders>
              <w:top w:val="single" w:sz="2" w:space="0" w:color="auto"/>
              <w:left w:val="single" w:sz="2" w:space="0" w:color="auto"/>
              <w:bottom w:val="single" w:sz="2" w:space="0" w:color="auto"/>
              <w:right w:val="single" w:sz="2" w:space="0" w:color="auto"/>
            </w:tcBorders>
          </w:tcPr>
          <w:p w14:paraId="53DB1B82"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17BB35AD"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0406F376"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19B69F88" w14:textId="77777777" w:rsidR="005D0DD1" w:rsidRPr="005D0DD1" w:rsidRDefault="005D0DD1" w:rsidP="00CA0CD7">
            <w:pPr>
              <w:spacing w:afterLines="20" w:after="48"/>
              <w:jc w:val="right"/>
              <w:rPr>
                <w:sz w:val="18"/>
                <w:szCs w:val="18"/>
                <w:lang w:val="es-ES"/>
              </w:rPr>
            </w:pPr>
            <w:r w:rsidRPr="005D0DD1">
              <w:rPr>
                <w:sz w:val="18"/>
                <w:lang w:val="es-ES"/>
              </w:rPr>
              <w:t>0,98</w:t>
            </w:r>
          </w:p>
        </w:tc>
        <w:tc>
          <w:tcPr>
            <w:tcW w:w="786" w:type="dxa"/>
            <w:tcBorders>
              <w:top w:val="single" w:sz="2" w:space="0" w:color="auto"/>
              <w:left w:val="single" w:sz="2" w:space="0" w:color="auto"/>
              <w:bottom w:val="single" w:sz="2" w:space="0" w:color="auto"/>
              <w:right w:val="single" w:sz="2" w:space="0" w:color="auto"/>
            </w:tcBorders>
          </w:tcPr>
          <w:p w14:paraId="0E12D796"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03E54B4B"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0E863FC3" w14:textId="77777777" w:rsidR="005D0DD1" w:rsidRPr="005D0DD1" w:rsidRDefault="005D0DD1" w:rsidP="00CA0CD7">
            <w:pPr>
              <w:spacing w:afterLines="20" w:after="48"/>
              <w:jc w:val="right"/>
              <w:rPr>
                <w:sz w:val="18"/>
                <w:szCs w:val="18"/>
                <w:lang w:val="es-ES"/>
              </w:rPr>
            </w:pPr>
            <w:r w:rsidRPr="005D0DD1">
              <w:rPr>
                <w:sz w:val="18"/>
                <w:lang w:val="es-ES"/>
              </w:rPr>
              <w:t>0,49</w:t>
            </w:r>
          </w:p>
        </w:tc>
        <w:tc>
          <w:tcPr>
            <w:tcW w:w="786" w:type="dxa"/>
            <w:tcBorders>
              <w:top w:val="single" w:sz="2" w:space="0" w:color="auto"/>
              <w:left w:val="single" w:sz="2" w:space="0" w:color="auto"/>
              <w:bottom w:val="single" w:sz="2" w:space="0" w:color="auto"/>
              <w:right w:val="single" w:sz="2" w:space="0" w:color="auto"/>
            </w:tcBorders>
          </w:tcPr>
          <w:p w14:paraId="4F48C234" w14:textId="77777777" w:rsidR="005D0DD1" w:rsidRPr="005D0DD1" w:rsidRDefault="005D0DD1" w:rsidP="00CA0CD7">
            <w:pPr>
              <w:spacing w:afterLines="20" w:after="48"/>
              <w:jc w:val="right"/>
              <w:rPr>
                <w:sz w:val="18"/>
                <w:szCs w:val="18"/>
                <w:lang w:val="es-ES"/>
              </w:rPr>
            </w:pPr>
            <w:r w:rsidRPr="005D0DD1">
              <w:rPr>
                <w:sz w:val="18"/>
                <w:lang w:val="es-ES"/>
              </w:rPr>
              <w:t>0,00</w:t>
            </w:r>
          </w:p>
        </w:tc>
        <w:tc>
          <w:tcPr>
            <w:tcW w:w="786" w:type="dxa"/>
            <w:tcBorders>
              <w:top w:val="single" w:sz="2" w:space="0" w:color="auto"/>
              <w:left w:val="single" w:sz="2" w:space="0" w:color="auto"/>
              <w:bottom w:val="single" w:sz="2" w:space="0" w:color="auto"/>
              <w:right w:val="single" w:sz="2" w:space="0" w:color="auto"/>
            </w:tcBorders>
          </w:tcPr>
          <w:p w14:paraId="354F1EBB" w14:textId="77777777" w:rsidR="005D0DD1" w:rsidRPr="005D0DD1" w:rsidRDefault="005D0DD1" w:rsidP="00CA0CD7">
            <w:pPr>
              <w:spacing w:afterLines="20" w:after="48"/>
              <w:jc w:val="right"/>
              <w:rPr>
                <w:sz w:val="18"/>
                <w:szCs w:val="18"/>
                <w:lang w:val="es-ES"/>
              </w:rPr>
            </w:pPr>
            <w:r w:rsidRPr="005D0DD1">
              <w:rPr>
                <w:sz w:val="18"/>
                <w:lang w:val="es-ES"/>
              </w:rPr>
              <w:t>n. a.</w:t>
            </w:r>
          </w:p>
        </w:tc>
      </w:tr>
      <w:tr w:rsidR="005D0DD1" w:rsidRPr="005D0DD1" w14:paraId="27CBAC3E" w14:textId="77777777" w:rsidTr="008065AC">
        <w:trPr>
          <w:trHeight w:val="224"/>
        </w:trPr>
        <w:tc>
          <w:tcPr>
            <w:tcW w:w="1080" w:type="dxa"/>
            <w:vMerge w:val="restart"/>
            <w:tcBorders>
              <w:top w:val="single" w:sz="2" w:space="0" w:color="auto"/>
              <w:left w:val="single" w:sz="4" w:space="0" w:color="auto"/>
              <w:bottom w:val="single" w:sz="4" w:space="0" w:color="auto"/>
              <w:right w:val="single" w:sz="4" w:space="0" w:color="auto"/>
            </w:tcBorders>
            <w:vAlign w:val="center"/>
            <w:hideMark/>
          </w:tcPr>
          <w:p w14:paraId="2F28BCB3" w14:textId="77777777" w:rsidR="005D0DD1" w:rsidRPr="005D0DD1" w:rsidRDefault="005D0DD1" w:rsidP="00CA0CD7">
            <w:pPr>
              <w:spacing w:afterLines="20" w:after="48"/>
              <w:jc w:val="left"/>
              <w:rPr>
                <w:sz w:val="18"/>
                <w:szCs w:val="18"/>
                <w:lang w:val="es-ES"/>
              </w:rPr>
            </w:pPr>
            <w:r w:rsidRPr="005D0DD1">
              <w:rPr>
                <w:sz w:val="18"/>
                <w:lang w:val="es-ES"/>
              </w:rPr>
              <w:t>Financiación acordada en principio ($EUA)</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48DBED41" w14:textId="77777777" w:rsidR="005D0DD1" w:rsidRPr="005D0DD1" w:rsidRDefault="005D0DD1" w:rsidP="00CA0CD7">
            <w:pPr>
              <w:spacing w:afterLines="20" w:after="48"/>
              <w:ind w:left="-196" w:right="-224"/>
              <w:jc w:val="center"/>
              <w:rPr>
                <w:sz w:val="18"/>
                <w:szCs w:val="18"/>
                <w:lang w:val="es-ES"/>
              </w:rPr>
            </w:pPr>
            <w:r w:rsidRPr="005D0DD1">
              <w:rPr>
                <w:color w:val="000000" w:themeColor="text1"/>
                <w:sz w:val="18"/>
                <w:lang w:val="es-ES"/>
              </w:rPr>
              <w:t>PNUMA</w:t>
            </w:r>
          </w:p>
        </w:tc>
        <w:tc>
          <w:tcPr>
            <w:tcW w:w="1754" w:type="dxa"/>
            <w:tcBorders>
              <w:top w:val="single" w:sz="2" w:space="0" w:color="auto"/>
              <w:left w:val="single" w:sz="4" w:space="0" w:color="auto"/>
              <w:bottom w:val="single" w:sz="4" w:space="0" w:color="auto"/>
              <w:right w:val="single" w:sz="4" w:space="0" w:color="auto"/>
            </w:tcBorders>
            <w:hideMark/>
          </w:tcPr>
          <w:p w14:paraId="3829A25E" w14:textId="77777777" w:rsidR="005D0DD1" w:rsidRPr="005D0DD1" w:rsidRDefault="005D0DD1" w:rsidP="00CA0CD7">
            <w:pPr>
              <w:spacing w:afterLines="20" w:after="48"/>
              <w:jc w:val="left"/>
              <w:rPr>
                <w:sz w:val="18"/>
                <w:szCs w:val="18"/>
                <w:lang w:val="es-ES"/>
              </w:rPr>
            </w:pPr>
            <w:r w:rsidRPr="005D0DD1">
              <w:rPr>
                <w:sz w:val="18"/>
                <w:lang w:val="es-ES"/>
              </w:rPr>
              <w:t>Costos del proyecto</w:t>
            </w:r>
          </w:p>
        </w:tc>
        <w:tc>
          <w:tcPr>
            <w:tcW w:w="786" w:type="dxa"/>
            <w:tcBorders>
              <w:top w:val="single" w:sz="2" w:space="0" w:color="auto"/>
              <w:left w:val="single" w:sz="4" w:space="0" w:color="auto"/>
              <w:bottom w:val="single" w:sz="4" w:space="0" w:color="auto"/>
              <w:right w:val="single" w:sz="4" w:space="0" w:color="auto"/>
            </w:tcBorders>
          </w:tcPr>
          <w:p w14:paraId="3046BC21" w14:textId="77777777" w:rsidR="005D0DD1" w:rsidRPr="005D0DD1" w:rsidRDefault="005D0DD1" w:rsidP="00CA0CD7">
            <w:pPr>
              <w:spacing w:afterLines="20" w:after="48"/>
              <w:jc w:val="right"/>
              <w:rPr>
                <w:color w:val="000000"/>
                <w:sz w:val="18"/>
                <w:szCs w:val="18"/>
                <w:lang w:val="es-ES"/>
              </w:rPr>
            </w:pPr>
            <w:r w:rsidRPr="005D0DD1">
              <w:rPr>
                <w:sz w:val="18"/>
                <w:lang w:val="es-ES"/>
              </w:rPr>
              <w:t>100.000</w:t>
            </w:r>
          </w:p>
        </w:tc>
        <w:tc>
          <w:tcPr>
            <w:tcW w:w="786" w:type="dxa"/>
            <w:tcBorders>
              <w:top w:val="single" w:sz="2" w:space="0" w:color="auto"/>
              <w:left w:val="single" w:sz="4" w:space="0" w:color="auto"/>
              <w:bottom w:val="single" w:sz="4" w:space="0" w:color="auto"/>
              <w:right w:val="single" w:sz="4" w:space="0" w:color="auto"/>
            </w:tcBorders>
          </w:tcPr>
          <w:p w14:paraId="24ABF882"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2" w:space="0" w:color="auto"/>
              <w:left w:val="single" w:sz="4" w:space="0" w:color="auto"/>
              <w:bottom w:val="single" w:sz="4" w:space="0" w:color="auto"/>
              <w:right w:val="single" w:sz="4" w:space="0" w:color="auto"/>
            </w:tcBorders>
          </w:tcPr>
          <w:p w14:paraId="746967BE" w14:textId="77777777" w:rsidR="005D0DD1" w:rsidRPr="005D0DD1" w:rsidRDefault="005D0DD1" w:rsidP="00CA0CD7">
            <w:pPr>
              <w:spacing w:afterLines="20" w:after="48"/>
              <w:jc w:val="right"/>
              <w:rPr>
                <w:color w:val="000000"/>
                <w:sz w:val="18"/>
                <w:szCs w:val="18"/>
                <w:lang w:val="es-ES"/>
              </w:rPr>
            </w:pPr>
            <w:r w:rsidRPr="005D0DD1">
              <w:rPr>
                <w:sz w:val="18"/>
                <w:lang w:val="es-ES"/>
              </w:rPr>
              <w:t>145.000</w:t>
            </w:r>
          </w:p>
        </w:tc>
        <w:tc>
          <w:tcPr>
            <w:tcW w:w="786" w:type="dxa"/>
            <w:tcBorders>
              <w:top w:val="single" w:sz="2" w:space="0" w:color="auto"/>
              <w:left w:val="single" w:sz="4" w:space="0" w:color="auto"/>
              <w:bottom w:val="single" w:sz="4" w:space="0" w:color="auto"/>
              <w:right w:val="single" w:sz="4" w:space="0" w:color="auto"/>
            </w:tcBorders>
          </w:tcPr>
          <w:p w14:paraId="0ABDE009"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2" w:space="0" w:color="auto"/>
              <w:left w:val="single" w:sz="4" w:space="0" w:color="auto"/>
              <w:bottom w:val="single" w:sz="4" w:space="0" w:color="auto"/>
              <w:right w:val="single" w:sz="4" w:space="0" w:color="auto"/>
            </w:tcBorders>
          </w:tcPr>
          <w:p w14:paraId="31485E10"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2" w:space="0" w:color="auto"/>
              <w:left w:val="single" w:sz="4" w:space="0" w:color="auto"/>
              <w:bottom w:val="single" w:sz="4" w:space="0" w:color="auto"/>
              <w:right w:val="single" w:sz="4" w:space="0" w:color="auto"/>
            </w:tcBorders>
          </w:tcPr>
          <w:p w14:paraId="404D4668" w14:textId="77777777" w:rsidR="005D0DD1" w:rsidRPr="005D0DD1" w:rsidRDefault="005D0DD1" w:rsidP="00CA0CD7">
            <w:pPr>
              <w:spacing w:afterLines="20" w:after="48"/>
              <w:jc w:val="right"/>
              <w:rPr>
                <w:color w:val="000000"/>
                <w:sz w:val="18"/>
                <w:szCs w:val="18"/>
                <w:lang w:val="es-ES"/>
              </w:rPr>
            </w:pPr>
            <w:r w:rsidRPr="005D0DD1">
              <w:rPr>
                <w:sz w:val="18"/>
                <w:lang w:val="es-ES"/>
              </w:rPr>
              <w:t>106.000</w:t>
            </w:r>
          </w:p>
        </w:tc>
        <w:tc>
          <w:tcPr>
            <w:tcW w:w="786" w:type="dxa"/>
            <w:tcBorders>
              <w:top w:val="single" w:sz="2" w:space="0" w:color="auto"/>
              <w:left w:val="single" w:sz="4" w:space="0" w:color="auto"/>
              <w:bottom w:val="single" w:sz="4" w:space="0" w:color="auto"/>
              <w:right w:val="single" w:sz="4" w:space="0" w:color="auto"/>
            </w:tcBorders>
          </w:tcPr>
          <w:p w14:paraId="6F92DF44"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2" w:space="0" w:color="auto"/>
              <w:left w:val="single" w:sz="4" w:space="0" w:color="auto"/>
              <w:bottom w:val="single" w:sz="4" w:space="0" w:color="auto"/>
              <w:right w:val="single" w:sz="4" w:space="0" w:color="auto"/>
            </w:tcBorders>
          </w:tcPr>
          <w:p w14:paraId="708C2B96" w14:textId="77777777" w:rsidR="005D0DD1" w:rsidRPr="005D0DD1" w:rsidRDefault="005D0DD1" w:rsidP="00CA0CD7">
            <w:pPr>
              <w:spacing w:afterLines="20" w:after="48"/>
              <w:jc w:val="right"/>
              <w:rPr>
                <w:color w:val="000000"/>
                <w:sz w:val="18"/>
                <w:szCs w:val="18"/>
                <w:lang w:val="es-ES"/>
              </w:rPr>
            </w:pPr>
            <w:r w:rsidRPr="005D0DD1">
              <w:rPr>
                <w:sz w:val="18"/>
                <w:lang w:val="es-ES"/>
              </w:rPr>
              <w:t>54.000</w:t>
            </w:r>
          </w:p>
        </w:tc>
        <w:tc>
          <w:tcPr>
            <w:tcW w:w="786" w:type="dxa"/>
            <w:tcBorders>
              <w:top w:val="single" w:sz="2" w:space="0" w:color="auto"/>
              <w:left w:val="single" w:sz="4" w:space="0" w:color="auto"/>
              <w:bottom w:val="single" w:sz="4" w:space="0" w:color="auto"/>
              <w:right w:val="single" w:sz="4" w:space="0" w:color="auto"/>
            </w:tcBorders>
          </w:tcPr>
          <w:p w14:paraId="4C710B4F" w14:textId="77777777" w:rsidR="005D0DD1" w:rsidRPr="005D0DD1" w:rsidRDefault="005D0DD1" w:rsidP="00CA0CD7">
            <w:pPr>
              <w:spacing w:afterLines="20" w:after="48"/>
              <w:jc w:val="right"/>
              <w:rPr>
                <w:color w:val="000000"/>
                <w:sz w:val="18"/>
                <w:szCs w:val="18"/>
                <w:lang w:val="es-ES"/>
              </w:rPr>
            </w:pPr>
            <w:r w:rsidRPr="005D0DD1">
              <w:rPr>
                <w:sz w:val="18"/>
                <w:lang w:val="es-ES"/>
              </w:rPr>
              <w:t>405.000</w:t>
            </w:r>
          </w:p>
        </w:tc>
      </w:tr>
      <w:tr w:rsidR="005D0DD1" w:rsidRPr="005D0DD1" w14:paraId="1CB27989" w14:textId="77777777" w:rsidTr="008065AC">
        <w:trPr>
          <w:trHeight w:val="161"/>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4B9B987F" w14:textId="77777777" w:rsidR="005D0DD1" w:rsidRPr="005D0DD1" w:rsidRDefault="005D0DD1" w:rsidP="00CA0CD7">
            <w:pPr>
              <w:rPr>
                <w:sz w:val="18"/>
                <w:szCs w:val="18"/>
                <w:lang w:val="es-E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2B360F0A" w14:textId="77777777" w:rsidR="005D0DD1" w:rsidRPr="005D0DD1" w:rsidRDefault="005D0DD1" w:rsidP="00CA0CD7">
            <w:pPr>
              <w:jc w:val="center"/>
              <w:rPr>
                <w:sz w:val="18"/>
                <w:szCs w:val="18"/>
                <w:lang w:val="es-ES"/>
              </w:rPr>
            </w:pPr>
          </w:p>
        </w:tc>
        <w:tc>
          <w:tcPr>
            <w:tcW w:w="1754" w:type="dxa"/>
            <w:tcBorders>
              <w:top w:val="single" w:sz="4" w:space="0" w:color="auto"/>
              <w:left w:val="single" w:sz="4" w:space="0" w:color="auto"/>
              <w:bottom w:val="single" w:sz="4" w:space="0" w:color="auto"/>
              <w:right w:val="single" w:sz="4" w:space="0" w:color="auto"/>
            </w:tcBorders>
            <w:hideMark/>
          </w:tcPr>
          <w:p w14:paraId="53EBB05F" w14:textId="77777777" w:rsidR="005D0DD1" w:rsidRPr="005D0DD1" w:rsidRDefault="005D0DD1" w:rsidP="00CA0CD7">
            <w:pPr>
              <w:spacing w:afterLines="20" w:after="48"/>
              <w:jc w:val="left"/>
              <w:rPr>
                <w:sz w:val="18"/>
                <w:szCs w:val="18"/>
                <w:lang w:val="es-ES"/>
              </w:rPr>
            </w:pPr>
            <w:r w:rsidRPr="005D0DD1">
              <w:rPr>
                <w:sz w:val="18"/>
                <w:lang w:val="es-ES"/>
              </w:rPr>
              <w:t>Gastos de apoyo</w:t>
            </w:r>
          </w:p>
        </w:tc>
        <w:tc>
          <w:tcPr>
            <w:tcW w:w="786" w:type="dxa"/>
            <w:tcBorders>
              <w:top w:val="single" w:sz="4" w:space="0" w:color="auto"/>
              <w:left w:val="single" w:sz="4" w:space="0" w:color="auto"/>
              <w:bottom w:val="single" w:sz="4" w:space="0" w:color="auto"/>
              <w:right w:val="single" w:sz="4" w:space="0" w:color="auto"/>
            </w:tcBorders>
          </w:tcPr>
          <w:p w14:paraId="13DA2021" w14:textId="77777777" w:rsidR="005D0DD1" w:rsidRPr="005D0DD1" w:rsidRDefault="005D0DD1" w:rsidP="00CA0CD7">
            <w:pPr>
              <w:spacing w:afterLines="20" w:after="48"/>
              <w:jc w:val="right"/>
              <w:rPr>
                <w:color w:val="000000"/>
                <w:sz w:val="18"/>
                <w:szCs w:val="18"/>
                <w:lang w:val="es-ES"/>
              </w:rPr>
            </w:pPr>
            <w:r w:rsidRPr="005D0DD1">
              <w:rPr>
                <w:sz w:val="18"/>
                <w:lang w:val="es-ES"/>
              </w:rPr>
              <w:t>13.000</w:t>
            </w:r>
          </w:p>
        </w:tc>
        <w:tc>
          <w:tcPr>
            <w:tcW w:w="786" w:type="dxa"/>
            <w:tcBorders>
              <w:top w:val="single" w:sz="4" w:space="0" w:color="auto"/>
              <w:left w:val="single" w:sz="4" w:space="0" w:color="auto"/>
              <w:bottom w:val="single" w:sz="4" w:space="0" w:color="auto"/>
              <w:right w:val="single" w:sz="4" w:space="0" w:color="auto"/>
            </w:tcBorders>
          </w:tcPr>
          <w:p w14:paraId="320F4FE1"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107845EE" w14:textId="77777777" w:rsidR="005D0DD1" w:rsidRPr="005D0DD1" w:rsidRDefault="005D0DD1" w:rsidP="00CA0CD7">
            <w:pPr>
              <w:spacing w:afterLines="20" w:after="48"/>
              <w:jc w:val="right"/>
              <w:rPr>
                <w:color w:val="000000"/>
                <w:sz w:val="18"/>
                <w:szCs w:val="18"/>
                <w:lang w:val="es-ES"/>
              </w:rPr>
            </w:pPr>
            <w:r w:rsidRPr="005D0DD1">
              <w:rPr>
                <w:color w:val="000000"/>
                <w:sz w:val="18"/>
                <w:lang w:val="es-ES"/>
              </w:rPr>
              <w:t>18.850</w:t>
            </w:r>
          </w:p>
        </w:tc>
        <w:tc>
          <w:tcPr>
            <w:tcW w:w="786" w:type="dxa"/>
            <w:tcBorders>
              <w:top w:val="single" w:sz="4" w:space="0" w:color="auto"/>
              <w:left w:val="single" w:sz="4" w:space="0" w:color="auto"/>
              <w:bottom w:val="single" w:sz="4" w:space="0" w:color="auto"/>
              <w:right w:val="single" w:sz="4" w:space="0" w:color="auto"/>
            </w:tcBorders>
          </w:tcPr>
          <w:p w14:paraId="711F711B"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5E431B1B"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F73D637" w14:textId="77777777" w:rsidR="005D0DD1" w:rsidRPr="005D0DD1" w:rsidRDefault="005D0DD1" w:rsidP="00CA0CD7">
            <w:pPr>
              <w:spacing w:afterLines="20" w:after="48"/>
              <w:jc w:val="right"/>
              <w:rPr>
                <w:color w:val="000000"/>
                <w:sz w:val="18"/>
                <w:szCs w:val="18"/>
                <w:lang w:val="es-ES"/>
              </w:rPr>
            </w:pPr>
            <w:r w:rsidRPr="005D0DD1">
              <w:rPr>
                <w:sz w:val="18"/>
                <w:lang w:val="es-ES"/>
              </w:rPr>
              <w:t>13.780</w:t>
            </w:r>
          </w:p>
        </w:tc>
        <w:tc>
          <w:tcPr>
            <w:tcW w:w="786" w:type="dxa"/>
            <w:tcBorders>
              <w:top w:val="single" w:sz="4" w:space="0" w:color="auto"/>
              <w:left w:val="single" w:sz="4" w:space="0" w:color="auto"/>
              <w:bottom w:val="single" w:sz="4" w:space="0" w:color="auto"/>
              <w:right w:val="single" w:sz="4" w:space="0" w:color="auto"/>
            </w:tcBorders>
          </w:tcPr>
          <w:p w14:paraId="29EDDC0A"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51F403B" w14:textId="77777777" w:rsidR="005D0DD1" w:rsidRPr="005D0DD1" w:rsidRDefault="005D0DD1" w:rsidP="00CA0CD7">
            <w:pPr>
              <w:spacing w:afterLines="20" w:after="48"/>
              <w:jc w:val="right"/>
              <w:rPr>
                <w:color w:val="000000"/>
                <w:sz w:val="18"/>
                <w:szCs w:val="18"/>
                <w:lang w:val="es-ES"/>
              </w:rPr>
            </w:pPr>
            <w:r w:rsidRPr="005D0DD1">
              <w:rPr>
                <w:sz w:val="18"/>
                <w:lang w:val="es-ES"/>
              </w:rPr>
              <w:t>7.020</w:t>
            </w:r>
          </w:p>
        </w:tc>
        <w:tc>
          <w:tcPr>
            <w:tcW w:w="786" w:type="dxa"/>
            <w:tcBorders>
              <w:top w:val="single" w:sz="4" w:space="0" w:color="auto"/>
              <w:left w:val="single" w:sz="4" w:space="0" w:color="auto"/>
              <w:bottom w:val="single" w:sz="4" w:space="0" w:color="auto"/>
              <w:right w:val="single" w:sz="4" w:space="0" w:color="auto"/>
            </w:tcBorders>
          </w:tcPr>
          <w:p w14:paraId="3AEFCDAF" w14:textId="77777777" w:rsidR="005D0DD1" w:rsidRPr="005D0DD1" w:rsidRDefault="005D0DD1" w:rsidP="00CA0CD7">
            <w:pPr>
              <w:spacing w:afterLines="20" w:after="48"/>
              <w:jc w:val="right"/>
              <w:rPr>
                <w:color w:val="000000"/>
                <w:sz w:val="18"/>
                <w:szCs w:val="18"/>
                <w:lang w:val="es-ES"/>
              </w:rPr>
            </w:pPr>
            <w:r w:rsidRPr="005D0DD1">
              <w:rPr>
                <w:sz w:val="18"/>
                <w:lang w:val="es-ES"/>
              </w:rPr>
              <w:t>52.650</w:t>
            </w:r>
          </w:p>
        </w:tc>
      </w:tr>
      <w:tr w:rsidR="005D0DD1" w:rsidRPr="005D0DD1" w14:paraId="2A120CE7" w14:textId="77777777" w:rsidTr="008065AC">
        <w:trPr>
          <w:trHeight w:val="244"/>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05ED30C6" w14:textId="77777777" w:rsidR="005D0DD1" w:rsidRPr="005D0DD1" w:rsidRDefault="005D0DD1" w:rsidP="00CA0CD7">
            <w:pPr>
              <w:rPr>
                <w:sz w:val="18"/>
                <w:szCs w:val="18"/>
                <w:lang w:val="es-ES"/>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7774D1A6" w14:textId="77777777" w:rsidR="005D0DD1" w:rsidRPr="005D0DD1" w:rsidRDefault="005D0DD1" w:rsidP="00CA0CD7">
            <w:pPr>
              <w:spacing w:afterLines="20" w:after="48"/>
              <w:jc w:val="center"/>
              <w:rPr>
                <w:caps/>
                <w:sz w:val="18"/>
                <w:szCs w:val="18"/>
                <w:lang w:val="es-ES"/>
              </w:rPr>
            </w:pPr>
            <w:r w:rsidRPr="005D0DD1">
              <w:rPr>
                <w:color w:val="000000" w:themeColor="text1"/>
                <w:sz w:val="18"/>
                <w:lang w:val="es-ES"/>
              </w:rPr>
              <w:t>ONUDI</w:t>
            </w:r>
          </w:p>
        </w:tc>
        <w:tc>
          <w:tcPr>
            <w:tcW w:w="1754" w:type="dxa"/>
            <w:tcBorders>
              <w:top w:val="single" w:sz="4" w:space="0" w:color="auto"/>
              <w:left w:val="single" w:sz="4" w:space="0" w:color="auto"/>
              <w:bottom w:val="single" w:sz="4" w:space="0" w:color="auto"/>
              <w:right w:val="single" w:sz="4" w:space="0" w:color="auto"/>
            </w:tcBorders>
            <w:hideMark/>
          </w:tcPr>
          <w:p w14:paraId="579BD692" w14:textId="77777777" w:rsidR="005D0DD1" w:rsidRPr="005D0DD1" w:rsidRDefault="005D0DD1" w:rsidP="00CA0CD7">
            <w:pPr>
              <w:spacing w:afterLines="20" w:after="48"/>
              <w:jc w:val="left"/>
              <w:rPr>
                <w:sz w:val="18"/>
                <w:szCs w:val="18"/>
                <w:lang w:val="es-ES"/>
              </w:rPr>
            </w:pPr>
            <w:r w:rsidRPr="005D0DD1">
              <w:rPr>
                <w:sz w:val="18"/>
                <w:lang w:val="es-ES"/>
              </w:rPr>
              <w:t>Costos del proyecto</w:t>
            </w:r>
          </w:p>
        </w:tc>
        <w:tc>
          <w:tcPr>
            <w:tcW w:w="786" w:type="dxa"/>
            <w:tcBorders>
              <w:top w:val="single" w:sz="4" w:space="0" w:color="auto"/>
              <w:left w:val="single" w:sz="4" w:space="0" w:color="auto"/>
              <w:bottom w:val="single" w:sz="4" w:space="0" w:color="auto"/>
              <w:right w:val="single" w:sz="4" w:space="0" w:color="auto"/>
            </w:tcBorders>
          </w:tcPr>
          <w:p w14:paraId="10839641" w14:textId="77777777" w:rsidR="005D0DD1" w:rsidRPr="005D0DD1" w:rsidRDefault="005D0DD1" w:rsidP="00CA0CD7">
            <w:pPr>
              <w:spacing w:afterLines="20" w:after="48"/>
              <w:jc w:val="right"/>
              <w:rPr>
                <w:color w:val="000000"/>
                <w:sz w:val="18"/>
                <w:szCs w:val="18"/>
                <w:lang w:val="es-ES"/>
              </w:rPr>
            </w:pPr>
            <w:r w:rsidRPr="005D0DD1">
              <w:rPr>
                <w:sz w:val="18"/>
                <w:lang w:val="es-ES"/>
              </w:rPr>
              <w:t>90.000</w:t>
            </w:r>
          </w:p>
        </w:tc>
        <w:tc>
          <w:tcPr>
            <w:tcW w:w="786" w:type="dxa"/>
            <w:tcBorders>
              <w:top w:val="single" w:sz="4" w:space="0" w:color="auto"/>
              <w:left w:val="single" w:sz="4" w:space="0" w:color="auto"/>
              <w:bottom w:val="single" w:sz="4" w:space="0" w:color="auto"/>
              <w:right w:val="single" w:sz="4" w:space="0" w:color="auto"/>
            </w:tcBorders>
          </w:tcPr>
          <w:p w14:paraId="2327EEB7"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DFDB7AC" w14:textId="77777777" w:rsidR="005D0DD1" w:rsidRPr="005D0DD1" w:rsidRDefault="005D0DD1" w:rsidP="00CA0CD7">
            <w:pPr>
              <w:spacing w:afterLines="20" w:after="48"/>
              <w:jc w:val="right"/>
              <w:rPr>
                <w:color w:val="000000"/>
                <w:sz w:val="18"/>
                <w:szCs w:val="18"/>
                <w:lang w:val="es-ES"/>
              </w:rPr>
            </w:pPr>
            <w:r w:rsidRPr="005D0DD1">
              <w:rPr>
                <w:sz w:val="18"/>
                <w:lang w:val="es-ES"/>
              </w:rPr>
              <w:t>145.000</w:t>
            </w:r>
          </w:p>
        </w:tc>
        <w:tc>
          <w:tcPr>
            <w:tcW w:w="786" w:type="dxa"/>
            <w:tcBorders>
              <w:top w:val="single" w:sz="4" w:space="0" w:color="auto"/>
              <w:left w:val="single" w:sz="4" w:space="0" w:color="auto"/>
              <w:bottom w:val="single" w:sz="4" w:space="0" w:color="auto"/>
              <w:right w:val="single" w:sz="4" w:space="0" w:color="auto"/>
            </w:tcBorders>
          </w:tcPr>
          <w:p w14:paraId="197C2F7B"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C364E09"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5A5C8CA1"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B8BE2C4"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308750B8"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523082AD" w14:textId="77777777" w:rsidR="005D0DD1" w:rsidRPr="005D0DD1" w:rsidRDefault="005D0DD1" w:rsidP="00CA0CD7">
            <w:pPr>
              <w:spacing w:afterLines="20" w:after="48"/>
              <w:jc w:val="right"/>
              <w:rPr>
                <w:color w:val="000000"/>
                <w:sz w:val="18"/>
                <w:szCs w:val="18"/>
                <w:lang w:val="es-ES"/>
              </w:rPr>
            </w:pPr>
            <w:r w:rsidRPr="005D0DD1">
              <w:rPr>
                <w:sz w:val="18"/>
                <w:lang w:val="es-ES"/>
              </w:rPr>
              <w:t>235.000</w:t>
            </w:r>
          </w:p>
        </w:tc>
      </w:tr>
      <w:tr w:rsidR="005D0DD1" w:rsidRPr="005D0DD1" w14:paraId="14B18CC0" w14:textId="77777777" w:rsidTr="008065AC">
        <w:trPr>
          <w:trHeight w:val="114"/>
        </w:trPr>
        <w:tc>
          <w:tcPr>
            <w:tcW w:w="1080" w:type="dxa"/>
            <w:vMerge/>
            <w:tcBorders>
              <w:top w:val="single" w:sz="4" w:space="0" w:color="auto"/>
              <w:left w:val="single" w:sz="4" w:space="0" w:color="auto"/>
              <w:bottom w:val="single" w:sz="4" w:space="0" w:color="auto"/>
              <w:right w:val="single" w:sz="4" w:space="0" w:color="auto"/>
            </w:tcBorders>
            <w:vAlign w:val="center"/>
            <w:hideMark/>
          </w:tcPr>
          <w:p w14:paraId="1185BC88" w14:textId="77777777" w:rsidR="005D0DD1" w:rsidRPr="005D0DD1" w:rsidRDefault="005D0DD1" w:rsidP="00CA0CD7">
            <w:pPr>
              <w:rPr>
                <w:sz w:val="18"/>
                <w:szCs w:val="18"/>
                <w:lang w:val="es-ES"/>
              </w:rPr>
            </w:pPr>
          </w:p>
        </w:tc>
        <w:tc>
          <w:tcPr>
            <w:tcW w:w="810" w:type="dxa"/>
            <w:vMerge/>
            <w:tcBorders>
              <w:top w:val="single" w:sz="4" w:space="0" w:color="auto"/>
              <w:left w:val="single" w:sz="4" w:space="0" w:color="auto"/>
              <w:bottom w:val="single" w:sz="4" w:space="0" w:color="auto"/>
              <w:right w:val="single" w:sz="4" w:space="0" w:color="auto"/>
            </w:tcBorders>
            <w:hideMark/>
          </w:tcPr>
          <w:p w14:paraId="529E733D" w14:textId="77777777" w:rsidR="005D0DD1" w:rsidRPr="005D0DD1" w:rsidRDefault="005D0DD1" w:rsidP="00CA0CD7">
            <w:pPr>
              <w:rPr>
                <w:sz w:val="18"/>
                <w:szCs w:val="18"/>
                <w:lang w:val="es-ES"/>
              </w:rPr>
            </w:pPr>
          </w:p>
        </w:tc>
        <w:tc>
          <w:tcPr>
            <w:tcW w:w="1754" w:type="dxa"/>
            <w:tcBorders>
              <w:top w:val="single" w:sz="4" w:space="0" w:color="auto"/>
              <w:left w:val="single" w:sz="4" w:space="0" w:color="auto"/>
              <w:bottom w:val="single" w:sz="4" w:space="0" w:color="auto"/>
              <w:right w:val="single" w:sz="4" w:space="0" w:color="auto"/>
            </w:tcBorders>
            <w:hideMark/>
          </w:tcPr>
          <w:p w14:paraId="23B7D017" w14:textId="77777777" w:rsidR="005D0DD1" w:rsidRPr="005D0DD1" w:rsidRDefault="005D0DD1" w:rsidP="00CA0CD7">
            <w:pPr>
              <w:spacing w:afterLines="20" w:after="48"/>
              <w:jc w:val="left"/>
              <w:rPr>
                <w:sz w:val="18"/>
                <w:szCs w:val="18"/>
                <w:lang w:val="es-ES"/>
              </w:rPr>
            </w:pPr>
            <w:r w:rsidRPr="005D0DD1">
              <w:rPr>
                <w:sz w:val="18"/>
                <w:lang w:val="es-ES"/>
              </w:rPr>
              <w:t>Gastos de apoyo</w:t>
            </w:r>
          </w:p>
        </w:tc>
        <w:tc>
          <w:tcPr>
            <w:tcW w:w="786" w:type="dxa"/>
            <w:tcBorders>
              <w:top w:val="single" w:sz="4" w:space="0" w:color="auto"/>
              <w:left w:val="single" w:sz="4" w:space="0" w:color="auto"/>
              <w:bottom w:val="single" w:sz="4" w:space="0" w:color="auto"/>
              <w:right w:val="single" w:sz="4" w:space="0" w:color="auto"/>
            </w:tcBorders>
          </w:tcPr>
          <w:p w14:paraId="5DB6CF88" w14:textId="77777777" w:rsidR="005D0DD1" w:rsidRPr="005D0DD1" w:rsidRDefault="005D0DD1" w:rsidP="00CA0CD7">
            <w:pPr>
              <w:spacing w:afterLines="20" w:after="48"/>
              <w:jc w:val="right"/>
              <w:rPr>
                <w:color w:val="000000"/>
                <w:sz w:val="18"/>
                <w:szCs w:val="18"/>
                <w:lang w:val="es-ES"/>
              </w:rPr>
            </w:pPr>
            <w:r w:rsidRPr="005D0DD1">
              <w:rPr>
                <w:sz w:val="18"/>
                <w:lang w:val="es-ES"/>
              </w:rPr>
              <w:t>8.100</w:t>
            </w:r>
          </w:p>
        </w:tc>
        <w:tc>
          <w:tcPr>
            <w:tcW w:w="786" w:type="dxa"/>
            <w:tcBorders>
              <w:top w:val="single" w:sz="4" w:space="0" w:color="auto"/>
              <w:left w:val="single" w:sz="4" w:space="0" w:color="auto"/>
              <w:bottom w:val="single" w:sz="4" w:space="0" w:color="auto"/>
              <w:right w:val="single" w:sz="4" w:space="0" w:color="auto"/>
            </w:tcBorders>
          </w:tcPr>
          <w:p w14:paraId="494471B1"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61CA729C" w14:textId="77777777" w:rsidR="005D0DD1" w:rsidRPr="005D0DD1" w:rsidRDefault="005D0DD1" w:rsidP="00CA0CD7">
            <w:pPr>
              <w:spacing w:afterLines="20" w:after="48"/>
              <w:jc w:val="right"/>
              <w:rPr>
                <w:color w:val="000000"/>
                <w:sz w:val="18"/>
                <w:szCs w:val="18"/>
                <w:lang w:val="es-ES"/>
              </w:rPr>
            </w:pPr>
            <w:r w:rsidRPr="005D0DD1">
              <w:rPr>
                <w:color w:val="000000"/>
                <w:sz w:val="18"/>
                <w:lang w:val="es-ES"/>
              </w:rPr>
              <w:t>13.050</w:t>
            </w:r>
          </w:p>
        </w:tc>
        <w:tc>
          <w:tcPr>
            <w:tcW w:w="786" w:type="dxa"/>
            <w:tcBorders>
              <w:top w:val="single" w:sz="4" w:space="0" w:color="auto"/>
              <w:left w:val="single" w:sz="4" w:space="0" w:color="auto"/>
              <w:bottom w:val="single" w:sz="4" w:space="0" w:color="auto"/>
              <w:right w:val="single" w:sz="4" w:space="0" w:color="auto"/>
            </w:tcBorders>
          </w:tcPr>
          <w:p w14:paraId="2E9BA650"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4480429"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9D45C1A"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62DE4F06"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058A8382"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DE3BC0A" w14:textId="77777777" w:rsidR="005D0DD1" w:rsidRPr="005D0DD1" w:rsidRDefault="005D0DD1" w:rsidP="00CA0CD7">
            <w:pPr>
              <w:spacing w:afterLines="20" w:after="48"/>
              <w:jc w:val="right"/>
              <w:rPr>
                <w:color w:val="000000"/>
                <w:sz w:val="18"/>
                <w:szCs w:val="18"/>
                <w:lang w:val="es-ES"/>
              </w:rPr>
            </w:pPr>
            <w:r w:rsidRPr="005D0DD1">
              <w:rPr>
                <w:sz w:val="18"/>
                <w:lang w:val="es-ES"/>
              </w:rPr>
              <w:t>21.150</w:t>
            </w:r>
          </w:p>
        </w:tc>
      </w:tr>
      <w:tr w:rsidR="005D0DD1" w:rsidRPr="005D0DD1" w14:paraId="5FABC738" w14:textId="77777777" w:rsidTr="008065AC">
        <w:trPr>
          <w:trHeight w:val="229"/>
        </w:trPr>
        <w:tc>
          <w:tcPr>
            <w:tcW w:w="1890" w:type="dxa"/>
            <w:gridSpan w:val="2"/>
            <w:vMerge w:val="restart"/>
            <w:tcBorders>
              <w:top w:val="single" w:sz="4" w:space="0" w:color="auto"/>
              <w:left w:val="single" w:sz="4" w:space="0" w:color="auto"/>
              <w:bottom w:val="single" w:sz="4" w:space="0" w:color="auto"/>
              <w:right w:val="single" w:sz="4" w:space="0" w:color="auto"/>
            </w:tcBorders>
            <w:hideMark/>
          </w:tcPr>
          <w:p w14:paraId="7A714F4E" w14:textId="77777777" w:rsidR="005D0DD1" w:rsidRPr="005D0DD1" w:rsidRDefault="005D0DD1" w:rsidP="00CA0CD7">
            <w:pPr>
              <w:spacing w:afterLines="20" w:after="48"/>
              <w:jc w:val="left"/>
              <w:rPr>
                <w:sz w:val="18"/>
                <w:szCs w:val="18"/>
                <w:lang w:val="es-ES"/>
              </w:rPr>
            </w:pPr>
            <w:r w:rsidRPr="005D0DD1">
              <w:rPr>
                <w:sz w:val="18"/>
                <w:lang w:val="es-ES"/>
              </w:rPr>
              <w:t>Fondos aprobados por el Comité Ejecutivo ($EUA)</w:t>
            </w:r>
          </w:p>
        </w:tc>
        <w:tc>
          <w:tcPr>
            <w:tcW w:w="1754" w:type="dxa"/>
            <w:tcBorders>
              <w:top w:val="single" w:sz="4" w:space="0" w:color="auto"/>
              <w:left w:val="single" w:sz="4" w:space="0" w:color="auto"/>
              <w:bottom w:val="single" w:sz="4" w:space="0" w:color="auto"/>
              <w:right w:val="single" w:sz="4" w:space="0" w:color="auto"/>
            </w:tcBorders>
            <w:hideMark/>
          </w:tcPr>
          <w:p w14:paraId="67FC4DF5" w14:textId="77777777" w:rsidR="005D0DD1" w:rsidRPr="005D0DD1" w:rsidRDefault="005D0DD1" w:rsidP="00CA0CD7">
            <w:pPr>
              <w:spacing w:afterLines="20" w:after="48"/>
              <w:jc w:val="left"/>
              <w:rPr>
                <w:sz w:val="18"/>
                <w:szCs w:val="18"/>
                <w:lang w:val="es-ES"/>
              </w:rPr>
            </w:pPr>
            <w:r w:rsidRPr="005D0DD1">
              <w:rPr>
                <w:sz w:val="18"/>
                <w:lang w:val="es-ES"/>
              </w:rPr>
              <w:t>Costos del proyecto</w:t>
            </w:r>
          </w:p>
        </w:tc>
        <w:tc>
          <w:tcPr>
            <w:tcW w:w="786" w:type="dxa"/>
            <w:tcBorders>
              <w:top w:val="single" w:sz="4" w:space="0" w:color="auto"/>
              <w:left w:val="single" w:sz="4" w:space="0" w:color="auto"/>
              <w:bottom w:val="single" w:sz="4" w:space="0" w:color="auto"/>
              <w:right w:val="single" w:sz="4" w:space="0" w:color="auto"/>
            </w:tcBorders>
          </w:tcPr>
          <w:p w14:paraId="55479C20" w14:textId="77777777" w:rsidR="005D0DD1" w:rsidRPr="005D0DD1" w:rsidRDefault="005D0DD1" w:rsidP="00CA0CD7">
            <w:pPr>
              <w:spacing w:afterLines="20" w:after="48"/>
              <w:jc w:val="right"/>
              <w:rPr>
                <w:color w:val="000000"/>
                <w:sz w:val="18"/>
                <w:szCs w:val="18"/>
                <w:lang w:val="es-ES"/>
              </w:rPr>
            </w:pPr>
            <w:r w:rsidRPr="005D0DD1">
              <w:rPr>
                <w:sz w:val="18"/>
                <w:lang w:val="es-ES"/>
              </w:rPr>
              <w:t>190.000</w:t>
            </w:r>
          </w:p>
        </w:tc>
        <w:tc>
          <w:tcPr>
            <w:tcW w:w="786" w:type="dxa"/>
            <w:tcBorders>
              <w:top w:val="single" w:sz="4" w:space="0" w:color="auto"/>
              <w:left w:val="single" w:sz="4" w:space="0" w:color="auto"/>
              <w:bottom w:val="single" w:sz="4" w:space="0" w:color="auto"/>
              <w:right w:val="single" w:sz="4" w:space="0" w:color="auto"/>
            </w:tcBorders>
          </w:tcPr>
          <w:p w14:paraId="373D5596"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7092CCA"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6081E4B"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07F0614"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6418F725"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CCE2407"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B48F55C"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38F9BBF0" w14:textId="77777777" w:rsidR="005D0DD1" w:rsidRPr="005D0DD1" w:rsidRDefault="005D0DD1" w:rsidP="00CA0CD7">
            <w:pPr>
              <w:spacing w:afterLines="20" w:after="48"/>
              <w:jc w:val="right"/>
              <w:rPr>
                <w:color w:val="000000"/>
                <w:sz w:val="19"/>
                <w:szCs w:val="19"/>
                <w:lang w:val="es-ES"/>
              </w:rPr>
            </w:pPr>
            <w:r w:rsidRPr="005D0DD1">
              <w:rPr>
                <w:sz w:val="18"/>
                <w:lang w:val="es-ES"/>
              </w:rPr>
              <w:t>190.000</w:t>
            </w:r>
          </w:p>
        </w:tc>
      </w:tr>
      <w:tr w:rsidR="005D0DD1" w:rsidRPr="005D0DD1" w14:paraId="2601E189" w14:textId="77777777" w:rsidTr="008065AC">
        <w:trPr>
          <w:trHeight w:val="167"/>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5C0691CC" w14:textId="77777777" w:rsidR="005D0DD1" w:rsidRPr="005D0DD1" w:rsidRDefault="005D0DD1" w:rsidP="00CA0CD7">
            <w:pPr>
              <w:rPr>
                <w:sz w:val="18"/>
                <w:szCs w:val="18"/>
                <w:lang w:val="es-ES"/>
              </w:rPr>
            </w:pPr>
          </w:p>
        </w:tc>
        <w:tc>
          <w:tcPr>
            <w:tcW w:w="1754" w:type="dxa"/>
            <w:tcBorders>
              <w:top w:val="single" w:sz="4" w:space="0" w:color="auto"/>
              <w:left w:val="single" w:sz="4" w:space="0" w:color="auto"/>
              <w:bottom w:val="single" w:sz="4" w:space="0" w:color="auto"/>
              <w:right w:val="single" w:sz="4" w:space="0" w:color="auto"/>
            </w:tcBorders>
            <w:hideMark/>
          </w:tcPr>
          <w:p w14:paraId="031432E1" w14:textId="77777777" w:rsidR="005D0DD1" w:rsidRPr="005D0DD1" w:rsidRDefault="005D0DD1" w:rsidP="00CA0CD7">
            <w:pPr>
              <w:spacing w:afterLines="20" w:after="48"/>
              <w:jc w:val="left"/>
              <w:rPr>
                <w:sz w:val="18"/>
                <w:szCs w:val="18"/>
                <w:lang w:val="es-ES"/>
              </w:rPr>
            </w:pPr>
            <w:r w:rsidRPr="005D0DD1">
              <w:rPr>
                <w:sz w:val="18"/>
                <w:lang w:val="es-ES"/>
              </w:rPr>
              <w:t>Gastos de apoyo</w:t>
            </w:r>
          </w:p>
        </w:tc>
        <w:tc>
          <w:tcPr>
            <w:tcW w:w="786" w:type="dxa"/>
            <w:tcBorders>
              <w:top w:val="single" w:sz="4" w:space="0" w:color="auto"/>
              <w:left w:val="single" w:sz="4" w:space="0" w:color="auto"/>
              <w:bottom w:val="single" w:sz="4" w:space="0" w:color="auto"/>
              <w:right w:val="single" w:sz="4" w:space="0" w:color="auto"/>
            </w:tcBorders>
          </w:tcPr>
          <w:p w14:paraId="38F08734" w14:textId="77777777" w:rsidR="005D0DD1" w:rsidRPr="005D0DD1" w:rsidRDefault="005D0DD1" w:rsidP="00CA0CD7">
            <w:pPr>
              <w:spacing w:afterLines="20" w:after="48"/>
              <w:jc w:val="right"/>
              <w:rPr>
                <w:color w:val="000000"/>
                <w:sz w:val="18"/>
                <w:szCs w:val="18"/>
                <w:lang w:val="es-ES"/>
              </w:rPr>
            </w:pPr>
            <w:r w:rsidRPr="005D0DD1">
              <w:rPr>
                <w:sz w:val="18"/>
                <w:lang w:val="es-ES"/>
              </w:rPr>
              <w:t>21.100</w:t>
            </w:r>
          </w:p>
        </w:tc>
        <w:tc>
          <w:tcPr>
            <w:tcW w:w="786" w:type="dxa"/>
            <w:tcBorders>
              <w:top w:val="single" w:sz="4" w:space="0" w:color="auto"/>
              <w:left w:val="single" w:sz="4" w:space="0" w:color="auto"/>
              <w:bottom w:val="single" w:sz="4" w:space="0" w:color="auto"/>
              <w:right w:val="single" w:sz="4" w:space="0" w:color="auto"/>
            </w:tcBorders>
          </w:tcPr>
          <w:p w14:paraId="7E7FA8D6"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027D0D83"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127C0022"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3A1DCBE8"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4244C90"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1F99FC84"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1792360" w14:textId="77777777" w:rsidR="005D0DD1" w:rsidRPr="005D0DD1" w:rsidRDefault="005D0DD1" w:rsidP="00CA0CD7">
            <w:pPr>
              <w:spacing w:afterLines="20" w:after="48"/>
              <w:jc w:val="right"/>
              <w:rPr>
                <w:color w:val="000000"/>
                <w:sz w:val="19"/>
                <w:szCs w:val="19"/>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F4F0865" w14:textId="77777777" w:rsidR="005D0DD1" w:rsidRPr="005D0DD1" w:rsidRDefault="005D0DD1" w:rsidP="00CA0CD7">
            <w:pPr>
              <w:spacing w:afterLines="20" w:after="48"/>
              <w:jc w:val="right"/>
              <w:rPr>
                <w:color w:val="000000"/>
                <w:sz w:val="19"/>
                <w:szCs w:val="19"/>
                <w:lang w:val="es-ES"/>
              </w:rPr>
            </w:pPr>
            <w:r w:rsidRPr="005D0DD1">
              <w:rPr>
                <w:sz w:val="18"/>
                <w:lang w:val="es-ES"/>
              </w:rPr>
              <w:t>21.100</w:t>
            </w:r>
          </w:p>
        </w:tc>
      </w:tr>
      <w:tr w:rsidR="005D0DD1" w:rsidRPr="005D0DD1" w14:paraId="5D34C75A" w14:textId="77777777" w:rsidTr="008065AC">
        <w:trPr>
          <w:trHeight w:val="238"/>
        </w:trPr>
        <w:tc>
          <w:tcPr>
            <w:tcW w:w="1890" w:type="dxa"/>
            <w:gridSpan w:val="2"/>
            <w:vMerge w:val="restart"/>
            <w:tcBorders>
              <w:top w:val="single" w:sz="4" w:space="0" w:color="auto"/>
              <w:left w:val="single" w:sz="4" w:space="0" w:color="auto"/>
              <w:bottom w:val="single" w:sz="4" w:space="0" w:color="auto"/>
              <w:right w:val="single" w:sz="4" w:space="0" w:color="auto"/>
            </w:tcBorders>
            <w:hideMark/>
          </w:tcPr>
          <w:p w14:paraId="31360C41" w14:textId="77777777" w:rsidR="005D0DD1" w:rsidRPr="005D0DD1" w:rsidRDefault="005D0DD1" w:rsidP="00CA0CD7">
            <w:pPr>
              <w:spacing w:afterLines="20" w:after="48"/>
              <w:ind w:right="-85"/>
              <w:jc w:val="left"/>
              <w:rPr>
                <w:sz w:val="18"/>
                <w:szCs w:val="18"/>
                <w:lang w:val="es-ES"/>
              </w:rPr>
            </w:pPr>
            <w:r w:rsidRPr="005D0DD1">
              <w:rPr>
                <w:sz w:val="18"/>
                <w:lang w:val="es-ES"/>
              </w:rPr>
              <w:t>Total de fondos cuya aprobación se recomienda en esta reunión ($EUA)</w:t>
            </w:r>
          </w:p>
        </w:tc>
        <w:tc>
          <w:tcPr>
            <w:tcW w:w="1754" w:type="dxa"/>
            <w:tcBorders>
              <w:top w:val="single" w:sz="4" w:space="0" w:color="auto"/>
              <w:left w:val="single" w:sz="4" w:space="0" w:color="auto"/>
              <w:bottom w:val="single" w:sz="4" w:space="0" w:color="auto"/>
              <w:right w:val="single" w:sz="4" w:space="0" w:color="auto"/>
            </w:tcBorders>
            <w:vAlign w:val="center"/>
            <w:hideMark/>
          </w:tcPr>
          <w:p w14:paraId="0180D808" w14:textId="77777777" w:rsidR="005D0DD1" w:rsidRPr="005D0DD1" w:rsidRDefault="005D0DD1" w:rsidP="00CA0CD7">
            <w:pPr>
              <w:spacing w:afterLines="20" w:after="48"/>
              <w:jc w:val="left"/>
              <w:rPr>
                <w:sz w:val="18"/>
                <w:szCs w:val="18"/>
                <w:lang w:val="es-ES"/>
              </w:rPr>
            </w:pPr>
            <w:r w:rsidRPr="005D0DD1">
              <w:rPr>
                <w:sz w:val="18"/>
                <w:lang w:val="es-ES"/>
              </w:rPr>
              <w:t>Costos del proyecto</w:t>
            </w:r>
          </w:p>
        </w:tc>
        <w:tc>
          <w:tcPr>
            <w:tcW w:w="786" w:type="dxa"/>
            <w:tcBorders>
              <w:top w:val="single" w:sz="4" w:space="0" w:color="auto"/>
              <w:left w:val="single" w:sz="4" w:space="0" w:color="auto"/>
              <w:bottom w:val="single" w:sz="4" w:space="0" w:color="auto"/>
              <w:right w:val="single" w:sz="4" w:space="0" w:color="auto"/>
            </w:tcBorders>
          </w:tcPr>
          <w:p w14:paraId="46EC6A25"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6B0F2F8"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D65FE1D" w14:textId="77777777" w:rsidR="005D0DD1" w:rsidRPr="005D0DD1" w:rsidRDefault="005D0DD1" w:rsidP="00CA0CD7">
            <w:pPr>
              <w:spacing w:afterLines="20" w:after="48"/>
              <w:jc w:val="right"/>
              <w:rPr>
                <w:color w:val="000000"/>
                <w:sz w:val="18"/>
                <w:szCs w:val="18"/>
                <w:lang w:val="es-ES"/>
              </w:rPr>
            </w:pPr>
            <w:r w:rsidRPr="005D0DD1">
              <w:rPr>
                <w:color w:val="000000"/>
                <w:sz w:val="18"/>
                <w:lang w:val="es-ES"/>
              </w:rPr>
              <w:t>290.000</w:t>
            </w:r>
          </w:p>
        </w:tc>
        <w:tc>
          <w:tcPr>
            <w:tcW w:w="786" w:type="dxa"/>
            <w:tcBorders>
              <w:top w:val="single" w:sz="4" w:space="0" w:color="auto"/>
              <w:left w:val="single" w:sz="4" w:space="0" w:color="auto"/>
              <w:bottom w:val="single" w:sz="4" w:space="0" w:color="auto"/>
              <w:right w:val="single" w:sz="4" w:space="0" w:color="auto"/>
            </w:tcBorders>
          </w:tcPr>
          <w:p w14:paraId="4CD29FA3"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474308DB"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1B78ED3"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29EF299E"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571C5AB4"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5D09017" w14:textId="77777777" w:rsidR="005D0DD1" w:rsidRPr="005D0DD1" w:rsidRDefault="005D0DD1" w:rsidP="00CA0CD7">
            <w:pPr>
              <w:spacing w:afterLines="20" w:after="48"/>
              <w:jc w:val="right"/>
              <w:rPr>
                <w:color w:val="000000"/>
                <w:sz w:val="18"/>
                <w:szCs w:val="18"/>
                <w:lang w:val="es-ES"/>
              </w:rPr>
            </w:pPr>
            <w:r w:rsidRPr="005D0DD1">
              <w:rPr>
                <w:color w:val="000000"/>
                <w:sz w:val="18"/>
                <w:lang w:val="es-ES"/>
              </w:rPr>
              <w:t>290.000</w:t>
            </w:r>
          </w:p>
        </w:tc>
      </w:tr>
      <w:tr w:rsidR="005D0DD1" w:rsidRPr="005D0DD1" w14:paraId="72A4E414" w14:textId="77777777" w:rsidTr="008065AC">
        <w:trPr>
          <w:trHeight w:val="512"/>
        </w:trPr>
        <w:tc>
          <w:tcPr>
            <w:tcW w:w="1890" w:type="dxa"/>
            <w:gridSpan w:val="2"/>
            <w:vMerge/>
            <w:tcBorders>
              <w:top w:val="single" w:sz="4" w:space="0" w:color="auto"/>
              <w:left w:val="single" w:sz="4" w:space="0" w:color="auto"/>
              <w:bottom w:val="single" w:sz="4" w:space="0" w:color="auto"/>
              <w:right w:val="single" w:sz="4" w:space="0" w:color="auto"/>
            </w:tcBorders>
            <w:vAlign w:val="center"/>
            <w:hideMark/>
          </w:tcPr>
          <w:p w14:paraId="4CD0B16B" w14:textId="77777777" w:rsidR="005D0DD1" w:rsidRPr="005D0DD1" w:rsidRDefault="005D0DD1" w:rsidP="00CA0CD7">
            <w:pPr>
              <w:rPr>
                <w:sz w:val="18"/>
                <w:szCs w:val="18"/>
                <w:lang w:val="es-ES"/>
              </w:rPr>
            </w:pPr>
          </w:p>
        </w:tc>
        <w:tc>
          <w:tcPr>
            <w:tcW w:w="1754" w:type="dxa"/>
            <w:tcBorders>
              <w:top w:val="single" w:sz="4" w:space="0" w:color="auto"/>
              <w:left w:val="single" w:sz="4" w:space="0" w:color="auto"/>
              <w:bottom w:val="single" w:sz="4" w:space="0" w:color="auto"/>
              <w:right w:val="single" w:sz="4" w:space="0" w:color="auto"/>
            </w:tcBorders>
            <w:vAlign w:val="center"/>
            <w:hideMark/>
          </w:tcPr>
          <w:p w14:paraId="7D333B05" w14:textId="77777777" w:rsidR="005D0DD1" w:rsidRPr="005D0DD1" w:rsidRDefault="005D0DD1" w:rsidP="00CA0CD7">
            <w:pPr>
              <w:spacing w:afterLines="20" w:after="48"/>
              <w:jc w:val="left"/>
              <w:rPr>
                <w:sz w:val="18"/>
                <w:szCs w:val="18"/>
                <w:lang w:val="es-ES"/>
              </w:rPr>
            </w:pPr>
            <w:r w:rsidRPr="005D0DD1">
              <w:rPr>
                <w:sz w:val="18"/>
                <w:lang w:val="es-ES"/>
              </w:rPr>
              <w:t>Gastos de apoyo</w:t>
            </w:r>
          </w:p>
        </w:tc>
        <w:tc>
          <w:tcPr>
            <w:tcW w:w="786" w:type="dxa"/>
            <w:tcBorders>
              <w:top w:val="single" w:sz="4" w:space="0" w:color="auto"/>
              <w:left w:val="single" w:sz="4" w:space="0" w:color="auto"/>
              <w:bottom w:val="single" w:sz="4" w:space="0" w:color="auto"/>
              <w:right w:val="single" w:sz="4" w:space="0" w:color="auto"/>
            </w:tcBorders>
          </w:tcPr>
          <w:p w14:paraId="316C3743"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1F90D657"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127B88A5" w14:textId="77777777" w:rsidR="005D0DD1" w:rsidRPr="005D0DD1" w:rsidRDefault="005D0DD1" w:rsidP="00CA0CD7">
            <w:pPr>
              <w:spacing w:afterLines="20" w:after="48"/>
              <w:jc w:val="right"/>
              <w:rPr>
                <w:color w:val="000000"/>
                <w:sz w:val="18"/>
                <w:szCs w:val="18"/>
                <w:lang w:val="es-ES"/>
              </w:rPr>
            </w:pPr>
            <w:r w:rsidRPr="005D0DD1">
              <w:rPr>
                <w:sz w:val="18"/>
                <w:lang w:val="es-ES"/>
              </w:rPr>
              <w:t>31.900</w:t>
            </w:r>
          </w:p>
        </w:tc>
        <w:tc>
          <w:tcPr>
            <w:tcW w:w="786" w:type="dxa"/>
            <w:tcBorders>
              <w:top w:val="single" w:sz="4" w:space="0" w:color="auto"/>
              <w:left w:val="single" w:sz="4" w:space="0" w:color="auto"/>
              <w:bottom w:val="single" w:sz="4" w:space="0" w:color="auto"/>
              <w:right w:val="single" w:sz="4" w:space="0" w:color="auto"/>
            </w:tcBorders>
          </w:tcPr>
          <w:p w14:paraId="2835EEE5"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381A8F93"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6E02BFB5"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7A8183A1"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55A3A183" w14:textId="77777777" w:rsidR="005D0DD1" w:rsidRPr="005D0DD1" w:rsidRDefault="005D0DD1" w:rsidP="00CA0CD7">
            <w:pPr>
              <w:spacing w:afterLines="20" w:after="48"/>
              <w:jc w:val="right"/>
              <w:rPr>
                <w:color w:val="000000"/>
                <w:sz w:val="18"/>
                <w:szCs w:val="18"/>
                <w:lang w:val="es-ES"/>
              </w:rPr>
            </w:pPr>
            <w:r w:rsidRPr="005D0DD1">
              <w:rPr>
                <w:sz w:val="18"/>
                <w:lang w:val="es-ES"/>
              </w:rPr>
              <w:t>0</w:t>
            </w:r>
          </w:p>
        </w:tc>
        <w:tc>
          <w:tcPr>
            <w:tcW w:w="786" w:type="dxa"/>
            <w:tcBorders>
              <w:top w:val="single" w:sz="4" w:space="0" w:color="auto"/>
              <w:left w:val="single" w:sz="4" w:space="0" w:color="auto"/>
              <w:bottom w:val="single" w:sz="4" w:space="0" w:color="auto"/>
              <w:right w:val="single" w:sz="4" w:space="0" w:color="auto"/>
            </w:tcBorders>
          </w:tcPr>
          <w:p w14:paraId="0177F955" w14:textId="77777777" w:rsidR="005D0DD1" w:rsidRPr="005D0DD1" w:rsidRDefault="005D0DD1" w:rsidP="00CA0CD7">
            <w:pPr>
              <w:spacing w:afterLines="20" w:after="48"/>
              <w:jc w:val="right"/>
              <w:rPr>
                <w:color w:val="000000"/>
                <w:sz w:val="18"/>
                <w:szCs w:val="18"/>
                <w:lang w:val="es-ES"/>
              </w:rPr>
            </w:pPr>
            <w:r w:rsidRPr="005D0DD1">
              <w:rPr>
                <w:color w:val="000000"/>
                <w:sz w:val="18"/>
                <w:lang w:val="es-ES"/>
              </w:rPr>
              <w:t>31.900</w:t>
            </w:r>
          </w:p>
        </w:tc>
      </w:tr>
    </w:tbl>
    <w:p w14:paraId="3ACEC7EE" w14:textId="77777777" w:rsidR="005D0DD1" w:rsidRPr="005D0DD1" w:rsidRDefault="005D0DD1" w:rsidP="005D0DD1">
      <w:pPr>
        <w:ind w:right="-563"/>
        <w:rPr>
          <w:sz w:val="18"/>
          <w:szCs w:val="18"/>
          <w:lang w:val="es-ES"/>
        </w:rPr>
      </w:pPr>
      <w:r w:rsidRPr="005D0DD1">
        <w:rPr>
          <w:sz w:val="18"/>
          <w:lang w:val="es-ES"/>
        </w:rPr>
        <w:t>* La financiación para 2023 incluye 55.000 $EUA, más gastos de apoyo al organismo de 7.150 $EUA para el PNUMA y 45.000 $EUA, más gastos de apoyo al organismo de 4.050 $EUA, para la ONUDI, para actividades adicionales para mantener la eficiencia energética (decisión 89/6)</w:t>
      </w:r>
    </w:p>
    <w:p w14:paraId="29D8D3CC" w14:textId="77777777" w:rsidR="005D0DD1" w:rsidRPr="005D0DD1" w:rsidRDefault="005D0DD1" w:rsidP="005D0DD1">
      <w:pPr>
        <w:jc w:val="left"/>
        <w:rPr>
          <w:sz w:val="20"/>
          <w:szCs w:val="20"/>
          <w:lang w:val="es-ES"/>
        </w:rPr>
      </w:pPr>
    </w:p>
    <w:tbl>
      <w:tblPr>
        <w:tblStyle w:val="TableGrid"/>
        <w:tblW w:w="10723" w:type="dxa"/>
        <w:tblInd w:w="-72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68"/>
        <w:gridCol w:w="5055"/>
      </w:tblGrid>
      <w:tr w:rsidR="005D0DD1" w:rsidRPr="005D0DD1" w14:paraId="47B73C58" w14:textId="77777777" w:rsidTr="008065AC">
        <w:trPr>
          <w:trHeight w:val="42"/>
        </w:trPr>
        <w:tc>
          <w:tcPr>
            <w:tcW w:w="5668" w:type="dxa"/>
            <w:hideMark/>
          </w:tcPr>
          <w:p w14:paraId="7E4206E2" w14:textId="77777777" w:rsidR="005D0DD1" w:rsidRPr="005D0DD1" w:rsidRDefault="005D0DD1" w:rsidP="00CA0CD7">
            <w:pPr>
              <w:spacing w:after="60"/>
              <w:jc w:val="left"/>
              <w:rPr>
                <w:b/>
                <w:sz w:val="20"/>
                <w:szCs w:val="20"/>
                <w:lang w:val="es-ES"/>
              </w:rPr>
            </w:pPr>
            <w:r w:rsidRPr="005D0DD1">
              <w:rPr>
                <w:b/>
                <w:sz w:val="20"/>
                <w:lang w:val="es-ES"/>
              </w:rPr>
              <w:t>Recomendación de la Secretaría:</w:t>
            </w:r>
          </w:p>
        </w:tc>
        <w:tc>
          <w:tcPr>
            <w:tcW w:w="5055" w:type="dxa"/>
            <w:hideMark/>
          </w:tcPr>
          <w:p w14:paraId="460EFAC5" w14:textId="77777777" w:rsidR="005D0DD1" w:rsidRPr="005D0DD1" w:rsidRDefault="005D0DD1" w:rsidP="00CA0CD7">
            <w:pPr>
              <w:spacing w:after="60"/>
              <w:jc w:val="center"/>
              <w:rPr>
                <w:sz w:val="20"/>
                <w:szCs w:val="20"/>
                <w:lang w:val="es-ES"/>
              </w:rPr>
            </w:pPr>
            <w:r w:rsidRPr="005D0DD1">
              <w:rPr>
                <w:sz w:val="20"/>
                <w:lang w:val="es-ES"/>
              </w:rPr>
              <w:t xml:space="preserve">Aprobación general </w:t>
            </w:r>
          </w:p>
        </w:tc>
      </w:tr>
    </w:tbl>
    <w:p w14:paraId="2CE48392" w14:textId="5D9D8A41" w:rsidR="005D0DD1" w:rsidRPr="005D0DD1" w:rsidRDefault="005D0DD1" w:rsidP="008065AC">
      <w:pPr>
        <w:spacing w:after="240"/>
        <w:jc w:val="center"/>
        <w:rPr>
          <w:b/>
          <w:lang w:val="es-ES"/>
        </w:rPr>
      </w:pPr>
      <w:r w:rsidRPr="005D0DD1">
        <w:rPr>
          <w:lang w:val="es-ES"/>
        </w:rPr>
        <w:br w:type="page"/>
      </w:r>
      <w:r w:rsidRPr="005D0DD1">
        <w:rPr>
          <w:b/>
          <w:lang w:val="es-ES"/>
        </w:rPr>
        <w:lastRenderedPageBreak/>
        <w:t>DESCRIPCIÓN DEL PROYECTO</w:t>
      </w:r>
    </w:p>
    <w:p w14:paraId="5598303C" w14:textId="77777777" w:rsidR="005D0DD1" w:rsidRPr="005D0DD1" w:rsidRDefault="005D0DD1" w:rsidP="005D0DD1">
      <w:pPr>
        <w:pStyle w:val="Heading1"/>
        <w:rPr>
          <w:lang w:val="es-ES"/>
        </w:rPr>
      </w:pPr>
      <w:r w:rsidRPr="005D0DD1">
        <w:rPr>
          <w:lang w:val="es-ES"/>
        </w:rPr>
        <w:t>El PNUMA, en calidad de organismo de ejecución principal, ha presentado en nombre del Gobierno de Gambia una solicitud de financiación para el segundo tramo de la etapa II del plan de gestión de eliminación de los HCFC (PGEH) por un coste total de 321.900 $EUA, desglosado en 145.000 $EUA más unos gastos de apoyo al organismo de 18.850 $EUA para el PNUD, y 145.000 $EUA más unos gastos de apoyo al organismo de 13.050 $EUA para la ONUDI.</w:t>
      </w:r>
      <w:r w:rsidRPr="005D0DD1">
        <w:rPr>
          <w:rStyle w:val="FootnoteReference"/>
          <w:lang w:val="es-ES"/>
        </w:rPr>
        <w:footnoteReference w:id="2"/>
      </w:r>
      <w:r w:rsidRPr="005D0DD1">
        <w:rPr>
          <w:lang w:val="es-ES"/>
        </w:rPr>
        <w:t xml:space="preserve"> La presentación incluye un informe sobre la marcha de las actividades relativo a la ejecución del primer tramo, el informe de verificación sobre el consumo de HCFC para el período de 2018 a 2022, una solicitud de financiación de actividades adicionales para mantener la eficiencia energética en el sector de servicio y mantenimiento de equipos de refrigeración,</w:t>
      </w:r>
      <w:r w:rsidRPr="005D0DD1">
        <w:rPr>
          <w:rStyle w:val="FootnoteReference"/>
          <w:lang w:val="es-ES"/>
        </w:rPr>
        <w:footnoteReference w:id="3"/>
      </w:r>
      <w:r w:rsidRPr="005D0DD1">
        <w:rPr>
          <w:lang w:val="es-ES"/>
        </w:rPr>
        <w:t xml:space="preserve"> y el plan de ejecución del tramo para el período de 2024 a 2026.</w:t>
      </w:r>
    </w:p>
    <w:p w14:paraId="4A7F507A" w14:textId="77777777" w:rsidR="005D0DD1" w:rsidRPr="005D0DD1" w:rsidRDefault="005D0DD1" w:rsidP="005D0DD1">
      <w:pPr>
        <w:spacing w:after="240"/>
        <w:rPr>
          <w:u w:val="single"/>
          <w:lang w:val="es-ES"/>
        </w:rPr>
      </w:pPr>
      <w:r w:rsidRPr="005D0DD1">
        <w:rPr>
          <w:u w:val="single"/>
          <w:lang w:val="es-ES"/>
        </w:rPr>
        <w:t>Informe sobre el consumo de HCFC</w:t>
      </w:r>
    </w:p>
    <w:p w14:paraId="113F3AA1" w14:textId="77777777" w:rsidR="005D0DD1" w:rsidRPr="005D0DD1" w:rsidRDefault="005D0DD1" w:rsidP="005D0DD1">
      <w:pPr>
        <w:pStyle w:val="Heading1"/>
        <w:rPr>
          <w:lang w:val="es-ES"/>
        </w:rPr>
      </w:pPr>
      <w:r w:rsidRPr="005D0DD1">
        <w:rPr>
          <w:lang w:val="es-ES"/>
        </w:rPr>
        <w:t xml:space="preserve">El Gobierno de Gambia notificó un consumo de 0,17 toneladas PAO de HCFC en 2022, que es un 89 por ciento inferior al nivel de base de HCFC para el cumplimiento.  </w:t>
      </w:r>
    </w:p>
    <w:p w14:paraId="41B8F1F4" w14:textId="77777777" w:rsidR="005D0DD1" w:rsidRPr="005D0DD1" w:rsidRDefault="005D0DD1" w:rsidP="005D0DD1">
      <w:pPr>
        <w:rPr>
          <w:b/>
          <w:lang w:val="es-ES"/>
        </w:rPr>
      </w:pPr>
      <w:r w:rsidRPr="005D0DD1">
        <w:rPr>
          <w:b/>
          <w:lang w:val="es-ES"/>
        </w:rPr>
        <w:t>Cuadro 1. Consumo de HCFC en Gambia (datos de 2018-2022 con arreglo al Artículo 7)</w:t>
      </w:r>
    </w:p>
    <w:tbl>
      <w:tblPr>
        <w:tblW w:w="5002" w:type="pct"/>
        <w:tblLook w:val="04A0" w:firstRow="1" w:lastRow="0" w:firstColumn="1" w:lastColumn="0" w:noHBand="0" w:noVBand="1"/>
      </w:tblPr>
      <w:tblGrid>
        <w:gridCol w:w="3073"/>
        <w:gridCol w:w="962"/>
        <w:gridCol w:w="962"/>
        <w:gridCol w:w="962"/>
        <w:gridCol w:w="963"/>
        <w:gridCol w:w="1220"/>
        <w:gridCol w:w="1212"/>
      </w:tblGrid>
      <w:tr w:rsidR="005D0DD1" w:rsidRPr="005D0DD1" w14:paraId="23B0AF53" w14:textId="77777777" w:rsidTr="00CA0CD7">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26F1B5"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HCFC-22</w:t>
            </w:r>
          </w:p>
        </w:tc>
        <w:tc>
          <w:tcPr>
            <w:tcW w:w="514" w:type="pct"/>
            <w:tcBorders>
              <w:top w:val="single" w:sz="4" w:space="0" w:color="auto"/>
              <w:left w:val="nil"/>
              <w:bottom w:val="single" w:sz="4" w:space="0" w:color="auto"/>
              <w:right w:val="single" w:sz="4" w:space="0" w:color="auto"/>
            </w:tcBorders>
            <w:shd w:val="clear" w:color="auto" w:fill="auto"/>
            <w:noWrap/>
            <w:hideMark/>
          </w:tcPr>
          <w:p w14:paraId="4413A550"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2018</w:t>
            </w:r>
          </w:p>
        </w:tc>
        <w:tc>
          <w:tcPr>
            <w:tcW w:w="514" w:type="pct"/>
            <w:tcBorders>
              <w:top w:val="single" w:sz="4" w:space="0" w:color="auto"/>
              <w:left w:val="nil"/>
              <w:bottom w:val="single" w:sz="4" w:space="0" w:color="auto"/>
              <w:right w:val="single" w:sz="4" w:space="0" w:color="auto"/>
            </w:tcBorders>
            <w:shd w:val="clear" w:color="auto" w:fill="auto"/>
            <w:noWrap/>
            <w:hideMark/>
          </w:tcPr>
          <w:p w14:paraId="40B9D1F1"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2019</w:t>
            </w:r>
          </w:p>
        </w:tc>
        <w:tc>
          <w:tcPr>
            <w:tcW w:w="514" w:type="pct"/>
            <w:tcBorders>
              <w:top w:val="single" w:sz="4" w:space="0" w:color="auto"/>
              <w:left w:val="nil"/>
              <w:bottom w:val="single" w:sz="4" w:space="0" w:color="auto"/>
              <w:right w:val="single" w:sz="4" w:space="0" w:color="auto"/>
            </w:tcBorders>
          </w:tcPr>
          <w:p w14:paraId="33B7E943"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2020</w:t>
            </w:r>
          </w:p>
        </w:tc>
        <w:tc>
          <w:tcPr>
            <w:tcW w:w="515" w:type="pct"/>
            <w:tcBorders>
              <w:top w:val="single" w:sz="4" w:space="0" w:color="auto"/>
              <w:left w:val="single" w:sz="4" w:space="0" w:color="auto"/>
              <w:bottom w:val="single" w:sz="4" w:space="0" w:color="auto"/>
              <w:right w:val="single" w:sz="4" w:space="0" w:color="auto"/>
            </w:tcBorders>
          </w:tcPr>
          <w:p w14:paraId="317C7998"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2021</w:t>
            </w:r>
          </w:p>
        </w:tc>
        <w:tc>
          <w:tcPr>
            <w:tcW w:w="652" w:type="pct"/>
            <w:tcBorders>
              <w:top w:val="single" w:sz="4" w:space="0" w:color="auto"/>
              <w:left w:val="single" w:sz="4" w:space="0" w:color="auto"/>
              <w:bottom w:val="single" w:sz="4" w:space="0" w:color="auto"/>
              <w:right w:val="single" w:sz="4" w:space="0" w:color="auto"/>
            </w:tcBorders>
          </w:tcPr>
          <w:p w14:paraId="0F519649"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2022</w:t>
            </w:r>
          </w:p>
        </w:tc>
        <w:tc>
          <w:tcPr>
            <w:tcW w:w="648" w:type="pct"/>
            <w:tcBorders>
              <w:top w:val="single" w:sz="4" w:space="0" w:color="auto"/>
              <w:left w:val="single" w:sz="4" w:space="0" w:color="auto"/>
              <w:bottom w:val="single" w:sz="4" w:space="0" w:color="auto"/>
              <w:right w:val="single" w:sz="4" w:space="0" w:color="auto"/>
            </w:tcBorders>
            <w:vAlign w:val="center"/>
          </w:tcPr>
          <w:p w14:paraId="47FF2EBC" w14:textId="77777777" w:rsidR="005D0DD1" w:rsidRPr="005D0DD1" w:rsidRDefault="005D0DD1" w:rsidP="00CA0CD7">
            <w:pPr>
              <w:widowControl w:val="0"/>
              <w:jc w:val="center"/>
              <w:rPr>
                <w:b/>
                <w:bCs/>
                <w:color w:val="000000"/>
                <w:sz w:val="20"/>
                <w:szCs w:val="20"/>
                <w:lang w:val="es-ES"/>
              </w:rPr>
            </w:pPr>
            <w:r w:rsidRPr="005D0DD1">
              <w:rPr>
                <w:b/>
                <w:color w:val="000000"/>
                <w:sz w:val="20"/>
                <w:lang w:val="es-ES"/>
              </w:rPr>
              <w:t>Nivel básico de consumo</w:t>
            </w:r>
          </w:p>
        </w:tc>
      </w:tr>
      <w:tr w:rsidR="005D0DD1" w:rsidRPr="005D0DD1" w14:paraId="5E0C1F01" w14:textId="77777777" w:rsidTr="00CA0CD7">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42D280" w14:textId="77777777" w:rsidR="005D0DD1" w:rsidRPr="005D0DD1" w:rsidRDefault="005D0DD1" w:rsidP="00CA0CD7">
            <w:pPr>
              <w:widowControl w:val="0"/>
              <w:ind w:left="98"/>
              <w:jc w:val="left"/>
              <w:rPr>
                <w:b/>
                <w:color w:val="000000"/>
                <w:sz w:val="20"/>
                <w:szCs w:val="20"/>
                <w:lang w:val="es-ES"/>
              </w:rPr>
            </w:pPr>
            <w:r w:rsidRPr="005D0DD1">
              <w:rPr>
                <w:b/>
                <w:color w:val="000000"/>
                <w:sz w:val="20"/>
                <w:lang w:val="es-ES"/>
              </w:rPr>
              <w:t>Toneladas (t)</w:t>
            </w:r>
          </w:p>
        </w:tc>
        <w:tc>
          <w:tcPr>
            <w:tcW w:w="514" w:type="pct"/>
            <w:tcBorders>
              <w:top w:val="nil"/>
              <w:left w:val="nil"/>
              <w:bottom w:val="single" w:sz="4" w:space="0" w:color="auto"/>
              <w:right w:val="single" w:sz="4" w:space="0" w:color="auto"/>
            </w:tcBorders>
            <w:shd w:val="clear" w:color="auto" w:fill="auto"/>
            <w:noWrap/>
          </w:tcPr>
          <w:p w14:paraId="3A92600D" w14:textId="77777777" w:rsidR="005D0DD1" w:rsidRPr="005D0DD1" w:rsidRDefault="005D0DD1" w:rsidP="00CA0CD7">
            <w:pPr>
              <w:ind w:left="-201" w:right="104"/>
              <w:jc w:val="right"/>
              <w:rPr>
                <w:color w:val="000000"/>
                <w:sz w:val="20"/>
                <w:szCs w:val="20"/>
                <w:lang w:val="es-ES"/>
              </w:rPr>
            </w:pPr>
            <w:r w:rsidRPr="005D0DD1">
              <w:rPr>
                <w:color w:val="000000"/>
                <w:sz w:val="20"/>
                <w:lang w:val="es-ES"/>
              </w:rPr>
              <w:t>4,00</w:t>
            </w:r>
          </w:p>
        </w:tc>
        <w:tc>
          <w:tcPr>
            <w:tcW w:w="514" w:type="pct"/>
            <w:tcBorders>
              <w:top w:val="nil"/>
              <w:left w:val="nil"/>
              <w:bottom w:val="single" w:sz="4" w:space="0" w:color="auto"/>
              <w:right w:val="single" w:sz="4" w:space="0" w:color="auto"/>
            </w:tcBorders>
            <w:shd w:val="clear" w:color="auto" w:fill="auto"/>
            <w:noWrap/>
          </w:tcPr>
          <w:p w14:paraId="1C7BAD9D" w14:textId="77777777" w:rsidR="005D0DD1" w:rsidRPr="005D0DD1" w:rsidRDefault="005D0DD1" w:rsidP="00CA0CD7">
            <w:pPr>
              <w:ind w:left="-201" w:right="104"/>
              <w:jc w:val="right"/>
              <w:rPr>
                <w:color w:val="000000"/>
                <w:sz w:val="20"/>
                <w:szCs w:val="20"/>
                <w:lang w:val="es-ES"/>
              </w:rPr>
            </w:pPr>
            <w:r w:rsidRPr="005D0DD1">
              <w:rPr>
                <w:color w:val="000000"/>
                <w:sz w:val="20"/>
                <w:lang w:val="es-ES"/>
              </w:rPr>
              <w:t>3,00</w:t>
            </w:r>
          </w:p>
        </w:tc>
        <w:tc>
          <w:tcPr>
            <w:tcW w:w="514" w:type="pct"/>
            <w:tcBorders>
              <w:top w:val="single" w:sz="4" w:space="0" w:color="auto"/>
              <w:left w:val="nil"/>
              <w:bottom w:val="single" w:sz="4" w:space="0" w:color="auto"/>
              <w:right w:val="single" w:sz="4" w:space="0" w:color="auto"/>
            </w:tcBorders>
          </w:tcPr>
          <w:p w14:paraId="4FC0202C" w14:textId="77777777" w:rsidR="005D0DD1" w:rsidRPr="005D0DD1" w:rsidRDefault="005D0DD1" w:rsidP="00CA0CD7">
            <w:pPr>
              <w:widowControl w:val="0"/>
              <w:ind w:left="-201" w:right="104"/>
              <w:jc w:val="right"/>
              <w:rPr>
                <w:bCs/>
                <w:color w:val="000000"/>
                <w:sz w:val="20"/>
                <w:szCs w:val="20"/>
                <w:lang w:val="es-ES"/>
              </w:rPr>
            </w:pPr>
            <w:r w:rsidRPr="005D0DD1">
              <w:rPr>
                <w:color w:val="000000"/>
                <w:sz w:val="20"/>
                <w:lang w:val="es-ES"/>
              </w:rPr>
              <w:t>3,80</w:t>
            </w:r>
          </w:p>
        </w:tc>
        <w:tc>
          <w:tcPr>
            <w:tcW w:w="515" w:type="pct"/>
            <w:tcBorders>
              <w:top w:val="nil"/>
              <w:left w:val="single" w:sz="4" w:space="0" w:color="auto"/>
              <w:bottom w:val="single" w:sz="4" w:space="0" w:color="auto"/>
              <w:right w:val="single" w:sz="4" w:space="0" w:color="auto"/>
            </w:tcBorders>
          </w:tcPr>
          <w:p w14:paraId="189F2469" w14:textId="77777777" w:rsidR="005D0DD1" w:rsidRPr="005D0DD1" w:rsidRDefault="005D0DD1" w:rsidP="00CA0CD7">
            <w:pPr>
              <w:widowControl w:val="0"/>
              <w:ind w:left="-201" w:right="104"/>
              <w:jc w:val="right"/>
              <w:rPr>
                <w:bCs/>
                <w:color w:val="000000"/>
                <w:sz w:val="20"/>
                <w:szCs w:val="20"/>
                <w:lang w:val="es-ES"/>
              </w:rPr>
            </w:pPr>
            <w:r w:rsidRPr="005D0DD1">
              <w:rPr>
                <w:color w:val="000000"/>
                <w:sz w:val="20"/>
                <w:lang w:val="es-ES"/>
              </w:rPr>
              <w:t>3,50</w:t>
            </w:r>
          </w:p>
        </w:tc>
        <w:tc>
          <w:tcPr>
            <w:tcW w:w="652" w:type="pct"/>
            <w:tcBorders>
              <w:top w:val="nil"/>
              <w:left w:val="single" w:sz="4" w:space="0" w:color="auto"/>
              <w:bottom w:val="single" w:sz="4" w:space="0" w:color="auto"/>
              <w:right w:val="single" w:sz="4" w:space="0" w:color="auto"/>
            </w:tcBorders>
          </w:tcPr>
          <w:p w14:paraId="2C447D41" w14:textId="77777777" w:rsidR="005D0DD1" w:rsidRPr="005D0DD1" w:rsidRDefault="005D0DD1" w:rsidP="00CA0CD7">
            <w:pPr>
              <w:widowControl w:val="0"/>
              <w:ind w:left="-201" w:right="104"/>
              <w:jc w:val="right"/>
              <w:rPr>
                <w:rFonts w:eastAsiaTheme="minorHAnsi"/>
                <w:color w:val="000000"/>
                <w:sz w:val="20"/>
                <w:szCs w:val="20"/>
                <w:lang w:val="es-ES"/>
              </w:rPr>
            </w:pPr>
            <w:r w:rsidRPr="005D0DD1">
              <w:rPr>
                <w:color w:val="000000"/>
                <w:sz w:val="20"/>
                <w:lang w:val="es-ES"/>
              </w:rPr>
              <w:t>3,00</w:t>
            </w:r>
          </w:p>
        </w:tc>
        <w:tc>
          <w:tcPr>
            <w:tcW w:w="648" w:type="pct"/>
            <w:tcBorders>
              <w:top w:val="nil"/>
              <w:left w:val="single" w:sz="4" w:space="0" w:color="auto"/>
              <w:bottom w:val="single" w:sz="4" w:space="0" w:color="auto"/>
              <w:right w:val="single" w:sz="4" w:space="0" w:color="auto"/>
            </w:tcBorders>
            <w:vAlign w:val="center"/>
          </w:tcPr>
          <w:p w14:paraId="5A85E76D" w14:textId="77777777" w:rsidR="005D0DD1" w:rsidRPr="005D0DD1" w:rsidRDefault="005D0DD1" w:rsidP="00CA0CD7">
            <w:pPr>
              <w:widowControl w:val="0"/>
              <w:ind w:left="-201" w:right="104"/>
              <w:jc w:val="right"/>
              <w:rPr>
                <w:b/>
                <w:bCs/>
                <w:color w:val="000000"/>
                <w:sz w:val="20"/>
                <w:szCs w:val="20"/>
                <w:lang w:val="es-ES"/>
              </w:rPr>
            </w:pPr>
            <w:r w:rsidRPr="005D0DD1">
              <w:rPr>
                <w:color w:val="000000"/>
                <w:sz w:val="20"/>
                <w:lang w:val="es-ES"/>
              </w:rPr>
              <w:t>27,3</w:t>
            </w:r>
          </w:p>
        </w:tc>
      </w:tr>
      <w:tr w:rsidR="005D0DD1" w:rsidRPr="005D0DD1" w14:paraId="590E6645" w14:textId="77777777" w:rsidTr="00CA0CD7">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0E6479" w14:textId="77777777" w:rsidR="005D0DD1" w:rsidRPr="005D0DD1" w:rsidRDefault="005D0DD1" w:rsidP="00CA0CD7">
            <w:pPr>
              <w:widowControl w:val="0"/>
              <w:ind w:left="98"/>
              <w:jc w:val="left"/>
              <w:rPr>
                <w:b/>
                <w:color w:val="000000"/>
                <w:sz w:val="20"/>
                <w:szCs w:val="20"/>
                <w:lang w:val="es-ES"/>
              </w:rPr>
            </w:pPr>
            <w:r w:rsidRPr="005D0DD1">
              <w:rPr>
                <w:b/>
                <w:color w:val="000000"/>
                <w:sz w:val="20"/>
                <w:lang w:val="es-ES"/>
              </w:rPr>
              <w:t>Toneladas PAO</w:t>
            </w:r>
          </w:p>
        </w:tc>
        <w:tc>
          <w:tcPr>
            <w:tcW w:w="514" w:type="pct"/>
            <w:tcBorders>
              <w:top w:val="nil"/>
              <w:left w:val="nil"/>
              <w:bottom w:val="single" w:sz="4" w:space="0" w:color="auto"/>
              <w:right w:val="single" w:sz="4" w:space="0" w:color="auto"/>
            </w:tcBorders>
            <w:shd w:val="clear" w:color="auto" w:fill="auto"/>
            <w:noWrap/>
          </w:tcPr>
          <w:p w14:paraId="4D313A24" w14:textId="77777777" w:rsidR="005D0DD1" w:rsidRPr="005D0DD1" w:rsidRDefault="005D0DD1" w:rsidP="00CA0CD7">
            <w:pPr>
              <w:ind w:left="-201" w:right="104"/>
              <w:jc w:val="right"/>
              <w:rPr>
                <w:rFonts w:eastAsiaTheme="minorHAnsi"/>
                <w:color w:val="000000"/>
                <w:sz w:val="20"/>
                <w:szCs w:val="20"/>
                <w:lang w:val="es-ES"/>
              </w:rPr>
            </w:pPr>
            <w:r w:rsidRPr="005D0DD1">
              <w:rPr>
                <w:sz w:val="20"/>
                <w:lang w:val="es-ES"/>
              </w:rPr>
              <w:t>0,22</w:t>
            </w:r>
          </w:p>
        </w:tc>
        <w:tc>
          <w:tcPr>
            <w:tcW w:w="514" w:type="pct"/>
            <w:tcBorders>
              <w:top w:val="nil"/>
              <w:left w:val="nil"/>
              <w:bottom w:val="single" w:sz="4" w:space="0" w:color="auto"/>
              <w:right w:val="single" w:sz="4" w:space="0" w:color="auto"/>
            </w:tcBorders>
            <w:shd w:val="clear" w:color="auto" w:fill="auto"/>
            <w:noWrap/>
          </w:tcPr>
          <w:p w14:paraId="74905C27" w14:textId="77777777" w:rsidR="005D0DD1" w:rsidRPr="005D0DD1" w:rsidRDefault="005D0DD1" w:rsidP="00CA0CD7">
            <w:pPr>
              <w:ind w:left="-201" w:right="104"/>
              <w:jc w:val="right"/>
              <w:rPr>
                <w:color w:val="000000"/>
                <w:sz w:val="20"/>
                <w:szCs w:val="20"/>
                <w:lang w:val="es-ES"/>
              </w:rPr>
            </w:pPr>
            <w:r w:rsidRPr="005D0DD1">
              <w:rPr>
                <w:color w:val="000000"/>
                <w:sz w:val="20"/>
                <w:lang w:val="es-ES"/>
              </w:rPr>
              <w:t>0,17</w:t>
            </w:r>
          </w:p>
        </w:tc>
        <w:tc>
          <w:tcPr>
            <w:tcW w:w="514" w:type="pct"/>
            <w:tcBorders>
              <w:top w:val="single" w:sz="4" w:space="0" w:color="auto"/>
              <w:left w:val="nil"/>
              <w:bottom w:val="single" w:sz="4" w:space="0" w:color="auto"/>
              <w:right w:val="single" w:sz="4" w:space="0" w:color="auto"/>
            </w:tcBorders>
          </w:tcPr>
          <w:p w14:paraId="612C45A4" w14:textId="77777777" w:rsidR="005D0DD1" w:rsidRPr="005D0DD1" w:rsidRDefault="005D0DD1" w:rsidP="00CA0CD7">
            <w:pPr>
              <w:ind w:left="-201" w:right="104"/>
              <w:jc w:val="right"/>
              <w:rPr>
                <w:color w:val="000000"/>
                <w:sz w:val="20"/>
                <w:szCs w:val="20"/>
                <w:lang w:val="es-ES"/>
              </w:rPr>
            </w:pPr>
            <w:r w:rsidRPr="005D0DD1">
              <w:rPr>
                <w:color w:val="000000"/>
                <w:sz w:val="20"/>
                <w:lang w:val="es-ES"/>
              </w:rPr>
              <w:t>0,21</w:t>
            </w:r>
          </w:p>
        </w:tc>
        <w:tc>
          <w:tcPr>
            <w:tcW w:w="515" w:type="pct"/>
            <w:tcBorders>
              <w:top w:val="nil"/>
              <w:left w:val="single" w:sz="4" w:space="0" w:color="auto"/>
              <w:bottom w:val="single" w:sz="4" w:space="0" w:color="auto"/>
              <w:right w:val="single" w:sz="4" w:space="0" w:color="auto"/>
            </w:tcBorders>
          </w:tcPr>
          <w:p w14:paraId="7A789FFB" w14:textId="77777777" w:rsidR="005D0DD1" w:rsidRPr="005D0DD1" w:rsidRDefault="005D0DD1" w:rsidP="00CA0CD7">
            <w:pPr>
              <w:ind w:left="-201" w:right="104"/>
              <w:jc w:val="right"/>
              <w:rPr>
                <w:sz w:val="20"/>
                <w:szCs w:val="20"/>
                <w:lang w:val="es-ES"/>
              </w:rPr>
            </w:pPr>
            <w:r w:rsidRPr="005D0DD1">
              <w:rPr>
                <w:sz w:val="20"/>
                <w:lang w:val="es-ES"/>
              </w:rPr>
              <w:t>0,19</w:t>
            </w:r>
          </w:p>
        </w:tc>
        <w:tc>
          <w:tcPr>
            <w:tcW w:w="652" w:type="pct"/>
            <w:tcBorders>
              <w:top w:val="nil"/>
              <w:left w:val="single" w:sz="4" w:space="0" w:color="auto"/>
              <w:bottom w:val="single" w:sz="4" w:space="0" w:color="auto"/>
              <w:right w:val="single" w:sz="4" w:space="0" w:color="auto"/>
            </w:tcBorders>
          </w:tcPr>
          <w:p w14:paraId="009E669C" w14:textId="77777777" w:rsidR="005D0DD1" w:rsidRPr="005D0DD1" w:rsidRDefault="005D0DD1" w:rsidP="00CA0CD7">
            <w:pPr>
              <w:ind w:left="-201" w:right="104"/>
              <w:jc w:val="right"/>
              <w:rPr>
                <w:rFonts w:eastAsiaTheme="minorHAnsi"/>
                <w:color w:val="000000"/>
                <w:sz w:val="20"/>
                <w:szCs w:val="20"/>
                <w:lang w:val="es-ES"/>
              </w:rPr>
            </w:pPr>
            <w:r w:rsidRPr="005D0DD1">
              <w:rPr>
                <w:color w:val="000000"/>
                <w:sz w:val="20"/>
                <w:lang w:val="es-ES"/>
              </w:rPr>
              <w:t>0,17</w:t>
            </w:r>
          </w:p>
        </w:tc>
        <w:tc>
          <w:tcPr>
            <w:tcW w:w="648" w:type="pct"/>
            <w:tcBorders>
              <w:top w:val="nil"/>
              <w:left w:val="single" w:sz="4" w:space="0" w:color="auto"/>
              <w:bottom w:val="single" w:sz="4" w:space="0" w:color="auto"/>
              <w:right w:val="single" w:sz="4" w:space="0" w:color="auto"/>
            </w:tcBorders>
          </w:tcPr>
          <w:p w14:paraId="57D31D0D" w14:textId="77777777" w:rsidR="005D0DD1" w:rsidRPr="005D0DD1" w:rsidRDefault="005D0DD1" w:rsidP="00CA0CD7">
            <w:pPr>
              <w:ind w:left="-201" w:right="104"/>
              <w:jc w:val="right"/>
              <w:rPr>
                <w:rFonts w:eastAsiaTheme="minorHAnsi"/>
                <w:color w:val="000000"/>
                <w:sz w:val="20"/>
                <w:szCs w:val="20"/>
                <w:lang w:val="es-ES"/>
              </w:rPr>
            </w:pPr>
            <w:r w:rsidRPr="005D0DD1">
              <w:rPr>
                <w:color w:val="000000"/>
                <w:sz w:val="20"/>
                <w:lang w:val="es-ES"/>
              </w:rPr>
              <w:t>1,5</w:t>
            </w:r>
          </w:p>
        </w:tc>
      </w:tr>
    </w:tbl>
    <w:p w14:paraId="1876559D" w14:textId="77777777" w:rsidR="005D0DD1" w:rsidRPr="005D0DD1" w:rsidRDefault="005D0DD1" w:rsidP="005D0DD1">
      <w:pPr>
        <w:rPr>
          <w:lang w:val="es-ES"/>
        </w:rPr>
      </w:pPr>
    </w:p>
    <w:p w14:paraId="0EBF14C5" w14:textId="77777777" w:rsidR="005D0DD1" w:rsidRPr="005D0DD1" w:rsidRDefault="005D0DD1" w:rsidP="005D0DD1">
      <w:pPr>
        <w:pStyle w:val="Heading1"/>
        <w:rPr>
          <w:lang w:val="es-ES"/>
        </w:rPr>
      </w:pPr>
      <w:r w:rsidRPr="005D0DD1">
        <w:rPr>
          <w:lang w:val="es-ES"/>
        </w:rPr>
        <w:t>El Gobierno de Gambia ha mantenido una tendencia constante de disminución del consumo de HCFC gracias a la aplicación del sistema de otorgamiento de licencias y cupos; la capacitación de técnicos de refrigeración y aire acondicionado que ha dado lugar a buenas prácticas de servicio y mantenimiento; y los programas de sensibilización organizados por la Dependencia Nacional del Ozono que han reducido las importaciones de HCFC. El cierre de las principales fábricas de procesamiento de pescado que utilizaban equipos con HCFC-22 en 2016, y el aumento de la adopción de equipos de refrigeración y aire acondicionado que utilizan refrigerantes alternativos (R-410A, HFC-134a, R-600a y R-290) también han contribuido a la reducción del consumo de HCFC-22.</w:t>
      </w:r>
    </w:p>
    <w:p w14:paraId="538C8DE6" w14:textId="77777777" w:rsidR="005D0DD1" w:rsidRPr="005D0DD1" w:rsidRDefault="005D0DD1" w:rsidP="005D0DD1">
      <w:pPr>
        <w:spacing w:after="240"/>
        <w:rPr>
          <w:i/>
          <w:lang w:val="es-ES"/>
        </w:rPr>
      </w:pPr>
      <w:r w:rsidRPr="005D0DD1">
        <w:rPr>
          <w:i/>
          <w:lang w:val="es-ES"/>
        </w:rPr>
        <w:t>Informe de ejecución del programa de país</w:t>
      </w:r>
    </w:p>
    <w:p w14:paraId="522CA392" w14:textId="77777777" w:rsidR="005D0DD1" w:rsidRPr="005D0DD1" w:rsidRDefault="005D0DD1" w:rsidP="005D0DD1">
      <w:pPr>
        <w:pStyle w:val="Heading1"/>
        <w:rPr>
          <w:lang w:val="es-ES"/>
        </w:rPr>
      </w:pPr>
      <w:r w:rsidRPr="005D0DD1">
        <w:rPr>
          <w:lang w:val="es-ES"/>
        </w:rPr>
        <w:t xml:space="preserve">El Gobierno de Gambia notificó los datos del consumo sectorial de los HCFC, que figuran en el informe de ejecución del programa de país de 2022 y que coinciden con los datos notificados en virtud del Artículo 7 del Protocolo de Montreal. </w:t>
      </w:r>
    </w:p>
    <w:p w14:paraId="158BEAEA" w14:textId="77777777" w:rsidR="005D0DD1" w:rsidRPr="005D0DD1" w:rsidRDefault="005D0DD1" w:rsidP="005D0DD1">
      <w:pPr>
        <w:spacing w:after="240"/>
        <w:rPr>
          <w:i/>
          <w:lang w:val="es-ES"/>
        </w:rPr>
      </w:pPr>
      <w:r w:rsidRPr="005D0DD1">
        <w:rPr>
          <w:i/>
          <w:lang w:val="es-ES"/>
        </w:rPr>
        <w:t xml:space="preserve">Informe de verificación </w:t>
      </w:r>
    </w:p>
    <w:p w14:paraId="33BFC270" w14:textId="77777777" w:rsidR="005D0DD1" w:rsidRPr="005D0DD1" w:rsidRDefault="005D0DD1" w:rsidP="005D0DD1">
      <w:pPr>
        <w:pStyle w:val="Heading1"/>
        <w:rPr>
          <w:lang w:val="es-ES"/>
        </w:rPr>
      </w:pPr>
      <w:r w:rsidRPr="005D0DD1">
        <w:rPr>
          <w:lang w:val="es-ES"/>
        </w:rPr>
        <w:t xml:space="preserve">El informe de verificación confirmó que el Gobierno estaba aplicando un sistema de concesión de licencias y cupos para las importaciones y exportaciones de HCFC, y que el consumo total de HCFC notificado de acuerdo con el Artículo 7 del Protocolo de Montreal para el período entre 2018 y 2022 era correcto (tal como se muestra en el cuadro 1 anterior). En la verificación se concluyó que Gambia cuenta con un sistema de concesión de licencias y cupos aplicable con un sistema nacional robusto de supervisión de las importaciones de HCFC. Las recomendaciones específicas para mejorar este sistema incluyeron la asignación de cupos anuales en función de un calendario basado en las importaciones históricas; el establecimiento </w:t>
      </w:r>
      <w:r w:rsidRPr="005D0DD1">
        <w:rPr>
          <w:lang w:val="es-ES"/>
        </w:rPr>
        <w:lastRenderedPageBreak/>
        <w:t>de un sistema de permisos en línea para mejorar la colaboración entre los organismos encargados de hacer cumplir la ley; una mayor sensibilización y formación de los funcionarios de aduanas para identificar la pureza de los refrigerantes con el fin de controlar la entrada de refrigerantes de baja calidad; el suministro de identificadores adicionales de refrigerantes en todos los puntos de entrada; formación adicional sobre los códigos del sistema aduanero para los funcionarios de aduanas; y sensibilización sobre los beneficios de adoptar tecnologías alternativas con bajo potencial de calentamiento atmosférico y energéticamente eficientes. El PNUMA observó que el Gobierno de Gambia se compromete a aplicar estas recomendaciones como parte de la etapa II del plan de gestión de eliminación de los HCFC.</w:t>
      </w:r>
    </w:p>
    <w:p w14:paraId="5E931BB3" w14:textId="77777777" w:rsidR="005D0DD1" w:rsidRPr="005D0DD1" w:rsidRDefault="005D0DD1" w:rsidP="005D0DD1">
      <w:pPr>
        <w:keepNext/>
        <w:keepLines/>
        <w:spacing w:after="240"/>
        <w:rPr>
          <w:u w:val="single"/>
          <w:lang w:val="es-ES"/>
        </w:rPr>
      </w:pPr>
      <w:r w:rsidRPr="005D0DD1">
        <w:rPr>
          <w:u w:val="single"/>
          <w:lang w:val="es-ES"/>
        </w:rPr>
        <w:t xml:space="preserve">Situación de ejecución de la etapa I del plan de gestión de eliminación de los HCFC </w:t>
      </w:r>
    </w:p>
    <w:p w14:paraId="4C9A9A23" w14:textId="77777777" w:rsidR="005D0DD1" w:rsidRPr="005D0DD1" w:rsidRDefault="005D0DD1" w:rsidP="005D0DD1">
      <w:pPr>
        <w:pStyle w:val="Heading1"/>
        <w:rPr>
          <w:lang w:val="es-ES"/>
        </w:rPr>
      </w:pPr>
      <w:r w:rsidRPr="005D0DD1">
        <w:rPr>
          <w:lang w:val="es-ES"/>
        </w:rPr>
        <w:t>La etapa I del plan de gestión de eliminación de los HCFC terminó el 31 de diciembre de 2021, conforme al Acuerdo del país con el Comité Ejecutivo y el informe de terminación de proyecto se presentó el 29 de mayo de 2023.</w:t>
      </w:r>
    </w:p>
    <w:p w14:paraId="62181112" w14:textId="77777777" w:rsidR="005D0DD1" w:rsidRPr="005D0DD1" w:rsidRDefault="005D0DD1" w:rsidP="005D0DD1">
      <w:pPr>
        <w:spacing w:after="240"/>
        <w:rPr>
          <w:u w:val="single"/>
          <w:lang w:val="es-ES"/>
        </w:rPr>
      </w:pPr>
      <w:r w:rsidRPr="005D0DD1">
        <w:rPr>
          <w:u w:val="single"/>
          <w:lang w:val="es-ES"/>
        </w:rPr>
        <w:t>Informe sobre la marcha de las actividades relativo a la ejecución del primer tramo de la etapa II del plan de gestión de eliminación de los HCFC</w:t>
      </w:r>
    </w:p>
    <w:p w14:paraId="5053D001" w14:textId="77777777" w:rsidR="005D0DD1" w:rsidRPr="005D0DD1" w:rsidRDefault="005D0DD1" w:rsidP="005D0DD1">
      <w:pPr>
        <w:spacing w:after="240"/>
        <w:rPr>
          <w:i/>
          <w:lang w:val="es-ES"/>
        </w:rPr>
      </w:pPr>
      <w:r w:rsidRPr="005D0DD1">
        <w:rPr>
          <w:i/>
          <w:lang w:val="es-ES"/>
        </w:rPr>
        <w:t>Marco jurídico</w:t>
      </w:r>
    </w:p>
    <w:p w14:paraId="3A5FA8DB" w14:textId="77777777" w:rsidR="005D0DD1" w:rsidRPr="005D0DD1" w:rsidRDefault="005D0DD1" w:rsidP="005D0DD1">
      <w:pPr>
        <w:pStyle w:val="Heading1"/>
        <w:rPr>
          <w:lang w:val="es-ES"/>
        </w:rPr>
      </w:pPr>
      <w:r w:rsidRPr="005D0DD1">
        <w:rPr>
          <w:lang w:val="es-ES"/>
        </w:rPr>
        <w:t>Gambia estableció reglamentos para controlar las SAO en 1999 que se revisaron en 2013 para incorporar la eliminación acelerada de los HCFC. El sistema de otorgamiento de licencias y cupos para los HCFC se estableció en 2004 y entró en funcionamiento en 2011. La prohibición de la importación de equipo que funciona con HCFC-22 está en vigor desde el 1 de enero de 2020. El Gobierno de Gambia está revisando actualmente las reglamentaciones relativas al ozono a fin de prohibir la importación de HCFC para el 1 de enero de 2025. El Gobierno de Gambia ratificó la Enmienda de Kigali el 5 de mayo de 2021.</w:t>
      </w:r>
    </w:p>
    <w:p w14:paraId="02DDA205" w14:textId="77777777" w:rsidR="005D0DD1" w:rsidRPr="005D0DD1" w:rsidRDefault="005D0DD1" w:rsidP="005D0DD1">
      <w:pPr>
        <w:pStyle w:val="Heading1"/>
        <w:rPr>
          <w:lang w:val="es-ES"/>
        </w:rPr>
      </w:pPr>
      <w:r w:rsidRPr="005D0DD1">
        <w:rPr>
          <w:lang w:val="es-ES"/>
        </w:rPr>
        <w:t>En el primer tramo de la etapa II del plan de gestión de eliminación de los HCFC se celebraron tres sesiones de capacitación para un total de 90 funcionarios de aduanas y de seguridad recién contratados sobre la detección del comercio ilícito de sustancias controladas. Además, la Dependencia Nacional del Ozono organizó un taller de capacitación para un total de 20 funcionarios encargados de hacer cumplir la ley (incluyendo cinco mujeres) sobre la identificación de las sustancias que agotan la capa de ozono y la supervisión de la importación. Se inició el proceso de adquisición de los cinco identificadores de refrigerantes para los puertos de entrada, pero la entrega se retrasó por parte del proveedor y está prevista para finales de 2023.</w:t>
      </w:r>
    </w:p>
    <w:p w14:paraId="0B9D3FBC" w14:textId="77777777" w:rsidR="005D0DD1" w:rsidRPr="005D0DD1" w:rsidRDefault="005D0DD1" w:rsidP="005D0DD1">
      <w:pPr>
        <w:keepNext/>
        <w:spacing w:after="240"/>
        <w:rPr>
          <w:i/>
          <w:lang w:val="es-ES"/>
        </w:rPr>
      </w:pPr>
      <w:r w:rsidRPr="005D0DD1">
        <w:rPr>
          <w:i/>
          <w:lang w:val="es-ES"/>
        </w:rPr>
        <w:t>Sector de servicio y mantenimiento de equipos de refrigeración</w:t>
      </w:r>
    </w:p>
    <w:p w14:paraId="2AA2BF54" w14:textId="53DA0309" w:rsidR="005D0DD1" w:rsidRPr="005D0DD1" w:rsidRDefault="005D0DD1" w:rsidP="005D0DD1">
      <w:pPr>
        <w:pStyle w:val="Heading1"/>
        <w:rPr>
          <w:lang w:val="es-ES"/>
        </w:rPr>
      </w:pPr>
      <w:r w:rsidRPr="005D0DD1">
        <w:rPr>
          <w:lang w:val="es-ES"/>
        </w:rPr>
        <w:t>Durante el primer tramo, en colaboración con la Oficina de Normalización de Gambia, se elaboró un proyecto de normas de competencia para el sistema de certificación de técnicos de refrigeración y aire acondicionado propuesto; estas normas también fueron revisadas por las partes interesadas clave del sector de refrigeración y aire acondicionado. Se celebraron reuniones consultivas con la Universidad de Gambia y otros institutos de formación sobre los detalles para establecer un sistema de certificación para técnicos de refrigeración y aire acondicionado. Para pilotar el proceso de certificación, la Dependencia Nacional del Ozono organizó una capacitación para 25 técnicos de refrigeración y aire acondicionado (incluyendo 10</w:t>
      </w:r>
      <w:r w:rsidR="008065AC">
        <w:rPr>
          <w:lang w:val="es-ES"/>
        </w:rPr>
        <w:t> </w:t>
      </w:r>
      <w:r w:rsidRPr="005D0DD1">
        <w:rPr>
          <w:lang w:val="es-ES"/>
        </w:rPr>
        <w:t>mujeres). Se actualizaron los códigos nacionales de servicio y mantenimiento de equipos de refrigeración y aire acondicionado. La Dependencia Nacional del Ozono también participó en una serie de reuniones en línea destinadas a desarrollar normas de rendimiento energético mínimo y mantuvo dos reuniones de consulta para promover la adopción de aparatos de refrigeración y aire acondicionado para habitación con alto rendimiento energético y una reunión de consulta para iniciar la elaboración de políticas que apoyan la adquisición ecológica en las instituciones públicas.</w:t>
      </w:r>
    </w:p>
    <w:p w14:paraId="4092D48B" w14:textId="77777777" w:rsidR="005D0DD1" w:rsidRPr="005D0DD1" w:rsidRDefault="005D0DD1" w:rsidP="005D0DD1">
      <w:pPr>
        <w:pStyle w:val="Heading1"/>
        <w:rPr>
          <w:lang w:val="es-ES"/>
        </w:rPr>
      </w:pPr>
      <w:r w:rsidRPr="005D0DD1">
        <w:rPr>
          <w:lang w:val="es-ES"/>
        </w:rPr>
        <w:lastRenderedPageBreak/>
        <w:t xml:space="preserve">Un total de 115 técnicos de refrigeración y aire acondicionado (incluyendo 29 mujeres) asistieron a los cinco talleres de capacitación sobre buenas prácticas de mantenimiento de equipos de refrigeración, el proceso de certificación y los códigos de buenas prácticas de servicio y mantenimiento; y 15 mujeres participaron en un taller especial de capacitación para técnicos de refrigeración y aire acondicionado sobre el papel de las mujeres en el sector de refrigeración y aire acondicionado. Se llevó a cabo una evaluación de las necesidades de equipos para los centros de excelencia y se inició la adquisición de los equipos con una entrega prevista para finales de 2023. </w:t>
      </w:r>
    </w:p>
    <w:p w14:paraId="5BF0BDAF" w14:textId="77777777" w:rsidR="005D0DD1" w:rsidRPr="005D0DD1" w:rsidRDefault="005D0DD1" w:rsidP="005D0DD1">
      <w:pPr>
        <w:spacing w:after="240"/>
        <w:rPr>
          <w:i/>
          <w:lang w:val="es-ES"/>
        </w:rPr>
      </w:pPr>
      <w:r w:rsidRPr="005D0DD1">
        <w:rPr>
          <w:i/>
          <w:lang w:val="es-ES"/>
        </w:rPr>
        <w:t>Ejecución y seguimiento del proyecto</w:t>
      </w:r>
    </w:p>
    <w:p w14:paraId="3DA9DB5C" w14:textId="77777777" w:rsidR="005D0DD1" w:rsidRPr="005D0DD1" w:rsidRDefault="005D0DD1" w:rsidP="005D0DD1">
      <w:pPr>
        <w:pStyle w:val="Heading1"/>
        <w:rPr>
          <w:lang w:val="es-ES"/>
        </w:rPr>
      </w:pPr>
      <w:r w:rsidRPr="005D0DD1">
        <w:rPr>
          <w:lang w:val="es-ES"/>
        </w:rPr>
        <w:t xml:space="preserve">De los 10.000 $EUA aprobados para la supervisión de proyectos se desembolsaron 5.000 $EUA para apoyar la supervisión y ejecución de la etapa II, incluyendo tres visitas de campo para asegurar el cumplimiento de las mejores prácticas en el sector de servicio y mantenimiento de equipos de refrigeración y aire acondicionado. </w:t>
      </w:r>
    </w:p>
    <w:p w14:paraId="38512AC5" w14:textId="77777777" w:rsidR="005D0DD1" w:rsidRPr="005D0DD1" w:rsidRDefault="005D0DD1" w:rsidP="005D0DD1">
      <w:pPr>
        <w:keepNext/>
        <w:spacing w:after="240"/>
        <w:rPr>
          <w:lang w:val="es-ES"/>
        </w:rPr>
      </w:pPr>
      <w:r w:rsidRPr="005D0DD1">
        <w:rPr>
          <w:u w:val="single"/>
          <w:lang w:val="es-ES"/>
        </w:rPr>
        <w:t>Nivel de desembolsos de los fondos</w:t>
      </w:r>
      <w:r w:rsidRPr="005D0DD1">
        <w:rPr>
          <w:lang w:val="es-ES"/>
        </w:rPr>
        <w:t xml:space="preserve"> </w:t>
      </w:r>
    </w:p>
    <w:p w14:paraId="1CE292F2" w14:textId="77777777" w:rsidR="005D0DD1" w:rsidRPr="005D0DD1" w:rsidRDefault="005D0DD1" w:rsidP="005D0DD1">
      <w:pPr>
        <w:pStyle w:val="Heading1"/>
        <w:rPr>
          <w:lang w:val="es-ES"/>
        </w:rPr>
      </w:pPr>
      <w:r w:rsidRPr="005D0DD1">
        <w:rPr>
          <w:lang w:val="es-ES"/>
        </w:rPr>
        <w:t>En octubre de 2023, de los 190.000 $EUA aprobados hasta ese momento (100.000 $EUA para el PNUMA y 90.000 $EUA para la ONUDI), se habían desembolsado 119.000 $EUA (63 por ciento) (45.000 $EUA para el PNUMA y 74.000 $EUA para la ONUDI). El saldo de 71.000 $EUA se desembolsará en 2023.</w:t>
      </w:r>
    </w:p>
    <w:p w14:paraId="3B2C1D6A" w14:textId="77777777" w:rsidR="005D0DD1" w:rsidRPr="005D0DD1" w:rsidRDefault="005D0DD1" w:rsidP="005D0DD1">
      <w:pPr>
        <w:keepNext/>
        <w:spacing w:before="240" w:after="240"/>
        <w:rPr>
          <w:u w:val="single"/>
          <w:lang w:val="es-ES"/>
        </w:rPr>
      </w:pPr>
      <w:r w:rsidRPr="005D0DD1">
        <w:rPr>
          <w:u w:val="single"/>
          <w:lang w:val="es-ES"/>
        </w:rPr>
        <w:t>Plan de ejecución para el segundo tramo de la etapa II del plan de gestión de eliminación de los HCFC</w:t>
      </w:r>
    </w:p>
    <w:p w14:paraId="26713AA2" w14:textId="77777777" w:rsidR="005D0DD1" w:rsidRPr="005D0DD1" w:rsidRDefault="005D0DD1" w:rsidP="005D0DD1">
      <w:pPr>
        <w:pStyle w:val="Heading1"/>
        <w:rPr>
          <w:lang w:val="es-ES"/>
        </w:rPr>
      </w:pPr>
      <w:bookmarkStart w:id="0" w:name="_Hlk126934425"/>
      <w:bookmarkStart w:id="1" w:name="_Hlk126663552"/>
      <w:r w:rsidRPr="005D0DD1">
        <w:rPr>
          <w:lang w:val="es-ES"/>
        </w:rPr>
        <w:t>Las actividades siguientes se ejecutarán entre enero de 2024 y diciembre de 2026:</w:t>
      </w:r>
    </w:p>
    <w:p w14:paraId="60E32B7F" w14:textId="77777777" w:rsidR="005D0DD1" w:rsidRPr="005D0DD1" w:rsidRDefault="005D0DD1" w:rsidP="005D0DD1">
      <w:pPr>
        <w:pStyle w:val="Heading2"/>
        <w:rPr>
          <w:lang w:val="es-ES"/>
        </w:rPr>
      </w:pPr>
      <w:r w:rsidRPr="005D0DD1">
        <w:rPr>
          <w:i/>
          <w:lang w:val="es-ES"/>
        </w:rPr>
        <w:t>Políticas y reglamentaciones sobre SAO</w:t>
      </w:r>
      <w:r w:rsidRPr="005D0DD1">
        <w:rPr>
          <w:lang w:val="es-ES"/>
        </w:rPr>
        <w:t>: un taller de creación de capacidad para la Dependencia Nacional del Ozono y capacitación para 30 funcionarios de aduanas y encargados de hacer cumplir la ley sobre normas técnicas nacionales para sistemas de refrigeración y aire acondicionado con bajo potencial de calentamiento atmosférico y alto rendimiento energético y un taller de sensibilización para usuarios finales sobre las ventajas de utilizar tecnologías con bajo potencial de calentamiento atmosférico; y formación para 30 funcionarios de adquisiciones sobre la adquisición ecológica de sistemas de refrigeración y aire acondicionado y visitas sobre el terreno a 20 organismos para verificar el cumplimiento de las normas de adquisición ecológica (PNUMA) (30.000 $EUA y 20.000 $EUA del tramo anterior);</w:t>
      </w:r>
    </w:p>
    <w:p w14:paraId="06088E64" w14:textId="77777777" w:rsidR="005D0DD1" w:rsidRPr="005D0DD1" w:rsidRDefault="005D0DD1" w:rsidP="005D0DD1">
      <w:pPr>
        <w:pStyle w:val="Heading2"/>
        <w:rPr>
          <w:lang w:val="es-ES"/>
        </w:rPr>
      </w:pPr>
      <w:r w:rsidRPr="005D0DD1">
        <w:rPr>
          <w:i/>
          <w:lang w:val="es-ES"/>
        </w:rPr>
        <w:t xml:space="preserve">Capacitación de funcionarios de aduanas y encargados de hacer cumplir la ley sobre las SAO: </w:t>
      </w:r>
      <w:r w:rsidRPr="005D0DD1">
        <w:rPr>
          <w:lang w:val="es-ES"/>
        </w:rPr>
        <w:t>capacitación de 80 funcionarios de aduanas y encargados de hacer cumplir la ley sobre la supervisión, el control y la identificación de HCFC y de equipos que utilizan HCFC; un diálogo subregional para compartir experiencias y discutir sobre los desafíos de la ejecución de los programas del Protocolo de Montreal (PNUMA) (25.000 $EUA y 10.000 $EUA del tramo anterior); y entrega de identificadores de refrigerantes para los puertos de entrada de aduanas (ONUDI) (5.000 $EUA del tramo anterior);</w:t>
      </w:r>
    </w:p>
    <w:p w14:paraId="114B5159" w14:textId="4A8BAAD4" w:rsidR="005D0DD1" w:rsidRPr="005D0DD1" w:rsidRDefault="005D0DD1" w:rsidP="005D0DD1">
      <w:pPr>
        <w:pStyle w:val="Heading2"/>
        <w:rPr>
          <w:lang w:val="es-ES"/>
        </w:rPr>
      </w:pPr>
      <w:r w:rsidRPr="005D0DD1">
        <w:rPr>
          <w:i/>
          <w:lang w:val="es-ES"/>
        </w:rPr>
        <w:t>Certificación de técnicos de refrigeración y aire acondicionado, capacitación y equipos</w:t>
      </w:r>
      <w:r w:rsidRPr="005D0DD1">
        <w:rPr>
          <w:lang w:val="es-ES"/>
        </w:rPr>
        <w:t xml:space="preserve">: tres sesiones de capacitación para un total de 75 técnicos de refrigeración y aire acondicionado sobre la manipulación segura de refrigerantes a base de hidrocarburos (HC); capacitación para 15 participantes de asociaciones regionales de refrigeración y aire acondicionado sobre la importancia de la certificación de técnicos y el proceso de certificación; dos talleres de creación de capacidad para 50 técnicos de refrigeración y aire acondicionado sobre el proceso de certificación; y una campaña de radio de sensibilización del público sobre los HCFC y alternativas inocuas para el ozono (PNUMA) (20.000 $EUA </w:t>
      </w:r>
      <w:r w:rsidRPr="005D0DD1">
        <w:rPr>
          <w:lang w:val="es-ES"/>
        </w:rPr>
        <w:lastRenderedPageBreak/>
        <w:t>y</w:t>
      </w:r>
      <w:r w:rsidR="008065AC">
        <w:rPr>
          <w:lang w:val="es-ES"/>
        </w:rPr>
        <w:t> </w:t>
      </w:r>
      <w:r w:rsidRPr="005D0DD1">
        <w:rPr>
          <w:lang w:val="es-ES"/>
        </w:rPr>
        <w:t>20.000</w:t>
      </w:r>
      <w:r w:rsidR="008065AC">
        <w:rPr>
          <w:lang w:val="es-ES"/>
        </w:rPr>
        <w:t> </w:t>
      </w:r>
      <w:r w:rsidRPr="005D0DD1">
        <w:rPr>
          <w:lang w:val="es-ES"/>
        </w:rPr>
        <w:t>$EUA del tramo anterior);</w:t>
      </w:r>
    </w:p>
    <w:p w14:paraId="117C6D98" w14:textId="77777777" w:rsidR="005D0DD1" w:rsidRPr="005D0DD1" w:rsidRDefault="005D0DD1" w:rsidP="005D0DD1">
      <w:pPr>
        <w:pStyle w:val="Heading2"/>
        <w:rPr>
          <w:lang w:val="es-ES"/>
        </w:rPr>
      </w:pPr>
      <w:r w:rsidRPr="005D0DD1">
        <w:rPr>
          <w:i/>
          <w:lang w:val="es-ES"/>
        </w:rPr>
        <w:t>Fortalecimiento de los centros de excelencia existentes y creación de nuevos centros</w:t>
      </w:r>
      <w:r w:rsidRPr="005D0DD1">
        <w:rPr>
          <w:lang w:val="es-ES"/>
        </w:rPr>
        <w:t>: finalización de la entrega de equipos para los tres centros de excelencia existentes; redacción de un estudio de viabilidad sobre el establecimiento de un centro de regeneración y capacitación y adquisición de los equipos necesarios sobre la base de los resultados del estudio; programa de capacitación de formadores a través del Centro de Refrigeración Limpia de Viena; sensibilización de los usuarios finales sobre el uso, seguridad, instalación y mantenimiento de equipos que utilizan hidrocarburos (ONUDI) (100.000 $EUA y 11.000 $EUA del tramo anterior);</w:t>
      </w:r>
    </w:p>
    <w:p w14:paraId="6D8524C7" w14:textId="77777777" w:rsidR="005D0DD1" w:rsidRPr="005D0DD1" w:rsidRDefault="005D0DD1" w:rsidP="005D0DD1">
      <w:pPr>
        <w:pStyle w:val="Heading2"/>
        <w:rPr>
          <w:lang w:val="es-ES"/>
        </w:rPr>
      </w:pPr>
      <w:r w:rsidRPr="005D0DD1">
        <w:rPr>
          <w:lang w:val="es-ES"/>
        </w:rPr>
        <w:t>Actividades para mantener la eficiencia energética: estas actividades se describen en detalle en la sección siguiente (PNUMA) (55 000 $EUA) y (ONUDI) (45 000 $EUA); y</w:t>
      </w:r>
    </w:p>
    <w:p w14:paraId="27E0C7DA" w14:textId="77777777" w:rsidR="005D0DD1" w:rsidRPr="005D0DD1" w:rsidRDefault="005D0DD1" w:rsidP="005D0DD1">
      <w:pPr>
        <w:pStyle w:val="Heading2"/>
        <w:rPr>
          <w:lang w:val="es-ES"/>
        </w:rPr>
      </w:pPr>
      <w:r w:rsidRPr="005D0DD1">
        <w:rPr>
          <w:i/>
          <w:lang w:val="es-ES"/>
        </w:rPr>
        <w:t xml:space="preserve">Monitorización del proyecto: </w:t>
      </w:r>
      <w:r w:rsidRPr="005D0DD1">
        <w:rPr>
          <w:lang w:val="es-ES"/>
        </w:rPr>
        <w:t>(PNUMA) (15.000 $EUA y 5.000 $EUA del tramo anterior) para cubrir el personal para la supervisión, evaluación y coordinación; costos de desplazamientos para visitar las instalaciones de proyectos; y talleres y reuniones.</w:t>
      </w:r>
    </w:p>
    <w:p w14:paraId="755FBCDA" w14:textId="77777777" w:rsidR="005D0DD1" w:rsidRPr="005D0DD1" w:rsidRDefault="005D0DD1" w:rsidP="005D0DD1">
      <w:pPr>
        <w:keepNext/>
        <w:spacing w:after="240"/>
        <w:rPr>
          <w:i/>
          <w:highlight w:val="yellow"/>
          <w:lang w:val="es-ES"/>
        </w:rPr>
      </w:pPr>
      <w:r w:rsidRPr="005D0DD1">
        <w:rPr>
          <w:i/>
          <w:lang w:val="es-ES"/>
        </w:rPr>
        <w:t xml:space="preserve">Actividades para mantener la eficiencia energética en el sector de servicio y mantenimiento de equipos de refrigeración </w:t>
      </w:r>
    </w:p>
    <w:p w14:paraId="74DCDC0C" w14:textId="77777777" w:rsidR="005D0DD1" w:rsidRPr="005D0DD1" w:rsidRDefault="005D0DD1" w:rsidP="005D0DD1">
      <w:pPr>
        <w:pStyle w:val="Heading1"/>
        <w:keepNext/>
        <w:rPr>
          <w:lang w:val="es-ES"/>
        </w:rPr>
      </w:pPr>
      <w:bookmarkStart w:id="2" w:name="_Hlk126662278"/>
      <w:r w:rsidRPr="005D0DD1">
        <w:rPr>
          <w:lang w:val="es-ES"/>
        </w:rPr>
        <w:t xml:space="preserve">El proyecto relativo a la eficiencia energética, presentado en línea con la decisión 89/6, está diseñado para mejorar la coordinación entre las partes interesadas clave para el establecimiento de las normas de eficiencia energética mínima en Gambia que se están preparando actualmente; y sensibilizar a los consumidores sobre los beneficios de adoptar tecnologías con bajo potencial de calentamiento atmosférico y alta eficiencia energética. La descripción y el desglose de costos propuestos de las actividades para mantener la eficiencia energética en el sector </w:t>
      </w:r>
      <w:bookmarkStart w:id="3" w:name="_Hlk126934445"/>
      <w:bookmarkEnd w:id="0"/>
      <w:r w:rsidRPr="005D0DD1">
        <w:rPr>
          <w:lang w:val="es-ES"/>
        </w:rPr>
        <w:t>incluyen:</w:t>
      </w:r>
    </w:p>
    <w:p w14:paraId="57F2A514" w14:textId="77777777" w:rsidR="005D0DD1" w:rsidRPr="005D0DD1" w:rsidRDefault="005D0DD1" w:rsidP="005D0DD1">
      <w:pPr>
        <w:pStyle w:val="Heading2"/>
        <w:rPr>
          <w:lang w:val="es-ES"/>
        </w:rPr>
      </w:pPr>
      <w:r w:rsidRPr="005D0DD1">
        <w:rPr>
          <w:i/>
          <w:iCs/>
          <w:lang w:val="es-ES"/>
        </w:rPr>
        <w:t xml:space="preserve">Creación de capacidad </w:t>
      </w:r>
      <w:r w:rsidRPr="005D0DD1">
        <w:rPr>
          <w:i/>
          <w:lang w:val="es-ES"/>
        </w:rPr>
        <w:t>para las partes interesadas clave</w:t>
      </w:r>
      <w:r w:rsidRPr="005D0DD1">
        <w:rPr>
          <w:lang w:val="es-ES"/>
        </w:rPr>
        <w:t>: dos reuniones de coordinación con las partes interesadas clave para la aplicación de las normas de eficiencia energética mínima en Gambia (por ejemplo, Departamento de Energía, Oficina de Normalización de Gambia, Autoridad Reglamentaria de Utilidad Pública de Gambia) para garantizar que las autoridades y organismos pertinentes consideren los refrigerantes con bajo potencial de calentamiento atmosférico durante la elaboración de planes de refrigeración y eficiencia energética, tales como las normas de eficiencia energética mínima, el etiquetado y las pruebas; actualización de material de capacitación para técnicos de refrigeración y aire acondicionado con el fin de fortalecer la adopción de buenas prácticas de servicio y mantenimiento de equipos con alta eficiencia energética, incluyendo la seguridad en el manejo de refrigerantes inflamables; talleres de capacitación para instructores y técnicos de refrigeración y aire acondicionado con material de capacitación actualizado; aplicación de planes de certificación basados en competencias para técnicos para el mantenimiento de equipos con alta eficiencia energética, y fortalecimiento de los organismos nacionales (ONUDI) (45.000 $EUA); y</w:t>
      </w:r>
    </w:p>
    <w:p w14:paraId="12B3DFB0" w14:textId="77777777" w:rsidR="005D0DD1" w:rsidRPr="005D0DD1" w:rsidRDefault="005D0DD1" w:rsidP="005D0DD1">
      <w:pPr>
        <w:pStyle w:val="Heading2"/>
        <w:keepNext/>
        <w:widowControl/>
        <w:rPr>
          <w:lang w:val="es-ES"/>
        </w:rPr>
      </w:pPr>
      <w:r w:rsidRPr="005D0DD1">
        <w:rPr>
          <w:i/>
          <w:lang w:val="es-ES"/>
        </w:rPr>
        <w:t>Difusión y evaluación del impacto</w:t>
      </w:r>
      <w:r w:rsidRPr="005D0DD1">
        <w:rPr>
          <w:lang w:val="es-ES"/>
        </w:rPr>
        <w:t xml:space="preserve">: </w:t>
      </w:r>
      <w:r w:rsidRPr="005D0DD1">
        <w:rPr>
          <w:color w:val="000000"/>
          <w:lang w:val="es-ES"/>
        </w:rPr>
        <w:t xml:space="preserve">campaña regular de sensibilización del público, incluyendo el </w:t>
      </w:r>
      <w:r w:rsidRPr="005D0DD1">
        <w:rPr>
          <w:lang w:val="es-ES"/>
        </w:rPr>
        <w:t xml:space="preserve">desarrollo de materiales de divulgación y </w:t>
      </w:r>
      <w:r w:rsidRPr="005D0DD1">
        <w:rPr>
          <w:color w:val="000000"/>
          <w:lang w:val="es-ES"/>
        </w:rPr>
        <w:t>herramientas de comunicación (tales como sitio web, folletos, informes de medios, emisiones de televisión y radio) y</w:t>
      </w:r>
      <w:r w:rsidRPr="005D0DD1">
        <w:rPr>
          <w:lang w:val="es-ES"/>
        </w:rPr>
        <w:t xml:space="preserve"> una encuesta sobre el comportamiento del consumidor relacionado con la compra de aparatos de refrigeración y aire acondicionado para habitación; una campaña de sensibilización dirigida a importadores, minoristas, mayoristas y distribuidores sobre las normas de eficiencia </w:t>
      </w:r>
      <w:r w:rsidRPr="005D0DD1">
        <w:rPr>
          <w:lang w:val="es-ES"/>
        </w:rPr>
        <w:lastRenderedPageBreak/>
        <w:t>energética mínima y las reglamentaciones de etiquetado, y eficiencia energética (PNUMA) (55.000 $EUA).</w:t>
      </w:r>
    </w:p>
    <w:bookmarkEnd w:id="1"/>
    <w:bookmarkEnd w:id="2"/>
    <w:bookmarkEnd w:id="3"/>
    <w:p w14:paraId="19991A3D" w14:textId="77777777" w:rsidR="005D0DD1" w:rsidRPr="005D0DD1" w:rsidRDefault="005D0DD1" w:rsidP="005D0DD1">
      <w:pPr>
        <w:keepNext/>
        <w:keepLines/>
        <w:spacing w:before="360" w:after="240"/>
        <w:jc w:val="center"/>
        <w:rPr>
          <w:b/>
          <w:lang w:val="es-ES"/>
        </w:rPr>
      </w:pPr>
      <w:r w:rsidRPr="005D0DD1">
        <w:rPr>
          <w:b/>
          <w:lang w:val="es-ES"/>
        </w:rPr>
        <w:t>OBSERVACIONES Y RECOMENDACIÓN DE LA SECRETARÍA</w:t>
      </w:r>
    </w:p>
    <w:p w14:paraId="21904B96" w14:textId="77777777" w:rsidR="005D0DD1" w:rsidRPr="005D0DD1" w:rsidRDefault="005D0DD1" w:rsidP="005D0DD1">
      <w:pPr>
        <w:keepNext/>
        <w:keepLines/>
        <w:rPr>
          <w:b/>
          <w:lang w:val="es-ES"/>
        </w:rPr>
      </w:pPr>
      <w:r w:rsidRPr="005D0DD1">
        <w:rPr>
          <w:b/>
          <w:lang w:val="es-ES"/>
        </w:rPr>
        <w:t>OBSERVACIONES</w:t>
      </w:r>
    </w:p>
    <w:p w14:paraId="37B08086" w14:textId="77777777" w:rsidR="005D0DD1" w:rsidRPr="005D0DD1" w:rsidRDefault="005D0DD1" w:rsidP="005D0DD1">
      <w:pPr>
        <w:keepNext/>
        <w:keepLines/>
        <w:spacing w:before="240" w:after="240"/>
        <w:rPr>
          <w:u w:val="single"/>
          <w:lang w:val="es-ES"/>
        </w:rPr>
      </w:pPr>
      <w:r w:rsidRPr="005D0DD1">
        <w:rPr>
          <w:u w:val="single"/>
          <w:lang w:val="es-ES"/>
        </w:rPr>
        <w:t>Informe sobre la marcha de las actividades relativo a la ejecución del primer tramo de la etapa II del plan de gestión de eliminación de los HCFC</w:t>
      </w:r>
    </w:p>
    <w:p w14:paraId="093F7604" w14:textId="77777777" w:rsidR="005D0DD1" w:rsidRPr="005D0DD1" w:rsidRDefault="005D0DD1" w:rsidP="005D0DD1">
      <w:pPr>
        <w:keepNext/>
        <w:keepLines/>
        <w:spacing w:before="240" w:after="240"/>
        <w:rPr>
          <w:i/>
          <w:lang w:val="es-ES"/>
        </w:rPr>
      </w:pPr>
      <w:r w:rsidRPr="005D0DD1">
        <w:rPr>
          <w:i/>
          <w:lang w:val="es-ES"/>
        </w:rPr>
        <w:t>Marco jurídico</w:t>
      </w:r>
    </w:p>
    <w:p w14:paraId="629F290E" w14:textId="77777777" w:rsidR="005D0DD1" w:rsidRPr="005D0DD1" w:rsidRDefault="005D0DD1" w:rsidP="005D0DD1">
      <w:pPr>
        <w:pStyle w:val="Heading1"/>
        <w:rPr>
          <w:lang w:val="es-ES"/>
        </w:rPr>
      </w:pPr>
      <w:r w:rsidRPr="005D0DD1">
        <w:rPr>
          <w:lang w:val="es-ES"/>
        </w:rPr>
        <w:t>El Gobierno de Gambia ya ha fijado los cupos de importación de HCFC para 2023, establecidos en 0,22 toneladas PAO, una cifra inferior a los objetivos de control del Protocolo de Montreal.</w:t>
      </w:r>
    </w:p>
    <w:p w14:paraId="0EF6E15F" w14:textId="77777777" w:rsidR="005D0DD1" w:rsidRPr="005D0DD1" w:rsidRDefault="005D0DD1" w:rsidP="005D0DD1">
      <w:pPr>
        <w:widowControl w:val="0"/>
        <w:spacing w:after="240"/>
        <w:rPr>
          <w:i/>
          <w:lang w:val="es-ES"/>
        </w:rPr>
      </w:pPr>
      <w:r w:rsidRPr="005D0DD1">
        <w:rPr>
          <w:i/>
          <w:lang w:val="es-ES"/>
        </w:rPr>
        <w:t>Sector de servicio y mantenimiento de equipos de refrigeración</w:t>
      </w:r>
    </w:p>
    <w:p w14:paraId="3030A07A" w14:textId="77777777" w:rsidR="005D0DD1" w:rsidRPr="005D0DD1" w:rsidRDefault="005D0DD1" w:rsidP="005D0DD1">
      <w:pPr>
        <w:pStyle w:val="Heading1"/>
        <w:rPr>
          <w:lang w:val="es-ES"/>
        </w:rPr>
      </w:pPr>
      <w:r w:rsidRPr="005D0DD1">
        <w:rPr>
          <w:lang w:val="es-ES"/>
        </w:rPr>
        <w:t>Con respecto a los planes de certificación para técnicos y el desarrollo de normas técnicas para la certificación, el PNUMA aclaró que los técnicos se certificarían solo si reciben una calificación formal de formación de refrigeración y aire acondicionado de un centro acreditado por el Instituto de Educación y Formación Técnica y Profesional. Todos los técnicos que no están capacitados, certificados y acreditados por el Instituto de Educación y Formación Técnica y Profesional no podrán operar en el sector de servicio y mantenimiento, y esto se supervisará estrechamente por la Dependencia Nacional del Ozono y el Instituto de Educación y Formación Técnica y Profesional mediante inspecciones aleatorias de los talleres. Actualmente, la certificación de técnicos es voluntaria; sin embargo, una vez que se terminen las normas técnicas, el objetivo es que sea obligatorio. El Gobierno de Gambia reconoce que tomará tiempo institucionalizar plenamente este programa de certificación, por lo que la prioridad es poner en marcha las normas técnicas. El PNUMA hizo hincapié en que, con el desarrollo de las normas y la capacitación consecuente que seguirá, se alentará a los técnicos de servicio y mantenimiento de equipos de refrigeración y aire acondicionado a aplicar plenamente los códigos de buenas prácticas durante el mantenimiento de los sistemas de refrigeración y aire acondicionado.</w:t>
      </w:r>
    </w:p>
    <w:p w14:paraId="54892D2E" w14:textId="77777777" w:rsidR="005D0DD1" w:rsidRPr="005D0DD1" w:rsidRDefault="005D0DD1" w:rsidP="005D0DD1">
      <w:pPr>
        <w:pStyle w:val="Heading1"/>
        <w:rPr>
          <w:lang w:val="es-ES"/>
        </w:rPr>
      </w:pPr>
      <w:r w:rsidRPr="005D0DD1">
        <w:rPr>
          <w:lang w:val="es-ES"/>
        </w:rPr>
        <w:t>El PNUMA también aclaró que la actualización de los códigos nacionales de conducta para los técnicos de servicio y mantenimiento de equipos de refrigeración y aire acondicionado y la revisión del programa nacional de capacitación de refrigeración y aire acondicionado están en curso, se espera que las actualizaciones se terminen en 2024 y, una vez terminadas, mejorarán las prácticas de servicio y mantenimiento de los técnicos de refrigeración y aire acondicionado. Esto y el programa de capacitación actualizado se integrarán en todos los programas de capacitación para técnicos.</w:t>
      </w:r>
    </w:p>
    <w:p w14:paraId="2D9714C7" w14:textId="77777777" w:rsidR="005D0DD1" w:rsidRPr="005D0DD1" w:rsidRDefault="005D0DD1" w:rsidP="005D0DD1">
      <w:pPr>
        <w:pStyle w:val="Heading1"/>
        <w:rPr>
          <w:lang w:val="es-ES"/>
        </w:rPr>
      </w:pPr>
      <w:r w:rsidRPr="005D0DD1">
        <w:rPr>
          <w:lang w:val="es-ES"/>
        </w:rPr>
        <w:t>En respuesta a la pregunta de la Secretaría sobre los motivos de la demora en la entrega de equipos de capacitación en refrigeración y aire acondicionado y su impacto en los talleres de capacitación, el PNUMA explicó que la demora se debía principalmente a dificultades en la cadena de suministro relacionadas con la adquisición de las herramientas y los equipos; y que el Gobierno se compromete a acelerar la capacitación una vez que se reciban los equipos.</w:t>
      </w:r>
    </w:p>
    <w:p w14:paraId="1804F2AF" w14:textId="77777777" w:rsidR="005D0DD1" w:rsidRPr="005D0DD1" w:rsidRDefault="005D0DD1" w:rsidP="005D0DD1">
      <w:pPr>
        <w:keepNext/>
        <w:keepLines/>
        <w:spacing w:after="240"/>
        <w:outlineLvl w:val="0"/>
        <w:rPr>
          <w:lang w:val="es-ES"/>
        </w:rPr>
      </w:pPr>
      <w:r w:rsidRPr="005D0DD1">
        <w:rPr>
          <w:i/>
          <w:lang w:val="es-ES"/>
        </w:rPr>
        <w:t xml:space="preserve">Actividades para mantener la eficiencia energética en el sector de servicio y mantenimiento de equipos de refrigeración </w:t>
      </w:r>
    </w:p>
    <w:p w14:paraId="10DED5A1" w14:textId="77777777" w:rsidR="005D0DD1" w:rsidRPr="005D0DD1" w:rsidRDefault="005D0DD1" w:rsidP="005D0DD1">
      <w:pPr>
        <w:pStyle w:val="Heading1"/>
        <w:rPr>
          <w:lang w:val="es-ES"/>
        </w:rPr>
      </w:pPr>
      <w:r w:rsidRPr="005D0DD1">
        <w:rPr>
          <w:lang w:val="es-ES"/>
        </w:rPr>
        <w:t>De conformidad con la decisión 89/6 d), el PNUMA y la ONUDI han incluido en el plan de ejecución del tramo las acciones específicas, los indicadores de desempeño (objetivos) y la financiación asociados a actividades adicionales para mantener la eficiencia energética.</w:t>
      </w:r>
    </w:p>
    <w:p w14:paraId="4FB641DA" w14:textId="77777777" w:rsidR="005D0DD1" w:rsidRPr="005D0DD1" w:rsidRDefault="005D0DD1" w:rsidP="005D0DD1">
      <w:pPr>
        <w:pStyle w:val="Heading1"/>
        <w:rPr>
          <w:lang w:val="es-ES"/>
        </w:rPr>
      </w:pPr>
      <w:r w:rsidRPr="005D0DD1">
        <w:rPr>
          <w:lang w:val="es-ES"/>
        </w:rPr>
        <w:lastRenderedPageBreak/>
        <w:t xml:space="preserve">En respuesta a una solicitud de aclaración, el PNUMA explicó que el Gobierno de Gambia está actualmente en proceso de finalizar las normas nacionales de eficiencia energética mínima, que adoptan las normas de eficiencia energética mínima aprobadas por la Comunidad Económica de Estados de África Occidental (CEDEAO). La adopción formal de las normas de eficiencia energética mínima incluirá el establecimiento de un sistema de etiquetado que también se corresponda con lo establecido por la CEDEAO. Las actividades propuestas en virtud de la decisión 89/6 facilitarán la puesta en marcha más rápida de estas normas de eficiencia energética mínima y las actividades de sensibilización apoyarán el cumplimiento de los requisitos para garantizar su ejecución. El PNUMA explicó también que Gambia es un país importador de equipos, y actualmente la disponibilidad en el mercado de equipos de refrigeración y aire acondicionado con bajo potencial de calentamiento atmosférico es baja. El estudio de los consumidores que se llevará a cabo como parte de estas actividades identificará el comportamiento de los consumidores y servirá para diseñar acciones para fomentar la compra de equipos con mayor eficiencia energética que utilicen refrigerantes con bajo potencial de calentamiento atmosférico, incluyendo posibles incentivos para apoyar estos productos. </w:t>
      </w:r>
    </w:p>
    <w:p w14:paraId="1E092329" w14:textId="77777777" w:rsidR="005D0DD1" w:rsidRPr="005D0DD1" w:rsidRDefault="005D0DD1" w:rsidP="005D0DD1">
      <w:pPr>
        <w:pStyle w:val="Heading1"/>
        <w:rPr>
          <w:lang w:val="es-ES"/>
        </w:rPr>
      </w:pPr>
      <w:r w:rsidRPr="005D0DD1">
        <w:rPr>
          <w:lang w:val="es-ES"/>
        </w:rPr>
        <w:t>Como respuesta a la manera en que estas actividades se vinculan con un proyecto de preparación</w:t>
      </w:r>
      <w:r w:rsidRPr="005D0DD1">
        <w:rPr>
          <w:vertAlign w:val="superscript"/>
          <w:lang w:val="es-ES"/>
        </w:rPr>
        <w:footnoteReference w:id="4"/>
      </w:r>
      <w:r w:rsidRPr="005D0DD1">
        <w:rPr>
          <w:lang w:val="es-ES"/>
        </w:rPr>
        <w:t xml:space="preserve"> financiado por el Fondo Verde para el Clima (FVC) cuyo objetivo es elaborar un plan nacional de refrigeración, un marco legislativo para las normas de eficiencia energética mínima y etiquetas para aparatos de aire acondicionado y refrigeradores residenciales respetuosos con el clima del país, el PNUMA indicó que la Dependencia Nacional del Ozono trabajará estrechamente con las mismas partes interesadas de este proyecto, en particular con la Oficina de Normalización de Gambia. Estas actividades apoyarán la coordinación directa y la colaboración con la Dependencia Nacional del Ozono para asegurar que se cumplen los requisitos del Protocolo de Montreal y la Enmienda de Kigali cuando se termine este marco legislativo para las normas de eficiencia energética mínima. Además, estas actividades adicionales también fomentarán la capacidad de los técnicos e importadores para mejorar la comprensión de cómo considerar la eficiencia energética de los equipos, y cómo se puede llevar a cabo el mantenimiento de dichos equipos con el fin de mantener la eficiencia.</w:t>
      </w:r>
    </w:p>
    <w:p w14:paraId="5F96A300" w14:textId="77777777" w:rsidR="005D0DD1" w:rsidRPr="005D0DD1" w:rsidRDefault="005D0DD1" w:rsidP="005D0DD1">
      <w:pPr>
        <w:widowControl w:val="0"/>
        <w:spacing w:after="240"/>
        <w:rPr>
          <w:u w:val="single"/>
          <w:lang w:val="es-ES"/>
        </w:rPr>
      </w:pPr>
      <w:r w:rsidRPr="005D0DD1">
        <w:rPr>
          <w:u w:val="single"/>
          <w:lang w:val="es-ES"/>
        </w:rPr>
        <w:t>Aplicación de políticas de género</w:t>
      </w:r>
    </w:p>
    <w:p w14:paraId="30F81F4D" w14:textId="77777777" w:rsidR="005D0DD1" w:rsidRPr="005D0DD1" w:rsidRDefault="005D0DD1" w:rsidP="005D0DD1">
      <w:pPr>
        <w:pStyle w:val="Heading1"/>
        <w:widowControl w:val="0"/>
        <w:spacing w:after="120"/>
        <w:rPr>
          <w:rFonts w:eastAsia="SimSun"/>
          <w:i/>
          <w:color w:val="000000"/>
          <w:lang w:val="es-ES"/>
        </w:rPr>
      </w:pPr>
      <w:r w:rsidRPr="005D0DD1">
        <w:rPr>
          <w:color w:val="000000"/>
          <w:lang w:val="es-ES"/>
        </w:rPr>
        <w:t>El Gobierno de Gambia, el PNUMA y la ONUDI están plenamente comprometidos a aplicar la política operacional de incorporación de la perspectiva de género del Fondo Multilateral, de conformidad con las decisiones 84/92 d) y 90/48 c). Durante la ejecución de la etapa II del plan de gestión de eliminación de los HCFC se celebró una sesión especial de capacitación sobre las mujeres técnicas en el sector de refrigeración y aire acondicionado y se recopilaron datos desglosados por género en todos los talleres de capacitación del plan de gestión de eliminación de los HCFC, como se indica en el informe sobre la marcha de las actividades. La Dependencia Nacional del Ozono continuará aplicando medidas para fomentar la participación de las mujeres en la creación de capacidad, la capacitación y otras actividades del plan de gestión de eliminación de los HCFC de la etapa II. También seguirá tomando medidas para recopilar datos desglosados por género para entender el impacto de las medidas ejecutadas para la aplicación de la política de incorporación de la perspectiva de género. Estas etapas reforzarán progresivamente la incorporación de la perspectiva de género durante la ejecución del plan de gestión de eliminación de los HCFC en el país.</w:t>
      </w:r>
      <w:r w:rsidRPr="005D0DD1">
        <w:rPr>
          <w:i/>
          <w:color w:val="000000"/>
          <w:lang w:val="es-ES"/>
        </w:rPr>
        <w:t xml:space="preserve"> </w:t>
      </w:r>
    </w:p>
    <w:p w14:paraId="39D5A0D1" w14:textId="77777777" w:rsidR="005D0DD1" w:rsidRPr="005D0DD1" w:rsidRDefault="005D0DD1" w:rsidP="005D0DD1">
      <w:pPr>
        <w:widowControl w:val="0"/>
        <w:spacing w:after="240"/>
        <w:rPr>
          <w:u w:val="single"/>
          <w:lang w:val="es-ES"/>
        </w:rPr>
      </w:pPr>
      <w:r w:rsidRPr="005D0DD1">
        <w:rPr>
          <w:u w:val="single"/>
          <w:lang w:val="es-ES"/>
        </w:rPr>
        <w:t xml:space="preserve">Acuerdo actualizado </w:t>
      </w:r>
    </w:p>
    <w:p w14:paraId="53875594" w14:textId="77777777" w:rsidR="005D0DD1" w:rsidRPr="005D0DD1" w:rsidRDefault="005D0DD1" w:rsidP="005D0DD1">
      <w:pPr>
        <w:pStyle w:val="Heading1"/>
        <w:spacing w:after="120"/>
        <w:rPr>
          <w:rFonts w:eastAsia="SimSun"/>
          <w:color w:val="000000"/>
          <w:lang w:val="es-ES"/>
        </w:rPr>
      </w:pPr>
      <w:r w:rsidRPr="005D0DD1">
        <w:rPr>
          <w:color w:val="000000"/>
          <w:lang w:val="es-ES"/>
        </w:rPr>
        <w:t xml:space="preserve">A la vista de la inclusión de fondos para actividades adicionales para mantener la eficiencia energética en el sector de servicio y mantenimiento de equipos de refrigeración y el calendario de financiación revisado, se ha actualizado el Acuerdo entre el Gobierno de Gambia y el Comité Ejecutivo. En concreto, se ha revisado el Apéndice 2-A y se ha añadido el párrafo 17 para indicar que el Acuerdo actualizado sustituye </w:t>
      </w:r>
      <w:r w:rsidRPr="005D0DD1">
        <w:rPr>
          <w:color w:val="000000"/>
          <w:lang w:val="es-ES"/>
        </w:rPr>
        <w:lastRenderedPageBreak/>
        <w:t xml:space="preserve">al alcanzado en la 86ª reunión, como se indica en el Anexo I del presente documento. El Acuerdo actualizado completo se adjuntará al informe final de la 93ª reunión. </w:t>
      </w:r>
    </w:p>
    <w:p w14:paraId="09EAFEF0" w14:textId="77777777" w:rsidR="005D0DD1" w:rsidRPr="005D0DD1" w:rsidRDefault="005D0DD1" w:rsidP="005D0DD1">
      <w:pPr>
        <w:pStyle w:val="NormalWeb"/>
        <w:widowControl w:val="0"/>
        <w:rPr>
          <w:sz w:val="22"/>
          <w:szCs w:val="22"/>
          <w:u w:val="single"/>
        </w:rPr>
      </w:pPr>
      <w:r w:rsidRPr="005D0DD1">
        <w:rPr>
          <w:sz w:val="22"/>
          <w:u w:val="single"/>
        </w:rPr>
        <w:t>Sostenibilidad de la eliminación de los HCFC y evaluación de riesgos</w:t>
      </w:r>
    </w:p>
    <w:p w14:paraId="1742ED72" w14:textId="77777777" w:rsidR="005D0DD1" w:rsidRPr="005D0DD1" w:rsidRDefault="005D0DD1" w:rsidP="005D0DD1">
      <w:pPr>
        <w:pStyle w:val="Heading1"/>
        <w:widowControl w:val="0"/>
        <w:spacing w:after="120"/>
        <w:rPr>
          <w:rFonts w:eastAsia="SimSun"/>
          <w:color w:val="000000"/>
          <w:lang w:val="es-ES"/>
        </w:rPr>
      </w:pPr>
      <w:r w:rsidRPr="005D0DD1">
        <w:rPr>
          <w:color w:val="000000"/>
          <w:lang w:val="es-ES"/>
        </w:rPr>
        <w:t xml:space="preserve">El Gobierno de Gambia sigue aplicando sus políticas de control de importación/exportación para controlar el consumo de HCFC en consonancia con el Protocolo de Montreal y sus objetivos del Acuerdo de plan de gestión de eliminación de los HCFC. Desde enero de 2020 hay una prohibición en vigor de las importaciones de equipos que funcionan con HCFC-22, que ha contribuido a la reducción del consumo de HCFC en el país. El Gobierno de Gambia ha integrado el programa de capacitación de aduanas en los planes de estudios del centro de capacitación de aduanas donde se forma a instructores para asegurar la continuidad y la sostenibilidad de dichos cursos de capacitación; y la sostenibilidad a largo plazo de la capacitación proporcionada a los técnicos de refrigeración y aire acondicionado contará con el apoyo de la adquisición de herramientas y equipos para los institutos de refrigeración y aire acondicionado, que seguirán facilitando la creación de capacidad en el sector de servicio y mantenimiento de equipos de refrigeración y aire acondicionado y asegurando que los técnicos puedan capacitarse mejor a largo plazo. El PNUMA evaluó los riesgos asociados a la ejecución de la etapa II del plan de gestión de eliminación de los HCFC y observó que la ejecución del plan de gestión de eliminación de los HCFC cuenta con el apoyo de una red de partes interesadas que trabajan estrechamente con la Dependencia Nacional del Ozono para garantizar el éxito de la ejecución del plan de gestión de eliminación de los HCFC mediante el apoyo a la adopción de nuevas tecnologías y la ayuda a la promoción de las políticas y procedimientos promulgados por el Gobierno. </w:t>
      </w:r>
    </w:p>
    <w:p w14:paraId="7D9BE0FD" w14:textId="77777777" w:rsidR="005D0DD1" w:rsidRPr="005D0DD1" w:rsidRDefault="005D0DD1" w:rsidP="005D0DD1">
      <w:pPr>
        <w:pStyle w:val="NormalWeb"/>
        <w:widowControl w:val="0"/>
        <w:rPr>
          <w:sz w:val="22"/>
          <w:szCs w:val="22"/>
          <w:u w:val="single"/>
        </w:rPr>
      </w:pPr>
      <w:r w:rsidRPr="005D0DD1">
        <w:rPr>
          <w:sz w:val="22"/>
          <w:u w:val="single"/>
        </w:rPr>
        <w:t xml:space="preserve">Conclusión </w:t>
      </w:r>
    </w:p>
    <w:p w14:paraId="60133B0D" w14:textId="77777777" w:rsidR="005D0DD1" w:rsidRPr="005D0DD1" w:rsidRDefault="005D0DD1" w:rsidP="005D0DD1">
      <w:pPr>
        <w:pStyle w:val="Heading1"/>
        <w:rPr>
          <w:lang w:val="es-ES"/>
        </w:rPr>
      </w:pPr>
      <w:r w:rsidRPr="005D0DD1">
        <w:rPr>
          <w:lang w:val="es-ES"/>
        </w:rPr>
        <w:t>El informe de verificación ha confirmado que el país cuenta con un sistema operativo de otorgamiento de licencias y cupos de importación/exportación; el Gobierno de Gambia se compromete a aplicar las recomendaciones como parte de la etapa II del plan de gestión de eliminación de los HCFC; el consumo de HCFC-22 de 0,17 toneladas PAO en 2022 es un 89 por ciento inferior al nivel básico de referencia de HCFC para el cumplimiento. El Gobierno está ejecutando actividades adicionales para mantener y mejorar la eficiencia energética en el sector de servicio y mantenimiento de equipos de refrigeración, que apoyarán la introducción de normas de eficiencia energética mínima y facilitarán la adopción de tecnologías alternativas con bajo o nulo potencial de calentamiento atmosférico en el sector de refrigeración y aire acondicionado. Las actividades del sector de servicio y mantenimiento están avanzando, y se ha establecido una estrecha cooperación con centros de formación profesional y la asociación de refrigeración para garantizar la sostenibilidad de las actividades de capacitación. La tasa de desembolso de los fondos es del 63 por ciento y las actividades para la etapa II avanzan a buen ritmo.</w:t>
      </w:r>
    </w:p>
    <w:p w14:paraId="5CCD465A" w14:textId="77777777" w:rsidR="005D0DD1" w:rsidRPr="005D0DD1" w:rsidRDefault="005D0DD1" w:rsidP="005D0DD1">
      <w:pPr>
        <w:spacing w:before="360" w:after="240"/>
        <w:rPr>
          <w:b/>
          <w:lang w:val="es-ES"/>
        </w:rPr>
      </w:pPr>
      <w:r w:rsidRPr="005D0DD1">
        <w:rPr>
          <w:b/>
          <w:lang w:val="es-ES"/>
        </w:rPr>
        <w:t>RECOMENDACIÓN</w:t>
      </w:r>
    </w:p>
    <w:p w14:paraId="4A10C25C" w14:textId="77777777" w:rsidR="005D0DD1" w:rsidRPr="005D0DD1" w:rsidRDefault="005D0DD1" w:rsidP="005D0DD1">
      <w:pPr>
        <w:pStyle w:val="Heading1"/>
        <w:rPr>
          <w:lang w:val="es-ES"/>
        </w:rPr>
      </w:pPr>
      <w:r w:rsidRPr="005D0DD1">
        <w:rPr>
          <w:lang w:val="es-ES"/>
        </w:rPr>
        <w:t>La Secretaría del Fondo recomienda al Comité Ejecutivo que toma nota de:</w:t>
      </w:r>
    </w:p>
    <w:p w14:paraId="7FFD3130" w14:textId="77777777" w:rsidR="005D0DD1" w:rsidRPr="005D0DD1" w:rsidRDefault="005D0DD1" w:rsidP="005D0DD1">
      <w:pPr>
        <w:pStyle w:val="Heading2"/>
        <w:rPr>
          <w:lang w:val="es-ES"/>
        </w:rPr>
      </w:pPr>
      <w:r w:rsidRPr="005D0DD1">
        <w:rPr>
          <w:lang w:val="es-ES"/>
        </w:rPr>
        <w:t xml:space="preserve">El informe sobre la marcha de las actividades relativo a la ejecución del primer tramo de la etapa II del plan de gestión de eliminación de los HCFC (PGEH) para Gambia; </w:t>
      </w:r>
    </w:p>
    <w:p w14:paraId="2F55029D" w14:textId="73C6B7FF" w:rsidR="005D0DD1" w:rsidRPr="005D0DD1" w:rsidRDefault="005D0DD1" w:rsidP="005D0DD1">
      <w:pPr>
        <w:pStyle w:val="Heading2"/>
        <w:rPr>
          <w:lang w:val="es-ES"/>
        </w:rPr>
      </w:pPr>
      <w:r w:rsidRPr="005D0DD1">
        <w:rPr>
          <w:lang w:val="es-ES"/>
        </w:rPr>
        <w:t>La presentación de actividades adicionales para mantener la eficiencia energética en el sector de servicio y mantenimiento de equipos de refrigeración por un monto de 111.200</w:t>
      </w:r>
      <w:r w:rsidR="008065AC">
        <w:rPr>
          <w:lang w:val="es-ES"/>
        </w:rPr>
        <w:t> </w:t>
      </w:r>
      <w:r w:rsidRPr="005D0DD1">
        <w:rPr>
          <w:lang w:val="es-ES"/>
        </w:rPr>
        <w:t>$EUA, que consta de 55.000 $EUA, más gastos de apoyo al organismo de 7.150$EUA, para el PNUMA, y 45.000 $EUA, más gastos de apoyo al organismo de 4.050$EUA, para la ONUDI; y</w:t>
      </w:r>
    </w:p>
    <w:p w14:paraId="6B520465" w14:textId="77777777" w:rsidR="005D0DD1" w:rsidRPr="005D0DD1" w:rsidRDefault="005D0DD1" w:rsidP="005D0DD1">
      <w:pPr>
        <w:pStyle w:val="Heading2"/>
        <w:rPr>
          <w:lang w:val="es-ES"/>
        </w:rPr>
      </w:pPr>
      <w:r w:rsidRPr="005D0DD1">
        <w:rPr>
          <w:lang w:val="es-ES"/>
        </w:rPr>
        <w:t xml:space="preserve">Que la Secretaría del Fondo ha actualizado el Acuerdo entre el Gobierno de Gambia y el Comité Ejecutivo, tal como figura en el Anexo I del presente documento, en concreto el </w:t>
      </w:r>
      <w:r w:rsidRPr="005D0DD1">
        <w:rPr>
          <w:lang w:val="es-ES"/>
        </w:rPr>
        <w:lastRenderedPageBreak/>
        <w:t>Apéndice 2-A, sobre la base del nivel de financiación revisado debido a la inclusión de financiación para actividades adicionales para mantener la eficiencia energética en el sector de servicio y mantenimiento de equipos de refrigeración mencionado en el subpárrafo a) ii) anterior; y el párrafo 17 que se ha añadido para indicar que el Acuerdo actualizado sustituye al alcanzado en la 86</w:t>
      </w:r>
      <w:r w:rsidRPr="005D0DD1">
        <w:rPr>
          <w:vertAlign w:val="superscript"/>
          <w:lang w:val="es-ES"/>
        </w:rPr>
        <w:t>ª</w:t>
      </w:r>
      <w:r w:rsidRPr="005D0DD1">
        <w:rPr>
          <w:lang w:val="es-ES"/>
        </w:rPr>
        <w:t xml:space="preserve"> reunión.</w:t>
      </w:r>
    </w:p>
    <w:p w14:paraId="447F7BD8" w14:textId="77777777" w:rsidR="005D0DD1" w:rsidRPr="005D0DD1" w:rsidRDefault="005D0DD1" w:rsidP="005D0DD1">
      <w:pPr>
        <w:pStyle w:val="Heading1"/>
        <w:rPr>
          <w:lang w:val="es-ES"/>
        </w:rPr>
      </w:pPr>
      <w:r w:rsidRPr="005D0DD1">
        <w:rPr>
          <w:lang w:val="es-ES"/>
        </w:rPr>
        <w:t>La Secretaría del Fondo recomienda la aprobación general del segundo tramo de la etapa II del plan de gestión de eliminación de los HCFC para Gambia, y el plan de ejecución del tramo correspondiente para 2024-2026, con los niveles de financiación indicados en el cuadro.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D0DD1" w:rsidRPr="005D0DD1" w14:paraId="686562A9" w14:textId="77777777" w:rsidTr="00CA0CD7">
        <w:trPr>
          <w:tblHeader/>
        </w:trPr>
        <w:tc>
          <w:tcPr>
            <w:tcW w:w="540" w:type="dxa"/>
          </w:tcPr>
          <w:p w14:paraId="69BEEFB3" w14:textId="77777777" w:rsidR="005D0DD1" w:rsidRPr="005D0DD1" w:rsidRDefault="005D0DD1" w:rsidP="00CA0CD7">
            <w:pPr>
              <w:keepNext/>
              <w:keepLines/>
              <w:jc w:val="center"/>
              <w:rPr>
                <w:b/>
                <w:bCs/>
                <w:sz w:val="20"/>
                <w:szCs w:val="20"/>
                <w:lang w:val="es-ES"/>
              </w:rPr>
            </w:pPr>
          </w:p>
        </w:tc>
        <w:tc>
          <w:tcPr>
            <w:tcW w:w="4309" w:type="dxa"/>
          </w:tcPr>
          <w:p w14:paraId="5CFE84E3" w14:textId="77777777" w:rsidR="005D0DD1" w:rsidRPr="005D0DD1" w:rsidRDefault="005D0DD1" w:rsidP="00CA0CD7">
            <w:pPr>
              <w:keepNext/>
              <w:keepLines/>
              <w:jc w:val="center"/>
              <w:rPr>
                <w:b/>
                <w:bCs/>
                <w:sz w:val="20"/>
                <w:szCs w:val="20"/>
                <w:lang w:val="es-ES"/>
              </w:rPr>
            </w:pPr>
            <w:r w:rsidRPr="005D0DD1">
              <w:rPr>
                <w:b/>
                <w:sz w:val="20"/>
                <w:lang w:val="es-ES"/>
              </w:rPr>
              <w:t>Título del proyecto</w:t>
            </w:r>
          </w:p>
        </w:tc>
        <w:tc>
          <w:tcPr>
            <w:tcW w:w="1559" w:type="dxa"/>
            <w:tcMar>
              <w:left w:w="29" w:type="dxa"/>
              <w:right w:w="29" w:type="dxa"/>
            </w:tcMar>
          </w:tcPr>
          <w:p w14:paraId="2B3CD0A8" w14:textId="77777777" w:rsidR="005D0DD1" w:rsidRPr="005D0DD1" w:rsidRDefault="005D0DD1" w:rsidP="00CA0CD7">
            <w:pPr>
              <w:keepNext/>
              <w:keepLines/>
              <w:jc w:val="center"/>
              <w:rPr>
                <w:b/>
                <w:bCs/>
                <w:sz w:val="20"/>
                <w:szCs w:val="20"/>
                <w:lang w:val="es-ES"/>
              </w:rPr>
            </w:pPr>
            <w:r w:rsidRPr="005D0DD1">
              <w:rPr>
                <w:b/>
                <w:sz w:val="20"/>
                <w:lang w:val="es-ES"/>
              </w:rPr>
              <w:t>Financiación del proyecto ($EUA)</w:t>
            </w:r>
          </w:p>
        </w:tc>
        <w:tc>
          <w:tcPr>
            <w:tcW w:w="1452" w:type="dxa"/>
            <w:tcMar>
              <w:left w:w="29" w:type="dxa"/>
              <w:right w:w="29" w:type="dxa"/>
            </w:tcMar>
          </w:tcPr>
          <w:p w14:paraId="571D8EDA" w14:textId="77777777" w:rsidR="005D0DD1" w:rsidRPr="005D0DD1" w:rsidRDefault="005D0DD1" w:rsidP="00CA0CD7">
            <w:pPr>
              <w:keepNext/>
              <w:keepLines/>
              <w:jc w:val="center"/>
              <w:rPr>
                <w:b/>
                <w:bCs/>
                <w:sz w:val="20"/>
                <w:szCs w:val="20"/>
                <w:lang w:val="es-ES"/>
              </w:rPr>
            </w:pPr>
            <w:r w:rsidRPr="005D0DD1">
              <w:rPr>
                <w:b/>
                <w:sz w:val="20"/>
                <w:lang w:val="es-ES"/>
              </w:rPr>
              <w:t>Gastos de apoyo ($EUA)</w:t>
            </w:r>
          </w:p>
        </w:tc>
        <w:tc>
          <w:tcPr>
            <w:tcW w:w="1590" w:type="dxa"/>
            <w:tcMar>
              <w:left w:w="29" w:type="dxa"/>
              <w:right w:w="29" w:type="dxa"/>
            </w:tcMar>
          </w:tcPr>
          <w:p w14:paraId="23FE2886" w14:textId="77777777" w:rsidR="005D0DD1" w:rsidRPr="005D0DD1" w:rsidRDefault="005D0DD1" w:rsidP="00CA0CD7">
            <w:pPr>
              <w:keepNext/>
              <w:keepLines/>
              <w:jc w:val="center"/>
              <w:rPr>
                <w:b/>
                <w:bCs/>
                <w:sz w:val="20"/>
                <w:szCs w:val="20"/>
                <w:lang w:val="es-ES"/>
              </w:rPr>
            </w:pPr>
            <w:r w:rsidRPr="005D0DD1">
              <w:rPr>
                <w:b/>
                <w:sz w:val="20"/>
                <w:lang w:val="es-ES"/>
              </w:rPr>
              <w:t>Organismo de ejecución</w:t>
            </w:r>
          </w:p>
        </w:tc>
      </w:tr>
      <w:tr w:rsidR="005D0DD1" w:rsidRPr="005D0DD1" w14:paraId="74A5C24D" w14:textId="77777777" w:rsidTr="00CA0CD7">
        <w:tc>
          <w:tcPr>
            <w:tcW w:w="540" w:type="dxa"/>
          </w:tcPr>
          <w:p w14:paraId="1486E043" w14:textId="77777777" w:rsidR="005D0DD1" w:rsidRPr="005D0DD1" w:rsidRDefault="005D0DD1" w:rsidP="00CA0CD7">
            <w:pPr>
              <w:keepNext/>
              <w:keepLines/>
              <w:rPr>
                <w:sz w:val="20"/>
                <w:szCs w:val="20"/>
                <w:lang w:val="es-ES"/>
              </w:rPr>
            </w:pPr>
            <w:r w:rsidRPr="005D0DD1">
              <w:rPr>
                <w:sz w:val="20"/>
                <w:lang w:val="es-ES"/>
              </w:rPr>
              <w:t>a)</w:t>
            </w:r>
          </w:p>
        </w:tc>
        <w:tc>
          <w:tcPr>
            <w:tcW w:w="4309" w:type="dxa"/>
          </w:tcPr>
          <w:p w14:paraId="15562F47" w14:textId="77777777" w:rsidR="005D0DD1" w:rsidRPr="005D0DD1" w:rsidRDefault="005D0DD1" w:rsidP="00CA0CD7">
            <w:pPr>
              <w:keepNext/>
              <w:keepLines/>
              <w:jc w:val="left"/>
              <w:rPr>
                <w:sz w:val="20"/>
                <w:szCs w:val="20"/>
                <w:lang w:val="es-ES"/>
              </w:rPr>
            </w:pPr>
            <w:r w:rsidRPr="005D0DD1">
              <w:rPr>
                <w:sz w:val="20"/>
                <w:lang w:val="es-ES"/>
              </w:rPr>
              <w:t>Plan de gestión de eliminación de los HCFC (etapa II, segundo tramo)</w:t>
            </w:r>
          </w:p>
        </w:tc>
        <w:tc>
          <w:tcPr>
            <w:tcW w:w="1559" w:type="dxa"/>
          </w:tcPr>
          <w:p w14:paraId="26606E77" w14:textId="77777777" w:rsidR="005D0DD1" w:rsidRPr="005D0DD1" w:rsidRDefault="005D0DD1" w:rsidP="00CA0CD7">
            <w:pPr>
              <w:keepNext/>
              <w:keepLines/>
              <w:jc w:val="right"/>
              <w:rPr>
                <w:sz w:val="20"/>
                <w:szCs w:val="20"/>
                <w:lang w:val="es-ES"/>
              </w:rPr>
            </w:pPr>
            <w:r w:rsidRPr="005D0DD1">
              <w:rPr>
                <w:sz w:val="20"/>
                <w:lang w:val="es-ES"/>
              </w:rPr>
              <w:t>145.000</w:t>
            </w:r>
          </w:p>
        </w:tc>
        <w:tc>
          <w:tcPr>
            <w:tcW w:w="1452" w:type="dxa"/>
          </w:tcPr>
          <w:p w14:paraId="5C7AA37F" w14:textId="77777777" w:rsidR="005D0DD1" w:rsidRPr="005D0DD1" w:rsidRDefault="005D0DD1" w:rsidP="00CA0CD7">
            <w:pPr>
              <w:keepNext/>
              <w:keepLines/>
              <w:jc w:val="right"/>
              <w:rPr>
                <w:sz w:val="20"/>
                <w:szCs w:val="20"/>
                <w:lang w:val="es-ES"/>
              </w:rPr>
            </w:pPr>
            <w:r w:rsidRPr="005D0DD1">
              <w:rPr>
                <w:sz w:val="20"/>
                <w:lang w:val="es-ES"/>
              </w:rPr>
              <w:t>18.850</w:t>
            </w:r>
          </w:p>
        </w:tc>
        <w:tc>
          <w:tcPr>
            <w:tcW w:w="1590" w:type="dxa"/>
          </w:tcPr>
          <w:p w14:paraId="67DF17ED" w14:textId="77777777" w:rsidR="005D0DD1" w:rsidRPr="005D0DD1" w:rsidRDefault="005D0DD1" w:rsidP="00CA0CD7">
            <w:pPr>
              <w:keepNext/>
              <w:keepLines/>
              <w:jc w:val="center"/>
              <w:rPr>
                <w:sz w:val="20"/>
                <w:szCs w:val="20"/>
                <w:highlight w:val="cyan"/>
                <w:lang w:val="es-ES"/>
              </w:rPr>
            </w:pPr>
            <w:r w:rsidRPr="005D0DD1">
              <w:rPr>
                <w:sz w:val="20"/>
                <w:lang w:val="es-ES"/>
              </w:rPr>
              <w:t>PNUMA</w:t>
            </w:r>
          </w:p>
        </w:tc>
      </w:tr>
      <w:tr w:rsidR="005D0DD1" w:rsidRPr="005D0DD1" w14:paraId="2AB7C25C" w14:textId="77777777" w:rsidTr="00CA0CD7">
        <w:tc>
          <w:tcPr>
            <w:tcW w:w="540" w:type="dxa"/>
          </w:tcPr>
          <w:p w14:paraId="161BF0B2" w14:textId="77777777" w:rsidR="005D0DD1" w:rsidRPr="005D0DD1" w:rsidRDefault="005D0DD1" w:rsidP="00CA0CD7">
            <w:pPr>
              <w:keepNext/>
              <w:keepLines/>
              <w:rPr>
                <w:sz w:val="20"/>
                <w:szCs w:val="20"/>
                <w:lang w:val="es-ES"/>
              </w:rPr>
            </w:pPr>
            <w:r w:rsidRPr="005D0DD1">
              <w:rPr>
                <w:sz w:val="20"/>
                <w:lang w:val="es-ES"/>
              </w:rPr>
              <w:t>b)</w:t>
            </w:r>
          </w:p>
        </w:tc>
        <w:tc>
          <w:tcPr>
            <w:tcW w:w="4309" w:type="dxa"/>
          </w:tcPr>
          <w:p w14:paraId="48EDA5B8" w14:textId="77777777" w:rsidR="005D0DD1" w:rsidRPr="005D0DD1" w:rsidRDefault="005D0DD1" w:rsidP="00CA0CD7">
            <w:pPr>
              <w:keepNext/>
              <w:keepLines/>
              <w:jc w:val="left"/>
              <w:rPr>
                <w:sz w:val="20"/>
                <w:szCs w:val="20"/>
                <w:lang w:val="es-ES"/>
              </w:rPr>
            </w:pPr>
            <w:r w:rsidRPr="005D0DD1">
              <w:rPr>
                <w:sz w:val="20"/>
                <w:lang w:val="es-ES"/>
              </w:rPr>
              <w:t>Plan de gestión de eliminación de los HCFC (etapa II, segundo tramo)</w:t>
            </w:r>
          </w:p>
        </w:tc>
        <w:tc>
          <w:tcPr>
            <w:tcW w:w="1559" w:type="dxa"/>
          </w:tcPr>
          <w:p w14:paraId="5FFB6181" w14:textId="77777777" w:rsidR="005D0DD1" w:rsidRPr="005D0DD1" w:rsidRDefault="005D0DD1" w:rsidP="00CA0CD7">
            <w:pPr>
              <w:keepNext/>
              <w:keepLines/>
              <w:jc w:val="right"/>
              <w:rPr>
                <w:sz w:val="20"/>
                <w:szCs w:val="20"/>
                <w:lang w:val="es-ES"/>
              </w:rPr>
            </w:pPr>
            <w:r w:rsidRPr="005D0DD1">
              <w:rPr>
                <w:sz w:val="20"/>
                <w:lang w:val="es-ES"/>
              </w:rPr>
              <w:t>145.000</w:t>
            </w:r>
          </w:p>
        </w:tc>
        <w:tc>
          <w:tcPr>
            <w:tcW w:w="1452" w:type="dxa"/>
          </w:tcPr>
          <w:p w14:paraId="49D86DA6" w14:textId="77777777" w:rsidR="005D0DD1" w:rsidRPr="005D0DD1" w:rsidRDefault="005D0DD1" w:rsidP="00CA0CD7">
            <w:pPr>
              <w:keepNext/>
              <w:keepLines/>
              <w:jc w:val="right"/>
              <w:rPr>
                <w:sz w:val="20"/>
                <w:szCs w:val="20"/>
                <w:lang w:val="es-ES"/>
              </w:rPr>
            </w:pPr>
            <w:r w:rsidRPr="005D0DD1">
              <w:rPr>
                <w:sz w:val="20"/>
                <w:lang w:val="es-ES"/>
              </w:rPr>
              <w:t>13.050</w:t>
            </w:r>
          </w:p>
        </w:tc>
        <w:tc>
          <w:tcPr>
            <w:tcW w:w="1590" w:type="dxa"/>
          </w:tcPr>
          <w:p w14:paraId="0EF366B4" w14:textId="77777777" w:rsidR="005D0DD1" w:rsidRPr="005D0DD1" w:rsidRDefault="005D0DD1" w:rsidP="00CA0CD7">
            <w:pPr>
              <w:keepNext/>
              <w:keepLines/>
              <w:jc w:val="center"/>
              <w:rPr>
                <w:sz w:val="20"/>
                <w:szCs w:val="20"/>
                <w:highlight w:val="cyan"/>
                <w:lang w:val="es-ES"/>
              </w:rPr>
            </w:pPr>
            <w:r w:rsidRPr="005D0DD1">
              <w:rPr>
                <w:sz w:val="20"/>
                <w:lang w:val="es-ES"/>
              </w:rPr>
              <w:t>ONUDI</w:t>
            </w:r>
          </w:p>
        </w:tc>
      </w:tr>
    </w:tbl>
    <w:p w14:paraId="66A81B63" w14:textId="77777777" w:rsidR="005D0DD1" w:rsidRPr="005D0DD1" w:rsidRDefault="005D0DD1" w:rsidP="005D0DD1">
      <w:pPr>
        <w:widowControl w:val="0"/>
        <w:rPr>
          <w:lang w:val="es-ES"/>
        </w:rPr>
      </w:pPr>
    </w:p>
    <w:p w14:paraId="5A2F883E" w14:textId="77777777" w:rsidR="005D0DD1" w:rsidRPr="005D0DD1" w:rsidRDefault="005D0DD1" w:rsidP="005D0DD1">
      <w:pPr>
        <w:widowControl w:val="0"/>
        <w:rPr>
          <w:lang w:val="es-ES"/>
        </w:rPr>
        <w:sectPr w:rsidR="005D0DD1" w:rsidRPr="005D0DD1"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C8AA636" w14:textId="77777777" w:rsidR="005D0DD1" w:rsidRPr="005D0DD1" w:rsidRDefault="005D0DD1" w:rsidP="005D0DD1">
      <w:pPr>
        <w:spacing w:after="240"/>
        <w:jc w:val="center"/>
        <w:rPr>
          <w:b/>
          <w:bCs/>
          <w:lang w:val="es-ES"/>
        </w:rPr>
      </w:pPr>
      <w:r w:rsidRPr="005D0DD1">
        <w:rPr>
          <w:b/>
          <w:lang w:val="es-ES"/>
        </w:rPr>
        <w:lastRenderedPageBreak/>
        <w:t>Anexo I</w:t>
      </w:r>
    </w:p>
    <w:p w14:paraId="1E1750D8" w14:textId="77777777" w:rsidR="005D0DD1" w:rsidRPr="005D0DD1" w:rsidRDefault="005D0DD1" w:rsidP="005D0DD1">
      <w:pPr>
        <w:jc w:val="center"/>
        <w:rPr>
          <w:b/>
          <w:lang w:val="es-ES"/>
        </w:rPr>
      </w:pPr>
    </w:p>
    <w:p w14:paraId="7F851F3E" w14:textId="77777777" w:rsidR="005D0DD1" w:rsidRPr="005D0DD1" w:rsidRDefault="005D0DD1" w:rsidP="005D0DD1">
      <w:pPr>
        <w:jc w:val="center"/>
        <w:rPr>
          <w:b/>
          <w:lang w:val="es-ES"/>
        </w:rPr>
      </w:pPr>
      <w:r w:rsidRPr="005D0DD1">
        <w:rPr>
          <w:b/>
          <w:lang w:val="es-ES"/>
        </w:rPr>
        <w:t>ACUERDO ACTUALIZADO ENTRE EL GOBIERNO DE GAMBIA Y EL COMITÉ EJECUTIVO DEL FONDO MULTILATERAL PARA LA REDUCCIÓN DEL CONSUMO DE HIDROCLOROFLUOROCARBONOS EN EL MARCO DE LA ETAPA II DEL PLAN DE GESTIÓN DE ELIMINACIÓN DE LOS HCFC</w:t>
      </w:r>
    </w:p>
    <w:p w14:paraId="310C973E" w14:textId="77777777" w:rsidR="005D0DD1" w:rsidRPr="005D0DD1" w:rsidRDefault="005D0DD1" w:rsidP="005D0DD1">
      <w:pPr>
        <w:jc w:val="center"/>
        <w:rPr>
          <w:b/>
          <w:bCs/>
          <w:lang w:val="es-ES"/>
        </w:rPr>
      </w:pPr>
      <w:r w:rsidRPr="005D0DD1">
        <w:rPr>
          <w:rFonts w:hAnsiTheme="minorHAnsi"/>
          <w:b/>
          <w:lang w:val="es-ES"/>
        </w:rPr>
        <w:t xml:space="preserve"> </w:t>
      </w:r>
    </w:p>
    <w:p w14:paraId="4B12F9F8" w14:textId="77777777" w:rsidR="005D0DD1" w:rsidRPr="005D0DD1" w:rsidRDefault="005D0DD1" w:rsidP="005D0DD1">
      <w:pPr>
        <w:widowControl w:val="0"/>
        <w:tabs>
          <w:tab w:val="left" w:pos="821"/>
        </w:tabs>
        <w:ind w:left="100" w:right="221"/>
        <w:jc w:val="center"/>
        <w:rPr>
          <w:rFonts w:cstheme="minorBidi"/>
          <w:lang w:val="es-ES"/>
        </w:rPr>
      </w:pPr>
      <w:bookmarkStart w:id="4" w:name="8348ax1p2"/>
      <w:bookmarkEnd w:id="4"/>
      <w:r w:rsidRPr="005D0DD1">
        <w:rPr>
          <w:lang w:val="es-ES"/>
        </w:rPr>
        <w:t>(Los cambios correspondientes figuran en negritas para facilitar la consulta)</w:t>
      </w:r>
    </w:p>
    <w:p w14:paraId="320C6DC5" w14:textId="77777777" w:rsidR="005D0DD1" w:rsidRPr="005D0DD1" w:rsidRDefault="005D0DD1" w:rsidP="005D0DD1">
      <w:pPr>
        <w:widowControl w:val="0"/>
        <w:tabs>
          <w:tab w:val="left" w:pos="821"/>
        </w:tabs>
        <w:ind w:left="100" w:right="221"/>
        <w:jc w:val="center"/>
        <w:rPr>
          <w:rFonts w:cstheme="minorBidi"/>
          <w:lang w:val="es-ES"/>
        </w:rPr>
      </w:pPr>
    </w:p>
    <w:p w14:paraId="21DBEDC5" w14:textId="77777777" w:rsidR="005D0DD1" w:rsidRPr="005D0DD1" w:rsidRDefault="005D0DD1" w:rsidP="005D0DD1">
      <w:pPr>
        <w:pStyle w:val="Heading1"/>
        <w:numPr>
          <w:ilvl w:val="0"/>
          <w:numId w:val="22"/>
        </w:numPr>
        <w:tabs>
          <w:tab w:val="clear" w:pos="0"/>
          <w:tab w:val="num" w:pos="360"/>
        </w:tabs>
        <w:rPr>
          <w:b/>
          <w:bCs/>
          <w:lang w:val="es-ES"/>
        </w:rPr>
      </w:pPr>
      <w:r w:rsidRPr="005D0DD1">
        <w:rPr>
          <w:b/>
          <w:lang w:val="es-ES"/>
        </w:rPr>
        <w:t>El presente Acuerdo actualizado sustituye al Acuerdo alcanzado entre el Gobierno de Gambia y el Comité Ejecutivo en la 86ª reunión del Comité Ejecutivo.</w:t>
      </w:r>
    </w:p>
    <w:p w14:paraId="0D3D51D2" w14:textId="77777777" w:rsidR="005D0DD1" w:rsidRPr="005D0DD1" w:rsidRDefault="005D0DD1" w:rsidP="005D0DD1">
      <w:pPr>
        <w:pStyle w:val="Heading1"/>
        <w:keepNext/>
        <w:keepLines/>
        <w:numPr>
          <w:ilvl w:val="0"/>
          <w:numId w:val="0"/>
        </w:numPr>
        <w:rPr>
          <w:b/>
          <w:lang w:val="es-ES"/>
        </w:rPr>
      </w:pPr>
      <w:r w:rsidRPr="005D0DD1">
        <w:rPr>
          <w:b/>
          <w:lang w:val="es-ES"/>
        </w:rPr>
        <w:t>APÉNDICE 2-A: OBJETIVOS Y FINANCIACIÓN</w:t>
      </w:r>
    </w:p>
    <w:tbl>
      <w:tblPr>
        <w:tblW w:w="5147" w:type="pct"/>
        <w:tblInd w:w="-275" w:type="dxa"/>
        <w:tblLayout w:type="fixed"/>
        <w:tblLook w:val="04A0" w:firstRow="1" w:lastRow="0" w:firstColumn="1" w:lastColumn="0" w:noHBand="0" w:noVBand="1"/>
      </w:tblPr>
      <w:tblGrid>
        <w:gridCol w:w="630"/>
        <w:gridCol w:w="2246"/>
        <w:gridCol w:w="742"/>
        <w:gridCol w:w="743"/>
        <w:gridCol w:w="742"/>
        <w:gridCol w:w="743"/>
        <w:gridCol w:w="743"/>
        <w:gridCol w:w="742"/>
        <w:gridCol w:w="743"/>
        <w:gridCol w:w="743"/>
        <w:gridCol w:w="808"/>
      </w:tblGrid>
      <w:tr w:rsidR="005D0DD1" w:rsidRPr="005D0DD1" w14:paraId="5A4D9705" w14:textId="77777777" w:rsidTr="00CA0CD7">
        <w:trPr>
          <w:trHeight w:val="98"/>
          <w:tblHeader/>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478A20F" w14:textId="77777777" w:rsidR="005D0DD1" w:rsidRPr="005D0DD1" w:rsidRDefault="005D0DD1" w:rsidP="00CA0CD7">
            <w:pPr>
              <w:keepNext/>
              <w:keepLines/>
              <w:jc w:val="left"/>
              <w:rPr>
                <w:b/>
                <w:color w:val="000000" w:themeColor="text1"/>
                <w:sz w:val="20"/>
                <w:szCs w:val="20"/>
                <w:lang w:val="es-ES"/>
              </w:rPr>
            </w:pPr>
            <w:bookmarkStart w:id="5" w:name="_Hlk43727078"/>
            <w:r w:rsidRPr="005D0DD1">
              <w:rPr>
                <w:b/>
                <w:color w:val="000000" w:themeColor="text1"/>
                <w:sz w:val="20"/>
                <w:lang w:val="es-ES"/>
              </w:rPr>
              <w:t>Fila</w:t>
            </w:r>
          </w:p>
        </w:tc>
        <w:tc>
          <w:tcPr>
            <w:tcW w:w="224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22EDD8D7" w14:textId="77777777" w:rsidR="005D0DD1" w:rsidRPr="005D0DD1" w:rsidRDefault="005D0DD1" w:rsidP="00CA0CD7">
            <w:pPr>
              <w:keepNext/>
              <w:keepLines/>
              <w:rPr>
                <w:b/>
                <w:color w:val="000000" w:themeColor="text1"/>
                <w:sz w:val="20"/>
                <w:szCs w:val="20"/>
                <w:lang w:val="es-ES"/>
              </w:rPr>
            </w:pPr>
            <w:r w:rsidRPr="005D0DD1">
              <w:rPr>
                <w:b/>
                <w:color w:val="000000" w:themeColor="text1"/>
                <w:sz w:val="20"/>
                <w:lang w:val="es-ES"/>
              </w:rPr>
              <w:t>Concepto</w:t>
            </w:r>
          </w:p>
        </w:tc>
        <w:tc>
          <w:tcPr>
            <w:tcW w:w="74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19A47D36"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2020</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56643092"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2021-2022</w:t>
            </w:r>
          </w:p>
        </w:tc>
        <w:tc>
          <w:tcPr>
            <w:tcW w:w="742" w:type="dxa"/>
            <w:tcBorders>
              <w:top w:val="single" w:sz="4" w:space="0" w:color="auto"/>
              <w:left w:val="single" w:sz="4" w:space="0" w:color="auto"/>
              <w:bottom w:val="single" w:sz="4" w:space="0" w:color="auto"/>
              <w:right w:val="single" w:sz="4" w:space="0" w:color="auto"/>
            </w:tcBorders>
            <w:tcMar>
              <w:left w:w="0" w:type="dxa"/>
              <w:right w:w="0" w:type="dxa"/>
            </w:tcMar>
          </w:tcPr>
          <w:p w14:paraId="5CA83478"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2023</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3BF1BADB"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2024</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439A468A"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2025-2026</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090F3F4"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3EB869F"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2028-2029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D985755"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2030</w:t>
            </w:r>
          </w:p>
        </w:tc>
        <w:tc>
          <w:tcPr>
            <w:tcW w:w="808" w:type="dxa"/>
            <w:tcBorders>
              <w:top w:val="single" w:sz="4" w:space="0" w:color="auto"/>
              <w:left w:val="single" w:sz="4" w:space="0" w:color="auto"/>
              <w:bottom w:val="single" w:sz="4" w:space="0" w:color="auto"/>
              <w:right w:val="single" w:sz="4" w:space="0" w:color="auto"/>
            </w:tcBorders>
            <w:tcMar>
              <w:left w:w="0" w:type="dxa"/>
              <w:right w:w="0" w:type="dxa"/>
            </w:tcMar>
          </w:tcPr>
          <w:p w14:paraId="785B1BFC" w14:textId="77777777" w:rsidR="005D0DD1" w:rsidRPr="005D0DD1" w:rsidRDefault="005D0DD1" w:rsidP="00CA0CD7">
            <w:pPr>
              <w:keepNext/>
              <w:keepLines/>
              <w:jc w:val="center"/>
              <w:rPr>
                <w:color w:val="000000" w:themeColor="text1"/>
                <w:sz w:val="20"/>
                <w:szCs w:val="20"/>
                <w:lang w:val="es-ES"/>
              </w:rPr>
            </w:pPr>
            <w:r w:rsidRPr="005D0DD1">
              <w:rPr>
                <w:b/>
                <w:color w:val="000000" w:themeColor="text1"/>
                <w:sz w:val="20"/>
                <w:lang w:val="es-ES"/>
              </w:rPr>
              <w:t>Total</w:t>
            </w:r>
          </w:p>
        </w:tc>
      </w:tr>
      <w:tr w:rsidR="005D0DD1" w:rsidRPr="005D0DD1" w14:paraId="302B8951" w14:textId="77777777" w:rsidTr="00CA0CD7">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DA77A0C" w14:textId="77777777" w:rsidR="005D0DD1" w:rsidRPr="005D0DD1" w:rsidRDefault="005D0DD1" w:rsidP="00CA0CD7">
            <w:pPr>
              <w:keepNext/>
              <w:keepLines/>
              <w:jc w:val="left"/>
              <w:rPr>
                <w:color w:val="000000" w:themeColor="text1"/>
                <w:sz w:val="20"/>
                <w:szCs w:val="20"/>
                <w:lang w:val="es-ES"/>
              </w:rPr>
            </w:pPr>
            <w:r w:rsidRPr="005D0DD1">
              <w:rPr>
                <w:color w:val="000000" w:themeColor="text1"/>
                <w:sz w:val="20"/>
                <w:lang w:val="es-ES"/>
              </w:rPr>
              <w:t>1,1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D021964" w14:textId="77777777" w:rsidR="005D0DD1" w:rsidRPr="005D0DD1" w:rsidRDefault="005D0DD1" w:rsidP="00CA0CD7">
            <w:pPr>
              <w:keepNext/>
              <w:keepLines/>
              <w:jc w:val="left"/>
              <w:rPr>
                <w:color w:val="000000" w:themeColor="text1"/>
                <w:sz w:val="20"/>
                <w:szCs w:val="20"/>
                <w:lang w:val="es-ES"/>
              </w:rPr>
            </w:pPr>
            <w:r w:rsidRPr="005D0DD1">
              <w:rPr>
                <w:color w:val="000000" w:themeColor="text1"/>
                <w:sz w:val="20"/>
                <w:lang w:val="es-ES"/>
              </w:rPr>
              <w:t>Calendario de reducción del Protocolo de Montreal para las sustancias del Anexo C, Grupo I (toneladas PAO)</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494F50E"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18A1139"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68C38A33"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099C635"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655A683"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E1BF76"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7B03D5"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EE6DC"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CFB4FA6"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n. a.</w:t>
            </w:r>
          </w:p>
        </w:tc>
      </w:tr>
      <w:tr w:rsidR="005D0DD1" w:rsidRPr="005D0DD1" w14:paraId="04CA2BC5" w14:textId="77777777" w:rsidTr="00CA0CD7">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3FC57D" w14:textId="77777777" w:rsidR="005D0DD1" w:rsidRPr="005D0DD1" w:rsidRDefault="005D0DD1" w:rsidP="00CA0CD7">
            <w:pPr>
              <w:keepNext/>
              <w:keepLines/>
              <w:jc w:val="left"/>
              <w:rPr>
                <w:color w:val="000000" w:themeColor="text1"/>
                <w:sz w:val="20"/>
                <w:szCs w:val="20"/>
                <w:lang w:val="es-ES"/>
              </w:rPr>
            </w:pPr>
            <w:r w:rsidRPr="005D0DD1">
              <w:rPr>
                <w:color w:val="000000" w:themeColor="text1"/>
                <w:sz w:val="20"/>
                <w:lang w:val="es-ES"/>
              </w:rPr>
              <w:t>1,2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68816D0" w14:textId="77777777" w:rsidR="005D0DD1" w:rsidRPr="005D0DD1" w:rsidRDefault="005D0DD1" w:rsidP="00CA0CD7">
            <w:pPr>
              <w:keepNext/>
              <w:keepLines/>
              <w:jc w:val="left"/>
              <w:rPr>
                <w:color w:val="000000" w:themeColor="text1"/>
                <w:sz w:val="20"/>
                <w:szCs w:val="20"/>
                <w:lang w:val="es-ES"/>
              </w:rPr>
            </w:pPr>
            <w:r w:rsidRPr="005D0DD1">
              <w:rPr>
                <w:color w:val="000000" w:themeColor="text1"/>
                <w:sz w:val="20"/>
                <w:lang w:val="es-ES"/>
              </w:rPr>
              <w:t>Consumo total máximo permitido para las sustancias incluidas en el Anexo C, Grupo I (toneladas PAO)</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E01190"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80E9FA5"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440F7115"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F71FAF0"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2B48786"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C024AE"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4BEA92"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72C832"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D76E208" w14:textId="77777777" w:rsidR="005D0DD1" w:rsidRPr="005D0DD1" w:rsidRDefault="005D0DD1" w:rsidP="00CA0CD7">
            <w:pPr>
              <w:keepNext/>
              <w:keepLines/>
              <w:jc w:val="right"/>
              <w:rPr>
                <w:color w:val="000000" w:themeColor="text1"/>
                <w:sz w:val="20"/>
                <w:szCs w:val="20"/>
                <w:lang w:val="es-ES"/>
              </w:rPr>
            </w:pPr>
            <w:r w:rsidRPr="005D0DD1">
              <w:rPr>
                <w:color w:val="000000" w:themeColor="text1"/>
                <w:sz w:val="20"/>
                <w:lang w:val="es-ES"/>
              </w:rPr>
              <w:t>n. a.</w:t>
            </w:r>
          </w:p>
        </w:tc>
      </w:tr>
      <w:tr w:rsidR="005D0DD1" w:rsidRPr="005D0DD1" w14:paraId="7EAAAAF6" w14:textId="77777777" w:rsidTr="00CA0CD7">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AFDD68B"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2,1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71C7241"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Financiación convenida para el organismo de ejecución principal (PNUMA)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95806B2"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100.000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105C7C3"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5CD494D" w14:textId="77777777" w:rsidR="005D0DD1" w:rsidRPr="005D0DD1" w:rsidRDefault="005D0DD1" w:rsidP="00CA0CD7">
            <w:pPr>
              <w:jc w:val="right"/>
              <w:rPr>
                <w:b/>
                <w:bCs/>
                <w:color w:val="000000" w:themeColor="text1"/>
                <w:sz w:val="20"/>
                <w:szCs w:val="20"/>
                <w:lang w:val="es-ES"/>
              </w:rPr>
            </w:pPr>
            <w:r w:rsidRPr="005D0DD1">
              <w:rPr>
                <w:b/>
                <w:color w:val="000000"/>
                <w:sz w:val="18"/>
                <w:lang w:val="es-ES"/>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F81D10E"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23E0E3B"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B4C8ED"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106.000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8CD741"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2ACA6E"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9A4B46E" w14:textId="77777777" w:rsidR="005D0DD1" w:rsidRPr="005D0DD1" w:rsidRDefault="005D0DD1" w:rsidP="00CA0CD7">
            <w:pPr>
              <w:jc w:val="right"/>
              <w:rPr>
                <w:color w:val="000000" w:themeColor="text1"/>
                <w:sz w:val="20"/>
                <w:szCs w:val="20"/>
                <w:lang w:val="es-ES"/>
              </w:rPr>
            </w:pPr>
            <w:r w:rsidRPr="005D0DD1">
              <w:rPr>
                <w:b/>
                <w:color w:val="000000"/>
                <w:sz w:val="18"/>
                <w:lang w:val="es-ES"/>
              </w:rPr>
              <w:t>405.000</w:t>
            </w:r>
          </w:p>
        </w:tc>
      </w:tr>
      <w:tr w:rsidR="005D0DD1" w:rsidRPr="005D0DD1" w14:paraId="347051FE" w14:textId="77777777" w:rsidTr="00CA0CD7">
        <w:trPr>
          <w:trHeight w:val="5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46D98C0"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2,2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2B89E17B"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Gastos de apoyo para el organismo de ejecución principal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9BFC88"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13.000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233C6DE"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47612E34" w14:textId="77777777" w:rsidR="005D0DD1" w:rsidRPr="005D0DD1" w:rsidRDefault="005D0DD1" w:rsidP="00CA0CD7">
            <w:pPr>
              <w:jc w:val="right"/>
              <w:rPr>
                <w:b/>
                <w:bCs/>
                <w:color w:val="000000" w:themeColor="text1"/>
                <w:sz w:val="20"/>
                <w:szCs w:val="20"/>
                <w:lang w:val="es-ES"/>
              </w:rPr>
            </w:pPr>
            <w:r w:rsidRPr="005D0DD1">
              <w:rPr>
                <w:b/>
                <w:color w:val="000000"/>
                <w:sz w:val="18"/>
                <w:lang w:val="es-ES"/>
              </w:rPr>
              <w:t>18.850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6366EF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14BA6B1"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46872D"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BCB000"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B8C42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A49989B" w14:textId="77777777" w:rsidR="005D0DD1" w:rsidRPr="005D0DD1" w:rsidRDefault="005D0DD1" w:rsidP="00CA0CD7">
            <w:pPr>
              <w:jc w:val="right"/>
              <w:rPr>
                <w:color w:val="000000" w:themeColor="text1"/>
                <w:sz w:val="20"/>
                <w:szCs w:val="20"/>
                <w:lang w:val="es-ES"/>
              </w:rPr>
            </w:pPr>
            <w:r w:rsidRPr="005D0DD1">
              <w:rPr>
                <w:b/>
                <w:color w:val="000000"/>
                <w:sz w:val="18"/>
                <w:lang w:val="es-ES"/>
              </w:rPr>
              <w:t>52.650</w:t>
            </w:r>
          </w:p>
        </w:tc>
      </w:tr>
      <w:tr w:rsidR="005D0DD1" w:rsidRPr="005D0DD1" w14:paraId="7FACB33E" w14:textId="77777777" w:rsidTr="00CA0CD7">
        <w:trPr>
          <w:trHeight w:val="161"/>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4065563"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2,3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1206A82F"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Financiación convenida para el organismo de ejecución cooperante (ONUDI)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46ED829"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90.000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B676281"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583ABEE3" w14:textId="77777777" w:rsidR="005D0DD1" w:rsidRPr="005D0DD1" w:rsidRDefault="005D0DD1" w:rsidP="00CA0CD7">
            <w:pPr>
              <w:jc w:val="right"/>
              <w:rPr>
                <w:b/>
                <w:bCs/>
                <w:color w:val="000000" w:themeColor="text1"/>
                <w:sz w:val="20"/>
                <w:szCs w:val="20"/>
                <w:lang w:val="es-ES"/>
              </w:rPr>
            </w:pPr>
            <w:r w:rsidRPr="005D0DD1">
              <w:rPr>
                <w:b/>
                <w:color w:val="000000"/>
                <w:sz w:val="18"/>
                <w:lang w:val="es-ES"/>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0B9E401"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66CD686"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6EBC8E"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446050"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2FB6E7"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46888D97" w14:textId="77777777" w:rsidR="005D0DD1" w:rsidRPr="005D0DD1" w:rsidRDefault="005D0DD1" w:rsidP="00CA0CD7">
            <w:pPr>
              <w:jc w:val="right"/>
              <w:rPr>
                <w:color w:val="000000" w:themeColor="text1"/>
                <w:sz w:val="20"/>
                <w:szCs w:val="20"/>
                <w:lang w:val="es-ES"/>
              </w:rPr>
            </w:pPr>
            <w:r w:rsidRPr="005D0DD1">
              <w:rPr>
                <w:b/>
                <w:color w:val="000000"/>
                <w:sz w:val="18"/>
                <w:lang w:val="es-ES"/>
              </w:rPr>
              <w:t>235.000</w:t>
            </w:r>
          </w:p>
        </w:tc>
      </w:tr>
      <w:tr w:rsidR="005D0DD1" w:rsidRPr="005D0DD1" w14:paraId="6E41D50E" w14:textId="77777777" w:rsidTr="00CA0CD7">
        <w:trPr>
          <w:trHeight w:val="60"/>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F65461D"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2,4</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B3F924B"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Gastos de apoyo para el organismo de ejecución cooperante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0DBECDD"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8.100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01A94CE"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06CB775C" w14:textId="77777777" w:rsidR="005D0DD1" w:rsidRPr="005D0DD1" w:rsidRDefault="005D0DD1" w:rsidP="00CA0CD7">
            <w:pPr>
              <w:jc w:val="right"/>
              <w:rPr>
                <w:b/>
                <w:bCs/>
                <w:color w:val="000000" w:themeColor="text1"/>
                <w:sz w:val="20"/>
                <w:szCs w:val="20"/>
                <w:lang w:val="es-ES"/>
              </w:rPr>
            </w:pPr>
            <w:r w:rsidRPr="005D0DD1">
              <w:rPr>
                <w:b/>
                <w:color w:val="000000"/>
                <w:sz w:val="18"/>
                <w:lang w:val="es-ES"/>
              </w:rPr>
              <w:t>13.050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6AEB3B4"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730CB78"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FA949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922F7BC"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D86DECF"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A1E7A2D" w14:textId="77777777" w:rsidR="005D0DD1" w:rsidRPr="005D0DD1" w:rsidRDefault="005D0DD1" w:rsidP="00CA0CD7">
            <w:pPr>
              <w:jc w:val="right"/>
              <w:rPr>
                <w:color w:val="000000" w:themeColor="text1"/>
                <w:sz w:val="20"/>
                <w:szCs w:val="20"/>
                <w:lang w:val="es-ES"/>
              </w:rPr>
            </w:pPr>
            <w:r w:rsidRPr="005D0DD1">
              <w:rPr>
                <w:b/>
                <w:color w:val="000000"/>
                <w:sz w:val="18"/>
                <w:lang w:val="es-ES"/>
              </w:rPr>
              <w:t>21.150</w:t>
            </w:r>
          </w:p>
        </w:tc>
      </w:tr>
      <w:tr w:rsidR="005D0DD1" w:rsidRPr="005D0DD1" w14:paraId="041C94C6" w14:textId="77777777" w:rsidTr="00CA0CD7">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976994"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3,1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1BA3765"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Financiación acordada total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EBF56F"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190.000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A3371B3"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629DB9B7" w14:textId="77777777" w:rsidR="005D0DD1" w:rsidRPr="005D0DD1" w:rsidRDefault="005D0DD1" w:rsidP="00CA0CD7">
            <w:pPr>
              <w:jc w:val="right"/>
              <w:rPr>
                <w:rFonts w:eastAsia="SimSun"/>
                <w:b/>
                <w:bCs/>
                <w:color w:val="000000" w:themeColor="text1"/>
                <w:sz w:val="20"/>
                <w:szCs w:val="20"/>
                <w:lang w:val="es-ES"/>
              </w:rPr>
            </w:pPr>
            <w:r w:rsidRPr="005D0DD1">
              <w:rPr>
                <w:b/>
                <w:color w:val="000000" w:themeColor="text1"/>
                <w:sz w:val="20"/>
                <w:lang w:val="es-ES"/>
              </w:rPr>
              <w:t>290.000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7EA8B94"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BF98E6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D8AC89"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106.000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5FB03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F789B8"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66B0E9D" w14:textId="77777777" w:rsidR="005D0DD1" w:rsidRPr="005D0DD1" w:rsidRDefault="005D0DD1" w:rsidP="00CA0CD7">
            <w:pPr>
              <w:jc w:val="right"/>
              <w:rPr>
                <w:color w:val="000000" w:themeColor="text1"/>
                <w:sz w:val="20"/>
                <w:szCs w:val="20"/>
                <w:lang w:val="es-ES"/>
              </w:rPr>
            </w:pPr>
            <w:r w:rsidRPr="005D0DD1">
              <w:rPr>
                <w:b/>
                <w:color w:val="000000" w:themeColor="text1"/>
                <w:sz w:val="18"/>
                <w:lang w:val="es-ES"/>
              </w:rPr>
              <w:t>640.000</w:t>
            </w:r>
          </w:p>
        </w:tc>
      </w:tr>
      <w:tr w:rsidR="005D0DD1" w:rsidRPr="005D0DD1" w14:paraId="16035C89" w14:textId="77777777" w:rsidTr="00CA0CD7">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842D98"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3,2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4D60CDE"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Total gastos de apoyo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2B862AA"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21.100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6ADC836"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23E678CA" w14:textId="77777777" w:rsidR="005D0DD1" w:rsidRPr="005D0DD1" w:rsidRDefault="005D0DD1" w:rsidP="00CA0CD7">
            <w:pPr>
              <w:jc w:val="right"/>
              <w:rPr>
                <w:rFonts w:eastAsia="SimSun"/>
                <w:b/>
                <w:bCs/>
                <w:color w:val="000000" w:themeColor="text1"/>
                <w:sz w:val="20"/>
                <w:szCs w:val="20"/>
                <w:lang w:val="es-ES"/>
              </w:rPr>
            </w:pPr>
            <w:r w:rsidRPr="005D0DD1">
              <w:rPr>
                <w:b/>
                <w:color w:val="000000" w:themeColor="text1"/>
                <w:sz w:val="20"/>
                <w:lang w:val="es-ES"/>
              </w:rPr>
              <w:t>31.900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BB4A78F"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C8D1269"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80A7C"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86DD56"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5FF1D"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078D154" w14:textId="77777777" w:rsidR="005D0DD1" w:rsidRPr="005D0DD1" w:rsidRDefault="005D0DD1" w:rsidP="00CA0CD7">
            <w:pPr>
              <w:jc w:val="right"/>
              <w:rPr>
                <w:color w:val="000000" w:themeColor="text1"/>
                <w:sz w:val="20"/>
                <w:szCs w:val="20"/>
                <w:lang w:val="es-ES"/>
              </w:rPr>
            </w:pPr>
            <w:r w:rsidRPr="005D0DD1">
              <w:rPr>
                <w:b/>
                <w:color w:val="000000"/>
                <w:sz w:val="18"/>
                <w:lang w:val="es-ES"/>
              </w:rPr>
              <w:t>73.800</w:t>
            </w:r>
          </w:p>
        </w:tc>
      </w:tr>
      <w:tr w:rsidR="005D0DD1" w:rsidRPr="005D0DD1" w14:paraId="7D026E30" w14:textId="77777777" w:rsidTr="00CA0CD7">
        <w:trPr>
          <w:trHeight w:val="53"/>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A019F28"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3,3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B437B86"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Gastos acordados totales ($EUA)</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6E6B425"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211.100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B99E1EF"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297D5648" w14:textId="77777777" w:rsidR="005D0DD1" w:rsidRPr="005D0DD1" w:rsidRDefault="005D0DD1" w:rsidP="00CA0CD7">
            <w:pPr>
              <w:jc w:val="right"/>
              <w:rPr>
                <w:rFonts w:eastAsia="SimSun"/>
                <w:b/>
                <w:bCs/>
                <w:color w:val="000000" w:themeColor="text1"/>
                <w:sz w:val="20"/>
                <w:szCs w:val="20"/>
                <w:lang w:val="es-ES"/>
              </w:rPr>
            </w:pPr>
            <w:r w:rsidRPr="005D0DD1">
              <w:rPr>
                <w:b/>
                <w:color w:val="000000" w:themeColor="text1"/>
                <w:sz w:val="20"/>
                <w:lang w:val="es-ES"/>
              </w:rPr>
              <w:t>321.900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863D46F"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8D97CB8"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9262E2"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119.780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E828E2"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752317"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5D02403" w14:textId="77777777" w:rsidR="005D0DD1" w:rsidRPr="005D0DD1" w:rsidRDefault="005D0DD1" w:rsidP="00CA0CD7">
            <w:pPr>
              <w:jc w:val="right"/>
              <w:rPr>
                <w:color w:val="000000" w:themeColor="text1"/>
                <w:sz w:val="20"/>
                <w:szCs w:val="20"/>
                <w:lang w:val="es-ES"/>
              </w:rPr>
            </w:pPr>
            <w:r w:rsidRPr="005D0DD1">
              <w:rPr>
                <w:b/>
                <w:color w:val="000000"/>
                <w:sz w:val="18"/>
                <w:lang w:val="es-ES"/>
              </w:rPr>
              <w:t>713.800</w:t>
            </w:r>
          </w:p>
        </w:tc>
      </w:tr>
      <w:tr w:rsidR="005D0DD1" w:rsidRPr="005D0DD1" w14:paraId="0C80855C" w14:textId="77777777" w:rsidTr="00CA0CD7">
        <w:trPr>
          <w:trHeight w:val="53"/>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14A253E"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4.1.1</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74839476"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Objetivo de eliminación total de HCFC</w:t>
            </w:r>
            <w:r w:rsidRPr="005D0DD1">
              <w:rPr>
                <w:color w:val="000000" w:themeColor="text1"/>
                <w:sz w:val="20"/>
                <w:lang w:val="es-ES"/>
              </w:rPr>
              <w:noBreakHyphen/>
              <w:t>22 convenido en el presente Acuerdo (toneladas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6E36402"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0,98</w:t>
            </w:r>
          </w:p>
        </w:tc>
      </w:tr>
      <w:tr w:rsidR="005D0DD1" w:rsidRPr="005D0DD1" w14:paraId="76EE2B69" w14:textId="77777777" w:rsidTr="00CA0CD7">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988CBCD"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4.1.2</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4FFF45D9"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Eliminación de HCFC-22 por lograr en la etapa previa (toneladas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F276F86"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0,52</w:t>
            </w:r>
          </w:p>
        </w:tc>
      </w:tr>
      <w:tr w:rsidR="005D0DD1" w:rsidRPr="005D0DD1" w14:paraId="4B428B51" w14:textId="77777777" w:rsidTr="00CA0CD7">
        <w:trPr>
          <w:trHeight w:val="9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046324"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4.1.3</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055C29A2" w14:textId="77777777" w:rsidR="005D0DD1" w:rsidRPr="005D0DD1" w:rsidRDefault="005D0DD1" w:rsidP="00CA0CD7">
            <w:pPr>
              <w:jc w:val="left"/>
              <w:rPr>
                <w:color w:val="000000" w:themeColor="text1"/>
                <w:sz w:val="20"/>
                <w:szCs w:val="20"/>
                <w:lang w:val="es-ES"/>
              </w:rPr>
            </w:pPr>
            <w:r w:rsidRPr="005D0DD1">
              <w:rPr>
                <w:color w:val="000000" w:themeColor="text1"/>
                <w:sz w:val="20"/>
                <w:lang w:val="es-ES"/>
              </w:rPr>
              <w:t>Consumo admisible remanente de HCFC-22 (toneladas PAO)</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BB5DF41" w14:textId="77777777" w:rsidR="005D0DD1" w:rsidRPr="005D0DD1" w:rsidRDefault="005D0DD1" w:rsidP="00CA0CD7">
            <w:pPr>
              <w:jc w:val="right"/>
              <w:rPr>
                <w:color w:val="000000" w:themeColor="text1"/>
                <w:sz w:val="20"/>
                <w:szCs w:val="20"/>
                <w:lang w:val="es-ES"/>
              </w:rPr>
            </w:pPr>
            <w:r w:rsidRPr="005D0DD1">
              <w:rPr>
                <w:color w:val="000000" w:themeColor="text1"/>
                <w:sz w:val="20"/>
                <w:lang w:val="es-ES"/>
              </w:rPr>
              <w:t>0</w:t>
            </w:r>
          </w:p>
        </w:tc>
      </w:tr>
    </w:tbl>
    <w:bookmarkEnd w:id="5"/>
    <w:p w14:paraId="52E77FEF" w14:textId="77777777" w:rsidR="005D0DD1" w:rsidRPr="005D0DD1" w:rsidRDefault="005D0DD1" w:rsidP="005D0DD1">
      <w:pPr>
        <w:pStyle w:val="Heading1"/>
        <w:numPr>
          <w:ilvl w:val="0"/>
          <w:numId w:val="0"/>
        </w:numPr>
        <w:rPr>
          <w:sz w:val="18"/>
          <w:szCs w:val="18"/>
          <w:lang w:val="es-ES"/>
        </w:rPr>
      </w:pPr>
      <w:r w:rsidRPr="005D0DD1">
        <w:rPr>
          <w:sz w:val="18"/>
          <w:lang w:val="es-ES"/>
        </w:rPr>
        <w:t>* Fecha de terminación de la etapa I conforme al Acuerdo para la etapa I: 31 de diciembre de 2021.</w:t>
      </w:r>
    </w:p>
    <w:p w14:paraId="7A8996E7" w14:textId="77777777" w:rsidR="005D0DD1" w:rsidRPr="005D0DD1" w:rsidRDefault="005D0DD1" w:rsidP="005D0DD1">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D0DD1" w:rsidRPr="008065AC" w14:paraId="02861EA8" w14:textId="77777777" w:rsidTr="00CA0CD7">
        <w:tc>
          <w:tcPr>
            <w:tcW w:w="1871" w:type="dxa"/>
          </w:tcPr>
          <w:p w14:paraId="0B6F22DE" w14:textId="77777777" w:rsidR="005D0DD1" w:rsidRPr="005D0DD1" w:rsidRDefault="005D0DD1" w:rsidP="00CA0CD7">
            <w:pPr>
              <w:rPr>
                <w:lang w:val="es-ES"/>
              </w:rPr>
            </w:pPr>
          </w:p>
        </w:tc>
        <w:tc>
          <w:tcPr>
            <w:tcW w:w="1872" w:type="dxa"/>
          </w:tcPr>
          <w:p w14:paraId="4199575F" w14:textId="77777777" w:rsidR="005D0DD1" w:rsidRPr="005D0DD1" w:rsidRDefault="005D0DD1" w:rsidP="00CA0CD7">
            <w:pPr>
              <w:rPr>
                <w:lang w:val="es-ES"/>
              </w:rPr>
            </w:pPr>
          </w:p>
        </w:tc>
        <w:tc>
          <w:tcPr>
            <w:tcW w:w="1872" w:type="dxa"/>
            <w:tcBorders>
              <w:bottom w:val="single" w:sz="4" w:space="0" w:color="auto"/>
            </w:tcBorders>
          </w:tcPr>
          <w:p w14:paraId="32B99E3F" w14:textId="77777777" w:rsidR="005D0DD1" w:rsidRPr="005D0DD1" w:rsidRDefault="005D0DD1" w:rsidP="00CA0CD7">
            <w:pPr>
              <w:rPr>
                <w:lang w:val="es-ES"/>
              </w:rPr>
            </w:pPr>
          </w:p>
        </w:tc>
        <w:tc>
          <w:tcPr>
            <w:tcW w:w="1872" w:type="dxa"/>
          </w:tcPr>
          <w:p w14:paraId="15F89C59" w14:textId="77777777" w:rsidR="005D0DD1" w:rsidRPr="005D0DD1" w:rsidRDefault="005D0DD1" w:rsidP="00CA0CD7">
            <w:pPr>
              <w:rPr>
                <w:lang w:val="es-ES"/>
              </w:rPr>
            </w:pPr>
          </w:p>
        </w:tc>
        <w:tc>
          <w:tcPr>
            <w:tcW w:w="1873" w:type="dxa"/>
          </w:tcPr>
          <w:p w14:paraId="7D92C46A" w14:textId="77777777" w:rsidR="005D0DD1" w:rsidRPr="005D0DD1" w:rsidRDefault="005D0DD1" w:rsidP="00CA0CD7">
            <w:pPr>
              <w:rPr>
                <w:lang w:val="es-ES"/>
              </w:rPr>
            </w:pPr>
          </w:p>
        </w:tc>
      </w:tr>
    </w:tbl>
    <w:p w14:paraId="0DD2AE26" w14:textId="77777777" w:rsidR="0087455A" w:rsidRPr="005D0DD1" w:rsidRDefault="0087455A" w:rsidP="005D0DD1">
      <w:pPr>
        <w:jc w:val="left"/>
        <w:rPr>
          <w:b/>
          <w:bCs/>
          <w:lang w:val="es-ES"/>
        </w:rPr>
      </w:pPr>
    </w:p>
    <w:sectPr w:rsidR="0087455A" w:rsidRPr="005D0DD1" w:rsidSect="000C2850">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A91D0" w14:textId="77777777" w:rsidR="00751172" w:rsidRDefault="00751172">
      <w:r>
        <w:separator/>
      </w:r>
    </w:p>
  </w:endnote>
  <w:endnote w:type="continuationSeparator" w:id="0">
    <w:p w14:paraId="7C01E82C" w14:textId="77777777" w:rsidR="00751172" w:rsidRDefault="0075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D719" w14:textId="77777777" w:rsidR="005D0DD1" w:rsidRPr="0033525D" w:rsidRDefault="005D0DD1">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EAB8A" w14:textId="77777777" w:rsidR="005D0DD1" w:rsidRPr="0033525D" w:rsidRDefault="005D0DD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6B13C" w14:textId="0974B64A" w:rsidR="005D0DD1" w:rsidRPr="005D0DD1" w:rsidRDefault="005D0DD1" w:rsidP="005D0DD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264646"/>
      <w:docPartObj>
        <w:docPartGallery w:val="Page Numbers (Bottom of Page)"/>
        <w:docPartUnique/>
      </w:docPartObj>
    </w:sdtPr>
    <w:sdtEndPr>
      <w:rPr>
        <w:noProof/>
      </w:rPr>
    </w:sdtEndPr>
    <w:sdtContent>
      <w:p w14:paraId="709395B4" w14:textId="402CFC0A" w:rsidR="000C2850" w:rsidRDefault="000C28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3095B"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85B000" w14:textId="77777777" w:rsidR="00751172" w:rsidRDefault="00751172">
      <w:r>
        <w:separator/>
      </w:r>
    </w:p>
  </w:footnote>
  <w:footnote w:type="continuationSeparator" w:id="0">
    <w:p w14:paraId="14C8EBCF" w14:textId="77777777" w:rsidR="00751172" w:rsidRDefault="00751172">
      <w:r>
        <w:continuationSeparator/>
      </w:r>
    </w:p>
  </w:footnote>
  <w:footnote w:id="1">
    <w:p w14:paraId="78D5780D" w14:textId="77777777" w:rsidR="005D0DD1" w:rsidRPr="000C2850" w:rsidRDefault="005D0DD1" w:rsidP="005D0DD1">
      <w:pPr>
        <w:pStyle w:val="FootnoteText"/>
        <w:spacing w:after="60"/>
        <w:rPr>
          <w:lang w:val="es-ES"/>
        </w:rPr>
      </w:pPr>
      <w:r w:rsidRPr="000C2850">
        <w:rPr>
          <w:rStyle w:val="FootnoteReference"/>
          <w:lang w:val="es-ES"/>
        </w:rPr>
        <w:footnoteRef/>
      </w:r>
      <w:r w:rsidRPr="000C2850">
        <w:rPr>
          <w:lang w:val="es-ES"/>
        </w:rPr>
        <w:t xml:space="preserve"> UNEP/OzL.Pro/ExCom/93/1</w:t>
      </w:r>
    </w:p>
  </w:footnote>
  <w:footnote w:id="2">
    <w:p w14:paraId="306B939E" w14:textId="77777777" w:rsidR="005D0DD1" w:rsidRPr="000C2850" w:rsidRDefault="005D0DD1" w:rsidP="005D0DD1">
      <w:pPr>
        <w:pStyle w:val="FootnoteText"/>
        <w:rPr>
          <w:lang w:val="es-ES"/>
        </w:rPr>
      </w:pPr>
      <w:r w:rsidRPr="000C2850">
        <w:rPr>
          <w:rStyle w:val="FootnoteReference"/>
          <w:lang w:val="es-ES"/>
        </w:rPr>
        <w:footnoteRef/>
      </w:r>
      <w:r w:rsidRPr="000C2850">
        <w:rPr>
          <w:lang w:val="es-ES"/>
        </w:rPr>
        <w:t xml:space="preserve"> Según la carta de 5 de octubre de 2023 dirigida a la Secretaría por la Agencia Nacional de Medio Ambiente de Gambia.</w:t>
      </w:r>
    </w:p>
  </w:footnote>
  <w:footnote w:id="3">
    <w:p w14:paraId="2A0AE8D8" w14:textId="77777777" w:rsidR="005D0DD1" w:rsidRPr="000C2850" w:rsidRDefault="005D0DD1" w:rsidP="005D0DD1">
      <w:pPr>
        <w:pStyle w:val="FootnoteText"/>
        <w:rPr>
          <w:lang w:val="es-ES"/>
        </w:rPr>
      </w:pPr>
      <w:r w:rsidRPr="000C2850">
        <w:rPr>
          <w:rStyle w:val="FootnoteReference"/>
          <w:lang w:val="es-ES"/>
        </w:rPr>
        <w:footnoteRef/>
      </w:r>
      <w:r w:rsidRPr="000C2850">
        <w:rPr>
          <w:lang w:val="es-ES"/>
        </w:rPr>
        <w:t xml:space="preserve"> De conformidad con la decisión 89/6, los países de bajo consumo pueden incluir en sus PGEH actividades adicionales para la introducción de alternativas a los HCFC con potencial de calentamiento atmosférico bajo o nulo y para mantener la eficiencia energética en el sector de servicio y mantenimiento de equipos de refrigeración.</w:t>
      </w:r>
    </w:p>
  </w:footnote>
  <w:footnote w:id="4">
    <w:p w14:paraId="7F937524" w14:textId="77777777" w:rsidR="005D0DD1" w:rsidRPr="000C2850" w:rsidRDefault="005D0DD1" w:rsidP="005D0DD1">
      <w:pPr>
        <w:pStyle w:val="FootnoteText"/>
        <w:rPr>
          <w:lang w:val="es-ES"/>
        </w:rPr>
      </w:pPr>
      <w:r w:rsidRPr="000C2850">
        <w:rPr>
          <w:rStyle w:val="FootnoteReference"/>
          <w:lang w:val="es-ES"/>
        </w:rPr>
        <w:footnoteRef/>
      </w:r>
      <w:r w:rsidRPr="000C2850">
        <w:rPr>
          <w:lang w:val="es-ES"/>
        </w:rPr>
        <w:t xml:space="preserve"> Gambia da directamente el salto a aparatos de aire acondicionado y refrigeradores eficientes desde el punto de vista energético y respetuosos con el clima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DBA4" w14:textId="1D321D8B" w:rsidR="005D0DD1" w:rsidRPr="0033525D" w:rsidRDefault="005D0DD1">
    <w:r>
      <w:fldChar w:fldCharType="begin"/>
    </w:r>
    <w:r>
      <w:instrText xml:space="preserve"> DOCPROPERTY "Document number"  \* MERGEFORMAT </w:instrText>
    </w:r>
    <w:r>
      <w:fldChar w:fldCharType="separate"/>
    </w:r>
    <w:r w:rsidR="008065AC">
      <w:t>UNEP/</w:t>
    </w:r>
    <w:proofErr w:type="spellStart"/>
    <w:r w:rsidR="008065AC">
      <w:t>OzL.Pro</w:t>
    </w:r>
    <w:proofErr w:type="spellEnd"/>
    <w:r w:rsidR="008065AC">
      <w:t>/ExCom/93/54</w:t>
    </w:r>
    <w:r>
      <w:fldChar w:fldCharType="end"/>
    </w:r>
  </w:p>
  <w:p w14:paraId="7D53FC44" w14:textId="77777777" w:rsidR="005D0DD1" w:rsidRPr="0033525D" w:rsidRDefault="005D0DD1"/>
  <w:p w14:paraId="1A01A6CE" w14:textId="77777777" w:rsidR="005D0DD1" w:rsidRPr="0033525D" w:rsidRDefault="005D0D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2148" w14:textId="10388055" w:rsidR="005D0DD1" w:rsidRDefault="005D0DD1" w:rsidP="00FD1C97">
    <w:pPr>
      <w:jc w:val="right"/>
    </w:pPr>
    <w:r>
      <w:fldChar w:fldCharType="begin"/>
    </w:r>
    <w:r>
      <w:instrText xml:space="preserve"> DOCPROPERTY "Document number"  \* MERGEFORMAT </w:instrText>
    </w:r>
    <w:r>
      <w:fldChar w:fldCharType="separate"/>
    </w:r>
    <w:r w:rsidR="008065AC">
      <w:t>UNEP/</w:t>
    </w:r>
    <w:proofErr w:type="spellStart"/>
    <w:r w:rsidR="008065AC">
      <w:t>OzL.Pro</w:t>
    </w:r>
    <w:proofErr w:type="spellEnd"/>
    <w:r w:rsidR="008065AC">
      <w:t>/ExCom/93/54</w:t>
    </w:r>
    <w:r>
      <w:fldChar w:fldCharType="end"/>
    </w:r>
  </w:p>
  <w:p w14:paraId="7A12C050" w14:textId="77777777" w:rsidR="005D0DD1" w:rsidRDefault="005D0DD1" w:rsidP="00AF34A5">
    <w:pPr>
      <w:pStyle w:val="Header"/>
      <w:jc w:val="right"/>
    </w:pPr>
  </w:p>
  <w:p w14:paraId="3C68B253" w14:textId="77777777" w:rsidR="005D0DD1" w:rsidRPr="0033525D" w:rsidRDefault="005D0DD1"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DA815" w14:textId="14787D32" w:rsidR="0087455A" w:rsidRDefault="00000000">
    <w:pPr>
      <w:jc w:val="right"/>
    </w:pPr>
    <w:r>
      <w:fldChar w:fldCharType="begin"/>
    </w:r>
    <w:r>
      <w:instrText xml:space="preserve"> DOCPROPERTY "Document number"  \* MERGEFORMAT </w:instrText>
    </w:r>
    <w:r>
      <w:fldChar w:fldCharType="separate"/>
    </w:r>
    <w:r w:rsidR="008065AC">
      <w:t>UNEP/</w:t>
    </w:r>
    <w:proofErr w:type="spellStart"/>
    <w:r w:rsidR="008065AC">
      <w:t>OzL.Pro</w:t>
    </w:r>
    <w:proofErr w:type="spellEnd"/>
    <w:r w:rsidR="008065AC">
      <w:t>/ExCom/93/54</w:t>
    </w:r>
    <w:r>
      <w:fldChar w:fldCharType="end"/>
    </w:r>
  </w:p>
  <w:p w14:paraId="7DF60870" w14:textId="77777777" w:rsidR="0087455A" w:rsidRDefault="00B60EEC" w:rsidP="00B60EEC">
    <w:pPr>
      <w:jc w:val="right"/>
    </w:pPr>
    <w:r>
      <w:t>Anexo I</w:t>
    </w:r>
  </w:p>
  <w:p w14:paraId="62AEB695"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51735893">
    <w:abstractNumId w:val="15"/>
  </w:num>
  <w:num w:numId="22"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4CE"/>
    <w:rsid w:val="00064429"/>
    <w:rsid w:val="000C2850"/>
    <w:rsid w:val="000D6841"/>
    <w:rsid w:val="00106F6E"/>
    <w:rsid w:val="001143E8"/>
    <w:rsid w:val="00114CAA"/>
    <w:rsid w:val="001C2D22"/>
    <w:rsid w:val="001E74CE"/>
    <w:rsid w:val="001F4047"/>
    <w:rsid w:val="00235D4C"/>
    <w:rsid w:val="0024162E"/>
    <w:rsid w:val="002425B4"/>
    <w:rsid w:val="00244477"/>
    <w:rsid w:val="002959B4"/>
    <w:rsid w:val="002D5A1A"/>
    <w:rsid w:val="00344EAB"/>
    <w:rsid w:val="003863A4"/>
    <w:rsid w:val="003B7115"/>
    <w:rsid w:val="00455352"/>
    <w:rsid w:val="00476E28"/>
    <w:rsid w:val="005C6B34"/>
    <w:rsid w:val="005D0DD1"/>
    <w:rsid w:val="0061756D"/>
    <w:rsid w:val="0073028E"/>
    <w:rsid w:val="00751172"/>
    <w:rsid w:val="00792A47"/>
    <w:rsid w:val="008065AC"/>
    <w:rsid w:val="00831BC5"/>
    <w:rsid w:val="0087455A"/>
    <w:rsid w:val="009C1675"/>
    <w:rsid w:val="00AA29EB"/>
    <w:rsid w:val="00AB56E5"/>
    <w:rsid w:val="00AC7A52"/>
    <w:rsid w:val="00B60EEC"/>
    <w:rsid w:val="00B84ACF"/>
    <w:rsid w:val="00B931C3"/>
    <w:rsid w:val="00C14E67"/>
    <w:rsid w:val="00D321F8"/>
    <w:rsid w:val="00D84B6F"/>
    <w:rsid w:val="00DB795B"/>
    <w:rsid w:val="00DC3B22"/>
    <w:rsid w:val="00E17F97"/>
    <w:rsid w:val="00EC3F8B"/>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E372A0"/>
  <w15:docId w15:val="{4969A7A7-4E4F-45C6-8018-22D682FD1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paragraph" w:styleId="ListParagraph">
    <w:name w:val="List Paragraph"/>
    <w:basedOn w:val="Normal"/>
    <w:uiPriority w:val="34"/>
    <w:qFormat/>
    <w:rsid w:val="005D0DD1"/>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D0DD1"/>
    <w:rPr>
      <w:sz w:val="22"/>
      <w:szCs w:val="22"/>
      <w:lang w:val="en-GB"/>
    </w:rPr>
  </w:style>
  <w:style w:type="paragraph" w:styleId="NormalWeb">
    <w:name w:val="Normal (Web)"/>
    <w:basedOn w:val="Normal"/>
    <w:uiPriority w:val="99"/>
    <w:unhideWhenUsed/>
    <w:rsid w:val="005D0DD1"/>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11%20ONU%2093\es-E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8F610744-C29E-4C41-A4C2-D0152659E01A}"/>
</file>

<file path=docProps/app.xml><?xml version="1.0" encoding="utf-8"?>
<Properties xmlns="http://schemas.openxmlformats.org/officeDocument/2006/extended-properties" xmlns:vt="http://schemas.openxmlformats.org/officeDocument/2006/docPropsVTypes">
  <Template>S93-template</Template>
  <TotalTime>13</TotalTime>
  <Pages>11</Pages>
  <Words>4772</Words>
  <Characters>27205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Propuesta de proyecto: Gambia</vt:lpstr>
    </vt:vector>
  </TitlesOfParts>
  <Company>UNMFS</Company>
  <LinksUpToDate>false</LinksUpToDate>
  <CharactersWithSpaces>31914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Gambia</dc:title>
  <dc:creator>Multiple Monitors</dc:creator>
  <cp:lastModifiedBy>Martine Chery</cp:lastModifiedBy>
  <cp:revision>1</cp:revision>
  <cp:lastPrinted>2001-05-26T16:40:00Z</cp:lastPrinted>
  <dcterms:created xsi:type="dcterms:W3CDTF">2023-11-10T14:37:00Z</dcterms:created>
  <dcterms:modified xsi:type="dcterms:W3CDTF">2023-11-10T18:52:00Z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UNEP/OzL.Pro/ExCom/93/54</vt:lpwstr>
  </property>
  <property fmtid="{D5CDD505-2E9C-101B-9397-08002B2CF9AE}" pid="3" name="Revision date">
    <vt:lpwstr>11/7/2023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