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6397" w14:textId="77777777" w:rsidR="00EE53AD" w:rsidRDefault="00EE53AD" w:rsidP="00576289"/>
    <w:tbl>
      <w:tblPr>
        <w:tblW w:w="10080" w:type="dxa"/>
        <w:tblInd w:w="-432" w:type="dxa"/>
        <w:tblLayout w:type="fixed"/>
        <w:tblLook w:val="0000" w:firstRow="0" w:lastRow="0" w:firstColumn="0" w:lastColumn="0" w:noHBand="0" w:noVBand="0"/>
      </w:tblPr>
      <w:tblGrid>
        <w:gridCol w:w="2070"/>
        <w:gridCol w:w="3715"/>
        <w:gridCol w:w="587"/>
        <w:gridCol w:w="3708"/>
      </w:tblGrid>
      <w:tr w:rsidR="00EE53AD" w14:paraId="3508A2CA" w14:textId="77777777" w:rsidTr="001B6BEC">
        <w:trPr>
          <w:trHeight w:val="720"/>
        </w:trPr>
        <w:tc>
          <w:tcPr>
            <w:tcW w:w="5785" w:type="dxa"/>
            <w:gridSpan w:val="2"/>
            <w:tcBorders>
              <w:bottom w:val="single" w:sz="18" w:space="0" w:color="auto"/>
            </w:tcBorders>
          </w:tcPr>
          <w:p w14:paraId="2E0881FE" w14:textId="77777777" w:rsidR="00EE53AD" w:rsidRDefault="00EE53AD" w:rsidP="001B6B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176FBF3F" w14:textId="77777777" w:rsidR="00EE53AD" w:rsidRDefault="00EE53AD" w:rsidP="001B6BEC">
            <w:pPr>
              <w:ind w:left="324"/>
              <w:jc w:val="right"/>
              <w:rPr>
                <w:sz w:val="52"/>
                <w:szCs w:val="24"/>
              </w:rPr>
            </w:pPr>
            <w:r>
              <w:rPr>
                <w:rFonts w:ascii="Univers Bold" w:hAnsi="Univers Bold"/>
                <w:b/>
                <w:noProof/>
                <w:sz w:val="72"/>
                <w:szCs w:val="24"/>
              </w:rPr>
              <w:t>EP</w:t>
            </w:r>
          </w:p>
        </w:tc>
      </w:tr>
      <w:tr w:rsidR="00EE53AD" w14:paraId="2819BC24" w14:textId="77777777" w:rsidTr="001B6B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759DD20" w14:textId="77777777" w:rsidR="00EE53AD" w:rsidRDefault="00000000" w:rsidP="001B6BEC">
            <w:pPr>
              <w:spacing w:before="120"/>
              <w:ind w:left="324"/>
              <w:rPr>
                <w:szCs w:val="24"/>
              </w:rPr>
            </w:pPr>
            <w:r>
              <w:rPr>
                <w:noProof/>
                <w:lang w:val="en-US"/>
              </w:rPr>
              <w:pict w14:anchorId="24CEE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3052710B">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3D84E1E0" w14:textId="77777777" w:rsidR="00EE53AD" w:rsidRDefault="00EE53AD" w:rsidP="001B6BEC">
            <w:pPr>
              <w:ind w:left="324"/>
              <w:rPr>
                <w:rFonts w:ascii="SimHei" w:hAnsi="SimHei"/>
                <w:color w:val="000000"/>
                <w:sz w:val="44"/>
                <w:szCs w:val="24"/>
              </w:rPr>
            </w:pPr>
          </w:p>
          <w:p w14:paraId="2DDA32A1" w14:textId="77777777" w:rsidR="00EE53AD" w:rsidRDefault="00EE53AD" w:rsidP="001B6BEC">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26D525AE" w14:textId="77777777" w:rsidR="00EE53AD" w:rsidRDefault="00EE53AD" w:rsidP="001B6BEC">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5A1339DC" w14:textId="77777777" w:rsidR="00EE53AD" w:rsidRDefault="00EE53AD" w:rsidP="001B6BEC">
            <w:pPr>
              <w:spacing w:before="120"/>
              <w:ind w:left="324"/>
              <w:rPr>
                <w:sz w:val="24"/>
                <w:szCs w:val="24"/>
              </w:rPr>
            </w:pPr>
            <w:r>
              <w:rPr>
                <w:noProof/>
                <w:sz w:val="24"/>
                <w:szCs w:val="24"/>
              </w:rPr>
              <w:t>Distr.</w:t>
            </w:r>
          </w:p>
          <w:p w14:paraId="2E9F88DC" w14:textId="77777777" w:rsidR="00EE53AD" w:rsidRDefault="00EE53AD" w:rsidP="001B6BEC">
            <w:pPr>
              <w:ind w:left="324"/>
              <w:rPr>
                <w:sz w:val="24"/>
                <w:szCs w:val="24"/>
              </w:rPr>
            </w:pPr>
            <w:r>
              <w:rPr>
                <w:noProof/>
                <w:sz w:val="24"/>
                <w:szCs w:val="24"/>
              </w:rPr>
              <w:t>GENERAL</w:t>
            </w:r>
          </w:p>
          <w:p w14:paraId="395234E4" w14:textId="77777777" w:rsidR="00EE53AD" w:rsidRDefault="00EE53AD" w:rsidP="001B6BEC">
            <w:pPr>
              <w:ind w:left="324"/>
              <w:rPr>
                <w:sz w:val="24"/>
                <w:szCs w:val="24"/>
              </w:rPr>
            </w:pPr>
          </w:p>
          <w:p w14:paraId="21C3E7EC" w14:textId="46274D56" w:rsidR="00EE53AD" w:rsidRDefault="00000000" w:rsidP="00576289">
            <w:pPr>
              <w:ind w:left="324"/>
              <w:rPr>
                <w:szCs w:val="24"/>
              </w:rPr>
            </w:pPr>
            <w:r>
              <w:fldChar w:fldCharType="begin"/>
            </w:r>
            <w:r>
              <w:instrText xml:space="preserve"> DOCPROPERTY "Document number"  \* MERGEFORMAT </w:instrText>
            </w:r>
            <w:r>
              <w:fldChar w:fldCharType="separate"/>
            </w:r>
            <w:r w:rsidR="00EE7B66" w:rsidRPr="00EE7B66">
              <w:rPr>
                <w:szCs w:val="24"/>
              </w:rPr>
              <w:t>UNEP/</w:t>
            </w:r>
            <w:proofErr w:type="spellStart"/>
            <w:r w:rsidR="00EE7B66" w:rsidRPr="00EE7B66">
              <w:rPr>
                <w:szCs w:val="24"/>
              </w:rPr>
              <w:t>OzL.Pro</w:t>
            </w:r>
            <w:proofErr w:type="spellEnd"/>
            <w:r w:rsidR="00EE7B66" w:rsidRPr="00EE7B66">
              <w:rPr>
                <w:szCs w:val="24"/>
              </w:rPr>
              <w:t>/ExCom/93/101</w:t>
            </w:r>
            <w:r>
              <w:rPr>
                <w:szCs w:val="24"/>
              </w:rPr>
              <w:fldChar w:fldCharType="end"/>
            </w:r>
          </w:p>
          <w:p w14:paraId="73A4FB15" w14:textId="77777777" w:rsidR="00EE53AD" w:rsidRDefault="00EE53AD" w:rsidP="00576289">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30 November 2023</w:t>
            </w:r>
            <w:r>
              <w:rPr>
                <w:szCs w:val="24"/>
              </w:rPr>
              <w:fldChar w:fldCharType="end"/>
            </w:r>
          </w:p>
          <w:p w14:paraId="1B41573B" w14:textId="77777777" w:rsidR="00EE53AD" w:rsidRDefault="00EE53AD" w:rsidP="001B6BEC">
            <w:pPr>
              <w:ind w:left="324"/>
              <w:rPr>
                <w:caps/>
                <w:sz w:val="24"/>
                <w:szCs w:val="24"/>
              </w:rPr>
            </w:pPr>
          </w:p>
          <w:p w14:paraId="34BC3CFD" w14:textId="77777777" w:rsidR="00EE53AD" w:rsidRDefault="00EE53AD" w:rsidP="001B6BEC">
            <w:pPr>
              <w:ind w:left="324"/>
              <w:rPr>
                <w:sz w:val="24"/>
                <w:szCs w:val="24"/>
                <w:lang w:val="en-US"/>
              </w:rPr>
            </w:pPr>
            <w:r>
              <w:rPr>
                <w:noProof/>
                <w:sz w:val="24"/>
                <w:szCs w:val="24"/>
              </w:rPr>
              <w:t>CHINESE</w:t>
            </w:r>
          </w:p>
          <w:p w14:paraId="347C857C" w14:textId="77777777" w:rsidR="00EE53AD" w:rsidRDefault="00EE53AD" w:rsidP="001B6BEC">
            <w:pPr>
              <w:ind w:left="331"/>
              <w:rPr>
                <w:szCs w:val="24"/>
              </w:rPr>
            </w:pPr>
            <w:r>
              <w:rPr>
                <w:noProof/>
                <w:sz w:val="24"/>
                <w:szCs w:val="24"/>
              </w:rPr>
              <w:t>ORIGINAL:</w:t>
            </w:r>
            <w:r>
              <w:rPr>
                <w:sz w:val="24"/>
                <w:szCs w:val="24"/>
              </w:rPr>
              <w:t xml:space="preserve"> </w:t>
            </w:r>
            <w:r>
              <w:rPr>
                <w:noProof/>
                <w:sz w:val="24"/>
                <w:szCs w:val="24"/>
              </w:rPr>
              <w:t>ENGLISH</w:t>
            </w:r>
          </w:p>
        </w:tc>
      </w:tr>
    </w:tbl>
    <w:p w14:paraId="7E537F99" w14:textId="77777777" w:rsidR="00EE53AD" w:rsidRPr="00972958" w:rsidRDefault="00EE53AD" w:rsidP="00576289">
      <w:pPr>
        <w:jc w:val="left"/>
        <w:rPr>
          <w:szCs w:val="24"/>
        </w:rPr>
      </w:pPr>
      <w:r w:rsidRPr="006023B6">
        <w:rPr>
          <w:rFonts w:hint="eastAsia"/>
          <w:sz w:val="24"/>
          <w:szCs w:val="24"/>
          <w:lang w:val="zh-CN"/>
        </w:rPr>
        <w:t>执行蒙特利尔议定书</w:t>
      </w:r>
      <w:r w:rsidRPr="006023B6">
        <w:rPr>
          <w:noProof/>
          <w:sz w:val="24"/>
          <w:szCs w:val="24"/>
        </w:rPr>
        <w:br/>
        <w:t xml:space="preserve"> </w:t>
      </w:r>
      <w:r w:rsidRPr="006023B6">
        <w:rPr>
          <w:rFonts w:hint="eastAsia"/>
          <w:sz w:val="24"/>
          <w:szCs w:val="24"/>
          <w:lang w:val="zh-CN"/>
        </w:rPr>
        <w:t>多边基金执行委员会</w:t>
      </w:r>
      <w:r w:rsidRPr="006023B6">
        <w:rPr>
          <w:noProof/>
          <w:sz w:val="24"/>
          <w:szCs w:val="24"/>
        </w:rPr>
        <w:br/>
      </w:r>
      <w:r w:rsidRPr="00972958">
        <w:rPr>
          <w:rFonts w:hint="eastAsia"/>
          <w:szCs w:val="24"/>
          <w:lang w:val="zh-CN"/>
        </w:rPr>
        <w:t>第九十三次会议</w:t>
      </w:r>
    </w:p>
    <w:p w14:paraId="64531E92" w14:textId="77777777" w:rsidR="00EE53AD" w:rsidRPr="00972958" w:rsidRDefault="00EE53AD" w:rsidP="00576289">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972958">
          <w:rPr>
            <w:noProof/>
            <w:szCs w:val="24"/>
          </w:rPr>
          <w:t>2023</w:t>
        </w:r>
        <w:r w:rsidRPr="00972958">
          <w:rPr>
            <w:rFonts w:hint="eastAsia"/>
            <w:szCs w:val="24"/>
            <w:lang w:val="zh-CN"/>
          </w:rPr>
          <w:t>年</w:t>
        </w:r>
        <w:r w:rsidRPr="00972958">
          <w:rPr>
            <w:noProof/>
            <w:szCs w:val="24"/>
          </w:rPr>
          <w:t>12</w:t>
        </w:r>
        <w:r w:rsidRPr="00972958">
          <w:rPr>
            <w:rFonts w:hint="eastAsia"/>
            <w:szCs w:val="24"/>
            <w:lang w:val="zh-CN"/>
          </w:rPr>
          <w:t>月</w:t>
        </w:r>
        <w:r w:rsidRPr="00972958">
          <w:rPr>
            <w:noProof/>
            <w:szCs w:val="24"/>
          </w:rPr>
          <w:t>15</w:t>
        </w:r>
        <w:r w:rsidRPr="00972958">
          <w:rPr>
            <w:rFonts w:hint="eastAsia"/>
            <w:szCs w:val="24"/>
            <w:lang w:val="zh-CN"/>
          </w:rPr>
          <w:t>日</w:t>
        </w:r>
      </w:smartTag>
      <w:r w:rsidRPr="00972958">
        <w:rPr>
          <w:rFonts w:hint="eastAsia"/>
          <w:szCs w:val="24"/>
          <w:lang w:val="zh-CN"/>
        </w:rPr>
        <w:t>至</w:t>
      </w:r>
      <w:r w:rsidRPr="00972958">
        <w:rPr>
          <w:noProof/>
          <w:szCs w:val="24"/>
        </w:rPr>
        <w:t>19</w:t>
      </w:r>
      <w:r w:rsidRPr="00972958">
        <w:rPr>
          <w:rFonts w:hint="eastAsia"/>
          <w:szCs w:val="24"/>
          <w:lang w:val="zh-CN"/>
        </w:rPr>
        <w:t>日</w:t>
      </w:r>
      <w:r w:rsidRPr="00972958">
        <w:rPr>
          <w:rFonts w:hint="eastAsia"/>
          <w:noProof/>
          <w:szCs w:val="24"/>
        </w:rPr>
        <w:t>，</w:t>
      </w:r>
      <w:r w:rsidRPr="00972958">
        <w:rPr>
          <w:rFonts w:hint="eastAsia"/>
          <w:szCs w:val="24"/>
          <w:lang w:val="zh-CN"/>
        </w:rPr>
        <w:t>蒙特利尔</w:t>
      </w:r>
      <w:r w:rsidRPr="00972958">
        <w:rPr>
          <w:szCs w:val="24"/>
          <w:lang w:val="zh-CN"/>
        </w:rPr>
        <w:t xml:space="preserve"> </w:t>
      </w:r>
    </w:p>
    <w:p w14:paraId="63C8A8F8" w14:textId="77777777" w:rsidR="00EE53AD" w:rsidRPr="00972958" w:rsidRDefault="00EE53AD" w:rsidP="00576289">
      <w:pPr>
        <w:jc w:val="left"/>
        <w:rPr>
          <w:szCs w:val="24"/>
        </w:rPr>
      </w:pPr>
      <w:r w:rsidRPr="00972958">
        <w:rPr>
          <w:rFonts w:hint="eastAsia"/>
          <w:szCs w:val="24"/>
          <w:lang w:val="zh-CN"/>
        </w:rPr>
        <w:t>临时议程</w:t>
      </w:r>
      <w:r w:rsidRPr="00972958">
        <w:rPr>
          <w:rStyle w:val="FootnoteReference"/>
          <w:szCs w:val="24"/>
          <w:lang w:val="zh-CN"/>
        </w:rPr>
        <w:footnoteReference w:id="1"/>
      </w:r>
      <w:r w:rsidRPr="00972958">
        <w:rPr>
          <w:rFonts w:hint="eastAsia"/>
          <w:szCs w:val="24"/>
          <w:lang w:val="zh-CN"/>
        </w:rPr>
        <w:t>项目</w:t>
      </w:r>
      <w:r w:rsidRPr="00972958">
        <w:rPr>
          <w:szCs w:val="24"/>
          <w:lang w:val="zh-CN"/>
        </w:rPr>
        <w:t>11</w:t>
      </w:r>
    </w:p>
    <w:p w14:paraId="24071B72" w14:textId="77777777" w:rsidR="00EE53AD" w:rsidRDefault="00EE53AD" w:rsidP="00576289">
      <w:pPr>
        <w:jc w:val="left"/>
        <w:rPr>
          <w:szCs w:val="24"/>
        </w:rPr>
      </w:pPr>
    </w:p>
    <w:p w14:paraId="3FB4A6BA" w14:textId="77777777" w:rsidR="00EE53AD" w:rsidRDefault="00EE53AD">
      <w:pPr>
        <w:pStyle w:val="Heading5"/>
        <w:numPr>
          <w:ilvl w:val="0"/>
          <w:numId w:val="0"/>
        </w:numPr>
        <w:rPr>
          <w:szCs w:val="24"/>
        </w:rPr>
      </w:pPr>
    </w:p>
    <w:p w14:paraId="106CFDE6" w14:textId="77777777" w:rsidR="00EE53AD" w:rsidRPr="00972958" w:rsidRDefault="00EE53AD">
      <w:pPr>
        <w:jc w:val="center"/>
        <w:rPr>
          <w:sz w:val="24"/>
          <w:szCs w:val="24"/>
        </w:rPr>
      </w:pPr>
      <w:r w:rsidRPr="00972958">
        <w:rPr>
          <w:rFonts w:hint="eastAsia"/>
          <w:b/>
          <w:sz w:val="24"/>
          <w:szCs w:val="24"/>
          <w:lang w:val="zh-CN"/>
        </w:rPr>
        <w:t>多边基金行政费用机制的审查</w:t>
      </w:r>
      <w:r w:rsidRPr="00972958">
        <w:rPr>
          <w:b/>
          <w:sz w:val="24"/>
          <w:szCs w:val="24"/>
        </w:rPr>
        <w:br/>
      </w:r>
      <w:r w:rsidRPr="00972958">
        <w:rPr>
          <w:rFonts w:hint="eastAsia"/>
          <w:b/>
          <w:sz w:val="24"/>
          <w:szCs w:val="24"/>
        </w:rPr>
        <w:t>（</w:t>
      </w:r>
      <w:r w:rsidRPr="00972958">
        <w:rPr>
          <w:rFonts w:hint="eastAsia"/>
          <w:b/>
          <w:sz w:val="24"/>
          <w:szCs w:val="24"/>
          <w:lang w:val="zh-CN"/>
        </w:rPr>
        <w:t>第</w:t>
      </w:r>
      <w:r w:rsidRPr="00972958">
        <w:rPr>
          <w:b/>
          <w:sz w:val="24"/>
          <w:szCs w:val="24"/>
        </w:rPr>
        <w:t>88/74</w:t>
      </w:r>
      <w:r w:rsidRPr="00972958">
        <w:rPr>
          <w:rFonts w:hint="eastAsia"/>
          <w:b/>
          <w:sz w:val="24"/>
          <w:szCs w:val="24"/>
          <w:lang w:val="zh-CN"/>
        </w:rPr>
        <w:t>号决定</w:t>
      </w:r>
      <w:r w:rsidRPr="00972958">
        <w:rPr>
          <w:rFonts w:hint="eastAsia"/>
          <w:b/>
          <w:sz w:val="24"/>
          <w:szCs w:val="24"/>
        </w:rPr>
        <w:t>（</w:t>
      </w:r>
      <w:r w:rsidRPr="00972958">
        <w:rPr>
          <w:b/>
          <w:sz w:val="24"/>
          <w:szCs w:val="24"/>
        </w:rPr>
        <w:t>c</w:t>
      </w:r>
      <w:r w:rsidRPr="00972958">
        <w:rPr>
          <w:rFonts w:hint="eastAsia"/>
          <w:b/>
          <w:sz w:val="24"/>
          <w:szCs w:val="24"/>
        </w:rPr>
        <w:t>）</w:t>
      </w:r>
      <w:r w:rsidRPr="00972958">
        <w:rPr>
          <w:rFonts w:hint="eastAsia"/>
          <w:b/>
          <w:sz w:val="24"/>
          <w:szCs w:val="24"/>
          <w:lang w:val="zh-CN"/>
        </w:rPr>
        <w:t>段和第</w:t>
      </w:r>
      <w:r w:rsidRPr="00972958">
        <w:rPr>
          <w:b/>
          <w:sz w:val="24"/>
          <w:szCs w:val="24"/>
        </w:rPr>
        <w:t>91/67</w:t>
      </w:r>
      <w:r w:rsidRPr="00972958">
        <w:rPr>
          <w:rFonts w:hint="eastAsia"/>
          <w:b/>
          <w:sz w:val="24"/>
          <w:szCs w:val="24"/>
          <w:lang w:val="zh-CN"/>
        </w:rPr>
        <w:t>号决定</w:t>
      </w:r>
      <w:r w:rsidRPr="00972958">
        <w:rPr>
          <w:rFonts w:hint="eastAsia"/>
          <w:b/>
          <w:sz w:val="24"/>
          <w:szCs w:val="24"/>
        </w:rPr>
        <w:t>（</w:t>
      </w:r>
      <w:r w:rsidRPr="00972958">
        <w:rPr>
          <w:b/>
          <w:sz w:val="24"/>
          <w:szCs w:val="24"/>
        </w:rPr>
        <w:t>b</w:t>
      </w:r>
      <w:r w:rsidRPr="00972958">
        <w:rPr>
          <w:rFonts w:hint="eastAsia"/>
          <w:b/>
          <w:sz w:val="24"/>
          <w:szCs w:val="24"/>
        </w:rPr>
        <w:t>）</w:t>
      </w:r>
      <w:r w:rsidRPr="00972958">
        <w:rPr>
          <w:rFonts w:hint="eastAsia"/>
          <w:b/>
          <w:sz w:val="24"/>
          <w:szCs w:val="24"/>
          <w:lang w:val="zh-CN"/>
        </w:rPr>
        <w:t>段</w:t>
      </w:r>
      <w:r w:rsidRPr="00972958">
        <w:rPr>
          <w:rFonts w:hint="eastAsia"/>
          <w:b/>
          <w:sz w:val="24"/>
          <w:szCs w:val="24"/>
        </w:rPr>
        <w:t>）</w:t>
      </w:r>
    </w:p>
    <w:p w14:paraId="4055093E" w14:textId="77777777" w:rsidR="00EE53AD" w:rsidRDefault="00EE53AD">
      <w:pPr>
        <w:rPr>
          <w:szCs w:val="24"/>
        </w:rPr>
      </w:pPr>
    </w:p>
    <w:p w14:paraId="19505B34" w14:textId="77777777" w:rsidR="00EE53AD" w:rsidRDefault="00EE53AD">
      <w:pPr>
        <w:topLinePunct/>
        <w:jc w:val="left"/>
        <w:rPr>
          <w:szCs w:val="24"/>
        </w:rPr>
      </w:pPr>
    </w:p>
    <w:p w14:paraId="3AC79EE6" w14:textId="77777777" w:rsidR="00EE53AD" w:rsidRPr="00972958" w:rsidRDefault="00EE53AD">
      <w:pPr>
        <w:topLinePunct/>
        <w:spacing w:after="240"/>
        <w:rPr>
          <w:b/>
        </w:rPr>
      </w:pPr>
      <w:r w:rsidRPr="00972958">
        <w:rPr>
          <w:rFonts w:hint="eastAsia"/>
          <w:b/>
          <w:lang w:val="zh-CN"/>
        </w:rPr>
        <w:t>导言</w:t>
      </w:r>
    </w:p>
    <w:p w14:paraId="1727C290" w14:textId="77777777" w:rsidR="00EE53AD" w:rsidRPr="00972958" w:rsidRDefault="00EE53AD">
      <w:pPr>
        <w:pStyle w:val="Heading1"/>
        <w:topLinePunct/>
        <w:rPr>
          <w:lang w:val="en-US"/>
        </w:rPr>
      </w:pPr>
      <w:r w:rsidRPr="00972958">
        <w:rPr>
          <w:rFonts w:hint="eastAsia"/>
          <w:lang w:val="zh-CN"/>
        </w:rPr>
        <w:t>在第八十八次会议上</w:t>
      </w:r>
      <w:r w:rsidRPr="00972958">
        <w:rPr>
          <w:rFonts w:hint="eastAsia"/>
        </w:rPr>
        <w:t>，</w:t>
      </w:r>
      <w:r w:rsidRPr="00972958">
        <w:rPr>
          <w:rFonts w:hint="eastAsia"/>
          <w:lang w:val="zh-CN"/>
        </w:rPr>
        <w:t>执行委员会决定请秘书处向</w:t>
      </w:r>
      <w:r w:rsidRPr="00972958">
        <w:t>2023</w:t>
      </w:r>
      <w:r w:rsidRPr="00972958">
        <w:rPr>
          <w:rFonts w:hint="eastAsia"/>
          <w:lang w:val="zh-CN"/>
        </w:rPr>
        <w:t>年最后一次会议提交关于行政费用机制和核心单位供资的分析</w:t>
      </w:r>
      <w:r w:rsidRPr="00972958">
        <w:rPr>
          <w:rFonts w:hint="eastAsia"/>
        </w:rPr>
        <w:t>，</w:t>
      </w:r>
      <w:r w:rsidRPr="00972958">
        <w:rPr>
          <w:rFonts w:hint="eastAsia"/>
          <w:lang w:val="zh-CN"/>
        </w:rPr>
        <w:t>同时考虑到执行委员会的相关决定</w:t>
      </w:r>
      <w:r w:rsidRPr="00972958">
        <w:rPr>
          <w:rFonts w:hint="eastAsia"/>
        </w:rPr>
        <w:t>，</w:t>
      </w:r>
      <w:r w:rsidRPr="00972958">
        <w:rPr>
          <w:rFonts w:hint="eastAsia"/>
          <w:lang w:val="zh-CN"/>
        </w:rPr>
        <w:t>包括</w:t>
      </w:r>
      <w:r w:rsidRPr="00972958">
        <w:t>2023</w:t>
      </w:r>
      <w:r w:rsidRPr="00972958">
        <w:rPr>
          <w:rFonts w:hint="eastAsia"/>
          <w:lang w:val="zh-CN"/>
        </w:rPr>
        <w:t>年最后一次会议之前的会议作出的决定</w:t>
      </w:r>
      <w:r w:rsidRPr="00972958">
        <w:rPr>
          <w:rFonts w:hint="eastAsia"/>
        </w:rPr>
        <w:t>，</w:t>
      </w:r>
      <w:r w:rsidRPr="00972958">
        <w:rPr>
          <w:rFonts w:hint="eastAsia"/>
          <w:lang w:val="zh-CN"/>
        </w:rPr>
        <w:t>并在这些决定的基础上</w:t>
      </w:r>
      <w:r w:rsidRPr="00972958">
        <w:rPr>
          <w:rFonts w:hint="eastAsia"/>
        </w:rPr>
        <w:t>，</w:t>
      </w:r>
      <w:r w:rsidRPr="00972958">
        <w:rPr>
          <w:rFonts w:hint="eastAsia"/>
          <w:lang w:val="zh-CN"/>
        </w:rPr>
        <w:t>委员会将决定多边基金</w:t>
      </w:r>
      <w:r w:rsidRPr="00972958">
        <w:t>2021−2023</w:t>
      </w:r>
      <w:r w:rsidRPr="00972958">
        <w:rPr>
          <w:rFonts w:hint="eastAsia"/>
          <w:lang w:val="zh-CN"/>
        </w:rPr>
        <w:t>三年期的行政费用机制是否应用于</w:t>
      </w:r>
      <w:r w:rsidRPr="00972958">
        <w:t>2024-2026</w:t>
      </w:r>
      <w:r w:rsidRPr="00972958">
        <w:rPr>
          <w:rFonts w:hint="eastAsia"/>
          <w:lang w:val="zh-CN"/>
        </w:rPr>
        <w:t>三年期</w:t>
      </w:r>
      <w:r w:rsidRPr="00972958">
        <w:rPr>
          <w:rFonts w:hint="eastAsia"/>
        </w:rPr>
        <w:t>（</w:t>
      </w:r>
      <w:r w:rsidRPr="00972958">
        <w:rPr>
          <w:rFonts w:hint="eastAsia"/>
          <w:lang w:val="zh-CN"/>
        </w:rPr>
        <w:t>第</w:t>
      </w:r>
      <w:r w:rsidRPr="00972958">
        <w:t>88/74</w:t>
      </w:r>
      <w:r w:rsidRPr="00972958">
        <w:rPr>
          <w:rFonts w:hint="eastAsia"/>
          <w:lang w:val="zh-CN"/>
        </w:rPr>
        <w:t>号决定</w:t>
      </w:r>
      <w:r w:rsidRPr="00972958">
        <w:t>(c)</w:t>
      </w:r>
      <w:r w:rsidRPr="00972958">
        <w:rPr>
          <w:rFonts w:hint="eastAsia"/>
          <w:lang w:val="zh-CN"/>
        </w:rPr>
        <w:t>段</w:t>
      </w:r>
      <w:r w:rsidRPr="00972958">
        <w:rPr>
          <w:rFonts w:hint="eastAsia"/>
        </w:rPr>
        <w:t>）</w:t>
      </w:r>
      <w:r w:rsidRPr="00972958">
        <w:rPr>
          <w:rFonts w:hint="eastAsia"/>
          <w:lang w:val="zh-CN"/>
        </w:rPr>
        <w:t>。</w:t>
      </w:r>
    </w:p>
    <w:p w14:paraId="6B5FBC17" w14:textId="77777777" w:rsidR="00EE53AD" w:rsidRPr="00972958" w:rsidRDefault="00EE53AD">
      <w:pPr>
        <w:pStyle w:val="Heading1"/>
        <w:topLinePunct/>
        <w:rPr>
          <w:lang w:val="en-US"/>
        </w:rPr>
      </w:pPr>
      <w:r w:rsidRPr="00972958">
        <w:rPr>
          <w:rFonts w:hint="eastAsia"/>
          <w:lang w:val="zh-CN"/>
        </w:rPr>
        <w:t>自第八十九次会议以来</w:t>
      </w:r>
      <w:r w:rsidRPr="00972958">
        <w:rPr>
          <w:rFonts w:hint="eastAsia"/>
          <w:lang w:val="en-US"/>
        </w:rPr>
        <w:t>，</w:t>
      </w:r>
      <w:r w:rsidRPr="00972958">
        <w:rPr>
          <w:rFonts w:hint="eastAsia"/>
          <w:lang w:val="zh-CN"/>
        </w:rPr>
        <w:t>执行委员会已就强化体制项目的供资水平</w:t>
      </w:r>
      <w:r w:rsidRPr="00972958">
        <w:rPr>
          <w:rFonts w:hint="eastAsia"/>
          <w:lang w:val="en-US"/>
        </w:rPr>
        <w:t>（</w:t>
      </w:r>
      <w:r w:rsidRPr="00972958">
        <w:rPr>
          <w:rFonts w:hint="eastAsia"/>
          <w:lang w:val="zh-CN"/>
        </w:rPr>
        <w:t>第</w:t>
      </w:r>
      <w:r w:rsidRPr="00972958">
        <w:rPr>
          <w:lang w:val="en-US"/>
        </w:rPr>
        <w:t>91/63</w:t>
      </w:r>
      <w:r w:rsidRPr="00972958">
        <w:rPr>
          <w:rFonts w:hint="eastAsia"/>
          <w:lang w:val="zh-CN"/>
        </w:rPr>
        <w:t>号决定</w:t>
      </w:r>
      <w:r w:rsidRPr="00972958">
        <w:rPr>
          <w:rFonts w:hint="eastAsia"/>
          <w:lang w:val="en-US"/>
        </w:rPr>
        <w:t>）</w:t>
      </w:r>
      <w:r w:rsidRPr="00972958">
        <w:rPr>
          <w:rFonts w:hint="eastAsia"/>
          <w:lang w:val="zh-CN"/>
        </w:rPr>
        <w:t>、制冷维修行业逐步减少氢氟碳化物的供资水平和方式</w:t>
      </w:r>
      <w:r w:rsidRPr="00972958">
        <w:rPr>
          <w:rFonts w:hint="eastAsia"/>
          <w:lang w:val="en-US"/>
        </w:rPr>
        <w:t>（</w:t>
      </w:r>
      <w:r w:rsidRPr="00972958">
        <w:rPr>
          <w:rFonts w:hint="eastAsia"/>
          <w:lang w:val="zh-CN"/>
        </w:rPr>
        <w:t>第</w:t>
      </w:r>
      <w:r w:rsidRPr="00972958">
        <w:rPr>
          <w:lang w:val="en-US"/>
        </w:rPr>
        <w:t>92/37</w:t>
      </w:r>
      <w:r w:rsidRPr="00972958">
        <w:rPr>
          <w:rFonts w:hint="eastAsia"/>
          <w:lang w:val="zh-CN"/>
        </w:rPr>
        <w:t>号决定</w:t>
      </w:r>
      <w:r w:rsidRPr="00972958">
        <w:rPr>
          <w:rFonts w:hint="eastAsia"/>
          <w:lang w:val="en-US"/>
        </w:rPr>
        <w:t>）</w:t>
      </w:r>
      <w:r w:rsidRPr="00972958">
        <w:rPr>
          <w:rFonts w:hint="eastAsia"/>
          <w:lang w:val="zh-CN"/>
        </w:rPr>
        <w:t>、执行缔约方第</w:t>
      </w:r>
      <w:r w:rsidRPr="00972958">
        <w:rPr>
          <w:lang w:val="en-US"/>
        </w:rPr>
        <w:t>XXVIII/2</w:t>
      </w:r>
      <w:r w:rsidRPr="00972958">
        <w:rPr>
          <w:rFonts w:hint="eastAsia"/>
          <w:lang w:val="zh-CN"/>
        </w:rPr>
        <w:t>号决定第</w:t>
      </w:r>
      <w:r w:rsidRPr="00972958">
        <w:rPr>
          <w:lang w:val="en-US"/>
        </w:rPr>
        <w:t>16</w:t>
      </w:r>
      <w:r w:rsidRPr="00972958">
        <w:rPr>
          <w:rFonts w:hint="eastAsia"/>
          <w:lang w:val="zh-CN"/>
        </w:rPr>
        <w:t>段和第</w:t>
      </w:r>
      <w:r w:rsidRPr="00972958">
        <w:rPr>
          <w:lang w:val="en-US"/>
        </w:rPr>
        <w:t>XXX/5</w:t>
      </w:r>
      <w:r w:rsidRPr="00972958">
        <w:rPr>
          <w:rFonts w:hint="eastAsia"/>
          <w:lang w:val="zh-CN"/>
        </w:rPr>
        <w:t>号决定第</w:t>
      </w:r>
      <w:r w:rsidRPr="00972958">
        <w:rPr>
          <w:lang w:val="en-US"/>
        </w:rPr>
        <w:t>2</w:t>
      </w:r>
      <w:r w:rsidRPr="00972958">
        <w:rPr>
          <w:rFonts w:hint="eastAsia"/>
          <w:lang w:val="zh-CN"/>
        </w:rPr>
        <w:t>段的方式</w:t>
      </w:r>
      <w:r w:rsidRPr="00972958">
        <w:rPr>
          <w:rFonts w:hint="eastAsia"/>
          <w:lang w:val="en-US"/>
        </w:rPr>
        <w:t>（</w:t>
      </w:r>
      <w:r w:rsidRPr="00972958">
        <w:rPr>
          <w:rFonts w:hint="eastAsia"/>
          <w:lang w:val="zh-CN"/>
        </w:rPr>
        <w:t>第</w:t>
      </w:r>
      <w:r w:rsidRPr="00972958">
        <w:rPr>
          <w:lang w:val="en-US"/>
        </w:rPr>
        <w:t>89/6</w:t>
      </w:r>
      <w:r w:rsidRPr="00972958">
        <w:rPr>
          <w:rFonts w:hint="eastAsia"/>
          <w:lang w:val="zh-CN"/>
        </w:rPr>
        <w:t>号决定</w:t>
      </w:r>
      <w:r w:rsidRPr="00972958">
        <w:rPr>
          <w:rFonts w:hint="eastAsia"/>
          <w:lang w:val="en-US"/>
        </w:rPr>
        <w:t>）</w:t>
      </w:r>
      <w:r w:rsidRPr="00972958">
        <w:rPr>
          <w:rFonts w:hint="eastAsia"/>
          <w:lang w:val="zh-CN"/>
        </w:rPr>
        <w:t>、协助第</w:t>
      </w:r>
      <w:r w:rsidRPr="00972958">
        <w:rPr>
          <w:lang w:val="en-US"/>
        </w:rPr>
        <w:t>5</w:t>
      </w:r>
      <w:r w:rsidRPr="00972958">
        <w:rPr>
          <w:rFonts w:hint="eastAsia"/>
          <w:lang w:val="zh-CN"/>
        </w:rPr>
        <w:t>条国家编制用过的或不需要的受控物质库存清单和收集、运输和处置此类物资的供资窗口</w:t>
      </w:r>
      <w:r w:rsidRPr="00972958">
        <w:rPr>
          <w:rFonts w:hint="eastAsia"/>
          <w:lang w:val="en-US"/>
        </w:rPr>
        <w:t>（</w:t>
      </w:r>
      <w:r w:rsidRPr="00972958">
        <w:rPr>
          <w:rFonts w:hint="eastAsia"/>
          <w:lang w:val="zh-CN"/>
        </w:rPr>
        <w:t>第</w:t>
      </w:r>
      <w:r w:rsidRPr="00972958">
        <w:rPr>
          <w:lang w:val="en-US"/>
        </w:rPr>
        <w:t>91/66</w:t>
      </w:r>
      <w:r w:rsidRPr="00972958">
        <w:rPr>
          <w:rFonts w:hint="eastAsia"/>
          <w:lang w:val="zh-CN"/>
        </w:rPr>
        <w:t>号决定</w:t>
      </w:r>
      <w:r w:rsidRPr="00972958">
        <w:rPr>
          <w:rFonts w:hint="eastAsia"/>
          <w:lang w:val="en-US"/>
        </w:rPr>
        <w:t>）</w:t>
      </w:r>
      <w:r w:rsidRPr="00972958">
        <w:rPr>
          <w:rFonts w:hint="eastAsia"/>
          <w:lang w:val="zh-CN"/>
        </w:rPr>
        <w:t>和在逐步减少氢氟碳化物的背景下维持和</w:t>
      </w:r>
      <w:r w:rsidRPr="00972958">
        <w:rPr>
          <w:lang w:val="en-US"/>
        </w:rPr>
        <w:t>/</w:t>
      </w:r>
      <w:r w:rsidRPr="00972958">
        <w:rPr>
          <w:rFonts w:hint="eastAsia"/>
          <w:lang w:val="zh-CN"/>
        </w:rPr>
        <w:t>或提高替代技术和设备的能源效率的试点项目</w:t>
      </w:r>
      <w:r w:rsidRPr="00972958">
        <w:rPr>
          <w:rFonts w:hint="eastAsia"/>
          <w:lang w:val="en-US"/>
        </w:rPr>
        <w:t>，</w:t>
      </w:r>
      <w:r w:rsidRPr="00972958">
        <w:rPr>
          <w:rFonts w:hint="eastAsia"/>
          <w:lang w:val="zh-CN"/>
        </w:rPr>
        <w:t>包括此类试点项目的供资窗口</w:t>
      </w:r>
      <w:r w:rsidRPr="00972958">
        <w:rPr>
          <w:rFonts w:hint="eastAsia"/>
          <w:lang w:val="en-US"/>
        </w:rPr>
        <w:t>（</w:t>
      </w:r>
      <w:r w:rsidRPr="00972958">
        <w:rPr>
          <w:rFonts w:hint="eastAsia"/>
          <w:lang w:val="zh-CN"/>
        </w:rPr>
        <w:t>第</w:t>
      </w:r>
      <w:r w:rsidRPr="00972958">
        <w:rPr>
          <w:lang w:val="en-US"/>
        </w:rPr>
        <w:t>91/65</w:t>
      </w:r>
      <w:r w:rsidRPr="00972958">
        <w:rPr>
          <w:rFonts w:hint="eastAsia"/>
          <w:lang w:val="zh-CN"/>
        </w:rPr>
        <w:t>号决定</w:t>
      </w:r>
      <w:r w:rsidRPr="00972958">
        <w:rPr>
          <w:rFonts w:hint="eastAsia"/>
          <w:lang w:val="en-US"/>
        </w:rPr>
        <w:t>）</w:t>
      </w:r>
      <w:r w:rsidRPr="00972958">
        <w:rPr>
          <w:rFonts w:hint="eastAsia"/>
          <w:lang w:val="zh-CN"/>
        </w:rPr>
        <w:t>作出了决定。此外</w:t>
      </w:r>
      <w:r w:rsidRPr="00972958">
        <w:rPr>
          <w:rFonts w:hint="eastAsia"/>
          <w:lang w:val="en-US"/>
        </w:rPr>
        <w:t>，</w:t>
      </w:r>
      <w:r w:rsidRPr="00972958">
        <w:rPr>
          <w:rFonts w:hint="eastAsia"/>
          <w:lang w:val="zh-CN"/>
        </w:rPr>
        <w:t>还讨论了为逐步减少氢氟碳化物供资的准则草案等其他政策问题</w:t>
      </w:r>
      <w:r w:rsidRPr="00972958">
        <w:rPr>
          <w:rFonts w:hint="eastAsia"/>
          <w:lang w:val="en-US"/>
        </w:rPr>
        <w:t>，</w:t>
      </w:r>
      <w:r w:rsidRPr="00972958">
        <w:rPr>
          <w:rFonts w:hint="eastAsia"/>
          <w:lang w:val="zh-CN"/>
        </w:rPr>
        <w:t>包括审议了第</w:t>
      </w:r>
      <w:r w:rsidRPr="00972958">
        <w:rPr>
          <w:lang w:val="en-US"/>
        </w:rPr>
        <w:t>XXVIII/2</w:t>
      </w:r>
      <w:r w:rsidRPr="00972958">
        <w:rPr>
          <w:rFonts w:hint="eastAsia"/>
          <w:lang w:val="zh-CN"/>
        </w:rPr>
        <w:t>号决定第</w:t>
      </w:r>
      <w:r w:rsidRPr="00972958">
        <w:rPr>
          <w:lang w:val="en-US"/>
        </w:rPr>
        <w:t>24</w:t>
      </w:r>
      <w:r w:rsidRPr="00972958">
        <w:rPr>
          <w:rFonts w:hint="eastAsia"/>
          <w:lang w:val="zh-CN"/>
        </w:rPr>
        <w:t>段的实施、与现场安装和组装行业有关的各个方面问题</w:t>
      </w:r>
      <w:r w:rsidRPr="00972958">
        <w:rPr>
          <w:rFonts w:hint="eastAsia"/>
          <w:lang w:val="en-US"/>
        </w:rPr>
        <w:t>（</w:t>
      </w:r>
      <w:r w:rsidRPr="00972958">
        <w:rPr>
          <w:rFonts w:hint="eastAsia"/>
          <w:lang w:val="zh-CN"/>
        </w:rPr>
        <w:t>例如</w:t>
      </w:r>
      <w:r w:rsidRPr="00972958">
        <w:rPr>
          <w:rFonts w:hint="eastAsia"/>
          <w:lang w:val="en-US"/>
        </w:rPr>
        <w:t>，</w:t>
      </w:r>
      <w:r w:rsidRPr="00972958">
        <w:rPr>
          <w:rFonts w:hint="eastAsia"/>
          <w:lang w:val="zh-CN"/>
        </w:rPr>
        <w:t>维护和</w:t>
      </w:r>
      <w:r w:rsidRPr="00972958">
        <w:rPr>
          <w:lang w:val="en-US"/>
        </w:rPr>
        <w:t>/</w:t>
      </w:r>
      <w:r w:rsidRPr="00972958">
        <w:rPr>
          <w:rFonts w:hint="eastAsia"/>
          <w:lang w:val="zh-CN"/>
        </w:rPr>
        <w:t>或提高制造和维修行业能源效率的业务框架</w:t>
      </w:r>
      <w:r w:rsidRPr="00972958">
        <w:rPr>
          <w:rFonts w:hint="eastAsia"/>
          <w:lang w:val="en-US"/>
        </w:rPr>
        <w:t>（</w:t>
      </w:r>
      <w:r w:rsidRPr="00972958">
        <w:rPr>
          <w:rFonts w:hint="eastAsia"/>
          <w:lang w:val="zh-CN"/>
        </w:rPr>
        <w:t>第</w:t>
      </w:r>
      <w:r w:rsidRPr="00972958">
        <w:rPr>
          <w:lang w:val="en-US"/>
        </w:rPr>
        <w:t>92/38</w:t>
      </w:r>
      <w:r w:rsidRPr="00972958">
        <w:rPr>
          <w:rFonts w:hint="eastAsia"/>
          <w:lang w:val="zh-CN"/>
        </w:rPr>
        <w:t>号决定</w:t>
      </w:r>
      <w:r w:rsidRPr="00972958">
        <w:rPr>
          <w:rFonts w:hint="eastAsia"/>
          <w:lang w:val="en-US"/>
        </w:rPr>
        <w:t>）</w:t>
      </w:r>
      <w:r w:rsidRPr="00972958">
        <w:rPr>
          <w:rFonts w:hint="eastAsia"/>
          <w:lang w:val="zh-CN"/>
        </w:rPr>
        <w:t>。这些决定可能会对各机构从批准的项目赚取的行政费用产生直接影响，从而会影响到各机构对组织和业务需求的规划。</w:t>
      </w:r>
      <w:r w:rsidRPr="00972958">
        <w:rPr>
          <w:lang w:val="en-US"/>
        </w:rPr>
        <w:t xml:space="preserve">  </w:t>
      </w:r>
    </w:p>
    <w:p w14:paraId="52BFBDE2" w14:textId="77777777" w:rsidR="00EE53AD" w:rsidRPr="00972958" w:rsidRDefault="00EE53AD">
      <w:pPr>
        <w:pStyle w:val="Heading1"/>
        <w:topLinePunct/>
        <w:rPr>
          <w:lang w:val="en-US"/>
        </w:rPr>
      </w:pPr>
      <w:r w:rsidRPr="00972958">
        <w:rPr>
          <w:rFonts w:hint="eastAsia"/>
          <w:lang w:val="zh-CN"/>
        </w:rPr>
        <w:t>缔约方大会第三十五届会议商定</w:t>
      </w:r>
      <w:r w:rsidRPr="00972958">
        <w:rPr>
          <w:lang w:val="en-US"/>
        </w:rPr>
        <w:t>2024-2026</w:t>
      </w:r>
      <w:r w:rsidRPr="00972958">
        <w:rPr>
          <w:rStyle w:val="FootnoteReference"/>
          <w:lang w:val="zh-CN"/>
        </w:rPr>
        <w:footnoteReference w:id="2"/>
      </w:r>
      <w:r w:rsidRPr="00972958">
        <w:rPr>
          <w:rFonts w:hint="eastAsia"/>
          <w:lang w:val="zh-CN"/>
        </w:rPr>
        <w:t>三年期的充资水平为</w:t>
      </w:r>
      <w:r w:rsidRPr="00972958">
        <w:rPr>
          <w:lang w:val="en-US"/>
        </w:rPr>
        <w:t>9.65</w:t>
      </w:r>
      <w:r w:rsidRPr="00972958">
        <w:rPr>
          <w:rFonts w:hint="eastAsia"/>
          <w:lang w:val="zh-CN"/>
        </w:rPr>
        <w:t>亿美元</w:t>
      </w:r>
      <w:r w:rsidRPr="00972958">
        <w:rPr>
          <w:rFonts w:hint="eastAsia"/>
          <w:lang w:val="en-US"/>
        </w:rPr>
        <w:t>（</w:t>
      </w:r>
      <w:r w:rsidRPr="00972958">
        <w:rPr>
          <w:rFonts w:hint="eastAsia"/>
          <w:lang w:val="zh-CN"/>
        </w:rPr>
        <w:t>第</w:t>
      </w:r>
      <w:r w:rsidRPr="00972958">
        <w:rPr>
          <w:lang w:val="en-US"/>
        </w:rPr>
        <w:t>XXXV/1</w:t>
      </w:r>
      <w:r w:rsidRPr="00972958">
        <w:rPr>
          <w:rFonts w:hint="eastAsia"/>
          <w:lang w:val="zh-CN"/>
        </w:rPr>
        <w:t>号决定</w:t>
      </w:r>
      <w:r w:rsidRPr="00972958">
        <w:rPr>
          <w:rFonts w:hint="eastAsia"/>
          <w:lang w:val="en-US"/>
        </w:rPr>
        <w:t>）</w:t>
      </w:r>
      <w:r w:rsidRPr="00972958">
        <w:rPr>
          <w:rFonts w:hint="eastAsia"/>
          <w:lang w:val="zh-CN"/>
        </w:rPr>
        <w:t>。这将对各机构未来的业务计划和相应的行政支助费用产生影响。</w:t>
      </w:r>
      <w:r w:rsidRPr="00972958">
        <w:rPr>
          <w:lang w:val="en-US"/>
        </w:rPr>
        <w:t xml:space="preserve"> </w:t>
      </w:r>
    </w:p>
    <w:p w14:paraId="20E466F0" w14:textId="77777777" w:rsidR="00EE53AD" w:rsidRPr="00972958" w:rsidRDefault="00EE53AD" w:rsidP="00EE7B66">
      <w:pPr>
        <w:pStyle w:val="Heading1"/>
        <w:keepNext/>
        <w:keepLines/>
        <w:widowControl w:val="0"/>
        <w:topLinePunct/>
      </w:pPr>
      <w:bookmarkStart w:id="0" w:name="_Hlk151486228"/>
      <w:r w:rsidRPr="00972958">
        <w:rPr>
          <w:rFonts w:hint="eastAsia"/>
          <w:lang w:val="zh-CN"/>
        </w:rPr>
        <w:lastRenderedPageBreak/>
        <w:t>为了编写本文件，秘书处对以下文件进行了分析：</w:t>
      </w:r>
    </w:p>
    <w:bookmarkEnd w:id="0"/>
    <w:p w14:paraId="754DC4E0" w14:textId="77777777" w:rsidR="00EE53AD" w:rsidRPr="00972958" w:rsidRDefault="00EE53AD" w:rsidP="00EE7B66">
      <w:pPr>
        <w:pStyle w:val="Heading2"/>
        <w:keepNext/>
        <w:keepLines/>
        <w:topLinePunct/>
      </w:pPr>
      <w:r w:rsidRPr="00972958">
        <w:rPr>
          <w:rFonts w:hint="eastAsia"/>
          <w:lang w:val="zh-CN"/>
        </w:rPr>
        <w:t>将提交第九十三次会议的多边基金</w:t>
      </w:r>
      <w:r w:rsidRPr="00972958">
        <w:t>2024-2026</w:t>
      </w:r>
      <w:r w:rsidRPr="00972958">
        <w:rPr>
          <w:rFonts w:hint="eastAsia"/>
          <w:lang w:val="zh-CN"/>
        </w:rPr>
        <w:t>年综合业务计划</w:t>
      </w:r>
      <w:r w:rsidRPr="00972958">
        <w:rPr>
          <w:rFonts w:hint="eastAsia"/>
        </w:rPr>
        <w:t>，</w:t>
      </w:r>
      <w:r w:rsidRPr="00972958">
        <w:rPr>
          <w:rStyle w:val="FootnoteReference"/>
          <w:lang w:val="zh-CN"/>
        </w:rPr>
        <w:footnoteReference w:id="3"/>
      </w:r>
      <w:r w:rsidRPr="00972958">
        <w:rPr>
          <w:rFonts w:hint="eastAsia"/>
          <w:lang w:val="zh-CN"/>
        </w:rPr>
        <w:t>以评估执行机构在此期间可用于开展业务的机构支助费用总额</w:t>
      </w:r>
      <w:r w:rsidRPr="00972958">
        <w:rPr>
          <w:rFonts w:hint="eastAsia"/>
        </w:rPr>
        <w:t>，</w:t>
      </w:r>
      <w:r w:rsidRPr="00972958">
        <w:rPr>
          <w:rFonts w:hint="eastAsia"/>
          <w:lang w:val="zh-CN"/>
        </w:rPr>
        <w:t>同时注意到各机构在关于</w:t>
      </w:r>
      <w:r w:rsidRPr="00972958">
        <w:t>2024-2026</w:t>
      </w:r>
      <w:r w:rsidRPr="00972958">
        <w:rPr>
          <w:rFonts w:hint="eastAsia"/>
          <w:lang w:val="zh-CN"/>
        </w:rPr>
        <w:t>年三年期充资水平的第</w:t>
      </w:r>
      <w:r w:rsidRPr="00972958">
        <w:t>XXXV/1</w:t>
      </w:r>
      <w:r w:rsidRPr="00972958">
        <w:rPr>
          <w:rFonts w:hint="eastAsia"/>
          <w:lang w:val="zh-CN"/>
        </w:rPr>
        <w:t>号决定通过之前提交了其</w:t>
      </w:r>
      <w:r w:rsidRPr="00972958">
        <w:t>2024-2026</w:t>
      </w:r>
      <w:r w:rsidRPr="00972958">
        <w:rPr>
          <w:rFonts w:hint="eastAsia"/>
          <w:lang w:val="zh-CN"/>
        </w:rPr>
        <w:t>年期间的业务计划</w:t>
      </w:r>
      <w:r w:rsidRPr="00972958">
        <w:rPr>
          <w:rFonts w:hint="eastAsia"/>
        </w:rPr>
        <w:t>；</w:t>
      </w:r>
    </w:p>
    <w:p w14:paraId="4386AE5A" w14:textId="77777777" w:rsidR="00EE53AD" w:rsidRPr="00972958" w:rsidRDefault="00EE53AD">
      <w:pPr>
        <w:pStyle w:val="Heading2"/>
        <w:topLinePunct/>
      </w:pPr>
      <w:r w:rsidRPr="00972958">
        <w:t>2021</w:t>
      </w:r>
      <w:r w:rsidRPr="00972958">
        <w:rPr>
          <w:rFonts w:hint="eastAsia"/>
          <w:lang w:val="zh-CN"/>
        </w:rPr>
        <w:t>年、</w:t>
      </w:r>
      <w:r w:rsidRPr="00972958">
        <w:t>2022</w:t>
      </w:r>
      <w:r w:rsidRPr="00972958">
        <w:rPr>
          <w:rFonts w:hint="eastAsia"/>
          <w:lang w:val="zh-CN"/>
        </w:rPr>
        <w:t>年和</w:t>
      </w:r>
      <w:r w:rsidRPr="00972958">
        <w:t>2023</w:t>
      </w:r>
      <w:r w:rsidRPr="00972958">
        <w:rPr>
          <w:rFonts w:hint="eastAsia"/>
          <w:lang w:val="zh-CN"/>
        </w:rPr>
        <w:t>年环境署的履约协助方案</w:t>
      </w:r>
      <w:r w:rsidRPr="00972958">
        <w:rPr>
          <w:rFonts w:hint="eastAsia"/>
        </w:rPr>
        <w:t>（</w:t>
      </w:r>
      <w:r w:rsidRPr="00972958">
        <w:t>CAP</w:t>
      </w:r>
      <w:r w:rsidRPr="00972958">
        <w:rPr>
          <w:rFonts w:hint="eastAsia"/>
        </w:rPr>
        <w:t>）</w:t>
      </w:r>
      <w:r w:rsidRPr="00972958">
        <w:rPr>
          <w:rFonts w:hint="eastAsia"/>
          <w:lang w:val="zh-CN"/>
        </w:rPr>
        <w:t>和开发署、工发组织和世界银行的核心单位预算</w:t>
      </w:r>
      <w:r w:rsidRPr="00972958">
        <w:rPr>
          <w:rFonts w:hint="eastAsia"/>
        </w:rPr>
        <w:t>；</w:t>
      </w:r>
      <w:r w:rsidRPr="00972958">
        <w:rPr>
          <w:rStyle w:val="FootnoteReference"/>
          <w:lang w:val="zh-CN"/>
        </w:rPr>
        <w:footnoteReference w:id="4"/>
      </w:r>
    </w:p>
    <w:p w14:paraId="20DB789B" w14:textId="77777777" w:rsidR="00EE53AD" w:rsidRPr="00972958" w:rsidRDefault="00EE53AD">
      <w:pPr>
        <w:pStyle w:val="Heading2"/>
        <w:topLinePunct/>
      </w:pPr>
      <w:r w:rsidRPr="00972958">
        <w:rPr>
          <w:rFonts w:hint="eastAsia"/>
          <w:lang w:val="zh-CN"/>
        </w:rPr>
        <w:t>关于分析多边基金各机构解决逐步减少氢氟碳化物能力的报告已经完成并已提交第九十一次会议。</w:t>
      </w:r>
      <w:r>
        <w:rPr>
          <w:rStyle w:val="FootnoteReference"/>
          <w:lang w:val="zh-CN"/>
        </w:rPr>
        <w:footnoteReference w:id="5"/>
      </w:r>
      <w:r w:rsidRPr="00972958">
        <w:rPr>
          <w:rFonts w:hint="eastAsia"/>
          <w:lang w:val="zh-CN"/>
        </w:rPr>
        <w:t>在对该报告进行讨论后，执行委员会要求秘书处继续与各执行机构讨论它们因为逐步减少氢氟碳化物的工作量预期增加而需提供额外资源的看法，并在审查提交第九十三次会议的多边基金的行政费用机制时对此进行考虑（第</w:t>
      </w:r>
      <w:r w:rsidRPr="00972958">
        <w:rPr>
          <w:lang w:val="zh-CN"/>
        </w:rPr>
        <w:t>91/67</w:t>
      </w:r>
      <w:r w:rsidRPr="00972958">
        <w:rPr>
          <w:rFonts w:hint="eastAsia"/>
          <w:lang w:val="zh-CN"/>
        </w:rPr>
        <w:t>号决定</w:t>
      </w:r>
      <w:r w:rsidRPr="00972958">
        <w:rPr>
          <w:lang w:val="zh-CN"/>
        </w:rPr>
        <w:t>(b)</w:t>
      </w:r>
      <w:r w:rsidRPr="00972958">
        <w:rPr>
          <w:rFonts w:hint="eastAsia"/>
          <w:lang w:val="zh-CN"/>
        </w:rPr>
        <w:t>段）。</w:t>
      </w:r>
    </w:p>
    <w:p w14:paraId="1EAE97D8" w14:textId="77777777" w:rsidR="00EE53AD" w:rsidRPr="00972958" w:rsidRDefault="00EE53AD">
      <w:pPr>
        <w:pStyle w:val="Heading1"/>
        <w:topLinePunct/>
      </w:pPr>
      <w:r w:rsidRPr="00972958">
        <w:rPr>
          <w:rFonts w:hint="eastAsia"/>
          <w:lang w:val="zh-CN"/>
        </w:rPr>
        <w:t>秘书处与每个执行机构就</w:t>
      </w:r>
      <w:r w:rsidRPr="00972958">
        <w:t>2024-2026</w:t>
      </w:r>
      <w:r w:rsidRPr="00972958">
        <w:rPr>
          <w:rFonts w:hint="eastAsia"/>
          <w:lang w:val="zh-CN"/>
        </w:rPr>
        <w:t>年三年期行政费用机制所涉经费问题进行了讨论</w:t>
      </w:r>
      <w:r w:rsidRPr="00972958">
        <w:rPr>
          <w:rFonts w:hint="eastAsia"/>
        </w:rPr>
        <w:t>，</w:t>
      </w:r>
      <w:r w:rsidRPr="00972958">
        <w:rPr>
          <w:rFonts w:hint="eastAsia"/>
          <w:lang w:val="zh-CN"/>
        </w:rPr>
        <w:t>并通过调查问卷设法了解当前行政费用机制支助费用的管理方式、预计将在下一个三年期提交的其他项目的影响、对各国增加支助的需要</w:t>
      </w:r>
      <w:r w:rsidRPr="00972958">
        <w:rPr>
          <w:rFonts w:hint="eastAsia"/>
        </w:rPr>
        <w:t>，</w:t>
      </w:r>
      <w:r w:rsidRPr="00972958">
        <w:rPr>
          <w:rFonts w:hint="eastAsia"/>
          <w:lang w:val="zh-CN"/>
        </w:rPr>
        <w:t>因为有些国家在实施多项活动</w:t>
      </w:r>
      <w:r w:rsidRPr="00972958">
        <w:rPr>
          <w:rFonts w:hint="eastAsia"/>
        </w:rPr>
        <w:t>（</w:t>
      </w:r>
      <w:r w:rsidRPr="00972958">
        <w:rPr>
          <w:rFonts w:hint="eastAsia"/>
          <w:lang w:val="zh-CN"/>
        </w:rPr>
        <w:t>例如</w:t>
      </w:r>
      <w:r w:rsidRPr="00972958">
        <w:rPr>
          <w:rFonts w:hint="eastAsia"/>
        </w:rPr>
        <w:t>，</w:t>
      </w:r>
      <w:r w:rsidRPr="00972958">
        <w:rPr>
          <w:rFonts w:hint="eastAsia"/>
          <w:lang w:val="zh-CN"/>
        </w:rPr>
        <w:t>氟氯烃淘汰管理计划、基加利氢氟碳化物实施计划、能源效率相关项目、不需要的消耗臭氧层物质和氢氟碳化物库存管理</w:t>
      </w:r>
      <w:r w:rsidRPr="00972958">
        <w:rPr>
          <w:rFonts w:hint="eastAsia"/>
        </w:rPr>
        <w:t>）</w:t>
      </w:r>
      <w:r w:rsidRPr="00972958">
        <w:rPr>
          <w:rFonts w:hint="eastAsia"/>
          <w:lang w:val="zh-CN"/>
        </w:rPr>
        <w:t>方面面临挑战以及各机构向低消费量国家提供援助的技术能力需求。</w:t>
      </w:r>
      <w:r w:rsidRPr="00972958">
        <w:t xml:space="preserve">  </w:t>
      </w:r>
    </w:p>
    <w:p w14:paraId="2B040287" w14:textId="77777777" w:rsidR="00EE53AD" w:rsidRPr="00972958" w:rsidRDefault="00EE53AD">
      <w:pPr>
        <w:topLinePunct/>
        <w:rPr>
          <w:b/>
        </w:rPr>
      </w:pPr>
      <w:r w:rsidRPr="00972958">
        <w:rPr>
          <w:rFonts w:hint="eastAsia"/>
          <w:b/>
          <w:lang w:val="zh-CN"/>
        </w:rPr>
        <w:t>多边基金行政费用机制概览</w:t>
      </w:r>
    </w:p>
    <w:p w14:paraId="53E1AC57" w14:textId="77777777" w:rsidR="00EE53AD" w:rsidRPr="00972958" w:rsidRDefault="00EE53AD">
      <w:pPr>
        <w:topLinePunct/>
        <w:rPr>
          <w:b/>
        </w:rPr>
      </w:pPr>
    </w:p>
    <w:p w14:paraId="139D6165" w14:textId="77777777" w:rsidR="00EE53AD" w:rsidRPr="00972958" w:rsidRDefault="00EE53AD">
      <w:pPr>
        <w:pStyle w:val="Heading1"/>
        <w:topLinePunct/>
      </w:pPr>
      <w:r w:rsidRPr="00972958">
        <w:rPr>
          <w:rFonts w:hint="eastAsia"/>
          <w:lang w:val="zh-CN"/>
        </w:rPr>
        <w:t>如表</w:t>
      </w:r>
      <w:r w:rsidRPr="00972958">
        <w:rPr>
          <w:lang w:val="zh-CN"/>
        </w:rPr>
        <w:t>1</w:t>
      </w:r>
      <w:r w:rsidRPr="00972958">
        <w:rPr>
          <w:rFonts w:hint="eastAsia"/>
          <w:lang w:val="zh-CN"/>
        </w:rPr>
        <w:t>所示，自多边基金成立以来，按三年期项目供资批准率计算的方案支助费用（</w:t>
      </w:r>
      <w:r w:rsidRPr="00972958">
        <w:rPr>
          <w:lang w:val="zh-CN"/>
        </w:rPr>
        <w:t>PSC</w:t>
      </w:r>
      <w:r w:rsidRPr="00972958">
        <w:rPr>
          <w:rFonts w:hint="eastAsia"/>
          <w:lang w:val="zh-CN"/>
        </w:rPr>
        <w:t>）比率一般徘徊在</w:t>
      </w:r>
      <w:r w:rsidRPr="00972958">
        <w:rPr>
          <w:lang w:val="zh-CN"/>
        </w:rPr>
        <w:t>13%</w:t>
      </w:r>
      <w:r w:rsidRPr="00972958">
        <w:rPr>
          <w:rFonts w:hint="eastAsia"/>
          <w:lang w:val="zh-CN"/>
        </w:rPr>
        <w:t>以下</w:t>
      </w:r>
      <w:r w:rsidRPr="00972958">
        <w:rPr>
          <w:rStyle w:val="FootnoteReference"/>
          <w:lang w:val="zh-CN"/>
        </w:rPr>
        <w:footnoteReference w:id="6"/>
      </w:r>
      <w:r w:rsidRPr="00972958">
        <w:rPr>
          <w:rFonts w:hint="eastAsia"/>
          <w:lang w:val="zh-CN"/>
        </w:rPr>
        <w:t>。</w:t>
      </w:r>
    </w:p>
    <w:p w14:paraId="0F10688B" w14:textId="1AAC9C34" w:rsidR="00EE53AD" w:rsidRDefault="00EE53AD">
      <w:pPr>
        <w:widowControl w:val="0"/>
        <w:topLinePunct/>
        <w:rPr>
          <w:b/>
          <w:szCs w:val="24"/>
        </w:rPr>
      </w:pPr>
      <w:r w:rsidRPr="00972958">
        <w:rPr>
          <w:rFonts w:hint="eastAsia"/>
          <w:b/>
          <w:lang w:val="zh-CN"/>
        </w:rPr>
        <w:t>表</w:t>
      </w:r>
      <w:r w:rsidRPr="00972958">
        <w:rPr>
          <w:b/>
          <w:lang w:val="zh-CN"/>
        </w:rPr>
        <w:t>1</w:t>
      </w:r>
      <w:r w:rsidRPr="00972958">
        <w:rPr>
          <w:rFonts w:hint="eastAsia"/>
          <w:b/>
          <w:lang w:val="zh-CN"/>
        </w:rPr>
        <w:t>：</w:t>
      </w:r>
      <w:r w:rsidRPr="00972958">
        <w:rPr>
          <w:b/>
          <w:lang w:val="zh-CN"/>
        </w:rPr>
        <w:t xml:space="preserve">   1991</w:t>
      </w:r>
      <w:r w:rsidRPr="00972958">
        <w:rPr>
          <w:rFonts w:hint="eastAsia"/>
          <w:b/>
          <w:lang w:val="zh-CN"/>
        </w:rPr>
        <w:t>年以来多边基金每三年期支付的行政费用百分比</w:t>
      </w:r>
      <w:r w:rsidRPr="00972958">
        <w:rPr>
          <w:rStyle w:val="FootnoteReference"/>
          <w:b/>
          <w:lang w:val="zh-CN"/>
        </w:rPr>
        <w:footnoteReference w:id="7"/>
      </w:r>
    </w:p>
    <w:tbl>
      <w:tblPr>
        <w:tblW w:w="9450" w:type="dxa"/>
        <w:tblInd w:w="-5" w:type="dxa"/>
        <w:tblLayout w:type="fixed"/>
        <w:tblLook w:val="00A0" w:firstRow="1" w:lastRow="0" w:firstColumn="1" w:lastColumn="0" w:noHBand="0" w:noVBand="0"/>
      </w:tblPr>
      <w:tblGrid>
        <w:gridCol w:w="1096"/>
        <w:gridCol w:w="759"/>
        <w:gridCol w:w="759"/>
        <w:gridCol w:w="760"/>
        <w:gridCol w:w="759"/>
        <w:gridCol w:w="760"/>
        <w:gridCol w:w="759"/>
        <w:gridCol w:w="760"/>
        <w:gridCol w:w="759"/>
        <w:gridCol w:w="760"/>
        <w:gridCol w:w="759"/>
        <w:gridCol w:w="760"/>
      </w:tblGrid>
      <w:tr w:rsidR="00EE53AD" w14:paraId="45A89723" w14:textId="77777777">
        <w:trPr>
          <w:trHeight w:val="152"/>
          <w:tblHeader/>
        </w:trPr>
        <w:tc>
          <w:tcPr>
            <w:tcW w:w="1096" w:type="dxa"/>
            <w:tcBorders>
              <w:top w:val="single" w:sz="4" w:space="0" w:color="auto"/>
              <w:left w:val="single" w:sz="4" w:space="0" w:color="auto"/>
              <w:bottom w:val="single" w:sz="4" w:space="0" w:color="auto"/>
              <w:right w:val="single" w:sz="4" w:space="0" w:color="auto"/>
            </w:tcBorders>
            <w:noWrap/>
          </w:tcPr>
          <w:p w14:paraId="03874E1A" w14:textId="77777777" w:rsidR="00EE53AD" w:rsidRPr="00B05567" w:rsidRDefault="00EE53AD" w:rsidP="00EE7B66">
            <w:pPr>
              <w:topLinePunct/>
              <w:jc w:val="center"/>
              <w:rPr>
                <w:sz w:val="20"/>
                <w:szCs w:val="20"/>
              </w:rPr>
            </w:pPr>
            <w:r w:rsidRPr="00B05567">
              <w:rPr>
                <w:rFonts w:hint="eastAsia"/>
                <w:b/>
                <w:sz w:val="20"/>
                <w:szCs w:val="20"/>
                <w:lang w:val="zh-CN"/>
              </w:rPr>
              <w:t>详情</w:t>
            </w:r>
          </w:p>
        </w:tc>
        <w:tc>
          <w:tcPr>
            <w:tcW w:w="759" w:type="dxa"/>
            <w:tcBorders>
              <w:top w:val="single" w:sz="4" w:space="0" w:color="auto"/>
              <w:left w:val="nil"/>
              <w:bottom w:val="single" w:sz="4" w:space="0" w:color="auto"/>
              <w:right w:val="single" w:sz="4" w:space="0" w:color="auto"/>
            </w:tcBorders>
            <w:noWrap/>
            <w:tcMar>
              <w:left w:w="130" w:type="dxa"/>
              <w:right w:w="130" w:type="dxa"/>
            </w:tcMar>
          </w:tcPr>
          <w:p w14:paraId="78CBF85C" w14:textId="77777777" w:rsidR="00EE53AD" w:rsidRPr="00B05567" w:rsidRDefault="00EE53AD" w:rsidP="00EE7B66">
            <w:pPr>
              <w:topLinePunct/>
              <w:ind w:left="-120" w:right="-116"/>
              <w:jc w:val="center"/>
              <w:rPr>
                <w:b/>
                <w:sz w:val="20"/>
                <w:szCs w:val="20"/>
                <w:lang w:val="en-US"/>
              </w:rPr>
            </w:pPr>
            <w:r w:rsidRPr="00B05567">
              <w:rPr>
                <w:b/>
                <w:sz w:val="20"/>
                <w:szCs w:val="20"/>
                <w:lang w:val="en-US"/>
              </w:rPr>
              <w:t>1991-1999</w:t>
            </w:r>
          </w:p>
        </w:tc>
        <w:tc>
          <w:tcPr>
            <w:tcW w:w="759" w:type="dxa"/>
            <w:tcBorders>
              <w:top w:val="single" w:sz="4" w:space="0" w:color="auto"/>
              <w:left w:val="nil"/>
              <w:bottom w:val="single" w:sz="4" w:space="0" w:color="auto"/>
              <w:right w:val="single" w:sz="4" w:space="0" w:color="auto"/>
            </w:tcBorders>
            <w:noWrap/>
            <w:tcMar>
              <w:left w:w="130" w:type="dxa"/>
              <w:right w:w="130" w:type="dxa"/>
            </w:tcMar>
          </w:tcPr>
          <w:p w14:paraId="4403D51C" w14:textId="77777777" w:rsidR="00EE53AD" w:rsidRPr="00B05567" w:rsidRDefault="00EE53AD" w:rsidP="00EE7B66">
            <w:pPr>
              <w:topLinePunct/>
              <w:ind w:left="-120" w:right="-116"/>
              <w:jc w:val="center"/>
              <w:rPr>
                <w:b/>
                <w:sz w:val="20"/>
                <w:szCs w:val="20"/>
                <w:lang w:val="en-US"/>
              </w:rPr>
            </w:pPr>
            <w:r w:rsidRPr="00B05567">
              <w:rPr>
                <w:b/>
                <w:sz w:val="20"/>
                <w:szCs w:val="20"/>
                <w:lang w:val="en-US"/>
              </w:rPr>
              <w:t>2000-2002</w:t>
            </w:r>
          </w:p>
        </w:tc>
        <w:tc>
          <w:tcPr>
            <w:tcW w:w="760" w:type="dxa"/>
            <w:tcBorders>
              <w:top w:val="single" w:sz="4" w:space="0" w:color="auto"/>
              <w:left w:val="nil"/>
              <w:bottom w:val="single" w:sz="4" w:space="0" w:color="auto"/>
              <w:right w:val="single" w:sz="4" w:space="0" w:color="auto"/>
            </w:tcBorders>
            <w:noWrap/>
            <w:tcMar>
              <w:left w:w="130" w:type="dxa"/>
              <w:right w:w="130" w:type="dxa"/>
            </w:tcMar>
          </w:tcPr>
          <w:p w14:paraId="62137E64" w14:textId="77777777" w:rsidR="00EE53AD" w:rsidRPr="00B05567" w:rsidRDefault="00EE53AD" w:rsidP="00EE7B66">
            <w:pPr>
              <w:topLinePunct/>
              <w:ind w:left="-120" w:right="-116"/>
              <w:jc w:val="center"/>
              <w:rPr>
                <w:b/>
                <w:sz w:val="20"/>
                <w:szCs w:val="20"/>
                <w:lang w:val="en-US"/>
              </w:rPr>
            </w:pPr>
            <w:r w:rsidRPr="00B05567">
              <w:rPr>
                <w:b/>
                <w:sz w:val="20"/>
                <w:szCs w:val="20"/>
                <w:lang w:val="en-US"/>
              </w:rPr>
              <w:t>2003-2005</w:t>
            </w:r>
          </w:p>
        </w:tc>
        <w:tc>
          <w:tcPr>
            <w:tcW w:w="759" w:type="dxa"/>
            <w:tcBorders>
              <w:top w:val="single" w:sz="4" w:space="0" w:color="auto"/>
              <w:left w:val="nil"/>
              <w:bottom w:val="single" w:sz="4" w:space="0" w:color="auto"/>
              <w:right w:val="single" w:sz="4" w:space="0" w:color="auto"/>
            </w:tcBorders>
            <w:noWrap/>
            <w:tcMar>
              <w:left w:w="130" w:type="dxa"/>
              <w:right w:w="130" w:type="dxa"/>
            </w:tcMar>
          </w:tcPr>
          <w:p w14:paraId="20E4BFC3" w14:textId="77777777" w:rsidR="00EE53AD" w:rsidRPr="00B05567" w:rsidRDefault="00EE53AD" w:rsidP="00EE7B66">
            <w:pPr>
              <w:topLinePunct/>
              <w:ind w:left="-120" w:right="-116"/>
              <w:jc w:val="center"/>
              <w:rPr>
                <w:b/>
                <w:sz w:val="20"/>
                <w:szCs w:val="20"/>
                <w:lang w:val="en-US"/>
              </w:rPr>
            </w:pPr>
            <w:r w:rsidRPr="00B05567">
              <w:rPr>
                <w:b/>
                <w:sz w:val="20"/>
                <w:szCs w:val="20"/>
                <w:lang w:val="en-US"/>
              </w:rPr>
              <w:t>2006-2008</w:t>
            </w:r>
          </w:p>
        </w:tc>
        <w:tc>
          <w:tcPr>
            <w:tcW w:w="760" w:type="dxa"/>
            <w:tcBorders>
              <w:top w:val="single" w:sz="4" w:space="0" w:color="auto"/>
              <w:left w:val="nil"/>
              <w:bottom w:val="single" w:sz="4" w:space="0" w:color="auto"/>
              <w:right w:val="single" w:sz="4" w:space="0" w:color="auto"/>
            </w:tcBorders>
            <w:noWrap/>
            <w:tcMar>
              <w:left w:w="130" w:type="dxa"/>
              <w:right w:w="130" w:type="dxa"/>
            </w:tcMar>
          </w:tcPr>
          <w:p w14:paraId="029D51DE" w14:textId="77777777" w:rsidR="00EE53AD" w:rsidRPr="00B05567" w:rsidRDefault="00EE53AD" w:rsidP="00EE7B66">
            <w:pPr>
              <w:topLinePunct/>
              <w:ind w:left="-120" w:right="-116"/>
              <w:jc w:val="center"/>
              <w:rPr>
                <w:b/>
                <w:sz w:val="20"/>
                <w:szCs w:val="20"/>
                <w:lang w:val="en-US"/>
              </w:rPr>
            </w:pPr>
            <w:r w:rsidRPr="00B05567">
              <w:rPr>
                <w:b/>
                <w:sz w:val="20"/>
                <w:szCs w:val="20"/>
                <w:lang w:val="en-US"/>
              </w:rPr>
              <w:t>2009-2011</w:t>
            </w:r>
          </w:p>
        </w:tc>
        <w:tc>
          <w:tcPr>
            <w:tcW w:w="759" w:type="dxa"/>
            <w:tcBorders>
              <w:top w:val="single" w:sz="4" w:space="0" w:color="auto"/>
              <w:left w:val="nil"/>
              <w:bottom w:val="single" w:sz="4" w:space="0" w:color="auto"/>
              <w:right w:val="single" w:sz="4" w:space="0" w:color="auto"/>
            </w:tcBorders>
            <w:noWrap/>
            <w:tcMar>
              <w:left w:w="130" w:type="dxa"/>
              <w:right w:w="130" w:type="dxa"/>
            </w:tcMar>
          </w:tcPr>
          <w:p w14:paraId="685A63B3" w14:textId="77777777" w:rsidR="00EE53AD" w:rsidRPr="00B05567" w:rsidRDefault="00EE53AD" w:rsidP="00EE7B66">
            <w:pPr>
              <w:topLinePunct/>
              <w:ind w:left="-120" w:right="-116"/>
              <w:jc w:val="center"/>
              <w:rPr>
                <w:b/>
                <w:sz w:val="20"/>
                <w:szCs w:val="20"/>
                <w:lang w:val="en-US"/>
              </w:rPr>
            </w:pPr>
            <w:r w:rsidRPr="00B05567">
              <w:rPr>
                <w:b/>
                <w:sz w:val="20"/>
                <w:szCs w:val="20"/>
                <w:lang w:val="en-US"/>
              </w:rPr>
              <w:t>2012-2014</w:t>
            </w:r>
          </w:p>
        </w:tc>
        <w:tc>
          <w:tcPr>
            <w:tcW w:w="760" w:type="dxa"/>
            <w:tcBorders>
              <w:top w:val="single" w:sz="4" w:space="0" w:color="auto"/>
              <w:left w:val="nil"/>
              <w:bottom w:val="single" w:sz="4" w:space="0" w:color="auto"/>
              <w:right w:val="single" w:sz="4" w:space="0" w:color="auto"/>
            </w:tcBorders>
            <w:noWrap/>
            <w:tcMar>
              <w:left w:w="130" w:type="dxa"/>
              <w:right w:w="130" w:type="dxa"/>
            </w:tcMar>
          </w:tcPr>
          <w:p w14:paraId="6EAFB0C1" w14:textId="77777777" w:rsidR="00EE53AD" w:rsidRPr="00B05567" w:rsidRDefault="00EE53AD" w:rsidP="00EE7B66">
            <w:pPr>
              <w:topLinePunct/>
              <w:ind w:left="-120" w:right="-116"/>
              <w:jc w:val="center"/>
              <w:rPr>
                <w:b/>
                <w:sz w:val="20"/>
                <w:szCs w:val="20"/>
                <w:lang w:val="en-US"/>
              </w:rPr>
            </w:pPr>
            <w:r w:rsidRPr="00B05567">
              <w:rPr>
                <w:b/>
                <w:sz w:val="20"/>
                <w:szCs w:val="20"/>
                <w:lang w:val="en-US"/>
              </w:rPr>
              <w:t>2015-2017</w:t>
            </w:r>
          </w:p>
        </w:tc>
        <w:tc>
          <w:tcPr>
            <w:tcW w:w="759" w:type="dxa"/>
            <w:tcBorders>
              <w:top w:val="single" w:sz="4" w:space="0" w:color="auto"/>
              <w:left w:val="nil"/>
              <w:bottom w:val="single" w:sz="4" w:space="0" w:color="auto"/>
              <w:right w:val="single" w:sz="4" w:space="0" w:color="auto"/>
            </w:tcBorders>
            <w:noWrap/>
            <w:tcMar>
              <w:left w:w="130" w:type="dxa"/>
              <w:right w:w="130" w:type="dxa"/>
            </w:tcMar>
          </w:tcPr>
          <w:p w14:paraId="651CCE14" w14:textId="77777777" w:rsidR="00EE53AD" w:rsidRPr="00B05567" w:rsidRDefault="00EE53AD" w:rsidP="00EE7B66">
            <w:pPr>
              <w:topLinePunct/>
              <w:ind w:left="-120" w:right="-116"/>
              <w:jc w:val="center"/>
              <w:rPr>
                <w:b/>
                <w:sz w:val="20"/>
                <w:szCs w:val="20"/>
                <w:lang w:val="en-US"/>
              </w:rPr>
            </w:pPr>
            <w:r w:rsidRPr="00B05567">
              <w:rPr>
                <w:b/>
                <w:sz w:val="20"/>
                <w:szCs w:val="20"/>
                <w:lang w:val="en-US"/>
              </w:rPr>
              <w:t>2018-2020</w:t>
            </w:r>
          </w:p>
        </w:tc>
        <w:tc>
          <w:tcPr>
            <w:tcW w:w="760" w:type="dxa"/>
            <w:tcBorders>
              <w:top w:val="single" w:sz="4" w:space="0" w:color="auto"/>
              <w:left w:val="nil"/>
              <w:bottom w:val="single" w:sz="4" w:space="0" w:color="auto"/>
              <w:right w:val="single" w:sz="4" w:space="0" w:color="auto"/>
            </w:tcBorders>
            <w:noWrap/>
            <w:tcMar>
              <w:left w:w="130" w:type="dxa"/>
              <w:right w:w="130" w:type="dxa"/>
            </w:tcMar>
          </w:tcPr>
          <w:p w14:paraId="1D1AB9BF" w14:textId="77777777" w:rsidR="00EE53AD" w:rsidRPr="00B05567" w:rsidRDefault="00EE53AD" w:rsidP="00EE7B66">
            <w:pPr>
              <w:topLinePunct/>
              <w:ind w:left="-192" w:right="-206"/>
              <w:jc w:val="center"/>
              <w:rPr>
                <w:b/>
                <w:sz w:val="20"/>
                <w:szCs w:val="20"/>
                <w:lang w:val="en-US"/>
              </w:rPr>
            </w:pPr>
            <w:r w:rsidRPr="00B05567">
              <w:rPr>
                <w:b/>
                <w:sz w:val="20"/>
                <w:szCs w:val="20"/>
                <w:lang w:val="en-US"/>
              </w:rPr>
              <w:t>2021-</w:t>
            </w:r>
          </w:p>
          <w:p w14:paraId="25549E1E" w14:textId="77777777" w:rsidR="00EE53AD" w:rsidRPr="00B05567" w:rsidRDefault="00EE53AD" w:rsidP="00EE7B66">
            <w:pPr>
              <w:topLinePunct/>
              <w:ind w:left="-192" w:right="-206"/>
              <w:jc w:val="center"/>
              <w:rPr>
                <w:b/>
                <w:sz w:val="20"/>
                <w:szCs w:val="20"/>
                <w:lang w:val="en-US"/>
              </w:rPr>
            </w:pPr>
            <w:r w:rsidRPr="00B05567">
              <w:rPr>
                <w:b/>
                <w:sz w:val="20"/>
                <w:szCs w:val="20"/>
                <w:lang w:val="en-US"/>
              </w:rPr>
              <w:t>2023*</w:t>
            </w:r>
          </w:p>
        </w:tc>
        <w:tc>
          <w:tcPr>
            <w:tcW w:w="759" w:type="dxa"/>
            <w:tcBorders>
              <w:top w:val="single" w:sz="4" w:space="0" w:color="auto"/>
              <w:left w:val="nil"/>
              <w:bottom w:val="single" w:sz="4" w:space="0" w:color="auto"/>
              <w:right w:val="single" w:sz="4" w:space="0" w:color="auto"/>
            </w:tcBorders>
            <w:noWrap/>
            <w:tcMar>
              <w:left w:w="130" w:type="dxa"/>
              <w:right w:w="130" w:type="dxa"/>
            </w:tcMar>
          </w:tcPr>
          <w:p w14:paraId="3A42B48C" w14:textId="77777777" w:rsidR="00EE53AD" w:rsidRPr="00B05567" w:rsidRDefault="00EE53AD" w:rsidP="00EE7B66">
            <w:pPr>
              <w:topLinePunct/>
              <w:ind w:left="-120" w:right="-116"/>
              <w:jc w:val="center"/>
              <w:rPr>
                <w:b/>
                <w:sz w:val="20"/>
                <w:szCs w:val="20"/>
                <w:lang w:val="en-US"/>
              </w:rPr>
            </w:pPr>
            <w:r w:rsidRPr="00B05567">
              <w:rPr>
                <w:b/>
                <w:sz w:val="20"/>
                <w:szCs w:val="20"/>
                <w:lang w:val="en-US"/>
              </w:rPr>
              <w:t>2024-2026**</w:t>
            </w:r>
          </w:p>
        </w:tc>
        <w:tc>
          <w:tcPr>
            <w:tcW w:w="760" w:type="dxa"/>
            <w:tcBorders>
              <w:top w:val="single" w:sz="4" w:space="0" w:color="auto"/>
              <w:left w:val="nil"/>
              <w:bottom w:val="single" w:sz="4" w:space="0" w:color="auto"/>
              <w:right w:val="single" w:sz="4" w:space="0" w:color="auto"/>
            </w:tcBorders>
            <w:noWrap/>
            <w:tcMar>
              <w:left w:w="130" w:type="dxa"/>
              <w:right w:w="130" w:type="dxa"/>
            </w:tcMar>
          </w:tcPr>
          <w:p w14:paraId="2C153BEC" w14:textId="77777777" w:rsidR="00EE53AD" w:rsidRPr="00B05567" w:rsidRDefault="00EE53AD" w:rsidP="00EE7B66">
            <w:pPr>
              <w:topLinePunct/>
              <w:jc w:val="center"/>
              <w:rPr>
                <w:sz w:val="20"/>
                <w:szCs w:val="20"/>
              </w:rPr>
            </w:pPr>
            <w:r w:rsidRPr="00B05567">
              <w:rPr>
                <w:rFonts w:hint="eastAsia"/>
                <w:b/>
                <w:sz w:val="20"/>
                <w:szCs w:val="20"/>
                <w:lang w:val="zh-CN"/>
              </w:rPr>
              <w:t>共计</w:t>
            </w:r>
          </w:p>
        </w:tc>
      </w:tr>
      <w:tr w:rsidR="00EE53AD" w14:paraId="409F96F8" w14:textId="77777777">
        <w:trPr>
          <w:trHeight w:val="62"/>
        </w:trPr>
        <w:tc>
          <w:tcPr>
            <w:tcW w:w="1096" w:type="dxa"/>
            <w:tcBorders>
              <w:top w:val="nil"/>
              <w:left w:val="single" w:sz="4" w:space="0" w:color="auto"/>
              <w:bottom w:val="single" w:sz="4" w:space="0" w:color="auto"/>
              <w:right w:val="single" w:sz="4" w:space="0" w:color="auto"/>
            </w:tcBorders>
            <w:noWrap/>
          </w:tcPr>
          <w:p w14:paraId="6FBB01B6" w14:textId="77777777" w:rsidR="00EE53AD" w:rsidRPr="00B05567" w:rsidRDefault="00EE53AD" w:rsidP="00EE7B66">
            <w:pPr>
              <w:topLinePunct/>
              <w:jc w:val="left"/>
              <w:rPr>
                <w:sz w:val="20"/>
                <w:szCs w:val="20"/>
              </w:rPr>
            </w:pPr>
            <w:r w:rsidRPr="00B05567">
              <w:rPr>
                <w:rFonts w:hint="eastAsia"/>
                <w:sz w:val="20"/>
                <w:szCs w:val="20"/>
                <w:lang w:val="zh-CN"/>
              </w:rPr>
              <w:t>双边机构</w:t>
            </w:r>
          </w:p>
        </w:tc>
        <w:tc>
          <w:tcPr>
            <w:tcW w:w="759" w:type="dxa"/>
            <w:tcBorders>
              <w:top w:val="nil"/>
              <w:left w:val="nil"/>
              <w:bottom w:val="single" w:sz="4" w:space="0" w:color="auto"/>
              <w:right w:val="single" w:sz="4" w:space="0" w:color="auto"/>
            </w:tcBorders>
            <w:noWrap/>
          </w:tcPr>
          <w:p w14:paraId="743DA7D0" w14:textId="77777777" w:rsidR="00EE53AD" w:rsidRPr="00B05567" w:rsidRDefault="00EE53AD" w:rsidP="00EE7B66">
            <w:pPr>
              <w:topLinePunct/>
              <w:jc w:val="center"/>
              <w:rPr>
                <w:sz w:val="20"/>
                <w:szCs w:val="20"/>
                <w:lang w:val="en-US"/>
              </w:rPr>
            </w:pPr>
            <w:r w:rsidRPr="00B05567">
              <w:rPr>
                <w:sz w:val="20"/>
                <w:szCs w:val="20"/>
                <w:lang w:val="en-US"/>
              </w:rPr>
              <w:t>2.8</w:t>
            </w:r>
          </w:p>
        </w:tc>
        <w:tc>
          <w:tcPr>
            <w:tcW w:w="759" w:type="dxa"/>
            <w:tcBorders>
              <w:top w:val="nil"/>
              <w:left w:val="nil"/>
              <w:bottom w:val="single" w:sz="4" w:space="0" w:color="auto"/>
              <w:right w:val="single" w:sz="4" w:space="0" w:color="auto"/>
            </w:tcBorders>
            <w:noWrap/>
          </w:tcPr>
          <w:p w14:paraId="7C5BCAC6" w14:textId="77777777" w:rsidR="00EE53AD" w:rsidRPr="00B05567" w:rsidRDefault="00EE53AD" w:rsidP="00EE7B66">
            <w:pPr>
              <w:topLinePunct/>
              <w:jc w:val="center"/>
              <w:rPr>
                <w:sz w:val="20"/>
                <w:szCs w:val="20"/>
                <w:lang w:val="en-US"/>
              </w:rPr>
            </w:pPr>
            <w:r w:rsidRPr="00B05567">
              <w:rPr>
                <w:sz w:val="20"/>
                <w:szCs w:val="20"/>
                <w:lang w:val="en-US"/>
              </w:rPr>
              <w:t>11.4</w:t>
            </w:r>
          </w:p>
        </w:tc>
        <w:tc>
          <w:tcPr>
            <w:tcW w:w="760" w:type="dxa"/>
            <w:tcBorders>
              <w:top w:val="nil"/>
              <w:left w:val="nil"/>
              <w:bottom w:val="single" w:sz="4" w:space="0" w:color="auto"/>
              <w:right w:val="single" w:sz="4" w:space="0" w:color="auto"/>
            </w:tcBorders>
            <w:noWrap/>
          </w:tcPr>
          <w:p w14:paraId="687F03A4" w14:textId="77777777" w:rsidR="00EE53AD" w:rsidRPr="00B05567" w:rsidRDefault="00EE53AD" w:rsidP="00EE7B66">
            <w:pPr>
              <w:topLinePunct/>
              <w:jc w:val="center"/>
              <w:rPr>
                <w:sz w:val="20"/>
                <w:szCs w:val="20"/>
                <w:lang w:val="en-US"/>
              </w:rPr>
            </w:pPr>
            <w:r w:rsidRPr="00B05567">
              <w:rPr>
                <w:sz w:val="20"/>
                <w:szCs w:val="20"/>
                <w:lang w:val="en-US"/>
              </w:rPr>
              <w:t>10.7</w:t>
            </w:r>
          </w:p>
        </w:tc>
        <w:tc>
          <w:tcPr>
            <w:tcW w:w="759" w:type="dxa"/>
            <w:tcBorders>
              <w:top w:val="nil"/>
              <w:left w:val="nil"/>
              <w:bottom w:val="single" w:sz="4" w:space="0" w:color="auto"/>
              <w:right w:val="single" w:sz="4" w:space="0" w:color="auto"/>
            </w:tcBorders>
            <w:noWrap/>
          </w:tcPr>
          <w:p w14:paraId="6BBB9234" w14:textId="77777777" w:rsidR="00EE53AD" w:rsidRPr="00B05567" w:rsidRDefault="00EE53AD" w:rsidP="00EE7B66">
            <w:pPr>
              <w:topLinePunct/>
              <w:jc w:val="center"/>
              <w:rPr>
                <w:sz w:val="20"/>
                <w:szCs w:val="20"/>
                <w:lang w:val="en-US"/>
              </w:rPr>
            </w:pPr>
            <w:r w:rsidRPr="00B05567">
              <w:rPr>
                <w:sz w:val="20"/>
                <w:szCs w:val="20"/>
                <w:lang w:val="en-US"/>
              </w:rPr>
              <w:t>12.4</w:t>
            </w:r>
          </w:p>
        </w:tc>
        <w:tc>
          <w:tcPr>
            <w:tcW w:w="760" w:type="dxa"/>
            <w:tcBorders>
              <w:top w:val="nil"/>
              <w:left w:val="nil"/>
              <w:bottom w:val="single" w:sz="4" w:space="0" w:color="auto"/>
              <w:right w:val="single" w:sz="4" w:space="0" w:color="auto"/>
            </w:tcBorders>
            <w:noWrap/>
          </w:tcPr>
          <w:p w14:paraId="15E4B6C0" w14:textId="77777777" w:rsidR="00EE53AD" w:rsidRPr="00B05567" w:rsidRDefault="00EE53AD" w:rsidP="00EE7B66">
            <w:pPr>
              <w:topLinePunct/>
              <w:jc w:val="center"/>
              <w:rPr>
                <w:sz w:val="20"/>
                <w:szCs w:val="20"/>
                <w:lang w:val="en-US"/>
              </w:rPr>
            </w:pPr>
            <w:r w:rsidRPr="00B05567">
              <w:rPr>
                <w:sz w:val="20"/>
                <w:szCs w:val="20"/>
                <w:lang w:val="en-US"/>
              </w:rPr>
              <w:t>12.3</w:t>
            </w:r>
          </w:p>
        </w:tc>
        <w:tc>
          <w:tcPr>
            <w:tcW w:w="759" w:type="dxa"/>
            <w:tcBorders>
              <w:top w:val="nil"/>
              <w:left w:val="nil"/>
              <w:bottom w:val="single" w:sz="4" w:space="0" w:color="auto"/>
              <w:right w:val="single" w:sz="4" w:space="0" w:color="auto"/>
            </w:tcBorders>
            <w:noWrap/>
          </w:tcPr>
          <w:p w14:paraId="02439FEC" w14:textId="77777777" w:rsidR="00EE53AD" w:rsidRPr="00B05567" w:rsidRDefault="00EE53AD" w:rsidP="00EE7B66">
            <w:pPr>
              <w:topLinePunct/>
              <w:jc w:val="center"/>
              <w:rPr>
                <w:sz w:val="20"/>
                <w:szCs w:val="20"/>
                <w:lang w:val="en-US"/>
              </w:rPr>
            </w:pPr>
            <w:r w:rsidRPr="00B05567">
              <w:rPr>
                <w:sz w:val="20"/>
                <w:szCs w:val="20"/>
                <w:lang w:val="en-US"/>
              </w:rPr>
              <w:t>11.7</w:t>
            </w:r>
          </w:p>
        </w:tc>
        <w:tc>
          <w:tcPr>
            <w:tcW w:w="760" w:type="dxa"/>
            <w:tcBorders>
              <w:top w:val="nil"/>
              <w:left w:val="nil"/>
              <w:bottom w:val="single" w:sz="4" w:space="0" w:color="auto"/>
              <w:right w:val="single" w:sz="4" w:space="0" w:color="auto"/>
            </w:tcBorders>
            <w:noWrap/>
          </w:tcPr>
          <w:p w14:paraId="775ACEBD" w14:textId="77777777" w:rsidR="00EE53AD" w:rsidRPr="00B05567" w:rsidRDefault="00EE53AD" w:rsidP="00EE7B66">
            <w:pPr>
              <w:topLinePunct/>
              <w:jc w:val="center"/>
              <w:rPr>
                <w:sz w:val="20"/>
                <w:szCs w:val="20"/>
                <w:lang w:val="en-US"/>
              </w:rPr>
            </w:pPr>
            <w:r w:rsidRPr="00B05567">
              <w:rPr>
                <w:sz w:val="20"/>
                <w:szCs w:val="20"/>
                <w:lang w:val="en-US"/>
              </w:rPr>
              <w:t>11.8</w:t>
            </w:r>
          </w:p>
        </w:tc>
        <w:tc>
          <w:tcPr>
            <w:tcW w:w="759" w:type="dxa"/>
            <w:tcBorders>
              <w:top w:val="nil"/>
              <w:left w:val="nil"/>
              <w:bottom w:val="single" w:sz="4" w:space="0" w:color="auto"/>
              <w:right w:val="single" w:sz="4" w:space="0" w:color="auto"/>
            </w:tcBorders>
            <w:noWrap/>
          </w:tcPr>
          <w:p w14:paraId="71BA16BB" w14:textId="77777777" w:rsidR="00EE53AD" w:rsidRPr="00B05567" w:rsidRDefault="00EE53AD" w:rsidP="00EE7B66">
            <w:pPr>
              <w:topLinePunct/>
              <w:jc w:val="center"/>
              <w:rPr>
                <w:sz w:val="20"/>
                <w:szCs w:val="20"/>
                <w:lang w:val="en-US"/>
              </w:rPr>
            </w:pPr>
            <w:r w:rsidRPr="00B05567">
              <w:rPr>
                <w:sz w:val="20"/>
                <w:szCs w:val="20"/>
                <w:lang w:val="en-US"/>
              </w:rPr>
              <w:t>11.5</w:t>
            </w:r>
          </w:p>
        </w:tc>
        <w:tc>
          <w:tcPr>
            <w:tcW w:w="760" w:type="dxa"/>
            <w:tcBorders>
              <w:top w:val="nil"/>
              <w:left w:val="nil"/>
              <w:bottom w:val="single" w:sz="4" w:space="0" w:color="auto"/>
              <w:right w:val="single" w:sz="4" w:space="0" w:color="auto"/>
            </w:tcBorders>
            <w:noWrap/>
          </w:tcPr>
          <w:p w14:paraId="0B06EE43" w14:textId="77777777" w:rsidR="00EE53AD" w:rsidRPr="00B05567" w:rsidRDefault="00EE53AD" w:rsidP="00EE7B66">
            <w:pPr>
              <w:topLinePunct/>
              <w:jc w:val="center"/>
              <w:rPr>
                <w:sz w:val="20"/>
                <w:szCs w:val="20"/>
                <w:lang w:val="en-US"/>
              </w:rPr>
            </w:pPr>
            <w:r w:rsidRPr="00B05567">
              <w:rPr>
                <w:sz w:val="20"/>
                <w:szCs w:val="20"/>
                <w:lang w:val="en-US"/>
              </w:rPr>
              <w:t>11.8</w:t>
            </w:r>
          </w:p>
        </w:tc>
        <w:tc>
          <w:tcPr>
            <w:tcW w:w="759" w:type="dxa"/>
            <w:tcBorders>
              <w:top w:val="nil"/>
              <w:left w:val="nil"/>
              <w:bottom w:val="single" w:sz="4" w:space="0" w:color="auto"/>
              <w:right w:val="single" w:sz="4" w:space="0" w:color="auto"/>
            </w:tcBorders>
            <w:noWrap/>
          </w:tcPr>
          <w:p w14:paraId="23EF2A3A" w14:textId="77777777" w:rsidR="00EE53AD" w:rsidRPr="00B05567" w:rsidRDefault="00EE53AD" w:rsidP="00EE7B66">
            <w:pPr>
              <w:topLinePunct/>
              <w:jc w:val="center"/>
              <w:rPr>
                <w:sz w:val="20"/>
                <w:szCs w:val="20"/>
                <w:lang w:val="en-US"/>
              </w:rPr>
            </w:pPr>
            <w:r w:rsidRPr="00B05567">
              <w:rPr>
                <w:sz w:val="20"/>
                <w:szCs w:val="20"/>
                <w:lang w:val="en-US"/>
              </w:rPr>
              <w:t>11.4</w:t>
            </w:r>
          </w:p>
        </w:tc>
        <w:tc>
          <w:tcPr>
            <w:tcW w:w="760" w:type="dxa"/>
            <w:tcBorders>
              <w:top w:val="nil"/>
              <w:left w:val="nil"/>
              <w:bottom w:val="single" w:sz="4" w:space="0" w:color="auto"/>
              <w:right w:val="single" w:sz="4" w:space="0" w:color="auto"/>
            </w:tcBorders>
            <w:noWrap/>
          </w:tcPr>
          <w:p w14:paraId="2933BB27" w14:textId="77777777" w:rsidR="00EE53AD" w:rsidRPr="00B05567" w:rsidRDefault="00EE53AD" w:rsidP="00EE7B66">
            <w:pPr>
              <w:topLinePunct/>
              <w:jc w:val="center"/>
              <w:rPr>
                <w:sz w:val="20"/>
                <w:szCs w:val="20"/>
                <w:lang w:val="en-US"/>
              </w:rPr>
            </w:pPr>
            <w:r w:rsidRPr="00B05567">
              <w:rPr>
                <w:sz w:val="20"/>
                <w:szCs w:val="20"/>
                <w:lang w:val="en-US"/>
              </w:rPr>
              <w:t>9.9</w:t>
            </w:r>
          </w:p>
        </w:tc>
      </w:tr>
      <w:tr w:rsidR="00EE53AD" w14:paraId="0BD1A325" w14:textId="77777777">
        <w:trPr>
          <w:trHeight w:val="44"/>
        </w:trPr>
        <w:tc>
          <w:tcPr>
            <w:tcW w:w="1096" w:type="dxa"/>
            <w:tcBorders>
              <w:top w:val="nil"/>
              <w:left w:val="single" w:sz="4" w:space="0" w:color="auto"/>
              <w:bottom w:val="single" w:sz="4" w:space="0" w:color="auto"/>
              <w:right w:val="single" w:sz="4" w:space="0" w:color="auto"/>
            </w:tcBorders>
            <w:noWrap/>
          </w:tcPr>
          <w:p w14:paraId="456F6CBA" w14:textId="77777777" w:rsidR="00EE53AD" w:rsidRPr="00B05567" w:rsidRDefault="00EE53AD" w:rsidP="00EE7B66">
            <w:pPr>
              <w:topLinePunct/>
              <w:jc w:val="left"/>
              <w:rPr>
                <w:sz w:val="20"/>
                <w:szCs w:val="20"/>
              </w:rPr>
            </w:pPr>
            <w:r w:rsidRPr="00B05567">
              <w:rPr>
                <w:rFonts w:hint="eastAsia"/>
                <w:sz w:val="20"/>
                <w:szCs w:val="20"/>
                <w:lang w:val="zh-CN"/>
              </w:rPr>
              <w:t>开发署</w:t>
            </w:r>
          </w:p>
        </w:tc>
        <w:tc>
          <w:tcPr>
            <w:tcW w:w="759" w:type="dxa"/>
            <w:tcBorders>
              <w:top w:val="nil"/>
              <w:left w:val="nil"/>
              <w:bottom w:val="single" w:sz="4" w:space="0" w:color="auto"/>
              <w:right w:val="single" w:sz="4" w:space="0" w:color="auto"/>
            </w:tcBorders>
            <w:noWrap/>
          </w:tcPr>
          <w:p w14:paraId="5EAB0418" w14:textId="77777777" w:rsidR="00EE53AD" w:rsidRPr="00B05567" w:rsidRDefault="00EE53AD" w:rsidP="00EE7B66">
            <w:pPr>
              <w:topLinePunct/>
              <w:jc w:val="center"/>
              <w:rPr>
                <w:sz w:val="20"/>
                <w:szCs w:val="20"/>
                <w:lang w:val="en-US"/>
              </w:rPr>
            </w:pPr>
            <w:r w:rsidRPr="00B05567">
              <w:rPr>
                <w:sz w:val="20"/>
                <w:szCs w:val="20"/>
                <w:lang w:val="en-US"/>
              </w:rPr>
              <w:t>12.9</w:t>
            </w:r>
          </w:p>
        </w:tc>
        <w:tc>
          <w:tcPr>
            <w:tcW w:w="759" w:type="dxa"/>
            <w:tcBorders>
              <w:top w:val="nil"/>
              <w:left w:val="nil"/>
              <w:bottom w:val="single" w:sz="4" w:space="0" w:color="auto"/>
              <w:right w:val="single" w:sz="4" w:space="0" w:color="auto"/>
            </w:tcBorders>
            <w:noWrap/>
          </w:tcPr>
          <w:p w14:paraId="61C8F577" w14:textId="77777777" w:rsidR="00EE53AD" w:rsidRPr="00B05567" w:rsidRDefault="00EE53AD" w:rsidP="00EE7B66">
            <w:pPr>
              <w:topLinePunct/>
              <w:jc w:val="center"/>
              <w:rPr>
                <w:sz w:val="20"/>
                <w:szCs w:val="20"/>
                <w:lang w:val="en-US"/>
              </w:rPr>
            </w:pPr>
            <w:r w:rsidRPr="00B05567">
              <w:rPr>
                <w:sz w:val="20"/>
                <w:szCs w:val="20"/>
                <w:lang w:val="en-US"/>
              </w:rPr>
              <w:t>12.9</w:t>
            </w:r>
          </w:p>
        </w:tc>
        <w:tc>
          <w:tcPr>
            <w:tcW w:w="760" w:type="dxa"/>
            <w:tcBorders>
              <w:top w:val="nil"/>
              <w:left w:val="nil"/>
              <w:bottom w:val="single" w:sz="4" w:space="0" w:color="auto"/>
              <w:right w:val="single" w:sz="4" w:space="0" w:color="auto"/>
            </w:tcBorders>
            <w:noWrap/>
          </w:tcPr>
          <w:p w14:paraId="757DD3E2" w14:textId="77777777" w:rsidR="00EE53AD" w:rsidRPr="00B05567" w:rsidRDefault="00EE53AD" w:rsidP="00EE7B66">
            <w:pPr>
              <w:topLinePunct/>
              <w:jc w:val="center"/>
              <w:rPr>
                <w:sz w:val="20"/>
                <w:szCs w:val="20"/>
                <w:lang w:val="en-US"/>
              </w:rPr>
            </w:pPr>
            <w:r w:rsidRPr="00B05567">
              <w:rPr>
                <w:sz w:val="20"/>
                <w:szCs w:val="20"/>
                <w:lang w:val="en-US"/>
              </w:rPr>
              <w:t>13.2</w:t>
            </w:r>
          </w:p>
        </w:tc>
        <w:tc>
          <w:tcPr>
            <w:tcW w:w="759" w:type="dxa"/>
            <w:tcBorders>
              <w:top w:val="nil"/>
              <w:left w:val="nil"/>
              <w:bottom w:val="single" w:sz="4" w:space="0" w:color="auto"/>
              <w:right w:val="single" w:sz="4" w:space="0" w:color="auto"/>
            </w:tcBorders>
            <w:noWrap/>
          </w:tcPr>
          <w:p w14:paraId="77367664" w14:textId="77777777" w:rsidR="00EE53AD" w:rsidRPr="00B05567" w:rsidRDefault="00EE53AD" w:rsidP="00EE7B66">
            <w:pPr>
              <w:topLinePunct/>
              <w:jc w:val="center"/>
              <w:rPr>
                <w:sz w:val="20"/>
                <w:szCs w:val="20"/>
                <w:lang w:val="en-US"/>
              </w:rPr>
            </w:pPr>
            <w:r w:rsidRPr="00B05567">
              <w:rPr>
                <w:sz w:val="20"/>
                <w:szCs w:val="20"/>
                <w:lang w:val="en-US"/>
              </w:rPr>
              <w:t>18.3</w:t>
            </w:r>
          </w:p>
        </w:tc>
        <w:tc>
          <w:tcPr>
            <w:tcW w:w="760" w:type="dxa"/>
            <w:tcBorders>
              <w:top w:val="nil"/>
              <w:left w:val="nil"/>
              <w:bottom w:val="single" w:sz="4" w:space="0" w:color="auto"/>
              <w:right w:val="single" w:sz="4" w:space="0" w:color="auto"/>
            </w:tcBorders>
            <w:noWrap/>
          </w:tcPr>
          <w:p w14:paraId="7F68CCBD" w14:textId="77777777" w:rsidR="00EE53AD" w:rsidRPr="00B05567" w:rsidRDefault="00EE53AD" w:rsidP="00EE7B66">
            <w:pPr>
              <w:topLinePunct/>
              <w:jc w:val="center"/>
              <w:rPr>
                <w:sz w:val="20"/>
                <w:szCs w:val="20"/>
                <w:lang w:val="en-US"/>
              </w:rPr>
            </w:pPr>
            <w:r w:rsidRPr="00B05567">
              <w:rPr>
                <w:sz w:val="20"/>
                <w:szCs w:val="20"/>
                <w:lang w:val="en-US"/>
              </w:rPr>
              <w:t>14.0</w:t>
            </w:r>
          </w:p>
        </w:tc>
        <w:tc>
          <w:tcPr>
            <w:tcW w:w="759" w:type="dxa"/>
            <w:tcBorders>
              <w:top w:val="nil"/>
              <w:left w:val="nil"/>
              <w:bottom w:val="single" w:sz="4" w:space="0" w:color="auto"/>
              <w:right w:val="single" w:sz="4" w:space="0" w:color="auto"/>
            </w:tcBorders>
            <w:noWrap/>
          </w:tcPr>
          <w:p w14:paraId="72837CF2" w14:textId="77777777" w:rsidR="00EE53AD" w:rsidRPr="00B05567" w:rsidRDefault="00EE53AD" w:rsidP="00EE7B66">
            <w:pPr>
              <w:topLinePunct/>
              <w:jc w:val="center"/>
              <w:rPr>
                <w:sz w:val="20"/>
                <w:szCs w:val="20"/>
                <w:lang w:val="en-US"/>
              </w:rPr>
            </w:pPr>
            <w:r w:rsidRPr="00B05567">
              <w:rPr>
                <w:sz w:val="20"/>
                <w:szCs w:val="20"/>
                <w:lang w:val="en-US"/>
              </w:rPr>
              <w:t>13.9</w:t>
            </w:r>
          </w:p>
        </w:tc>
        <w:tc>
          <w:tcPr>
            <w:tcW w:w="760" w:type="dxa"/>
            <w:tcBorders>
              <w:top w:val="nil"/>
              <w:left w:val="nil"/>
              <w:bottom w:val="single" w:sz="4" w:space="0" w:color="auto"/>
              <w:right w:val="single" w:sz="4" w:space="0" w:color="auto"/>
            </w:tcBorders>
            <w:noWrap/>
          </w:tcPr>
          <w:p w14:paraId="395D4DB8" w14:textId="77777777" w:rsidR="00EE53AD" w:rsidRPr="00B05567" w:rsidRDefault="00EE53AD" w:rsidP="00EE7B66">
            <w:pPr>
              <w:topLinePunct/>
              <w:jc w:val="center"/>
              <w:rPr>
                <w:sz w:val="20"/>
                <w:szCs w:val="20"/>
                <w:lang w:val="en-US"/>
              </w:rPr>
            </w:pPr>
            <w:r w:rsidRPr="00B05567">
              <w:rPr>
                <w:sz w:val="20"/>
                <w:szCs w:val="20"/>
                <w:lang w:val="en-US"/>
              </w:rPr>
              <w:t>12.8</w:t>
            </w:r>
          </w:p>
        </w:tc>
        <w:tc>
          <w:tcPr>
            <w:tcW w:w="759" w:type="dxa"/>
            <w:tcBorders>
              <w:top w:val="nil"/>
              <w:left w:val="nil"/>
              <w:bottom w:val="single" w:sz="4" w:space="0" w:color="auto"/>
              <w:right w:val="single" w:sz="4" w:space="0" w:color="auto"/>
            </w:tcBorders>
            <w:noWrap/>
          </w:tcPr>
          <w:p w14:paraId="4B7B64C9" w14:textId="77777777" w:rsidR="00EE53AD" w:rsidRPr="00B05567" w:rsidRDefault="00EE53AD" w:rsidP="00EE7B66">
            <w:pPr>
              <w:topLinePunct/>
              <w:jc w:val="center"/>
              <w:rPr>
                <w:sz w:val="20"/>
                <w:szCs w:val="20"/>
                <w:lang w:val="en-US"/>
              </w:rPr>
            </w:pPr>
            <w:r w:rsidRPr="00B05567">
              <w:rPr>
                <w:sz w:val="20"/>
                <w:szCs w:val="20"/>
                <w:lang w:val="en-US"/>
              </w:rPr>
              <w:t>14.7</w:t>
            </w:r>
          </w:p>
        </w:tc>
        <w:tc>
          <w:tcPr>
            <w:tcW w:w="760" w:type="dxa"/>
            <w:tcBorders>
              <w:top w:val="nil"/>
              <w:left w:val="nil"/>
              <w:bottom w:val="single" w:sz="4" w:space="0" w:color="auto"/>
              <w:right w:val="single" w:sz="4" w:space="0" w:color="auto"/>
            </w:tcBorders>
            <w:noWrap/>
          </w:tcPr>
          <w:p w14:paraId="57D63DCC" w14:textId="77777777" w:rsidR="00EE53AD" w:rsidRPr="00B05567" w:rsidRDefault="00EE53AD" w:rsidP="00EE7B66">
            <w:pPr>
              <w:topLinePunct/>
              <w:jc w:val="center"/>
              <w:rPr>
                <w:sz w:val="20"/>
                <w:szCs w:val="20"/>
                <w:lang w:val="en-US"/>
              </w:rPr>
            </w:pPr>
            <w:r w:rsidRPr="00B05567">
              <w:rPr>
                <w:sz w:val="20"/>
                <w:szCs w:val="20"/>
                <w:lang w:val="en-US"/>
              </w:rPr>
              <w:t>15.2</w:t>
            </w:r>
          </w:p>
        </w:tc>
        <w:tc>
          <w:tcPr>
            <w:tcW w:w="759" w:type="dxa"/>
            <w:tcBorders>
              <w:top w:val="nil"/>
              <w:left w:val="nil"/>
              <w:bottom w:val="single" w:sz="4" w:space="0" w:color="auto"/>
              <w:right w:val="single" w:sz="4" w:space="0" w:color="auto"/>
            </w:tcBorders>
            <w:noWrap/>
          </w:tcPr>
          <w:p w14:paraId="510D9F96" w14:textId="77777777" w:rsidR="00EE53AD" w:rsidRPr="00B05567" w:rsidRDefault="00EE53AD" w:rsidP="00EE7B66">
            <w:pPr>
              <w:topLinePunct/>
              <w:jc w:val="center"/>
              <w:rPr>
                <w:sz w:val="20"/>
                <w:szCs w:val="20"/>
                <w:lang w:val="en-US"/>
              </w:rPr>
            </w:pPr>
            <w:r w:rsidRPr="00B05567">
              <w:rPr>
                <w:sz w:val="20"/>
                <w:szCs w:val="20"/>
                <w:lang w:val="en-US"/>
              </w:rPr>
              <w:t>11.0</w:t>
            </w:r>
          </w:p>
        </w:tc>
        <w:tc>
          <w:tcPr>
            <w:tcW w:w="760" w:type="dxa"/>
            <w:tcBorders>
              <w:top w:val="nil"/>
              <w:left w:val="nil"/>
              <w:bottom w:val="single" w:sz="4" w:space="0" w:color="auto"/>
              <w:right w:val="single" w:sz="4" w:space="0" w:color="auto"/>
            </w:tcBorders>
            <w:noWrap/>
          </w:tcPr>
          <w:p w14:paraId="12B02D97" w14:textId="77777777" w:rsidR="00EE53AD" w:rsidRPr="00B05567" w:rsidRDefault="00EE53AD" w:rsidP="00EE7B66">
            <w:pPr>
              <w:topLinePunct/>
              <w:jc w:val="center"/>
              <w:rPr>
                <w:sz w:val="20"/>
                <w:szCs w:val="20"/>
                <w:lang w:val="en-US"/>
              </w:rPr>
            </w:pPr>
            <w:r w:rsidRPr="00B05567">
              <w:rPr>
                <w:sz w:val="20"/>
                <w:szCs w:val="20"/>
                <w:lang w:val="en-US"/>
              </w:rPr>
              <w:t>13.7</w:t>
            </w:r>
          </w:p>
        </w:tc>
      </w:tr>
      <w:tr w:rsidR="00EE53AD" w14:paraId="54D5B8C1" w14:textId="77777777">
        <w:trPr>
          <w:trHeight w:val="80"/>
        </w:trPr>
        <w:tc>
          <w:tcPr>
            <w:tcW w:w="1096" w:type="dxa"/>
            <w:tcBorders>
              <w:top w:val="nil"/>
              <w:left w:val="single" w:sz="4" w:space="0" w:color="auto"/>
              <w:bottom w:val="single" w:sz="4" w:space="0" w:color="auto"/>
              <w:right w:val="single" w:sz="4" w:space="0" w:color="auto"/>
            </w:tcBorders>
            <w:noWrap/>
          </w:tcPr>
          <w:p w14:paraId="046C7925" w14:textId="77777777" w:rsidR="00EE53AD" w:rsidRPr="00B05567" w:rsidRDefault="00EE53AD" w:rsidP="00EE7B66">
            <w:pPr>
              <w:topLinePunct/>
              <w:jc w:val="left"/>
              <w:rPr>
                <w:sz w:val="20"/>
                <w:szCs w:val="20"/>
              </w:rPr>
            </w:pPr>
            <w:r w:rsidRPr="00B05567">
              <w:rPr>
                <w:rFonts w:hint="eastAsia"/>
                <w:sz w:val="20"/>
                <w:szCs w:val="20"/>
                <w:lang w:val="zh-CN"/>
              </w:rPr>
              <w:t>环境署</w:t>
            </w:r>
          </w:p>
        </w:tc>
        <w:tc>
          <w:tcPr>
            <w:tcW w:w="759" w:type="dxa"/>
            <w:tcBorders>
              <w:top w:val="nil"/>
              <w:left w:val="nil"/>
              <w:bottom w:val="single" w:sz="4" w:space="0" w:color="auto"/>
              <w:right w:val="single" w:sz="4" w:space="0" w:color="auto"/>
            </w:tcBorders>
            <w:noWrap/>
          </w:tcPr>
          <w:p w14:paraId="5070247B" w14:textId="77777777" w:rsidR="00EE53AD" w:rsidRPr="00B05567" w:rsidRDefault="00EE53AD" w:rsidP="00EE7B66">
            <w:pPr>
              <w:topLinePunct/>
              <w:jc w:val="center"/>
              <w:rPr>
                <w:sz w:val="20"/>
                <w:szCs w:val="20"/>
                <w:lang w:val="en-US"/>
              </w:rPr>
            </w:pPr>
            <w:r w:rsidRPr="00B05567">
              <w:rPr>
                <w:sz w:val="20"/>
                <w:szCs w:val="20"/>
                <w:lang w:val="en-US"/>
              </w:rPr>
              <w:t>13.0</w:t>
            </w:r>
          </w:p>
        </w:tc>
        <w:tc>
          <w:tcPr>
            <w:tcW w:w="759" w:type="dxa"/>
            <w:tcBorders>
              <w:top w:val="nil"/>
              <w:left w:val="nil"/>
              <w:bottom w:val="single" w:sz="4" w:space="0" w:color="auto"/>
              <w:right w:val="single" w:sz="4" w:space="0" w:color="auto"/>
            </w:tcBorders>
            <w:noWrap/>
          </w:tcPr>
          <w:p w14:paraId="79346AAE" w14:textId="77777777" w:rsidR="00EE53AD" w:rsidRPr="00B05567" w:rsidRDefault="00EE53AD" w:rsidP="00EE7B66">
            <w:pPr>
              <w:topLinePunct/>
              <w:jc w:val="center"/>
              <w:rPr>
                <w:sz w:val="20"/>
                <w:szCs w:val="20"/>
                <w:lang w:val="en-US"/>
              </w:rPr>
            </w:pPr>
            <w:r w:rsidRPr="00B05567">
              <w:rPr>
                <w:sz w:val="20"/>
                <w:szCs w:val="20"/>
                <w:lang w:val="en-US"/>
              </w:rPr>
              <w:t>9.7</w:t>
            </w:r>
          </w:p>
        </w:tc>
        <w:tc>
          <w:tcPr>
            <w:tcW w:w="760" w:type="dxa"/>
            <w:tcBorders>
              <w:top w:val="nil"/>
              <w:left w:val="nil"/>
              <w:bottom w:val="single" w:sz="4" w:space="0" w:color="auto"/>
              <w:right w:val="single" w:sz="4" w:space="0" w:color="auto"/>
            </w:tcBorders>
            <w:noWrap/>
          </w:tcPr>
          <w:p w14:paraId="6AED99E8" w14:textId="77777777" w:rsidR="00EE53AD" w:rsidRPr="00B05567" w:rsidRDefault="00EE53AD" w:rsidP="00EE7B66">
            <w:pPr>
              <w:topLinePunct/>
              <w:jc w:val="center"/>
              <w:rPr>
                <w:sz w:val="20"/>
                <w:szCs w:val="20"/>
                <w:lang w:val="en-US"/>
              </w:rPr>
            </w:pPr>
            <w:r w:rsidRPr="00B05567">
              <w:rPr>
                <w:sz w:val="20"/>
                <w:szCs w:val="20"/>
                <w:lang w:val="en-US"/>
              </w:rPr>
              <w:t>7.3</w:t>
            </w:r>
          </w:p>
        </w:tc>
        <w:tc>
          <w:tcPr>
            <w:tcW w:w="759" w:type="dxa"/>
            <w:tcBorders>
              <w:top w:val="nil"/>
              <w:left w:val="nil"/>
              <w:bottom w:val="single" w:sz="4" w:space="0" w:color="auto"/>
              <w:right w:val="single" w:sz="4" w:space="0" w:color="auto"/>
            </w:tcBorders>
            <w:noWrap/>
          </w:tcPr>
          <w:p w14:paraId="38364D7F" w14:textId="77777777" w:rsidR="00EE53AD" w:rsidRPr="00B05567" w:rsidRDefault="00EE53AD" w:rsidP="00EE7B66">
            <w:pPr>
              <w:topLinePunct/>
              <w:jc w:val="center"/>
              <w:rPr>
                <w:sz w:val="20"/>
                <w:szCs w:val="20"/>
                <w:lang w:val="en-US"/>
              </w:rPr>
            </w:pPr>
            <w:r w:rsidRPr="00B05567">
              <w:rPr>
                <w:sz w:val="20"/>
                <w:szCs w:val="20"/>
                <w:lang w:val="en-US"/>
              </w:rPr>
              <w:t>7.9</w:t>
            </w:r>
          </w:p>
        </w:tc>
        <w:tc>
          <w:tcPr>
            <w:tcW w:w="760" w:type="dxa"/>
            <w:tcBorders>
              <w:top w:val="nil"/>
              <w:left w:val="nil"/>
              <w:bottom w:val="single" w:sz="4" w:space="0" w:color="auto"/>
              <w:right w:val="single" w:sz="4" w:space="0" w:color="auto"/>
            </w:tcBorders>
            <w:noWrap/>
          </w:tcPr>
          <w:p w14:paraId="1647D07D" w14:textId="77777777" w:rsidR="00EE53AD" w:rsidRPr="00B05567" w:rsidRDefault="00EE53AD" w:rsidP="00EE7B66">
            <w:pPr>
              <w:topLinePunct/>
              <w:jc w:val="center"/>
              <w:rPr>
                <w:sz w:val="20"/>
                <w:szCs w:val="20"/>
                <w:lang w:val="en-US"/>
              </w:rPr>
            </w:pPr>
            <w:r w:rsidRPr="00B05567">
              <w:rPr>
                <w:sz w:val="20"/>
                <w:szCs w:val="20"/>
                <w:lang w:val="en-US"/>
              </w:rPr>
              <w:t>7.6</w:t>
            </w:r>
          </w:p>
        </w:tc>
        <w:tc>
          <w:tcPr>
            <w:tcW w:w="759" w:type="dxa"/>
            <w:tcBorders>
              <w:top w:val="nil"/>
              <w:left w:val="nil"/>
              <w:bottom w:val="single" w:sz="4" w:space="0" w:color="auto"/>
              <w:right w:val="single" w:sz="4" w:space="0" w:color="auto"/>
            </w:tcBorders>
            <w:noWrap/>
          </w:tcPr>
          <w:p w14:paraId="5C160C99" w14:textId="77777777" w:rsidR="00EE53AD" w:rsidRPr="00B05567" w:rsidRDefault="00EE53AD" w:rsidP="00EE7B66">
            <w:pPr>
              <w:topLinePunct/>
              <w:jc w:val="center"/>
              <w:rPr>
                <w:sz w:val="20"/>
                <w:szCs w:val="20"/>
                <w:lang w:val="en-US"/>
              </w:rPr>
            </w:pPr>
            <w:r w:rsidRPr="00B05567">
              <w:rPr>
                <w:sz w:val="20"/>
                <w:szCs w:val="20"/>
                <w:lang w:val="en-US"/>
              </w:rPr>
              <w:t>7.0</w:t>
            </w:r>
          </w:p>
        </w:tc>
        <w:tc>
          <w:tcPr>
            <w:tcW w:w="760" w:type="dxa"/>
            <w:tcBorders>
              <w:top w:val="nil"/>
              <w:left w:val="nil"/>
              <w:bottom w:val="single" w:sz="4" w:space="0" w:color="auto"/>
              <w:right w:val="single" w:sz="4" w:space="0" w:color="auto"/>
            </w:tcBorders>
            <w:noWrap/>
          </w:tcPr>
          <w:p w14:paraId="54EE2478" w14:textId="77777777" w:rsidR="00EE53AD" w:rsidRPr="00B05567" w:rsidRDefault="00EE53AD" w:rsidP="00EE7B66">
            <w:pPr>
              <w:topLinePunct/>
              <w:jc w:val="center"/>
              <w:rPr>
                <w:sz w:val="20"/>
                <w:szCs w:val="20"/>
                <w:lang w:val="en-US"/>
              </w:rPr>
            </w:pPr>
            <w:r w:rsidRPr="00B05567">
              <w:rPr>
                <w:sz w:val="20"/>
                <w:szCs w:val="20"/>
                <w:lang w:val="en-US"/>
              </w:rPr>
              <w:t>7.6</w:t>
            </w:r>
          </w:p>
        </w:tc>
        <w:tc>
          <w:tcPr>
            <w:tcW w:w="759" w:type="dxa"/>
            <w:tcBorders>
              <w:top w:val="nil"/>
              <w:left w:val="nil"/>
              <w:bottom w:val="single" w:sz="4" w:space="0" w:color="auto"/>
              <w:right w:val="single" w:sz="4" w:space="0" w:color="auto"/>
            </w:tcBorders>
            <w:noWrap/>
          </w:tcPr>
          <w:p w14:paraId="4EF9F618" w14:textId="77777777" w:rsidR="00EE53AD" w:rsidRPr="00B05567" w:rsidRDefault="00EE53AD" w:rsidP="00EE7B66">
            <w:pPr>
              <w:topLinePunct/>
              <w:jc w:val="center"/>
              <w:rPr>
                <w:sz w:val="20"/>
                <w:szCs w:val="20"/>
                <w:lang w:val="en-US"/>
              </w:rPr>
            </w:pPr>
            <w:r w:rsidRPr="00B05567">
              <w:rPr>
                <w:sz w:val="20"/>
                <w:szCs w:val="20"/>
                <w:lang w:val="en-US"/>
              </w:rPr>
              <w:t>7.6</w:t>
            </w:r>
          </w:p>
        </w:tc>
        <w:tc>
          <w:tcPr>
            <w:tcW w:w="760" w:type="dxa"/>
            <w:tcBorders>
              <w:top w:val="nil"/>
              <w:left w:val="nil"/>
              <w:bottom w:val="single" w:sz="4" w:space="0" w:color="auto"/>
              <w:right w:val="single" w:sz="4" w:space="0" w:color="auto"/>
            </w:tcBorders>
            <w:noWrap/>
          </w:tcPr>
          <w:p w14:paraId="6662E323" w14:textId="77777777" w:rsidR="00EE53AD" w:rsidRPr="00B05567" w:rsidRDefault="00EE53AD" w:rsidP="00EE7B66">
            <w:pPr>
              <w:topLinePunct/>
              <w:jc w:val="center"/>
              <w:rPr>
                <w:sz w:val="20"/>
                <w:szCs w:val="20"/>
                <w:lang w:val="en-US"/>
              </w:rPr>
            </w:pPr>
            <w:r w:rsidRPr="00B05567">
              <w:rPr>
                <w:sz w:val="20"/>
                <w:szCs w:val="20"/>
                <w:lang w:val="en-US"/>
              </w:rPr>
              <w:t>7.5</w:t>
            </w:r>
          </w:p>
        </w:tc>
        <w:tc>
          <w:tcPr>
            <w:tcW w:w="759" w:type="dxa"/>
            <w:tcBorders>
              <w:top w:val="nil"/>
              <w:left w:val="nil"/>
              <w:bottom w:val="single" w:sz="4" w:space="0" w:color="auto"/>
              <w:right w:val="single" w:sz="4" w:space="0" w:color="auto"/>
            </w:tcBorders>
            <w:noWrap/>
          </w:tcPr>
          <w:p w14:paraId="7AB0AF8C" w14:textId="77777777" w:rsidR="00EE53AD" w:rsidRPr="00B05567" w:rsidRDefault="00EE53AD" w:rsidP="00EE7B66">
            <w:pPr>
              <w:topLinePunct/>
              <w:jc w:val="center"/>
              <w:rPr>
                <w:sz w:val="20"/>
                <w:szCs w:val="20"/>
                <w:lang w:val="en-US"/>
              </w:rPr>
            </w:pPr>
            <w:r w:rsidRPr="00B05567">
              <w:rPr>
                <w:sz w:val="20"/>
                <w:szCs w:val="20"/>
                <w:lang w:val="en-US"/>
              </w:rPr>
              <w:t>8.8</w:t>
            </w:r>
          </w:p>
        </w:tc>
        <w:tc>
          <w:tcPr>
            <w:tcW w:w="760" w:type="dxa"/>
            <w:tcBorders>
              <w:top w:val="nil"/>
              <w:left w:val="nil"/>
              <w:bottom w:val="single" w:sz="4" w:space="0" w:color="auto"/>
              <w:right w:val="single" w:sz="4" w:space="0" w:color="auto"/>
            </w:tcBorders>
            <w:noWrap/>
          </w:tcPr>
          <w:p w14:paraId="674B7509" w14:textId="77777777" w:rsidR="00EE53AD" w:rsidRPr="00B05567" w:rsidRDefault="00EE53AD" w:rsidP="00EE7B66">
            <w:pPr>
              <w:topLinePunct/>
              <w:jc w:val="center"/>
              <w:rPr>
                <w:sz w:val="20"/>
                <w:szCs w:val="20"/>
                <w:lang w:val="en-US"/>
              </w:rPr>
            </w:pPr>
            <w:r w:rsidRPr="00B05567">
              <w:rPr>
                <w:sz w:val="20"/>
                <w:szCs w:val="20"/>
                <w:lang w:val="en-US"/>
              </w:rPr>
              <w:t>8.1</w:t>
            </w:r>
          </w:p>
        </w:tc>
      </w:tr>
      <w:tr w:rsidR="00EE53AD" w14:paraId="12D2A342" w14:textId="77777777">
        <w:trPr>
          <w:trHeight w:val="44"/>
        </w:trPr>
        <w:tc>
          <w:tcPr>
            <w:tcW w:w="1096" w:type="dxa"/>
            <w:tcBorders>
              <w:top w:val="nil"/>
              <w:left w:val="single" w:sz="4" w:space="0" w:color="auto"/>
              <w:bottom w:val="single" w:sz="4" w:space="0" w:color="auto"/>
              <w:right w:val="single" w:sz="4" w:space="0" w:color="auto"/>
            </w:tcBorders>
            <w:noWrap/>
          </w:tcPr>
          <w:p w14:paraId="261D9FD4" w14:textId="77777777" w:rsidR="00EE53AD" w:rsidRPr="00B05567" w:rsidRDefault="00EE53AD" w:rsidP="00EE7B66">
            <w:pPr>
              <w:topLinePunct/>
              <w:jc w:val="left"/>
              <w:rPr>
                <w:sz w:val="20"/>
                <w:szCs w:val="20"/>
              </w:rPr>
            </w:pPr>
            <w:r w:rsidRPr="00B05567">
              <w:rPr>
                <w:rFonts w:hint="eastAsia"/>
                <w:sz w:val="20"/>
                <w:szCs w:val="20"/>
                <w:lang w:val="zh-CN"/>
              </w:rPr>
              <w:t>工发组织</w:t>
            </w:r>
          </w:p>
        </w:tc>
        <w:tc>
          <w:tcPr>
            <w:tcW w:w="759" w:type="dxa"/>
            <w:tcBorders>
              <w:top w:val="nil"/>
              <w:left w:val="nil"/>
              <w:bottom w:val="single" w:sz="4" w:space="0" w:color="auto"/>
              <w:right w:val="single" w:sz="4" w:space="0" w:color="auto"/>
            </w:tcBorders>
            <w:noWrap/>
          </w:tcPr>
          <w:p w14:paraId="59894814" w14:textId="77777777" w:rsidR="00EE53AD" w:rsidRPr="00B05567" w:rsidRDefault="00EE53AD" w:rsidP="00EE7B66">
            <w:pPr>
              <w:topLinePunct/>
              <w:jc w:val="center"/>
              <w:rPr>
                <w:sz w:val="20"/>
                <w:szCs w:val="20"/>
                <w:lang w:val="en-US"/>
              </w:rPr>
            </w:pPr>
            <w:r w:rsidRPr="00B05567">
              <w:rPr>
                <w:sz w:val="20"/>
                <w:szCs w:val="20"/>
                <w:lang w:val="en-US"/>
              </w:rPr>
              <w:t>12.8</w:t>
            </w:r>
          </w:p>
        </w:tc>
        <w:tc>
          <w:tcPr>
            <w:tcW w:w="759" w:type="dxa"/>
            <w:tcBorders>
              <w:top w:val="nil"/>
              <w:left w:val="nil"/>
              <w:bottom w:val="single" w:sz="4" w:space="0" w:color="auto"/>
              <w:right w:val="single" w:sz="4" w:space="0" w:color="auto"/>
            </w:tcBorders>
            <w:noWrap/>
          </w:tcPr>
          <w:p w14:paraId="029F0CB9" w14:textId="77777777" w:rsidR="00EE53AD" w:rsidRPr="00B05567" w:rsidRDefault="00EE53AD" w:rsidP="00EE7B66">
            <w:pPr>
              <w:topLinePunct/>
              <w:jc w:val="center"/>
              <w:rPr>
                <w:sz w:val="20"/>
                <w:szCs w:val="20"/>
                <w:lang w:val="en-US"/>
              </w:rPr>
            </w:pPr>
            <w:r w:rsidRPr="00B05567">
              <w:rPr>
                <w:sz w:val="20"/>
                <w:szCs w:val="20"/>
                <w:lang w:val="en-US"/>
              </w:rPr>
              <w:t>13.4</w:t>
            </w:r>
          </w:p>
        </w:tc>
        <w:tc>
          <w:tcPr>
            <w:tcW w:w="760" w:type="dxa"/>
            <w:tcBorders>
              <w:top w:val="nil"/>
              <w:left w:val="nil"/>
              <w:bottom w:val="single" w:sz="4" w:space="0" w:color="auto"/>
              <w:right w:val="single" w:sz="4" w:space="0" w:color="auto"/>
            </w:tcBorders>
            <w:noWrap/>
          </w:tcPr>
          <w:p w14:paraId="2AB7C670" w14:textId="77777777" w:rsidR="00EE53AD" w:rsidRPr="00B05567" w:rsidRDefault="00EE53AD" w:rsidP="00EE7B66">
            <w:pPr>
              <w:topLinePunct/>
              <w:jc w:val="center"/>
              <w:rPr>
                <w:sz w:val="20"/>
                <w:szCs w:val="20"/>
                <w:lang w:val="en-US"/>
              </w:rPr>
            </w:pPr>
            <w:r w:rsidRPr="00B05567">
              <w:rPr>
                <w:sz w:val="20"/>
                <w:szCs w:val="20"/>
                <w:lang w:val="en-US"/>
              </w:rPr>
              <w:t>11.7</w:t>
            </w:r>
          </w:p>
        </w:tc>
        <w:tc>
          <w:tcPr>
            <w:tcW w:w="759" w:type="dxa"/>
            <w:tcBorders>
              <w:top w:val="nil"/>
              <w:left w:val="nil"/>
              <w:bottom w:val="single" w:sz="4" w:space="0" w:color="auto"/>
              <w:right w:val="single" w:sz="4" w:space="0" w:color="auto"/>
            </w:tcBorders>
            <w:noWrap/>
          </w:tcPr>
          <w:p w14:paraId="67447720" w14:textId="77777777" w:rsidR="00EE53AD" w:rsidRPr="00B05567" w:rsidRDefault="00EE53AD" w:rsidP="00EE7B66">
            <w:pPr>
              <w:topLinePunct/>
              <w:jc w:val="center"/>
              <w:rPr>
                <w:sz w:val="20"/>
                <w:szCs w:val="20"/>
                <w:lang w:val="en-US"/>
              </w:rPr>
            </w:pPr>
            <w:r w:rsidRPr="00B05567">
              <w:rPr>
                <w:sz w:val="20"/>
                <w:szCs w:val="20"/>
                <w:lang w:val="en-US"/>
              </w:rPr>
              <w:t>14.4</w:t>
            </w:r>
          </w:p>
        </w:tc>
        <w:tc>
          <w:tcPr>
            <w:tcW w:w="760" w:type="dxa"/>
            <w:tcBorders>
              <w:top w:val="nil"/>
              <w:left w:val="nil"/>
              <w:bottom w:val="single" w:sz="4" w:space="0" w:color="auto"/>
              <w:right w:val="single" w:sz="4" w:space="0" w:color="auto"/>
            </w:tcBorders>
            <w:noWrap/>
          </w:tcPr>
          <w:p w14:paraId="489AFF8F" w14:textId="77777777" w:rsidR="00EE53AD" w:rsidRPr="00B05567" w:rsidRDefault="00EE53AD" w:rsidP="00EE7B66">
            <w:pPr>
              <w:topLinePunct/>
              <w:jc w:val="center"/>
              <w:rPr>
                <w:sz w:val="20"/>
                <w:szCs w:val="20"/>
                <w:lang w:val="en-US"/>
              </w:rPr>
            </w:pPr>
            <w:r w:rsidRPr="00B05567">
              <w:rPr>
                <w:sz w:val="20"/>
                <w:szCs w:val="20"/>
                <w:lang w:val="en-US"/>
              </w:rPr>
              <w:t>11.8</w:t>
            </w:r>
          </w:p>
        </w:tc>
        <w:tc>
          <w:tcPr>
            <w:tcW w:w="759" w:type="dxa"/>
            <w:tcBorders>
              <w:top w:val="nil"/>
              <w:left w:val="nil"/>
              <w:bottom w:val="single" w:sz="4" w:space="0" w:color="auto"/>
              <w:right w:val="single" w:sz="4" w:space="0" w:color="auto"/>
            </w:tcBorders>
            <w:noWrap/>
          </w:tcPr>
          <w:p w14:paraId="7D4AF13B" w14:textId="77777777" w:rsidR="00EE53AD" w:rsidRPr="00B05567" w:rsidRDefault="00EE53AD" w:rsidP="00EE7B66">
            <w:pPr>
              <w:topLinePunct/>
              <w:jc w:val="center"/>
              <w:rPr>
                <w:sz w:val="20"/>
                <w:szCs w:val="20"/>
                <w:lang w:val="en-US"/>
              </w:rPr>
            </w:pPr>
            <w:r w:rsidRPr="00B05567">
              <w:rPr>
                <w:sz w:val="20"/>
                <w:szCs w:val="20"/>
                <w:lang w:val="en-US"/>
              </w:rPr>
              <w:t>13.8</w:t>
            </w:r>
          </w:p>
        </w:tc>
        <w:tc>
          <w:tcPr>
            <w:tcW w:w="760" w:type="dxa"/>
            <w:tcBorders>
              <w:top w:val="nil"/>
              <w:left w:val="nil"/>
              <w:bottom w:val="single" w:sz="4" w:space="0" w:color="auto"/>
              <w:right w:val="single" w:sz="4" w:space="0" w:color="auto"/>
            </w:tcBorders>
            <w:noWrap/>
          </w:tcPr>
          <w:p w14:paraId="3F154DEF" w14:textId="77777777" w:rsidR="00EE53AD" w:rsidRPr="00B05567" w:rsidRDefault="00EE53AD" w:rsidP="00EE7B66">
            <w:pPr>
              <w:topLinePunct/>
              <w:jc w:val="center"/>
              <w:rPr>
                <w:sz w:val="20"/>
                <w:szCs w:val="20"/>
                <w:lang w:val="en-US"/>
              </w:rPr>
            </w:pPr>
            <w:r w:rsidRPr="00B05567">
              <w:rPr>
                <w:sz w:val="20"/>
                <w:szCs w:val="20"/>
                <w:lang w:val="en-US"/>
              </w:rPr>
              <w:t>13.9</w:t>
            </w:r>
          </w:p>
        </w:tc>
        <w:tc>
          <w:tcPr>
            <w:tcW w:w="759" w:type="dxa"/>
            <w:tcBorders>
              <w:top w:val="nil"/>
              <w:left w:val="nil"/>
              <w:bottom w:val="single" w:sz="4" w:space="0" w:color="auto"/>
              <w:right w:val="single" w:sz="4" w:space="0" w:color="auto"/>
            </w:tcBorders>
            <w:noWrap/>
          </w:tcPr>
          <w:p w14:paraId="2F5B9A13" w14:textId="77777777" w:rsidR="00EE53AD" w:rsidRPr="00B05567" w:rsidRDefault="00EE53AD" w:rsidP="00EE7B66">
            <w:pPr>
              <w:topLinePunct/>
              <w:jc w:val="center"/>
              <w:rPr>
                <w:sz w:val="20"/>
                <w:szCs w:val="20"/>
                <w:lang w:val="en-US"/>
              </w:rPr>
            </w:pPr>
            <w:r w:rsidRPr="00B05567">
              <w:rPr>
                <w:sz w:val="20"/>
                <w:szCs w:val="20"/>
                <w:lang w:val="en-US"/>
              </w:rPr>
              <w:t>15.2</w:t>
            </w:r>
          </w:p>
        </w:tc>
        <w:tc>
          <w:tcPr>
            <w:tcW w:w="760" w:type="dxa"/>
            <w:tcBorders>
              <w:top w:val="nil"/>
              <w:left w:val="nil"/>
              <w:bottom w:val="single" w:sz="4" w:space="0" w:color="auto"/>
              <w:right w:val="single" w:sz="4" w:space="0" w:color="auto"/>
            </w:tcBorders>
            <w:noWrap/>
          </w:tcPr>
          <w:p w14:paraId="683292FB" w14:textId="77777777" w:rsidR="00EE53AD" w:rsidRPr="00B05567" w:rsidRDefault="00EE53AD" w:rsidP="00EE7B66">
            <w:pPr>
              <w:topLinePunct/>
              <w:jc w:val="center"/>
              <w:rPr>
                <w:sz w:val="20"/>
                <w:szCs w:val="20"/>
                <w:lang w:val="en-US"/>
              </w:rPr>
            </w:pPr>
            <w:r w:rsidRPr="00B05567">
              <w:rPr>
                <w:sz w:val="20"/>
                <w:szCs w:val="20"/>
                <w:lang w:val="en-US"/>
              </w:rPr>
              <w:t>13.4</w:t>
            </w:r>
          </w:p>
        </w:tc>
        <w:tc>
          <w:tcPr>
            <w:tcW w:w="759" w:type="dxa"/>
            <w:tcBorders>
              <w:top w:val="nil"/>
              <w:left w:val="nil"/>
              <w:bottom w:val="single" w:sz="4" w:space="0" w:color="auto"/>
              <w:right w:val="single" w:sz="4" w:space="0" w:color="auto"/>
            </w:tcBorders>
            <w:noWrap/>
          </w:tcPr>
          <w:p w14:paraId="773D9D58" w14:textId="77777777" w:rsidR="00EE53AD" w:rsidRPr="00B05567" w:rsidRDefault="00EE53AD" w:rsidP="00EE7B66">
            <w:pPr>
              <w:topLinePunct/>
              <w:jc w:val="center"/>
              <w:rPr>
                <w:sz w:val="20"/>
                <w:szCs w:val="20"/>
                <w:lang w:val="en-US"/>
              </w:rPr>
            </w:pPr>
            <w:r w:rsidRPr="00B05567">
              <w:rPr>
                <w:sz w:val="20"/>
                <w:szCs w:val="20"/>
                <w:lang w:val="en-US"/>
              </w:rPr>
              <w:t>10.1</w:t>
            </w:r>
          </w:p>
        </w:tc>
        <w:tc>
          <w:tcPr>
            <w:tcW w:w="760" w:type="dxa"/>
            <w:tcBorders>
              <w:top w:val="nil"/>
              <w:left w:val="nil"/>
              <w:bottom w:val="single" w:sz="4" w:space="0" w:color="auto"/>
              <w:right w:val="single" w:sz="4" w:space="0" w:color="auto"/>
            </w:tcBorders>
            <w:noWrap/>
          </w:tcPr>
          <w:p w14:paraId="11CA23F8" w14:textId="77777777" w:rsidR="00EE53AD" w:rsidRPr="00B05567" w:rsidRDefault="00EE53AD" w:rsidP="00EE7B66">
            <w:pPr>
              <w:topLinePunct/>
              <w:jc w:val="center"/>
              <w:rPr>
                <w:sz w:val="20"/>
                <w:szCs w:val="20"/>
                <w:lang w:val="en-US"/>
              </w:rPr>
            </w:pPr>
            <w:r w:rsidRPr="00B05567">
              <w:rPr>
                <w:sz w:val="20"/>
                <w:szCs w:val="20"/>
                <w:lang w:val="en-US"/>
              </w:rPr>
              <w:t>13.1</w:t>
            </w:r>
          </w:p>
        </w:tc>
      </w:tr>
      <w:tr w:rsidR="00EE53AD" w14:paraId="34A3280C" w14:textId="77777777">
        <w:trPr>
          <w:trHeight w:val="44"/>
        </w:trPr>
        <w:tc>
          <w:tcPr>
            <w:tcW w:w="1096" w:type="dxa"/>
            <w:tcBorders>
              <w:top w:val="nil"/>
              <w:left w:val="single" w:sz="4" w:space="0" w:color="auto"/>
              <w:bottom w:val="single" w:sz="4" w:space="0" w:color="auto"/>
              <w:right w:val="single" w:sz="4" w:space="0" w:color="auto"/>
            </w:tcBorders>
            <w:noWrap/>
          </w:tcPr>
          <w:p w14:paraId="35CDDD5D" w14:textId="77777777" w:rsidR="00EE53AD" w:rsidRPr="00B05567" w:rsidRDefault="00EE53AD" w:rsidP="00EE7B66">
            <w:pPr>
              <w:topLinePunct/>
              <w:jc w:val="left"/>
              <w:rPr>
                <w:sz w:val="20"/>
                <w:szCs w:val="20"/>
              </w:rPr>
            </w:pPr>
            <w:r w:rsidRPr="00B05567">
              <w:rPr>
                <w:rFonts w:hint="eastAsia"/>
                <w:sz w:val="20"/>
                <w:szCs w:val="20"/>
                <w:lang w:val="zh-CN"/>
              </w:rPr>
              <w:t>世界银行</w:t>
            </w:r>
          </w:p>
        </w:tc>
        <w:tc>
          <w:tcPr>
            <w:tcW w:w="759" w:type="dxa"/>
            <w:tcBorders>
              <w:top w:val="nil"/>
              <w:left w:val="nil"/>
              <w:bottom w:val="single" w:sz="4" w:space="0" w:color="auto"/>
              <w:right w:val="single" w:sz="4" w:space="0" w:color="auto"/>
            </w:tcBorders>
            <w:noWrap/>
          </w:tcPr>
          <w:p w14:paraId="35B21014" w14:textId="77777777" w:rsidR="00EE53AD" w:rsidRPr="00B05567" w:rsidRDefault="00EE53AD" w:rsidP="00EE7B66">
            <w:pPr>
              <w:topLinePunct/>
              <w:jc w:val="center"/>
              <w:rPr>
                <w:sz w:val="20"/>
                <w:szCs w:val="20"/>
                <w:lang w:val="en-US"/>
              </w:rPr>
            </w:pPr>
            <w:r w:rsidRPr="00B05567">
              <w:rPr>
                <w:sz w:val="20"/>
                <w:szCs w:val="20"/>
                <w:lang w:val="en-US"/>
              </w:rPr>
              <w:t>8.6</w:t>
            </w:r>
          </w:p>
        </w:tc>
        <w:tc>
          <w:tcPr>
            <w:tcW w:w="759" w:type="dxa"/>
            <w:tcBorders>
              <w:top w:val="nil"/>
              <w:left w:val="nil"/>
              <w:bottom w:val="single" w:sz="4" w:space="0" w:color="auto"/>
              <w:right w:val="single" w:sz="4" w:space="0" w:color="auto"/>
            </w:tcBorders>
            <w:noWrap/>
          </w:tcPr>
          <w:p w14:paraId="0B1F9A33" w14:textId="77777777" w:rsidR="00EE53AD" w:rsidRPr="00B05567" w:rsidRDefault="00EE53AD" w:rsidP="00EE7B66">
            <w:pPr>
              <w:topLinePunct/>
              <w:jc w:val="center"/>
              <w:rPr>
                <w:sz w:val="20"/>
                <w:szCs w:val="20"/>
                <w:lang w:val="en-US"/>
              </w:rPr>
            </w:pPr>
            <w:r w:rsidRPr="00B05567">
              <w:rPr>
                <w:sz w:val="20"/>
                <w:szCs w:val="20"/>
                <w:lang w:val="en-US"/>
              </w:rPr>
              <w:t>10.0</w:t>
            </w:r>
          </w:p>
        </w:tc>
        <w:tc>
          <w:tcPr>
            <w:tcW w:w="760" w:type="dxa"/>
            <w:tcBorders>
              <w:top w:val="nil"/>
              <w:left w:val="nil"/>
              <w:bottom w:val="single" w:sz="4" w:space="0" w:color="auto"/>
              <w:right w:val="single" w:sz="4" w:space="0" w:color="auto"/>
            </w:tcBorders>
            <w:noWrap/>
          </w:tcPr>
          <w:p w14:paraId="566B3C37" w14:textId="77777777" w:rsidR="00EE53AD" w:rsidRPr="00B05567" w:rsidRDefault="00EE53AD" w:rsidP="00EE7B66">
            <w:pPr>
              <w:topLinePunct/>
              <w:jc w:val="center"/>
              <w:rPr>
                <w:sz w:val="20"/>
                <w:szCs w:val="20"/>
                <w:lang w:val="en-US"/>
              </w:rPr>
            </w:pPr>
            <w:r w:rsidRPr="00B05567">
              <w:rPr>
                <w:sz w:val="20"/>
                <w:szCs w:val="20"/>
                <w:lang w:val="en-US"/>
              </w:rPr>
              <w:t>9.9</w:t>
            </w:r>
          </w:p>
        </w:tc>
        <w:tc>
          <w:tcPr>
            <w:tcW w:w="759" w:type="dxa"/>
            <w:tcBorders>
              <w:top w:val="nil"/>
              <w:left w:val="nil"/>
              <w:bottom w:val="single" w:sz="4" w:space="0" w:color="auto"/>
              <w:right w:val="single" w:sz="4" w:space="0" w:color="auto"/>
            </w:tcBorders>
            <w:noWrap/>
          </w:tcPr>
          <w:p w14:paraId="6AF1F1D4" w14:textId="77777777" w:rsidR="00EE53AD" w:rsidRPr="00B05567" w:rsidRDefault="00EE53AD" w:rsidP="00EE7B66">
            <w:pPr>
              <w:topLinePunct/>
              <w:jc w:val="center"/>
              <w:rPr>
                <w:sz w:val="20"/>
                <w:szCs w:val="20"/>
                <w:lang w:val="en-US"/>
              </w:rPr>
            </w:pPr>
            <w:r w:rsidRPr="00B05567">
              <w:rPr>
                <w:sz w:val="20"/>
                <w:szCs w:val="20"/>
                <w:lang w:val="en-US"/>
              </w:rPr>
              <w:t>10.2</w:t>
            </w:r>
          </w:p>
        </w:tc>
        <w:tc>
          <w:tcPr>
            <w:tcW w:w="760" w:type="dxa"/>
            <w:tcBorders>
              <w:top w:val="nil"/>
              <w:left w:val="nil"/>
              <w:bottom w:val="single" w:sz="4" w:space="0" w:color="auto"/>
              <w:right w:val="single" w:sz="4" w:space="0" w:color="auto"/>
            </w:tcBorders>
            <w:noWrap/>
          </w:tcPr>
          <w:p w14:paraId="5ED748C7" w14:textId="77777777" w:rsidR="00EE53AD" w:rsidRPr="00B05567" w:rsidRDefault="00EE53AD" w:rsidP="00EE7B66">
            <w:pPr>
              <w:topLinePunct/>
              <w:jc w:val="center"/>
              <w:rPr>
                <w:sz w:val="20"/>
                <w:szCs w:val="20"/>
                <w:lang w:val="en-US"/>
              </w:rPr>
            </w:pPr>
            <w:r w:rsidRPr="00B05567">
              <w:rPr>
                <w:sz w:val="20"/>
                <w:szCs w:val="20"/>
                <w:lang w:val="en-US"/>
              </w:rPr>
              <w:t>13.4</w:t>
            </w:r>
          </w:p>
        </w:tc>
        <w:tc>
          <w:tcPr>
            <w:tcW w:w="759" w:type="dxa"/>
            <w:tcBorders>
              <w:top w:val="nil"/>
              <w:left w:val="nil"/>
              <w:bottom w:val="single" w:sz="4" w:space="0" w:color="auto"/>
              <w:right w:val="single" w:sz="4" w:space="0" w:color="auto"/>
            </w:tcBorders>
            <w:noWrap/>
          </w:tcPr>
          <w:p w14:paraId="040FD064" w14:textId="77777777" w:rsidR="00EE53AD" w:rsidRPr="00B05567" w:rsidRDefault="00EE53AD" w:rsidP="00EE7B66">
            <w:pPr>
              <w:topLinePunct/>
              <w:jc w:val="center"/>
              <w:rPr>
                <w:sz w:val="20"/>
                <w:szCs w:val="20"/>
                <w:lang w:val="en-US"/>
              </w:rPr>
            </w:pPr>
            <w:r w:rsidRPr="00B05567">
              <w:rPr>
                <w:sz w:val="20"/>
                <w:szCs w:val="20"/>
                <w:lang w:val="en-US"/>
              </w:rPr>
              <w:t>11.0</w:t>
            </w:r>
          </w:p>
        </w:tc>
        <w:tc>
          <w:tcPr>
            <w:tcW w:w="760" w:type="dxa"/>
            <w:tcBorders>
              <w:top w:val="nil"/>
              <w:left w:val="nil"/>
              <w:bottom w:val="single" w:sz="4" w:space="0" w:color="auto"/>
              <w:right w:val="single" w:sz="4" w:space="0" w:color="auto"/>
            </w:tcBorders>
            <w:noWrap/>
          </w:tcPr>
          <w:p w14:paraId="6DBA347D" w14:textId="77777777" w:rsidR="00EE53AD" w:rsidRPr="00B05567" w:rsidRDefault="00EE53AD" w:rsidP="00EE7B66">
            <w:pPr>
              <w:topLinePunct/>
              <w:jc w:val="center"/>
              <w:rPr>
                <w:sz w:val="20"/>
                <w:szCs w:val="20"/>
                <w:lang w:val="en-US"/>
              </w:rPr>
            </w:pPr>
            <w:r w:rsidRPr="00B05567">
              <w:rPr>
                <w:sz w:val="20"/>
                <w:szCs w:val="20"/>
                <w:lang w:val="en-US"/>
              </w:rPr>
              <w:t>12.7</w:t>
            </w:r>
          </w:p>
        </w:tc>
        <w:tc>
          <w:tcPr>
            <w:tcW w:w="759" w:type="dxa"/>
            <w:tcBorders>
              <w:top w:val="nil"/>
              <w:left w:val="nil"/>
              <w:bottom w:val="single" w:sz="4" w:space="0" w:color="auto"/>
              <w:right w:val="single" w:sz="4" w:space="0" w:color="auto"/>
            </w:tcBorders>
            <w:noWrap/>
          </w:tcPr>
          <w:p w14:paraId="1B7C870A" w14:textId="77777777" w:rsidR="00EE53AD" w:rsidRPr="00B05567" w:rsidRDefault="00EE53AD" w:rsidP="00EE7B66">
            <w:pPr>
              <w:topLinePunct/>
              <w:jc w:val="center"/>
              <w:rPr>
                <w:sz w:val="20"/>
                <w:szCs w:val="20"/>
                <w:lang w:val="en-US"/>
              </w:rPr>
            </w:pPr>
            <w:r w:rsidRPr="00B05567">
              <w:rPr>
                <w:sz w:val="20"/>
                <w:szCs w:val="20"/>
                <w:lang w:val="en-US"/>
              </w:rPr>
              <w:t>20.1</w:t>
            </w:r>
          </w:p>
        </w:tc>
        <w:tc>
          <w:tcPr>
            <w:tcW w:w="760" w:type="dxa"/>
            <w:tcBorders>
              <w:top w:val="nil"/>
              <w:left w:val="nil"/>
              <w:bottom w:val="single" w:sz="4" w:space="0" w:color="auto"/>
              <w:right w:val="single" w:sz="4" w:space="0" w:color="auto"/>
            </w:tcBorders>
            <w:noWrap/>
          </w:tcPr>
          <w:p w14:paraId="13554634" w14:textId="77777777" w:rsidR="00EE53AD" w:rsidRPr="00B05567" w:rsidRDefault="00EE53AD" w:rsidP="00EE7B66">
            <w:pPr>
              <w:topLinePunct/>
              <w:jc w:val="center"/>
              <w:rPr>
                <w:sz w:val="20"/>
                <w:szCs w:val="20"/>
                <w:lang w:val="en-US"/>
              </w:rPr>
            </w:pPr>
            <w:r w:rsidRPr="00B05567">
              <w:rPr>
                <w:sz w:val="20"/>
                <w:szCs w:val="20"/>
                <w:lang w:val="en-US"/>
              </w:rPr>
              <w:t>17.1</w:t>
            </w:r>
          </w:p>
        </w:tc>
        <w:tc>
          <w:tcPr>
            <w:tcW w:w="759" w:type="dxa"/>
            <w:tcBorders>
              <w:top w:val="nil"/>
              <w:left w:val="nil"/>
              <w:bottom w:val="single" w:sz="4" w:space="0" w:color="auto"/>
              <w:right w:val="single" w:sz="4" w:space="0" w:color="auto"/>
            </w:tcBorders>
            <w:noWrap/>
          </w:tcPr>
          <w:p w14:paraId="4972FBE0" w14:textId="77777777" w:rsidR="00EE53AD" w:rsidRPr="00B05567" w:rsidRDefault="00EE53AD" w:rsidP="00EE7B66">
            <w:pPr>
              <w:topLinePunct/>
              <w:jc w:val="center"/>
              <w:rPr>
                <w:sz w:val="20"/>
                <w:szCs w:val="20"/>
                <w:lang w:val="en-US"/>
              </w:rPr>
            </w:pPr>
            <w:r w:rsidRPr="00B05567">
              <w:rPr>
                <w:sz w:val="20"/>
                <w:szCs w:val="20"/>
                <w:lang w:val="en-US"/>
              </w:rPr>
              <w:t>12.7</w:t>
            </w:r>
          </w:p>
        </w:tc>
        <w:tc>
          <w:tcPr>
            <w:tcW w:w="760" w:type="dxa"/>
            <w:tcBorders>
              <w:top w:val="nil"/>
              <w:left w:val="nil"/>
              <w:bottom w:val="single" w:sz="4" w:space="0" w:color="auto"/>
              <w:right w:val="single" w:sz="4" w:space="0" w:color="auto"/>
            </w:tcBorders>
            <w:noWrap/>
          </w:tcPr>
          <w:p w14:paraId="5B35A90C" w14:textId="77777777" w:rsidR="00EE53AD" w:rsidRPr="00B05567" w:rsidRDefault="00EE53AD" w:rsidP="00EE7B66">
            <w:pPr>
              <w:topLinePunct/>
              <w:jc w:val="center"/>
              <w:rPr>
                <w:sz w:val="20"/>
                <w:szCs w:val="20"/>
                <w:lang w:val="en-US"/>
              </w:rPr>
            </w:pPr>
            <w:r w:rsidRPr="00B05567">
              <w:rPr>
                <w:sz w:val="20"/>
                <w:szCs w:val="20"/>
                <w:lang w:val="en-US"/>
              </w:rPr>
              <w:t>10.8</w:t>
            </w:r>
          </w:p>
        </w:tc>
      </w:tr>
      <w:tr w:rsidR="00EE53AD" w14:paraId="2FB1FDBF" w14:textId="77777777">
        <w:trPr>
          <w:trHeight w:val="53"/>
        </w:trPr>
        <w:tc>
          <w:tcPr>
            <w:tcW w:w="1096" w:type="dxa"/>
            <w:tcBorders>
              <w:top w:val="nil"/>
              <w:left w:val="single" w:sz="4" w:space="0" w:color="auto"/>
              <w:bottom w:val="single" w:sz="4" w:space="0" w:color="auto"/>
              <w:right w:val="single" w:sz="4" w:space="0" w:color="auto"/>
            </w:tcBorders>
            <w:noWrap/>
          </w:tcPr>
          <w:p w14:paraId="72442368" w14:textId="77777777" w:rsidR="00EE53AD" w:rsidRPr="00B05567" w:rsidRDefault="00EE53AD" w:rsidP="00EE7B66">
            <w:pPr>
              <w:topLinePunct/>
              <w:ind w:right="-197"/>
              <w:jc w:val="left"/>
              <w:rPr>
                <w:sz w:val="20"/>
                <w:szCs w:val="20"/>
              </w:rPr>
            </w:pPr>
            <w:r w:rsidRPr="00B05567">
              <w:rPr>
                <w:rFonts w:hint="eastAsia"/>
                <w:sz w:val="20"/>
                <w:szCs w:val="20"/>
                <w:lang w:val="zh-CN"/>
              </w:rPr>
              <w:t>氟氯烃淘汰管理计划的</w:t>
            </w:r>
            <w:r w:rsidRPr="00B05567">
              <w:rPr>
                <w:rFonts w:hint="eastAsia"/>
                <w:sz w:val="20"/>
                <w:szCs w:val="20"/>
                <w:lang w:val="zh-CN"/>
              </w:rPr>
              <w:lastRenderedPageBreak/>
              <w:t>核查</w:t>
            </w:r>
          </w:p>
        </w:tc>
        <w:tc>
          <w:tcPr>
            <w:tcW w:w="759" w:type="dxa"/>
            <w:tcBorders>
              <w:top w:val="nil"/>
              <w:left w:val="nil"/>
              <w:bottom w:val="single" w:sz="4" w:space="0" w:color="auto"/>
              <w:right w:val="single" w:sz="4" w:space="0" w:color="auto"/>
            </w:tcBorders>
            <w:noWrap/>
          </w:tcPr>
          <w:p w14:paraId="3B0F3ED3" w14:textId="77777777" w:rsidR="00EE53AD" w:rsidRPr="00B05567" w:rsidRDefault="00EE53AD" w:rsidP="00EE7B66">
            <w:pPr>
              <w:topLinePunct/>
              <w:jc w:val="center"/>
              <w:rPr>
                <w:sz w:val="20"/>
                <w:szCs w:val="20"/>
                <w:lang w:val="en-US"/>
              </w:rPr>
            </w:pPr>
          </w:p>
        </w:tc>
        <w:tc>
          <w:tcPr>
            <w:tcW w:w="759" w:type="dxa"/>
            <w:tcBorders>
              <w:top w:val="nil"/>
              <w:left w:val="nil"/>
              <w:bottom w:val="single" w:sz="4" w:space="0" w:color="auto"/>
              <w:right w:val="single" w:sz="4" w:space="0" w:color="auto"/>
            </w:tcBorders>
            <w:noWrap/>
          </w:tcPr>
          <w:p w14:paraId="52E9E9CF" w14:textId="77777777" w:rsidR="00EE53AD" w:rsidRPr="00B05567" w:rsidRDefault="00EE53AD" w:rsidP="00EE7B66">
            <w:pPr>
              <w:topLinePunct/>
              <w:jc w:val="center"/>
              <w:rPr>
                <w:sz w:val="20"/>
                <w:szCs w:val="20"/>
                <w:lang w:val="en-US"/>
              </w:rPr>
            </w:pPr>
          </w:p>
        </w:tc>
        <w:tc>
          <w:tcPr>
            <w:tcW w:w="760" w:type="dxa"/>
            <w:tcBorders>
              <w:top w:val="nil"/>
              <w:left w:val="nil"/>
              <w:bottom w:val="single" w:sz="4" w:space="0" w:color="auto"/>
              <w:right w:val="single" w:sz="4" w:space="0" w:color="auto"/>
            </w:tcBorders>
            <w:noWrap/>
          </w:tcPr>
          <w:p w14:paraId="72BB9D23" w14:textId="77777777" w:rsidR="00EE53AD" w:rsidRPr="00B05567" w:rsidRDefault="00EE53AD" w:rsidP="00EE7B66">
            <w:pPr>
              <w:topLinePunct/>
              <w:jc w:val="center"/>
              <w:rPr>
                <w:sz w:val="20"/>
                <w:szCs w:val="20"/>
                <w:lang w:val="en-US"/>
              </w:rPr>
            </w:pPr>
          </w:p>
        </w:tc>
        <w:tc>
          <w:tcPr>
            <w:tcW w:w="759" w:type="dxa"/>
            <w:tcBorders>
              <w:top w:val="nil"/>
              <w:left w:val="nil"/>
              <w:bottom w:val="single" w:sz="4" w:space="0" w:color="auto"/>
              <w:right w:val="single" w:sz="4" w:space="0" w:color="auto"/>
            </w:tcBorders>
            <w:noWrap/>
          </w:tcPr>
          <w:p w14:paraId="228839FC" w14:textId="77777777" w:rsidR="00EE53AD" w:rsidRPr="00B05567" w:rsidRDefault="00EE53AD" w:rsidP="00EE7B66">
            <w:pPr>
              <w:topLinePunct/>
              <w:jc w:val="center"/>
              <w:rPr>
                <w:sz w:val="20"/>
                <w:szCs w:val="20"/>
                <w:lang w:val="en-US"/>
              </w:rPr>
            </w:pPr>
          </w:p>
        </w:tc>
        <w:tc>
          <w:tcPr>
            <w:tcW w:w="760" w:type="dxa"/>
            <w:tcBorders>
              <w:top w:val="nil"/>
              <w:left w:val="nil"/>
              <w:bottom w:val="single" w:sz="4" w:space="0" w:color="auto"/>
              <w:right w:val="single" w:sz="4" w:space="0" w:color="auto"/>
            </w:tcBorders>
            <w:noWrap/>
          </w:tcPr>
          <w:p w14:paraId="5F252C2C" w14:textId="77777777" w:rsidR="00EE53AD" w:rsidRPr="00B05567" w:rsidRDefault="00EE53AD" w:rsidP="00EE7B66">
            <w:pPr>
              <w:topLinePunct/>
              <w:jc w:val="center"/>
              <w:rPr>
                <w:sz w:val="20"/>
                <w:szCs w:val="20"/>
                <w:lang w:val="en-US"/>
              </w:rPr>
            </w:pPr>
          </w:p>
        </w:tc>
        <w:tc>
          <w:tcPr>
            <w:tcW w:w="759" w:type="dxa"/>
            <w:tcBorders>
              <w:top w:val="nil"/>
              <w:left w:val="nil"/>
              <w:bottom w:val="single" w:sz="4" w:space="0" w:color="auto"/>
              <w:right w:val="single" w:sz="4" w:space="0" w:color="auto"/>
            </w:tcBorders>
            <w:noWrap/>
          </w:tcPr>
          <w:p w14:paraId="301C7398" w14:textId="77777777" w:rsidR="00EE53AD" w:rsidRPr="00B05567" w:rsidRDefault="00EE53AD" w:rsidP="00EE7B66">
            <w:pPr>
              <w:topLinePunct/>
              <w:jc w:val="center"/>
              <w:rPr>
                <w:sz w:val="20"/>
                <w:szCs w:val="20"/>
                <w:lang w:val="en-US"/>
              </w:rPr>
            </w:pPr>
          </w:p>
        </w:tc>
        <w:tc>
          <w:tcPr>
            <w:tcW w:w="760" w:type="dxa"/>
            <w:tcBorders>
              <w:top w:val="nil"/>
              <w:left w:val="nil"/>
              <w:bottom w:val="single" w:sz="4" w:space="0" w:color="auto"/>
              <w:right w:val="single" w:sz="4" w:space="0" w:color="auto"/>
            </w:tcBorders>
            <w:noWrap/>
          </w:tcPr>
          <w:p w14:paraId="4E8B5F5E" w14:textId="77777777" w:rsidR="00EE53AD" w:rsidRPr="00B05567" w:rsidRDefault="00EE53AD" w:rsidP="00EE7B66">
            <w:pPr>
              <w:topLinePunct/>
              <w:jc w:val="center"/>
              <w:rPr>
                <w:sz w:val="20"/>
                <w:szCs w:val="20"/>
                <w:lang w:val="en-US"/>
              </w:rPr>
            </w:pPr>
          </w:p>
        </w:tc>
        <w:tc>
          <w:tcPr>
            <w:tcW w:w="759" w:type="dxa"/>
            <w:tcBorders>
              <w:top w:val="nil"/>
              <w:left w:val="nil"/>
              <w:bottom w:val="single" w:sz="4" w:space="0" w:color="auto"/>
              <w:right w:val="single" w:sz="4" w:space="0" w:color="auto"/>
            </w:tcBorders>
            <w:noWrap/>
          </w:tcPr>
          <w:p w14:paraId="53D6681F" w14:textId="77777777" w:rsidR="00EE53AD" w:rsidRPr="00B05567" w:rsidRDefault="00EE53AD" w:rsidP="00EE7B66">
            <w:pPr>
              <w:topLinePunct/>
              <w:jc w:val="center"/>
              <w:rPr>
                <w:sz w:val="20"/>
                <w:szCs w:val="20"/>
                <w:lang w:val="en-US"/>
              </w:rPr>
            </w:pPr>
          </w:p>
        </w:tc>
        <w:tc>
          <w:tcPr>
            <w:tcW w:w="760" w:type="dxa"/>
            <w:tcBorders>
              <w:top w:val="nil"/>
              <w:left w:val="nil"/>
              <w:bottom w:val="single" w:sz="4" w:space="0" w:color="auto"/>
              <w:right w:val="single" w:sz="4" w:space="0" w:color="auto"/>
            </w:tcBorders>
            <w:noWrap/>
          </w:tcPr>
          <w:p w14:paraId="63655855" w14:textId="77777777" w:rsidR="00EE53AD" w:rsidRPr="00B05567" w:rsidRDefault="00EE53AD" w:rsidP="00EE7B66">
            <w:pPr>
              <w:topLinePunct/>
              <w:jc w:val="center"/>
              <w:rPr>
                <w:sz w:val="20"/>
                <w:szCs w:val="20"/>
                <w:lang w:val="en-US"/>
              </w:rPr>
            </w:pPr>
          </w:p>
        </w:tc>
        <w:tc>
          <w:tcPr>
            <w:tcW w:w="759" w:type="dxa"/>
            <w:tcBorders>
              <w:top w:val="nil"/>
              <w:left w:val="nil"/>
              <w:bottom w:val="single" w:sz="4" w:space="0" w:color="auto"/>
              <w:right w:val="single" w:sz="4" w:space="0" w:color="auto"/>
            </w:tcBorders>
            <w:noWrap/>
          </w:tcPr>
          <w:p w14:paraId="41FAA45F" w14:textId="77777777" w:rsidR="00EE53AD" w:rsidRPr="00B05567" w:rsidRDefault="00EE53AD" w:rsidP="00EE7B66">
            <w:pPr>
              <w:topLinePunct/>
              <w:jc w:val="center"/>
              <w:rPr>
                <w:sz w:val="20"/>
                <w:szCs w:val="20"/>
                <w:lang w:val="en-US"/>
              </w:rPr>
            </w:pPr>
            <w:r w:rsidRPr="00B05567">
              <w:rPr>
                <w:sz w:val="20"/>
                <w:szCs w:val="20"/>
                <w:lang w:val="en-US"/>
              </w:rPr>
              <w:t>9.0</w:t>
            </w:r>
          </w:p>
        </w:tc>
        <w:tc>
          <w:tcPr>
            <w:tcW w:w="760" w:type="dxa"/>
            <w:tcBorders>
              <w:top w:val="nil"/>
              <w:left w:val="nil"/>
              <w:bottom w:val="single" w:sz="4" w:space="0" w:color="auto"/>
              <w:right w:val="single" w:sz="4" w:space="0" w:color="auto"/>
            </w:tcBorders>
            <w:noWrap/>
          </w:tcPr>
          <w:p w14:paraId="4780B524" w14:textId="77777777" w:rsidR="00EE53AD" w:rsidRPr="00B05567" w:rsidRDefault="00EE53AD" w:rsidP="00EE7B66">
            <w:pPr>
              <w:topLinePunct/>
              <w:jc w:val="center"/>
              <w:rPr>
                <w:sz w:val="20"/>
                <w:szCs w:val="20"/>
                <w:lang w:val="en-US"/>
              </w:rPr>
            </w:pPr>
            <w:r w:rsidRPr="00B05567">
              <w:rPr>
                <w:sz w:val="20"/>
                <w:szCs w:val="20"/>
                <w:lang w:val="en-US"/>
              </w:rPr>
              <w:t>9.0</w:t>
            </w:r>
          </w:p>
        </w:tc>
      </w:tr>
      <w:tr w:rsidR="00EE53AD" w14:paraId="233898D9" w14:textId="77777777">
        <w:trPr>
          <w:trHeight w:val="44"/>
        </w:trPr>
        <w:tc>
          <w:tcPr>
            <w:tcW w:w="1096" w:type="dxa"/>
            <w:tcBorders>
              <w:top w:val="nil"/>
              <w:left w:val="single" w:sz="4" w:space="0" w:color="auto"/>
              <w:bottom w:val="single" w:sz="4" w:space="0" w:color="auto"/>
              <w:right w:val="single" w:sz="4" w:space="0" w:color="auto"/>
            </w:tcBorders>
            <w:noWrap/>
          </w:tcPr>
          <w:p w14:paraId="5A604FCB" w14:textId="77777777" w:rsidR="00EE53AD" w:rsidRPr="00B05567" w:rsidRDefault="00EE53AD">
            <w:pPr>
              <w:keepNext/>
              <w:topLinePunct/>
              <w:jc w:val="left"/>
              <w:rPr>
                <w:sz w:val="20"/>
                <w:szCs w:val="20"/>
              </w:rPr>
            </w:pPr>
            <w:r w:rsidRPr="00B05567">
              <w:rPr>
                <w:rFonts w:hint="eastAsia"/>
                <w:b/>
                <w:sz w:val="20"/>
                <w:szCs w:val="20"/>
                <w:lang w:val="zh-CN"/>
              </w:rPr>
              <w:t>共计</w:t>
            </w:r>
          </w:p>
        </w:tc>
        <w:tc>
          <w:tcPr>
            <w:tcW w:w="759" w:type="dxa"/>
            <w:tcBorders>
              <w:top w:val="nil"/>
              <w:left w:val="nil"/>
              <w:bottom w:val="single" w:sz="4" w:space="0" w:color="auto"/>
              <w:right w:val="single" w:sz="4" w:space="0" w:color="auto"/>
            </w:tcBorders>
            <w:noWrap/>
          </w:tcPr>
          <w:p w14:paraId="3BE1FC8F" w14:textId="77777777" w:rsidR="00EE53AD" w:rsidRPr="00B05567" w:rsidRDefault="00EE53AD">
            <w:pPr>
              <w:keepNext/>
              <w:topLinePunct/>
              <w:jc w:val="center"/>
              <w:rPr>
                <w:b/>
                <w:sz w:val="20"/>
                <w:szCs w:val="20"/>
                <w:lang w:val="en-US"/>
              </w:rPr>
            </w:pPr>
            <w:r w:rsidRPr="00B05567">
              <w:rPr>
                <w:b/>
                <w:sz w:val="20"/>
                <w:szCs w:val="20"/>
                <w:lang w:val="en-US"/>
              </w:rPr>
              <w:t>10.7</w:t>
            </w:r>
          </w:p>
        </w:tc>
        <w:tc>
          <w:tcPr>
            <w:tcW w:w="759" w:type="dxa"/>
            <w:tcBorders>
              <w:top w:val="nil"/>
              <w:left w:val="nil"/>
              <w:bottom w:val="single" w:sz="4" w:space="0" w:color="auto"/>
              <w:right w:val="single" w:sz="4" w:space="0" w:color="auto"/>
            </w:tcBorders>
            <w:noWrap/>
          </w:tcPr>
          <w:p w14:paraId="67A2BD4F" w14:textId="77777777" w:rsidR="00EE53AD" w:rsidRPr="00B05567" w:rsidRDefault="00EE53AD">
            <w:pPr>
              <w:keepNext/>
              <w:topLinePunct/>
              <w:jc w:val="center"/>
              <w:rPr>
                <w:b/>
                <w:sz w:val="20"/>
                <w:szCs w:val="20"/>
                <w:lang w:val="en-US"/>
              </w:rPr>
            </w:pPr>
            <w:r w:rsidRPr="00B05567">
              <w:rPr>
                <w:b/>
                <w:sz w:val="20"/>
                <w:szCs w:val="20"/>
                <w:lang w:val="en-US"/>
              </w:rPr>
              <w:t>11.6</w:t>
            </w:r>
          </w:p>
        </w:tc>
        <w:tc>
          <w:tcPr>
            <w:tcW w:w="760" w:type="dxa"/>
            <w:tcBorders>
              <w:top w:val="nil"/>
              <w:left w:val="nil"/>
              <w:bottom w:val="single" w:sz="4" w:space="0" w:color="auto"/>
              <w:right w:val="single" w:sz="4" w:space="0" w:color="auto"/>
            </w:tcBorders>
            <w:noWrap/>
          </w:tcPr>
          <w:p w14:paraId="694564DA" w14:textId="77777777" w:rsidR="00EE53AD" w:rsidRPr="00B05567" w:rsidRDefault="00EE53AD">
            <w:pPr>
              <w:keepNext/>
              <w:topLinePunct/>
              <w:jc w:val="center"/>
              <w:rPr>
                <w:b/>
                <w:sz w:val="20"/>
                <w:szCs w:val="20"/>
                <w:lang w:val="en-US"/>
              </w:rPr>
            </w:pPr>
            <w:r w:rsidRPr="00B05567">
              <w:rPr>
                <w:b/>
                <w:sz w:val="20"/>
                <w:szCs w:val="20"/>
                <w:lang w:val="en-US"/>
              </w:rPr>
              <w:t>10.8</w:t>
            </w:r>
          </w:p>
        </w:tc>
        <w:tc>
          <w:tcPr>
            <w:tcW w:w="759" w:type="dxa"/>
            <w:tcBorders>
              <w:top w:val="nil"/>
              <w:left w:val="nil"/>
              <w:bottom w:val="single" w:sz="4" w:space="0" w:color="auto"/>
              <w:right w:val="single" w:sz="4" w:space="0" w:color="auto"/>
            </w:tcBorders>
            <w:noWrap/>
          </w:tcPr>
          <w:p w14:paraId="263AE147" w14:textId="77777777" w:rsidR="00EE53AD" w:rsidRPr="00B05567" w:rsidRDefault="00EE53AD">
            <w:pPr>
              <w:keepNext/>
              <w:topLinePunct/>
              <w:jc w:val="center"/>
              <w:rPr>
                <w:b/>
                <w:sz w:val="20"/>
                <w:szCs w:val="20"/>
                <w:lang w:val="en-US"/>
              </w:rPr>
            </w:pPr>
            <w:r w:rsidRPr="00B05567">
              <w:rPr>
                <w:b/>
                <w:sz w:val="20"/>
                <w:szCs w:val="20"/>
                <w:lang w:val="en-US"/>
              </w:rPr>
              <w:t>12.1</w:t>
            </w:r>
          </w:p>
        </w:tc>
        <w:tc>
          <w:tcPr>
            <w:tcW w:w="760" w:type="dxa"/>
            <w:tcBorders>
              <w:top w:val="nil"/>
              <w:left w:val="nil"/>
              <w:bottom w:val="single" w:sz="4" w:space="0" w:color="auto"/>
              <w:right w:val="single" w:sz="4" w:space="0" w:color="auto"/>
            </w:tcBorders>
            <w:noWrap/>
          </w:tcPr>
          <w:p w14:paraId="3BE131B7" w14:textId="77777777" w:rsidR="00EE53AD" w:rsidRPr="00B05567" w:rsidRDefault="00EE53AD">
            <w:pPr>
              <w:keepNext/>
              <w:topLinePunct/>
              <w:jc w:val="center"/>
              <w:rPr>
                <w:b/>
                <w:sz w:val="20"/>
                <w:szCs w:val="20"/>
                <w:lang w:val="en-US"/>
              </w:rPr>
            </w:pPr>
            <w:r w:rsidRPr="00B05567">
              <w:rPr>
                <w:b/>
                <w:sz w:val="20"/>
                <w:szCs w:val="20"/>
                <w:lang w:val="en-US"/>
              </w:rPr>
              <w:t>12.1</w:t>
            </w:r>
          </w:p>
        </w:tc>
        <w:tc>
          <w:tcPr>
            <w:tcW w:w="759" w:type="dxa"/>
            <w:tcBorders>
              <w:top w:val="nil"/>
              <w:left w:val="nil"/>
              <w:bottom w:val="single" w:sz="4" w:space="0" w:color="auto"/>
              <w:right w:val="single" w:sz="4" w:space="0" w:color="auto"/>
            </w:tcBorders>
            <w:noWrap/>
          </w:tcPr>
          <w:p w14:paraId="493D19EA" w14:textId="77777777" w:rsidR="00EE53AD" w:rsidRPr="00B05567" w:rsidRDefault="00EE53AD">
            <w:pPr>
              <w:keepNext/>
              <w:topLinePunct/>
              <w:jc w:val="center"/>
              <w:rPr>
                <w:b/>
                <w:sz w:val="20"/>
                <w:szCs w:val="20"/>
                <w:lang w:val="en-US"/>
              </w:rPr>
            </w:pPr>
            <w:r w:rsidRPr="00B05567">
              <w:rPr>
                <w:b/>
                <w:sz w:val="20"/>
                <w:szCs w:val="20"/>
                <w:lang w:val="en-US"/>
              </w:rPr>
              <w:t>12.1</w:t>
            </w:r>
          </w:p>
        </w:tc>
        <w:tc>
          <w:tcPr>
            <w:tcW w:w="760" w:type="dxa"/>
            <w:tcBorders>
              <w:top w:val="nil"/>
              <w:left w:val="nil"/>
              <w:bottom w:val="single" w:sz="4" w:space="0" w:color="auto"/>
              <w:right w:val="single" w:sz="4" w:space="0" w:color="auto"/>
            </w:tcBorders>
            <w:noWrap/>
          </w:tcPr>
          <w:p w14:paraId="4817F714" w14:textId="77777777" w:rsidR="00EE53AD" w:rsidRPr="00B05567" w:rsidRDefault="00EE53AD">
            <w:pPr>
              <w:keepNext/>
              <w:topLinePunct/>
              <w:jc w:val="center"/>
              <w:rPr>
                <w:b/>
                <w:sz w:val="20"/>
                <w:szCs w:val="20"/>
                <w:lang w:val="en-US"/>
              </w:rPr>
            </w:pPr>
            <w:r w:rsidRPr="00B05567">
              <w:rPr>
                <w:b/>
                <w:sz w:val="20"/>
                <w:szCs w:val="20"/>
                <w:lang w:val="en-US"/>
              </w:rPr>
              <w:t>12.2</w:t>
            </w:r>
          </w:p>
        </w:tc>
        <w:tc>
          <w:tcPr>
            <w:tcW w:w="759" w:type="dxa"/>
            <w:tcBorders>
              <w:top w:val="nil"/>
              <w:left w:val="nil"/>
              <w:bottom w:val="single" w:sz="4" w:space="0" w:color="auto"/>
              <w:right w:val="single" w:sz="4" w:space="0" w:color="auto"/>
            </w:tcBorders>
            <w:noWrap/>
          </w:tcPr>
          <w:p w14:paraId="5A6EA8A2" w14:textId="77777777" w:rsidR="00EE53AD" w:rsidRPr="00B05567" w:rsidRDefault="00EE53AD">
            <w:pPr>
              <w:keepNext/>
              <w:topLinePunct/>
              <w:jc w:val="center"/>
              <w:rPr>
                <w:b/>
                <w:sz w:val="20"/>
                <w:szCs w:val="20"/>
                <w:lang w:val="en-US"/>
              </w:rPr>
            </w:pPr>
            <w:r w:rsidRPr="00B05567">
              <w:rPr>
                <w:b/>
                <w:sz w:val="20"/>
                <w:szCs w:val="20"/>
                <w:lang w:val="en-US"/>
              </w:rPr>
              <w:t>13.8</w:t>
            </w:r>
          </w:p>
        </w:tc>
        <w:tc>
          <w:tcPr>
            <w:tcW w:w="760" w:type="dxa"/>
            <w:tcBorders>
              <w:top w:val="nil"/>
              <w:left w:val="nil"/>
              <w:bottom w:val="single" w:sz="4" w:space="0" w:color="auto"/>
              <w:right w:val="single" w:sz="4" w:space="0" w:color="auto"/>
            </w:tcBorders>
            <w:noWrap/>
          </w:tcPr>
          <w:p w14:paraId="62483E0B" w14:textId="77777777" w:rsidR="00EE53AD" w:rsidRPr="00B05567" w:rsidRDefault="00EE53AD">
            <w:pPr>
              <w:keepNext/>
              <w:topLinePunct/>
              <w:jc w:val="center"/>
              <w:rPr>
                <w:b/>
                <w:sz w:val="20"/>
                <w:szCs w:val="20"/>
                <w:lang w:val="en-US"/>
              </w:rPr>
            </w:pPr>
            <w:r w:rsidRPr="00B05567">
              <w:rPr>
                <w:b/>
                <w:sz w:val="20"/>
                <w:szCs w:val="20"/>
                <w:lang w:val="en-US"/>
              </w:rPr>
              <w:t>12.9</w:t>
            </w:r>
          </w:p>
        </w:tc>
        <w:tc>
          <w:tcPr>
            <w:tcW w:w="759" w:type="dxa"/>
            <w:tcBorders>
              <w:top w:val="nil"/>
              <w:left w:val="nil"/>
              <w:bottom w:val="single" w:sz="4" w:space="0" w:color="auto"/>
              <w:right w:val="single" w:sz="4" w:space="0" w:color="auto"/>
            </w:tcBorders>
            <w:noWrap/>
          </w:tcPr>
          <w:p w14:paraId="08811B1E" w14:textId="77777777" w:rsidR="00EE53AD" w:rsidRPr="00B05567" w:rsidRDefault="00EE53AD">
            <w:pPr>
              <w:keepNext/>
              <w:topLinePunct/>
              <w:jc w:val="center"/>
              <w:rPr>
                <w:b/>
                <w:sz w:val="20"/>
                <w:szCs w:val="20"/>
                <w:lang w:val="en-US"/>
              </w:rPr>
            </w:pPr>
            <w:r w:rsidRPr="00B05567">
              <w:rPr>
                <w:b/>
                <w:sz w:val="20"/>
                <w:szCs w:val="20"/>
                <w:lang w:val="en-US"/>
              </w:rPr>
              <w:t>12.1</w:t>
            </w:r>
          </w:p>
        </w:tc>
        <w:tc>
          <w:tcPr>
            <w:tcW w:w="760" w:type="dxa"/>
            <w:tcBorders>
              <w:top w:val="nil"/>
              <w:left w:val="nil"/>
              <w:bottom w:val="single" w:sz="4" w:space="0" w:color="auto"/>
              <w:right w:val="single" w:sz="4" w:space="0" w:color="auto"/>
            </w:tcBorders>
            <w:noWrap/>
          </w:tcPr>
          <w:p w14:paraId="5BFA0FAF" w14:textId="77777777" w:rsidR="00EE53AD" w:rsidRPr="00B05567" w:rsidRDefault="00EE53AD">
            <w:pPr>
              <w:keepNext/>
              <w:topLinePunct/>
              <w:jc w:val="center"/>
              <w:rPr>
                <w:b/>
                <w:sz w:val="20"/>
                <w:szCs w:val="20"/>
                <w:lang w:val="en-US"/>
              </w:rPr>
            </w:pPr>
            <w:r w:rsidRPr="00B05567">
              <w:rPr>
                <w:b/>
                <w:sz w:val="20"/>
                <w:szCs w:val="20"/>
                <w:lang w:val="en-US"/>
              </w:rPr>
              <w:t>11.8</w:t>
            </w:r>
          </w:p>
        </w:tc>
      </w:tr>
    </w:tbl>
    <w:p w14:paraId="4D4C825D" w14:textId="77777777" w:rsidR="00EE53AD" w:rsidRPr="00B05567" w:rsidRDefault="00EE53AD">
      <w:pPr>
        <w:topLinePunct/>
        <w:rPr>
          <w:sz w:val="18"/>
          <w:szCs w:val="24"/>
        </w:rPr>
      </w:pPr>
      <w:r w:rsidRPr="00B05567">
        <w:rPr>
          <w:sz w:val="18"/>
          <w:szCs w:val="24"/>
          <w:lang w:val="zh-CN"/>
        </w:rPr>
        <w:t xml:space="preserve">* </w:t>
      </w:r>
      <w:r w:rsidRPr="00B05567">
        <w:rPr>
          <w:rFonts w:hint="eastAsia"/>
          <w:sz w:val="18"/>
          <w:szCs w:val="24"/>
          <w:lang w:val="zh-CN"/>
        </w:rPr>
        <w:t>根据第八十七次会议至第九十二次会议实际批准并提交第九十三次会议的数字。</w:t>
      </w:r>
    </w:p>
    <w:p w14:paraId="0B321935" w14:textId="77777777" w:rsidR="00EE53AD" w:rsidRPr="00B05567" w:rsidRDefault="00EE53AD">
      <w:pPr>
        <w:topLinePunct/>
        <w:rPr>
          <w:sz w:val="18"/>
          <w:szCs w:val="24"/>
        </w:rPr>
      </w:pPr>
      <w:r w:rsidRPr="00B05567">
        <w:rPr>
          <w:sz w:val="18"/>
          <w:szCs w:val="24"/>
        </w:rPr>
        <w:t xml:space="preserve">** </w:t>
      </w:r>
      <w:r w:rsidRPr="00B05567">
        <w:rPr>
          <w:rFonts w:hint="eastAsia"/>
          <w:sz w:val="18"/>
          <w:szCs w:val="24"/>
          <w:lang w:val="zh-CN"/>
        </w:rPr>
        <w:t>多边基金</w:t>
      </w:r>
      <w:r w:rsidRPr="00B05567">
        <w:rPr>
          <w:sz w:val="18"/>
          <w:szCs w:val="24"/>
        </w:rPr>
        <w:t>2024-2026</w:t>
      </w:r>
      <w:r w:rsidRPr="00B05567">
        <w:rPr>
          <w:rFonts w:hint="eastAsia"/>
          <w:sz w:val="18"/>
          <w:szCs w:val="24"/>
          <w:lang w:val="zh-CN"/>
        </w:rPr>
        <w:t>年综合业务计划</w:t>
      </w:r>
      <w:r w:rsidRPr="00B05567">
        <w:rPr>
          <w:rFonts w:hint="eastAsia"/>
          <w:sz w:val="18"/>
          <w:szCs w:val="24"/>
        </w:rPr>
        <w:t>（</w:t>
      </w:r>
      <w:r w:rsidRPr="00B05567">
        <w:rPr>
          <w:rFonts w:hint="eastAsia"/>
          <w:sz w:val="18"/>
          <w:szCs w:val="24"/>
          <w:lang w:val="zh-CN"/>
        </w:rPr>
        <w:t>见上文第</w:t>
      </w:r>
      <w:r w:rsidRPr="00B05567">
        <w:rPr>
          <w:sz w:val="18"/>
          <w:szCs w:val="24"/>
        </w:rPr>
        <w:t>4</w:t>
      </w:r>
      <w:r w:rsidRPr="00B05567">
        <w:rPr>
          <w:rFonts w:hint="eastAsia"/>
          <w:sz w:val="18"/>
          <w:szCs w:val="24"/>
          <w:lang w:val="zh-CN"/>
        </w:rPr>
        <w:t>段</w:t>
      </w:r>
      <w:r w:rsidRPr="00B05567">
        <w:rPr>
          <w:rFonts w:hint="eastAsia"/>
          <w:sz w:val="18"/>
          <w:szCs w:val="24"/>
        </w:rPr>
        <w:t>（</w:t>
      </w:r>
      <w:r w:rsidRPr="00B05567">
        <w:rPr>
          <w:sz w:val="18"/>
          <w:szCs w:val="24"/>
        </w:rPr>
        <w:t>a</w:t>
      </w:r>
      <w:r w:rsidRPr="00B05567">
        <w:rPr>
          <w:rFonts w:hint="eastAsia"/>
          <w:sz w:val="18"/>
          <w:szCs w:val="24"/>
        </w:rPr>
        <w:t>））</w:t>
      </w:r>
      <w:r w:rsidRPr="00B05567">
        <w:rPr>
          <w:rFonts w:hint="eastAsia"/>
          <w:sz w:val="18"/>
          <w:szCs w:val="24"/>
          <w:lang w:val="zh-CN"/>
        </w:rPr>
        <w:t>。</w:t>
      </w:r>
    </w:p>
    <w:p w14:paraId="1BFDBD8E" w14:textId="77777777" w:rsidR="00EE53AD" w:rsidRDefault="00EE53AD">
      <w:pPr>
        <w:topLinePunct/>
        <w:rPr>
          <w:caps/>
          <w:szCs w:val="24"/>
        </w:rPr>
      </w:pPr>
    </w:p>
    <w:p w14:paraId="705DA602" w14:textId="77777777" w:rsidR="00EE53AD" w:rsidRPr="00972958" w:rsidRDefault="00EE53AD">
      <w:pPr>
        <w:pStyle w:val="Heading1"/>
        <w:topLinePunct/>
        <w:rPr>
          <w:szCs w:val="24"/>
        </w:rPr>
      </w:pPr>
      <w:bookmarkStart w:id="1" w:name="_Hlk152086551"/>
      <w:bookmarkStart w:id="2" w:name="_Hlk152086777"/>
      <w:r w:rsidRPr="00972958">
        <w:rPr>
          <w:rFonts w:hint="eastAsia"/>
          <w:szCs w:val="24"/>
          <w:lang w:val="zh-CN"/>
        </w:rPr>
        <w:t>在某些时期</w:t>
      </w:r>
      <w:r w:rsidRPr="00972958">
        <w:rPr>
          <w:rFonts w:hint="eastAsia"/>
          <w:szCs w:val="24"/>
        </w:rPr>
        <w:t>，</w:t>
      </w:r>
      <w:r w:rsidRPr="00972958">
        <w:rPr>
          <w:rFonts w:hint="eastAsia"/>
          <w:szCs w:val="24"/>
          <w:lang w:val="zh-CN"/>
        </w:rPr>
        <w:t>对具体执行机构而言</w:t>
      </w:r>
      <w:r w:rsidRPr="00972958">
        <w:rPr>
          <w:rFonts w:hint="eastAsia"/>
          <w:szCs w:val="24"/>
        </w:rPr>
        <w:t>，</w:t>
      </w:r>
      <w:r w:rsidRPr="00972958">
        <w:rPr>
          <w:rFonts w:hint="eastAsia"/>
          <w:szCs w:val="24"/>
          <w:lang w:val="zh-CN"/>
        </w:rPr>
        <w:t>方案支助费用高于</w:t>
      </w:r>
      <w:r w:rsidRPr="00972958">
        <w:rPr>
          <w:szCs w:val="24"/>
        </w:rPr>
        <w:t>13%</w:t>
      </w:r>
      <w:r w:rsidRPr="00972958">
        <w:rPr>
          <w:rFonts w:hint="eastAsia"/>
          <w:szCs w:val="24"/>
        </w:rPr>
        <w:t>，</w:t>
      </w:r>
      <w:r w:rsidRPr="00972958">
        <w:rPr>
          <w:rFonts w:hint="eastAsia"/>
          <w:szCs w:val="24"/>
          <w:lang w:val="zh-CN"/>
        </w:rPr>
        <w:t>这是由于批准的项目供资减少</w:t>
      </w:r>
      <w:r w:rsidRPr="00972958">
        <w:rPr>
          <w:rFonts w:hint="eastAsia"/>
          <w:szCs w:val="24"/>
        </w:rPr>
        <w:t>，</w:t>
      </w:r>
      <w:r w:rsidRPr="00972958">
        <w:rPr>
          <w:rFonts w:hint="eastAsia"/>
          <w:szCs w:val="24"/>
          <w:lang w:val="zh-CN"/>
        </w:rPr>
        <w:t>导致这些年份的核心单位预算相应比例增加。</w:t>
      </w:r>
      <w:r w:rsidRPr="00972958">
        <w:rPr>
          <w:szCs w:val="24"/>
          <w:lang w:val="en-US"/>
        </w:rPr>
        <w:t>2021-2023</w:t>
      </w:r>
      <w:r w:rsidRPr="00972958">
        <w:rPr>
          <w:rFonts w:hint="eastAsia"/>
          <w:szCs w:val="24"/>
          <w:lang w:val="zh-CN"/>
        </w:rPr>
        <w:t>年三年期期间</w:t>
      </w:r>
      <w:r w:rsidRPr="00972958">
        <w:rPr>
          <w:rFonts w:hint="eastAsia"/>
          <w:szCs w:val="24"/>
          <w:lang w:val="en-US"/>
        </w:rPr>
        <w:t>，</w:t>
      </w:r>
      <w:r w:rsidRPr="00972958">
        <w:rPr>
          <w:rFonts w:hint="eastAsia"/>
          <w:szCs w:val="24"/>
          <w:lang w:val="zh-CN"/>
        </w:rPr>
        <w:t>世界各国都在从</w:t>
      </w:r>
      <w:r w:rsidRPr="00972958">
        <w:rPr>
          <w:szCs w:val="24"/>
          <w:lang w:val="en-US"/>
        </w:rPr>
        <w:t>COVID-19</w:t>
      </w:r>
      <w:r w:rsidRPr="00972958">
        <w:rPr>
          <w:rFonts w:hint="eastAsia"/>
          <w:szCs w:val="24"/>
          <w:lang w:val="zh-CN"/>
        </w:rPr>
        <w:t>大流行中恢复过来。虽然执行机构与国家对口部门密切协调</w:t>
      </w:r>
      <w:r w:rsidRPr="00972958">
        <w:rPr>
          <w:rFonts w:hint="eastAsia"/>
          <w:szCs w:val="24"/>
          <w:lang w:val="en-US"/>
        </w:rPr>
        <w:t>，</w:t>
      </w:r>
      <w:r w:rsidRPr="00972958">
        <w:rPr>
          <w:rFonts w:hint="eastAsia"/>
          <w:szCs w:val="24"/>
          <w:lang w:val="zh-CN"/>
        </w:rPr>
        <w:t>通过不同机制</w:t>
      </w:r>
      <w:r w:rsidRPr="00972958">
        <w:rPr>
          <w:rFonts w:hint="eastAsia"/>
          <w:szCs w:val="24"/>
          <w:lang w:val="en-US"/>
        </w:rPr>
        <w:t>（</w:t>
      </w:r>
      <w:r w:rsidRPr="00972958">
        <w:rPr>
          <w:rFonts w:hint="eastAsia"/>
          <w:szCs w:val="24"/>
          <w:lang w:val="zh-CN"/>
        </w:rPr>
        <w:t>例如</w:t>
      </w:r>
      <w:r w:rsidRPr="00972958">
        <w:rPr>
          <w:rFonts w:hint="eastAsia"/>
          <w:szCs w:val="24"/>
          <w:lang w:val="en-US"/>
        </w:rPr>
        <w:t>，</w:t>
      </w:r>
      <w:r w:rsidRPr="00972958">
        <w:rPr>
          <w:rFonts w:hint="eastAsia"/>
          <w:szCs w:val="24"/>
          <w:lang w:val="zh-CN"/>
        </w:rPr>
        <w:t>在线培训活动、在线项目审查和实施监测</w:t>
      </w:r>
      <w:r w:rsidRPr="00972958">
        <w:rPr>
          <w:rFonts w:hint="eastAsia"/>
          <w:szCs w:val="24"/>
          <w:lang w:val="en-US"/>
        </w:rPr>
        <w:t>）</w:t>
      </w:r>
      <w:r w:rsidRPr="00972958">
        <w:rPr>
          <w:rFonts w:hint="eastAsia"/>
          <w:szCs w:val="24"/>
          <w:lang w:val="zh-CN"/>
        </w:rPr>
        <w:t>支持项目的实施</w:t>
      </w:r>
      <w:r w:rsidRPr="00972958">
        <w:rPr>
          <w:rFonts w:hint="eastAsia"/>
          <w:szCs w:val="24"/>
          <w:lang w:val="en-US"/>
        </w:rPr>
        <w:t>，</w:t>
      </w:r>
      <w:r w:rsidRPr="00972958">
        <w:rPr>
          <w:rFonts w:hint="eastAsia"/>
          <w:szCs w:val="24"/>
          <w:lang w:val="zh-CN"/>
        </w:rPr>
        <w:t>但实施活动的速度以及项目未来各次付款的批准都低于预期水平</w:t>
      </w:r>
      <w:r w:rsidRPr="00972958">
        <w:rPr>
          <w:rFonts w:hint="eastAsia"/>
          <w:szCs w:val="24"/>
          <w:lang w:val="en-US"/>
        </w:rPr>
        <w:t>；</w:t>
      </w:r>
      <w:r w:rsidRPr="00972958">
        <w:rPr>
          <w:rFonts w:hint="eastAsia"/>
          <w:szCs w:val="24"/>
          <w:lang w:val="zh-CN"/>
        </w:rPr>
        <w:t>在某些情况下</w:t>
      </w:r>
      <w:r w:rsidRPr="00972958">
        <w:rPr>
          <w:rFonts w:hint="eastAsia"/>
          <w:szCs w:val="24"/>
          <w:lang w:val="en-US"/>
        </w:rPr>
        <w:t>，</w:t>
      </w:r>
      <w:r w:rsidRPr="00972958">
        <w:rPr>
          <w:rFonts w:hint="eastAsia"/>
          <w:szCs w:val="24"/>
          <w:lang w:val="zh-CN"/>
        </w:rPr>
        <w:t>由于旅行和供应链方面受到的限制</w:t>
      </w:r>
      <w:r w:rsidRPr="00972958">
        <w:rPr>
          <w:rFonts w:hint="eastAsia"/>
          <w:szCs w:val="24"/>
          <w:lang w:val="en-US"/>
        </w:rPr>
        <w:t>，</w:t>
      </w:r>
      <w:r w:rsidRPr="00972958">
        <w:rPr>
          <w:rFonts w:hint="eastAsia"/>
          <w:szCs w:val="24"/>
          <w:lang w:val="zh-CN"/>
        </w:rPr>
        <w:t>涉及安装和调试使用替代品制造产品的设备的投资项目都遭到延误。就各机构赚取的行政费用而言</w:t>
      </w:r>
      <w:r w:rsidRPr="00972958">
        <w:rPr>
          <w:rFonts w:hint="eastAsia"/>
          <w:szCs w:val="24"/>
          <w:lang w:val="en-US"/>
        </w:rPr>
        <w:t>，</w:t>
      </w:r>
      <w:r w:rsidRPr="00972958">
        <w:rPr>
          <w:rFonts w:hint="eastAsia"/>
          <w:szCs w:val="24"/>
          <w:lang w:val="zh-CN"/>
        </w:rPr>
        <w:t>这导致各机构的行政支助费用减少</w:t>
      </w:r>
      <w:r w:rsidRPr="00972958">
        <w:rPr>
          <w:rFonts w:hint="eastAsia"/>
          <w:szCs w:val="24"/>
          <w:lang w:val="en-US"/>
        </w:rPr>
        <w:t>，</w:t>
      </w:r>
      <w:r w:rsidRPr="00972958">
        <w:rPr>
          <w:rFonts w:hint="eastAsia"/>
          <w:szCs w:val="24"/>
          <w:lang w:val="zh-CN"/>
        </w:rPr>
        <w:t>尽管核心单位供资可在适用水平上获得。</w:t>
      </w:r>
    </w:p>
    <w:bookmarkEnd w:id="1"/>
    <w:bookmarkEnd w:id="2"/>
    <w:p w14:paraId="53B6881F" w14:textId="77777777" w:rsidR="00EE53AD" w:rsidRPr="00972958" w:rsidRDefault="00EE53AD">
      <w:pPr>
        <w:keepNext/>
        <w:topLinePunct/>
        <w:rPr>
          <w:szCs w:val="24"/>
          <w:u w:val="single"/>
        </w:rPr>
      </w:pPr>
      <w:r w:rsidRPr="00972958">
        <w:rPr>
          <w:szCs w:val="24"/>
          <w:u w:val="single"/>
          <w:lang w:val="zh-CN"/>
        </w:rPr>
        <w:t>2024-2026</w:t>
      </w:r>
      <w:r w:rsidRPr="00972958">
        <w:rPr>
          <w:rFonts w:hint="eastAsia"/>
          <w:szCs w:val="24"/>
          <w:u w:val="single"/>
          <w:lang w:val="zh-CN"/>
        </w:rPr>
        <w:t>年三年期业务计划的分析</w:t>
      </w:r>
    </w:p>
    <w:p w14:paraId="1C90EE99" w14:textId="77777777" w:rsidR="00EE53AD" w:rsidRPr="00972958" w:rsidRDefault="00EE53AD">
      <w:pPr>
        <w:keepNext/>
        <w:topLinePunct/>
        <w:rPr>
          <w:szCs w:val="24"/>
          <w:u w:val="single"/>
        </w:rPr>
      </w:pPr>
    </w:p>
    <w:p w14:paraId="7F1E152E" w14:textId="77777777" w:rsidR="00EE53AD" w:rsidRPr="00972958" w:rsidRDefault="00EE53AD">
      <w:pPr>
        <w:pStyle w:val="Heading1"/>
        <w:topLinePunct/>
        <w:rPr>
          <w:szCs w:val="24"/>
        </w:rPr>
      </w:pPr>
      <w:r w:rsidRPr="00972958">
        <w:rPr>
          <w:rFonts w:hint="eastAsia"/>
          <w:szCs w:val="24"/>
          <w:lang w:val="zh-CN"/>
        </w:rPr>
        <w:t>表</w:t>
      </w:r>
      <w:r w:rsidRPr="00972958">
        <w:rPr>
          <w:szCs w:val="24"/>
        </w:rPr>
        <w:t>2</w:t>
      </w:r>
      <w:r w:rsidRPr="00972958">
        <w:rPr>
          <w:rFonts w:hint="eastAsia"/>
          <w:szCs w:val="24"/>
          <w:lang w:val="zh-CN"/>
        </w:rPr>
        <w:t>列出过去两个三年期批准的供资和支助费用的趋势以及</w:t>
      </w:r>
      <w:r w:rsidRPr="00972958">
        <w:rPr>
          <w:szCs w:val="24"/>
        </w:rPr>
        <w:t>2024-2026</w:t>
      </w:r>
      <w:r w:rsidRPr="00972958">
        <w:rPr>
          <w:rFonts w:hint="eastAsia"/>
          <w:szCs w:val="24"/>
          <w:lang w:val="zh-CN"/>
        </w:rPr>
        <w:t>年三年期的预期供资和支助费用。</w:t>
      </w:r>
      <w:r w:rsidRPr="00972958">
        <w:rPr>
          <w:szCs w:val="24"/>
        </w:rPr>
        <w:t xml:space="preserve">  </w:t>
      </w:r>
    </w:p>
    <w:p w14:paraId="401F8F5B" w14:textId="77777777" w:rsidR="00EE53AD" w:rsidRPr="00972958" w:rsidRDefault="00EE53AD">
      <w:pPr>
        <w:keepNext/>
        <w:keepLines/>
        <w:widowControl w:val="0"/>
        <w:topLinePunct/>
        <w:rPr>
          <w:b/>
          <w:szCs w:val="24"/>
        </w:rPr>
      </w:pPr>
      <w:r w:rsidRPr="00972958">
        <w:rPr>
          <w:rFonts w:hint="eastAsia"/>
          <w:b/>
          <w:szCs w:val="24"/>
          <w:lang w:val="zh-CN"/>
        </w:rPr>
        <w:t>表</w:t>
      </w:r>
      <w:r w:rsidRPr="00972958">
        <w:rPr>
          <w:b/>
          <w:szCs w:val="24"/>
          <w:lang w:val="en-US"/>
        </w:rPr>
        <w:t xml:space="preserve">2.  </w:t>
      </w:r>
      <w:r w:rsidRPr="00972958">
        <w:rPr>
          <w:rFonts w:hint="eastAsia"/>
          <w:b/>
          <w:szCs w:val="24"/>
          <w:lang w:val="zh-CN"/>
        </w:rPr>
        <w:t>基金在</w:t>
      </w:r>
      <w:r w:rsidRPr="00972958">
        <w:rPr>
          <w:b/>
          <w:szCs w:val="24"/>
          <w:lang w:val="zh-CN"/>
        </w:rPr>
        <w:t>2018-2020</w:t>
      </w:r>
      <w:r w:rsidRPr="00972958">
        <w:rPr>
          <w:rFonts w:hint="eastAsia"/>
          <w:b/>
          <w:szCs w:val="24"/>
          <w:lang w:val="zh-CN"/>
        </w:rPr>
        <w:t>年三年期和</w:t>
      </w:r>
      <w:r w:rsidRPr="00972958">
        <w:rPr>
          <w:b/>
          <w:szCs w:val="24"/>
          <w:lang w:val="zh-CN"/>
        </w:rPr>
        <w:t>2021-2023</w:t>
      </w:r>
      <w:r w:rsidRPr="00972958">
        <w:rPr>
          <w:rFonts w:hint="eastAsia"/>
          <w:b/>
          <w:szCs w:val="24"/>
          <w:lang w:val="zh-CN"/>
        </w:rPr>
        <w:t>年三年期支付的行政费用以及预期在</w:t>
      </w:r>
      <w:r w:rsidRPr="00972958">
        <w:rPr>
          <w:b/>
          <w:szCs w:val="24"/>
          <w:lang w:val="zh-CN"/>
        </w:rPr>
        <w:t>2024-2026</w:t>
      </w:r>
      <w:r w:rsidRPr="00972958">
        <w:rPr>
          <w:rFonts w:hint="eastAsia"/>
          <w:b/>
          <w:szCs w:val="24"/>
          <w:lang w:val="zh-CN"/>
        </w:rPr>
        <w:t>年三年期支付的行政费用（美元）</w:t>
      </w:r>
    </w:p>
    <w:tbl>
      <w:tblPr>
        <w:tblW w:w="9625" w:type="dxa"/>
        <w:tblLayout w:type="fixed"/>
        <w:tblLook w:val="00A0" w:firstRow="1" w:lastRow="0" w:firstColumn="1" w:lastColumn="0" w:noHBand="0" w:noVBand="0"/>
      </w:tblPr>
      <w:tblGrid>
        <w:gridCol w:w="1006"/>
        <w:gridCol w:w="1011"/>
        <w:gridCol w:w="948"/>
        <w:gridCol w:w="810"/>
        <w:gridCol w:w="1080"/>
        <w:gridCol w:w="900"/>
        <w:gridCol w:w="900"/>
        <w:gridCol w:w="1080"/>
        <w:gridCol w:w="990"/>
        <w:gridCol w:w="900"/>
      </w:tblGrid>
      <w:tr w:rsidR="00EE53AD" w14:paraId="78E48C37" w14:textId="77777777">
        <w:trPr>
          <w:trHeight w:val="177"/>
        </w:trPr>
        <w:tc>
          <w:tcPr>
            <w:tcW w:w="1006" w:type="dxa"/>
            <w:vMerge w:val="restart"/>
            <w:tcBorders>
              <w:top w:val="single" w:sz="4" w:space="0" w:color="auto"/>
              <w:left w:val="single" w:sz="4" w:space="0" w:color="auto"/>
              <w:right w:val="single" w:sz="4" w:space="0" w:color="auto"/>
            </w:tcBorders>
            <w:noWrap/>
            <w:tcMar>
              <w:left w:w="29" w:type="dxa"/>
              <w:right w:w="29" w:type="dxa"/>
            </w:tcMar>
            <w:vAlign w:val="center"/>
          </w:tcPr>
          <w:p w14:paraId="15CB6376" w14:textId="77777777" w:rsidR="00EE53AD" w:rsidRPr="00B05567" w:rsidRDefault="00EE53AD">
            <w:pPr>
              <w:keepNext/>
              <w:keepLines/>
              <w:topLinePunct/>
              <w:rPr>
                <w:sz w:val="18"/>
                <w:szCs w:val="18"/>
              </w:rPr>
            </w:pPr>
            <w:r w:rsidRPr="00B05567">
              <w:rPr>
                <w:rFonts w:hint="eastAsia"/>
                <w:b/>
                <w:sz w:val="18"/>
                <w:szCs w:val="18"/>
                <w:lang w:val="zh-CN"/>
              </w:rPr>
              <w:t>机构</w:t>
            </w:r>
          </w:p>
        </w:tc>
        <w:tc>
          <w:tcPr>
            <w:tcW w:w="2769" w:type="dxa"/>
            <w:gridSpan w:val="3"/>
            <w:tcBorders>
              <w:top w:val="single" w:sz="4" w:space="0" w:color="auto"/>
              <w:left w:val="nil"/>
              <w:bottom w:val="single" w:sz="4" w:space="0" w:color="auto"/>
              <w:right w:val="single" w:sz="4" w:space="0" w:color="auto"/>
            </w:tcBorders>
            <w:noWrap/>
            <w:tcMar>
              <w:left w:w="0" w:type="dxa"/>
              <w:right w:w="14" w:type="dxa"/>
            </w:tcMar>
            <w:vAlign w:val="center"/>
          </w:tcPr>
          <w:p w14:paraId="36B371B2" w14:textId="77777777" w:rsidR="00EE53AD" w:rsidRPr="00B05567" w:rsidRDefault="00EE53AD">
            <w:pPr>
              <w:keepNext/>
              <w:keepLines/>
              <w:topLinePunct/>
              <w:jc w:val="center"/>
              <w:rPr>
                <w:sz w:val="18"/>
                <w:szCs w:val="18"/>
              </w:rPr>
            </w:pPr>
            <w:r w:rsidRPr="00B05567">
              <w:rPr>
                <w:b/>
                <w:sz w:val="18"/>
                <w:szCs w:val="18"/>
              </w:rPr>
              <w:t>2018–2020*</w:t>
            </w:r>
          </w:p>
        </w:tc>
        <w:tc>
          <w:tcPr>
            <w:tcW w:w="2880" w:type="dxa"/>
            <w:gridSpan w:val="3"/>
            <w:tcBorders>
              <w:top w:val="single" w:sz="4" w:space="0" w:color="auto"/>
              <w:left w:val="nil"/>
              <w:bottom w:val="single" w:sz="4" w:space="0" w:color="auto"/>
              <w:right w:val="single" w:sz="4" w:space="0" w:color="auto"/>
            </w:tcBorders>
            <w:noWrap/>
            <w:tcMar>
              <w:left w:w="0" w:type="dxa"/>
              <w:right w:w="14" w:type="dxa"/>
            </w:tcMar>
            <w:vAlign w:val="center"/>
          </w:tcPr>
          <w:p w14:paraId="1D1D8C9D" w14:textId="77777777" w:rsidR="00EE53AD" w:rsidRPr="00B05567" w:rsidRDefault="00EE53AD">
            <w:pPr>
              <w:keepNext/>
              <w:keepLines/>
              <w:topLinePunct/>
              <w:jc w:val="center"/>
              <w:rPr>
                <w:b/>
                <w:sz w:val="18"/>
                <w:szCs w:val="18"/>
              </w:rPr>
            </w:pPr>
            <w:r w:rsidRPr="00B05567">
              <w:rPr>
                <w:b/>
                <w:sz w:val="18"/>
                <w:szCs w:val="18"/>
              </w:rPr>
              <w:t>2021–2023**</w:t>
            </w:r>
          </w:p>
        </w:tc>
        <w:tc>
          <w:tcPr>
            <w:tcW w:w="2970" w:type="dxa"/>
            <w:gridSpan w:val="3"/>
            <w:tcBorders>
              <w:top w:val="single" w:sz="4" w:space="0" w:color="auto"/>
              <w:left w:val="nil"/>
              <w:bottom w:val="single" w:sz="4" w:space="0" w:color="auto"/>
              <w:right w:val="single" w:sz="4" w:space="0" w:color="auto"/>
            </w:tcBorders>
          </w:tcPr>
          <w:p w14:paraId="11A81970" w14:textId="77777777" w:rsidR="00EE53AD" w:rsidRPr="00B05567" w:rsidRDefault="00EE53AD">
            <w:pPr>
              <w:keepNext/>
              <w:keepLines/>
              <w:topLinePunct/>
              <w:jc w:val="center"/>
              <w:rPr>
                <w:b/>
                <w:sz w:val="18"/>
                <w:szCs w:val="18"/>
              </w:rPr>
            </w:pPr>
            <w:r w:rsidRPr="00B05567">
              <w:rPr>
                <w:b/>
                <w:sz w:val="18"/>
                <w:szCs w:val="18"/>
              </w:rPr>
              <w:t>2024–2026***</w:t>
            </w:r>
          </w:p>
        </w:tc>
      </w:tr>
      <w:tr w:rsidR="00EE53AD" w14:paraId="78A8BB47" w14:textId="77777777">
        <w:trPr>
          <w:trHeight w:val="142"/>
        </w:trPr>
        <w:tc>
          <w:tcPr>
            <w:tcW w:w="1006" w:type="dxa"/>
            <w:vMerge/>
            <w:tcBorders>
              <w:left w:val="single" w:sz="4" w:space="0" w:color="auto"/>
              <w:bottom w:val="single" w:sz="4" w:space="0" w:color="auto"/>
              <w:right w:val="single" w:sz="4" w:space="0" w:color="auto"/>
            </w:tcBorders>
            <w:noWrap/>
            <w:tcMar>
              <w:left w:w="29" w:type="dxa"/>
              <w:right w:w="29" w:type="dxa"/>
            </w:tcMar>
            <w:vAlign w:val="center"/>
          </w:tcPr>
          <w:p w14:paraId="72E41276" w14:textId="77777777" w:rsidR="00EE53AD" w:rsidRPr="00B05567" w:rsidRDefault="00EE53AD">
            <w:pPr>
              <w:keepNext/>
              <w:keepLines/>
              <w:topLinePunct/>
              <w:rPr>
                <w:b/>
                <w:sz w:val="18"/>
                <w:szCs w:val="18"/>
              </w:rPr>
            </w:pPr>
          </w:p>
        </w:tc>
        <w:tc>
          <w:tcPr>
            <w:tcW w:w="1011" w:type="dxa"/>
            <w:tcBorders>
              <w:top w:val="nil"/>
              <w:left w:val="nil"/>
              <w:bottom w:val="single" w:sz="4" w:space="0" w:color="auto"/>
              <w:right w:val="single" w:sz="4" w:space="0" w:color="auto"/>
            </w:tcBorders>
            <w:noWrap/>
            <w:tcMar>
              <w:left w:w="0" w:type="dxa"/>
              <w:right w:w="14" w:type="dxa"/>
            </w:tcMar>
            <w:vAlign w:val="center"/>
          </w:tcPr>
          <w:p w14:paraId="32A53C11" w14:textId="77777777" w:rsidR="00EE53AD" w:rsidRPr="00B05567" w:rsidRDefault="00EE53AD">
            <w:pPr>
              <w:keepNext/>
              <w:keepLines/>
              <w:topLinePunct/>
              <w:jc w:val="center"/>
              <w:rPr>
                <w:sz w:val="18"/>
                <w:szCs w:val="18"/>
              </w:rPr>
            </w:pPr>
            <w:r w:rsidRPr="00B05567">
              <w:rPr>
                <w:rFonts w:hint="eastAsia"/>
                <w:b/>
                <w:sz w:val="18"/>
                <w:szCs w:val="18"/>
                <w:lang w:val="zh-CN"/>
              </w:rPr>
              <w:t>供资数额</w:t>
            </w:r>
          </w:p>
        </w:tc>
        <w:tc>
          <w:tcPr>
            <w:tcW w:w="948" w:type="dxa"/>
            <w:tcBorders>
              <w:top w:val="nil"/>
              <w:left w:val="nil"/>
              <w:bottom w:val="single" w:sz="4" w:space="0" w:color="auto"/>
              <w:right w:val="single" w:sz="4" w:space="0" w:color="auto"/>
            </w:tcBorders>
            <w:noWrap/>
            <w:tcMar>
              <w:left w:w="0" w:type="dxa"/>
              <w:right w:w="14" w:type="dxa"/>
            </w:tcMar>
            <w:vAlign w:val="center"/>
          </w:tcPr>
          <w:p w14:paraId="07FE341E" w14:textId="77777777" w:rsidR="00EE53AD" w:rsidRPr="00B05567" w:rsidRDefault="00EE53AD">
            <w:pPr>
              <w:keepNext/>
              <w:keepLines/>
              <w:topLinePunct/>
              <w:jc w:val="center"/>
              <w:rPr>
                <w:sz w:val="18"/>
                <w:szCs w:val="18"/>
              </w:rPr>
            </w:pPr>
            <w:r w:rsidRPr="00B05567">
              <w:rPr>
                <w:rFonts w:hint="eastAsia"/>
                <w:b/>
                <w:sz w:val="18"/>
                <w:szCs w:val="18"/>
                <w:lang w:val="zh-CN"/>
              </w:rPr>
              <w:t>支助费用</w:t>
            </w:r>
          </w:p>
        </w:tc>
        <w:tc>
          <w:tcPr>
            <w:tcW w:w="810" w:type="dxa"/>
            <w:tcBorders>
              <w:top w:val="nil"/>
              <w:left w:val="nil"/>
              <w:bottom w:val="single" w:sz="4" w:space="0" w:color="auto"/>
              <w:right w:val="single" w:sz="4" w:space="0" w:color="auto"/>
            </w:tcBorders>
            <w:noWrap/>
            <w:tcMar>
              <w:left w:w="0" w:type="dxa"/>
              <w:right w:w="14" w:type="dxa"/>
            </w:tcMar>
            <w:vAlign w:val="center"/>
          </w:tcPr>
          <w:p w14:paraId="3E221181" w14:textId="77777777" w:rsidR="00EE53AD" w:rsidRPr="00B05567" w:rsidRDefault="00EE53AD">
            <w:pPr>
              <w:keepNext/>
              <w:keepLines/>
              <w:topLinePunct/>
              <w:jc w:val="center"/>
              <w:rPr>
                <w:sz w:val="18"/>
                <w:szCs w:val="18"/>
              </w:rPr>
            </w:pPr>
            <w:r w:rsidRPr="00B05567">
              <w:rPr>
                <w:rFonts w:hint="eastAsia"/>
                <w:b/>
                <w:sz w:val="18"/>
                <w:szCs w:val="18"/>
                <w:lang w:val="zh-CN"/>
              </w:rPr>
              <w:t>支助费用</w:t>
            </w:r>
            <w:r w:rsidRPr="00B05567">
              <w:rPr>
                <w:b/>
                <w:sz w:val="18"/>
                <w:szCs w:val="18"/>
                <w:lang w:val="zh-CN"/>
              </w:rPr>
              <w:br/>
            </w:r>
            <w:r w:rsidRPr="00B05567">
              <w:rPr>
                <w:rFonts w:hint="eastAsia"/>
                <w:b/>
                <w:sz w:val="18"/>
                <w:szCs w:val="18"/>
                <w:lang w:val="zh-CN"/>
              </w:rPr>
              <w:t>（</w:t>
            </w:r>
            <w:r w:rsidRPr="00B05567">
              <w:rPr>
                <w:b/>
                <w:sz w:val="18"/>
                <w:szCs w:val="18"/>
                <w:lang w:val="zh-CN"/>
              </w:rPr>
              <w:t>%</w:t>
            </w:r>
            <w:r w:rsidRPr="00B05567">
              <w:rPr>
                <w:rFonts w:hint="eastAsia"/>
                <w:b/>
                <w:sz w:val="18"/>
                <w:szCs w:val="18"/>
                <w:lang w:val="zh-CN"/>
              </w:rPr>
              <w:t>）</w:t>
            </w:r>
          </w:p>
        </w:tc>
        <w:tc>
          <w:tcPr>
            <w:tcW w:w="1080" w:type="dxa"/>
            <w:tcBorders>
              <w:top w:val="nil"/>
              <w:left w:val="nil"/>
              <w:bottom w:val="single" w:sz="4" w:space="0" w:color="auto"/>
              <w:right w:val="single" w:sz="4" w:space="0" w:color="auto"/>
            </w:tcBorders>
            <w:noWrap/>
            <w:tcMar>
              <w:left w:w="0" w:type="dxa"/>
              <w:right w:w="14" w:type="dxa"/>
            </w:tcMar>
            <w:vAlign w:val="center"/>
          </w:tcPr>
          <w:p w14:paraId="3C065AF4" w14:textId="77777777" w:rsidR="00EE53AD" w:rsidRPr="00B05567" w:rsidRDefault="00EE53AD">
            <w:pPr>
              <w:keepNext/>
              <w:keepLines/>
              <w:topLinePunct/>
              <w:jc w:val="center"/>
              <w:rPr>
                <w:sz w:val="18"/>
                <w:szCs w:val="18"/>
              </w:rPr>
            </w:pPr>
            <w:r w:rsidRPr="00B05567">
              <w:rPr>
                <w:rFonts w:hint="eastAsia"/>
                <w:b/>
                <w:sz w:val="18"/>
                <w:szCs w:val="18"/>
                <w:lang w:val="zh-CN"/>
              </w:rPr>
              <w:t>供资数额</w:t>
            </w:r>
          </w:p>
        </w:tc>
        <w:tc>
          <w:tcPr>
            <w:tcW w:w="900" w:type="dxa"/>
            <w:tcBorders>
              <w:top w:val="nil"/>
              <w:left w:val="nil"/>
              <w:bottom w:val="single" w:sz="4" w:space="0" w:color="auto"/>
              <w:right w:val="single" w:sz="4" w:space="0" w:color="auto"/>
            </w:tcBorders>
            <w:noWrap/>
            <w:tcMar>
              <w:left w:w="0" w:type="dxa"/>
              <w:right w:w="14" w:type="dxa"/>
            </w:tcMar>
            <w:vAlign w:val="center"/>
          </w:tcPr>
          <w:p w14:paraId="5ADC1B5B" w14:textId="77777777" w:rsidR="00EE53AD" w:rsidRPr="00B05567" w:rsidRDefault="00EE53AD">
            <w:pPr>
              <w:keepNext/>
              <w:keepLines/>
              <w:topLinePunct/>
              <w:jc w:val="center"/>
              <w:rPr>
                <w:sz w:val="18"/>
                <w:szCs w:val="18"/>
              </w:rPr>
            </w:pPr>
            <w:r w:rsidRPr="00B05567">
              <w:rPr>
                <w:rFonts w:hint="eastAsia"/>
                <w:b/>
                <w:sz w:val="18"/>
                <w:szCs w:val="18"/>
                <w:lang w:val="zh-CN"/>
              </w:rPr>
              <w:t>支助费用</w:t>
            </w:r>
          </w:p>
        </w:tc>
        <w:tc>
          <w:tcPr>
            <w:tcW w:w="900" w:type="dxa"/>
            <w:tcBorders>
              <w:top w:val="nil"/>
              <w:left w:val="nil"/>
              <w:bottom w:val="single" w:sz="4" w:space="0" w:color="auto"/>
              <w:right w:val="single" w:sz="4" w:space="0" w:color="auto"/>
            </w:tcBorders>
            <w:noWrap/>
            <w:tcMar>
              <w:left w:w="0" w:type="dxa"/>
              <w:right w:w="14" w:type="dxa"/>
            </w:tcMar>
            <w:vAlign w:val="center"/>
          </w:tcPr>
          <w:p w14:paraId="49124E4C" w14:textId="77777777" w:rsidR="00EE53AD" w:rsidRPr="00B05567" w:rsidRDefault="00EE53AD">
            <w:pPr>
              <w:keepNext/>
              <w:keepLines/>
              <w:topLinePunct/>
              <w:jc w:val="center"/>
              <w:rPr>
                <w:sz w:val="18"/>
                <w:szCs w:val="18"/>
              </w:rPr>
            </w:pPr>
            <w:r w:rsidRPr="00B05567">
              <w:rPr>
                <w:rFonts w:hint="eastAsia"/>
                <w:b/>
                <w:sz w:val="18"/>
                <w:szCs w:val="18"/>
                <w:lang w:val="zh-CN"/>
              </w:rPr>
              <w:t>支助费用</w:t>
            </w:r>
            <w:r w:rsidRPr="00B05567">
              <w:rPr>
                <w:b/>
                <w:sz w:val="18"/>
                <w:szCs w:val="18"/>
                <w:lang w:val="zh-CN"/>
              </w:rPr>
              <w:br/>
            </w:r>
            <w:r w:rsidRPr="00B05567">
              <w:rPr>
                <w:rFonts w:hint="eastAsia"/>
                <w:b/>
                <w:sz w:val="18"/>
                <w:szCs w:val="18"/>
                <w:lang w:val="zh-CN"/>
              </w:rPr>
              <w:t>（</w:t>
            </w:r>
            <w:r w:rsidRPr="00B05567">
              <w:rPr>
                <w:b/>
                <w:sz w:val="18"/>
                <w:szCs w:val="18"/>
                <w:lang w:val="zh-CN"/>
              </w:rPr>
              <w:t>%</w:t>
            </w:r>
            <w:r w:rsidRPr="00B05567">
              <w:rPr>
                <w:rFonts w:hint="eastAsia"/>
                <w:b/>
                <w:sz w:val="18"/>
                <w:szCs w:val="18"/>
                <w:lang w:val="zh-CN"/>
              </w:rPr>
              <w:t>）</w:t>
            </w:r>
          </w:p>
        </w:tc>
        <w:tc>
          <w:tcPr>
            <w:tcW w:w="1080" w:type="dxa"/>
            <w:tcBorders>
              <w:top w:val="nil"/>
              <w:left w:val="nil"/>
              <w:bottom w:val="single" w:sz="4" w:space="0" w:color="auto"/>
              <w:right w:val="single" w:sz="4" w:space="0" w:color="auto"/>
            </w:tcBorders>
            <w:vAlign w:val="center"/>
          </w:tcPr>
          <w:p w14:paraId="5E528416" w14:textId="77777777" w:rsidR="00EE53AD" w:rsidRPr="00B05567" w:rsidRDefault="00EE53AD">
            <w:pPr>
              <w:keepNext/>
              <w:keepLines/>
              <w:topLinePunct/>
              <w:jc w:val="center"/>
              <w:rPr>
                <w:sz w:val="18"/>
                <w:szCs w:val="18"/>
              </w:rPr>
            </w:pPr>
            <w:r w:rsidRPr="00B05567">
              <w:rPr>
                <w:rFonts w:hint="eastAsia"/>
                <w:b/>
                <w:sz w:val="18"/>
                <w:szCs w:val="18"/>
                <w:lang w:val="zh-CN"/>
              </w:rPr>
              <w:t>供资数额</w:t>
            </w:r>
          </w:p>
        </w:tc>
        <w:tc>
          <w:tcPr>
            <w:tcW w:w="990" w:type="dxa"/>
            <w:tcBorders>
              <w:top w:val="nil"/>
              <w:left w:val="nil"/>
              <w:bottom w:val="single" w:sz="4" w:space="0" w:color="auto"/>
              <w:right w:val="single" w:sz="4" w:space="0" w:color="auto"/>
            </w:tcBorders>
            <w:vAlign w:val="center"/>
          </w:tcPr>
          <w:p w14:paraId="1EA22EF7" w14:textId="77777777" w:rsidR="00EE53AD" w:rsidRPr="00B05567" w:rsidRDefault="00EE53AD">
            <w:pPr>
              <w:keepNext/>
              <w:keepLines/>
              <w:topLinePunct/>
              <w:jc w:val="center"/>
              <w:rPr>
                <w:sz w:val="18"/>
                <w:szCs w:val="18"/>
              </w:rPr>
            </w:pPr>
            <w:r w:rsidRPr="00B05567">
              <w:rPr>
                <w:rFonts w:hint="eastAsia"/>
                <w:b/>
                <w:sz w:val="18"/>
                <w:szCs w:val="18"/>
                <w:lang w:val="zh-CN"/>
              </w:rPr>
              <w:t>支助费用</w:t>
            </w:r>
          </w:p>
        </w:tc>
        <w:tc>
          <w:tcPr>
            <w:tcW w:w="900" w:type="dxa"/>
            <w:tcBorders>
              <w:top w:val="nil"/>
              <w:left w:val="nil"/>
              <w:bottom w:val="single" w:sz="4" w:space="0" w:color="auto"/>
              <w:right w:val="single" w:sz="4" w:space="0" w:color="auto"/>
            </w:tcBorders>
            <w:vAlign w:val="center"/>
          </w:tcPr>
          <w:p w14:paraId="4EF06D95" w14:textId="77777777" w:rsidR="00EE53AD" w:rsidRPr="00B05567" w:rsidRDefault="00EE53AD">
            <w:pPr>
              <w:keepNext/>
              <w:keepLines/>
              <w:topLinePunct/>
              <w:jc w:val="center"/>
              <w:rPr>
                <w:sz w:val="17"/>
                <w:szCs w:val="17"/>
              </w:rPr>
            </w:pPr>
            <w:r w:rsidRPr="00B05567">
              <w:rPr>
                <w:rFonts w:hint="eastAsia"/>
                <w:b/>
                <w:sz w:val="17"/>
                <w:szCs w:val="17"/>
                <w:lang w:val="zh-CN"/>
              </w:rPr>
              <w:t>支助费用</w:t>
            </w:r>
            <w:r w:rsidRPr="00B05567">
              <w:rPr>
                <w:b/>
                <w:sz w:val="17"/>
                <w:szCs w:val="17"/>
                <w:lang w:val="zh-CN"/>
              </w:rPr>
              <w:br/>
            </w:r>
            <w:r w:rsidRPr="00B05567">
              <w:rPr>
                <w:rFonts w:hint="eastAsia"/>
                <w:b/>
                <w:sz w:val="17"/>
                <w:szCs w:val="17"/>
                <w:lang w:val="zh-CN"/>
              </w:rPr>
              <w:t>（</w:t>
            </w:r>
            <w:r w:rsidRPr="00B05567">
              <w:rPr>
                <w:b/>
                <w:sz w:val="17"/>
                <w:szCs w:val="17"/>
                <w:lang w:val="zh-CN"/>
              </w:rPr>
              <w:t>%</w:t>
            </w:r>
            <w:r w:rsidRPr="00B05567">
              <w:rPr>
                <w:rFonts w:hint="eastAsia"/>
                <w:b/>
                <w:sz w:val="17"/>
                <w:szCs w:val="17"/>
                <w:lang w:val="zh-CN"/>
              </w:rPr>
              <w:t>）</w:t>
            </w:r>
          </w:p>
        </w:tc>
      </w:tr>
      <w:tr w:rsidR="00EE53AD" w14:paraId="241AB15C" w14:textId="77777777">
        <w:trPr>
          <w:trHeight w:val="236"/>
        </w:trPr>
        <w:tc>
          <w:tcPr>
            <w:tcW w:w="1006" w:type="dxa"/>
            <w:tcBorders>
              <w:top w:val="nil"/>
              <w:left w:val="single" w:sz="4" w:space="0" w:color="auto"/>
              <w:bottom w:val="single" w:sz="4" w:space="0" w:color="auto"/>
              <w:right w:val="single" w:sz="4" w:space="0" w:color="auto"/>
            </w:tcBorders>
            <w:noWrap/>
            <w:tcMar>
              <w:left w:w="29" w:type="dxa"/>
              <w:right w:w="29" w:type="dxa"/>
            </w:tcMar>
          </w:tcPr>
          <w:p w14:paraId="7C257DF0" w14:textId="77777777" w:rsidR="00EE53AD" w:rsidRPr="00B05567" w:rsidRDefault="00EE53AD">
            <w:pPr>
              <w:keepNext/>
              <w:keepLines/>
              <w:topLinePunct/>
              <w:jc w:val="left"/>
              <w:rPr>
                <w:sz w:val="18"/>
                <w:szCs w:val="18"/>
              </w:rPr>
            </w:pPr>
            <w:r w:rsidRPr="00B05567">
              <w:rPr>
                <w:rFonts w:hint="eastAsia"/>
                <w:sz w:val="18"/>
                <w:szCs w:val="18"/>
                <w:lang w:val="zh-CN"/>
              </w:rPr>
              <w:t>双边机构</w:t>
            </w:r>
          </w:p>
        </w:tc>
        <w:tc>
          <w:tcPr>
            <w:tcW w:w="1011" w:type="dxa"/>
            <w:tcBorders>
              <w:top w:val="single" w:sz="4" w:space="0" w:color="auto"/>
              <w:left w:val="single" w:sz="4" w:space="0" w:color="auto"/>
              <w:bottom w:val="single" w:sz="4" w:space="0" w:color="auto"/>
              <w:right w:val="single" w:sz="4" w:space="0" w:color="auto"/>
            </w:tcBorders>
            <w:noWrap/>
            <w:tcMar>
              <w:left w:w="43" w:type="dxa"/>
              <w:right w:w="43" w:type="dxa"/>
            </w:tcMar>
          </w:tcPr>
          <w:p w14:paraId="455D56CD" w14:textId="77777777" w:rsidR="00EE53AD" w:rsidRPr="00B05567" w:rsidRDefault="00EE53AD">
            <w:pPr>
              <w:keepNext/>
              <w:keepLines/>
              <w:topLinePunct/>
              <w:jc w:val="right"/>
              <w:rPr>
                <w:sz w:val="18"/>
                <w:szCs w:val="18"/>
              </w:rPr>
            </w:pPr>
            <w:r w:rsidRPr="00B05567">
              <w:rPr>
                <w:sz w:val="18"/>
                <w:szCs w:val="18"/>
              </w:rPr>
              <w:t>12,871,576</w:t>
            </w:r>
          </w:p>
        </w:tc>
        <w:tc>
          <w:tcPr>
            <w:tcW w:w="948" w:type="dxa"/>
            <w:tcBorders>
              <w:top w:val="single" w:sz="4" w:space="0" w:color="auto"/>
              <w:left w:val="nil"/>
              <w:bottom w:val="single" w:sz="4" w:space="0" w:color="auto"/>
              <w:right w:val="single" w:sz="4" w:space="0" w:color="auto"/>
            </w:tcBorders>
            <w:noWrap/>
            <w:tcMar>
              <w:left w:w="43" w:type="dxa"/>
              <w:right w:w="43" w:type="dxa"/>
            </w:tcMar>
          </w:tcPr>
          <w:p w14:paraId="28D7BEA1" w14:textId="77777777" w:rsidR="00EE53AD" w:rsidRPr="00B05567" w:rsidRDefault="00EE53AD">
            <w:pPr>
              <w:keepNext/>
              <w:keepLines/>
              <w:topLinePunct/>
              <w:jc w:val="right"/>
              <w:rPr>
                <w:sz w:val="18"/>
                <w:szCs w:val="18"/>
              </w:rPr>
            </w:pPr>
            <w:r w:rsidRPr="00B05567">
              <w:rPr>
                <w:sz w:val="18"/>
                <w:szCs w:val="18"/>
              </w:rPr>
              <w:t>1,480,854</w:t>
            </w:r>
          </w:p>
        </w:tc>
        <w:tc>
          <w:tcPr>
            <w:tcW w:w="810" w:type="dxa"/>
            <w:tcBorders>
              <w:top w:val="single" w:sz="4" w:space="0" w:color="auto"/>
              <w:left w:val="nil"/>
              <w:bottom w:val="single" w:sz="4" w:space="0" w:color="auto"/>
              <w:right w:val="single" w:sz="4" w:space="0" w:color="auto"/>
            </w:tcBorders>
            <w:noWrap/>
            <w:tcMar>
              <w:left w:w="43" w:type="dxa"/>
              <w:right w:w="43" w:type="dxa"/>
            </w:tcMar>
          </w:tcPr>
          <w:p w14:paraId="77B8FD41" w14:textId="77777777" w:rsidR="00EE53AD" w:rsidRPr="00B05567" w:rsidRDefault="00EE53AD">
            <w:pPr>
              <w:keepNext/>
              <w:keepLines/>
              <w:topLinePunct/>
              <w:jc w:val="right"/>
              <w:rPr>
                <w:sz w:val="18"/>
                <w:szCs w:val="18"/>
              </w:rPr>
            </w:pPr>
            <w:r w:rsidRPr="00B05567">
              <w:rPr>
                <w:sz w:val="18"/>
                <w:szCs w:val="18"/>
              </w:rPr>
              <w:t>11.5</w:t>
            </w:r>
          </w:p>
        </w:tc>
        <w:tc>
          <w:tcPr>
            <w:tcW w:w="1080" w:type="dxa"/>
            <w:tcBorders>
              <w:top w:val="single" w:sz="4" w:space="0" w:color="auto"/>
              <w:left w:val="nil"/>
              <w:bottom w:val="single" w:sz="4" w:space="0" w:color="auto"/>
              <w:right w:val="single" w:sz="4" w:space="0" w:color="auto"/>
            </w:tcBorders>
            <w:noWrap/>
            <w:tcMar>
              <w:left w:w="43" w:type="dxa"/>
              <w:right w:w="43" w:type="dxa"/>
            </w:tcMar>
          </w:tcPr>
          <w:p w14:paraId="0ED88D7E" w14:textId="77777777" w:rsidR="00EE53AD" w:rsidRPr="00B05567" w:rsidRDefault="00EE53AD">
            <w:pPr>
              <w:keepNext/>
              <w:keepLines/>
              <w:topLinePunct/>
              <w:jc w:val="right"/>
              <w:rPr>
                <w:sz w:val="18"/>
                <w:szCs w:val="18"/>
              </w:rPr>
            </w:pPr>
            <w:r w:rsidRPr="00B05567">
              <w:rPr>
                <w:sz w:val="18"/>
                <w:szCs w:val="18"/>
              </w:rPr>
              <w:t>13,241,490</w:t>
            </w:r>
          </w:p>
        </w:tc>
        <w:tc>
          <w:tcPr>
            <w:tcW w:w="900" w:type="dxa"/>
            <w:tcBorders>
              <w:top w:val="single" w:sz="4" w:space="0" w:color="auto"/>
              <w:left w:val="nil"/>
              <w:bottom w:val="single" w:sz="4" w:space="0" w:color="auto"/>
              <w:right w:val="single" w:sz="4" w:space="0" w:color="auto"/>
            </w:tcBorders>
            <w:noWrap/>
            <w:tcMar>
              <w:left w:w="43" w:type="dxa"/>
              <w:right w:w="43" w:type="dxa"/>
            </w:tcMar>
          </w:tcPr>
          <w:p w14:paraId="24B8DD63" w14:textId="77777777" w:rsidR="00EE53AD" w:rsidRPr="00B05567" w:rsidRDefault="00EE53AD">
            <w:pPr>
              <w:keepNext/>
              <w:keepLines/>
              <w:topLinePunct/>
              <w:jc w:val="right"/>
              <w:rPr>
                <w:sz w:val="18"/>
                <w:szCs w:val="18"/>
              </w:rPr>
            </w:pPr>
            <w:r w:rsidRPr="00B05567">
              <w:rPr>
                <w:sz w:val="18"/>
                <w:szCs w:val="18"/>
              </w:rPr>
              <w:t>1,566,928</w:t>
            </w:r>
          </w:p>
        </w:tc>
        <w:tc>
          <w:tcPr>
            <w:tcW w:w="900" w:type="dxa"/>
            <w:tcBorders>
              <w:top w:val="single" w:sz="4" w:space="0" w:color="auto"/>
              <w:left w:val="nil"/>
              <w:bottom w:val="single" w:sz="4" w:space="0" w:color="auto"/>
              <w:right w:val="single" w:sz="4" w:space="0" w:color="auto"/>
            </w:tcBorders>
            <w:noWrap/>
            <w:tcMar>
              <w:left w:w="43" w:type="dxa"/>
              <w:right w:w="43" w:type="dxa"/>
            </w:tcMar>
          </w:tcPr>
          <w:p w14:paraId="6311E4CC" w14:textId="77777777" w:rsidR="00EE53AD" w:rsidRPr="00B05567" w:rsidRDefault="00EE53AD">
            <w:pPr>
              <w:keepNext/>
              <w:keepLines/>
              <w:topLinePunct/>
              <w:jc w:val="right"/>
              <w:rPr>
                <w:sz w:val="18"/>
                <w:szCs w:val="18"/>
              </w:rPr>
            </w:pPr>
            <w:r w:rsidRPr="00B05567">
              <w:rPr>
                <w:sz w:val="18"/>
                <w:szCs w:val="18"/>
              </w:rPr>
              <w:t>11.8</w:t>
            </w:r>
          </w:p>
        </w:tc>
        <w:tc>
          <w:tcPr>
            <w:tcW w:w="1080" w:type="dxa"/>
            <w:tcBorders>
              <w:top w:val="single" w:sz="4" w:space="0" w:color="auto"/>
              <w:left w:val="nil"/>
              <w:bottom w:val="single" w:sz="4" w:space="0" w:color="auto"/>
              <w:right w:val="single" w:sz="4" w:space="0" w:color="auto"/>
            </w:tcBorders>
            <w:tcMar>
              <w:left w:w="43" w:type="dxa"/>
              <w:right w:w="43" w:type="dxa"/>
            </w:tcMar>
          </w:tcPr>
          <w:p w14:paraId="40834B0A" w14:textId="77777777" w:rsidR="00EE53AD" w:rsidRPr="00B05567" w:rsidRDefault="00EE53AD">
            <w:pPr>
              <w:keepNext/>
              <w:keepLines/>
              <w:topLinePunct/>
              <w:jc w:val="right"/>
              <w:rPr>
                <w:sz w:val="18"/>
                <w:szCs w:val="18"/>
              </w:rPr>
            </w:pPr>
            <w:r w:rsidRPr="00B05567">
              <w:rPr>
                <w:sz w:val="18"/>
                <w:szCs w:val="18"/>
              </w:rPr>
              <w:t>13,101,364</w:t>
            </w:r>
          </w:p>
        </w:tc>
        <w:tc>
          <w:tcPr>
            <w:tcW w:w="990" w:type="dxa"/>
            <w:tcBorders>
              <w:top w:val="single" w:sz="4" w:space="0" w:color="auto"/>
              <w:left w:val="nil"/>
              <w:bottom w:val="single" w:sz="4" w:space="0" w:color="auto"/>
              <w:right w:val="single" w:sz="4" w:space="0" w:color="auto"/>
            </w:tcBorders>
            <w:tcMar>
              <w:left w:w="43" w:type="dxa"/>
              <w:right w:w="43" w:type="dxa"/>
            </w:tcMar>
          </w:tcPr>
          <w:p w14:paraId="07E28BD0" w14:textId="77777777" w:rsidR="00EE53AD" w:rsidRPr="00B05567" w:rsidRDefault="00EE53AD">
            <w:pPr>
              <w:keepNext/>
              <w:keepLines/>
              <w:topLinePunct/>
              <w:jc w:val="right"/>
              <w:rPr>
                <w:sz w:val="18"/>
                <w:szCs w:val="18"/>
              </w:rPr>
            </w:pPr>
            <w:r w:rsidRPr="00B05567">
              <w:rPr>
                <w:sz w:val="18"/>
                <w:szCs w:val="18"/>
              </w:rPr>
              <w:t>1,496,409</w:t>
            </w:r>
          </w:p>
        </w:tc>
        <w:tc>
          <w:tcPr>
            <w:tcW w:w="900" w:type="dxa"/>
            <w:tcBorders>
              <w:top w:val="single" w:sz="4" w:space="0" w:color="auto"/>
              <w:left w:val="nil"/>
              <w:bottom w:val="single" w:sz="4" w:space="0" w:color="auto"/>
              <w:right w:val="single" w:sz="4" w:space="0" w:color="auto"/>
            </w:tcBorders>
            <w:tcMar>
              <w:left w:w="43" w:type="dxa"/>
              <w:right w:w="43" w:type="dxa"/>
            </w:tcMar>
          </w:tcPr>
          <w:p w14:paraId="191A617D" w14:textId="77777777" w:rsidR="00EE53AD" w:rsidRPr="00B05567" w:rsidRDefault="00EE53AD">
            <w:pPr>
              <w:keepNext/>
              <w:keepLines/>
              <w:topLinePunct/>
              <w:jc w:val="right"/>
              <w:rPr>
                <w:sz w:val="18"/>
                <w:szCs w:val="18"/>
              </w:rPr>
            </w:pPr>
            <w:r w:rsidRPr="00B05567">
              <w:rPr>
                <w:sz w:val="18"/>
                <w:szCs w:val="18"/>
              </w:rPr>
              <w:t>11.4</w:t>
            </w:r>
          </w:p>
        </w:tc>
      </w:tr>
      <w:tr w:rsidR="00EE53AD" w14:paraId="4A0E489D" w14:textId="77777777">
        <w:trPr>
          <w:trHeight w:val="236"/>
        </w:trPr>
        <w:tc>
          <w:tcPr>
            <w:tcW w:w="1006" w:type="dxa"/>
            <w:tcBorders>
              <w:top w:val="nil"/>
              <w:left w:val="single" w:sz="4" w:space="0" w:color="auto"/>
              <w:bottom w:val="single" w:sz="4" w:space="0" w:color="auto"/>
              <w:right w:val="single" w:sz="4" w:space="0" w:color="auto"/>
            </w:tcBorders>
            <w:noWrap/>
            <w:tcMar>
              <w:left w:w="29" w:type="dxa"/>
              <w:right w:w="29" w:type="dxa"/>
            </w:tcMar>
          </w:tcPr>
          <w:p w14:paraId="2F12CBB2" w14:textId="77777777" w:rsidR="00EE53AD" w:rsidRPr="00B05567" w:rsidRDefault="00EE53AD">
            <w:pPr>
              <w:keepNext/>
              <w:keepLines/>
              <w:topLinePunct/>
              <w:jc w:val="left"/>
              <w:rPr>
                <w:sz w:val="18"/>
                <w:szCs w:val="18"/>
              </w:rPr>
            </w:pPr>
            <w:r w:rsidRPr="00B05567">
              <w:rPr>
                <w:rFonts w:hint="eastAsia"/>
                <w:sz w:val="18"/>
                <w:szCs w:val="18"/>
                <w:lang w:val="zh-CN"/>
              </w:rPr>
              <w:t>开发署</w:t>
            </w:r>
          </w:p>
        </w:tc>
        <w:tc>
          <w:tcPr>
            <w:tcW w:w="1011" w:type="dxa"/>
            <w:tcBorders>
              <w:top w:val="nil"/>
              <w:left w:val="single" w:sz="4" w:space="0" w:color="auto"/>
              <w:bottom w:val="single" w:sz="4" w:space="0" w:color="auto"/>
              <w:right w:val="single" w:sz="4" w:space="0" w:color="auto"/>
            </w:tcBorders>
            <w:noWrap/>
            <w:tcMar>
              <w:left w:w="43" w:type="dxa"/>
              <w:right w:w="43" w:type="dxa"/>
            </w:tcMar>
          </w:tcPr>
          <w:p w14:paraId="7F1D4B1F" w14:textId="77777777" w:rsidR="00EE53AD" w:rsidRPr="00B05567" w:rsidRDefault="00EE53AD">
            <w:pPr>
              <w:keepNext/>
              <w:keepLines/>
              <w:topLinePunct/>
              <w:jc w:val="right"/>
              <w:rPr>
                <w:sz w:val="18"/>
                <w:szCs w:val="18"/>
              </w:rPr>
            </w:pPr>
            <w:r w:rsidRPr="00B05567">
              <w:rPr>
                <w:sz w:val="18"/>
                <w:szCs w:val="18"/>
              </w:rPr>
              <w:t>81,607,270</w:t>
            </w:r>
          </w:p>
        </w:tc>
        <w:tc>
          <w:tcPr>
            <w:tcW w:w="948" w:type="dxa"/>
            <w:tcBorders>
              <w:top w:val="nil"/>
              <w:left w:val="nil"/>
              <w:bottom w:val="single" w:sz="4" w:space="0" w:color="auto"/>
              <w:right w:val="single" w:sz="4" w:space="0" w:color="auto"/>
            </w:tcBorders>
            <w:noWrap/>
            <w:tcMar>
              <w:left w:w="43" w:type="dxa"/>
              <w:right w:w="43" w:type="dxa"/>
            </w:tcMar>
          </w:tcPr>
          <w:p w14:paraId="21D7CDD6" w14:textId="77777777" w:rsidR="00EE53AD" w:rsidRPr="00B05567" w:rsidRDefault="00EE53AD">
            <w:pPr>
              <w:keepNext/>
              <w:keepLines/>
              <w:topLinePunct/>
              <w:jc w:val="right"/>
              <w:rPr>
                <w:sz w:val="18"/>
                <w:szCs w:val="18"/>
              </w:rPr>
            </w:pPr>
            <w:r w:rsidRPr="00B05567">
              <w:rPr>
                <w:sz w:val="18"/>
                <w:szCs w:val="18"/>
              </w:rPr>
              <w:t>11,995,572</w:t>
            </w:r>
          </w:p>
        </w:tc>
        <w:tc>
          <w:tcPr>
            <w:tcW w:w="810" w:type="dxa"/>
            <w:tcBorders>
              <w:top w:val="nil"/>
              <w:left w:val="nil"/>
              <w:bottom w:val="single" w:sz="4" w:space="0" w:color="auto"/>
              <w:right w:val="single" w:sz="4" w:space="0" w:color="auto"/>
            </w:tcBorders>
            <w:noWrap/>
            <w:tcMar>
              <w:left w:w="43" w:type="dxa"/>
              <w:right w:w="43" w:type="dxa"/>
            </w:tcMar>
          </w:tcPr>
          <w:p w14:paraId="6F006208" w14:textId="77777777" w:rsidR="00EE53AD" w:rsidRPr="00B05567" w:rsidRDefault="00EE53AD">
            <w:pPr>
              <w:keepNext/>
              <w:keepLines/>
              <w:topLinePunct/>
              <w:jc w:val="right"/>
              <w:rPr>
                <w:sz w:val="18"/>
                <w:szCs w:val="18"/>
              </w:rPr>
            </w:pPr>
            <w:r w:rsidRPr="00B05567">
              <w:rPr>
                <w:sz w:val="18"/>
                <w:szCs w:val="18"/>
              </w:rPr>
              <w:t>14.7</w:t>
            </w:r>
          </w:p>
        </w:tc>
        <w:tc>
          <w:tcPr>
            <w:tcW w:w="1080" w:type="dxa"/>
            <w:tcBorders>
              <w:top w:val="nil"/>
              <w:left w:val="nil"/>
              <w:bottom w:val="single" w:sz="4" w:space="0" w:color="auto"/>
              <w:right w:val="single" w:sz="4" w:space="0" w:color="auto"/>
            </w:tcBorders>
            <w:noWrap/>
            <w:tcMar>
              <w:left w:w="43" w:type="dxa"/>
              <w:right w:w="43" w:type="dxa"/>
            </w:tcMar>
          </w:tcPr>
          <w:p w14:paraId="7CBDBE32" w14:textId="77777777" w:rsidR="00EE53AD" w:rsidRPr="00B05567" w:rsidRDefault="00EE53AD">
            <w:pPr>
              <w:keepNext/>
              <w:keepLines/>
              <w:topLinePunct/>
              <w:jc w:val="right"/>
              <w:rPr>
                <w:sz w:val="18"/>
                <w:szCs w:val="18"/>
              </w:rPr>
            </w:pPr>
            <w:r w:rsidRPr="00B05567">
              <w:rPr>
                <w:sz w:val="18"/>
                <w:szCs w:val="18"/>
              </w:rPr>
              <w:t>78,773,213</w:t>
            </w:r>
          </w:p>
        </w:tc>
        <w:tc>
          <w:tcPr>
            <w:tcW w:w="900" w:type="dxa"/>
            <w:tcBorders>
              <w:top w:val="nil"/>
              <w:left w:val="nil"/>
              <w:bottom w:val="single" w:sz="4" w:space="0" w:color="auto"/>
              <w:right w:val="single" w:sz="4" w:space="0" w:color="auto"/>
            </w:tcBorders>
            <w:noWrap/>
            <w:tcMar>
              <w:left w:w="43" w:type="dxa"/>
              <w:right w:w="43" w:type="dxa"/>
            </w:tcMar>
          </w:tcPr>
          <w:p w14:paraId="16367695" w14:textId="77777777" w:rsidR="00EE53AD" w:rsidRPr="00B05567" w:rsidRDefault="00EE53AD">
            <w:pPr>
              <w:keepNext/>
              <w:keepLines/>
              <w:topLinePunct/>
              <w:jc w:val="right"/>
              <w:rPr>
                <w:sz w:val="18"/>
                <w:szCs w:val="18"/>
              </w:rPr>
            </w:pPr>
            <w:r w:rsidRPr="00B05567">
              <w:rPr>
                <w:sz w:val="18"/>
                <w:szCs w:val="18"/>
              </w:rPr>
              <w:t>11,958,184</w:t>
            </w:r>
          </w:p>
        </w:tc>
        <w:tc>
          <w:tcPr>
            <w:tcW w:w="900" w:type="dxa"/>
            <w:tcBorders>
              <w:top w:val="nil"/>
              <w:left w:val="nil"/>
              <w:bottom w:val="single" w:sz="4" w:space="0" w:color="auto"/>
              <w:right w:val="single" w:sz="4" w:space="0" w:color="auto"/>
            </w:tcBorders>
            <w:noWrap/>
            <w:tcMar>
              <w:left w:w="43" w:type="dxa"/>
              <w:right w:w="43" w:type="dxa"/>
            </w:tcMar>
          </w:tcPr>
          <w:p w14:paraId="426FF3B1" w14:textId="77777777" w:rsidR="00EE53AD" w:rsidRPr="00B05567" w:rsidRDefault="00EE53AD">
            <w:pPr>
              <w:keepNext/>
              <w:keepLines/>
              <w:topLinePunct/>
              <w:jc w:val="right"/>
              <w:rPr>
                <w:sz w:val="18"/>
                <w:szCs w:val="18"/>
              </w:rPr>
            </w:pPr>
            <w:r w:rsidRPr="00B05567">
              <w:rPr>
                <w:sz w:val="18"/>
                <w:szCs w:val="18"/>
              </w:rPr>
              <w:t>15.2</w:t>
            </w:r>
          </w:p>
        </w:tc>
        <w:tc>
          <w:tcPr>
            <w:tcW w:w="1080" w:type="dxa"/>
            <w:tcBorders>
              <w:top w:val="nil"/>
              <w:left w:val="nil"/>
              <w:bottom w:val="single" w:sz="4" w:space="0" w:color="auto"/>
              <w:right w:val="single" w:sz="4" w:space="0" w:color="auto"/>
            </w:tcBorders>
            <w:tcMar>
              <w:left w:w="43" w:type="dxa"/>
              <w:right w:w="43" w:type="dxa"/>
            </w:tcMar>
          </w:tcPr>
          <w:p w14:paraId="5BE4A4AA" w14:textId="77777777" w:rsidR="00EE53AD" w:rsidRPr="00B05567" w:rsidRDefault="00EE53AD">
            <w:pPr>
              <w:keepNext/>
              <w:keepLines/>
              <w:topLinePunct/>
              <w:jc w:val="right"/>
              <w:rPr>
                <w:sz w:val="18"/>
                <w:szCs w:val="18"/>
              </w:rPr>
            </w:pPr>
            <w:r w:rsidRPr="00B05567">
              <w:rPr>
                <w:sz w:val="18"/>
                <w:szCs w:val="18"/>
              </w:rPr>
              <w:t>107,868,106</w:t>
            </w:r>
          </w:p>
        </w:tc>
        <w:tc>
          <w:tcPr>
            <w:tcW w:w="990" w:type="dxa"/>
            <w:tcBorders>
              <w:top w:val="nil"/>
              <w:left w:val="nil"/>
              <w:bottom w:val="single" w:sz="4" w:space="0" w:color="auto"/>
              <w:right w:val="single" w:sz="4" w:space="0" w:color="auto"/>
            </w:tcBorders>
            <w:tcMar>
              <w:left w:w="43" w:type="dxa"/>
              <w:right w:w="43" w:type="dxa"/>
            </w:tcMar>
          </w:tcPr>
          <w:p w14:paraId="6D8E0604" w14:textId="77777777" w:rsidR="00EE53AD" w:rsidRPr="00B05567" w:rsidRDefault="00EE53AD">
            <w:pPr>
              <w:keepNext/>
              <w:keepLines/>
              <w:topLinePunct/>
              <w:jc w:val="right"/>
              <w:rPr>
                <w:sz w:val="18"/>
                <w:szCs w:val="18"/>
              </w:rPr>
            </w:pPr>
            <w:r w:rsidRPr="00B05567">
              <w:rPr>
                <w:sz w:val="18"/>
                <w:szCs w:val="18"/>
              </w:rPr>
              <w:t>14,175,832</w:t>
            </w:r>
          </w:p>
        </w:tc>
        <w:tc>
          <w:tcPr>
            <w:tcW w:w="900" w:type="dxa"/>
            <w:tcBorders>
              <w:top w:val="nil"/>
              <w:left w:val="nil"/>
              <w:bottom w:val="single" w:sz="4" w:space="0" w:color="auto"/>
              <w:right w:val="single" w:sz="4" w:space="0" w:color="auto"/>
            </w:tcBorders>
            <w:tcMar>
              <w:left w:w="43" w:type="dxa"/>
              <w:right w:w="43" w:type="dxa"/>
            </w:tcMar>
          </w:tcPr>
          <w:p w14:paraId="7C89B5BF" w14:textId="77777777" w:rsidR="00EE53AD" w:rsidRPr="00B05567" w:rsidRDefault="00EE53AD">
            <w:pPr>
              <w:keepNext/>
              <w:keepLines/>
              <w:topLinePunct/>
              <w:jc w:val="right"/>
              <w:rPr>
                <w:sz w:val="18"/>
                <w:szCs w:val="18"/>
              </w:rPr>
            </w:pPr>
            <w:r w:rsidRPr="00B05567">
              <w:rPr>
                <w:sz w:val="18"/>
                <w:szCs w:val="18"/>
              </w:rPr>
              <w:t>13.1</w:t>
            </w:r>
          </w:p>
        </w:tc>
      </w:tr>
      <w:tr w:rsidR="00EE53AD" w14:paraId="13150F2B" w14:textId="77777777">
        <w:trPr>
          <w:trHeight w:val="236"/>
        </w:trPr>
        <w:tc>
          <w:tcPr>
            <w:tcW w:w="1006" w:type="dxa"/>
            <w:tcBorders>
              <w:top w:val="nil"/>
              <w:left w:val="single" w:sz="4" w:space="0" w:color="auto"/>
              <w:bottom w:val="single" w:sz="4" w:space="0" w:color="auto"/>
              <w:right w:val="single" w:sz="4" w:space="0" w:color="auto"/>
            </w:tcBorders>
            <w:noWrap/>
            <w:tcMar>
              <w:left w:w="29" w:type="dxa"/>
              <w:right w:w="29" w:type="dxa"/>
            </w:tcMar>
          </w:tcPr>
          <w:p w14:paraId="21047BFD" w14:textId="77777777" w:rsidR="00EE53AD" w:rsidRPr="00B05567" w:rsidRDefault="00EE53AD">
            <w:pPr>
              <w:keepNext/>
              <w:keepLines/>
              <w:topLinePunct/>
              <w:jc w:val="left"/>
              <w:rPr>
                <w:sz w:val="18"/>
                <w:szCs w:val="18"/>
              </w:rPr>
            </w:pPr>
            <w:r w:rsidRPr="00B05567">
              <w:rPr>
                <w:rFonts w:hint="eastAsia"/>
                <w:sz w:val="18"/>
                <w:szCs w:val="18"/>
                <w:lang w:val="zh-CN"/>
              </w:rPr>
              <w:t>环境署</w:t>
            </w:r>
          </w:p>
        </w:tc>
        <w:tc>
          <w:tcPr>
            <w:tcW w:w="1011" w:type="dxa"/>
            <w:tcBorders>
              <w:top w:val="nil"/>
              <w:left w:val="single" w:sz="4" w:space="0" w:color="auto"/>
              <w:bottom w:val="single" w:sz="4" w:space="0" w:color="auto"/>
              <w:right w:val="single" w:sz="4" w:space="0" w:color="auto"/>
            </w:tcBorders>
            <w:noWrap/>
            <w:tcMar>
              <w:left w:w="43" w:type="dxa"/>
              <w:right w:w="43" w:type="dxa"/>
            </w:tcMar>
          </w:tcPr>
          <w:p w14:paraId="4415614A" w14:textId="77777777" w:rsidR="00EE53AD" w:rsidRPr="00B05567" w:rsidRDefault="00EE53AD">
            <w:pPr>
              <w:keepNext/>
              <w:keepLines/>
              <w:topLinePunct/>
              <w:jc w:val="right"/>
              <w:rPr>
                <w:sz w:val="18"/>
                <w:szCs w:val="18"/>
              </w:rPr>
            </w:pPr>
            <w:r w:rsidRPr="00B05567">
              <w:rPr>
                <w:sz w:val="18"/>
                <w:szCs w:val="18"/>
              </w:rPr>
              <w:t>55,861,709</w:t>
            </w:r>
          </w:p>
        </w:tc>
        <w:tc>
          <w:tcPr>
            <w:tcW w:w="948" w:type="dxa"/>
            <w:tcBorders>
              <w:top w:val="nil"/>
              <w:left w:val="nil"/>
              <w:bottom w:val="single" w:sz="4" w:space="0" w:color="auto"/>
              <w:right w:val="single" w:sz="4" w:space="0" w:color="auto"/>
            </w:tcBorders>
            <w:noWrap/>
            <w:tcMar>
              <w:left w:w="43" w:type="dxa"/>
              <w:right w:w="43" w:type="dxa"/>
            </w:tcMar>
          </w:tcPr>
          <w:p w14:paraId="03423F8F" w14:textId="77777777" w:rsidR="00EE53AD" w:rsidRPr="00B05567" w:rsidRDefault="00EE53AD">
            <w:pPr>
              <w:keepNext/>
              <w:keepLines/>
              <w:topLinePunct/>
              <w:jc w:val="right"/>
              <w:rPr>
                <w:sz w:val="18"/>
                <w:szCs w:val="18"/>
              </w:rPr>
            </w:pPr>
            <w:r w:rsidRPr="00B05567">
              <w:rPr>
                <w:sz w:val="18"/>
                <w:szCs w:val="18"/>
              </w:rPr>
              <w:t>4,259,457</w:t>
            </w:r>
          </w:p>
        </w:tc>
        <w:tc>
          <w:tcPr>
            <w:tcW w:w="810" w:type="dxa"/>
            <w:tcBorders>
              <w:top w:val="nil"/>
              <w:left w:val="nil"/>
              <w:bottom w:val="single" w:sz="4" w:space="0" w:color="auto"/>
              <w:right w:val="single" w:sz="4" w:space="0" w:color="auto"/>
            </w:tcBorders>
            <w:noWrap/>
            <w:tcMar>
              <w:left w:w="43" w:type="dxa"/>
              <w:right w:w="43" w:type="dxa"/>
            </w:tcMar>
          </w:tcPr>
          <w:p w14:paraId="1F8D051A" w14:textId="77777777" w:rsidR="00EE53AD" w:rsidRPr="00B05567" w:rsidRDefault="00EE53AD">
            <w:pPr>
              <w:keepNext/>
              <w:keepLines/>
              <w:topLinePunct/>
              <w:jc w:val="right"/>
              <w:rPr>
                <w:sz w:val="18"/>
                <w:szCs w:val="18"/>
              </w:rPr>
            </w:pPr>
            <w:r w:rsidRPr="00B05567">
              <w:rPr>
                <w:sz w:val="18"/>
                <w:szCs w:val="18"/>
              </w:rPr>
              <w:t>7.6</w:t>
            </w:r>
          </w:p>
        </w:tc>
        <w:tc>
          <w:tcPr>
            <w:tcW w:w="1080" w:type="dxa"/>
            <w:tcBorders>
              <w:top w:val="nil"/>
              <w:left w:val="nil"/>
              <w:bottom w:val="single" w:sz="4" w:space="0" w:color="auto"/>
              <w:right w:val="single" w:sz="4" w:space="0" w:color="auto"/>
            </w:tcBorders>
            <w:noWrap/>
            <w:tcMar>
              <w:left w:w="43" w:type="dxa"/>
              <w:right w:w="43" w:type="dxa"/>
            </w:tcMar>
          </w:tcPr>
          <w:p w14:paraId="00097A1D" w14:textId="77777777" w:rsidR="00EE53AD" w:rsidRPr="00B05567" w:rsidRDefault="00EE53AD">
            <w:pPr>
              <w:keepNext/>
              <w:keepLines/>
              <w:topLinePunct/>
              <w:jc w:val="right"/>
              <w:rPr>
                <w:sz w:val="18"/>
                <w:szCs w:val="18"/>
              </w:rPr>
            </w:pPr>
            <w:r w:rsidRPr="00B05567">
              <w:rPr>
                <w:sz w:val="18"/>
                <w:szCs w:val="18"/>
              </w:rPr>
              <w:t>75,669,166</w:t>
            </w:r>
          </w:p>
        </w:tc>
        <w:tc>
          <w:tcPr>
            <w:tcW w:w="900" w:type="dxa"/>
            <w:tcBorders>
              <w:top w:val="nil"/>
              <w:left w:val="nil"/>
              <w:bottom w:val="single" w:sz="4" w:space="0" w:color="auto"/>
              <w:right w:val="single" w:sz="4" w:space="0" w:color="auto"/>
            </w:tcBorders>
            <w:noWrap/>
            <w:tcMar>
              <w:left w:w="43" w:type="dxa"/>
              <w:right w:w="43" w:type="dxa"/>
            </w:tcMar>
          </w:tcPr>
          <w:p w14:paraId="069E4F7B" w14:textId="77777777" w:rsidR="00EE53AD" w:rsidRPr="00B05567" w:rsidRDefault="00EE53AD">
            <w:pPr>
              <w:keepNext/>
              <w:keepLines/>
              <w:topLinePunct/>
              <w:jc w:val="right"/>
              <w:rPr>
                <w:sz w:val="18"/>
                <w:szCs w:val="18"/>
              </w:rPr>
            </w:pPr>
            <w:r w:rsidRPr="00B05567">
              <w:rPr>
                <w:sz w:val="18"/>
                <w:szCs w:val="18"/>
              </w:rPr>
              <w:t>5,667,962</w:t>
            </w:r>
          </w:p>
        </w:tc>
        <w:tc>
          <w:tcPr>
            <w:tcW w:w="900" w:type="dxa"/>
            <w:tcBorders>
              <w:top w:val="nil"/>
              <w:left w:val="nil"/>
              <w:bottom w:val="single" w:sz="4" w:space="0" w:color="auto"/>
              <w:right w:val="single" w:sz="4" w:space="0" w:color="auto"/>
            </w:tcBorders>
            <w:noWrap/>
            <w:tcMar>
              <w:left w:w="43" w:type="dxa"/>
              <w:right w:w="43" w:type="dxa"/>
            </w:tcMar>
          </w:tcPr>
          <w:p w14:paraId="025BC3DB" w14:textId="77777777" w:rsidR="00EE53AD" w:rsidRPr="00B05567" w:rsidRDefault="00EE53AD">
            <w:pPr>
              <w:keepNext/>
              <w:keepLines/>
              <w:topLinePunct/>
              <w:jc w:val="right"/>
              <w:rPr>
                <w:sz w:val="18"/>
                <w:szCs w:val="18"/>
              </w:rPr>
            </w:pPr>
            <w:r w:rsidRPr="00B05567">
              <w:rPr>
                <w:sz w:val="18"/>
                <w:szCs w:val="18"/>
              </w:rPr>
              <w:t>7.5</w:t>
            </w:r>
          </w:p>
        </w:tc>
        <w:tc>
          <w:tcPr>
            <w:tcW w:w="1080" w:type="dxa"/>
            <w:tcBorders>
              <w:top w:val="nil"/>
              <w:left w:val="nil"/>
              <w:bottom w:val="single" w:sz="4" w:space="0" w:color="auto"/>
              <w:right w:val="single" w:sz="4" w:space="0" w:color="auto"/>
            </w:tcBorders>
            <w:tcMar>
              <w:left w:w="43" w:type="dxa"/>
              <w:right w:w="43" w:type="dxa"/>
            </w:tcMar>
          </w:tcPr>
          <w:p w14:paraId="15756319" w14:textId="77777777" w:rsidR="00EE53AD" w:rsidRPr="00B05567" w:rsidRDefault="00EE53AD">
            <w:pPr>
              <w:keepNext/>
              <w:keepLines/>
              <w:topLinePunct/>
              <w:jc w:val="right"/>
              <w:rPr>
                <w:sz w:val="18"/>
                <w:szCs w:val="18"/>
              </w:rPr>
            </w:pPr>
            <w:r w:rsidRPr="00B05567">
              <w:rPr>
                <w:sz w:val="18"/>
                <w:szCs w:val="18"/>
              </w:rPr>
              <w:t>103,012,835</w:t>
            </w:r>
          </w:p>
        </w:tc>
        <w:tc>
          <w:tcPr>
            <w:tcW w:w="990" w:type="dxa"/>
            <w:tcBorders>
              <w:top w:val="nil"/>
              <w:left w:val="nil"/>
              <w:bottom w:val="single" w:sz="4" w:space="0" w:color="auto"/>
              <w:right w:val="single" w:sz="4" w:space="0" w:color="auto"/>
            </w:tcBorders>
            <w:tcMar>
              <w:left w:w="43" w:type="dxa"/>
              <w:right w:w="43" w:type="dxa"/>
            </w:tcMar>
          </w:tcPr>
          <w:p w14:paraId="536782C1" w14:textId="77777777" w:rsidR="00EE53AD" w:rsidRPr="00B05567" w:rsidRDefault="00EE53AD">
            <w:pPr>
              <w:keepNext/>
              <w:keepLines/>
              <w:topLinePunct/>
              <w:jc w:val="right"/>
              <w:rPr>
                <w:sz w:val="18"/>
                <w:szCs w:val="18"/>
              </w:rPr>
            </w:pPr>
            <w:r w:rsidRPr="00B05567">
              <w:rPr>
                <w:sz w:val="18"/>
                <w:szCs w:val="18"/>
              </w:rPr>
              <w:t>8,238,143</w:t>
            </w:r>
          </w:p>
        </w:tc>
        <w:tc>
          <w:tcPr>
            <w:tcW w:w="900" w:type="dxa"/>
            <w:tcBorders>
              <w:top w:val="nil"/>
              <w:left w:val="nil"/>
              <w:bottom w:val="single" w:sz="4" w:space="0" w:color="auto"/>
              <w:right w:val="single" w:sz="4" w:space="0" w:color="auto"/>
            </w:tcBorders>
            <w:tcMar>
              <w:left w:w="43" w:type="dxa"/>
              <w:right w:w="43" w:type="dxa"/>
            </w:tcMar>
          </w:tcPr>
          <w:p w14:paraId="45100823" w14:textId="77777777" w:rsidR="00EE53AD" w:rsidRPr="00B05567" w:rsidRDefault="00EE53AD">
            <w:pPr>
              <w:keepNext/>
              <w:keepLines/>
              <w:topLinePunct/>
              <w:jc w:val="right"/>
              <w:rPr>
                <w:sz w:val="18"/>
                <w:szCs w:val="18"/>
              </w:rPr>
            </w:pPr>
            <w:r w:rsidRPr="00B05567">
              <w:rPr>
                <w:sz w:val="18"/>
                <w:szCs w:val="18"/>
              </w:rPr>
              <w:t>8.0</w:t>
            </w:r>
          </w:p>
        </w:tc>
      </w:tr>
      <w:tr w:rsidR="00EE53AD" w14:paraId="4DE9B229" w14:textId="77777777">
        <w:trPr>
          <w:trHeight w:val="236"/>
        </w:trPr>
        <w:tc>
          <w:tcPr>
            <w:tcW w:w="1006" w:type="dxa"/>
            <w:tcBorders>
              <w:top w:val="nil"/>
              <w:left w:val="single" w:sz="4" w:space="0" w:color="auto"/>
              <w:bottom w:val="single" w:sz="4" w:space="0" w:color="auto"/>
              <w:right w:val="single" w:sz="4" w:space="0" w:color="auto"/>
            </w:tcBorders>
            <w:noWrap/>
            <w:tcMar>
              <w:left w:w="29" w:type="dxa"/>
              <w:right w:w="29" w:type="dxa"/>
            </w:tcMar>
          </w:tcPr>
          <w:p w14:paraId="29F3A00A" w14:textId="77777777" w:rsidR="00EE53AD" w:rsidRPr="00B05567" w:rsidRDefault="00EE53AD">
            <w:pPr>
              <w:topLinePunct/>
              <w:jc w:val="left"/>
              <w:rPr>
                <w:sz w:val="18"/>
                <w:szCs w:val="18"/>
              </w:rPr>
            </w:pPr>
            <w:r w:rsidRPr="00B05567">
              <w:rPr>
                <w:rFonts w:hint="eastAsia"/>
                <w:sz w:val="18"/>
                <w:szCs w:val="18"/>
                <w:lang w:val="zh-CN"/>
              </w:rPr>
              <w:t>工发组织</w:t>
            </w:r>
          </w:p>
        </w:tc>
        <w:tc>
          <w:tcPr>
            <w:tcW w:w="1011" w:type="dxa"/>
            <w:tcBorders>
              <w:top w:val="nil"/>
              <w:left w:val="single" w:sz="4" w:space="0" w:color="auto"/>
              <w:bottom w:val="single" w:sz="4" w:space="0" w:color="auto"/>
              <w:right w:val="single" w:sz="4" w:space="0" w:color="auto"/>
            </w:tcBorders>
            <w:noWrap/>
            <w:tcMar>
              <w:left w:w="43" w:type="dxa"/>
              <w:right w:w="43" w:type="dxa"/>
            </w:tcMar>
          </w:tcPr>
          <w:p w14:paraId="024F7B0D" w14:textId="77777777" w:rsidR="00EE53AD" w:rsidRPr="00B05567" w:rsidRDefault="00EE53AD">
            <w:pPr>
              <w:topLinePunct/>
              <w:jc w:val="right"/>
              <w:rPr>
                <w:sz w:val="18"/>
                <w:szCs w:val="18"/>
              </w:rPr>
            </w:pPr>
            <w:r w:rsidRPr="00B05567">
              <w:rPr>
                <w:sz w:val="18"/>
                <w:szCs w:val="18"/>
              </w:rPr>
              <w:t>67,120,281</w:t>
            </w:r>
          </w:p>
        </w:tc>
        <w:tc>
          <w:tcPr>
            <w:tcW w:w="948" w:type="dxa"/>
            <w:tcBorders>
              <w:top w:val="nil"/>
              <w:left w:val="nil"/>
              <w:bottom w:val="single" w:sz="4" w:space="0" w:color="auto"/>
              <w:right w:val="single" w:sz="4" w:space="0" w:color="auto"/>
            </w:tcBorders>
            <w:noWrap/>
            <w:tcMar>
              <w:left w:w="43" w:type="dxa"/>
              <w:right w:w="43" w:type="dxa"/>
            </w:tcMar>
          </w:tcPr>
          <w:p w14:paraId="3E3045EA" w14:textId="77777777" w:rsidR="00EE53AD" w:rsidRPr="00B05567" w:rsidRDefault="00EE53AD">
            <w:pPr>
              <w:topLinePunct/>
              <w:jc w:val="right"/>
              <w:rPr>
                <w:sz w:val="18"/>
                <w:szCs w:val="18"/>
              </w:rPr>
            </w:pPr>
            <w:r w:rsidRPr="00B05567">
              <w:rPr>
                <w:sz w:val="18"/>
                <w:szCs w:val="18"/>
              </w:rPr>
              <w:t>10,220,280</w:t>
            </w:r>
          </w:p>
        </w:tc>
        <w:tc>
          <w:tcPr>
            <w:tcW w:w="810" w:type="dxa"/>
            <w:tcBorders>
              <w:top w:val="nil"/>
              <w:left w:val="nil"/>
              <w:bottom w:val="single" w:sz="4" w:space="0" w:color="auto"/>
              <w:right w:val="single" w:sz="4" w:space="0" w:color="auto"/>
            </w:tcBorders>
            <w:noWrap/>
            <w:tcMar>
              <w:left w:w="43" w:type="dxa"/>
              <w:right w:w="43" w:type="dxa"/>
            </w:tcMar>
          </w:tcPr>
          <w:p w14:paraId="5CF6F195" w14:textId="77777777" w:rsidR="00EE53AD" w:rsidRPr="00B05567" w:rsidRDefault="00EE53AD">
            <w:pPr>
              <w:topLinePunct/>
              <w:jc w:val="right"/>
              <w:rPr>
                <w:sz w:val="18"/>
                <w:szCs w:val="18"/>
              </w:rPr>
            </w:pPr>
            <w:r w:rsidRPr="00B05567">
              <w:rPr>
                <w:sz w:val="18"/>
                <w:szCs w:val="18"/>
              </w:rPr>
              <w:t>15.2</w:t>
            </w:r>
          </w:p>
        </w:tc>
        <w:tc>
          <w:tcPr>
            <w:tcW w:w="1080" w:type="dxa"/>
            <w:tcBorders>
              <w:top w:val="nil"/>
              <w:left w:val="nil"/>
              <w:bottom w:val="single" w:sz="4" w:space="0" w:color="auto"/>
              <w:right w:val="single" w:sz="4" w:space="0" w:color="auto"/>
            </w:tcBorders>
            <w:noWrap/>
            <w:tcMar>
              <w:left w:w="43" w:type="dxa"/>
              <w:right w:w="43" w:type="dxa"/>
            </w:tcMar>
          </w:tcPr>
          <w:p w14:paraId="089ECE3A" w14:textId="77777777" w:rsidR="00EE53AD" w:rsidRPr="00B05567" w:rsidRDefault="00EE53AD">
            <w:pPr>
              <w:topLinePunct/>
              <w:jc w:val="right"/>
              <w:rPr>
                <w:sz w:val="18"/>
                <w:szCs w:val="18"/>
              </w:rPr>
            </w:pPr>
            <w:r w:rsidRPr="00B05567">
              <w:rPr>
                <w:sz w:val="18"/>
                <w:szCs w:val="18"/>
              </w:rPr>
              <w:t>91,911,807</w:t>
            </w:r>
          </w:p>
        </w:tc>
        <w:tc>
          <w:tcPr>
            <w:tcW w:w="900" w:type="dxa"/>
            <w:tcBorders>
              <w:top w:val="nil"/>
              <w:left w:val="nil"/>
              <w:bottom w:val="single" w:sz="4" w:space="0" w:color="auto"/>
              <w:right w:val="single" w:sz="4" w:space="0" w:color="auto"/>
            </w:tcBorders>
            <w:noWrap/>
            <w:tcMar>
              <w:left w:w="43" w:type="dxa"/>
              <w:right w:w="43" w:type="dxa"/>
            </w:tcMar>
          </w:tcPr>
          <w:p w14:paraId="4F5A4C87" w14:textId="77777777" w:rsidR="00EE53AD" w:rsidRPr="00B05567" w:rsidRDefault="00EE53AD">
            <w:pPr>
              <w:topLinePunct/>
              <w:jc w:val="right"/>
              <w:rPr>
                <w:sz w:val="18"/>
                <w:szCs w:val="18"/>
              </w:rPr>
            </w:pPr>
            <w:r w:rsidRPr="00B05567">
              <w:rPr>
                <w:sz w:val="18"/>
                <w:szCs w:val="18"/>
              </w:rPr>
              <w:t>12,351,350</w:t>
            </w:r>
          </w:p>
        </w:tc>
        <w:tc>
          <w:tcPr>
            <w:tcW w:w="900" w:type="dxa"/>
            <w:tcBorders>
              <w:top w:val="nil"/>
              <w:left w:val="nil"/>
              <w:bottom w:val="single" w:sz="4" w:space="0" w:color="auto"/>
              <w:right w:val="single" w:sz="4" w:space="0" w:color="auto"/>
            </w:tcBorders>
            <w:noWrap/>
            <w:tcMar>
              <w:left w:w="43" w:type="dxa"/>
              <w:right w:w="43" w:type="dxa"/>
            </w:tcMar>
          </w:tcPr>
          <w:p w14:paraId="5636BF7E" w14:textId="77777777" w:rsidR="00EE53AD" w:rsidRPr="00B05567" w:rsidRDefault="00EE53AD">
            <w:pPr>
              <w:topLinePunct/>
              <w:jc w:val="right"/>
              <w:rPr>
                <w:sz w:val="18"/>
                <w:szCs w:val="18"/>
              </w:rPr>
            </w:pPr>
            <w:r w:rsidRPr="00B05567">
              <w:rPr>
                <w:sz w:val="18"/>
                <w:szCs w:val="18"/>
              </w:rPr>
              <w:t>13.4</w:t>
            </w:r>
          </w:p>
        </w:tc>
        <w:tc>
          <w:tcPr>
            <w:tcW w:w="1080" w:type="dxa"/>
            <w:tcBorders>
              <w:top w:val="nil"/>
              <w:left w:val="nil"/>
              <w:bottom w:val="single" w:sz="4" w:space="0" w:color="auto"/>
              <w:right w:val="single" w:sz="4" w:space="0" w:color="auto"/>
            </w:tcBorders>
            <w:tcMar>
              <w:left w:w="43" w:type="dxa"/>
              <w:right w:w="43" w:type="dxa"/>
            </w:tcMar>
          </w:tcPr>
          <w:p w14:paraId="0D5D268F" w14:textId="77777777" w:rsidR="00EE53AD" w:rsidRPr="00B05567" w:rsidRDefault="00EE53AD">
            <w:pPr>
              <w:topLinePunct/>
              <w:jc w:val="right"/>
              <w:rPr>
                <w:sz w:val="18"/>
                <w:szCs w:val="18"/>
              </w:rPr>
            </w:pPr>
            <w:r w:rsidRPr="00B05567">
              <w:rPr>
                <w:sz w:val="18"/>
                <w:szCs w:val="18"/>
              </w:rPr>
              <w:t>101,900,867</w:t>
            </w:r>
          </w:p>
        </w:tc>
        <w:tc>
          <w:tcPr>
            <w:tcW w:w="990" w:type="dxa"/>
            <w:tcBorders>
              <w:top w:val="nil"/>
              <w:left w:val="nil"/>
              <w:bottom w:val="single" w:sz="4" w:space="0" w:color="auto"/>
              <w:right w:val="single" w:sz="4" w:space="0" w:color="auto"/>
            </w:tcBorders>
            <w:tcMar>
              <w:left w:w="43" w:type="dxa"/>
              <w:right w:w="43" w:type="dxa"/>
            </w:tcMar>
          </w:tcPr>
          <w:p w14:paraId="499CF100" w14:textId="77777777" w:rsidR="00EE53AD" w:rsidRPr="00B05567" w:rsidRDefault="00EE53AD">
            <w:pPr>
              <w:topLinePunct/>
              <w:jc w:val="right"/>
              <w:rPr>
                <w:sz w:val="18"/>
                <w:szCs w:val="18"/>
              </w:rPr>
            </w:pPr>
            <w:r w:rsidRPr="00B05567">
              <w:rPr>
                <w:sz w:val="18"/>
                <w:szCs w:val="18"/>
              </w:rPr>
              <w:t>13,519,288</w:t>
            </w:r>
          </w:p>
        </w:tc>
        <w:tc>
          <w:tcPr>
            <w:tcW w:w="900" w:type="dxa"/>
            <w:tcBorders>
              <w:top w:val="nil"/>
              <w:left w:val="nil"/>
              <w:bottom w:val="single" w:sz="4" w:space="0" w:color="auto"/>
              <w:right w:val="single" w:sz="4" w:space="0" w:color="auto"/>
            </w:tcBorders>
            <w:tcMar>
              <w:left w:w="43" w:type="dxa"/>
              <w:right w:w="43" w:type="dxa"/>
            </w:tcMar>
          </w:tcPr>
          <w:p w14:paraId="24D6578E" w14:textId="77777777" w:rsidR="00EE53AD" w:rsidRPr="00B05567" w:rsidRDefault="00EE53AD">
            <w:pPr>
              <w:topLinePunct/>
              <w:jc w:val="right"/>
              <w:rPr>
                <w:sz w:val="18"/>
                <w:szCs w:val="18"/>
              </w:rPr>
            </w:pPr>
            <w:r w:rsidRPr="00B05567">
              <w:rPr>
                <w:sz w:val="18"/>
                <w:szCs w:val="18"/>
              </w:rPr>
              <w:t>13.3</w:t>
            </w:r>
          </w:p>
        </w:tc>
      </w:tr>
      <w:tr w:rsidR="00EE53AD" w14:paraId="3EAF91A4" w14:textId="77777777">
        <w:trPr>
          <w:trHeight w:val="236"/>
        </w:trPr>
        <w:tc>
          <w:tcPr>
            <w:tcW w:w="1006" w:type="dxa"/>
            <w:tcBorders>
              <w:top w:val="nil"/>
              <w:left w:val="single" w:sz="4" w:space="0" w:color="auto"/>
              <w:bottom w:val="single" w:sz="4" w:space="0" w:color="auto"/>
              <w:right w:val="single" w:sz="4" w:space="0" w:color="auto"/>
            </w:tcBorders>
            <w:noWrap/>
            <w:tcMar>
              <w:left w:w="29" w:type="dxa"/>
              <w:right w:w="29" w:type="dxa"/>
            </w:tcMar>
          </w:tcPr>
          <w:p w14:paraId="1964A4FD" w14:textId="77777777" w:rsidR="00EE53AD" w:rsidRPr="00B05567" w:rsidRDefault="00EE53AD">
            <w:pPr>
              <w:topLinePunct/>
              <w:jc w:val="left"/>
              <w:rPr>
                <w:sz w:val="18"/>
                <w:szCs w:val="18"/>
              </w:rPr>
            </w:pPr>
            <w:r w:rsidRPr="00B05567">
              <w:rPr>
                <w:rFonts w:hint="eastAsia"/>
                <w:sz w:val="18"/>
                <w:szCs w:val="18"/>
                <w:lang w:val="zh-CN"/>
              </w:rPr>
              <w:t>世界银行</w:t>
            </w:r>
          </w:p>
        </w:tc>
        <w:tc>
          <w:tcPr>
            <w:tcW w:w="1011" w:type="dxa"/>
            <w:tcBorders>
              <w:top w:val="nil"/>
              <w:left w:val="single" w:sz="4" w:space="0" w:color="auto"/>
              <w:bottom w:val="single" w:sz="4" w:space="0" w:color="auto"/>
              <w:right w:val="single" w:sz="4" w:space="0" w:color="auto"/>
            </w:tcBorders>
            <w:noWrap/>
            <w:tcMar>
              <w:left w:w="43" w:type="dxa"/>
              <w:right w:w="43" w:type="dxa"/>
            </w:tcMar>
          </w:tcPr>
          <w:p w14:paraId="451A4C6F" w14:textId="77777777" w:rsidR="00EE53AD" w:rsidRPr="00B05567" w:rsidRDefault="00EE53AD">
            <w:pPr>
              <w:topLinePunct/>
              <w:jc w:val="right"/>
              <w:rPr>
                <w:sz w:val="18"/>
                <w:szCs w:val="18"/>
              </w:rPr>
            </w:pPr>
            <w:r w:rsidRPr="00B05567">
              <w:rPr>
                <w:sz w:val="18"/>
                <w:szCs w:val="18"/>
              </w:rPr>
              <w:t>31,485,241</w:t>
            </w:r>
          </w:p>
        </w:tc>
        <w:tc>
          <w:tcPr>
            <w:tcW w:w="948" w:type="dxa"/>
            <w:tcBorders>
              <w:top w:val="nil"/>
              <w:left w:val="nil"/>
              <w:bottom w:val="single" w:sz="4" w:space="0" w:color="auto"/>
              <w:right w:val="single" w:sz="4" w:space="0" w:color="auto"/>
            </w:tcBorders>
            <w:noWrap/>
            <w:tcMar>
              <w:left w:w="43" w:type="dxa"/>
              <w:right w:w="43" w:type="dxa"/>
            </w:tcMar>
          </w:tcPr>
          <w:p w14:paraId="1CF325F4" w14:textId="77777777" w:rsidR="00EE53AD" w:rsidRPr="00B05567" w:rsidRDefault="00EE53AD">
            <w:pPr>
              <w:topLinePunct/>
              <w:jc w:val="right"/>
              <w:rPr>
                <w:sz w:val="18"/>
                <w:szCs w:val="18"/>
              </w:rPr>
            </w:pPr>
            <w:r w:rsidRPr="00B05567">
              <w:rPr>
                <w:sz w:val="18"/>
                <w:szCs w:val="18"/>
              </w:rPr>
              <w:t>6,343,384</w:t>
            </w:r>
          </w:p>
        </w:tc>
        <w:tc>
          <w:tcPr>
            <w:tcW w:w="810" w:type="dxa"/>
            <w:tcBorders>
              <w:top w:val="nil"/>
              <w:left w:val="nil"/>
              <w:bottom w:val="single" w:sz="4" w:space="0" w:color="auto"/>
              <w:right w:val="single" w:sz="4" w:space="0" w:color="auto"/>
            </w:tcBorders>
            <w:noWrap/>
            <w:tcMar>
              <w:left w:w="43" w:type="dxa"/>
              <w:right w:w="43" w:type="dxa"/>
            </w:tcMar>
          </w:tcPr>
          <w:p w14:paraId="3703BD22" w14:textId="77777777" w:rsidR="00EE53AD" w:rsidRPr="00B05567" w:rsidRDefault="00EE53AD">
            <w:pPr>
              <w:topLinePunct/>
              <w:jc w:val="right"/>
              <w:rPr>
                <w:sz w:val="18"/>
                <w:szCs w:val="18"/>
              </w:rPr>
            </w:pPr>
            <w:r w:rsidRPr="00B05567">
              <w:rPr>
                <w:sz w:val="18"/>
                <w:szCs w:val="18"/>
              </w:rPr>
              <w:t>20.1</w:t>
            </w:r>
          </w:p>
        </w:tc>
        <w:tc>
          <w:tcPr>
            <w:tcW w:w="1080" w:type="dxa"/>
            <w:tcBorders>
              <w:top w:val="nil"/>
              <w:left w:val="nil"/>
              <w:bottom w:val="single" w:sz="4" w:space="0" w:color="auto"/>
              <w:right w:val="single" w:sz="4" w:space="0" w:color="auto"/>
            </w:tcBorders>
            <w:noWrap/>
            <w:tcMar>
              <w:left w:w="43" w:type="dxa"/>
              <w:right w:w="43" w:type="dxa"/>
            </w:tcMar>
          </w:tcPr>
          <w:p w14:paraId="257BA3BC" w14:textId="77777777" w:rsidR="00EE53AD" w:rsidRPr="00B05567" w:rsidRDefault="00EE53AD">
            <w:pPr>
              <w:topLinePunct/>
              <w:jc w:val="right"/>
              <w:rPr>
                <w:sz w:val="18"/>
                <w:szCs w:val="18"/>
              </w:rPr>
            </w:pPr>
            <w:r w:rsidRPr="00B05567">
              <w:rPr>
                <w:sz w:val="18"/>
                <w:szCs w:val="18"/>
              </w:rPr>
              <w:t>48,475,987</w:t>
            </w:r>
          </w:p>
        </w:tc>
        <w:tc>
          <w:tcPr>
            <w:tcW w:w="900" w:type="dxa"/>
            <w:tcBorders>
              <w:top w:val="nil"/>
              <w:left w:val="nil"/>
              <w:bottom w:val="single" w:sz="4" w:space="0" w:color="auto"/>
              <w:right w:val="single" w:sz="4" w:space="0" w:color="auto"/>
            </w:tcBorders>
            <w:noWrap/>
            <w:tcMar>
              <w:left w:w="43" w:type="dxa"/>
              <w:right w:w="43" w:type="dxa"/>
            </w:tcMar>
          </w:tcPr>
          <w:p w14:paraId="134529BC" w14:textId="77777777" w:rsidR="00EE53AD" w:rsidRPr="00B05567" w:rsidRDefault="00EE53AD">
            <w:pPr>
              <w:topLinePunct/>
              <w:jc w:val="right"/>
              <w:rPr>
                <w:sz w:val="18"/>
                <w:szCs w:val="18"/>
              </w:rPr>
            </w:pPr>
            <w:r w:rsidRPr="00B05567">
              <w:rPr>
                <w:sz w:val="18"/>
                <w:szCs w:val="18"/>
              </w:rPr>
              <w:t>8,302,659</w:t>
            </w:r>
          </w:p>
        </w:tc>
        <w:tc>
          <w:tcPr>
            <w:tcW w:w="900" w:type="dxa"/>
            <w:tcBorders>
              <w:top w:val="nil"/>
              <w:left w:val="nil"/>
              <w:bottom w:val="single" w:sz="4" w:space="0" w:color="auto"/>
              <w:right w:val="single" w:sz="4" w:space="0" w:color="auto"/>
            </w:tcBorders>
            <w:noWrap/>
            <w:tcMar>
              <w:left w:w="43" w:type="dxa"/>
              <w:right w:w="43" w:type="dxa"/>
            </w:tcMar>
          </w:tcPr>
          <w:p w14:paraId="5F5EBAE1" w14:textId="77777777" w:rsidR="00EE53AD" w:rsidRPr="00B05567" w:rsidRDefault="00EE53AD">
            <w:pPr>
              <w:topLinePunct/>
              <w:jc w:val="right"/>
              <w:rPr>
                <w:sz w:val="18"/>
                <w:szCs w:val="18"/>
              </w:rPr>
            </w:pPr>
            <w:r w:rsidRPr="00B05567">
              <w:rPr>
                <w:sz w:val="18"/>
                <w:szCs w:val="18"/>
              </w:rPr>
              <w:t>17.1</w:t>
            </w:r>
          </w:p>
        </w:tc>
        <w:tc>
          <w:tcPr>
            <w:tcW w:w="1080" w:type="dxa"/>
            <w:tcBorders>
              <w:top w:val="nil"/>
              <w:left w:val="nil"/>
              <w:bottom w:val="single" w:sz="4" w:space="0" w:color="auto"/>
              <w:right w:val="single" w:sz="4" w:space="0" w:color="auto"/>
            </w:tcBorders>
            <w:tcMar>
              <w:left w:w="43" w:type="dxa"/>
              <w:right w:w="43" w:type="dxa"/>
            </w:tcMar>
          </w:tcPr>
          <w:p w14:paraId="503442AC" w14:textId="77777777" w:rsidR="00EE53AD" w:rsidRPr="00B05567" w:rsidRDefault="00EE53AD">
            <w:pPr>
              <w:topLinePunct/>
              <w:jc w:val="right"/>
              <w:rPr>
                <w:sz w:val="18"/>
                <w:szCs w:val="18"/>
              </w:rPr>
            </w:pPr>
            <w:r w:rsidRPr="00B05567">
              <w:rPr>
                <w:sz w:val="18"/>
                <w:szCs w:val="18"/>
              </w:rPr>
              <w:t>65,447,883</w:t>
            </w:r>
          </w:p>
        </w:tc>
        <w:tc>
          <w:tcPr>
            <w:tcW w:w="990" w:type="dxa"/>
            <w:tcBorders>
              <w:top w:val="nil"/>
              <w:left w:val="nil"/>
              <w:bottom w:val="single" w:sz="4" w:space="0" w:color="auto"/>
              <w:right w:val="single" w:sz="4" w:space="0" w:color="auto"/>
            </w:tcBorders>
            <w:tcMar>
              <w:left w:w="43" w:type="dxa"/>
              <w:right w:w="43" w:type="dxa"/>
            </w:tcMar>
          </w:tcPr>
          <w:p w14:paraId="7FEEA0C3" w14:textId="77777777" w:rsidR="00EE53AD" w:rsidRPr="00B05567" w:rsidRDefault="00EE53AD">
            <w:pPr>
              <w:topLinePunct/>
              <w:jc w:val="right"/>
              <w:rPr>
                <w:sz w:val="18"/>
                <w:szCs w:val="18"/>
              </w:rPr>
            </w:pPr>
            <w:r w:rsidRPr="00B05567">
              <w:rPr>
                <w:sz w:val="18"/>
                <w:szCs w:val="18"/>
              </w:rPr>
              <w:t>9,904,363</w:t>
            </w:r>
          </w:p>
        </w:tc>
        <w:tc>
          <w:tcPr>
            <w:tcW w:w="900" w:type="dxa"/>
            <w:tcBorders>
              <w:top w:val="nil"/>
              <w:left w:val="nil"/>
              <w:bottom w:val="single" w:sz="4" w:space="0" w:color="auto"/>
              <w:right w:val="single" w:sz="4" w:space="0" w:color="auto"/>
            </w:tcBorders>
            <w:tcMar>
              <w:left w:w="43" w:type="dxa"/>
              <w:right w:w="43" w:type="dxa"/>
            </w:tcMar>
          </w:tcPr>
          <w:p w14:paraId="009A68B5" w14:textId="77777777" w:rsidR="00EE53AD" w:rsidRPr="00B05567" w:rsidRDefault="00EE53AD">
            <w:pPr>
              <w:topLinePunct/>
              <w:jc w:val="right"/>
              <w:rPr>
                <w:sz w:val="18"/>
                <w:szCs w:val="18"/>
              </w:rPr>
            </w:pPr>
            <w:r w:rsidRPr="00B05567">
              <w:rPr>
                <w:sz w:val="18"/>
                <w:szCs w:val="18"/>
              </w:rPr>
              <w:t>15.1</w:t>
            </w:r>
          </w:p>
        </w:tc>
      </w:tr>
      <w:tr w:rsidR="00EE53AD" w14:paraId="3F024B9A" w14:textId="77777777">
        <w:trPr>
          <w:trHeight w:val="236"/>
        </w:trPr>
        <w:tc>
          <w:tcPr>
            <w:tcW w:w="1006" w:type="dxa"/>
            <w:tcBorders>
              <w:top w:val="nil"/>
              <w:left w:val="single" w:sz="4" w:space="0" w:color="auto"/>
              <w:bottom w:val="single" w:sz="4" w:space="0" w:color="auto"/>
              <w:right w:val="single" w:sz="4" w:space="0" w:color="auto"/>
            </w:tcBorders>
            <w:noWrap/>
            <w:tcMar>
              <w:left w:w="29" w:type="dxa"/>
              <w:right w:w="29" w:type="dxa"/>
            </w:tcMar>
          </w:tcPr>
          <w:p w14:paraId="707308A8" w14:textId="77777777" w:rsidR="00EE53AD" w:rsidRPr="00B05567" w:rsidRDefault="00EE53AD">
            <w:pPr>
              <w:topLinePunct/>
              <w:jc w:val="left"/>
              <w:rPr>
                <w:sz w:val="18"/>
                <w:szCs w:val="18"/>
              </w:rPr>
            </w:pPr>
            <w:r w:rsidRPr="00B05567">
              <w:rPr>
                <w:rFonts w:hint="eastAsia"/>
                <w:b/>
                <w:sz w:val="18"/>
                <w:szCs w:val="18"/>
                <w:lang w:val="zh-CN"/>
              </w:rPr>
              <w:t>共计</w:t>
            </w:r>
          </w:p>
        </w:tc>
        <w:tc>
          <w:tcPr>
            <w:tcW w:w="1011" w:type="dxa"/>
            <w:tcBorders>
              <w:top w:val="nil"/>
              <w:left w:val="single" w:sz="4" w:space="0" w:color="auto"/>
              <w:bottom w:val="single" w:sz="4" w:space="0" w:color="auto"/>
              <w:right w:val="single" w:sz="4" w:space="0" w:color="auto"/>
            </w:tcBorders>
            <w:noWrap/>
            <w:tcMar>
              <w:left w:w="43" w:type="dxa"/>
              <w:right w:w="43" w:type="dxa"/>
            </w:tcMar>
          </w:tcPr>
          <w:p w14:paraId="082016A9" w14:textId="77777777" w:rsidR="00EE53AD" w:rsidRPr="00B05567" w:rsidRDefault="00EE53AD">
            <w:pPr>
              <w:topLinePunct/>
              <w:jc w:val="right"/>
              <w:rPr>
                <w:b/>
                <w:sz w:val="18"/>
                <w:szCs w:val="18"/>
              </w:rPr>
            </w:pPr>
            <w:r w:rsidRPr="00B05567">
              <w:rPr>
                <w:b/>
                <w:sz w:val="18"/>
                <w:szCs w:val="18"/>
              </w:rPr>
              <w:t>248,946,077</w:t>
            </w:r>
          </w:p>
        </w:tc>
        <w:tc>
          <w:tcPr>
            <w:tcW w:w="948" w:type="dxa"/>
            <w:tcBorders>
              <w:top w:val="nil"/>
              <w:left w:val="nil"/>
              <w:bottom w:val="single" w:sz="4" w:space="0" w:color="auto"/>
              <w:right w:val="single" w:sz="4" w:space="0" w:color="auto"/>
            </w:tcBorders>
            <w:noWrap/>
            <w:tcMar>
              <w:left w:w="43" w:type="dxa"/>
              <w:right w:w="43" w:type="dxa"/>
            </w:tcMar>
          </w:tcPr>
          <w:p w14:paraId="52120E29" w14:textId="77777777" w:rsidR="00EE53AD" w:rsidRPr="00B05567" w:rsidRDefault="00EE53AD">
            <w:pPr>
              <w:topLinePunct/>
              <w:jc w:val="right"/>
              <w:rPr>
                <w:b/>
                <w:sz w:val="18"/>
                <w:szCs w:val="18"/>
              </w:rPr>
            </w:pPr>
            <w:r w:rsidRPr="00B05567">
              <w:rPr>
                <w:b/>
                <w:sz w:val="18"/>
                <w:szCs w:val="18"/>
              </w:rPr>
              <w:t>34,299,548</w:t>
            </w:r>
          </w:p>
        </w:tc>
        <w:tc>
          <w:tcPr>
            <w:tcW w:w="810" w:type="dxa"/>
            <w:tcBorders>
              <w:top w:val="nil"/>
              <w:left w:val="nil"/>
              <w:bottom w:val="single" w:sz="4" w:space="0" w:color="auto"/>
              <w:right w:val="single" w:sz="4" w:space="0" w:color="auto"/>
            </w:tcBorders>
            <w:noWrap/>
            <w:tcMar>
              <w:left w:w="43" w:type="dxa"/>
              <w:right w:w="43" w:type="dxa"/>
            </w:tcMar>
          </w:tcPr>
          <w:p w14:paraId="19B620A6" w14:textId="77777777" w:rsidR="00EE53AD" w:rsidRPr="00B05567" w:rsidRDefault="00EE53AD">
            <w:pPr>
              <w:topLinePunct/>
              <w:jc w:val="right"/>
              <w:rPr>
                <w:b/>
                <w:sz w:val="18"/>
                <w:szCs w:val="18"/>
              </w:rPr>
            </w:pPr>
            <w:r w:rsidRPr="00B05567">
              <w:rPr>
                <w:b/>
                <w:sz w:val="18"/>
                <w:szCs w:val="18"/>
              </w:rPr>
              <w:t>13.8</w:t>
            </w:r>
          </w:p>
        </w:tc>
        <w:tc>
          <w:tcPr>
            <w:tcW w:w="1080" w:type="dxa"/>
            <w:tcBorders>
              <w:top w:val="nil"/>
              <w:left w:val="nil"/>
              <w:bottom w:val="single" w:sz="4" w:space="0" w:color="auto"/>
              <w:right w:val="single" w:sz="4" w:space="0" w:color="auto"/>
            </w:tcBorders>
            <w:noWrap/>
            <w:tcMar>
              <w:left w:w="43" w:type="dxa"/>
              <w:right w:w="43" w:type="dxa"/>
            </w:tcMar>
          </w:tcPr>
          <w:p w14:paraId="7B0F4D67" w14:textId="77777777" w:rsidR="00EE53AD" w:rsidRPr="00B05567" w:rsidRDefault="00EE53AD">
            <w:pPr>
              <w:topLinePunct/>
              <w:jc w:val="right"/>
              <w:rPr>
                <w:b/>
                <w:sz w:val="18"/>
                <w:szCs w:val="18"/>
              </w:rPr>
            </w:pPr>
            <w:r w:rsidRPr="00B05567">
              <w:rPr>
                <w:b/>
                <w:sz w:val="18"/>
                <w:szCs w:val="18"/>
              </w:rPr>
              <w:t>308,071,663</w:t>
            </w:r>
          </w:p>
        </w:tc>
        <w:tc>
          <w:tcPr>
            <w:tcW w:w="900" w:type="dxa"/>
            <w:tcBorders>
              <w:top w:val="nil"/>
              <w:left w:val="nil"/>
              <w:bottom w:val="single" w:sz="4" w:space="0" w:color="auto"/>
              <w:right w:val="single" w:sz="4" w:space="0" w:color="auto"/>
            </w:tcBorders>
            <w:noWrap/>
            <w:tcMar>
              <w:left w:w="43" w:type="dxa"/>
              <w:right w:w="43" w:type="dxa"/>
            </w:tcMar>
          </w:tcPr>
          <w:p w14:paraId="1519651A" w14:textId="77777777" w:rsidR="00EE53AD" w:rsidRPr="00B05567" w:rsidRDefault="00EE53AD">
            <w:pPr>
              <w:topLinePunct/>
              <w:jc w:val="right"/>
              <w:rPr>
                <w:b/>
                <w:sz w:val="18"/>
                <w:szCs w:val="18"/>
              </w:rPr>
            </w:pPr>
            <w:r w:rsidRPr="00B05567">
              <w:rPr>
                <w:b/>
                <w:sz w:val="18"/>
                <w:szCs w:val="18"/>
              </w:rPr>
              <w:t>39,847,083</w:t>
            </w:r>
          </w:p>
        </w:tc>
        <w:tc>
          <w:tcPr>
            <w:tcW w:w="900" w:type="dxa"/>
            <w:tcBorders>
              <w:top w:val="nil"/>
              <w:left w:val="nil"/>
              <w:bottom w:val="single" w:sz="4" w:space="0" w:color="auto"/>
              <w:right w:val="single" w:sz="4" w:space="0" w:color="auto"/>
            </w:tcBorders>
            <w:noWrap/>
            <w:tcMar>
              <w:left w:w="43" w:type="dxa"/>
              <w:right w:w="43" w:type="dxa"/>
            </w:tcMar>
          </w:tcPr>
          <w:p w14:paraId="0A485384" w14:textId="77777777" w:rsidR="00EE53AD" w:rsidRPr="00B05567" w:rsidRDefault="00EE53AD">
            <w:pPr>
              <w:topLinePunct/>
              <w:jc w:val="right"/>
              <w:rPr>
                <w:b/>
                <w:sz w:val="18"/>
                <w:szCs w:val="18"/>
              </w:rPr>
            </w:pPr>
            <w:r w:rsidRPr="00B05567">
              <w:rPr>
                <w:b/>
                <w:sz w:val="18"/>
                <w:szCs w:val="18"/>
              </w:rPr>
              <w:t>12.9</w:t>
            </w:r>
          </w:p>
        </w:tc>
        <w:tc>
          <w:tcPr>
            <w:tcW w:w="1080" w:type="dxa"/>
            <w:tcBorders>
              <w:top w:val="nil"/>
              <w:left w:val="nil"/>
              <w:bottom w:val="single" w:sz="4" w:space="0" w:color="auto"/>
              <w:right w:val="single" w:sz="4" w:space="0" w:color="auto"/>
            </w:tcBorders>
            <w:tcMar>
              <w:left w:w="43" w:type="dxa"/>
              <w:right w:w="43" w:type="dxa"/>
            </w:tcMar>
          </w:tcPr>
          <w:p w14:paraId="13B8A3DB" w14:textId="77777777" w:rsidR="00EE53AD" w:rsidRPr="00B05567" w:rsidRDefault="00EE53AD">
            <w:pPr>
              <w:topLinePunct/>
              <w:jc w:val="right"/>
              <w:rPr>
                <w:b/>
                <w:sz w:val="18"/>
                <w:szCs w:val="18"/>
              </w:rPr>
            </w:pPr>
            <w:r w:rsidRPr="00B05567">
              <w:rPr>
                <w:b/>
                <w:sz w:val="18"/>
                <w:szCs w:val="18"/>
              </w:rPr>
              <w:t>391,331,056</w:t>
            </w:r>
          </w:p>
        </w:tc>
        <w:tc>
          <w:tcPr>
            <w:tcW w:w="990" w:type="dxa"/>
            <w:tcBorders>
              <w:top w:val="nil"/>
              <w:left w:val="nil"/>
              <w:bottom w:val="single" w:sz="4" w:space="0" w:color="auto"/>
              <w:right w:val="single" w:sz="4" w:space="0" w:color="auto"/>
            </w:tcBorders>
            <w:tcMar>
              <w:left w:w="43" w:type="dxa"/>
              <w:right w:w="43" w:type="dxa"/>
            </w:tcMar>
          </w:tcPr>
          <w:p w14:paraId="2D72C52D" w14:textId="77777777" w:rsidR="00EE53AD" w:rsidRPr="00B05567" w:rsidRDefault="00EE53AD">
            <w:pPr>
              <w:topLinePunct/>
              <w:jc w:val="right"/>
              <w:rPr>
                <w:b/>
                <w:sz w:val="18"/>
                <w:szCs w:val="18"/>
              </w:rPr>
            </w:pPr>
            <w:r w:rsidRPr="00B05567">
              <w:rPr>
                <w:b/>
                <w:sz w:val="18"/>
                <w:szCs w:val="18"/>
              </w:rPr>
              <w:t>47,334,035</w:t>
            </w:r>
          </w:p>
        </w:tc>
        <w:tc>
          <w:tcPr>
            <w:tcW w:w="900" w:type="dxa"/>
            <w:tcBorders>
              <w:top w:val="nil"/>
              <w:left w:val="nil"/>
              <w:bottom w:val="single" w:sz="4" w:space="0" w:color="auto"/>
              <w:right w:val="single" w:sz="4" w:space="0" w:color="auto"/>
            </w:tcBorders>
            <w:tcMar>
              <w:left w:w="43" w:type="dxa"/>
              <w:right w:w="43" w:type="dxa"/>
            </w:tcMar>
          </w:tcPr>
          <w:p w14:paraId="2703272A" w14:textId="77777777" w:rsidR="00EE53AD" w:rsidRPr="00B05567" w:rsidRDefault="00EE53AD">
            <w:pPr>
              <w:topLinePunct/>
              <w:jc w:val="right"/>
              <w:rPr>
                <w:b/>
                <w:sz w:val="18"/>
                <w:szCs w:val="18"/>
              </w:rPr>
            </w:pPr>
            <w:r w:rsidRPr="00B05567">
              <w:rPr>
                <w:b/>
                <w:sz w:val="18"/>
                <w:szCs w:val="18"/>
              </w:rPr>
              <w:t>12.1</w:t>
            </w:r>
          </w:p>
        </w:tc>
      </w:tr>
    </w:tbl>
    <w:p w14:paraId="561B2883" w14:textId="77777777" w:rsidR="00EE53AD" w:rsidRPr="00B05567" w:rsidRDefault="00EE53AD">
      <w:pPr>
        <w:topLinePunct/>
        <w:rPr>
          <w:sz w:val="18"/>
          <w:szCs w:val="24"/>
        </w:rPr>
      </w:pPr>
      <w:r w:rsidRPr="00B05567">
        <w:rPr>
          <w:sz w:val="18"/>
          <w:szCs w:val="24"/>
          <w:lang w:val="zh-CN"/>
        </w:rPr>
        <w:t xml:space="preserve">* </w:t>
      </w:r>
      <w:r w:rsidRPr="00B05567">
        <w:rPr>
          <w:rFonts w:hint="eastAsia"/>
          <w:sz w:val="18"/>
          <w:szCs w:val="24"/>
          <w:lang w:val="zh-CN"/>
        </w:rPr>
        <w:t>实际供资。</w:t>
      </w:r>
    </w:p>
    <w:p w14:paraId="6AEE1410" w14:textId="77777777" w:rsidR="00EE53AD" w:rsidRPr="00B05567" w:rsidRDefault="00EE53AD">
      <w:pPr>
        <w:topLinePunct/>
        <w:rPr>
          <w:sz w:val="18"/>
          <w:szCs w:val="24"/>
        </w:rPr>
      </w:pPr>
      <w:r w:rsidRPr="00B05567">
        <w:rPr>
          <w:sz w:val="18"/>
          <w:szCs w:val="24"/>
          <w:lang w:val="zh-CN"/>
        </w:rPr>
        <w:t>** 2021</w:t>
      </w:r>
      <w:r w:rsidRPr="00B05567">
        <w:rPr>
          <w:rFonts w:hint="eastAsia"/>
          <w:sz w:val="18"/>
          <w:szCs w:val="24"/>
          <w:lang w:val="zh-CN"/>
        </w:rPr>
        <w:t>年、</w:t>
      </w:r>
      <w:r w:rsidRPr="00B05567">
        <w:rPr>
          <w:sz w:val="18"/>
          <w:szCs w:val="24"/>
          <w:lang w:val="zh-CN"/>
        </w:rPr>
        <w:t>2022</w:t>
      </w:r>
      <w:r w:rsidRPr="00B05567">
        <w:rPr>
          <w:rFonts w:hint="eastAsia"/>
          <w:sz w:val="18"/>
          <w:szCs w:val="24"/>
          <w:lang w:val="zh-CN"/>
        </w:rPr>
        <w:t>年的实际供资和</w:t>
      </w:r>
      <w:r w:rsidRPr="00B05567">
        <w:rPr>
          <w:sz w:val="18"/>
          <w:szCs w:val="24"/>
          <w:lang w:val="zh-CN"/>
        </w:rPr>
        <w:t>2023</w:t>
      </w:r>
      <w:r w:rsidRPr="00B05567">
        <w:rPr>
          <w:rFonts w:hint="eastAsia"/>
          <w:sz w:val="18"/>
          <w:szCs w:val="24"/>
          <w:lang w:val="zh-CN"/>
        </w:rPr>
        <w:t>年的估计供资。</w:t>
      </w:r>
    </w:p>
    <w:p w14:paraId="4A8487EC" w14:textId="77777777" w:rsidR="00EE53AD" w:rsidRPr="00B05567" w:rsidRDefault="00EE53AD">
      <w:pPr>
        <w:topLinePunct/>
        <w:rPr>
          <w:sz w:val="18"/>
          <w:szCs w:val="24"/>
        </w:rPr>
      </w:pPr>
      <w:r w:rsidRPr="00B05567">
        <w:rPr>
          <w:sz w:val="18"/>
          <w:szCs w:val="24"/>
          <w:lang w:val="zh-CN"/>
        </w:rPr>
        <w:t xml:space="preserve">*** </w:t>
      </w:r>
      <w:r w:rsidRPr="00B05567">
        <w:rPr>
          <w:rFonts w:hint="eastAsia"/>
          <w:sz w:val="18"/>
          <w:szCs w:val="24"/>
          <w:lang w:val="zh-CN"/>
        </w:rPr>
        <w:t>根据上文第</w:t>
      </w:r>
      <w:r w:rsidRPr="00B05567">
        <w:rPr>
          <w:sz w:val="18"/>
          <w:szCs w:val="24"/>
          <w:lang w:val="zh-CN"/>
        </w:rPr>
        <w:t>4</w:t>
      </w:r>
      <w:r w:rsidRPr="00B05567">
        <w:rPr>
          <w:rFonts w:hint="eastAsia"/>
          <w:sz w:val="18"/>
          <w:szCs w:val="24"/>
          <w:lang w:val="zh-CN"/>
        </w:rPr>
        <w:t>段</w:t>
      </w:r>
      <w:r w:rsidRPr="00B05567">
        <w:rPr>
          <w:sz w:val="18"/>
          <w:szCs w:val="24"/>
          <w:lang w:val="zh-CN"/>
        </w:rPr>
        <w:t>(a)</w:t>
      </w:r>
      <w:r w:rsidRPr="00B05567">
        <w:rPr>
          <w:rFonts w:hint="eastAsia"/>
          <w:sz w:val="18"/>
          <w:szCs w:val="24"/>
          <w:lang w:val="zh-CN"/>
        </w:rPr>
        <w:t>的解释。</w:t>
      </w:r>
    </w:p>
    <w:p w14:paraId="595F47F8" w14:textId="77777777" w:rsidR="00EE53AD" w:rsidRDefault="00EE53AD">
      <w:pPr>
        <w:topLinePunct/>
        <w:rPr>
          <w:szCs w:val="24"/>
        </w:rPr>
      </w:pPr>
    </w:p>
    <w:p w14:paraId="3758C9C3" w14:textId="77777777" w:rsidR="00EE53AD" w:rsidRPr="00972958" w:rsidRDefault="00EE53AD">
      <w:pPr>
        <w:pStyle w:val="Heading1"/>
        <w:topLinePunct/>
        <w:rPr>
          <w:szCs w:val="24"/>
        </w:rPr>
      </w:pPr>
      <w:r w:rsidRPr="00972958">
        <w:rPr>
          <w:szCs w:val="24"/>
        </w:rPr>
        <w:t>2018-2020</w:t>
      </w:r>
      <w:r w:rsidRPr="00972958">
        <w:rPr>
          <w:rFonts w:hint="eastAsia"/>
          <w:szCs w:val="24"/>
          <w:lang w:val="zh-CN"/>
        </w:rPr>
        <w:t>年三年期期间</w:t>
      </w:r>
      <w:r w:rsidRPr="00972958">
        <w:rPr>
          <w:rFonts w:hint="eastAsia"/>
          <w:szCs w:val="24"/>
        </w:rPr>
        <w:t>，</w:t>
      </w:r>
      <w:r w:rsidRPr="00972958">
        <w:rPr>
          <w:rFonts w:hint="eastAsia"/>
          <w:szCs w:val="24"/>
          <w:lang w:val="zh-CN"/>
        </w:rPr>
        <w:t>项目供资比上一个三年期有所减少。从</w:t>
      </w:r>
      <w:r w:rsidRPr="00972958">
        <w:rPr>
          <w:szCs w:val="24"/>
          <w:lang w:val="en-US"/>
        </w:rPr>
        <w:t>2020</w:t>
      </w:r>
      <w:r w:rsidRPr="00972958">
        <w:rPr>
          <w:rFonts w:hint="eastAsia"/>
          <w:szCs w:val="24"/>
          <w:lang w:val="zh-CN"/>
        </w:rPr>
        <w:t>年起</w:t>
      </w:r>
      <w:r w:rsidRPr="00972958">
        <w:rPr>
          <w:rFonts w:hint="eastAsia"/>
          <w:szCs w:val="24"/>
          <w:lang w:val="en-US"/>
        </w:rPr>
        <w:t>，</w:t>
      </w:r>
      <w:r w:rsidRPr="00972958">
        <w:rPr>
          <w:szCs w:val="24"/>
          <w:lang w:val="en-US"/>
        </w:rPr>
        <w:t>COVID-19</w:t>
      </w:r>
      <w:r w:rsidRPr="00972958">
        <w:rPr>
          <w:rFonts w:hint="eastAsia"/>
          <w:szCs w:val="24"/>
          <w:lang w:val="zh-CN"/>
        </w:rPr>
        <w:t>大流行造成的各种限制导致项目实施延迟</w:t>
      </w:r>
      <w:r w:rsidRPr="00972958">
        <w:rPr>
          <w:rFonts w:hint="eastAsia"/>
          <w:szCs w:val="24"/>
          <w:lang w:val="en-US"/>
        </w:rPr>
        <w:t>，</w:t>
      </w:r>
      <w:r w:rsidRPr="00972958">
        <w:rPr>
          <w:rFonts w:hint="eastAsia"/>
          <w:szCs w:val="24"/>
          <w:lang w:val="zh-CN"/>
        </w:rPr>
        <w:t>从而影响了提交氟氯烃淘汰管理计划供资付款的申请。在</w:t>
      </w:r>
      <w:r w:rsidRPr="00972958">
        <w:rPr>
          <w:szCs w:val="24"/>
          <w:lang w:val="en-US"/>
        </w:rPr>
        <w:t>2021-2023</w:t>
      </w:r>
      <w:r w:rsidRPr="00972958">
        <w:rPr>
          <w:rFonts w:hint="eastAsia"/>
          <w:szCs w:val="24"/>
          <w:lang w:val="zh-CN"/>
        </w:rPr>
        <w:t>年三年期期间</w:t>
      </w:r>
      <w:r w:rsidRPr="00972958">
        <w:rPr>
          <w:rFonts w:hint="eastAsia"/>
          <w:szCs w:val="24"/>
          <w:lang w:val="en-US"/>
        </w:rPr>
        <w:t>，</w:t>
      </w:r>
      <w:r w:rsidRPr="00972958">
        <w:rPr>
          <w:rFonts w:hint="eastAsia"/>
          <w:szCs w:val="24"/>
          <w:lang w:val="zh-CN"/>
        </w:rPr>
        <w:t>世界各国都从</w:t>
      </w:r>
      <w:r w:rsidRPr="00972958">
        <w:rPr>
          <w:szCs w:val="24"/>
          <w:lang w:val="en-US"/>
        </w:rPr>
        <w:t>COVID-19</w:t>
      </w:r>
      <w:r w:rsidRPr="00972958">
        <w:rPr>
          <w:rFonts w:hint="eastAsia"/>
          <w:szCs w:val="24"/>
          <w:lang w:val="zh-CN"/>
        </w:rPr>
        <w:t>大流行中缓慢恢复过来。</w:t>
      </w:r>
      <w:r w:rsidRPr="00972958">
        <w:rPr>
          <w:szCs w:val="24"/>
        </w:rPr>
        <w:t xml:space="preserve"> </w:t>
      </w:r>
    </w:p>
    <w:p w14:paraId="6441216B" w14:textId="77777777" w:rsidR="00EE53AD" w:rsidRPr="00972958" w:rsidRDefault="00EE53AD">
      <w:pPr>
        <w:pStyle w:val="Heading1"/>
        <w:topLinePunct/>
        <w:rPr>
          <w:szCs w:val="24"/>
        </w:rPr>
      </w:pPr>
      <w:r w:rsidRPr="00972958">
        <w:rPr>
          <w:rFonts w:hint="eastAsia"/>
          <w:szCs w:val="24"/>
          <w:lang w:val="zh-CN"/>
        </w:rPr>
        <w:t>对于</w:t>
      </w:r>
      <w:r w:rsidRPr="00972958">
        <w:rPr>
          <w:szCs w:val="24"/>
        </w:rPr>
        <w:t>2024-2026</w:t>
      </w:r>
      <w:r w:rsidRPr="00972958">
        <w:rPr>
          <w:rFonts w:hint="eastAsia"/>
          <w:szCs w:val="24"/>
          <w:lang w:val="zh-CN"/>
        </w:rPr>
        <w:t>年三年期而言</w:t>
      </w:r>
      <w:r w:rsidRPr="00972958">
        <w:rPr>
          <w:rFonts w:hint="eastAsia"/>
          <w:szCs w:val="24"/>
        </w:rPr>
        <w:t>，</w:t>
      </w:r>
      <w:r w:rsidRPr="00972958">
        <w:rPr>
          <w:rFonts w:hint="eastAsia"/>
          <w:szCs w:val="24"/>
          <w:lang w:val="zh-CN"/>
        </w:rPr>
        <w:t>根据调整后的</w:t>
      </w:r>
      <w:r w:rsidRPr="00972958">
        <w:rPr>
          <w:szCs w:val="24"/>
        </w:rPr>
        <w:t>2024-2026</w:t>
      </w:r>
      <w:r w:rsidRPr="00972958">
        <w:rPr>
          <w:rFonts w:hint="eastAsia"/>
          <w:szCs w:val="24"/>
          <w:lang w:val="zh-CN"/>
        </w:rPr>
        <w:t>年业务计划</w:t>
      </w:r>
      <w:r w:rsidRPr="00972958">
        <w:rPr>
          <w:rStyle w:val="FootnoteReference"/>
          <w:szCs w:val="24"/>
          <w:lang w:val="zh-CN"/>
        </w:rPr>
        <w:footnoteReference w:id="8"/>
      </w:r>
      <w:r w:rsidRPr="00972958">
        <w:rPr>
          <w:rFonts w:hint="eastAsia"/>
          <w:szCs w:val="24"/>
        </w:rPr>
        <w:t>，</w:t>
      </w:r>
      <w:r w:rsidRPr="00972958">
        <w:rPr>
          <w:rFonts w:hint="eastAsia"/>
          <w:szCs w:val="24"/>
          <w:lang w:val="zh-CN"/>
        </w:rPr>
        <w:t>项目和活动以及相关的项目支助费用的供资总额估计分别为</w:t>
      </w:r>
      <w:r w:rsidRPr="00972958">
        <w:rPr>
          <w:szCs w:val="24"/>
        </w:rPr>
        <w:t>3.9133</w:t>
      </w:r>
      <w:r w:rsidRPr="00972958">
        <w:rPr>
          <w:rFonts w:hint="eastAsia"/>
          <w:szCs w:val="24"/>
          <w:lang w:val="zh-CN"/>
        </w:rPr>
        <w:t>亿美元和</w:t>
      </w:r>
      <w:r w:rsidRPr="00972958">
        <w:rPr>
          <w:szCs w:val="24"/>
        </w:rPr>
        <w:t>4,733</w:t>
      </w:r>
      <w:r w:rsidRPr="00972958">
        <w:rPr>
          <w:rFonts w:hint="eastAsia"/>
          <w:szCs w:val="24"/>
          <w:lang w:val="zh-CN"/>
        </w:rPr>
        <w:t>万美元。</w:t>
      </w:r>
      <w:r w:rsidRPr="00972958">
        <w:rPr>
          <w:rStyle w:val="FootnoteReference"/>
          <w:szCs w:val="24"/>
          <w:lang w:val="zh-CN"/>
        </w:rPr>
        <w:footnoteReference w:id="9"/>
      </w:r>
      <w:r w:rsidRPr="00972958">
        <w:rPr>
          <w:rFonts w:hint="eastAsia"/>
          <w:szCs w:val="24"/>
          <w:lang w:val="zh-CN"/>
        </w:rPr>
        <w:t>预期这些数字将会增加，因为三年期充资数额达到创纪录的</w:t>
      </w:r>
      <w:r w:rsidRPr="00972958">
        <w:rPr>
          <w:szCs w:val="24"/>
          <w:lang w:val="zh-CN"/>
        </w:rPr>
        <w:t>9.65</w:t>
      </w:r>
      <w:r w:rsidRPr="00972958">
        <w:rPr>
          <w:rFonts w:hint="eastAsia"/>
          <w:szCs w:val="24"/>
          <w:lang w:val="zh-CN"/>
        </w:rPr>
        <w:t>亿美元，计划提交的申请数量将会增加；非维修行业逐步减少氢氟碳化物的费用供资准则以及正在考虑的能源效率等新政策领域将达成一致；由于一些国家最近批准了《基加利修正案》以及其他一些氢氟碳化物消费量高的国家尚未将其基加利氢氟碳化物实施计划的项目纳入</w:t>
      </w:r>
      <w:r w:rsidRPr="00972958">
        <w:rPr>
          <w:szCs w:val="24"/>
          <w:lang w:val="zh-CN"/>
        </w:rPr>
        <w:t>2024-2026</w:t>
      </w:r>
      <w:r w:rsidRPr="00972958">
        <w:rPr>
          <w:rFonts w:hint="eastAsia"/>
          <w:szCs w:val="24"/>
          <w:lang w:val="zh-CN"/>
        </w:rPr>
        <w:t>年业务计划，但很快就会准备这样做。</w:t>
      </w:r>
      <w:r w:rsidRPr="00972958">
        <w:rPr>
          <w:szCs w:val="24"/>
        </w:rPr>
        <w:t xml:space="preserve"> </w:t>
      </w:r>
    </w:p>
    <w:p w14:paraId="31ABEF12" w14:textId="77777777" w:rsidR="00EE53AD" w:rsidRPr="00972958" w:rsidRDefault="00EE53AD">
      <w:pPr>
        <w:pStyle w:val="Heading1"/>
        <w:topLinePunct/>
        <w:rPr>
          <w:szCs w:val="24"/>
        </w:rPr>
      </w:pPr>
      <w:r w:rsidRPr="00972958">
        <w:rPr>
          <w:rFonts w:hint="eastAsia"/>
          <w:szCs w:val="24"/>
          <w:lang w:val="zh-CN"/>
        </w:rPr>
        <w:t>随着为新项目活动供资的增加</w:t>
      </w:r>
      <w:r w:rsidRPr="00972958">
        <w:rPr>
          <w:rFonts w:hint="eastAsia"/>
          <w:szCs w:val="24"/>
        </w:rPr>
        <w:t>，</w:t>
      </w:r>
      <w:r w:rsidRPr="00972958">
        <w:rPr>
          <w:rFonts w:hint="eastAsia"/>
          <w:szCs w:val="24"/>
          <w:lang w:val="zh-CN"/>
        </w:rPr>
        <w:t>为各机构批准的方案支助费用也将会增加。秘书处分析了一种情景</w:t>
      </w:r>
      <w:r w:rsidRPr="00972958">
        <w:rPr>
          <w:rFonts w:hint="eastAsia"/>
          <w:szCs w:val="24"/>
          <w:lang w:val="en-US"/>
        </w:rPr>
        <w:t>，</w:t>
      </w:r>
      <w:r w:rsidRPr="00972958">
        <w:rPr>
          <w:rFonts w:hint="eastAsia"/>
          <w:szCs w:val="24"/>
          <w:lang w:val="zh-CN"/>
        </w:rPr>
        <w:t>这种情景将导致新活动的供资数额比调整后的业务计划中提出的数额高出</w:t>
      </w:r>
      <w:r w:rsidRPr="00972958">
        <w:rPr>
          <w:szCs w:val="24"/>
          <w:lang w:val="en-US"/>
        </w:rPr>
        <w:t>50%</w:t>
      </w:r>
      <w:r w:rsidRPr="00972958">
        <w:rPr>
          <w:rFonts w:hint="eastAsia"/>
          <w:szCs w:val="24"/>
          <w:lang w:val="en-US"/>
        </w:rPr>
        <w:t>；</w:t>
      </w:r>
      <w:r w:rsidRPr="00972958">
        <w:rPr>
          <w:rFonts w:hint="eastAsia"/>
          <w:szCs w:val="24"/>
          <w:lang w:val="zh-CN"/>
        </w:rPr>
        <w:t>与调</w:t>
      </w:r>
      <w:r w:rsidRPr="00972958">
        <w:rPr>
          <w:rFonts w:hint="eastAsia"/>
          <w:szCs w:val="24"/>
          <w:lang w:val="zh-CN"/>
        </w:rPr>
        <w:lastRenderedPageBreak/>
        <w:t>整后的</w:t>
      </w:r>
      <w:r w:rsidRPr="00972958">
        <w:rPr>
          <w:szCs w:val="24"/>
          <w:lang w:val="en-US"/>
        </w:rPr>
        <w:t>2024-2026</w:t>
      </w:r>
      <w:r w:rsidRPr="00972958">
        <w:rPr>
          <w:rFonts w:hint="eastAsia"/>
          <w:szCs w:val="24"/>
          <w:lang w:val="zh-CN"/>
        </w:rPr>
        <w:t>年业务计划中的方案支助费用相比</w:t>
      </w:r>
      <w:r w:rsidRPr="00972958">
        <w:rPr>
          <w:rFonts w:hint="eastAsia"/>
          <w:szCs w:val="24"/>
          <w:lang w:val="en-US"/>
        </w:rPr>
        <w:t>，</w:t>
      </w:r>
      <w:r w:rsidRPr="00972958">
        <w:rPr>
          <w:rFonts w:hint="eastAsia"/>
          <w:szCs w:val="24"/>
          <w:lang w:val="zh-CN"/>
        </w:rPr>
        <w:t>这将导致方案支助费用增加</w:t>
      </w:r>
      <w:r w:rsidRPr="00972958">
        <w:rPr>
          <w:szCs w:val="24"/>
          <w:lang w:val="en-US"/>
        </w:rPr>
        <w:t>603</w:t>
      </w:r>
      <w:r w:rsidRPr="00972958">
        <w:rPr>
          <w:rFonts w:hint="eastAsia"/>
          <w:szCs w:val="24"/>
          <w:lang w:val="zh-CN"/>
        </w:rPr>
        <w:t>万美元。必须指出的是，这些收入的实现取决于提出更多的项目申请和得到批准。</w:t>
      </w:r>
    </w:p>
    <w:p w14:paraId="2BFF6047" w14:textId="77777777" w:rsidR="00EE53AD" w:rsidRPr="00972958" w:rsidRDefault="00EE53AD">
      <w:pPr>
        <w:topLinePunct/>
        <w:rPr>
          <w:b/>
          <w:sz w:val="24"/>
          <w:szCs w:val="24"/>
        </w:rPr>
      </w:pPr>
      <w:r w:rsidRPr="00972958">
        <w:rPr>
          <w:rFonts w:hint="eastAsia"/>
          <w:b/>
          <w:szCs w:val="24"/>
          <w:lang w:val="zh-CN"/>
        </w:rPr>
        <w:t>与多边基金各机构解决逐步减少氢氟碳化物的能力相关的分析</w:t>
      </w:r>
    </w:p>
    <w:p w14:paraId="7F1D5C5B" w14:textId="77777777" w:rsidR="00EE53AD" w:rsidRPr="00972958" w:rsidRDefault="00EE53AD">
      <w:pPr>
        <w:topLinePunct/>
        <w:rPr>
          <w:szCs w:val="24"/>
          <w:u w:val="single"/>
        </w:rPr>
      </w:pPr>
    </w:p>
    <w:p w14:paraId="246D03B9" w14:textId="77777777" w:rsidR="00EE53AD" w:rsidRPr="00972958" w:rsidRDefault="00EE53AD">
      <w:pPr>
        <w:topLinePunct/>
        <w:rPr>
          <w:szCs w:val="24"/>
          <w:u w:val="single"/>
        </w:rPr>
      </w:pPr>
      <w:r w:rsidRPr="00972958">
        <w:rPr>
          <w:rFonts w:hint="eastAsia"/>
          <w:szCs w:val="24"/>
          <w:u w:val="single"/>
          <w:lang w:val="zh-CN"/>
        </w:rPr>
        <w:t>提交第九十一次会议的分析</w:t>
      </w:r>
    </w:p>
    <w:p w14:paraId="0534A302" w14:textId="77777777" w:rsidR="00EE53AD" w:rsidRPr="00972958" w:rsidRDefault="00EE53AD">
      <w:pPr>
        <w:topLinePunct/>
        <w:rPr>
          <w:szCs w:val="24"/>
          <w:u w:val="single"/>
        </w:rPr>
      </w:pPr>
    </w:p>
    <w:p w14:paraId="4F5E2C30" w14:textId="77777777" w:rsidR="00EE53AD" w:rsidRPr="00972958" w:rsidRDefault="00EE53AD">
      <w:pPr>
        <w:pStyle w:val="Heading1"/>
        <w:topLinePunct/>
        <w:rPr>
          <w:szCs w:val="24"/>
        </w:rPr>
      </w:pPr>
      <w:r w:rsidRPr="00972958">
        <w:rPr>
          <w:rFonts w:hint="eastAsia"/>
          <w:szCs w:val="24"/>
          <w:lang w:val="zh-CN"/>
        </w:rPr>
        <w:t>在第九十一次会议上</w:t>
      </w:r>
      <w:r w:rsidRPr="00972958">
        <w:rPr>
          <w:rFonts w:hint="eastAsia"/>
          <w:szCs w:val="24"/>
        </w:rPr>
        <w:t>，</w:t>
      </w:r>
      <w:r w:rsidRPr="00972958">
        <w:rPr>
          <w:rFonts w:hint="eastAsia"/>
          <w:szCs w:val="24"/>
          <w:lang w:val="zh-CN"/>
        </w:rPr>
        <w:t>执行委员会审议了分析多边基金各机构逐步减少氢氟碳化物的能力的</w:t>
      </w:r>
      <w:r w:rsidRPr="00972958">
        <w:rPr>
          <w:szCs w:val="24"/>
        </w:rPr>
        <w:t>UNEP/</w:t>
      </w:r>
      <w:proofErr w:type="spellStart"/>
      <w:r w:rsidRPr="00972958">
        <w:rPr>
          <w:szCs w:val="24"/>
        </w:rPr>
        <w:t>OzL.Pro</w:t>
      </w:r>
      <w:proofErr w:type="spellEnd"/>
      <w:r w:rsidRPr="00972958">
        <w:rPr>
          <w:szCs w:val="24"/>
        </w:rPr>
        <w:t>/ExCom/91/67</w:t>
      </w:r>
      <w:r w:rsidRPr="00972958">
        <w:rPr>
          <w:rFonts w:hint="eastAsia"/>
          <w:szCs w:val="24"/>
          <w:lang w:val="zh-CN"/>
        </w:rPr>
        <w:t>号文件。</w:t>
      </w:r>
      <w:r w:rsidRPr="00972958">
        <w:rPr>
          <w:szCs w:val="24"/>
        </w:rPr>
        <w:t xml:space="preserve">  </w:t>
      </w:r>
    </w:p>
    <w:p w14:paraId="6AD20A92" w14:textId="77777777" w:rsidR="00EE53AD" w:rsidRPr="00972958" w:rsidRDefault="00EE53AD">
      <w:pPr>
        <w:pStyle w:val="Heading1"/>
        <w:topLinePunct/>
        <w:rPr>
          <w:szCs w:val="24"/>
        </w:rPr>
      </w:pPr>
      <w:r w:rsidRPr="00972958">
        <w:rPr>
          <w:rFonts w:hint="eastAsia"/>
          <w:szCs w:val="24"/>
          <w:lang w:val="zh-CN"/>
        </w:rPr>
        <w:t>这份文件在多边基金各机构的能力方面强调了以下几点</w:t>
      </w:r>
      <w:r w:rsidRPr="00972958">
        <w:rPr>
          <w:rFonts w:hint="eastAsia"/>
          <w:szCs w:val="24"/>
        </w:rPr>
        <w:t>：</w:t>
      </w:r>
    </w:p>
    <w:p w14:paraId="16EC7AC7" w14:textId="77777777" w:rsidR="00EE53AD" w:rsidRPr="00972958" w:rsidRDefault="00EE53AD">
      <w:pPr>
        <w:pStyle w:val="Heading2"/>
        <w:topLinePunct/>
        <w:rPr>
          <w:szCs w:val="24"/>
        </w:rPr>
      </w:pPr>
      <w:r w:rsidRPr="00972958">
        <w:rPr>
          <w:rFonts w:hint="eastAsia"/>
          <w:szCs w:val="24"/>
          <w:lang w:val="zh-CN"/>
        </w:rPr>
        <w:t>需要在与逐步减少氢氟碳化物和新兴领域相关的许多领域进行内部能力建设和提供专门性的支持</w:t>
      </w:r>
      <w:r w:rsidRPr="00972958">
        <w:rPr>
          <w:rFonts w:hint="eastAsia"/>
          <w:szCs w:val="24"/>
        </w:rPr>
        <w:t>（</w:t>
      </w:r>
      <w:r w:rsidRPr="00972958">
        <w:rPr>
          <w:rFonts w:hint="eastAsia"/>
          <w:szCs w:val="24"/>
          <w:lang w:val="zh-CN"/>
        </w:rPr>
        <w:t>海关统一代码、数据报告、处理易燃制冷剂的良好维修做法、纳入氢氟碳化物的监测系统、能源效率方面、未使用的受控物质的处置</w:t>
      </w:r>
      <w:r w:rsidRPr="00972958">
        <w:rPr>
          <w:rFonts w:hint="eastAsia"/>
          <w:szCs w:val="24"/>
        </w:rPr>
        <w:t>）</w:t>
      </w:r>
      <w:r w:rsidRPr="00972958">
        <w:rPr>
          <w:rFonts w:hint="eastAsia"/>
          <w:szCs w:val="24"/>
          <w:lang w:val="zh-CN"/>
        </w:rPr>
        <w:t>。在此同时</w:t>
      </w:r>
      <w:r w:rsidRPr="00972958">
        <w:rPr>
          <w:rFonts w:hint="eastAsia"/>
          <w:szCs w:val="24"/>
          <w:lang w:val="en-US"/>
        </w:rPr>
        <w:t>，</w:t>
      </w:r>
      <w:r w:rsidRPr="00972958">
        <w:rPr>
          <w:rFonts w:hint="eastAsia"/>
          <w:szCs w:val="24"/>
          <w:lang w:val="zh-CN"/>
        </w:rPr>
        <w:t>为新挑战制定解决方案也需要与利益攸关方进行大量讨论和协商</w:t>
      </w:r>
      <w:r w:rsidRPr="00972958">
        <w:rPr>
          <w:rFonts w:hint="eastAsia"/>
          <w:szCs w:val="24"/>
          <w:lang w:val="en-US"/>
        </w:rPr>
        <w:t>，</w:t>
      </w:r>
      <w:r w:rsidRPr="00972958">
        <w:rPr>
          <w:rFonts w:hint="eastAsia"/>
          <w:szCs w:val="24"/>
          <w:lang w:val="zh-CN"/>
        </w:rPr>
        <w:t>这需要更多的员工时间</w:t>
      </w:r>
      <w:r w:rsidRPr="00972958">
        <w:rPr>
          <w:rFonts w:hint="eastAsia"/>
          <w:szCs w:val="24"/>
          <w:lang w:val="en-US"/>
        </w:rPr>
        <w:t>；</w:t>
      </w:r>
    </w:p>
    <w:p w14:paraId="092EE1F6" w14:textId="77777777" w:rsidR="00EE53AD" w:rsidRPr="00972958" w:rsidRDefault="00EE53AD">
      <w:pPr>
        <w:pStyle w:val="Heading2"/>
        <w:topLinePunct/>
        <w:rPr>
          <w:szCs w:val="24"/>
        </w:rPr>
      </w:pPr>
      <w:r w:rsidRPr="00972958">
        <w:rPr>
          <w:rFonts w:hint="eastAsia"/>
          <w:szCs w:val="24"/>
          <w:lang w:val="zh-CN"/>
        </w:rPr>
        <w:t>需要将各执行机构蒙特利尔议定书事务股的工作与气候议程进一步联系起来</w:t>
      </w:r>
      <w:r w:rsidRPr="00972958">
        <w:rPr>
          <w:rFonts w:hint="eastAsia"/>
          <w:szCs w:val="24"/>
        </w:rPr>
        <w:t>，</w:t>
      </w:r>
      <w:r w:rsidRPr="00972958">
        <w:rPr>
          <w:rFonts w:hint="eastAsia"/>
          <w:szCs w:val="24"/>
          <w:lang w:val="zh-CN"/>
        </w:rPr>
        <w:t>因此需要将事务股的工作与处理气候和《巴黎协定》相关事务的单位的工作密切协调</w:t>
      </w:r>
      <w:r w:rsidRPr="00972958">
        <w:rPr>
          <w:rFonts w:hint="eastAsia"/>
          <w:szCs w:val="24"/>
        </w:rPr>
        <w:t>，</w:t>
      </w:r>
      <w:r w:rsidRPr="00972958">
        <w:rPr>
          <w:rFonts w:hint="eastAsia"/>
          <w:szCs w:val="24"/>
          <w:lang w:val="zh-CN"/>
        </w:rPr>
        <w:t>并与其组织内的相关领域</w:t>
      </w:r>
      <w:r w:rsidRPr="00972958">
        <w:rPr>
          <w:rFonts w:hint="eastAsia"/>
          <w:szCs w:val="24"/>
        </w:rPr>
        <w:t>（</w:t>
      </w:r>
      <w:r w:rsidRPr="00972958">
        <w:rPr>
          <w:rFonts w:hint="eastAsia"/>
          <w:szCs w:val="24"/>
          <w:lang w:val="zh-CN"/>
        </w:rPr>
        <w:t>可持续制冷、运输、农业、渔业、能源、气候等</w:t>
      </w:r>
      <w:r w:rsidRPr="00972958">
        <w:rPr>
          <w:rFonts w:hint="eastAsia"/>
          <w:szCs w:val="24"/>
        </w:rPr>
        <w:t>）</w:t>
      </w:r>
      <w:r w:rsidRPr="00972958">
        <w:rPr>
          <w:rFonts w:hint="eastAsia"/>
          <w:szCs w:val="24"/>
          <w:lang w:val="zh-CN"/>
        </w:rPr>
        <w:t>建立协同增效作用和合作</w:t>
      </w:r>
      <w:r w:rsidRPr="00972958">
        <w:rPr>
          <w:rFonts w:hint="eastAsia"/>
          <w:szCs w:val="24"/>
        </w:rPr>
        <w:t>；</w:t>
      </w:r>
      <w:r w:rsidRPr="00972958">
        <w:rPr>
          <w:rFonts w:hint="eastAsia"/>
          <w:szCs w:val="24"/>
          <w:lang w:val="zh-CN"/>
        </w:rPr>
        <w:t>和</w:t>
      </w:r>
    </w:p>
    <w:p w14:paraId="669F60A6" w14:textId="77777777" w:rsidR="00EE53AD" w:rsidRPr="00972958" w:rsidRDefault="00EE53AD" w:rsidP="00EE7B66">
      <w:pPr>
        <w:pStyle w:val="Heading2"/>
        <w:topLinePunct/>
        <w:spacing w:after="120"/>
        <w:rPr>
          <w:szCs w:val="24"/>
        </w:rPr>
      </w:pPr>
      <w:r w:rsidRPr="00972958">
        <w:rPr>
          <w:rFonts w:hint="eastAsia"/>
          <w:szCs w:val="24"/>
          <w:lang w:val="zh-CN"/>
        </w:rPr>
        <w:t>为协助低消费量国家开展活动提供技术支持</w:t>
      </w:r>
      <w:r w:rsidRPr="00972958">
        <w:rPr>
          <w:rFonts w:hint="eastAsia"/>
          <w:szCs w:val="24"/>
        </w:rPr>
        <w:t>，</w:t>
      </w:r>
      <w:r w:rsidRPr="00972958">
        <w:rPr>
          <w:rFonts w:hint="eastAsia"/>
          <w:szCs w:val="24"/>
          <w:lang w:val="zh-CN"/>
        </w:rPr>
        <w:t>以实现淘汰氟氯烃、启动基加利氢氟碳化物实施计划和执行其他活动</w:t>
      </w:r>
      <w:r w:rsidRPr="00972958">
        <w:rPr>
          <w:rFonts w:hint="eastAsia"/>
          <w:szCs w:val="24"/>
        </w:rPr>
        <w:t>（</w:t>
      </w:r>
      <w:r w:rsidRPr="00972958">
        <w:rPr>
          <w:rFonts w:hint="eastAsia"/>
          <w:szCs w:val="24"/>
          <w:lang w:val="zh-CN"/>
        </w:rPr>
        <w:t>例如</w:t>
      </w:r>
      <w:r w:rsidRPr="00972958">
        <w:rPr>
          <w:rFonts w:hint="eastAsia"/>
          <w:szCs w:val="24"/>
        </w:rPr>
        <w:t>，</w:t>
      </w:r>
      <w:r w:rsidRPr="00972958">
        <w:rPr>
          <w:rFonts w:hint="eastAsia"/>
          <w:szCs w:val="24"/>
          <w:lang w:val="zh-CN"/>
        </w:rPr>
        <w:t>根据第</w:t>
      </w:r>
      <w:r w:rsidRPr="00972958">
        <w:rPr>
          <w:szCs w:val="24"/>
        </w:rPr>
        <w:t>89/6</w:t>
      </w:r>
      <w:r w:rsidRPr="00972958">
        <w:rPr>
          <w:rFonts w:hint="eastAsia"/>
          <w:szCs w:val="24"/>
          <w:lang w:val="zh-CN"/>
        </w:rPr>
        <w:t>号决定与能源效率有关的项目、编制用过的或不需要的受控物质库存清单</w:t>
      </w:r>
      <w:r w:rsidRPr="00972958">
        <w:rPr>
          <w:rFonts w:hint="eastAsia"/>
          <w:szCs w:val="24"/>
        </w:rPr>
        <w:t>）</w:t>
      </w:r>
      <w:r w:rsidRPr="00972958">
        <w:rPr>
          <w:rFonts w:hint="eastAsia"/>
          <w:szCs w:val="24"/>
          <w:lang w:val="zh-CN"/>
        </w:rPr>
        <w:t>。有必要找到方法</w:t>
      </w:r>
      <w:r w:rsidRPr="00972958">
        <w:rPr>
          <w:rFonts w:hint="eastAsia"/>
          <w:szCs w:val="24"/>
          <w:lang w:val="en-US"/>
        </w:rPr>
        <w:t>，</w:t>
      </w:r>
      <w:r w:rsidRPr="00972958">
        <w:rPr>
          <w:rFonts w:hint="eastAsia"/>
          <w:szCs w:val="24"/>
          <w:lang w:val="zh-CN"/>
        </w:rPr>
        <w:t>特别是在未来六到七年内</w:t>
      </w:r>
      <w:r w:rsidRPr="00972958">
        <w:rPr>
          <w:rFonts w:hint="eastAsia"/>
          <w:szCs w:val="24"/>
          <w:lang w:val="en-US"/>
        </w:rPr>
        <w:t>，</w:t>
      </w:r>
      <w:r w:rsidRPr="00972958">
        <w:rPr>
          <w:rFonts w:hint="eastAsia"/>
          <w:szCs w:val="24"/>
          <w:lang w:val="zh-CN"/>
        </w:rPr>
        <w:t>以加强各机构在向这些国家实施项目时提供的支持。挑战还在于低消费量国家的供资给许多机构带来高昂的交易成本</w:t>
      </w:r>
      <w:r w:rsidRPr="00972958">
        <w:rPr>
          <w:rStyle w:val="FootnoteReference"/>
          <w:szCs w:val="24"/>
          <w:lang w:val="zh-CN"/>
        </w:rPr>
        <w:footnoteReference w:id="10"/>
      </w:r>
      <w:r w:rsidRPr="00972958">
        <w:rPr>
          <w:rFonts w:hint="eastAsia"/>
          <w:szCs w:val="24"/>
          <w:lang w:val="zh-CN"/>
        </w:rPr>
        <w:t>。</w:t>
      </w:r>
      <w:r w:rsidRPr="00972958">
        <w:rPr>
          <w:szCs w:val="24"/>
        </w:rPr>
        <w:t xml:space="preserve"> </w:t>
      </w:r>
    </w:p>
    <w:p w14:paraId="0B4BA8AF" w14:textId="77777777" w:rsidR="00EE53AD" w:rsidRPr="00972958" w:rsidRDefault="00EE53AD" w:rsidP="00EE7B66">
      <w:pPr>
        <w:pStyle w:val="Heading1"/>
        <w:topLinePunct/>
        <w:spacing w:after="120"/>
        <w:rPr>
          <w:szCs w:val="24"/>
        </w:rPr>
      </w:pPr>
      <w:r w:rsidRPr="00972958">
        <w:rPr>
          <w:rFonts w:hint="eastAsia"/>
          <w:szCs w:val="24"/>
          <w:lang w:val="zh-CN"/>
        </w:rPr>
        <w:t>在就加强其能力所开展的活动进行磋商期间</w:t>
      </w:r>
      <w:r w:rsidRPr="00972958">
        <w:rPr>
          <w:rFonts w:hint="eastAsia"/>
          <w:szCs w:val="24"/>
        </w:rPr>
        <w:t>，</w:t>
      </w:r>
      <w:r w:rsidRPr="00972958">
        <w:rPr>
          <w:rFonts w:hint="eastAsia"/>
          <w:szCs w:val="24"/>
          <w:lang w:val="zh-CN"/>
        </w:rPr>
        <w:t>各机构提到</w:t>
      </w:r>
      <w:r w:rsidRPr="00972958">
        <w:rPr>
          <w:rFonts w:hint="eastAsia"/>
          <w:szCs w:val="24"/>
        </w:rPr>
        <w:t>，</w:t>
      </w:r>
      <w:r w:rsidRPr="00972958">
        <w:rPr>
          <w:rFonts w:hint="eastAsia"/>
          <w:szCs w:val="24"/>
          <w:lang w:val="zh-CN"/>
        </w:rPr>
        <w:t>它们正在通过以下各项措施缩短其中一些差距</w:t>
      </w:r>
      <w:r w:rsidRPr="00972958">
        <w:rPr>
          <w:rFonts w:hint="eastAsia"/>
          <w:szCs w:val="24"/>
        </w:rPr>
        <w:t>：</w:t>
      </w:r>
    </w:p>
    <w:p w14:paraId="7092F605" w14:textId="77777777" w:rsidR="00EE53AD" w:rsidRPr="00972958" w:rsidRDefault="00EE53AD" w:rsidP="00EE7B66">
      <w:pPr>
        <w:pStyle w:val="Heading2"/>
        <w:topLinePunct/>
        <w:spacing w:after="120"/>
        <w:rPr>
          <w:szCs w:val="24"/>
        </w:rPr>
      </w:pPr>
      <w:r w:rsidRPr="00972958">
        <w:rPr>
          <w:rFonts w:eastAsia="KaiTi_GB2312" w:hint="eastAsia"/>
          <w:szCs w:val="24"/>
          <w:lang w:val="zh-CN"/>
        </w:rPr>
        <w:t>改变交付和实施机制</w:t>
      </w:r>
      <w:r w:rsidRPr="00972958">
        <w:rPr>
          <w:rFonts w:hint="eastAsia"/>
          <w:szCs w:val="24"/>
          <w:lang w:val="zh-CN"/>
        </w:rPr>
        <w:t>。执行机构正在努力改善其流程、程序和实施机制的效率</w:t>
      </w:r>
      <w:r w:rsidRPr="00972958">
        <w:rPr>
          <w:rFonts w:hint="eastAsia"/>
          <w:szCs w:val="24"/>
        </w:rPr>
        <w:t>，</w:t>
      </w:r>
      <w:r w:rsidRPr="00972958">
        <w:rPr>
          <w:rFonts w:hint="eastAsia"/>
          <w:szCs w:val="24"/>
          <w:lang w:val="zh-CN"/>
        </w:rPr>
        <w:t>以便提高成本效益、减少官僚颟顸、简化流程和程序</w:t>
      </w:r>
      <w:r w:rsidRPr="00972958">
        <w:rPr>
          <w:rFonts w:hint="eastAsia"/>
          <w:szCs w:val="24"/>
        </w:rPr>
        <w:t>，</w:t>
      </w:r>
      <w:r w:rsidRPr="00972958">
        <w:rPr>
          <w:rFonts w:hint="eastAsia"/>
          <w:szCs w:val="24"/>
          <w:lang w:val="zh-CN"/>
        </w:rPr>
        <w:t>例如将多项资金转移合并在一个总括协议中</w:t>
      </w:r>
      <w:r w:rsidRPr="00972958">
        <w:rPr>
          <w:rFonts w:hint="eastAsia"/>
          <w:szCs w:val="24"/>
        </w:rPr>
        <w:t>，</w:t>
      </w:r>
      <w:r w:rsidRPr="00972958">
        <w:rPr>
          <w:rFonts w:hint="eastAsia"/>
          <w:szCs w:val="24"/>
          <w:lang w:val="zh-CN"/>
        </w:rPr>
        <w:t>而不是签署多项协议。各执行机构还通过制定统一规格和与供应商签订长期协议的方式加强设备采购和交付流程</w:t>
      </w:r>
      <w:r w:rsidRPr="00972958">
        <w:rPr>
          <w:rFonts w:hint="eastAsia"/>
          <w:szCs w:val="24"/>
          <w:lang w:val="en-US"/>
        </w:rPr>
        <w:t>，</w:t>
      </w:r>
      <w:r w:rsidRPr="00972958">
        <w:rPr>
          <w:rFonts w:hint="eastAsia"/>
          <w:szCs w:val="24"/>
          <w:lang w:val="zh-CN"/>
        </w:rPr>
        <w:t>从而减少提出多重采购的申请</w:t>
      </w:r>
      <w:r w:rsidRPr="00972958">
        <w:rPr>
          <w:rFonts w:hint="eastAsia"/>
          <w:szCs w:val="24"/>
          <w:lang w:val="en-US"/>
        </w:rPr>
        <w:t>，</w:t>
      </w:r>
      <w:r w:rsidRPr="00972958">
        <w:rPr>
          <w:rFonts w:hint="eastAsia"/>
          <w:szCs w:val="24"/>
          <w:lang w:val="zh-CN"/>
        </w:rPr>
        <w:t>并确保设备更快交付、及时转换和进行培训</w:t>
      </w:r>
      <w:r w:rsidRPr="00972958">
        <w:rPr>
          <w:rFonts w:hint="eastAsia"/>
          <w:szCs w:val="24"/>
          <w:lang w:val="en-US"/>
        </w:rPr>
        <w:t>；</w:t>
      </w:r>
    </w:p>
    <w:p w14:paraId="50F523B6" w14:textId="77777777" w:rsidR="00EE53AD" w:rsidRPr="00972958" w:rsidRDefault="00EE53AD" w:rsidP="00EE7B66">
      <w:pPr>
        <w:pStyle w:val="Heading2"/>
        <w:topLinePunct/>
        <w:spacing w:after="120"/>
        <w:rPr>
          <w:szCs w:val="24"/>
        </w:rPr>
      </w:pPr>
      <w:r w:rsidRPr="00972958">
        <w:rPr>
          <w:rFonts w:eastAsia="KaiTi_GB2312" w:hint="eastAsia"/>
          <w:szCs w:val="24"/>
          <w:lang w:val="zh-CN"/>
        </w:rPr>
        <w:t>与技术专家合作处理与《蒙特利尔议定书》项目有关的专门领域</w:t>
      </w:r>
      <w:r w:rsidRPr="00972958">
        <w:rPr>
          <w:rFonts w:hint="eastAsia"/>
          <w:szCs w:val="24"/>
          <w:lang w:val="zh-CN"/>
        </w:rPr>
        <w:t>。执行机构的核心团队正在通过与其组织内的其他单位的合作和协同</w:t>
      </w:r>
      <w:r w:rsidRPr="00972958">
        <w:rPr>
          <w:rFonts w:hint="eastAsia"/>
          <w:szCs w:val="24"/>
        </w:rPr>
        <w:t>，</w:t>
      </w:r>
      <w:r w:rsidRPr="00972958">
        <w:rPr>
          <w:rFonts w:hint="eastAsia"/>
          <w:szCs w:val="24"/>
          <w:lang w:val="zh-CN"/>
        </w:rPr>
        <w:t>吸纳其机构内已有的专家来得到加强。虽然这被视为是临时解决方案</w:t>
      </w:r>
      <w:r w:rsidRPr="00972958">
        <w:rPr>
          <w:rFonts w:hint="eastAsia"/>
          <w:szCs w:val="24"/>
          <w:lang w:val="en-US"/>
        </w:rPr>
        <w:t>，</w:t>
      </w:r>
      <w:r w:rsidRPr="00972958">
        <w:rPr>
          <w:rFonts w:hint="eastAsia"/>
          <w:szCs w:val="24"/>
          <w:lang w:val="zh-CN"/>
        </w:rPr>
        <w:t>但这帮助了执行机构解决目前对专业知识和能力的需求。预计参加技术研讨会</w:t>
      </w:r>
      <w:r w:rsidRPr="00972958">
        <w:rPr>
          <w:szCs w:val="24"/>
          <w:lang w:val="en-US"/>
        </w:rPr>
        <w:t>/</w:t>
      </w:r>
      <w:r w:rsidRPr="00972958">
        <w:rPr>
          <w:rFonts w:hint="eastAsia"/>
          <w:szCs w:val="24"/>
          <w:lang w:val="zh-CN"/>
        </w:rPr>
        <w:t>会议以及与组织内处理其他新领域</w:t>
      </w:r>
      <w:r w:rsidRPr="00972958">
        <w:rPr>
          <w:rFonts w:hint="eastAsia"/>
          <w:szCs w:val="24"/>
          <w:lang w:val="en-US"/>
        </w:rPr>
        <w:t>（</w:t>
      </w:r>
      <w:r w:rsidRPr="00972958">
        <w:rPr>
          <w:rFonts w:hint="eastAsia"/>
          <w:szCs w:val="24"/>
          <w:lang w:val="zh-CN"/>
        </w:rPr>
        <w:t>例如</w:t>
      </w:r>
      <w:r w:rsidRPr="00972958">
        <w:rPr>
          <w:rFonts w:hint="eastAsia"/>
          <w:szCs w:val="24"/>
          <w:lang w:val="en-US"/>
        </w:rPr>
        <w:t>，</w:t>
      </w:r>
      <w:r w:rsidRPr="00972958">
        <w:rPr>
          <w:rFonts w:hint="eastAsia"/>
          <w:szCs w:val="24"/>
          <w:lang w:val="zh-CN"/>
        </w:rPr>
        <w:t>能源效率</w:t>
      </w:r>
      <w:r w:rsidRPr="00972958">
        <w:rPr>
          <w:rFonts w:hint="eastAsia"/>
          <w:szCs w:val="24"/>
          <w:lang w:val="en-US"/>
        </w:rPr>
        <w:t>）</w:t>
      </w:r>
      <w:r w:rsidRPr="00972958">
        <w:rPr>
          <w:rFonts w:hint="eastAsia"/>
          <w:szCs w:val="24"/>
          <w:lang w:val="zh-CN"/>
        </w:rPr>
        <w:t>的单位进行协调也会在一段时间后加强工作人员的能力以及与机构内其他团队的合作。</w:t>
      </w:r>
      <w:r w:rsidRPr="00972958">
        <w:rPr>
          <w:szCs w:val="24"/>
        </w:rPr>
        <w:t xml:space="preserve">  </w:t>
      </w:r>
    </w:p>
    <w:p w14:paraId="6767EDBB" w14:textId="77777777" w:rsidR="00EE53AD" w:rsidRPr="00972958" w:rsidRDefault="00EE53AD">
      <w:pPr>
        <w:keepNext/>
        <w:topLinePunct/>
        <w:rPr>
          <w:b/>
          <w:sz w:val="24"/>
          <w:szCs w:val="24"/>
        </w:rPr>
      </w:pPr>
      <w:r w:rsidRPr="00972958">
        <w:rPr>
          <w:rFonts w:hint="eastAsia"/>
          <w:b/>
          <w:szCs w:val="24"/>
          <w:lang w:val="zh-CN"/>
        </w:rPr>
        <w:lastRenderedPageBreak/>
        <w:t>秘书处对各执行机构所需支持的看法</w:t>
      </w:r>
    </w:p>
    <w:p w14:paraId="19181F5D" w14:textId="77777777" w:rsidR="00EE53AD" w:rsidRPr="00972958" w:rsidRDefault="00EE53AD">
      <w:pPr>
        <w:keepNext/>
        <w:topLinePunct/>
        <w:rPr>
          <w:b/>
          <w:szCs w:val="24"/>
        </w:rPr>
      </w:pPr>
    </w:p>
    <w:p w14:paraId="4D77F300" w14:textId="77777777" w:rsidR="00EE53AD" w:rsidRPr="00972958" w:rsidRDefault="00EE53AD">
      <w:pPr>
        <w:pStyle w:val="Heading1"/>
        <w:numPr>
          <w:ilvl w:val="0"/>
          <w:numId w:val="0"/>
        </w:numPr>
        <w:topLinePunct/>
        <w:rPr>
          <w:b/>
          <w:szCs w:val="24"/>
        </w:rPr>
      </w:pPr>
      <w:r w:rsidRPr="00972958">
        <w:rPr>
          <w:rFonts w:hint="eastAsia"/>
          <w:b/>
          <w:szCs w:val="24"/>
          <w:lang w:val="zh-CN"/>
        </w:rPr>
        <w:t>下一个三年期的需要</w:t>
      </w:r>
    </w:p>
    <w:p w14:paraId="0DB21408" w14:textId="77777777" w:rsidR="00EE53AD" w:rsidRPr="00972958" w:rsidRDefault="00EE53AD">
      <w:pPr>
        <w:pStyle w:val="Heading1"/>
        <w:topLinePunct/>
        <w:rPr>
          <w:szCs w:val="24"/>
        </w:rPr>
      </w:pPr>
      <w:r w:rsidRPr="00972958">
        <w:rPr>
          <w:rFonts w:hint="eastAsia"/>
          <w:szCs w:val="24"/>
          <w:lang w:val="zh-CN"/>
        </w:rPr>
        <w:t>在下一个三年期</w:t>
      </w:r>
      <w:r w:rsidRPr="00972958">
        <w:rPr>
          <w:rFonts w:hint="eastAsia"/>
          <w:szCs w:val="24"/>
        </w:rPr>
        <w:t>，</w:t>
      </w:r>
      <w:r w:rsidRPr="00972958">
        <w:rPr>
          <w:rFonts w:hint="eastAsia"/>
          <w:szCs w:val="24"/>
          <w:lang w:val="zh-CN"/>
        </w:rPr>
        <w:t>有关氟氯烃淘汰管理计划、基加利氢氟碳化物实施计划、能源效率试点项目供资窗口以及关于处置消耗臭氧层物质有关的项目活动都需要在各国规划、准备和实施。国家臭氧机构</w:t>
      </w:r>
      <w:r w:rsidRPr="00972958">
        <w:rPr>
          <w:rFonts w:hint="eastAsia"/>
          <w:szCs w:val="24"/>
          <w:lang w:val="en-US"/>
        </w:rPr>
        <w:t>（</w:t>
      </w:r>
      <w:r w:rsidRPr="00972958">
        <w:rPr>
          <w:szCs w:val="24"/>
          <w:lang w:val="en-US"/>
        </w:rPr>
        <w:t>NOU</w:t>
      </w:r>
      <w:r w:rsidRPr="00972958">
        <w:rPr>
          <w:rFonts w:hint="eastAsia"/>
          <w:szCs w:val="24"/>
          <w:lang w:val="en-US"/>
        </w:rPr>
        <w:t>）</w:t>
      </w:r>
      <w:r w:rsidRPr="00972958">
        <w:rPr>
          <w:rFonts w:hint="eastAsia"/>
          <w:szCs w:val="24"/>
          <w:lang w:val="zh-CN"/>
        </w:rPr>
        <w:t>实施项目的国家能力需要仔细加以评估</w:t>
      </w:r>
      <w:r w:rsidRPr="00972958">
        <w:rPr>
          <w:rFonts w:hint="eastAsia"/>
          <w:szCs w:val="24"/>
          <w:lang w:val="en-US"/>
        </w:rPr>
        <w:t>，</w:t>
      </w:r>
      <w:r w:rsidRPr="00972958">
        <w:rPr>
          <w:rFonts w:hint="eastAsia"/>
          <w:szCs w:val="24"/>
          <w:lang w:val="zh-CN"/>
        </w:rPr>
        <w:t>相关的管理流程也需要以符合成本效益和综合实施的方式加以执行。这反过来又会对机构能力建设需求产生影响</w:t>
      </w:r>
      <w:r w:rsidRPr="00972958">
        <w:rPr>
          <w:rFonts w:hint="eastAsia"/>
          <w:szCs w:val="24"/>
          <w:lang w:val="en-US"/>
        </w:rPr>
        <w:t>，</w:t>
      </w:r>
      <w:r w:rsidRPr="00972958">
        <w:rPr>
          <w:rFonts w:hint="eastAsia"/>
          <w:szCs w:val="24"/>
          <w:lang w:val="zh-CN"/>
        </w:rPr>
        <w:t>以便为各国在下一个三年期实施项目提供支持。</w:t>
      </w:r>
      <w:r w:rsidRPr="00972958">
        <w:rPr>
          <w:szCs w:val="24"/>
        </w:rPr>
        <w:t xml:space="preserve">  </w:t>
      </w:r>
    </w:p>
    <w:p w14:paraId="03B71FE5" w14:textId="77777777" w:rsidR="00EE53AD" w:rsidRPr="00972958" w:rsidRDefault="00EE53AD">
      <w:pPr>
        <w:pStyle w:val="Heading1"/>
        <w:topLinePunct/>
        <w:rPr>
          <w:szCs w:val="24"/>
        </w:rPr>
      </w:pPr>
      <w:r w:rsidRPr="00972958">
        <w:rPr>
          <w:rFonts w:hint="eastAsia"/>
          <w:szCs w:val="24"/>
          <w:lang w:val="zh-CN"/>
        </w:rPr>
        <w:t>各机构还普遍表示</w:t>
      </w:r>
      <w:r w:rsidRPr="00972958">
        <w:rPr>
          <w:rFonts w:hint="eastAsia"/>
          <w:szCs w:val="24"/>
        </w:rPr>
        <w:t>，</w:t>
      </w:r>
      <w:r w:rsidRPr="00972958">
        <w:rPr>
          <w:rFonts w:hint="eastAsia"/>
          <w:szCs w:val="24"/>
          <w:lang w:val="zh-CN"/>
        </w:rPr>
        <w:t>低消费量国家面临挑战</w:t>
      </w:r>
      <w:r w:rsidRPr="00972958">
        <w:rPr>
          <w:rFonts w:hint="eastAsia"/>
          <w:szCs w:val="24"/>
        </w:rPr>
        <w:t>，</w:t>
      </w:r>
      <w:r w:rsidRPr="00972958">
        <w:rPr>
          <w:rFonts w:hint="eastAsia"/>
          <w:szCs w:val="24"/>
          <w:lang w:val="zh-CN"/>
        </w:rPr>
        <w:t>对它们需要特别关注</w:t>
      </w:r>
      <w:r w:rsidRPr="00972958">
        <w:rPr>
          <w:rFonts w:hint="eastAsia"/>
          <w:szCs w:val="24"/>
        </w:rPr>
        <w:t>，</w:t>
      </w:r>
      <w:r w:rsidRPr="00972958">
        <w:rPr>
          <w:rFonts w:hint="eastAsia"/>
          <w:szCs w:val="24"/>
          <w:lang w:val="zh-CN"/>
        </w:rPr>
        <w:t>以确保系统地和顺利地实施与《蒙特利尔议定书》相关的各项活动。虽然实施大型项目的规模经济也可能为支持低消费量国家的机构提供一些资源</w:t>
      </w:r>
      <w:r w:rsidRPr="00972958">
        <w:rPr>
          <w:rFonts w:hint="eastAsia"/>
          <w:szCs w:val="24"/>
          <w:lang w:val="en-US"/>
        </w:rPr>
        <w:t>（</w:t>
      </w:r>
      <w:r w:rsidRPr="00972958">
        <w:rPr>
          <w:rFonts w:hint="eastAsia"/>
          <w:szCs w:val="24"/>
          <w:lang w:val="zh-CN"/>
        </w:rPr>
        <w:t>例如</w:t>
      </w:r>
      <w:r w:rsidRPr="00972958">
        <w:rPr>
          <w:rFonts w:hint="eastAsia"/>
          <w:szCs w:val="24"/>
          <w:lang w:val="en-US"/>
        </w:rPr>
        <w:t>，</w:t>
      </w:r>
      <w:r w:rsidRPr="00972958">
        <w:rPr>
          <w:rFonts w:hint="eastAsia"/>
          <w:szCs w:val="24"/>
          <w:lang w:val="zh-CN"/>
        </w:rPr>
        <w:t>在氟氯烃淘汰管理计划实施期间</w:t>
      </w:r>
      <w:r w:rsidRPr="00972958">
        <w:rPr>
          <w:rFonts w:hint="eastAsia"/>
          <w:szCs w:val="24"/>
          <w:lang w:val="en-US"/>
        </w:rPr>
        <w:t>），</w:t>
      </w:r>
      <w:r w:rsidRPr="00972958">
        <w:rPr>
          <w:rFonts w:hint="eastAsia"/>
          <w:szCs w:val="24"/>
          <w:lang w:val="zh-CN"/>
        </w:rPr>
        <w:t>但需要为低消费量国家提供更专门的支持。在与各机构的磋商中</w:t>
      </w:r>
      <w:r w:rsidRPr="00972958">
        <w:rPr>
          <w:rFonts w:hint="eastAsia"/>
          <w:szCs w:val="24"/>
          <w:lang w:val="en-US"/>
        </w:rPr>
        <w:t>，</w:t>
      </w:r>
      <w:r w:rsidRPr="00972958">
        <w:rPr>
          <w:rFonts w:hint="eastAsia"/>
          <w:szCs w:val="24"/>
          <w:lang w:val="zh-CN"/>
        </w:rPr>
        <w:t>有人指出</w:t>
      </w:r>
      <w:r w:rsidRPr="00972958">
        <w:rPr>
          <w:rFonts w:hint="eastAsia"/>
          <w:szCs w:val="24"/>
          <w:lang w:val="en-US"/>
        </w:rPr>
        <w:t>，</w:t>
      </w:r>
      <w:r w:rsidRPr="00972958">
        <w:rPr>
          <w:rFonts w:hint="eastAsia"/>
          <w:szCs w:val="24"/>
          <w:lang w:val="zh-CN"/>
        </w:rPr>
        <w:t>虽然有履约协助方案和其他机构提供的支持</w:t>
      </w:r>
      <w:r w:rsidRPr="00972958">
        <w:rPr>
          <w:rFonts w:hint="eastAsia"/>
          <w:szCs w:val="24"/>
          <w:lang w:val="en-US"/>
        </w:rPr>
        <w:t>，</w:t>
      </w:r>
      <w:r w:rsidRPr="00972958">
        <w:rPr>
          <w:rFonts w:hint="eastAsia"/>
          <w:szCs w:val="24"/>
          <w:lang w:val="zh-CN"/>
        </w:rPr>
        <w:t>但低消费量国家的人力和机构资源有限</w:t>
      </w:r>
      <w:r w:rsidRPr="00972958">
        <w:rPr>
          <w:rFonts w:hint="eastAsia"/>
          <w:szCs w:val="24"/>
          <w:lang w:val="en-US"/>
        </w:rPr>
        <w:t>，</w:t>
      </w:r>
      <w:r w:rsidRPr="00972958">
        <w:rPr>
          <w:rFonts w:hint="eastAsia"/>
          <w:szCs w:val="24"/>
          <w:lang w:val="zh-CN"/>
        </w:rPr>
        <w:t>且经济规模较小</w:t>
      </w:r>
      <w:r w:rsidRPr="00972958">
        <w:rPr>
          <w:rFonts w:hint="eastAsia"/>
          <w:szCs w:val="24"/>
          <w:lang w:val="en-US"/>
        </w:rPr>
        <w:t>，</w:t>
      </w:r>
      <w:r w:rsidRPr="00972958">
        <w:rPr>
          <w:rFonts w:hint="eastAsia"/>
          <w:szCs w:val="24"/>
          <w:lang w:val="zh-CN"/>
        </w:rPr>
        <w:t>许多地处偏远</w:t>
      </w:r>
      <w:r w:rsidRPr="00972958">
        <w:rPr>
          <w:rFonts w:hint="eastAsia"/>
          <w:szCs w:val="24"/>
          <w:lang w:val="en-US"/>
        </w:rPr>
        <w:t>，</w:t>
      </w:r>
      <w:r w:rsidRPr="00972958">
        <w:rPr>
          <w:rFonts w:hint="eastAsia"/>
          <w:szCs w:val="24"/>
          <w:lang w:val="zh-CN"/>
        </w:rPr>
        <w:t>因此</w:t>
      </w:r>
      <w:r w:rsidRPr="00972958">
        <w:rPr>
          <w:rFonts w:hint="eastAsia"/>
          <w:szCs w:val="24"/>
          <w:lang w:val="en-US"/>
        </w:rPr>
        <w:t>，</w:t>
      </w:r>
      <w:r w:rsidRPr="00972958">
        <w:rPr>
          <w:rFonts w:hint="eastAsia"/>
          <w:szCs w:val="24"/>
          <w:lang w:val="zh-CN"/>
        </w:rPr>
        <w:t>它们是维修行业大量消费量的</w:t>
      </w:r>
      <w:r w:rsidRPr="00972958">
        <w:rPr>
          <w:szCs w:val="24"/>
          <w:lang w:val="en-US"/>
        </w:rPr>
        <w:t>“</w:t>
      </w:r>
      <w:r w:rsidRPr="00972958">
        <w:rPr>
          <w:rFonts w:hint="eastAsia"/>
          <w:szCs w:val="24"/>
          <w:lang w:val="zh-CN"/>
        </w:rPr>
        <w:t>技术接受者</w:t>
      </w:r>
      <w:r w:rsidRPr="00972958">
        <w:rPr>
          <w:szCs w:val="24"/>
          <w:lang w:val="en-US"/>
        </w:rPr>
        <w:t>”</w:t>
      </w:r>
      <w:r w:rsidRPr="00972958">
        <w:rPr>
          <w:rFonts w:hint="eastAsia"/>
          <w:szCs w:val="24"/>
          <w:lang w:val="zh-CN"/>
        </w:rPr>
        <w:t>。强调了向机构提供资源的重要性</w:t>
      </w:r>
      <w:r w:rsidRPr="00972958">
        <w:rPr>
          <w:rFonts w:hint="eastAsia"/>
          <w:szCs w:val="24"/>
          <w:lang w:val="en-US"/>
        </w:rPr>
        <w:t>，</w:t>
      </w:r>
      <w:r w:rsidRPr="00972958">
        <w:rPr>
          <w:rFonts w:hint="eastAsia"/>
          <w:szCs w:val="24"/>
          <w:lang w:val="zh-CN"/>
        </w:rPr>
        <w:t>以便对项目管理提供支持以及提供技术和政策建议。</w:t>
      </w:r>
    </w:p>
    <w:p w14:paraId="234F5562" w14:textId="77777777" w:rsidR="00EE53AD" w:rsidRPr="00972958" w:rsidRDefault="00EE53AD">
      <w:pPr>
        <w:pStyle w:val="Heading1"/>
        <w:topLinePunct/>
        <w:rPr>
          <w:szCs w:val="24"/>
        </w:rPr>
      </w:pPr>
      <w:r w:rsidRPr="00972958">
        <w:rPr>
          <w:rFonts w:hint="eastAsia"/>
          <w:szCs w:val="24"/>
          <w:lang w:val="zh-CN"/>
        </w:rPr>
        <w:t>各机构需要在充资决定</w:t>
      </w:r>
      <w:r w:rsidRPr="00972958">
        <w:rPr>
          <w:rStyle w:val="FootnoteReference"/>
          <w:szCs w:val="24"/>
          <w:lang w:val="zh-CN"/>
        </w:rPr>
        <w:footnoteReference w:id="11"/>
      </w:r>
      <w:r w:rsidRPr="00972958">
        <w:rPr>
          <w:rFonts w:hint="eastAsia"/>
          <w:szCs w:val="24"/>
          <w:lang w:val="zh-CN"/>
        </w:rPr>
        <w:t>的范围内分配资源来规划项目并满足国家需求</w:t>
      </w:r>
      <w:r w:rsidRPr="00972958">
        <w:rPr>
          <w:rFonts w:hint="eastAsia"/>
          <w:szCs w:val="24"/>
        </w:rPr>
        <w:t>，</w:t>
      </w:r>
      <w:r w:rsidRPr="00972958">
        <w:rPr>
          <w:rFonts w:hint="eastAsia"/>
          <w:szCs w:val="24"/>
          <w:lang w:val="zh-CN"/>
        </w:rPr>
        <w:t>以及应对下一个三年期活动的增加。这将包括增加人员</w:t>
      </w:r>
      <w:r w:rsidRPr="00972958">
        <w:rPr>
          <w:rFonts w:hint="eastAsia"/>
          <w:szCs w:val="24"/>
          <w:lang w:val="en-US"/>
        </w:rPr>
        <w:t>（</w:t>
      </w:r>
      <w:r w:rsidRPr="00972958">
        <w:rPr>
          <w:rFonts w:hint="eastAsia"/>
          <w:szCs w:val="24"/>
          <w:lang w:val="zh-CN"/>
        </w:rPr>
        <w:t>例如</w:t>
      </w:r>
      <w:r w:rsidRPr="00972958">
        <w:rPr>
          <w:rFonts w:hint="eastAsia"/>
          <w:szCs w:val="24"/>
          <w:lang w:val="en-US"/>
        </w:rPr>
        <w:t>，</w:t>
      </w:r>
      <w:r w:rsidRPr="00972958">
        <w:rPr>
          <w:rFonts w:hint="eastAsia"/>
          <w:szCs w:val="24"/>
          <w:lang w:val="zh-CN"/>
        </w:rPr>
        <w:t>项目管理人员、学科专家</w:t>
      </w:r>
      <w:r w:rsidRPr="00972958">
        <w:rPr>
          <w:rFonts w:hint="eastAsia"/>
          <w:szCs w:val="24"/>
          <w:lang w:val="en-US"/>
        </w:rPr>
        <w:t>），</w:t>
      </w:r>
      <w:r w:rsidRPr="00972958">
        <w:rPr>
          <w:rFonts w:hint="eastAsia"/>
          <w:szCs w:val="24"/>
          <w:lang w:val="zh-CN"/>
        </w:rPr>
        <w:t>为项目开发和实施提供支持</w:t>
      </w:r>
      <w:r w:rsidRPr="00972958">
        <w:rPr>
          <w:rFonts w:hint="eastAsia"/>
          <w:szCs w:val="24"/>
          <w:lang w:val="en-US"/>
        </w:rPr>
        <w:t>，</w:t>
      </w:r>
      <w:r w:rsidRPr="00972958">
        <w:rPr>
          <w:rFonts w:hint="eastAsia"/>
          <w:szCs w:val="24"/>
          <w:lang w:val="zh-CN"/>
        </w:rPr>
        <w:t>并加强各机构工作人员在与项目相关的不同技术、政策和实施方面的能力。在另一方面</w:t>
      </w:r>
      <w:r w:rsidRPr="00972958">
        <w:rPr>
          <w:rFonts w:hint="eastAsia"/>
          <w:szCs w:val="24"/>
          <w:lang w:val="en-US"/>
        </w:rPr>
        <w:t>，</w:t>
      </w:r>
      <w:r w:rsidRPr="00972958">
        <w:rPr>
          <w:rFonts w:hint="eastAsia"/>
          <w:szCs w:val="24"/>
          <w:lang w:val="zh-CN"/>
        </w:rPr>
        <w:t>增加为不同活动批准的项目供资将提供额外的项目相关资源</w:t>
      </w:r>
      <w:r w:rsidRPr="00972958">
        <w:rPr>
          <w:rFonts w:hint="eastAsia"/>
          <w:szCs w:val="24"/>
          <w:lang w:val="en-US"/>
        </w:rPr>
        <w:t>（</w:t>
      </w:r>
      <w:r w:rsidRPr="00972958">
        <w:rPr>
          <w:rFonts w:hint="eastAsia"/>
          <w:szCs w:val="24"/>
          <w:lang w:val="zh-CN"/>
        </w:rPr>
        <w:t>例如</w:t>
      </w:r>
      <w:r w:rsidRPr="00972958">
        <w:rPr>
          <w:rFonts w:hint="eastAsia"/>
          <w:szCs w:val="24"/>
          <w:lang w:val="en-US"/>
        </w:rPr>
        <w:t>，</w:t>
      </w:r>
      <w:r w:rsidRPr="00972958">
        <w:rPr>
          <w:rFonts w:hint="eastAsia"/>
          <w:szCs w:val="24"/>
          <w:lang w:val="zh-CN"/>
        </w:rPr>
        <w:t>实施项目的技术援助、具体项目活动的技术顾问和整体项目管理</w:t>
      </w:r>
      <w:r w:rsidRPr="00972958">
        <w:rPr>
          <w:rFonts w:hint="eastAsia"/>
          <w:szCs w:val="24"/>
          <w:lang w:val="en-US"/>
        </w:rPr>
        <w:t>）</w:t>
      </w:r>
      <w:r w:rsidRPr="00972958">
        <w:rPr>
          <w:rFonts w:hint="eastAsia"/>
          <w:szCs w:val="24"/>
          <w:lang w:val="zh-CN"/>
        </w:rPr>
        <w:t>以及与批准的供资相关的额外行政支助费用。</w:t>
      </w:r>
    </w:p>
    <w:p w14:paraId="358B4521" w14:textId="77777777" w:rsidR="00EE53AD" w:rsidRPr="00972958" w:rsidRDefault="00EE53AD">
      <w:pPr>
        <w:pStyle w:val="Heading1"/>
        <w:topLinePunct/>
        <w:rPr>
          <w:szCs w:val="24"/>
        </w:rPr>
      </w:pPr>
      <w:r w:rsidRPr="00972958">
        <w:rPr>
          <w:rFonts w:hint="eastAsia"/>
          <w:szCs w:val="24"/>
          <w:lang w:val="zh-CN"/>
        </w:rPr>
        <w:t>根据与各机构的磋商以及对上述因素的分析</w:t>
      </w:r>
      <w:r w:rsidRPr="00972958">
        <w:rPr>
          <w:rFonts w:hint="eastAsia"/>
          <w:szCs w:val="24"/>
        </w:rPr>
        <w:t>，</w:t>
      </w:r>
      <w:r w:rsidRPr="00972958">
        <w:rPr>
          <w:rFonts w:hint="eastAsia"/>
          <w:szCs w:val="24"/>
          <w:lang w:val="zh-CN"/>
        </w:rPr>
        <w:t>执行机构在两个领域需要更多支持</w:t>
      </w:r>
      <w:r w:rsidRPr="00972958">
        <w:rPr>
          <w:rFonts w:hint="eastAsia"/>
          <w:szCs w:val="24"/>
        </w:rPr>
        <w:t>：</w:t>
      </w:r>
      <w:r w:rsidRPr="00972958">
        <w:rPr>
          <w:szCs w:val="24"/>
        </w:rPr>
        <w:t xml:space="preserve">(a) </w:t>
      </w:r>
      <w:r w:rsidRPr="00972958">
        <w:rPr>
          <w:rFonts w:hint="eastAsia"/>
          <w:szCs w:val="24"/>
          <w:lang w:val="zh-CN"/>
        </w:rPr>
        <w:t>加强所有国家的技术能力</w:t>
      </w:r>
      <w:r w:rsidRPr="00972958">
        <w:rPr>
          <w:rFonts w:hint="eastAsia"/>
          <w:szCs w:val="24"/>
        </w:rPr>
        <w:t>；</w:t>
      </w:r>
      <w:r w:rsidRPr="00972958">
        <w:rPr>
          <w:szCs w:val="24"/>
        </w:rPr>
        <w:t xml:space="preserve">(b) </w:t>
      </w:r>
      <w:r w:rsidRPr="00972958">
        <w:rPr>
          <w:rFonts w:hint="eastAsia"/>
          <w:szCs w:val="24"/>
          <w:lang w:val="zh-CN"/>
        </w:rPr>
        <w:t>加强低消费量国家项目的技术和管理支持。</w:t>
      </w:r>
      <w:r w:rsidRPr="00972958">
        <w:rPr>
          <w:szCs w:val="24"/>
        </w:rPr>
        <w:t xml:space="preserve"> </w:t>
      </w:r>
    </w:p>
    <w:p w14:paraId="3AE7C321" w14:textId="77777777" w:rsidR="00EE53AD" w:rsidRPr="00972958" w:rsidRDefault="00EE53AD">
      <w:pPr>
        <w:topLinePunct/>
        <w:rPr>
          <w:b/>
          <w:szCs w:val="24"/>
        </w:rPr>
      </w:pPr>
      <w:r w:rsidRPr="00972958">
        <w:rPr>
          <w:rFonts w:hint="eastAsia"/>
          <w:b/>
          <w:szCs w:val="24"/>
          <w:lang w:val="zh-CN"/>
        </w:rPr>
        <w:t>加强机构的技术能力</w:t>
      </w:r>
    </w:p>
    <w:p w14:paraId="68358F0B" w14:textId="77777777" w:rsidR="00EE53AD" w:rsidRPr="00972958" w:rsidRDefault="00EE53AD">
      <w:pPr>
        <w:topLinePunct/>
        <w:rPr>
          <w:szCs w:val="24"/>
          <w:u w:val="single"/>
        </w:rPr>
      </w:pPr>
    </w:p>
    <w:p w14:paraId="69BD92D4" w14:textId="77777777" w:rsidR="00EE53AD" w:rsidRPr="00972958" w:rsidRDefault="00EE53AD">
      <w:pPr>
        <w:topLinePunct/>
        <w:rPr>
          <w:szCs w:val="24"/>
          <w:u w:val="single"/>
        </w:rPr>
      </w:pPr>
      <w:r w:rsidRPr="00972958">
        <w:rPr>
          <w:rFonts w:hint="eastAsia"/>
          <w:szCs w:val="24"/>
          <w:u w:val="single"/>
          <w:lang w:val="zh-CN"/>
        </w:rPr>
        <w:t>核心单位</w:t>
      </w:r>
    </w:p>
    <w:p w14:paraId="28B6B632" w14:textId="77777777" w:rsidR="00EE53AD" w:rsidRPr="00972958" w:rsidRDefault="00EE53AD">
      <w:pPr>
        <w:topLinePunct/>
        <w:rPr>
          <w:szCs w:val="24"/>
          <w:u w:val="single"/>
        </w:rPr>
      </w:pPr>
    </w:p>
    <w:p w14:paraId="04785437" w14:textId="77777777" w:rsidR="00EE53AD" w:rsidRPr="00972958" w:rsidRDefault="00EE53AD">
      <w:pPr>
        <w:pStyle w:val="Heading1"/>
        <w:topLinePunct/>
        <w:rPr>
          <w:szCs w:val="24"/>
        </w:rPr>
      </w:pPr>
      <w:r w:rsidRPr="00972958">
        <w:rPr>
          <w:rFonts w:hint="eastAsia"/>
          <w:szCs w:val="24"/>
          <w:lang w:val="zh-CN"/>
        </w:rPr>
        <w:t>正如第</w:t>
      </w:r>
      <w:r w:rsidRPr="00972958">
        <w:rPr>
          <w:szCs w:val="24"/>
        </w:rPr>
        <w:t>17</w:t>
      </w:r>
      <w:r w:rsidRPr="00972958">
        <w:rPr>
          <w:rFonts w:hint="eastAsia"/>
          <w:szCs w:val="24"/>
          <w:lang w:val="zh-CN"/>
        </w:rPr>
        <w:t>段所解释的那样</w:t>
      </w:r>
      <w:r w:rsidRPr="00972958">
        <w:rPr>
          <w:rFonts w:hint="eastAsia"/>
          <w:szCs w:val="24"/>
        </w:rPr>
        <w:t>，</w:t>
      </w:r>
      <w:r w:rsidRPr="00972958">
        <w:rPr>
          <w:rFonts w:hint="eastAsia"/>
          <w:szCs w:val="24"/>
          <w:lang w:val="zh-CN"/>
        </w:rPr>
        <w:t>需要资源来建设各机构的能力</w:t>
      </w:r>
      <w:r w:rsidRPr="00972958">
        <w:rPr>
          <w:rFonts w:hint="eastAsia"/>
          <w:szCs w:val="24"/>
        </w:rPr>
        <w:t>，</w:t>
      </w:r>
      <w:r w:rsidRPr="00972958">
        <w:rPr>
          <w:rFonts w:hint="eastAsia"/>
          <w:szCs w:val="24"/>
          <w:lang w:val="zh-CN"/>
        </w:rPr>
        <w:t>因为需要增加人员来支持下一个三年期项目的制定和实施。为此</w:t>
      </w:r>
      <w:r w:rsidRPr="00972958">
        <w:rPr>
          <w:rFonts w:hint="eastAsia"/>
          <w:szCs w:val="24"/>
          <w:lang w:val="en-US"/>
        </w:rPr>
        <w:t>，</w:t>
      </w:r>
      <w:r w:rsidRPr="00972958">
        <w:rPr>
          <w:rFonts w:hint="eastAsia"/>
          <w:szCs w:val="24"/>
          <w:lang w:val="zh-CN"/>
        </w:rPr>
        <w:t>建议从</w:t>
      </w:r>
      <w:r w:rsidRPr="00972958">
        <w:rPr>
          <w:szCs w:val="24"/>
          <w:lang w:val="en-US"/>
        </w:rPr>
        <w:t>2024</w:t>
      </w:r>
      <w:r w:rsidRPr="00972958">
        <w:rPr>
          <w:rFonts w:hint="eastAsia"/>
          <w:szCs w:val="24"/>
          <w:lang w:val="zh-CN"/>
        </w:rPr>
        <w:t>年开始</w:t>
      </w:r>
      <w:r w:rsidRPr="00972958">
        <w:rPr>
          <w:rFonts w:hint="eastAsia"/>
          <w:szCs w:val="24"/>
          <w:lang w:val="en-US"/>
        </w:rPr>
        <w:t>，</w:t>
      </w:r>
      <w:r w:rsidRPr="00972958">
        <w:rPr>
          <w:rFonts w:hint="eastAsia"/>
          <w:szCs w:val="24"/>
          <w:lang w:val="zh-CN"/>
        </w:rPr>
        <w:t>在</w:t>
      </w:r>
      <w:r w:rsidRPr="00972958">
        <w:rPr>
          <w:szCs w:val="24"/>
          <w:lang w:val="en-US"/>
        </w:rPr>
        <w:t>2024-2026</w:t>
      </w:r>
      <w:r w:rsidRPr="00972958">
        <w:rPr>
          <w:rFonts w:hint="eastAsia"/>
          <w:szCs w:val="24"/>
          <w:lang w:val="zh-CN"/>
        </w:rPr>
        <w:t>年三年期的核心单位费用中</w:t>
      </w:r>
      <w:r w:rsidRPr="00972958">
        <w:rPr>
          <w:rFonts w:hint="eastAsia"/>
          <w:szCs w:val="24"/>
          <w:lang w:val="en-US"/>
        </w:rPr>
        <w:t>，</w:t>
      </w:r>
      <w:r w:rsidRPr="00972958">
        <w:rPr>
          <w:rFonts w:hint="eastAsia"/>
          <w:szCs w:val="24"/>
          <w:lang w:val="zh-CN"/>
        </w:rPr>
        <w:t>为每个机构编列每年</w:t>
      </w:r>
      <w:r w:rsidRPr="00972958">
        <w:rPr>
          <w:szCs w:val="24"/>
          <w:lang w:val="en-US"/>
        </w:rPr>
        <w:t>20</w:t>
      </w:r>
      <w:r w:rsidRPr="00972958">
        <w:rPr>
          <w:rFonts w:hint="eastAsia"/>
          <w:szCs w:val="24"/>
          <w:lang w:val="zh-CN"/>
        </w:rPr>
        <w:t>万美元的额外资金</w:t>
      </w:r>
      <w:r w:rsidRPr="00972958">
        <w:rPr>
          <w:rFonts w:hint="eastAsia"/>
          <w:szCs w:val="24"/>
          <w:lang w:val="en-US"/>
        </w:rPr>
        <w:t>，</w:t>
      </w:r>
      <w:r w:rsidRPr="00972958">
        <w:rPr>
          <w:rStyle w:val="FootnoteReference"/>
          <w:szCs w:val="24"/>
          <w:lang w:val="zh-CN"/>
        </w:rPr>
        <w:footnoteReference w:id="12"/>
      </w:r>
      <w:r w:rsidRPr="00972958">
        <w:rPr>
          <w:rFonts w:hint="eastAsia"/>
          <w:szCs w:val="24"/>
          <w:lang w:val="zh-CN"/>
        </w:rPr>
        <w:t>以加强开发署、工发组织和世界银行的能力</w:t>
      </w:r>
      <w:r w:rsidRPr="00972958">
        <w:rPr>
          <w:rFonts w:hint="eastAsia"/>
          <w:szCs w:val="24"/>
          <w:lang w:val="en-US"/>
        </w:rPr>
        <w:t>，</w:t>
      </w:r>
      <w:r w:rsidRPr="00972958">
        <w:rPr>
          <w:rFonts w:hint="eastAsia"/>
          <w:szCs w:val="24"/>
          <w:lang w:val="zh-CN"/>
        </w:rPr>
        <w:t>使其能应对工作量的增加</w:t>
      </w:r>
      <w:r w:rsidRPr="00972958">
        <w:rPr>
          <w:rFonts w:hint="eastAsia"/>
          <w:szCs w:val="24"/>
          <w:lang w:val="en-US"/>
        </w:rPr>
        <w:t>，</w:t>
      </w:r>
      <w:r w:rsidRPr="00972958">
        <w:rPr>
          <w:rFonts w:hint="eastAsia"/>
          <w:szCs w:val="24"/>
          <w:lang w:val="zh-CN"/>
        </w:rPr>
        <w:t>并使其能从项目开发开始</w:t>
      </w:r>
      <w:r w:rsidRPr="00972958">
        <w:rPr>
          <w:rFonts w:hint="eastAsia"/>
          <w:szCs w:val="24"/>
          <w:lang w:val="en-US"/>
        </w:rPr>
        <w:t>，</w:t>
      </w:r>
      <w:r w:rsidRPr="00972958">
        <w:rPr>
          <w:rFonts w:hint="eastAsia"/>
          <w:szCs w:val="24"/>
          <w:lang w:val="zh-CN"/>
        </w:rPr>
        <w:t>在整个项目周期为第</w:t>
      </w:r>
      <w:r w:rsidRPr="00972958">
        <w:rPr>
          <w:szCs w:val="24"/>
          <w:lang w:val="en-US"/>
        </w:rPr>
        <w:t>5</w:t>
      </w:r>
      <w:r w:rsidRPr="00972958">
        <w:rPr>
          <w:rFonts w:hint="eastAsia"/>
          <w:szCs w:val="24"/>
          <w:lang w:val="zh-CN"/>
        </w:rPr>
        <w:t>条国家提供支持。这笔额外资金将导致</w:t>
      </w:r>
      <w:r w:rsidRPr="00972958">
        <w:rPr>
          <w:szCs w:val="24"/>
          <w:lang w:val="zh-CN"/>
        </w:rPr>
        <w:t>2024-2026</w:t>
      </w:r>
      <w:r w:rsidRPr="00972958">
        <w:rPr>
          <w:rFonts w:hint="eastAsia"/>
          <w:szCs w:val="24"/>
          <w:lang w:val="zh-CN"/>
        </w:rPr>
        <w:t>三年期核心单位产生约</w:t>
      </w:r>
      <w:r w:rsidRPr="00972958">
        <w:rPr>
          <w:szCs w:val="24"/>
          <w:lang w:val="zh-CN"/>
        </w:rPr>
        <w:t>180</w:t>
      </w:r>
      <w:r w:rsidRPr="00972958">
        <w:rPr>
          <w:rFonts w:hint="eastAsia"/>
          <w:szCs w:val="24"/>
          <w:lang w:val="zh-CN"/>
        </w:rPr>
        <w:t>万美元的额外费用。</w:t>
      </w:r>
    </w:p>
    <w:p w14:paraId="1743705D" w14:textId="77777777" w:rsidR="00EE53AD" w:rsidRPr="00972958" w:rsidRDefault="00EE53AD">
      <w:pPr>
        <w:topLinePunct/>
        <w:rPr>
          <w:szCs w:val="24"/>
          <w:u w:val="single"/>
        </w:rPr>
      </w:pPr>
      <w:r w:rsidRPr="00972958">
        <w:rPr>
          <w:rFonts w:hint="eastAsia"/>
          <w:szCs w:val="24"/>
          <w:u w:val="single"/>
          <w:lang w:val="zh-CN"/>
        </w:rPr>
        <w:t>低消费量国家的方案支助费用</w:t>
      </w:r>
    </w:p>
    <w:p w14:paraId="113A63F9" w14:textId="77777777" w:rsidR="00EE53AD" w:rsidRPr="00972958" w:rsidRDefault="00EE53AD">
      <w:pPr>
        <w:topLinePunct/>
        <w:rPr>
          <w:szCs w:val="24"/>
        </w:rPr>
      </w:pPr>
    </w:p>
    <w:p w14:paraId="081A062D" w14:textId="77777777" w:rsidR="00EE53AD" w:rsidRPr="00972958" w:rsidRDefault="00EE53AD">
      <w:pPr>
        <w:pStyle w:val="Heading1"/>
        <w:topLinePunct/>
        <w:rPr>
          <w:szCs w:val="24"/>
        </w:rPr>
      </w:pPr>
      <w:bookmarkStart w:id="3" w:name="_Hlk151573304"/>
      <w:r w:rsidRPr="00972958">
        <w:rPr>
          <w:rFonts w:hint="eastAsia"/>
          <w:szCs w:val="24"/>
          <w:lang w:val="zh-CN"/>
        </w:rPr>
        <w:t>关于方案支助费用</w:t>
      </w:r>
      <w:r w:rsidRPr="00972958">
        <w:rPr>
          <w:rFonts w:hint="eastAsia"/>
          <w:szCs w:val="24"/>
        </w:rPr>
        <w:t>，</w:t>
      </w:r>
      <w:r w:rsidRPr="00972958">
        <w:rPr>
          <w:rFonts w:hint="eastAsia"/>
          <w:szCs w:val="24"/>
          <w:lang w:val="zh-CN"/>
        </w:rPr>
        <w:t>在与各机构的讨论中</w:t>
      </w:r>
      <w:r w:rsidRPr="00972958">
        <w:rPr>
          <w:rFonts w:hint="eastAsia"/>
          <w:szCs w:val="24"/>
        </w:rPr>
        <w:t>，</w:t>
      </w:r>
      <w:r w:rsidRPr="00972958">
        <w:rPr>
          <w:rFonts w:hint="eastAsia"/>
          <w:szCs w:val="24"/>
          <w:lang w:val="zh-CN"/>
        </w:rPr>
        <w:t>强调了减少方案支助费用水平将难以向低消费量国家提供援助。有鉴于此</w:t>
      </w:r>
      <w:r w:rsidRPr="00972958">
        <w:rPr>
          <w:rFonts w:hint="eastAsia"/>
          <w:szCs w:val="24"/>
          <w:lang w:val="en-US"/>
        </w:rPr>
        <w:t>，</w:t>
      </w:r>
      <w:r w:rsidRPr="00972958">
        <w:rPr>
          <w:rFonts w:hint="eastAsia"/>
          <w:szCs w:val="24"/>
          <w:lang w:val="zh-CN"/>
        </w:rPr>
        <w:t>秘书处分析了</w:t>
      </w:r>
      <w:r w:rsidRPr="00972958">
        <w:rPr>
          <w:szCs w:val="24"/>
          <w:lang w:val="en-US"/>
        </w:rPr>
        <w:t>2024-2026</w:t>
      </w:r>
      <w:r w:rsidRPr="00972958">
        <w:rPr>
          <w:rFonts w:hint="eastAsia"/>
          <w:szCs w:val="24"/>
          <w:lang w:val="zh-CN"/>
        </w:rPr>
        <w:t>年三年期向低消费量国家的基加利氢氟碳化物实施计划增加方案支助费用的情景。根据目前的情况，这将意味着开发署和工发组织的方案支助费用从</w:t>
      </w:r>
      <w:r w:rsidRPr="00972958">
        <w:rPr>
          <w:szCs w:val="24"/>
          <w:lang w:val="zh-CN"/>
        </w:rPr>
        <w:t>7%</w:t>
      </w:r>
      <w:r w:rsidRPr="00972958">
        <w:rPr>
          <w:rFonts w:hint="eastAsia"/>
          <w:szCs w:val="24"/>
          <w:lang w:val="zh-CN"/>
        </w:rPr>
        <w:t>或</w:t>
      </w:r>
      <w:r w:rsidRPr="00972958">
        <w:rPr>
          <w:szCs w:val="24"/>
          <w:lang w:val="zh-CN"/>
        </w:rPr>
        <w:t>9%</w:t>
      </w:r>
      <w:r w:rsidRPr="00972958">
        <w:rPr>
          <w:rStyle w:val="FootnoteReference"/>
          <w:szCs w:val="24"/>
          <w:lang w:val="zh-CN"/>
        </w:rPr>
        <w:footnoteReference w:id="13"/>
      </w:r>
      <w:r w:rsidRPr="00972958">
        <w:rPr>
          <w:rFonts w:hint="eastAsia"/>
          <w:szCs w:val="24"/>
          <w:lang w:val="zh-CN"/>
        </w:rPr>
        <w:t>增加到</w:t>
      </w:r>
      <w:r w:rsidRPr="00972958">
        <w:rPr>
          <w:szCs w:val="24"/>
          <w:lang w:val="zh-CN"/>
        </w:rPr>
        <w:t>13%</w:t>
      </w:r>
      <w:r w:rsidRPr="00972958">
        <w:rPr>
          <w:rStyle w:val="FootnoteReference"/>
          <w:szCs w:val="24"/>
          <w:lang w:val="zh-CN"/>
        </w:rPr>
        <w:footnoteReference w:id="14"/>
      </w:r>
      <w:r w:rsidRPr="00972958">
        <w:rPr>
          <w:rFonts w:hint="eastAsia"/>
          <w:szCs w:val="24"/>
          <w:lang w:val="zh-CN"/>
        </w:rPr>
        <w:t>。表</w:t>
      </w:r>
      <w:r w:rsidRPr="00972958">
        <w:rPr>
          <w:szCs w:val="24"/>
          <w:lang w:val="zh-CN"/>
        </w:rPr>
        <w:t>3</w:t>
      </w:r>
      <w:r w:rsidRPr="00972958">
        <w:rPr>
          <w:rFonts w:hint="eastAsia"/>
          <w:szCs w:val="24"/>
          <w:lang w:val="zh-CN"/>
        </w:rPr>
        <w:t>总结了这项分析。</w:t>
      </w:r>
    </w:p>
    <w:bookmarkEnd w:id="3"/>
    <w:p w14:paraId="696BA118" w14:textId="77777777" w:rsidR="00EE53AD" w:rsidRPr="00972958" w:rsidRDefault="00EE53AD">
      <w:pPr>
        <w:keepNext/>
        <w:topLinePunct/>
        <w:rPr>
          <w:b/>
          <w:szCs w:val="24"/>
        </w:rPr>
      </w:pPr>
      <w:r w:rsidRPr="00972958">
        <w:rPr>
          <w:rFonts w:hint="eastAsia"/>
          <w:b/>
          <w:szCs w:val="24"/>
          <w:lang w:val="zh-CN"/>
        </w:rPr>
        <w:lastRenderedPageBreak/>
        <w:t>表</w:t>
      </w:r>
      <w:r w:rsidRPr="00972958">
        <w:rPr>
          <w:b/>
          <w:szCs w:val="24"/>
        </w:rPr>
        <w:t>3</w:t>
      </w:r>
      <w:r w:rsidRPr="00972958">
        <w:rPr>
          <w:rFonts w:hint="eastAsia"/>
          <w:b/>
          <w:szCs w:val="24"/>
        </w:rPr>
        <w:t>：</w:t>
      </w:r>
      <w:r w:rsidRPr="00972958">
        <w:rPr>
          <w:b/>
          <w:szCs w:val="24"/>
        </w:rPr>
        <w:t xml:space="preserve">   </w:t>
      </w:r>
      <w:r w:rsidRPr="00972958">
        <w:rPr>
          <w:rFonts w:hint="eastAsia"/>
          <w:b/>
          <w:szCs w:val="24"/>
          <w:lang w:val="zh-CN"/>
        </w:rPr>
        <w:t>对低消费量国家基加利氢氟碳化物实施计划方案支助费用增加到</w:t>
      </w:r>
      <w:r w:rsidRPr="00972958">
        <w:rPr>
          <w:b/>
          <w:szCs w:val="24"/>
        </w:rPr>
        <w:t>13%</w:t>
      </w:r>
      <w:r w:rsidRPr="00972958">
        <w:rPr>
          <w:rFonts w:hint="eastAsia"/>
          <w:b/>
          <w:szCs w:val="24"/>
          <w:lang w:val="zh-CN"/>
        </w:rPr>
        <w:t>的分析</w:t>
      </w:r>
      <w:r w:rsidRPr="00972958">
        <w:rPr>
          <w:rFonts w:hint="eastAsia"/>
          <w:b/>
          <w:szCs w:val="24"/>
        </w:rPr>
        <w:t>（</w:t>
      </w:r>
      <w:r w:rsidRPr="00972958">
        <w:rPr>
          <w:rFonts w:hint="eastAsia"/>
          <w:b/>
          <w:szCs w:val="24"/>
          <w:lang w:val="zh-CN"/>
        </w:rPr>
        <w:t>美元</w:t>
      </w:r>
      <w:r w:rsidRPr="00972958">
        <w:rPr>
          <w:rFonts w:hint="eastAsia"/>
          <w:b/>
          <w:szCs w:val="24"/>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615"/>
        <w:gridCol w:w="1770"/>
        <w:gridCol w:w="1770"/>
        <w:gridCol w:w="1770"/>
        <w:gridCol w:w="2520"/>
      </w:tblGrid>
      <w:tr w:rsidR="00EE53AD" w14:paraId="4230D67A" w14:textId="77777777">
        <w:trPr>
          <w:trHeight w:val="638"/>
        </w:trPr>
        <w:tc>
          <w:tcPr>
            <w:tcW w:w="1615" w:type="dxa"/>
            <w:tcMar>
              <w:top w:w="0" w:type="dxa"/>
              <w:left w:w="108" w:type="dxa"/>
              <w:bottom w:w="0" w:type="dxa"/>
              <w:right w:w="108" w:type="dxa"/>
            </w:tcMar>
            <w:vAlign w:val="center"/>
          </w:tcPr>
          <w:p w14:paraId="61101120" w14:textId="77777777" w:rsidR="00EE53AD" w:rsidRPr="00B05567" w:rsidRDefault="00EE53AD">
            <w:pPr>
              <w:keepNext/>
              <w:topLinePunct/>
              <w:jc w:val="center"/>
              <w:rPr>
                <w:szCs w:val="24"/>
              </w:rPr>
            </w:pPr>
            <w:r w:rsidRPr="00B05567">
              <w:rPr>
                <w:rFonts w:hint="eastAsia"/>
                <w:b/>
                <w:sz w:val="20"/>
                <w:szCs w:val="24"/>
                <w:lang w:val="zh-CN"/>
              </w:rPr>
              <w:t>详情</w:t>
            </w:r>
          </w:p>
        </w:tc>
        <w:tc>
          <w:tcPr>
            <w:tcW w:w="1770" w:type="dxa"/>
            <w:noWrap/>
            <w:tcMar>
              <w:top w:w="0" w:type="dxa"/>
              <w:left w:w="108" w:type="dxa"/>
              <w:bottom w:w="0" w:type="dxa"/>
              <w:right w:w="108" w:type="dxa"/>
            </w:tcMar>
            <w:vAlign w:val="center"/>
          </w:tcPr>
          <w:p w14:paraId="406DD8AF" w14:textId="77777777" w:rsidR="00EE53AD" w:rsidRPr="00B05567" w:rsidRDefault="00EE53AD">
            <w:pPr>
              <w:keepNext/>
              <w:topLinePunct/>
              <w:jc w:val="center"/>
              <w:rPr>
                <w:szCs w:val="24"/>
              </w:rPr>
            </w:pPr>
            <w:r w:rsidRPr="00B05567">
              <w:rPr>
                <w:rFonts w:hint="eastAsia"/>
                <w:b/>
                <w:sz w:val="20"/>
                <w:szCs w:val="24"/>
                <w:lang w:val="zh-CN"/>
              </w:rPr>
              <w:t>项目费用</w:t>
            </w:r>
          </w:p>
        </w:tc>
        <w:tc>
          <w:tcPr>
            <w:tcW w:w="1770" w:type="dxa"/>
            <w:vAlign w:val="center"/>
          </w:tcPr>
          <w:p w14:paraId="511E862B" w14:textId="77777777" w:rsidR="00EE53AD" w:rsidRPr="00B05567" w:rsidRDefault="00EE53AD">
            <w:pPr>
              <w:keepNext/>
              <w:topLinePunct/>
              <w:jc w:val="center"/>
              <w:rPr>
                <w:szCs w:val="24"/>
              </w:rPr>
            </w:pPr>
            <w:r w:rsidRPr="00B05567">
              <w:rPr>
                <w:b/>
                <w:sz w:val="20"/>
                <w:szCs w:val="24"/>
                <w:lang w:val="zh-CN"/>
              </w:rPr>
              <w:t>2024-2026</w:t>
            </w:r>
            <w:r w:rsidRPr="00B05567">
              <w:rPr>
                <w:rFonts w:hint="eastAsia"/>
                <w:b/>
                <w:sz w:val="20"/>
                <w:szCs w:val="24"/>
                <w:lang w:val="zh-CN"/>
              </w:rPr>
              <w:t>年调整后的业务计划的方案支助费用</w:t>
            </w:r>
          </w:p>
        </w:tc>
        <w:tc>
          <w:tcPr>
            <w:tcW w:w="1770" w:type="dxa"/>
            <w:vAlign w:val="center"/>
          </w:tcPr>
          <w:p w14:paraId="1B0DFC3C" w14:textId="77777777" w:rsidR="00EE53AD" w:rsidRPr="00B05567" w:rsidRDefault="00EE53AD">
            <w:pPr>
              <w:keepNext/>
              <w:topLinePunct/>
              <w:jc w:val="center"/>
              <w:rPr>
                <w:szCs w:val="24"/>
              </w:rPr>
            </w:pPr>
            <w:r w:rsidRPr="00B05567">
              <w:rPr>
                <w:rFonts w:hint="eastAsia"/>
                <w:b/>
                <w:sz w:val="20"/>
                <w:szCs w:val="24"/>
                <w:lang w:val="zh-CN"/>
              </w:rPr>
              <w:t>方案支助费用（</w:t>
            </w:r>
            <w:r w:rsidRPr="00B05567">
              <w:rPr>
                <w:b/>
                <w:sz w:val="20"/>
                <w:szCs w:val="24"/>
                <w:lang w:val="zh-CN"/>
              </w:rPr>
              <w:t>13%</w:t>
            </w:r>
            <w:r w:rsidRPr="00B05567">
              <w:rPr>
                <w:rFonts w:hint="eastAsia"/>
                <w:b/>
                <w:sz w:val="20"/>
                <w:szCs w:val="24"/>
                <w:lang w:val="zh-CN"/>
              </w:rPr>
              <w:t>）</w:t>
            </w:r>
          </w:p>
        </w:tc>
        <w:tc>
          <w:tcPr>
            <w:tcW w:w="2520" w:type="dxa"/>
            <w:vAlign w:val="center"/>
          </w:tcPr>
          <w:p w14:paraId="029250C2" w14:textId="77777777" w:rsidR="00EE53AD" w:rsidRPr="00B05567" w:rsidRDefault="00EE53AD">
            <w:pPr>
              <w:keepNext/>
              <w:topLinePunct/>
              <w:jc w:val="center"/>
              <w:rPr>
                <w:szCs w:val="24"/>
              </w:rPr>
            </w:pPr>
            <w:r w:rsidRPr="00B05567">
              <w:rPr>
                <w:rFonts w:hint="eastAsia"/>
                <w:b/>
                <w:sz w:val="20"/>
                <w:szCs w:val="24"/>
                <w:lang w:val="zh-CN"/>
              </w:rPr>
              <w:t>与</w:t>
            </w:r>
            <w:r w:rsidRPr="00B05567">
              <w:rPr>
                <w:b/>
                <w:sz w:val="20"/>
                <w:szCs w:val="24"/>
                <w:lang w:val="zh-CN"/>
              </w:rPr>
              <w:t>2024-2026</w:t>
            </w:r>
            <w:r w:rsidRPr="00B05567">
              <w:rPr>
                <w:rFonts w:hint="eastAsia"/>
                <w:b/>
                <w:sz w:val="20"/>
                <w:szCs w:val="24"/>
                <w:lang w:val="zh-CN"/>
              </w:rPr>
              <w:t>年调整后的业务计划的方案支助费用比较的差异</w:t>
            </w:r>
          </w:p>
        </w:tc>
      </w:tr>
      <w:tr w:rsidR="00EE53AD" w14:paraId="38A5B470" w14:textId="77777777">
        <w:trPr>
          <w:trHeight w:val="258"/>
        </w:trPr>
        <w:tc>
          <w:tcPr>
            <w:tcW w:w="1615" w:type="dxa"/>
            <w:noWrap/>
            <w:vAlign w:val="bottom"/>
          </w:tcPr>
          <w:p w14:paraId="66A0E268" w14:textId="77777777" w:rsidR="00EE53AD" w:rsidRPr="00B05567" w:rsidRDefault="00EE53AD">
            <w:pPr>
              <w:keepNext/>
              <w:topLinePunct/>
              <w:rPr>
                <w:szCs w:val="24"/>
              </w:rPr>
            </w:pPr>
            <w:r w:rsidRPr="00B05567">
              <w:rPr>
                <w:rFonts w:hint="eastAsia"/>
                <w:sz w:val="20"/>
                <w:szCs w:val="24"/>
                <w:lang w:val="zh-CN"/>
              </w:rPr>
              <w:t>开发署</w:t>
            </w:r>
          </w:p>
        </w:tc>
        <w:tc>
          <w:tcPr>
            <w:tcW w:w="1770" w:type="dxa"/>
            <w:tcBorders>
              <w:left w:val="nil"/>
            </w:tcBorders>
            <w:noWrap/>
            <w:tcMar>
              <w:top w:w="0" w:type="dxa"/>
              <w:left w:w="115" w:type="dxa"/>
              <w:bottom w:w="0" w:type="dxa"/>
              <w:right w:w="115" w:type="dxa"/>
            </w:tcMar>
          </w:tcPr>
          <w:p w14:paraId="451AA9B1" w14:textId="77777777" w:rsidR="00EE53AD" w:rsidRPr="00B05567" w:rsidRDefault="00EE53AD">
            <w:pPr>
              <w:keepNext/>
              <w:topLinePunct/>
              <w:jc w:val="right"/>
              <w:rPr>
                <w:sz w:val="20"/>
                <w:szCs w:val="24"/>
              </w:rPr>
            </w:pPr>
            <w:r w:rsidRPr="00B05567">
              <w:rPr>
                <w:sz w:val="20"/>
                <w:szCs w:val="24"/>
              </w:rPr>
              <w:t>1,679,201</w:t>
            </w:r>
          </w:p>
        </w:tc>
        <w:tc>
          <w:tcPr>
            <w:tcW w:w="1770" w:type="dxa"/>
            <w:noWrap/>
            <w:tcMar>
              <w:top w:w="0" w:type="dxa"/>
              <w:left w:w="108" w:type="dxa"/>
              <w:bottom w:w="0" w:type="dxa"/>
              <w:right w:w="108" w:type="dxa"/>
            </w:tcMar>
            <w:vAlign w:val="bottom"/>
          </w:tcPr>
          <w:p w14:paraId="2AECB315" w14:textId="77777777" w:rsidR="00EE53AD" w:rsidRPr="00B05567" w:rsidRDefault="00EE53AD">
            <w:pPr>
              <w:keepNext/>
              <w:topLinePunct/>
              <w:jc w:val="right"/>
              <w:rPr>
                <w:sz w:val="20"/>
                <w:szCs w:val="24"/>
              </w:rPr>
            </w:pPr>
            <w:r w:rsidRPr="00B05567">
              <w:rPr>
                <w:sz w:val="20"/>
                <w:szCs w:val="24"/>
              </w:rPr>
              <w:t>130,623</w:t>
            </w:r>
          </w:p>
        </w:tc>
        <w:tc>
          <w:tcPr>
            <w:tcW w:w="1770" w:type="dxa"/>
            <w:tcMar>
              <w:left w:w="115" w:type="dxa"/>
              <w:right w:w="115" w:type="dxa"/>
            </w:tcMar>
          </w:tcPr>
          <w:p w14:paraId="559F06EB" w14:textId="77777777" w:rsidR="00EE53AD" w:rsidRPr="00B05567" w:rsidRDefault="00EE53AD">
            <w:pPr>
              <w:keepNext/>
              <w:topLinePunct/>
              <w:jc w:val="right"/>
              <w:rPr>
                <w:sz w:val="20"/>
                <w:szCs w:val="24"/>
              </w:rPr>
            </w:pPr>
            <w:r w:rsidRPr="00B05567">
              <w:rPr>
                <w:sz w:val="20"/>
                <w:szCs w:val="24"/>
              </w:rPr>
              <w:t>218,296</w:t>
            </w:r>
          </w:p>
        </w:tc>
        <w:tc>
          <w:tcPr>
            <w:tcW w:w="2520" w:type="dxa"/>
            <w:tcMar>
              <w:left w:w="115" w:type="dxa"/>
              <w:right w:w="115" w:type="dxa"/>
            </w:tcMar>
            <w:vAlign w:val="bottom"/>
          </w:tcPr>
          <w:p w14:paraId="50D93A7D" w14:textId="77777777" w:rsidR="00EE53AD" w:rsidRPr="00B05567" w:rsidRDefault="00EE53AD">
            <w:pPr>
              <w:keepNext/>
              <w:topLinePunct/>
              <w:jc w:val="right"/>
              <w:rPr>
                <w:sz w:val="20"/>
                <w:szCs w:val="24"/>
              </w:rPr>
            </w:pPr>
            <w:r w:rsidRPr="00B05567">
              <w:rPr>
                <w:sz w:val="20"/>
                <w:szCs w:val="24"/>
              </w:rPr>
              <w:t>87,673</w:t>
            </w:r>
          </w:p>
        </w:tc>
      </w:tr>
      <w:tr w:rsidR="00EE53AD" w14:paraId="4E6B588D" w14:textId="77777777">
        <w:trPr>
          <w:trHeight w:val="258"/>
        </w:trPr>
        <w:tc>
          <w:tcPr>
            <w:tcW w:w="1615" w:type="dxa"/>
            <w:noWrap/>
            <w:vAlign w:val="bottom"/>
          </w:tcPr>
          <w:p w14:paraId="4807FD29" w14:textId="77777777" w:rsidR="00EE53AD" w:rsidRPr="00B05567" w:rsidRDefault="00EE53AD">
            <w:pPr>
              <w:keepNext/>
              <w:topLinePunct/>
              <w:rPr>
                <w:szCs w:val="24"/>
              </w:rPr>
            </w:pPr>
            <w:r w:rsidRPr="00B05567">
              <w:rPr>
                <w:rFonts w:hint="eastAsia"/>
                <w:sz w:val="20"/>
                <w:szCs w:val="24"/>
                <w:lang w:val="zh-CN"/>
              </w:rPr>
              <w:t>工发组织</w:t>
            </w:r>
          </w:p>
        </w:tc>
        <w:tc>
          <w:tcPr>
            <w:tcW w:w="1770" w:type="dxa"/>
            <w:tcBorders>
              <w:left w:val="nil"/>
            </w:tcBorders>
            <w:noWrap/>
            <w:tcMar>
              <w:top w:w="0" w:type="dxa"/>
              <w:left w:w="115" w:type="dxa"/>
              <w:bottom w:w="0" w:type="dxa"/>
              <w:right w:w="115" w:type="dxa"/>
            </w:tcMar>
          </w:tcPr>
          <w:p w14:paraId="7587EAE1" w14:textId="77777777" w:rsidR="00EE53AD" w:rsidRPr="00B05567" w:rsidRDefault="00EE53AD">
            <w:pPr>
              <w:keepNext/>
              <w:topLinePunct/>
              <w:jc w:val="right"/>
              <w:rPr>
                <w:sz w:val="20"/>
                <w:szCs w:val="24"/>
              </w:rPr>
            </w:pPr>
            <w:r w:rsidRPr="00B05567">
              <w:rPr>
                <w:sz w:val="20"/>
                <w:szCs w:val="24"/>
              </w:rPr>
              <w:t>5,140,016</w:t>
            </w:r>
          </w:p>
        </w:tc>
        <w:tc>
          <w:tcPr>
            <w:tcW w:w="1770" w:type="dxa"/>
            <w:noWrap/>
            <w:tcMar>
              <w:top w:w="0" w:type="dxa"/>
              <w:left w:w="108" w:type="dxa"/>
              <w:bottom w:w="0" w:type="dxa"/>
              <w:right w:w="108" w:type="dxa"/>
            </w:tcMar>
            <w:vAlign w:val="bottom"/>
          </w:tcPr>
          <w:p w14:paraId="7A4AA389" w14:textId="77777777" w:rsidR="00EE53AD" w:rsidRPr="00B05567" w:rsidRDefault="00EE53AD">
            <w:pPr>
              <w:keepNext/>
              <w:topLinePunct/>
              <w:jc w:val="right"/>
              <w:rPr>
                <w:sz w:val="20"/>
                <w:szCs w:val="24"/>
              </w:rPr>
            </w:pPr>
            <w:r w:rsidRPr="00B05567">
              <w:rPr>
                <w:sz w:val="20"/>
                <w:szCs w:val="24"/>
              </w:rPr>
              <w:t>384,051</w:t>
            </w:r>
          </w:p>
        </w:tc>
        <w:tc>
          <w:tcPr>
            <w:tcW w:w="1770" w:type="dxa"/>
            <w:tcMar>
              <w:left w:w="115" w:type="dxa"/>
              <w:right w:w="115" w:type="dxa"/>
            </w:tcMar>
          </w:tcPr>
          <w:p w14:paraId="1C70AAE5" w14:textId="77777777" w:rsidR="00EE53AD" w:rsidRPr="00B05567" w:rsidRDefault="00EE53AD">
            <w:pPr>
              <w:keepNext/>
              <w:topLinePunct/>
              <w:jc w:val="right"/>
              <w:rPr>
                <w:sz w:val="20"/>
                <w:szCs w:val="24"/>
              </w:rPr>
            </w:pPr>
            <w:r w:rsidRPr="00B05567">
              <w:rPr>
                <w:sz w:val="20"/>
                <w:szCs w:val="24"/>
              </w:rPr>
              <w:t>668,202</w:t>
            </w:r>
          </w:p>
        </w:tc>
        <w:tc>
          <w:tcPr>
            <w:tcW w:w="2520" w:type="dxa"/>
            <w:tcMar>
              <w:left w:w="115" w:type="dxa"/>
              <w:right w:w="115" w:type="dxa"/>
            </w:tcMar>
            <w:vAlign w:val="bottom"/>
          </w:tcPr>
          <w:p w14:paraId="2958CADD" w14:textId="77777777" w:rsidR="00EE53AD" w:rsidRPr="00B05567" w:rsidRDefault="00EE53AD">
            <w:pPr>
              <w:keepNext/>
              <w:topLinePunct/>
              <w:jc w:val="right"/>
              <w:rPr>
                <w:sz w:val="20"/>
                <w:szCs w:val="24"/>
              </w:rPr>
            </w:pPr>
            <w:r w:rsidRPr="00B05567">
              <w:rPr>
                <w:sz w:val="20"/>
                <w:szCs w:val="24"/>
              </w:rPr>
              <w:t>284,151</w:t>
            </w:r>
          </w:p>
        </w:tc>
      </w:tr>
      <w:tr w:rsidR="00EE53AD" w14:paraId="35BB7C05" w14:textId="77777777">
        <w:trPr>
          <w:trHeight w:val="258"/>
        </w:trPr>
        <w:tc>
          <w:tcPr>
            <w:tcW w:w="1615" w:type="dxa"/>
            <w:noWrap/>
            <w:vAlign w:val="bottom"/>
          </w:tcPr>
          <w:p w14:paraId="0730F204" w14:textId="77777777" w:rsidR="00EE53AD" w:rsidRPr="00B05567" w:rsidRDefault="00EE53AD">
            <w:pPr>
              <w:keepNext/>
              <w:topLinePunct/>
              <w:rPr>
                <w:szCs w:val="24"/>
              </w:rPr>
            </w:pPr>
            <w:r w:rsidRPr="00B05567">
              <w:rPr>
                <w:rFonts w:hint="eastAsia"/>
                <w:b/>
                <w:sz w:val="20"/>
                <w:szCs w:val="24"/>
                <w:lang w:val="zh-CN"/>
              </w:rPr>
              <w:t>共计</w:t>
            </w:r>
          </w:p>
        </w:tc>
        <w:tc>
          <w:tcPr>
            <w:tcW w:w="1770" w:type="dxa"/>
            <w:tcBorders>
              <w:left w:val="nil"/>
            </w:tcBorders>
            <w:noWrap/>
            <w:tcMar>
              <w:top w:w="0" w:type="dxa"/>
              <w:left w:w="115" w:type="dxa"/>
              <w:bottom w:w="0" w:type="dxa"/>
              <w:right w:w="115" w:type="dxa"/>
            </w:tcMar>
            <w:vAlign w:val="bottom"/>
          </w:tcPr>
          <w:p w14:paraId="7BC1404B" w14:textId="77777777" w:rsidR="00EE53AD" w:rsidRPr="00B05567" w:rsidRDefault="00EE53AD">
            <w:pPr>
              <w:keepNext/>
              <w:topLinePunct/>
              <w:jc w:val="right"/>
              <w:rPr>
                <w:b/>
                <w:sz w:val="20"/>
                <w:szCs w:val="24"/>
              </w:rPr>
            </w:pPr>
            <w:r w:rsidRPr="00B05567">
              <w:rPr>
                <w:b/>
                <w:sz w:val="20"/>
                <w:szCs w:val="24"/>
              </w:rPr>
              <w:t>6,819,217</w:t>
            </w:r>
          </w:p>
        </w:tc>
        <w:tc>
          <w:tcPr>
            <w:tcW w:w="1770" w:type="dxa"/>
            <w:noWrap/>
            <w:tcMar>
              <w:top w:w="0" w:type="dxa"/>
              <w:left w:w="108" w:type="dxa"/>
              <w:bottom w:w="0" w:type="dxa"/>
              <w:right w:w="108" w:type="dxa"/>
            </w:tcMar>
            <w:vAlign w:val="bottom"/>
          </w:tcPr>
          <w:p w14:paraId="3FCC69F8" w14:textId="77777777" w:rsidR="00EE53AD" w:rsidRPr="00B05567" w:rsidRDefault="00EE53AD">
            <w:pPr>
              <w:keepNext/>
              <w:topLinePunct/>
              <w:jc w:val="right"/>
              <w:rPr>
                <w:b/>
                <w:sz w:val="20"/>
                <w:szCs w:val="24"/>
              </w:rPr>
            </w:pPr>
            <w:r w:rsidRPr="00B05567">
              <w:rPr>
                <w:b/>
                <w:sz w:val="20"/>
                <w:szCs w:val="24"/>
              </w:rPr>
              <w:t>514,674</w:t>
            </w:r>
          </w:p>
        </w:tc>
        <w:tc>
          <w:tcPr>
            <w:tcW w:w="1770" w:type="dxa"/>
            <w:tcMar>
              <w:left w:w="115" w:type="dxa"/>
              <w:right w:w="115" w:type="dxa"/>
            </w:tcMar>
            <w:vAlign w:val="bottom"/>
          </w:tcPr>
          <w:p w14:paraId="200A1827" w14:textId="77777777" w:rsidR="00EE53AD" w:rsidRPr="00B05567" w:rsidRDefault="00EE53AD">
            <w:pPr>
              <w:keepNext/>
              <w:topLinePunct/>
              <w:jc w:val="right"/>
              <w:rPr>
                <w:b/>
                <w:sz w:val="20"/>
                <w:szCs w:val="24"/>
              </w:rPr>
            </w:pPr>
            <w:r w:rsidRPr="00B05567">
              <w:rPr>
                <w:b/>
                <w:sz w:val="20"/>
                <w:szCs w:val="24"/>
              </w:rPr>
              <w:t>886,498</w:t>
            </w:r>
          </w:p>
        </w:tc>
        <w:tc>
          <w:tcPr>
            <w:tcW w:w="2520" w:type="dxa"/>
            <w:tcMar>
              <w:left w:w="115" w:type="dxa"/>
              <w:right w:w="115" w:type="dxa"/>
            </w:tcMar>
            <w:vAlign w:val="bottom"/>
          </w:tcPr>
          <w:p w14:paraId="3E4D4777" w14:textId="77777777" w:rsidR="00EE53AD" w:rsidRPr="00B05567" w:rsidRDefault="00EE53AD">
            <w:pPr>
              <w:keepNext/>
              <w:topLinePunct/>
              <w:jc w:val="right"/>
              <w:rPr>
                <w:b/>
                <w:sz w:val="20"/>
                <w:szCs w:val="24"/>
              </w:rPr>
            </w:pPr>
            <w:r w:rsidRPr="00B05567">
              <w:rPr>
                <w:b/>
                <w:sz w:val="20"/>
                <w:szCs w:val="24"/>
              </w:rPr>
              <w:t>371,824</w:t>
            </w:r>
          </w:p>
        </w:tc>
      </w:tr>
    </w:tbl>
    <w:p w14:paraId="749192D8" w14:textId="77777777" w:rsidR="00EE53AD" w:rsidRDefault="00EE53AD">
      <w:pPr>
        <w:topLinePunct/>
        <w:rPr>
          <w:szCs w:val="24"/>
        </w:rPr>
      </w:pPr>
    </w:p>
    <w:p w14:paraId="0FBB702B" w14:textId="77777777" w:rsidR="00EE53AD" w:rsidRPr="00972958" w:rsidRDefault="00EE53AD">
      <w:pPr>
        <w:pStyle w:val="Heading1"/>
        <w:topLinePunct/>
      </w:pPr>
      <w:r w:rsidRPr="00972958">
        <w:rPr>
          <w:rFonts w:hint="eastAsia"/>
          <w:lang w:val="zh-CN"/>
        </w:rPr>
        <w:t>从上表可以得出以下结论：</w:t>
      </w:r>
    </w:p>
    <w:p w14:paraId="24CAD34D" w14:textId="77777777" w:rsidR="00EE53AD" w:rsidRPr="00972958" w:rsidRDefault="00EE53AD">
      <w:pPr>
        <w:pStyle w:val="Heading2"/>
        <w:topLinePunct/>
      </w:pPr>
      <w:r w:rsidRPr="00972958">
        <w:rPr>
          <w:rFonts w:hint="eastAsia"/>
          <w:lang w:val="zh-CN"/>
        </w:rPr>
        <w:t>将开发署和工发组织的方案支助费用增加到</w:t>
      </w:r>
      <w:r w:rsidRPr="00972958">
        <w:t>13%</w:t>
      </w:r>
      <w:r w:rsidRPr="00972958">
        <w:rPr>
          <w:rFonts w:hint="eastAsia"/>
          <w:lang w:val="zh-CN"/>
        </w:rPr>
        <w:t>将使开发署和工发组织在</w:t>
      </w:r>
      <w:r w:rsidRPr="00972958">
        <w:t>2024-2026</w:t>
      </w:r>
      <w:r w:rsidRPr="00972958">
        <w:rPr>
          <w:rFonts w:hint="eastAsia"/>
          <w:lang w:val="zh-CN"/>
        </w:rPr>
        <w:t>年三年期的方案支助费用分别增加</w:t>
      </w:r>
      <w:r w:rsidRPr="00972958">
        <w:t>87,673</w:t>
      </w:r>
      <w:r w:rsidRPr="00972958">
        <w:rPr>
          <w:rFonts w:hint="eastAsia"/>
          <w:lang w:val="zh-CN"/>
        </w:rPr>
        <w:t>美元和</w:t>
      </w:r>
      <w:r w:rsidRPr="00972958">
        <w:t>284,151</w:t>
      </w:r>
      <w:r w:rsidRPr="00972958">
        <w:rPr>
          <w:rFonts w:hint="eastAsia"/>
          <w:lang w:val="zh-CN"/>
        </w:rPr>
        <w:t>美元</w:t>
      </w:r>
      <w:r w:rsidRPr="00972958">
        <w:rPr>
          <w:rFonts w:hint="eastAsia"/>
        </w:rPr>
        <w:t>；</w:t>
      </w:r>
    </w:p>
    <w:p w14:paraId="1418F4DC" w14:textId="77777777" w:rsidR="00EE53AD" w:rsidRPr="00972958" w:rsidRDefault="00EE53AD">
      <w:pPr>
        <w:pStyle w:val="Heading2"/>
        <w:topLinePunct/>
      </w:pPr>
      <w:r w:rsidRPr="00972958">
        <w:rPr>
          <w:rFonts w:hint="eastAsia"/>
          <w:lang w:val="zh-CN"/>
        </w:rPr>
        <w:t>随着这一增加数额</w:t>
      </w:r>
      <w:r w:rsidRPr="00972958">
        <w:rPr>
          <w:rFonts w:hint="eastAsia"/>
        </w:rPr>
        <w:t>，</w:t>
      </w:r>
      <w:r w:rsidRPr="00972958">
        <w:rPr>
          <w:rFonts w:hint="eastAsia"/>
          <w:lang w:val="zh-CN"/>
        </w:rPr>
        <w:t>方案支助费用总额占三年期项目费用的百分比将达到</w:t>
      </w:r>
      <w:r w:rsidRPr="00972958">
        <w:t>12.2%</w:t>
      </w:r>
      <w:r w:rsidRPr="00972958">
        <w:rPr>
          <w:rFonts w:hint="eastAsia"/>
          <w:lang w:val="zh-CN"/>
        </w:rPr>
        <w:t>。</w:t>
      </w:r>
    </w:p>
    <w:p w14:paraId="1C766521" w14:textId="77777777" w:rsidR="00EE53AD" w:rsidRPr="00972958" w:rsidRDefault="00EE53AD">
      <w:pPr>
        <w:pStyle w:val="Heading1"/>
        <w:topLinePunct/>
      </w:pPr>
      <w:r w:rsidRPr="00972958">
        <w:rPr>
          <w:rFonts w:hint="eastAsia"/>
          <w:lang w:val="zh-CN"/>
        </w:rPr>
        <w:t>如果执行委员会同意这一做法</w:t>
      </w:r>
      <w:r w:rsidRPr="00972958">
        <w:rPr>
          <w:rFonts w:hint="eastAsia"/>
        </w:rPr>
        <w:t>，</w:t>
      </w:r>
      <w:r w:rsidRPr="00972958">
        <w:rPr>
          <w:rFonts w:hint="eastAsia"/>
          <w:lang w:val="zh-CN"/>
        </w:rPr>
        <w:t>建议对低消费量国家提交本次会议的基加利氢氟碳化物实施计划第一阶段的方案支助费用作出相应调整。</w:t>
      </w:r>
    </w:p>
    <w:p w14:paraId="0512683A" w14:textId="77777777" w:rsidR="00EE53AD" w:rsidRPr="00972958" w:rsidRDefault="00EE53AD">
      <w:pPr>
        <w:pStyle w:val="Heading1"/>
        <w:numPr>
          <w:ilvl w:val="0"/>
          <w:numId w:val="0"/>
        </w:numPr>
        <w:topLinePunct/>
        <w:rPr>
          <w:u w:val="single"/>
        </w:rPr>
      </w:pPr>
      <w:r w:rsidRPr="00972958">
        <w:rPr>
          <w:rFonts w:hint="eastAsia"/>
          <w:u w:val="single"/>
          <w:lang w:val="zh-CN"/>
        </w:rPr>
        <w:t>支持各机构总体行政费用的影响</w:t>
      </w:r>
    </w:p>
    <w:p w14:paraId="2E352641" w14:textId="77777777" w:rsidR="00EE53AD" w:rsidRPr="00972958" w:rsidRDefault="00EE53AD">
      <w:pPr>
        <w:pStyle w:val="Heading1"/>
        <w:topLinePunct/>
      </w:pPr>
      <w:r w:rsidRPr="00972958">
        <w:rPr>
          <w:rFonts w:hint="eastAsia"/>
          <w:lang w:val="zh-CN"/>
        </w:rPr>
        <w:t>开发署、工发组织和世界银行的核心单位供资每年增加</w:t>
      </w:r>
      <w:r w:rsidRPr="00972958">
        <w:rPr>
          <w:lang w:val="zh-CN"/>
        </w:rPr>
        <w:t>200,000</w:t>
      </w:r>
      <w:r w:rsidRPr="00972958">
        <w:rPr>
          <w:rFonts w:hint="eastAsia"/>
          <w:lang w:val="zh-CN"/>
        </w:rPr>
        <w:t>美元，加上各机构对低消费量国家基加利氢氟碳化物实施计划的方案支助费用增加到</w:t>
      </w:r>
      <w:r w:rsidRPr="00972958">
        <w:rPr>
          <w:lang w:val="zh-CN"/>
        </w:rPr>
        <w:t>13%</w:t>
      </w:r>
      <w:r w:rsidRPr="00972958">
        <w:rPr>
          <w:rFonts w:hint="eastAsia"/>
          <w:lang w:val="zh-CN"/>
        </w:rPr>
        <w:t>将导致方案支助费用总额占目前调整后的</w:t>
      </w:r>
      <w:r w:rsidRPr="00972958">
        <w:rPr>
          <w:lang w:val="zh-CN"/>
        </w:rPr>
        <w:t>2024-2026</w:t>
      </w:r>
      <w:r w:rsidRPr="00972958">
        <w:rPr>
          <w:rFonts w:hint="eastAsia"/>
          <w:lang w:val="zh-CN"/>
        </w:rPr>
        <w:t>三年期业务计划内三年期项目成本的</w:t>
      </w:r>
      <w:r w:rsidRPr="00972958">
        <w:rPr>
          <w:lang w:val="zh-CN"/>
        </w:rPr>
        <w:t>12.6%</w:t>
      </w:r>
      <w:r w:rsidRPr="00972958">
        <w:rPr>
          <w:rFonts w:hint="eastAsia"/>
          <w:lang w:val="zh-CN"/>
        </w:rPr>
        <w:t>。这个拟议的增加数额将在</w:t>
      </w:r>
      <w:r w:rsidRPr="00972958">
        <w:rPr>
          <w:lang w:val="zh-CN"/>
        </w:rPr>
        <w:t>2024-2026</w:t>
      </w:r>
      <w:r w:rsidRPr="00972958">
        <w:rPr>
          <w:rFonts w:hint="eastAsia"/>
          <w:lang w:val="zh-CN"/>
        </w:rPr>
        <w:t>年三年期结束时受到审查，同时将向</w:t>
      </w:r>
      <w:r w:rsidRPr="00972958">
        <w:rPr>
          <w:lang w:val="zh-CN"/>
        </w:rPr>
        <w:t>2026</w:t>
      </w:r>
      <w:r w:rsidRPr="00972958">
        <w:rPr>
          <w:rFonts w:hint="eastAsia"/>
          <w:lang w:val="zh-CN"/>
        </w:rPr>
        <w:t>年举行的最后一次会议提交一份分析报告，说明多边基金</w:t>
      </w:r>
      <w:r w:rsidRPr="00972958">
        <w:rPr>
          <w:lang w:val="zh-CN"/>
        </w:rPr>
        <w:t>2024-2026</w:t>
      </w:r>
      <w:r w:rsidRPr="00972958">
        <w:rPr>
          <w:rFonts w:hint="eastAsia"/>
          <w:lang w:val="zh-CN"/>
        </w:rPr>
        <w:t>年三年期采用的行政费用机制是否应在</w:t>
      </w:r>
      <w:r w:rsidRPr="00972958">
        <w:rPr>
          <w:lang w:val="zh-CN"/>
        </w:rPr>
        <w:t>2027-2029</w:t>
      </w:r>
      <w:r w:rsidRPr="00972958">
        <w:rPr>
          <w:rFonts w:hint="eastAsia"/>
          <w:lang w:val="zh-CN"/>
        </w:rPr>
        <w:t>年三年期继续采用。</w:t>
      </w:r>
    </w:p>
    <w:p w14:paraId="48095365" w14:textId="77777777" w:rsidR="00EE53AD" w:rsidRPr="00972958" w:rsidRDefault="00EE53AD">
      <w:pPr>
        <w:keepNext/>
        <w:topLinePunct/>
        <w:rPr>
          <w:b/>
        </w:rPr>
      </w:pPr>
      <w:r w:rsidRPr="00972958">
        <w:rPr>
          <w:rFonts w:hint="eastAsia"/>
          <w:b/>
          <w:lang w:val="zh-CN"/>
        </w:rPr>
        <w:t>支持低消费量国家（非行政费用机制）</w:t>
      </w:r>
    </w:p>
    <w:p w14:paraId="28D123FB" w14:textId="77777777" w:rsidR="00EE53AD" w:rsidRPr="00972958" w:rsidRDefault="00EE53AD">
      <w:pPr>
        <w:keepNext/>
        <w:topLinePunct/>
      </w:pPr>
    </w:p>
    <w:p w14:paraId="7A5E294D" w14:textId="77777777" w:rsidR="00EE53AD" w:rsidRPr="00972958" w:rsidRDefault="00EE53AD">
      <w:pPr>
        <w:pStyle w:val="Heading1"/>
        <w:topLinePunct/>
      </w:pPr>
      <w:r w:rsidRPr="00972958">
        <w:rPr>
          <w:rFonts w:hint="eastAsia"/>
          <w:lang w:val="zh-CN"/>
        </w:rPr>
        <w:t>秘书处指出</w:t>
      </w:r>
      <w:r w:rsidRPr="00972958">
        <w:rPr>
          <w:rFonts w:hint="eastAsia"/>
        </w:rPr>
        <w:t>，</w:t>
      </w:r>
      <w:r w:rsidRPr="00972958">
        <w:rPr>
          <w:rFonts w:hint="eastAsia"/>
          <w:lang w:val="zh-CN"/>
        </w:rPr>
        <w:t>核心单位供资和</w:t>
      </w:r>
      <w:r w:rsidRPr="00972958">
        <w:t>/</w:t>
      </w:r>
      <w:r w:rsidRPr="00972958">
        <w:rPr>
          <w:rFonts w:hint="eastAsia"/>
          <w:lang w:val="zh-CN"/>
        </w:rPr>
        <w:t>或方案支助费用的增加将使占核准项目总额的一个百分比的支助费用上升</w:t>
      </w:r>
      <w:r w:rsidRPr="00972958">
        <w:rPr>
          <w:rFonts w:hint="eastAsia"/>
        </w:rPr>
        <w:t>；</w:t>
      </w:r>
      <w:r w:rsidRPr="00972958">
        <w:rPr>
          <w:rFonts w:hint="eastAsia"/>
          <w:lang w:val="zh-CN"/>
        </w:rPr>
        <w:t>这反过来可能导致方案支助费用超过</w:t>
      </w:r>
      <w:r w:rsidRPr="00972958">
        <w:t>13%</w:t>
      </w:r>
      <w:r w:rsidRPr="00972958">
        <w:rPr>
          <w:rFonts w:hint="eastAsia"/>
          <w:lang w:val="zh-CN"/>
        </w:rPr>
        <w:t>的水平。如第</w:t>
      </w:r>
      <w:r w:rsidRPr="00972958">
        <w:rPr>
          <w:lang w:val="en-US"/>
        </w:rPr>
        <w:t>16</w:t>
      </w:r>
      <w:r w:rsidRPr="00972958">
        <w:rPr>
          <w:rFonts w:hint="eastAsia"/>
          <w:lang w:val="zh-CN"/>
        </w:rPr>
        <w:t>段所述</w:t>
      </w:r>
      <w:r w:rsidRPr="00972958">
        <w:rPr>
          <w:rFonts w:hint="eastAsia"/>
          <w:lang w:val="en-US"/>
        </w:rPr>
        <w:t>，</w:t>
      </w:r>
      <w:r w:rsidRPr="00972958">
        <w:rPr>
          <w:rFonts w:hint="eastAsia"/>
          <w:lang w:val="zh-CN"/>
        </w:rPr>
        <w:t>为了在下一个三年期通过各机构向低消费量国家提供技术和政策的额外支助资源</w:t>
      </w:r>
      <w:r w:rsidRPr="00972958">
        <w:rPr>
          <w:rFonts w:hint="eastAsia"/>
          <w:lang w:val="en-US"/>
        </w:rPr>
        <w:t>，</w:t>
      </w:r>
      <w:r w:rsidRPr="00972958">
        <w:rPr>
          <w:rFonts w:hint="eastAsia"/>
          <w:lang w:val="zh-CN"/>
        </w:rPr>
        <w:t>同时确保方案支助费用维持在</w:t>
      </w:r>
      <w:r w:rsidRPr="00972958">
        <w:rPr>
          <w:lang w:val="en-US"/>
        </w:rPr>
        <w:t>13%</w:t>
      </w:r>
      <w:r w:rsidRPr="00972958">
        <w:rPr>
          <w:rFonts w:hint="eastAsia"/>
          <w:lang w:val="zh-CN"/>
        </w:rPr>
        <w:t>的阈值范围内</w:t>
      </w:r>
      <w:r w:rsidRPr="00972958">
        <w:rPr>
          <w:rFonts w:hint="eastAsia"/>
          <w:lang w:val="en-US"/>
        </w:rPr>
        <w:t>，</w:t>
      </w:r>
      <w:r w:rsidRPr="00972958">
        <w:rPr>
          <w:rFonts w:hint="eastAsia"/>
          <w:lang w:val="zh-CN"/>
        </w:rPr>
        <w:t>秘书处提出如下建议。</w:t>
      </w:r>
      <w:r w:rsidRPr="00972958">
        <w:t xml:space="preserve">    </w:t>
      </w:r>
    </w:p>
    <w:p w14:paraId="09635601" w14:textId="77777777" w:rsidR="00EE53AD" w:rsidRPr="00972958" w:rsidRDefault="00EE53AD">
      <w:pPr>
        <w:pStyle w:val="Heading1"/>
        <w:topLinePunct/>
      </w:pPr>
      <w:r w:rsidRPr="00972958">
        <w:rPr>
          <w:rFonts w:hint="eastAsia"/>
          <w:lang w:val="zh-CN"/>
        </w:rPr>
        <w:t>目前有</w:t>
      </w:r>
      <w:r w:rsidRPr="00972958">
        <w:t>88</w:t>
      </w:r>
      <w:r w:rsidRPr="00972958">
        <w:rPr>
          <w:rFonts w:hint="eastAsia"/>
          <w:lang w:val="zh-CN"/>
        </w:rPr>
        <w:t>个低消费量国家</w:t>
      </w:r>
      <w:r w:rsidRPr="00972958">
        <w:rPr>
          <w:rStyle w:val="FootnoteReference"/>
          <w:lang w:val="zh-CN"/>
        </w:rPr>
        <w:footnoteReference w:id="15"/>
      </w:r>
      <w:r w:rsidRPr="00972958">
        <w:rPr>
          <w:rFonts w:hint="eastAsia"/>
          <w:lang w:val="zh-CN"/>
        </w:rPr>
        <w:t>得到多边基金的支助。为了满足这些国家在</w:t>
      </w:r>
      <w:r w:rsidRPr="00972958">
        <w:t>2024-2026</w:t>
      </w:r>
      <w:r w:rsidRPr="00972958">
        <w:rPr>
          <w:rFonts w:hint="eastAsia"/>
          <w:lang w:val="zh-CN"/>
        </w:rPr>
        <w:t>年三年期的技术和政策支助需求</w:t>
      </w:r>
      <w:r w:rsidRPr="00972958">
        <w:rPr>
          <w:rFonts w:hint="eastAsia"/>
        </w:rPr>
        <w:t>，</w:t>
      </w:r>
      <w:r w:rsidRPr="00972958">
        <w:rPr>
          <w:rFonts w:hint="eastAsia"/>
          <w:lang w:val="zh-CN"/>
        </w:rPr>
        <w:t>可以向作为牵头或合作机构的每个双边和执行机构提供</w:t>
      </w:r>
      <w:r w:rsidRPr="00972958">
        <w:t>7,500</w:t>
      </w:r>
      <w:r w:rsidRPr="00972958">
        <w:rPr>
          <w:rFonts w:hint="eastAsia"/>
          <w:lang w:val="zh-CN"/>
        </w:rPr>
        <w:t>美元的一次性资金</w:t>
      </w:r>
      <w:r w:rsidRPr="00972958">
        <w:rPr>
          <w:rFonts w:hint="eastAsia"/>
        </w:rPr>
        <w:t>，</w:t>
      </w:r>
      <w:r w:rsidRPr="00972958">
        <w:rPr>
          <w:rFonts w:hint="eastAsia"/>
          <w:lang w:val="zh-CN"/>
        </w:rPr>
        <w:t>用于协助每个低消费量国家实施基加利氢氟碳化物实施计划。这笔资金的申请应遵循包括业务规划在内的既定做法</w:t>
      </w:r>
      <w:r w:rsidRPr="00972958">
        <w:rPr>
          <w:rFonts w:hint="eastAsia"/>
          <w:lang w:val="en-US"/>
        </w:rPr>
        <w:t>，</w:t>
      </w:r>
      <w:r w:rsidRPr="00972958">
        <w:rPr>
          <w:rFonts w:hint="eastAsia"/>
          <w:lang w:val="zh-CN"/>
        </w:rPr>
        <w:t>并应作为双边合作、机构工作计划或工作计划修正案的一部分提交。运用此笔资金进行的活动应在批准之日起</w:t>
      </w:r>
      <w:r w:rsidRPr="00972958">
        <w:rPr>
          <w:lang w:val="en-US"/>
        </w:rPr>
        <w:t>24</w:t>
      </w:r>
      <w:r w:rsidRPr="00972958">
        <w:rPr>
          <w:rFonts w:hint="eastAsia"/>
          <w:lang w:val="zh-CN"/>
        </w:rPr>
        <w:t>个月内完成。当各机构提交在</w:t>
      </w:r>
      <w:r w:rsidRPr="00972958">
        <w:rPr>
          <w:lang w:val="en-US"/>
        </w:rPr>
        <w:t>2026</w:t>
      </w:r>
      <w:r w:rsidRPr="00972958">
        <w:rPr>
          <w:rFonts w:hint="eastAsia"/>
          <w:lang w:val="zh-CN"/>
        </w:rPr>
        <w:t>年审议的进度报告时</w:t>
      </w:r>
      <w:r w:rsidRPr="00972958">
        <w:rPr>
          <w:rFonts w:hint="eastAsia"/>
          <w:lang w:val="en-US"/>
        </w:rPr>
        <w:t>，</w:t>
      </w:r>
      <w:r w:rsidRPr="00972958">
        <w:rPr>
          <w:rFonts w:hint="eastAsia"/>
          <w:lang w:val="zh-CN"/>
        </w:rPr>
        <w:t>它们应提供有关届时已实施的支助活动及其产生的影响的信息。根据对供资支助有效性的分析</w:t>
      </w:r>
      <w:r w:rsidRPr="00972958">
        <w:rPr>
          <w:rFonts w:hint="eastAsia"/>
          <w:lang w:val="en-US"/>
        </w:rPr>
        <w:t>，</w:t>
      </w:r>
      <w:r w:rsidRPr="00972958">
        <w:rPr>
          <w:rFonts w:hint="eastAsia"/>
          <w:lang w:val="zh-CN"/>
        </w:rPr>
        <w:t>可以确定未来对低消费量国家提供支助的方式。</w:t>
      </w:r>
      <w:r w:rsidRPr="00972958">
        <w:t xml:space="preserve"> </w:t>
      </w:r>
    </w:p>
    <w:p w14:paraId="42E70E8C" w14:textId="77777777" w:rsidR="00EE53AD" w:rsidRPr="00972958" w:rsidRDefault="00EE53AD">
      <w:pPr>
        <w:keepNext/>
        <w:topLinePunct/>
        <w:rPr>
          <w:b/>
        </w:rPr>
      </w:pPr>
      <w:r w:rsidRPr="00972958">
        <w:rPr>
          <w:rFonts w:hint="eastAsia"/>
          <w:b/>
          <w:lang w:val="zh-CN"/>
        </w:rPr>
        <w:t>建议</w:t>
      </w:r>
    </w:p>
    <w:p w14:paraId="3525F4D1" w14:textId="77777777" w:rsidR="00EE53AD" w:rsidRPr="00972958" w:rsidRDefault="00EE53AD">
      <w:pPr>
        <w:keepNext/>
        <w:topLinePunct/>
      </w:pPr>
    </w:p>
    <w:p w14:paraId="0C2DB53E" w14:textId="77777777" w:rsidR="00EE53AD" w:rsidRPr="00972958" w:rsidRDefault="00EE53AD">
      <w:pPr>
        <w:pStyle w:val="Heading1"/>
        <w:topLinePunct/>
      </w:pPr>
      <w:r w:rsidRPr="00972958">
        <w:rPr>
          <w:rFonts w:hint="eastAsia"/>
          <w:lang w:val="zh-CN"/>
        </w:rPr>
        <w:t>谨请执行委员会：</w:t>
      </w:r>
    </w:p>
    <w:p w14:paraId="508ED1A8" w14:textId="77777777" w:rsidR="00EE53AD" w:rsidRPr="00972958" w:rsidRDefault="00EE53AD">
      <w:pPr>
        <w:pStyle w:val="Heading2"/>
        <w:topLinePunct/>
      </w:pPr>
      <w:r w:rsidRPr="00972958">
        <w:rPr>
          <w:rFonts w:hint="eastAsia"/>
          <w:lang w:val="zh-CN"/>
        </w:rPr>
        <w:t>注意到</w:t>
      </w:r>
      <w:r w:rsidRPr="00972958">
        <w:t>UNEP/</w:t>
      </w:r>
      <w:proofErr w:type="spellStart"/>
      <w:r w:rsidRPr="00972958">
        <w:t>OzL.Pro</w:t>
      </w:r>
      <w:proofErr w:type="spellEnd"/>
      <w:r w:rsidRPr="00972958">
        <w:t>/ExCom/93/101</w:t>
      </w:r>
      <w:r w:rsidRPr="00972958">
        <w:rPr>
          <w:rFonts w:hint="eastAsia"/>
          <w:lang w:val="zh-CN"/>
        </w:rPr>
        <w:t>号文件所载对多边基金行政费用机制的审查</w:t>
      </w:r>
      <w:r w:rsidRPr="00972958">
        <w:rPr>
          <w:rFonts w:hint="eastAsia"/>
        </w:rPr>
        <w:t>（</w:t>
      </w:r>
      <w:r w:rsidRPr="00972958">
        <w:rPr>
          <w:rFonts w:hint="eastAsia"/>
          <w:lang w:val="zh-CN"/>
        </w:rPr>
        <w:t>第</w:t>
      </w:r>
      <w:r w:rsidRPr="00972958">
        <w:t>88/74</w:t>
      </w:r>
      <w:r w:rsidRPr="00972958">
        <w:rPr>
          <w:rFonts w:hint="eastAsia"/>
          <w:lang w:val="zh-CN"/>
        </w:rPr>
        <w:t>号决定</w:t>
      </w:r>
      <w:r w:rsidRPr="00972958">
        <w:rPr>
          <w:rFonts w:hint="eastAsia"/>
        </w:rPr>
        <w:t>（</w:t>
      </w:r>
      <w:r w:rsidRPr="00972958">
        <w:t>c</w:t>
      </w:r>
      <w:r w:rsidRPr="00972958">
        <w:rPr>
          <w:rFonts w:hint="eastAsia"/>
        </w:rPr>
        <w:t>）</w:t>
      </w:r>
      <w:r w:rsidRPr="00972958">
        <w:rPr>
          <w:rFonts w:hint="eastAsia"/>
          <w:lang w:val="zh-CN"/>
        </w:rPr>
        <w:t>段和第</w:t>
      </w:r>
      <w:r w:rsidRPr="00972958">
        <w:t>91/67</w:t>
      </w:r>
      <w:r w:rsidRPr="00972958">
        <w:rPr>
          <w:rFonts w:hint="eastAsia"/>
          <w:lang w:val="zh-CN"/>
        </w:rPr>
        <w:t>号决定</w:t>
      </w:r>
      <w:r w:rsidRPr="00972958">
        <w:rPr>
          <w:rFonts w:hint="eastAsia"/>
        </w:rPr>
        <w:t>（</w:t>
      </w:r>
      <w:r w:rsidRPr="00972958">
        <w:t>b</w:t>
      </w:r>
      <w:r w:rsidRPr="00972958">
        <w:rPr>
          <w:rFonts w:hint="eastAsia"/>
        </w:rPr>
        <w:t>）</w:t>
      </w:r>
      <w:r w:rsidRPr="00972958">
        <w:rPr>
          <w:rFonts w:hint="eastAsia"/>
          <w:lang w:val="zh-CN"/>
        </w:rPr>
        <w:t>段</w:t>
      </w:r>
      <w:r w:rsidRPr="00972958">
        <w:rPr>
          <w:rFonts w:hint="eastAsia"/>
        </w:rPr>
        <w:t>）；</w:t>
      </w:r>
    </w:p>
    <w:p w14:paraId="120DF479" w14:textId="77777777" w:rsidR="00EE53AD" w:rsidRPr="00972958" w:rsidRDefault="00EE53AD">
      <w:pPr>
        <w:pStyle w:val="Heading2"/>
        <w:topLinePunct/>
      </w:pPr>
      <w:r w:rsidRPr="00972958">
        <w:rPr>
          <w:rFonts w:hint="eastAsia"/>
          <w:lang w:val="zh-CN"/>
        </w:rPr>
        <w:lastRenderedPageBreak/>
        <w:t>审议：</w:t>
      </w:r>
    </w:p>
    <w:p w14:paraId="3C6882A6" w14:textId="77777777" w:rsidR="00EE53AD" w:rsidRPr="00972958" w:rsidRDefault="00EE53AD" w:rsidP="003B7B10">
      <w:pPr>
        <w:pStyle w:val="Heading3"/>
        <w:numPr>
          <w:ilvl w:val="2"/>
          <w:numId w:val="26"/>
        </w:numPr>
      </w:pPr>
      <w:r w:rsidRPr="00972958">
        <w:t>2024-2026</w:t>
      </w:r>
      <w:r w:rsidRPr="00972958">
        <w:rPr>
          <w:rFonts w:hint="eastAsia"/>
          <w:lang w:val="zh-CN"/>
        </w:rPr>
        <w:t>年三年期中每年增加开发署、工发组织和世界银行核心单位供资</w:t>
      </w:r>
      <w:r w:rsidRPr="00972958">
        <w:t>20</w:t>
      </w:r>
      <w:r w:rsidRPr="00972958">
        <w:rPr>
          <w:rFonts w:hint="eastAsia"/>
          <w:lang w:val="zh-CN"/>
        </w:rPr>
        <w:t>万美元</w:t>
      </w:r>
      <w:r w:rsidRPr="00972958">
        <w:rPr>
          <w:rFonts w:hint="eastAsia"/>
        </w:rPr>
        <w:t>，</w:t>
      </w:r>
      <w:r w:rsidRPr="00972958">
        <w:rPr>
          <w:rFonts w:hint="eastAsia"/>
          <w:lang w:val="zh-CN"/>
        </w:rPr>
        <w:t>以加强其向第</w:t>
      </w:r>
      <w:r w:rsidRPr="00972958">
        <w:t>5</w:t>
      </w:r>
      <w:r w:rsidRPr="00972958">
        <w:rPr>
          <w:rFonts w:hint="eastAsia"/>
          <w:lang w:val="zh-CN"/>
        </w:rPr>
        <w:t>条国家提供技术和政策支助的能力</w:t>
      </w:r>
      <w:r w:rsidRPr="00972958">
        <w:rPr>
          <w:rFonts w:hint="eastAsia"/>
        </w:rPr>
        <w:t>；</w:t>
      </w:r>
    </w:p>
    <w:p w14:paraId="1068F918" w14:textId="77777777" w:rsidR="00EE53AD" w:rsidRPr="00972958" w:rsidRDefault="00EE53AD">
      <w:pPr>
        <w:pStyle w:val="Heading3"/>
        <w:topLinePunct/>
      </w:pPr>
      <w:r w:rsidRPr="00972958">
        <w:rPr>
          <w:rFonts w:hint="eastAsia"/>
          <w:lang w:val="zh-CN"/>
        </w:rPr>
        <w:t>多边基金</w:t>
      </w:r>
      <w:r w:rsidRPr="00972958">
        <w:t>2021-2023</w:t>
      </w:r>
      <w:r w:rsidRPr="00972958">
        <w:rPr>
          <w:rFonts w:hint="eastAsia"/>
          <w:lang w:val="zh-CN"/>
        </w:rPr>
        <w:t>年三年期的行政费用机制将在</w:t>
      </w:r>
      <w:r w:rsidRPr="00972958">
        <w:t>2024-2026</w:t>
      </w:r>
      <w:r w:rsidRPr="00972958">
        <w:rPr>
          <w:rFonts w:hint="eastAsia"/>
          <w:lang w:val="zh-CN"/>
        </w:rPr>
        <w:t>年三年期维持不变</w:t>
      </w:r>
      <w:r w:rsidRPr="00972958">
        <w:rPr>
          <w:rFonts w:hint="eastAsia"/>
        </w:rPr>
        <w:t>，</w:t>
      </w:r>
      <w:r w:rsidRPr="00972958">
        <w:rPr>
          <w:rFonts w:hint="eastAsia"/>
          <w:lang w:val="zh-CN"/>
        </w:rPr>
        <w:t>但提供给低消费量国家实施基加利氢氟碳化物实施计划第一阶段的机构费用除外</w:t>
      </w:r>
      <w:r w:rsidRPr="00972958">
        <w:rPr>
          <w:rFonts w:hint="eastAsia"/>
        </w:rPr>
        <w:t>，</w:t>
      </w:r>
      <w:r w:rsidRPr="00972958">
        <w:rPr>
          <w:rFonts w:hint="eastAsia"/>
          <w:lang w:val="zh-CN"/>
        </w:rPr>
        <w:t>从第九十三次会议开始将适用如下费率</w:t>
      </w:r>
      <w:r w:rsidRPr="00972958">
        <w:rPr>
          <w:rFonts w:hint="eastAsia"/>
        </w:rPr>
        <w:t>：</w:t>
      </w:r>
    </w:p>
    <w:p w14:paraId="2628B894" w14:textId="77777777" w:rsidR="00EE53AD" w:rsidRPr="00972958" w:rsidRDefault="00EE53AD">
      <w:pPr>
        <w:pStyle w:val="Header4"/>
        <w:topLinePunct/>
      </w:pPr>
      <w:r w:rsidRPr="00972958">
        <w:rPr>
          <w:rFonts w:hint="eastAsia"/>
          <w:lang w:val="zh-CN"/>
        </w:rPr>
        <w:t>价值不超过</w:t>
      </w:r>
      <w:r w:rsidRPr="00972958">
        <w:rPr>
          <w:lang w:val="zh-CN"/>
        </w:rPr>
        <w:t>50</w:t>
      </w:r>
      <w:r w:rsidRPr="00972958">
        <w:rPr>
          <w:rFonts w:hint="eastAsia"/>
          <w:lang w:val="zh-CN"/>
        </w:rPr>
        <w:t>万美元的项目为</w:t>
      </w:r>
      <w:r w:rsidRPr="00972958">
        <w:rPr>
          <w:lang w:val="zh-CN"/>
        </w:rPr>
        <w:t>13%</w:t>
      </w:r>
      <w:r w:rsidRPr="00972958">
        <w:rPr>
          <w:rFonts w:hint="eastAsia"/>
          <w:lang w:val="zh-CN"/>
        </w:rPr>
        <w:t>；</w:t>
      </w:r>
    </w:p>
    <w:p w14:paraId="033DDBB6" w14:textId="77777777" w:rsidR="00EE53AD" w:rsidRPr="00972958" w:rsidRDefault="00EE53AD">
      <w:pPr>
        <w:pStyle w:val="Header4"/>
        <w:topLinePunct/>
      </w:pPr>
      <w:r w:rsidRPr="00972958">
        <w:rPr>
          <w:rFonts w:hint="eastAsia"/>
          <w:lang w:val="zh-CN"/>
        </w:rPr>
        <w:t>对于价值超过</w:t>
      </w:r>
      <w:r w:rsidRPr="00972958">
        <w:t>50</w:t>
      </w:r>
      <w:r w:rsidRPr="00972958">
        <w:rPr>
          <w:rFonts w:hint="eastAsia"/>
          <w:lang w:val="zh-CN"/>
        </w:rPr>
        <w:t>万美元的项目</w:t>
      </w:r>
      <w:r w:rsidRPr="00972958">
        <w:rPr>
          <w:rFonts w:hint="eastAsia"/>
        </w:rPr>
        <w:t>，</w:t>
      </w:r>
      <w:r w:rsidRPr="00972958">
        <w:rPr>
          <w:rFonts w:hint="eastAsia"/>
          <w:lang w:val="zh-CN"/>
        </w:rPr>
        <w:t>首个</w:t>
      </w:r>
      <w:r w:rsidRPr="00972958">
        <w:t>50</w:t>
      </w:r>
      <w:r w:rsidRPr="00972958">
        <w:rPr>
          <w:rFonts w:hint="eastAsia"/>
          <w:lang w:val="zh-CN"/>
        </w:rPr>
        <w:t>万美元为</w:t>
      </w:r>
      <w:r w:rsidRPr="00972958">
        <w:t>13%</w:t>
      </w:r>
      <w:r w:rsidRPr="00972958">
        <w:rPr>
          <w:rFonts w:hint="eastAsia"/>
        </w:rPr>
        <w:t>，</w:t>
      </w:r>
      <w:r w:rsidRPr="00972958">
        <w:rPr>
          <w:rFonts w:hint="eastAsia"/>
          <w:lang w:val="zh-CN"/>
        </w:rPr>
        <w:t>其余为</w:t>
      </w:r>
      <w:r w:rsidRPr="00972958">
        <w:t>11%</w:t>
      </w:r>
      <w:r w:rsidRPr="00972958">
        <w:rPr>
          <w:rFonts w:hint="eastAsia"/>
        </w:rPr>
        <w:t>；</w:t>
      </w:r>
    </w:p>
    <w:p w14:paraId="772295B4" w14:textId="77777777" w:rsidR="00EE53AD" w:rsidRPr="00972958" w:rsidRDefault="00EE53AD">
      <w:pPr>
        <w:pStyle w:val="Heading3"/>
        <w:topLinePunct/>
      </w:pPr>
      <w:r w:rsidRPr="00972958">
        <w:rPr>
          <w:rFonts w:hint="eastAsia"/>
          <w:lang w:val="zh-CN"/>
        </w:rPr>
        <w:t>在多边基金</w:t>
      </w:r>
      <w:r w:rsidRPr="00972958">
        <w:t>2024-2026</w:t>
      </w:r>
      <w:r w:rsidRPr="00972958">
        <w:rPr>
          <w:rFonts w:hint="eastAsia"/>
          <w:lang w:val="zh-CN"/>
        </w:rPr>
        <w:t>年三年期行政费用机制之外</w:t>
      </w:r>
      <w:r w:rsidRPr="00972958">
        <w:rPr>
          <w:rFonts w:hint="eastAsia"/>
        </w:rPr>
        <w:t>，</w:t>
      </w:r>
      <w:r w:rsidRPr="00972958">
        <w:rPr>
          <w:rFonts w:hint="eastAsia"/>
          <w:lang w:val="zh-CN"/>
        </w:rPr>
        <w:t>向作为牵头或合作机构的每个双边和执行机构提供一次性资金</w:t>
      </w:r>
      <w:r w:rsidRPr="00972958">
        <w:t>7,500</w:t>
      </w:r>
      <w:r w:rsidRPr="00972958">
        <w:rPr>
          <w:rFonts w:hint="eastAsia"/>
          <w:lang w:val="zh-CN"/>
        </w:rPr>
        <w:t>美元</w:t>
      </w:r>
      <w:r w:rsidRPr="00972958">
        <w:rPr>
          <w:rFonts w:hint="eastAsia"/>
        </w:rPr>
        <w:t>，</w:t>
      </w:r>
      <w:r w:rsidRPr="00972958">
        <w:rPr>
          <w:rFonts w:hint="eastAsia"/>
          <w:lang w:val="zh-CN"/>
        </w:rPr>
        <w:t>作为向每个低消费量国家实施基加利氢氟碳化物实施计划提供的技术和政策支助</w:t>
      </w:r>
      <w:r w:rsidRPr="00972958">
        <w:rPr>
          <w:rFonts w:hint="eastAsia"/>
        </w:rPr>
        <w:t>，</w:t>
      </w:r>
      <w:r w:rsidRPr="00972958">
        <w:rPr>
          <w:rFonts w:hint="eastAsia"/>
          <w:lang w:val="zh-CN"/>
        </w:rPr>
        <w:t>但有一项谅解</w:t>
      </w:r>
      <w:r w:rsidRPr="00972958">
        <w:rPr>
          <w:rFonts w:hint="eastAsia"/>
        </w:rPr>
        <w:t>：</w:t>
      </w:r>
    </w:p>
    <w:p w14:paraId="04D60A44" w14:textId="77777777" w:rsidR="00EE53AD" w:rsidRPr="00972958" w:rsidRDefault="00EE53AD">
      <w:pPr>
        <w:pStyle w:val="Header4"/>
        <w:numPr>
          <w:ilvl w:val="0"/>
          <w:numId w:val="21"/>
        </w:numPr>
        <w:tabs>
          <w:tab w:val="clear" w:pos="3600"/>
          <w:tab w:val="num" w:pos="2880"/>
        </w:tabs>
        <w:topLinePunct/>
        <w:ind w:left="2880" w:hanging="720"/>
      </w:pPr>
      <w:r w:rsidRPr="00972958">
        <w:rPr>
          <w:rFonts w:hint="eastAsia"/>
          <w:lang w:val="zh-CN"/>
        </w:rPr>
        <w:t>资金的申请应遵循包括业务规划在内的既定做法</w:t>
      </w:r>
      <w:r w:rsidRPr="00972958">
        <w:rPr>
          <w:rFonts w:hint="eastAsia"/>
        </w:rPr>
        <w:t>，</w:t>
      </w:r>
      <w:r w:rsidRPr="00972958">
        <w:rPr>
          <w:rFonts w:hint="eastAsia"/>
          <w:lang w:val="zh-CN"/>
        </w:rPr>
        <w:t>并应列入机构的双边合作、工作方案或工作方案修正案</w:t>
      </w:r>
      <w:r w:rsidRPr="00972958">
        <w:rPr>
          <w:rFonts w:hint="eastAsia"/>
        </w:rPr>
        <w:t>，</w:t>
      </w:r>
      <w:r w:rsidRPr="00972958">
        <w:rPr>
          <w:rFonts w:hint="eastAsia"/>
          <w:lang w:val="zh-CN"/>
        </w:rPr>
        <w:t>以及由此项资金产生的活动应在批准之日起</w:t>
      </w:r>
      <w:r w:rsidRPr="00972958">
        <w:t>24</w:t>
      </w:r>
      <w:r w:rsidRPr="00972958">
        <w:rPr>
          <w:rFonts w:hint="eastAsia"/>
          <w:lang w:val="zh-CN"/>
        </w:rPr>
        <w:t>个月内完成</w:t>
      </w:r>
      <w:r w:rsidRPr="00972958">
        <w:rPr>
          <w:rFonts w:hint="eastAsia"/>
        </w:rPr>
        <w:t>；</w:t>
      </w:r>
    </w:p>
    <w:p w14:paraId="22547E17" w14:textId="77777777" w:rsidR="00EE53AD" w:rsidRPr="00972958" w:rsidRDefault="00EE53AD">
      <w:pPr>
        <w:pStyle w:val="Header4"/>
        <w:topLinePunct/>
      </w:pPr>
      <w:r w:rsidRPr="00972958">
        <w:rPr>
          <w:rFonts w:hint="eastAsia"/>
          <w:lang w:val="zh-CN"/>
        </w:rPr>
        <w:t>双边和执行机构作为其年度进度报告和财务报告的一部分</w:t>
      </w:r>
      <w:r w:rsidRPr="00972958">
        <w:rPr>
          <w:rFonts w:hint="eastAsia"/>
        </w:rPr>
        <w:t>，</w:t>
      </w:r>
      <w:r w:rsidRPr="00972958">
        <w:rPr>
          <w:rFonts w:hint="eastAsia"/>
          <w:lang w:val="zh-CN"/>
        </w:rPr>
        <w:t>将就其向所有国家提供的技术和政策支助活动及其影响提出报告</w:t>
      </w:r>
      <w:r w:rsidRPr="00972958">
        <w:rPr>
          <w:rFonts w:hint="eastAsia"/>
        </w:rPr>
        <w:t>；</w:t>
      </w:r>
      <w:r w:rsidRPr="00972958">
        <w:rPr>
          <w:rFonts w:hint="eastAsia"/>
          <w:lang w:val="zh-CN"/>
        </w:rPr>
        <w:t>和</w:t>
      </w:r>
    </w:p>
    <w:p w14:paraId="1E75F25A" w14:textId="77777777" w:rsidR="00EE53AD" w:rsidRDefault="00EE53AD">
      <w:pPr>
        <w:pStyle w:val="Heading2"/>
        <w:topLinePunct/>
        <w:rPr>
          <w:szCs w:val="24"/>
        </w:rPr>
      </w:pPr>
      <w:r w:rsidRPr="00972958">
        <w:rPr>
          <w:rFonts w:hint="eastAsia"/>
          <w:lang w:val="zh-CN"/>
        </w:rPr>
        <w:t>在</w:t>
      </w:r>
      <w:r w:rsidRPr="00972958">
        <w:t>2026</w:t>
      </w:r>
      <w:r w:rsidRPr="00972958">
        <w:rPr>
          <w:rFonts w:hint="eastAsia"/>
          <w:lang w:val="zh-CN"/>
        </w:rPr>
        <w:t>年最后举行的一次会议</w:t>
      </w:r>
      <w:r w:rsidRPr="00972958">
        <w:rPr>
          <w:rFonts w:hint="eastAsia"/>
        </w:rPr>
        <w:t>，</w:t>
      </w:r>
      <w:r w:rsidRPr="00972958">
        <w:rPr>
          <w:rFonts w:hint="eastAsia"/>
          <w:lang w:val="zh-CN"/>
        </w:rPr>
        <w:t>即在</w:t>
      </w:r>
      <w:r w:rsidRPr="00972958">
        <w:t>2024-2026</w:t>
      </w:r>
      <w:r w:rsidRPr="00972958">
        <w:rPr>
          <w:rFonts w:hint="eastAsia"/>
          <w:lang w:val="zh-CN"/>
        </w:rPr>
        <w:t>年三年期举行的最后一次会议</w:t>
      </w:r>
      <w:r w:rsidRPr="00972958">
        <w:rPr>
          <w:rFonts w:hint="eastAsia"/>
        </w:rPr>
        <w:t>，</w:t>
      </w:r>
      <w:r w:rsidRPr="00972958">
        <w:rPr>
          <w:rFonts w:hint="eastAsia"/>
          <w:lang w:val="zh-CN"/>
        </w:rPr>
        <w:t>审查行政费用机制及其核心单位供资预算</w:t>
      </w:r>
      <w:r w:rsidRPr="00972958">
        <w:rPr>
          <w:rFonts w:hint="eastAsia"/>
        </w:rPr>
        <w:t>，</w:t>
      </w:r>
      <w:r w:rsidRPr="00972958">
        <w:rPr>
          <w:rFonts w:hint="eastAsia"/>
          <w:lang w:val="zh-CN"/>
        </w:rPr>
        <w:t>包括审查</w:t>
      </w:r>
      <w:r w:rsidRPr="00972958">
        <w:t>(b)</w:t>
      </w:r>
      <w:r w:rsidRPr="00972958">
        <w:rPr>
          <w:rFonts w:hint="eastAsia"/>
          <w:lang w:val="zh-CN"/>
        </w:rPr>
        <w:t>分段的实施情况。</w:t>
      </w:r>
      <w:r>
        <w:rPr>
          <w:szCs w:val="24"/>
        </w:rPr>
        <w:t xml:space="preserve"> </w:t>
      </w:r>
    </w:p>
    <w:tbl>
      <w:tblPr>
        <w:tblW w:w="0" w:type="auto"/>
        <w:tblLayout w:type="fixed"/>
        <w:tblLook w:val="00A0" w:firstRow="1" w:lastRow="0" w:firstColumn="1" w:lastColumn="0" w:noHBand="0" w:noVBand="0"/>
      </w:tblPr>
      <w:tblGrid>
        <w:gridCol w:w="1871"/>
        <w:gridCol w:w="1872"/>
        <w:gridCol w:w="1872"/>
        <w:gridCol w:w="1872"/>
        <w:gridCol w:w="1873"/>
      </w:tblGrid>
      <w:tr w:rsidR="00EE53AD" w14:paraId="0AAA6D7D" w14:textId="77777777">
        <w:tc>
          <w:tcPr>
            <w:tcW w:w="1871" w:type="dxa"/>
          </w:tcPr>
          <w:p w14:paraId="2DDF30CD" w14:textId="77777777" w:rsidR="00EE53AD" w:rsidRDefault="00EE53AD">
            <w:pPr>
              <w:topLinePunct/>
              <w:rPr>
                <w:szCs w:val="24"/>
              </w:rPr>
            </w:pPr>
          </w:p>
        </w:tc>
        <w:tc>
          <w:tcPr>
            <w:tcW w:w="1872" w:type="dxa"/>
          </w:tcPr>
          <w:p w14:paraId="665FF499" w14:textId="77777777" w:rsidR="00EE53AD" w:rsidRDefault="00EE53AD">
            <w:pPr>
              <w:topLinePunct/>
              <w:rPr>
                <w:szCs w:val="24"/>
              </w:rPr>
            </w:pPr>
          </w:p>
        </w:tc>
        <w:tc>
          <w:tcPr>
            <w:tcW w:w="1872" w:type="dxa"/>
            <w:tcBorders>
              <w:bottom w:val="single" w:sz="4" w:space="0" w:color="auto"/>
            </w:tcBorders>
          </w:tcPr>
          <w:p w14:paraId="0A378068" w14:textId="77777777" w:rsidR="00EE53AD" w:rsidRDefault="00EE53AD">
            <w:pPr>
              <w:topLinePunct/>
              <w:rPr>
                <w:szCs w:val="24"/>
              </w:rPr>
            </w:pPr>
          </w:p>
        </w:tc>
        <w:tc>
          <w:tcPr>
            <w:tcW w:w="1872" w:type="dxa"/>
          </w:tcPr>
          <w:p w14:paraId="0E45BBB3" w14:textId="77777777" w:rsidR="00EE53AD" w:rsidRDefault="00EE53AD">
            <w:pPr>
              <w:topLinePunct/>
              <w:rPr>
                <w:szCs w:val="24"/>
              </w:rPr>
            </w:pPr>
          </w:p>
        </w:tc>
        <w:tc>
          <w:tcPr>
            <w:tcW w:w="1873" w:type="dxa"/>
          </w:tcPr>
          <w:p w14:paraId="243E720F" w14:textId="77777777" w:rsidR="00EE53AD" w:rsidRDefault="00EE53AD">
            <w:pPr>
              <w:topLinePunct/>
              <w:rPr>
                <w:szCs w:val="24"/>
              </w:rPr>
            </w:pPr>
          </w:p>
        </w:tc>
      </w:tr>
    </w:tbl>
    <w:p w14:paraId="47370530" w14:textId="77777777" w:rsidR="00EE53AD" w:rsidRDefault="00EE53AD">
      <w:pPr>
        <w:topLinePunct/>
        <w:rPr>
          <w:szCs w:val="24"/>
        </w:rPr>
      </w:pPr>
    </w:p>
    <w:sectPr w:rsidR="00EE53AD" w:rsidSect="00EE53A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C88A5" w14:textId="77777777" w:rsidR="00D321D0" w:rsidRDefault="00D321D0">
      <w:pPr>
        <w:rPr>
          <w:szCs w:val="24"/>
        </w:rPr>
      </w:pPr>
      <w:r>
        <w:rPr>
          <w:szCs w:val="24"/>
        </w:rPr>
        <w:separator/>
      </w:r>
    </w:p>
  </w:endnote>
  <w:endnote w:type="continuationSeparator" w:id="0">
    <w:p w14:paraId="096EDF4C" w14:textId="77777777" w:rsidR="00D321D0" w:rsidRDefault="00D321D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A383A" w14:textId="77777777" w:rsidR="00EE53AD" w:rsidRDefault="00EE53AD">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24997" w14:textId="77777777" w:rsidR="00EE53AD" w:rsidRDefault="00EE53AD">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73C4A" w14:textId="77777777" w:rsidR="00EE53AD" w:rsidRPr="003F186B" w:rsidRDefault="00EE53AD" w:rsidP="00576289">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04A0DB72" w14:textId="77777777" w:rsidR="00EE53AD" w:rsidRPr="00576289" w:rsidRDefault="00EE53AD" w:rsidP="00576289">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A5ADD" w14:textId="77777777" w:rsidR="00D321D0" w:rsidRDefault="00D321D0">
      <w:pPr>
        <w:rPr>
          <w:szCs w:val="24"/>
        </w:rPr>
      </w:pPr>
      <w:r>
        <w:rPr>
          <w:szCs w:val="24"/>
        </w:rPr>
        <w:separator/>
      </w:r>
    </w:p>
  </w:footnote>
  <w:footnote w:type="continuationSeparator" w:id="0">
    <w:p w14:paraId="2F164FD6" w14:textId="77777777" w:rsidR="00D321D0" w:rsidRDefault="00D321D0">
      <w:pPr>
        <w:rPr>
          <w:szCs w:val="24"/>
        </w:rPr>
      </w:pPr>
      <w:r>
        <w:rPr>
          <w:szCs w:val="24"/>
        </w:rPr>
        <w:continuationSeparator/>
      </w:r>
    </w:p>
  </w:footnote>
  <w:footnote w:id="1">
    <w:p w14:paraId="0174E65A" w14:textId="77777777" w:rsidR="00EE53AD" w:rsidRDefault="00EE53AD" w:rsidP="00576289">
      <w:pPr>
        <w:pStyle w:val="FootnoteText"/>
      </w:pPr>
      <w:r w:rsidRPr="00972958">
        <w:rPr>
          <w:rStyle w:val="FootnoteReference"/>
        </w:rPr>
        <w:footnoteRef/>
      </w:r>
      <w:r w:rsidRPr="00972958">
        <w:t xml:space="preserve"> </w:t>
      </w:r>
      <w:r w:rsidRPr="00972958">
        <w:rPr>
          <w:noProof/>
        </w:rPr>
        <w:t>UNEP/OzL.Pro/ExCom/93/1</w:t>
      </w:r>
      <w:r w:rsidRPr="00972958">
        <w:rPr>
          <w:rFonts w:hint="eastAsia"/>
          <w:noProof/>
        </w:rPr>
        <w:t>。</w:t>
      </w:r>
    </w:p>
  </w:footnote>
  <w:footnote w:id="2">
    <w:p w14:paraId="7CB5BE05" w14:textId="77777777" w:rsidR="00EE53AD" w:rsidRDefault="00EE53AD">
      <w:pPr>
        <w:pStyle w:val="FootnoteText"/>
      </w:pPr>
      <w:r w:rsidRPr="00972958">
        <w:rPr>
          <w:rStyle w:val="FootnoteReference"/>
          <w:szCs w:val="24"/>
        </w:rPr>
        <w:footnoteRef/>
      </w:r>
      <w:r w:rsidRPr="00972958">
        <w:rPr>
          <w:szCs w:val="24"/>
        </w:rPr>
        <w:t xml:space="preserve"> </w:t>
      </w:r>
      <w:r w:rsidRPr="00972958">
        <w:rPr>
          <w:szCs w:val="24"/>
          <w:lang w:val="zh-CN"/>
        </w:rPr>
        <w:t>2023</w:t>
      </w:r>
      <w:r w:rsidRPr="00972958">
        <w:rPr>
          <w:rFonts w:hint="eastAsia"/>
          <w:szCs w:val="24"/>
          <w:lang w:val="zh-CN"/>
        </w:rPr>
        <w:t>年</w:t>
      </w:r>
      <w:r w:rsidRPr="00972958">
        <w:rPr>
          <w:szCs w:val="24"/>
          <w:lang w:val="zh-CN"/>
        </w:rPr>
        <w:t>10</w:t>
      </w:r>
      <w:r w:rsidRPr="00972958">
        <w:rPr>
          <w:rFonts w:hint="eastAsia"/>
          <w:szCs w:val="24"/>
          <w:lang w:val="zh-CN"/>
        </w:rPr>
        <w:t>月</w:t>
      </w:r>
      <w:r w:rsidRPr="00972958">
        <w:rPr>
          <w:szCs w:val="24"/>
          <w:lang w:val="zh-CN"/>
        </w:rPr>
        <w:t>23-27</w:t>
      </w:r>
      <w:r w:rsidRPr="00972958">
        <w:rPr>
          <w:rFonts w:hint="eastAsia"/>
          <w:szCs w:val="24"/>
          <w:lang w:val="zh-CN"/>
        </w:rPr>
        <w:t>日，内罗毕。</w:t>
      </w:r>
    </w:p>
  </w:footnote>
  <w:footnote w:id="3">
    <w:p w14:paraId="6347AFEA" w14:textId="77777777" w:rsidR="00EE53AD" w:rsidRDefault="00EE53AD">
      <w:pPr>
        <w:pStyle w:val="FootnoteText"/>
      </w:pPr>
      <w:r w:rsidRPr="00972958">
        <w:rPr>
          <w:rStyle w:val="FootnoteReference"/>
          <w:szCs w:val="24"/>
        </w:rPr>
        <w:footnoteRef/>
      </w:r>
      <w:r w:rsidRPr="00972958">
        <w:rPr>
          <w:szCs w:val="24"/>
        </w:rPr>
        <w:t xml:space="preserve"> </w:t>
      </w:r>
      <w:r w:rsidRPr="00972958">
        <w:rPr>
          <w:szCs w:val="24"/>
          <w:lang w:val="zh-CN"/>
        </w:rPr>
        <w:t>UNEP/OzL.Pro/ExCom/93/25</w:t>
      </w:r>
      <w:r w:rsidRPr="00972958">
        <w:rPr>
          <w:rFonts w:hint="eastAsia"/>
          <w:szCs w:val="24"/>
          <w:lang w:val="zh-CN"/>
        </w:rPr>
        <w:t>。</w:t>
      </w:r>
    </w:p>
  </w:footnote>
  <w:footnote w:id="4">
    <w:p w14:paraId="5034912D"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环境署</w:t>
      </w:r>
      <w:r w:rsidRPr="00972958">
        <w:rPr>
          <w:szCs w:val="24"/>
          <w:lang w:val="zh-CN"/>
        </w:rPr>
        <w:t>2024</w:t>
      </w:r>
      <w:r w:rsidRPr="00972958">
        <w:rPr>
          <w:rFonts w:hint="eastAsia"/>
          <w:szCs w:val="24"/>
          <w:lang w:val="zh-CN"/>
        </w:rPr>
        <w:t>年履约协助方案（</w:t>
      </w:r>
      <w:r w:rsidRPr="00972958">
        <w:rPr>
          <w:szCs w:val="24"/>
          <w:lang w:val="zh-CN"/>
        </w:rPr>
        <w:t>UNEP/OzL.Pro/ExCom/93/94</w:t>
      </w:r>
      <w:r w:rsidRPr="00972958">
        <w:rPr>
          <w:rFonts w:hint="eastAsia"/>
          <w:szCs w:val="24"/>
          <w:lang w:val="zh-CN"/>
        </w:rPr>
        <w:t>）和开发署、工发组织和世界银行</w:t>
      </w:r>
      <w:r w:rsidRPr="00972958">
        <w:rPr>
          <w:szCs w:val="24"/>
          <w:lang w:val="zh-CN"/>
        </w:rPr>
        <w:t>2024</w:t>
      </w:r>
      <w:r w:rsidRPr="00972958">
        <w:rPr>
          <w:rFonts w:hint="eastAsia"/>
          <w:szCs w:val="24"/>
          <w:lang w:val="zh-CN"/>
        </w:rPr>
        <w:t>年核心单位费用（</w:t>
      </w:r>
      <w:r w:rsidRPr="00972958">
        <w:rPr>
          <w:szCs w:val="24"/>
          <w:lang w:val="zh-CN"/>
        </w:rPr>
        <w:t>UNEP/OzL.Pro/ExCom/93/95</w:t>
      </w:r>
      <w:r w:rsidRPr="00972958">
        <w:rPr>
          <w:rFonts w:hint="eastAsia"/>
          <w:szCs w:val="24"/>
          <w:lang w:val="zh-CN"/>
        </w:rPr>
        <w:t>）都将在第九十三次会议期间审议。</w:t>
      </w:r>
    </w:p>
  </w:footnote>
  <w:footnote w:id="5">
    <w:p w14:paraId="0BB25E24" w14:textId="77777777" w:rsidR="00EE53AD" w:rsidRDefault="00EE53AD">
      <w:pPr>
        <w:pStyle w:val="FootnoteText"/>
      </w:pPr>
      <w:r>
        <w:rPr>
          <w:rStyle w:val="FootnoteReference"/>
        </w:rPr>
        <w:footnoteRef/>
      </w:r>
      <w:r>
        <w:t xml:space="preserve"> </w:t>
      </w:r>
      <w:r w:rsidRPr="00887CEE">
        <w:t>UNEP/</w:t>
      </w:r>
      <w:proofErr w:type="spellStart"/>
      <w:r w:rsidRPr="00887CEE">
        <w:t>OzL.Pro</w:t>
      </w:r>
      <w:proofErr w:type="spellEnd"/>
      <w:r w:rsidRPr="00887CEE">
        <w:t>/ExCom/91/67</w:t>
      </w:r>
      <w:r>
        <w:rPr>
          <w:rFonts w:hint="eastAsia"/>
        </w:rPr>
        <w:t>号文件。</w:t>
      </w:r>
    </w:p>
  </w:footnote>
  <w:footnote w:id="6">
    <w:p w14:paraId="54D2490B"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缔约方大会第八届会议（</w:t>
      </w:r>
      <w:r w:rsidRPr="00972958">
        <w:rPr>
          <w:szCs w:val="24"/>
          <w:lang w:val="zh-CN"/>
        </w:rPr>
        <w:t>1996</w:t>
      </w:r>
      <w:r w:rsidRPr="00972958">
        <w:rPr>
          <w:rFonts w:hint="eastAsia"/>
          <w:szCs w:val="24"/>
          <w:lang w:val="zh-CN"/>
        </w:rPr>
        <w:t>年</w:t>
      </w:r>
      <w:r w:rsidRPr="00972958">
        <w:rPr>
          <w:szCs w:val="24"/>
          <w:lang w:val="zh-CN"/>
        </w:rPr>
        <w:t>12</w:t>
      </w:r>
      <w:r w:rsidRPr="00972958">
        <w:rPr>
          <w:rFonts w:hint="eastAsia"/>
          <w:szCs w:val="24"/>
          <w:lang w:val="zh-CN"/>
        </w:rPr>
        <w:t>月）第</w:t>
      </w:r>
      <w:r w:rsidRPr="00972958">
        <w:rPr>
          <w:szCs w:val="24"/>
          <w:lang w:val="zh-CN"/>
        </w:rPr>
        <w:t>VIII/4</w:t>
      </w:r>
      <w:r w:rsidRPr="00972958">
        <w:rPr>
          <w:rFonts w:hint="eastAsia"/>
          <w:szCs w:val="24"/>
          <w:lang w:val="zh-CN"/>
        </w:rPr>
        <w:t>号决定除其他外请执行委员会在未来三年努力实现将机构支助费用从当前的</w:t>
      </w:r>
      <w:r w:rsidRPr="00972958">
        <w:rPr>
          <w:szCs w:val="24"/>
          <w:lang w:val="zh-CN"/>
        </w:rPr>
        <w:t>13%</w:t>
      </w:r>
      <w:r w:rsidRPr="00972958">
        <w:rPr>
          <w:rFonts w:hint="eastAsia"/>
          <w:szCs w:val="24"/>
          <w:lang w:val="zh-CN"/>
        </w:rPr>
        <w:t>水平降低到平均</w:t>
      </w:r>
      <w:r w:rsidRPr="00972958">
        <w:rPr>
          <w:szCs w:val="24"/>
          <w:lang w:val="zh-CN"/>
        </w:rPr>
        <w:t>10%</w:t>
      </w:r>
      <w:r w:rsidRPr="00972958">
        <w:rPr>
          <w:rFonts w:hint="eastAsia"/>
          <w:szCs w:val="24"/>
          <w:lang w:val="zh-CN"/>
        </w:rPr>
        <w:t>以下，以便把更多资金用于其他活动。执行委员会第二十五次会议决定</w:t>
      </w:r>
      <w:r w:rsidRPr="00972958">
        <w:rPr>
          <w:rFonts w:hint="eastAsia"/>
          <w:szCs w:val="24"/>
          <w:lang w:val="en-US"/>
        </w:rPr>
        <w:t>：（</w:t>
      </w:r>
      <w:r w:rsidRPr="00972958">
        <w:rPr>
          <w:szCs w:val="24"/>
          <w:lang w:val="en-US"/>
        </w:rPr>
        <w:t>a</w:t>
      </w:r>
      <w:r w:rsidRPr="00972958">
        <w:rPr>
          <w:rFonts w:hint="eastAsia"/>
          <w:szCs w:val="24"/>
          <w:lang w:val="en-US"/>
        </w:rPr>
        <w:t>）</w:t>
      </w:r>
      <w:r w:rsidRPr="00972958">
        <w:rPr>
          <w:rFonts w:hint="eastAsia"/>
          <w:szCs w:val="24"/>
          <w:lang w:val="zh-CN"/>
        </w:rPr>
        <w:t>把对这个问题</w:t>
      </w:r>
      <w:r w:rsidRPr="00972958">
        <w:rPr>
          <w:rFonts w:hint="eastAsia"/>
          <w:szCs w:val="24"/>
          <w:lang w:val="en-US"/>
        </w:rPr>
        <w:t>（</w:t>
      </w:r>
      <w:r w:rsidRPr="00972958">
        <w:rPr>
          <w:rFonts w:hint="eastAsia"/>
          <w:szCs w:val="24"/>
          <w:lang w:val="zh-CN"/>
        </w:rPr>
        <w:t>执行机构的行政费用</w:t>
      </w:r>
      <w:r w:rsidRPr="00972958">
        <w:rPr>
          <w:rFonts w:hint="eastAsia"/>
          <w:szCs w:val="24"/>
          <w:lang w:val="en-US"/>
        </w:rPr>
        <w:t>）</w:t>
      </w:r>
      <w:r w:rsidRPr="00972958">
        <w:rPr>
          <w:rFonts w:hint="eastAsia"/>
          <w:szCs w:val="24"/>
          <w:lang w:val="zh-CN"/>
        </w:rPr>
        <w:t>的审议推迟到第二十六次会议进行</w:t>
      </w:r>
      <w:r w:rsidRPr="00972958">
        <w:rPr>
          <w:rFonts w:hint="eastAsia"/>
          <w:szCs w:val="24"/>
          <w:lang w:val="en-US"/>
        </w:rPr>
        <w:t>；（</w:t>
      </w:r>
      <w:r w:rsidRPr="00972958">
        <w:rPr>
          <w:szCs w:val="24"/>
          <w:lang w:val="en-US"/>
        </w:rPr>
        <w:t>b</w:t>
      </w:r>
      <w:r w:rsidRPr="00972958">
        <w:rPr>
          <w:rFonts w:hint="eastAsia"/>
          <w:szCs w:val="24"/>
          <w:lang w:val="en-US"/>
        </w:rPr>
        <w:t>）</w:t>
      </w:r>
      <w:r w:rsidRPr="00972958">
        <w:rPr>
          <w:rFonts w:hint="eastAsia"/>
          <w:szCs w:val="24"/>
          <w:lang w:val="zh-CN"/>
        </w:rPr>
        <w:t>请各执行机构在编制其</w:t>
      </w:r>
      <w:r w:rsidRPr="00972958">
        <w:rPr>
          <w:szCs w:val="24"/>
          <w:lang w:val="en-US"/>
        </w:rPr>
        <w:t>1999</w:t>
      </w:r>
      <w:r w:rsidRPr="00972958">
        <w:rPr>
          <w:rFonts w:hint="eastAsia"/>
          <w:szCs w:val="24"/>
          <w:lang w:val="zh-CN"/>
        </w:rPr>
        <w:t>年业务计划时考虑到在讨论期间提出的建议和发表的意见</w:t>
      </w:r>
      <w:r w:rsidRPr="00972958">
        <w:rPr>
          <w:rFonts w:hint="eastAsia"/>
          <w:szCs w:val="24"/>
          <w:lang w:val="en-US"/>
        </w:rPr>
        <w:t>，</w:t>
      </w:r>
      <w:r w:rsidRPr="00972958">
        <w:rPr>
          <w:rFonts w:hint="eastAsia"/>
          <w:szCs w:val="24"/>
          <w:lang w:val="zh-CN"/>
        </w:rPr>
        <w:t>以便实现把机构支助费用从当前的</w:t>
      </w:r>
      <w:r w:rsidRPr="00972958">
        <w:rPr>
          <w:szCs w:val="24"/>
          <w:lang w:val="en-US"/>
        </w:rPr>
        <w:t>13%</w:t>
      </w:r>
      <w:r w:rsidRPr="00972958">
        <w:rPr>
          <w:rFonts w:hint="eastAsia"/>
          <w:szCs w:val="24"/>
          <w:lang w:val="zh-CN"/>
        </w:rPr>
        <w:t>水平降低到平均</w:t>
      </w:r>
      <w:r w:rsidRPr="00972958">
        <w:rPr>
          <w:szCs w:val="24"/>
          <w:lang w:val="en-US"/>
        </w:rPr>
        <w:t>10%</w:t>
      </w:r>
      <w:r w:rsidRPr="00972958">
        <w:rPr>
          <w:rFonts w:hint="eastAsia"/>
          <w:szCs w:val="24"/>
          <w:lang w:val="zh-CN"/>
        </w:rPr>
        <w:t>水平以下</w:t>
      </w:r>
      <w:r w:rsidRPr="00972958">
        <w:rPr>
          <w:rFonts w:hint="eastAsia"/>
          <w:szCs w:val="24"/>
          <w:lang w:val="en-US"/>
        </w:rPr>
        <w:t>，</w:t>
      </w:r>
      <w:r w:rsidRPr="00972958">
        <w:rPr>
          <w:rFonts w:hint="eastAsia"/>
          <w:szCs w:val="24"/>
          <w:lang w:val="zh-CN"/>
        </w:rPr>
        <w:t>从而可以把更多资金用于其他活动</w:t>
      </w:r>
      <w:r w:rsidRPr="00972958">
        <w:rPr>
          <w:rFonts w:hint="eastAsia"/>
          <w:szCs w:val="24"/>
          <w:lang w:val="en-US"/>
        </w:rPr>
        <w:t>（</w:t>
      </w:r>
      <w:r w:rsidRPr="00972958">
        <w:rPr>
          <w:rFonts w:hint="eastAsia"/>
          <w:szCs w:val="24"/>
          <w:lang w:val="zh-CN"/>
        </w:rPr>
        <w:t>第</w:t>
      </w:r>
      <w:r w:rsidRPr="00972958">
        <w:rPr>
          <w:szCs w:val="24"/>
          <w:lang w:val="en-US"/>
        </w:rPr>
        <w:t>25/54</w:t>
      </w:r>
      <w:r w:rsidRPr="00972958">
        <w:rPr>
          <w:rFonts w:hint="eastAsia"/>
          <w:szCs w:val="24"/>
          <w:lang w:val="zh-CN"/>
        </w:rPr>
        <w:t>号决定</w:t>
      </w:r>
      <w:r w:rsidRPr="00972958">
        <w:rPr>
          <w:rFonts w:hint="eastAsia"/>
          <w:szCs w:val="24"/>
          <w:lang w:val="en-US"/>
        </w:rPr>
        <w:t>）</w:t>
      </w:r>
      <w:r w:rsidRPr="00972958">
        <w:rPr>
          <w:rFonts w:hint="eastAsia"/>
          <w:szCs w:val="24"/>
          <w:lang w:val="zh-CN"/>
        </w:rPr>
        <w:t>。执行委员会第二十九次会议决定追补供资项目的行政支助费用的费率应该为</w:t>
      </w:r>
      <w:r w:rsidRPr="00972958">
        <w:rPr>
          <w:szCs w:val="24"/>
          <w:lang w:val="en-US"/>
        </w:rPr>
        <w:t>6%</w:t>
      </w:r>
      <w:r w:rsidRPr="00972958">
        <w:rPr>
          <w:rFonts w:hint="eastAsia"/>
          <w:szCs w:val="24"/>
          <w:lang w:val="en-US"/>
        </w:rPr>
        <w:t>（</w:t>
      </w:r>
      <w:r w:rsidRPr="00972958">
        <w:rPr>
          <w:rFonts w:hint="eastAsia"/>
          <w:szCs w:val="24"/>
          <w:lang w:val="zh-CN"/>
        </w:rPr>
        <w:t>第</w:t>
      </w:r>
      <w:r w:rsidRPr="00972958">
        <w:rPr>
          <w:szCs w:val="24"/>
          <w:lang w:val="en-US"/>
        </w:rPr>
        <w:t>29/72</w:t>
      </w:r>
      <w:r w:rsidRPr="00972958">
        <w:rPr>
          <w:rFonts w:hint="eastAsia"/>
          <w:szCs w:val="24"/>
          <w:lang w:val="zh-CN"/>
        </w:rPr>
        <w:t>号决定</w:t>
      </w:r>
      <w:r w:rsidRPr="00972958">
        <w:rPr>
          <w:rFonts w:hint="eastAsia"/>
          <w:szCs w:val="24"/>
          <w:lang w:val="en-US"/>
        </w:rPr>
        <w:t>）</w:t>
      </w:r>
      <w:r w:rsidRPr="00972958">
        <w:rPr>
          <w:rFonts w:hint="eastAsia"/>
          <w:szCs w:val="24"/>
          <w:lang w:val="zh-CN"/>
        </w:rPr>
        <w:t>。</w:t>
      </w:r>
      <w:r w:rsidRPr="00972958">
        <w:rPr>
          <w:szCs w:val="24"/>
        </w:rPr>
        <w:t xml:space="preserve">  </w:t>
      </w:r>
    </w:p>
  </w:footnote>
  <w:footnote w:id="7">
    <w:p w14:paraId="22490D27"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审查</w:t>
      </w:r>
      <w:r w:rsidRPr="00972958">
        <w:rPr>
          <w:szCs w:val="24"/>
          <w:lang w:val="zh-CN"/>
        </w:rPr>
        <w:t>2015-2017</w:t>
      </w:r>
      <w:r w:rsidRPr="00972958">
        <w:rPr>
          <w:rFonts w:hint="eastAsia"/>
          <w:szCs w:val="24"/>
          <w:lang w:val="zh-CN"/>
        </w:rPr>
        <w:t>年三年期行政费用机制的文件也作出类似分析（</w:t>
      </w:r>
      <w:r w:rsidRPr="00972958">
        <w:rPr>
          <w:szCs w:val="24"/>
          <w:lang w:val="zh-CN"/>
        </w:rPr>
        <w:t>UNEP/OzL.Pro/ExCom/73/51</w:t>
      </w:r>
      <w:r w:rsidRPr="00972958">
        <w:rPr>
          <w:rFonts w:hint="eastAsia"/>
          <w:szCs w:val="24"/>
          <w:lang w:val="zh-CN"/>
        </w:rPr>
        <w:t>）。表</w:t>
      </w:r>
      <w:r w:rsidRPr="00972958">
        <w:rPr>
          <w:szCs w:val="24"/>
          <w:lang w:val="en-US"/>
        </w:rPr>
        <w:t>1</w:t>
      </w:r>
      <w:r w:rsidRPr="00972958">
        <w:rPr>
          <w:rFonts w:hint="eastAsia"/>
          <w:szCs w:val="24"/>
          <w:lang w:val="zh-CN"/>
        </w:rPr>
        <w:t>所列数字的一些微小差异是由于项目已经关闭并且结余也已退还基金或项目已经转移给其他机构。</w:t>
      </w:r>
    </w:p>
  </w:footnote>
  <w:footnote w:id="8">
    <w:p w14:paraId="678A690F"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根据多边基金</w:t>
      </w:r>
      <w:r w:rsidRPr="00972958">
        <w:rPr>
          <w:szCs w:val="24"/>
          <w:lang w:val="zh-CN"/>
        </w:rPr>
        <w:t>2024-2026</w:t>
      </w:r>
      <w:r w:rsidRPr="00972958">
        <w:rPr>
          <w:rFonts w:hint="eastAsia"/>
          <w:szCs w:val="24"/>
          <w:lang w:val="zh-CN"/>
        </w:rPr>
        <w:t>年综合业务计划（</w:t>
      </w:r>
      <w:r w:rsidRPr="00972958">
        <w:rPr>
          <w:szCs w:val="24"/>
          <w:lang w:val="zh-CN"/>
        </w:rPr>
        <w:t>UNEP/OzL.Pro/ExCom/93/25</w:t>
      </w:r>
      <w:r w:rsidRPr="00972958">
        <w:rPr>
          <w:rFonts w:hint="eastAsia"/>
          <w:szCs w:val="24"/>
          <w:lang w:val="zh-CN"/>
        </w:rPr>
        <w:t>）。</w:t>
      </w:r>
    </w:p>
  </w:footnote>
  <w:footnote w:id="9">
    <w:p w14:paraId="43ED40C3" w14:textId="77777777" w:rsidR="00EE53AD" w:rsidRDefault="00EE53AD">
      <w:pPr>
        <w:pStyle w:val="FootnoteText"/>
      </w:pPr>
      <w:r w:rsidRPr="00972958">
        <w:rPr>
          <w:rStyle w:val="FootnoteReference"/>
          <w:szCs w:val="24"/>
        </w:rPr>
        <w:footnoteRef/>
      </w:r>
      <w:r w:rsidRPr="00972958">
        <w:rPr>
          <w:szCs w:val="24"/>
        </w:rPr>
        <w:t xml:space="preserve"> </w:t>
      </w:r>
      <w:r w:rsidRPr="00972958">
        <w:rPr>
          <w:szCs w:val="24"/>
          <w:lang w:val="en-US"/>
        </w:rPr>
        <w:t>UNEP/</w:t>
      </w:r>
      <w:proofErr w:type="spellStart"/>
      <w:r w:rsidRPr="00972958">
        <w:rPr>
          <w:szCs w:val="24"/>
          <w:lang w:val="en-US"/>
        </w:rPr>
        <w:t>OzL.Pro</w:t>
      </w:r>
      <w:proofErr w:type="spellEnd"/>
      <w:r w:rsidRPr="00972958">
        <w:rPr>
          <w:szCs w:val="24"/>
          <w:lang w:val="en-US"/>
        </w:rPr>
        <w:t>/ExCom/93/25</w:t>
      </w:r>
      <w:r w:rsidRPr="00972958">
        <w:rPr>
          <w:rFonts w:hint="eastAsia"/>
          <w:szCs w:val="24"/>
          <w:lang w:val="zh-CN"/>
        </w:rPr>
        <w:t>。</w:t>
      </w:r>
    </w:p>
  </w:footnote>
  <w:footnote w:id="10">
    <w:p w14:paraId="7FDA4A49" w14:textId="77777777" w:rsidR="00EE53AD" w:rsidRDefault="00EE53AD">
      <w:pPr>
        <w:pStyle w:val="FootnoteText"/>
      </w:pPr>
      <w:r w:rsidRPr="00972958">
        <w:rPr>
          <w:rStyle w:val="FootnoteReference"/>
          <w:szCs w:val="24"/>
        </w:rPr>
        <w:footnoteRef/>
      </w:r>
      <w:r w:rsidRPr="00972958">
        <w:rPr>
          <w:szCs w:val="24"/>
        </w:rPr>
        <w:t xml:space="preserve"> </w:t>
      </w:r>
      <w:r w:rsidRPr="00972958">
        <w:rPr>
          <w:rStyle w:val="rynqvb"/>
          <w:rFonts w:hint="eastAsia"/>
          <w:szCs w:val="24"/>
          <w:lang w:val="zh-CN"/>
        </w:rPr>
        <w:t>在过去对行政费用机制进行审查时，人们认识到，一般来说，由于规模经济，大型项目的行政费用较低。另一方面</w:t>
      </w:r>
      <w:r w:rsidRPr="00972958">
        <w:rPr>
          <w:rStyle w:val="rynqvb"/>
          <w:rFonts w:hint="eastAsia"/>
          <w:szCs w:val="24"/>
          <w:lang w:val="en-US"/>
        </w:rPr>
        <w:t>，</w:t>
      </w:r>
      <w:r w:rsidRPr="00972958">
        <w:rPr>
          <w:rStyle w:val="rynqvb"/>
          <w:rFonts w:hint="eastAsia"/>
          <w:szCs w:val="24"/>
          <w:lang w:val="zh-CN"/>
        </w:rPr>
        <w:t>某些项目</w:t>
      </w:r>
      <w:r w:rsidRPr="00972958">
        <w:rPr>
          <w:rStyle w:val="rynqvb"/>
          <w:rFonts w:hint="eastAsia"/>
          <w:szCs w:val="24"/>
          <w:lang w:val="en-US"/>
        </w:rPr>
        <w:t>，</w:t>
      </w:r>
      <w:r w:rsidRPr="00972958">
        <w:rPr>
          <w:rStyle w:val="rynqvb"/>
          <w:rFonts w:hint="eastAsia"/>
          <w:szCs w:val="24"/>
          <w:lang w:val="zh-CN"/>
        </w:rPr>
        <w:t>例如主要在低消费量国家的非投资项目</w:t>
      </w:r>
      <w:r w:rsidRPr="00972958">
        <w:rPr>
          <w:rStyle w:val="rynqvb"/>
          <w:rFonts w:hint="eastAsia"/>
          <w:szCs w:val="24"/>
          <w:lang w:val="en-US"/>
        </w:rPr>
        <w:t>，</w:t>
      </w:r>
      <w:r w:rsidRPr="00972958">
        <w:rPr>
          <w:rStyle w:val="rynqvb"/>
          <w:rFonts w:hint="eastAsia"/>
          <w:szCs w:val="24"/>
          <w:lang w:val="zh-CN"/>
        </w:rPr>
        <w:t>包括小型项目</w:t>
      </w:r>
      <w:r w:rsidRPr="00972958">
        <w:rPr>
          <w:rStyle w:val="rynqvb"/>
          <w:rFonts w:hint="eastAsia"/>
          <w:szCs w:val="24"/>
          <w:lang w:val="en-US"/>
        </w:rPr>
        <w:t>，</w:t>
      </w:r>
      <w:r w:rsidRPr="00972958">
        <w:rPr>
          <w:rStyle w:val="rynqvb"/>
          <w:rFonts w:hint="eastAsia"/>
          <w:szCs w:val="24"/>
          <w:lang w:val="zh-CN"/>
        </w:rPr>
        <w:t>行政费用和交易费用都较高。因此</w:t>
      </w:r>
      <w:r w:rsidRPr="00972958">
        <w:rPr>
          <w:rStyle w:val="rynqvb"/>
          <w:rFonts w:hint="eastAsia"/>
          <w:szCs w:val="24"/>
          <w:lang w:val="en-US"/>
        </w:rPr>
        <w:t>，</w:t>
      </w:r>
      <w:r w:rsidRPr="00972958">
        <w:rPr>
          <w:rStyle w:val="rynqvb"/>
          <w:rFonts w:hint="eastAsia"/>
          <w:szCs w:val="24"/>
          <w:lang w:val="zh-CN"/>
        </w:rPr>
        <w:t>在调整方案支助费用时</w:t>
      </w:r>
      <w:r w:rsidRPr="00972958">
        <w:rPr>
          <w:rStyle w:val="rynqvb"/>
          <w:rFonts w:hint="eastAsia"/>
          <w:szCs w:val="24"/>
          <w:lang w:val="en-US"/>
        </w:rPr>
        <w:t>，</w:t>
      </w:r>
      <w:r w:rsidRPr="00972958">
        <w:rPr>
          <w:rStyle w:val="rynqvb"/>
          <w:rFonts w:hint="eastAsia"/>
          <w:szCs w:val="24"/>
          <w:lang w:val="zh-CN"/>
        </w:rPr>
        <w:t>必须考虑到这一事实</w:t>
      </w:r>
      <w:r w:rsidRPr="00972958">
        <w:rPr>
          <w:rStyle w:val="rynqvb"/>
          <w:rFonts w:hint="eastAsia"/>
          <w:szCs w:val="24"/>
          <w:lang w:val="en-US"/>
        </w:rPr>
        <w:t>，</w:t>
      </w:r>
      <w:r w:rsidRPr="00972958">
        <w:rPr>
          <w:rStyle w:val="rynqvb"/>
          <w:rFonts w:hint="eastAsia"/>
          <w:szCs w:val="24"/>
          <w:lang w:val="zh-CN"/>
        </w:rPr>
        <w:t>以确保不会对较小的项目</w:t>
      </w:r>
      <w:r w:rsidRPr="00972958">
        <w:rPr>
          <w:rStyle w:val="rynqvb"/>
          <w:szCs w:val="24"/>
          <w:lang w:val="en-US"/>
        </w:rPr>
        <w:t>/</w:t>
      </w:r>
      <w:r w:rsidRPr="00972958">
        <w:rPr>
          <w:rStyle w:val="rynqvb"/>
          <w:rFonts w:hint="eastAsia"/>
          <w:szCs w:val="24"/>
          <w:lang w:val="zh-CN"/>
        </w:rPr>
        <w:t>国家造成负面影响。</w:t>
      </w:r>
    </w:p>
  </w:footnote>
  <w:footnote w:id="11">
    <w:p w14:paraId="7460BD5D"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第</w:t>
      </w:r>
      <w:r w:rsidRPr="00972958">
        <w:rPr>
          <w:szCs w:val="24"/>
          <w:lang w:val="zh-CN"/>
        </w:rPr>
        <w:t>XXXV/1</w:t>
      </w:r>
      <w:r w:rsidRPr="00972958">
        <w:rPr>
          <w:rFonts w:hint="eastAsia"/>
          <w:szCs w:val="24"/>
          <w:lang w:val="zh-CN"/>
        </w:rPr>
        <w:t>号决定。</w:t>
      </w:r>
    </w:p>
  </w:footnote>
  <w:footnote w:id="12">
    <w:p w14:paraId="3E4D99E3"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根据中级专业人员人数的费用估计数。</w:t>
      </w:r>
    </w:p>
  </w:footnote>
  <w:footnote w:id="13">
    <w:p w14:paraId="4215721B"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目前，根据项目价值收取</w:t>
      </w:r>
      <w:r w:rsidRPr="00972958">
        <w:rPr>
          <w:szCs w:val="24"/>
          <w:lang w:val="zh-CN"/>
        </w:rPr>
        <w:t>7%</w:t>
      </w:r>
      <w:r w:rsidRPr="00972958">
        <w:rPr>
          <w:rFonts w:hint="eastAsia"/>
          <w:szCs w:val="24"/>
          <w:lang w:val="zh-CN"/>
        </w:rPr>
        <w:t>或</w:t>
      </w:r>
      <w:r w:rsidRPr="00972958">
        <w:rPr>
          <w:szCs w:val="24"/>
          <w:lang w:val="zh-CN"/>
        </w:rPr>
        <w:t>9%</w:t>
      </w:r>
      <w:r w:rsidRPr="00972958">
        <w:rPr>
          <w:rFonts w:hint="eastAsia"/>
          <w:szCs w:val="24"/>
          <w:lang w:val="zh-CN"/>
        </w:rPr>
        <w:t>的机构费用。</w:t>
      </w:r>
    </w:p>
  </w:footnote>
  <w:footnote w:id="14">
    <w:p w14:paraId="4BC74B14"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假设项目总价值不超过</w:t>
      </w:r>
      <w:r w:rsidRPr="00972958">
        <w:rPr>
          <w:szCs w:val="24"/>
          <w:lang w:val="en-US"/>
        </w:rPr>
        <w:t>500,000</w:t>
      </w:r>
      <w:r w:rsidRPr="00972958">
        <w:rPr>
          <w:rFonts w:hint="eastAsia"/>
          <w:szCs w:val="24"/>
          <w:lang w:val="zh-CN"/>
        </w:rPr>
        <w:t>美元。</w:t>
      </w:r>
    </w:p>
  </w:footnote>
  <w:footnote w:id="15">
    <w:p w14:paraId="37980CDE" w14:textId="77777777" w:rsidR="00EE53AD" w:rsidRDefault="00EE53AD">
      <w:pPr>
        <w:pStyle w:val="FootnoteText"/>
      </w:pPr>
      <w:r w:rsidRPr="00972958">
        <w:rPr>
          <w:rStyle w:val="FootnoteReference"/>
          <w:szCs w:val="24"/>
        </w:rPr>
        <w:footnoteRef/>
      </w:r>
      <w:r w:rsidRPr="00972958">
        <w:rPr>
          <w:szCs w:val="24"/>
        </w:rPr>
        <w:t xml:space="preserve"> </w:t>
      </w:r>
      <w:r w:rsidRPr="00972958">
        <w:rPr>
          <w:rFonts w:hint="eastAsia"/>
          <w:szCs w:val="24"/>
          <w:lang w:val="zh-CN"/>
        </w:rPr>
        <w:t>根据氟氯烃基准消费量。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D7A80" w14:textId="5AFAD26C" w:rsidR="00EE53AD" w:rsidRDefault="00000000">
    <w:pPr>
      <w:rPr>
        <w:szCs w:val="24"/>
      </w:rPr>
    </w:pPr>
    <w:r>
      <w:fldChar w:fldCharType="begin"/>
    </w:r>
    <w:r>
      <w:instrText xml:space="preserve"> DOCPROPERTY "Document number"  \* MERGEFORMAT </w:instrText>
    </w:r>
    <w:r>
      <w:fldChar w:fldCharType="separate"/>
    </w:r>
    <w:r w:rsidR="00EE7B66" w:rsidRPr="00EE7B66">
      <w:rPr>
        <w:szCs w:val="24"/>
      </w:rPr>
      <w:t>UNEP/</w:t>
    </w:r>
    <w:proofErr w:type="spellStart"/>
    <w:r w:rsidR="00EE7B66" w:rsidRPr="00EE7B66">
      <w:rPr>
        <w:szCs w:val="24"/>
      </w:rPr>
      <w:t>OzL.Pro</w:t>
    </w:r>
    <w:proofErr w:type="spellEnd"/>
    <w:r w:rsidR="00EE7B66" w:rsidRPr="00EE7B66">
      <w:rPr>
        <w:szCs w:val="24"/>
      </w:rPr>
      <w:t>/ExCom/93/101</w:t>
    </w:r>
    <w:r>
      <w:rPr>
        <w:szCs w:val="24"/>
      </w:rPr>
      <w:fldChar w:fldCharType="end"/>
    </w:r>
  </w:p>
  <w:p w14:paraId="34D15000" w14:textId="77777777" w:rsidR="00EE53AD" w:rsidRDefault="00EE53AD">
    <w:pPr>
      <w:rPr>
        <w:szCs w:val="24"/>
      </w:rPr>
    </w:pPr>
  </w:p>
  <w:p w14:paraId="5CF6DF1F" w14:textId="77777777" w:rsidR="00EE53AD" w:rsidRDefault="00EE53AD">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BB52" w14:textId="49AF8400" w:rsidR="00EE53AD" w:rsidRDefault="00000000">
    <w:pPr>
      <w:jc w:val="right"/>
      <w:rPr>
        <w:szCs w:val="24"/>
      </w:rPr>
    </w:pPr>
    <w:r>
      <w:fldChar w:fldCharType="begin"/>
    </w:r>
    <w:r>
      <w:instrText xml:space="preserve"> DOCPROPERTY "Document number"  \* MERGEFORMAT </w:instrText>
    </w:r>
    <w:r>
      <w:fldChar w:fldCharType="separate"/>
    </w:r>
    <w:r w:rsidR="00EE7B66" w:rsidRPr="00EE7B66">
      <w:rPr>
        <w:szCs w:val="24"/>
      </w:rPr>
      <w:t>UNEP/</w:t>
    </w:r>
    <w:proofErr w:type="spellStart"/>
    <w:r w:rsidR="00EE7B66" w:rsidRPr="00EE7B66">
      <w:rPr>
        <w:szCs w:val="24"/>
      </w:rPr>
      <w:t>OzL.Pro</w:t>
    </w:r>
    <w:proofErr w:type="spellEnd"/>
    <w:r w:rsidR="00EE7B66" w:rsidRPr="00EE7B66">
      <w:rPr>
        <w:szCs w:val="24"/>
      </w:rPr>
      <w:t>/ExCom/93/101</w:t>
    </w:r>
    <w:r>
      <w:rPr>
        <w:szCs w:val="24"/>
      </w:rPr>
      <w:fldChar w:fldCharType="end"/>
    </w:r>
  </w:p>
  <w:p w14:paraId="0643F7CF" w14:textId="77777777" w:rsidR="00EE53AD" w:rsidRDefault="00EE53AD">
    <w:pPr>
      <w:rPr>
        <w:szCs w:val="24"/>
      </w:rPr>
    </w:pPr>
  </w:p>
  <w:p w14:paraId="78866A75" w14:textId="77777777" w:rsidR="00EE53AD" w:rsidRDefault="00EE53AD">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EBE0AA6"/>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rPr>
    </w:lvl>
    <w:lvl w:ilvl="2">
      <w:start w:val="1"/>
      <w:numFmt w:val="koreanDigital2"/>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BCE03E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CA93A2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8A12C4"/>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CB5229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649573B4"/>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0" w15:restartNumberingAfterBreak="0">
    <w:nsid w:val="6CD02428"/>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272979040">
    <w:abstractNumId w:val="10"/>
  </w:num>
  <w:num w:numId="2" w16cid:durableId="444423001">
    <w:abstractNumId w:val="10"/>
  </w:num>
  <w:num w:numId="3" w16cid:durableId="1632057330">
    <w:abstractNumId w:val="10"/>
  </w:num>
  <w:num w:numId="4" w16cid:durableId="2000309922">
    <w:abstractNumId w:val="10"/>
  </w:num>
  <w:num w:numId="5" w16cid:durableId="143468637">
    <w:abstractNumId w:val="10"/>
  </w:num>
  <w:num w:numId="6" w16cid:durableId="883059309">
    <w:abstractNumId w:val="9"/>
  </w:num>
  <w:num w:numId="7" w16cid:durableId="1452169612">
    <w:abstractNumId w:val="7"/>
  </w:num>
  <w:num w:numId="8" w16cid:durableId="985431090">
    <w:abstractNumId w:val="6"/>
  </w:num>
  <w:num w:numId="9" w16cid:durableId="2124111679">
    <w:abstractNumId w:val="5"/>
  </w:num>
  <w:num w:numId="10" w16cid:durableId="547884530">
    <w:abstractNumId w:val="4"/>
  </w:num>
  <w:num w:numId="11" w16cid:durableId="1507398076">
    <w:abstractNumId w:val="8"/>
  </w:num>
  <w:num w:numId="12" w16cid:durableId="777524580">
    <w:abstractNumId w:val="3"/>
  </w:num>
  <w:num w:numId="13" w16cid:durableId="1303383438">
    <w:abstractNumId w:val="2"/>
  </w:num>
  <w:num w:numId="14" w16cid:durableId="1091925957">
    <w:abstractNumId w:val="1"/>
  </w:num>
  <w:num w:numId="15" w16cid:durableId="2073699582">
    <w:abstractNumId w:val="0"/>
  </w:num>
  <w:num w:numId="16" w16cid:durableId="1090664314">
    <w:abstractNumId w:val="14"/>
  </w:num>
  <w:num w:numId="17" w16cid:durableId="23092975">
    <w:abstractNumId w:val="17"/>
  </w:num>
  <w:num w:numId="18" w16cid:durableId="25494151">
    <w:abstractNumId w:val="18"/>
  </w:num>
  <w:num w:numId="19" w16cid:durableId="175509518">
    <w:abstractNumId w:val="21"/>
  </w:num>
  <w:num w:numId="20" w16cid:durableId="1041826489">
    <w:abstractNumId w:val="15"/>
  </w:num>
  <w:num w:numId="21" w16cid:durableId="422650624">
    <w:abstractNumId w:val="21"/>
    <w:lvlOverride w:ilvl="0">
      <w:startOverride w:val="1"/>
    </w:lvlOverride>
  </w:num>
  <w:num w:numId="22" w16cid:durableId="1291009607">
    <w:abstractNumId w:val="21"/>
    <w:lvlOverride w:ilvl="0">
      <w:startOverride w:val="1"/>
    </w:lvlOverride>
  </w:num>
  <w:num w:numId="23" w16cid:durableId="1320619608">
    <w:abstractNumId w:val="13"/>
  </w:num>
  <w:num w:numId="24" w16cid:durableId="1673606395">
    <w:abstractNumId w:val="16"/>
  </w:num>
  <w:num w:numId="25" w16cid:durableId="2047020997">
    <w:abstractNumId w:val="19"/>
  </w:num>
  <w:num w:numId="26" w16cid:durableId="556673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1947253">
    <w:abstractNumId w:val="12"/>
  </w:num>
  <w:num w:numId="28" w16cid:durableId="1350519649">
    <w:abstractNumId w:val="11"/>
  </w:num>
  <w:num w:numId="29" w16cid:durableId="201595928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F4FCC"/>
    <w:rsid w:val="00000FED"/>
    <w:rsid w:val="00003CD9"/>
    <w:rsid w:val="0000434E"/>
    <w:rsid w:val="000211A9"/>
    <w:rsid w:val="00021238"/>
    <w:rsid w:val="000228D4"/>
    <w:rsid w:val="00025391"/>
    <w:rsid w:val="00031260"/>
    <w:rsid w:val="0003681A"/>
    <w:rsid w:val="000372B7"/>
    <w:rsid w:val="00045FF3"/>
    <w:rsid w:val="00050F6E"/>
    <w:rsid w:val="00061EC2"/>
    <w:rsid w:val="00066CE8"/>
    <w:rsid w:val="00080ED0"/>
    <w:rsid w:val="00085B8F"/>
    <w:rsid w:val="00090481"/>
    <w:rsid w:val="000A3826"/>
    <w:rsid w:val="000A6C26"/>
    <w:rsid w:val="000B36C8"/>
    <w:rsid w:val="000B7EC9"/>
    <w:rsid w:val="000C77D7"/>
    <w:rsid w:val="000D52A4"/>
    <w:rsid w:val="000E07BC"/>
    <w:rsid w:val="000E2E21"/>
    <w:rsid w:val="000F1CD4"/>
    <w:rsid w:val="000F4103"/>
    <w:rsid w:val="000F70A7"/>
    <w:rsid w:val="00113CCA"/>
    <w:rsid w:val="001214B8"/>
    <w:rsid w:val="00122F25"/>
    <w:rsid w:val="00135980"/>
    <w:rsid w:val="0013786F"/>
    <w:rsid w:val="00164719"/>
    <w:rsid w:val="00166FC4"/>
    <w:rsid w:val="001677AC"/>
    <w:rsid w:val="001804EA"/>
    <w:rsid w:val="00190A61"/>
    <w:rsid w:val="00197179"/>
    <w:rsid w:val="00197211"/>
    <w:rsid w:val="001A2215"/>
    <w:rsid w:val="001A3342"/>
    <w:rsid w:val="001A3E3D"/>
    <w:rsid w:val="001A7049"/>
    <w:rsid w:val="001B1E40"/>
    <w:rsid w:val="001B6BEC"/>
    <w:rsid w:val="001C764E"/>
    <w:rsid w:val="001E1052"/>
    <w:rsid w:val="001E21B1"/>
    <w:rsid w:val="001E2F93"/>
    <w:rsid w:val="001E313E"/>
    <w:rsid w:val="001E4554"/>
    <w:rsid w:val="001E48BD"/>
    <w:rsid w:val="001E560C"/>
    <w:rsid w:val="001E61E5"/>
    <w:rsid w:val="001F2159"/>
    <w:rsid w:val="001F53FD"/>
    <w:rsid w:val="00210A77"/>
    <w:rsid w:val="00210B8B"/>
    <w:rsid w:val="00214863"/>
    <w:rsid w:val="002156B4"/>
    <w:rsid w:val="00224FCD"/>
    <w:rsid w:val="0023370C"/>
    <w:rsid w:val="00253222"/>
    <w:rsid w:val="00261C13"/>
    <w:rsid w:val="00262847"/>
    <w:rsid w:val="00281BB2"/>
    <w:rsid w:val="002A03C3"/>
    <w:rsid w:val="002B1901"/>
    <w:rsid w:val="002B254E"/>
    <w:rsid w:val="002B4CE8"/>
    <w:rsid w:val="002B72E9"/>
    <w:rsid w:val="002C7998"/>
    <w:rsid w:val="002D707E"/>
    <w:rsid w:val="002F1E51"/>
    <w:rsid w:val="002F1E53"/>
    <w:rsid w:val="002F2CAA"/>
    <w:rsid w:val="0030052C"/>
    <w:rsid w:val="00302701"/>
    <w:rsid w:val="003104D0"/>
    <w:rsid w:val="0032196C"/>
    <w:rsid w:val="003232A4"/>
    <w:rsid w:val="003242D4"/>
    <w:rsid w:val="003306E1"/>
    <w:rsid w:val="003320E4"/>
    <w:rsid w:val="0033396E"/>
    <w:rsid w:val="0033525D"/>
    <w:rsid w:val="003414F3"/>
    <w:rsid w:val="003508B5"/>
    <w:rsid w:val="00355FE8"/>
    <w:rsid w:val="0035613E"/>
    <w:rsid w:val="00363EE9"/>
    <w:rsid w:val="00376128"/>
    <w:rsid w:val="0037742E"/>
    <w:rsid w:val="00377D56"/>
    <w:rsid w:val="0038245A"/>
    <w:rsid w:val="003840E6"/>
    <w:rsid w:val="00384938"/>
    <w:rsid w:val="00385CFC"/>
    <w:rsid w:val="003918AC"/>
    <w:rsid w:val="0039337A"/>
    <w:rsid w:val="003A3189"/>
    <w:rsid w:val="003A3CA7"/>
    <w:rsid w:val="003B33BD"/>
    <w:rsid w:val="003B569D"/>
    <w:rsid w:val="003B7B10"/>
    <w:rsid w:val="003C3C0E"/>
    <w:rsid w:val="003D1DFB"/>
    <w:rsid w:val="003D42A6"/>
    <w:rsid w:val="003D4F21"/>
    <w:rsid w:val="003D4FAC"/>
    <w:rsid w:val="003E7906"/>
    <w:rsid w:val="003F000F"/>
    <w:rsid w:val="003F15FB"/>
    <w:rsid w:val="003F186B"/>
    <w:rsid w:val="003F3C50"/>
    <w:rsid w:val="00406202"/>
    <w:rsid w:val="00406A6A"/>
    <w:rsid w:val="00406B22"/>
    <w:rsid w:val="00407147"/>
    <w:rsid w:val="004078FA"/>
    <w:rsid w:val="00431E08"/>
    <w:rsid w:val="004328A7"/>
    <w:rsid w:val="00434C74"/>
    <w:rsid w:val="00451F50"/>
    <w:rsid w:val="00456EB4"/>
    <w:rsid w:val="00457827"/>
    <w:rsid w:val="004718F3"/>
    <w:rsid w:val="00475040"/>
    <w:rsid w:val="00490C06"/>
    <w:rsid w:val="00493D40"/>
    <w:rsid w:val="00493EE3"/>
    <w:rsid w:val="004967B6"/>
    <w:rsid w:val="004A504B"/>
    <w:rsid w:val="004A6911"/>
    <w:rsid w:val="004B54E0"/>
    <w:rsid w:val="004B7384"/>
    <w:rsid w:val="004C4269"/>
    <w:rsid w:val="004D0A70"/>
    <w:rsid w:val="004D6236"/>
    <w:rsid w:val="004D7F90"/>
    <w:rsid w:val="004E4DBB"/>
    <w:rsid w:val="004E4E41"/>
    <w:rsid w:val="004E73DB"/>
    <w:rsid w:val="004E7F9C"/>
    <w:rsid w:val="004F3493"/>
    <w:rsid w:val="004F495F"/>
    <w:rsid w:val="004F5143"/>
    <w:rsid w:val="00512B09"/>
    <w:rsid w:val="005220ED"/>
    <w:rsid w:val="0053058B"/>
    <w:rsid w:val="00533796"/>
    <w:rsid w:val="00537343"/>
    <w:rsid w:val="00540C7D"/>
    <w:rsid w:val="005516F3"/>
    <w:rsid w:val="00555D75"/>
    <w:rsid w:val="00560DF0"/>
    <w:rsid w:val="0056759C"/>
    <w:rsid w:val="00576289"/>
    <w:rsid w:val="0059513E"/>
    <w:rsid w:val="005A6AA4"/>
    <w:rsid w:val="005A6D9F"/>
    <w:rsid w:val="005B48FF"/>
    <w:rsid w:val="005C1E32"/>
    <w:rsid w:val="005C670D"/>
    <w:rsid w:val="005D363F"/>
    <w:rsid w:val="006023B6"/>
    <w:rsid w:val="00604C15"/>
    <w:rsid w:val="0061561D"/>
    <w:rsid w:val="006158D5"/>
    <w:rsid w:val="00625D83"/>
    <w:rsid w:val="00644CD1"/>
    <w:rsid w:val="00651984"/>
    <w:rsid w:val="00657CAF"/>
    <w:rsid w:val="006623E7"/>
    <w:rsid w:val="00662B80"/>
    <w:rsid w:val="0066768F"/>
    <w:rsid w:val="00670F6C"/>
    <w:rsid w:val="00676E58"/>
    <w:rsid w:val="006852C7"/>
    <w:rsid w:val="006852CE"/>
    <w:rsid w:val="00687EE7"/>
    <w:rsid w:val="006915A7"/>
    <w:rsid w:val="00692D14"/>
    <w:rsid w:val="006A7A3B"/>
    <w:rsid w:val="006B0FD7"/>
    <w:rsid w:val="006B1D5B"/>
    <w:rsid w:val="006B65C7"/>
    <w:rsid w:val="006C1727"/>
    <w:rsid w:val="006C32FD"/>
    <w:rsid w:val="006C39CB"/>
    <w:rsid w:val="006C39CE"/>
    <w:rsid w:val="006D0FCC"/>
    <w:rsid w:val="006D21F5"/>
    <w:rsid w:val="006D2EAC"/>
    <w:rsid w:val="006D3089"/>
    <w:rsid w:val="006D408F"/>
    <w:rsid w:val="006E126D"/>
    <w:rsid w:val="006E1FC3"/>
    <w:rsid w:val="006E22FF"/>
    <w:rsid w:val="006E7BE3"/>
    <w:rsid w:val="00703341"/>
    <w:rsid w:val="00704CE9"/>
    <w:rsid w:val="0070616B"/>
    <w:rsid w:val="00706295"/>
    <w:rsid w:val="00706FDA"/>
    <w:rsid w:val="00711F9A"/>
    <w:rsid w:val="00713810"/>
    <w:rsid w:val="007303A5"/>
    <w:rsid w:val="00730B3E"/>
    <w:rsid w:val="0073420B"/>
    <w:rsid w:val="00736367"/>
    <w:rsid w:val="0074760E"/>
    <w:rsid w:val="00751FB2"/>
    <w:rsid w:val="00754ABA"/>
    <w:rsid w:val="00782B0D"/>
    <w:rsid w:val="0079781A"/>
    <w:rsid w:val="007A1546"/>
    <w:rsid w:val="007A228C"/>
    <w:rsid w:val="007A2DD6"/>
    <w:rsid w:val="007A368E"/>
    <w:rsid w:val="007A5868"/>
    <w:rsid w:val="007B04CE"/>
    <w:rsid w:val="007B6871"/>
    <w:rsid w:val="007B7A2F"/>
    <w:rsid w:val="007C32EE"/>
    <w:rsid w:val="007C3D33"/>
    <w:rsid w:val="007D294A"/>
    <w:rsid w:val="007D47D2"/>
    <w:rsid w:val="007D6EC0"/>
    <w:rsid w:val="007D7E1D"/>
    <w:rsid w:val="007E503C"/>
    <w:rsid w:val="007F36A2"/>
    <w:rsid w:val="007F4FCC"/>
    <w:rsid w:val="0080345C"/>
    <w:rsid w:val="00817228"/>
    <w:rsid w:val="0082522F"/>
    <w:rsid w:val="00831979"/>
    <w:rsid w:val="00851352"/>
    <w:rsid w:val="0085183E"/>
    <w:rsid w:val="00856D78"/>
    <w:rsid w:val="00857077"/>
    <w:rsid w:val="00863230"/>
    <w:rsid w:val="00865BD0"/>
    <w:rsid w:val="008717D8"/>
    <w:rsid w:val="0087215C"/>
    <w:rsid w:val="00875D25"/>
    <w:rsid w:val="00880E35"/>
    <w:rsid w:val="008875FE"/>
    <w:rsid w:val="00887CEE"/>
    <w:rsid w:val="00887F8E"/>
    <w:rsid w:val="00894F95"/>
    <w:rsid w:val="00896234"/>
    <w:rsid w:val="00897E43"/>
    <w:rsid w:val="008A06A6"/>
    <w:rsid w:val="008A1BA8"/>
    <w:rsid w:val="008B3466"/>
    <w:rsid w:val="008C222B"/>
    <w:rsid w:val="008C5738"/>
    <w:rsid w:val="008C7EAD"/>
    <w:rsid w:val="008D0CFE"/>
    <w:rsid w:val="008D4FCB"/>
    <w:rsid w:val="008D6152"/>
    <w:rsid w:val="008E7BA9"/>
    <w:rsid w:val="008F0F81"/>
    <w:rsid w:val="008F27BF"/>
    <w:rsid w:val="008F2E64"/>
    <w:rsid w:val="008F46B7"/>
    <w:rsid w:val="009142EC"/>
    <w:rsid w:val="009154C3"/>
    <w:rsid w:val="00923540"/>
    <w:rsid w:val="00924317"/>
    <w:rsid w:val="00926767"/>
    <w:rsid w:val="009361D5"/>
    <w:rsid w:val="009404B8"/>
    <w:rsid w:val="009428A4"/>
    <w:rsid w:val="00945C8A"/>
    <w:rsid w:val="009565C3"/>
    <w:rsid w:val="009625EE"/>
    <w:rsid w:val="009659F4"/>
    <w:rsid w:val="009707ED"/>
    <w:rsid w:val="00970D60"/>
    <w:rsid w:val="00972958"/>
    <w:rsid w:val="00976767"/>
    <w:rsid w:val="0099390E"/>
    <w:rsid w:val="009960E5"/>
    <w:rsid w:val="009A7ADC"/>
    <w:rsid w:val="009B0D30"/>
    <w:rsid w:val="009C19B7"/>
    <w:rsid w:val="009C59F7"/>
    <w:rsid w:val="009C5ABB"/>
    <w:rsid w:val="009D2193"/>
    <w:rsid w:val="009D7C51"/>
    <w:rsid w:val="009E196C"/>
    <w:rsid w:val="009E6A0A"/>
    <w:rsid w:val="009F148C"/>
    <w:rsid w:val="009F36BF"/>
    <w:rsid w:val="00A111B6"/>
    <w:rsid w:val="00A156DE"/>
    <w:rsid w:val="00A26D27"/>
    <w:rsid w:val="00A3019F"/>
    <w:rsid w:val="00A376EE"/>
    <w:rsid w:val="00A42A99"/>
    <w:rsid w:val="00A5151A"/>
    <w:rsid w:val="00A57E0A"/>
    <w:rsid w:val="00A76A35"/>
    <w:rsid w:val="00A8039C"/>
    <w:rsid w:val="00A823F6"/>
    <w:rsid w:val="00A85C15"/>
    <w:rsid w:val="00A8719E"/>
    <w:rsid w:val="00AA0A89"/>
    <w:rsid w:val="00AA5368"/>
    <w:rsid w:val="00AA6429"/>
    <w:rsid w:val="00AC01AA"/>
    <w:rsid w:val="00AC4F72"/>
    <w:rsid w:val="00AC6C04"/>
    <w:rsid w:val="00AE482E"/>
    <w:rsid w:val="00AF741A"/>
    <w:rsid w:val="00B01ADB"/>
    <w:rsid w:val="00B04161"/>
    <w:rsid w:val="00B0435C"/>
    <w:rsid w:val="00B05567"/>
    <w:rsid w:val="00B056F9"/>
    <w:rsid w:val="00B11E3D"/>
    <w:rsid w:val="00B14D2C"/>
    <w:rsid w:val="00B17E82"/>
    <w:rsid w:val="00B4575A"/>
    <w:rsid w:val="00B54EBF"/>
    <w:rsid w:val="00B575BA"/>
    <w:rsid w:val="00B71608"/>
    <w:rsid w:val="00B7285C"/>
    <w:rsid w:val="00B76429"/>
    <w:rsid w:val="00B86471"/>
    <w:rsid w:val="00B90C61"/>
    <w:rsid w:val="00B956D4"/>
    <w:rsid w:val="00B95E2B"/>
    <w:rsid w:val="00B97446"/>
    <w:rsid w:val="00BA54E0"/>
    <w:rsid w:val="00BA7432"/>
    <w:rsid w:val="00BB2764"/>
    <w:rsid w:val="00BB31D3"/>
    <w:rsid w:val="00BC1AA0"/>
    <w:rsid w:val="00BC2495"/>
    <w:rsid w:val="00BC314A"/>
    <w:rsid w:val="00BC7EB9"/>
    <w:rsid w:val="00BD2643"/>
    <w:rsid w:val="00BD4100"/>
    <w:rsid w:val="00BD56B1"/>
    <w:rsid w:val="00BD6558"/>
    <w:rsid w:val="00BE7813"/>
    <w:rsid w:val="00BF2AD7"/>
    <w:rsid w:val="00BF2F76"/>
    <w:rsid w:val="00BF3022"/>
    <w:rsid w:val="00BF3214"/>
    <w:rsid w:val="00BF5573"/>
    <w:rsid w:val="00C00829"/>
    <w:rsid w:val="00C0113D"/>
    <w:rsid w:val="00C15867"/>
    <w:rsid w:val="00C22398"/>
    <w:rsid w:val="00C2296D"/>
    <w:rsid w:val="00C23155"/>
    <w:rsid w:val="00C40C41"/>
    <w:rsid w:val="00C45885"/>
    <w:rsid w:val="00C45A07"/>
    <w:rsid w:val="00C50F22"/>
    <w:rsid w:val="00C57971"/>
    <w:rsid w:val="00C65BD7"/>
    <w:rsid w:val="00C76BA4"/>
    <w:rsid w:val="00C83A48"/>
    <w:rsid w:val="00C85865"/>
    <w:rsid w:val="00C85E85"/>
    <w:rsid w:val="00CA2EAE"/>
    <w:rsid w:val="00CA4AC1"/>
    <w:rsid w:val="00CA59FB"/>
    <w:rsid w:val="00CB0316"/>
    <w:rsid w:val="00CB0B11"/>
    <w:rsid w:val="00CB0F4B"/>
    <w:rsid w:val="00CB426A"/>
    <w:rsid w:val="00CB5354"/>
    <w:rsid w:val="00CC19BD"/>
    <w:rsid w:val="00CC1B9C"/>
    <w:rsid w:val="00CC3C9E"/>
    <w:rsid w:val="00CC6A14"/>
    <w:rsid w:val="00CC70A3"/>
    <w:rsid w:val="00CD3074"/>
    <w:rsid w:val="00CD4442"/>
    <w:rsid w:val="00CD53C3"/>
    <w:rsid w:val="00CD574E"/>
    <w:rsid w:val="00CE4C22"/>
    <w:rsid w:val="00CE76E5"/>
    <w:rsid w:val="00CF41EC"/>
    <w:rsid w:val="00CF5D04"/>
    <w:rsid w:val="00D04A18"/>
    <w:rsid w:val="00D04DE4"/>
    <w:rsid w:val="00D063F1"/>
    <w:rsid w:val="00D14F22"/>
    <w:rsid w:val="00D321D0"/>
    <w:rsid w:val="00D4741C"/>
    <w:rsid w:val="00D51323"/>
    <w:rsid w:val="00D57918"/>
    <w:rsid w:val="00D60EB6"/>
    <w:rsid w:val="00D632EB"/>
    <w:rsid w:val="00D73DC6"/>
    <w:rsid w:val="00D74C1A"/>
    <w:rsid w:val="00D754C1"/>
    <w:rsid w:val="00D77393"/>
    <w:rsid w:val="00D777BA"/>
    <w:rsid w:val="00D77A35"/>
    <w:rsid w:val="00D81B3E"/>
    <w:rsid w:val="00D90C70"/>
    <w:rsid w:val="00D90E49"/>
    <w:rsid w:val="00D96ADE"/>
    <w:rsid w:val="00DA0CE2"/>
    <w:rsid w:val="00DA2387"/>
    <w:rsid w:val="00DA4FA7"/>
    <w:rsid w:val="00DC6A10"/>
    <w:rsid w:val="00DE657E"/>
    <w:rsid w:val="00DF349D"/>
    <w:rsid w:val="00DF4704"/>
    <w:rsid w:val="00E024AA"/>
    <w:rsid w:val="00E06989"/>
    <w:rsid w:val="00E15C77"/>
    <w:rsid w:val="00E1785E"/>
    <w:rsid w:val="00E250F1"/>
    <w:rsid w:val="00E3550D"/>
    <w:rsid w:val="00E45FBF"/>
    <w:rsid w:val="00E52838"/>
    <w:rsid w:val="00E614E0"/>
    <w:rsid w:val="00E63401"/>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53AD"/>
    <w:rsid w:val="00EE7B66"/>
    <w:rsid w:val="00EF06EA"/>
    <w:rsid w:val="00F07604"/>
    <w:rsid w:val="00F21088"/>
    <w:rsid w:val="00F32349"/>
    <w:rsid w:val="00F327E7"/>
    <w:rsid w:val="00F35746"/>
    <w:rsid w:val="00F41B64"/>
    <w:rsid w:val="00F447C7"/>
    <w:rsid w:val="00F459B4"/>
    <w:rsid w:val="00F5211B"/>
    <w:rsid w:val="00F554A9"/>
    <w:rsid w:val="00F656DC"/>
    <w:rsid w:val="00F716FD"/>
    <w:rsid w:val="00F80355"/>
    <w:rsid w:val="00F87C43"/>
    <w:rsid w:val="00FA5722"/>
    <w:rsid w:val="00FB077C"/>
    <w:rsid w:val="00FB0C81"/>
    <w:rsid w:val="00FC2200"/>
    <w:rsid w:val="00FC2540"/>
    <w:rsid w:val="00FC7C4E"/>
    <w:rsid w:val="00FE1AEC"/>
    <w:rsid w:val="00FF0204"/>
    <w:rsid w:val="00FF2C33"/>
    <w:rsid w:val="00FF3AED"/>
    <w:rsid w:val="00FF5C19"/>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7284CDB6"/>
  <w15:docId w15:val="{A5687CE1-456C-4F19-A417-4FB53735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locked="1" w:semiHidden="1" w:uiPriority="0"/>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9"/>
    <w:qFormat/>
    <w:pPr>
      <w:widowControl w:val="0"/>
      <w:numPr>
        <w:ilvl w:val="1"/>
        <w:numId w:val="1"/>
      </w:numPr>
      <w:spacing w:after="240"/>
      <w:outlineLvl w:val="1"/>
    </w:pPr>
  </w:style>
  <w:style w:type="paragraph" w:styleId="Heading3">
    <w:name w:val="heading 3"/>
    <w:aliases w:val="Char"/>
    <w:basedOn w:val="Normal"/>
    <w:next w:val="Normal"/>
    <w:link w:val="Heading3Char"/>
    <w:uiPriority w:val="99"/>
    <w:qFormat/>
    <w:pPr>
      <w:widowControl w:val="0"/>
      <w:numPr>
        <w:ilvl w:val="2"/>
        <w:numId w:val="1"/>
      </w:numPr>
      <w:spacing w:after="240"/>
      <w:outlineLvl w:val="2"/>
    </w:pPr>
  </w:style>
  <w:style w:type="paragraph" w:styleId="Heading4">
    <w:name w:val="heading 4"/>
    <w:aliases w:val="Heading 1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link w:val="Heading2"/>
    <w:uiPriority w:val="9"/>
    <w:semiHidden/>
    <w:rsid w:val="00211AE3"/>
    <w:rPr>
      <w:rFonts w:ascii="Cambria" w:eastAsia="Times New Roman" w:hAnsi="Cambria" w:cs="Times New Roman"/>
      <w:b/>
      <w:bCs/>
      <w:i/>
      <w:iCs/>
      <w:sz w:val="28"/>
      <w:szCs w:val="28"/>
      <w:lang w:val="en-CA"/>
    </w:rPr>
  </w:style>
  <w:style w:type="character" w:customStyle="1" w:styleId="Heading3Char">
    <w:name w:val="Heading 3 Char"/>
    <w:aliases w:val="Char Char"/>
    <w:link w:val="Heading3"/>
    <w:uiPriority w:val="9"/>
    <w:semiHidden/>
    <w:rsid w:val="00211AE3"/>
    <w:rPr>
      <w:rFonts w:ascii="Cambria" w:eastAsia="Times New Roman" w:hAnsi="Cambria" w:cs="Times New Roman"/>
      <w:b/>
      <w:bCs/>
      <w:sz w:val="26"/>
      <w:szCs w:val="26"/>
      <w:lang w:val="en-CA"/>
    </w:rPr>
  </w:style>
  <w:style w:type="character" w:customStyle="1" w:styleId="Heading4Char">
    <w:name w:val="Heading 4 Char"/>
    <w:aliases w:val="Heading 11 Char"/>
    <w:link w:val="Heading4"/>
    <w:uiPriority w:val="9"/>
    <w:semiHidden/>
    <w:rsid w:val="00211AE3"/>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211AE3"/>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211AE3"/>
    <w:rPr>
      <w:rFonts w:ascii="Calibri" w:eastAsia="Times New Roman" w:hAnsi="Calibri" w:cs="Times New Roman"/>
      <w:b/>
      <w:bCs/>
      <w:lang w:val="en-CA"/>
    </w:rPr>
  </w:style>
  <w:style w:type="character" w:customStyle="1" w:styleId="Heading7Char">
    <w:name w:val="Heading 7 Char"/>
    <w:link w:val="Heading7"/>
    <w:uiPriority w:val="9"/>
    <w:semiHidden/>
    <w:rsid w:val="00211AE3"/>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211AE3"/>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211AE3"/>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211AE3"/>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211AE3"/>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211AE3"/>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211AE3"/>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211AE3"/>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211AE3"/>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211AE3"/>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211AE3"/>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1"/>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character" w:customStyle="1" w:styleId="tw4winMark">
    <w:name w:val="tw4winMark"/>
    <w:uiPriority w:val="99"/>
    <w:rPr>
      <w:rFonts w:ascii="Courier New" w:hAnsi="Courier New"/>
      <w:vanish/>
      <w:color w:val="800080"/>
      <w:vertAlign w:val="subscript"/>
    </w:rPr>
  </w:style>
  <w:style w:type="character" w:customStyle="1" w:styleId="rynqvb">
    <w:name w:val="rynqvb"/>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character" w:customStyle="1" w:styleId="DONOTTRANSLATE">
    <w:name w:val="DO_NOT_TRANSLATE"/>
    <w:uiPriority w:val="99"/>
    <w:rPr>
      <w:rFonts w:ascii="Courier New" w:hAnsi="Courier New"/>
      <w:noProof/>
      <w:color w:val="800000"/>
    </w:rPr>
  </w:style>
  <w:style w:type="character" w:customStyle="1" w:styleId="FootnoteTextChar1">
    <w:name w:val="Footnote Text Char1"/>
    <w:aliases w:val="Char1 Char1,Char1 Char Char Char1,Fu?notentextf Char1,FOOTNOTES Char1,fn Char1,single space Char1,Footnote Char1,Footnote Text Char1 Char Char1,Footnote Text Char Char Char Char1,Footnote Text Char1 Char Char Char Char1,f Char1"/>
    <w:link w:val="FootnoteText"/>
    <w:uiPriority w:val="99"/>
    <w:locked/>
    <w:rsid w:val="00576289"/>
    <w:rPr>
      <w:rFonts w:eastAsia="SimSun" w:cs="Times New Roman"/>
      <w:snapToGrid w:val="0"/>
      <w:lang w:val="en-CA" w:eastAsia="zh-CN" w:bidi="ar-SA"/>
    </w:rPr>
  </w:style>
  <w:style w:type="numbering" w:styleId="111111">
    <w:name w:val="Outline List 2"/>
    <w:basedOn w:val="NoList"/>
    <w:uiPriority w:val="99"/>
    <w:semiHidden/>
    <w:unhideWhenUsed/>
    <w:rsid w:val="00211AE3"/>
    <w:pPr>
      <w:numPr>
        <w:numId w:val="16"/>
      </w:numPr>
    </w:pPr>
  </w:style>
  <w:style w:type="numbering" w:styleId="1ai">
    <w:name w:val="Outline List 1"/>
    <w:basedOn w:val="NoList"/>
    <w:uiPriority w:val="99"/>
    <w:semiHidden/>
    <w:unhideWhenUsed/>
    <w:rsid w:val="00211AE3"/>
    <w:pPr>
      <w:numPr>
        <w:numId w:val="17"/>
      </w:numPr>
    </w:pPr>
  </w:style>
  <w:style w:type="numbering" w:styleId="ArticleSection">
    <w:name w:val="Outline List 3"/>
    <w:basedOn w:val="NoList"/>
    <w:uiPriority w:val="99"/>
    <w:semiHidden/>
    <w:unhideWhenUsed/>
    <w:rsid w:val="00211AE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638620">
      <w:marLeft w:val="0"/>
      <w:marRight w:val="0"/>
      <w:marTop w:val="0"/>
      <w:marBottom w:val="0"/>
      <w:divBdr>
        <w:top w:val="none" w:sz="0" w:space="0" w:color="auto"/>
        <w:left w:val="none" w:sz="0" w:space="0" w:color="auto"/>
        <w:bottom w:val="none" w:sz="0" w:space="0" w:color="auto"/>
        <w:right w:val="none" w:sz="0" w:space="0" w:color="auto"/>
      </w:divBdr>
    </w:div>
    <w:div w:id="1208638621">
      <w:marLeft w:val="0"/>
      <w:marRight w:val="0"/>
      <w:marTop w:val="0"/>
      <w:marBottom w:val="0"/>
      <w:divBdr>
        <w:top w:val="none" w:sz="0" w:space="0" w:color="auto"/>
        <w:left w:val="none" w:sz="0" w:space="0" w:color="auto"/>
        <w:bottom w:val="none" w:sz="0" w:space="0" w:color="auto"/>
        <w:right w:val="none" w:sz="0" w:space="0" w:color="auto"/>
      </w:divBdr>
    </w:div>
    <w:div w:id="1208638623">
      <w:marLeft w:val="0"/>
      <w:marRight w:val="0"/>
      <w:marTop w:val="0"/>
      <w:marBottom w:val="0"/>
      <w:divBdr>
        <w:top w:val="none" w:sz="0" w:space="0" w:color="auto"/>
        <w:left w:val="none" w:sz="0" w:space="0" w:color="auto"/>
        <w:bottom w:val="none" w:sz="0" w:space="0" w:color="auto"/>
        <w:right w:val="none" w:sz="0" w:space="0" w:color="auto"/>
      </w:divBdr>
    </w:div>
    <w:div w:id="1208638624">
      <w:marLeft w:val="0"/>
      <w:marRight w:val="0"/>
      <w:marTop w:val="0"/>
      <w:marBottom w:val="0"/>
      <w:divBdr>
        <w:top w:val="none" w:sz="0" w:space="0" w:color="auto"/>
        <w:left w:val="none" w:sz="0" w:space="0" w:color="auto"/>
        <w:bottom w:val="none" w:sz="0" w:space="0" w:color="auto"/>
        <w:right w:val="none" w:sz="0" w:space="0" w:color="auto"/>
      </w:divBdr>
      <w:divsChild>
        <w:div w:id="120863862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D9479F933A0846BE3944121D86BC35" ma:contentTypeVersion="5" ma:contentTypeDescription="Create a new document." ma:contentTypeScope="" ma:versionID="38095b2335c967b6729350e0d4cac72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39598E-5F1D-4EC8-8551-8BAD8E8939C5}"/>
</file>

<file path=customXml/itemProps2.xml><?xml version="1.0" encoding="utf-8"?>
<ds:datastoreItem xmlns:ds="http://schemas.openxmlformats.org/officeDocument/2006/customXml" ds:itemID="{B984C595-AE31-4991-9D99-FC0B6595869A}"/>
</file>

<file path=customXml/itemProps3.xml><?xml version="1.0" encoding="utf-8"?>
<ds:datastoreItem xmlns:ds="http://schemas.openxmlformats.org/officeDocument/2006/customXml" ds:itemID="{76C53A11-DE31-4B56-99D6-7BD540489D57}"/>
</file>

<file path=docProps/app.xml><?xml version="1.0" encoding="utf-8"?>
<Properties xmlns="http://schemas.openxmlformats.org/officeDocument/2006/extended-properties" xmlns:vt="http://schemas.openxmlformats.org/officeDocument/2006/docPropsVTypes">
  <Template>Eec93G</Template>
  <TotalTime>1</TotalTime>
  <Pages>7</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多边基金行政费用机制的审查 （第88/74号决定（c）段和第91/67号决定（b）段）</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多边基金行政费用机制的审查 （第88/74号决定（c）段和第91/67号决定（b）段）</dc:title>
  <dc:subject/>
  <dc:creator>Muriel Aguiar</dc:creator>
  <cp:keywords/>
  <dc:description/>
  <cp:lastModifiedBy>Martine Chery</cp:lastModifiedBy>
  <cp:revision>2</cp:revision>
  <cp:lastPrinted>2001-05-26T16:40:00Z</cp:lastPrinted>
  <dcterms:created xsi:type="dcterms:W3CDTF">2023-12-03T19:47:00Z</dcterms:created>
  <dcterms:modified xsi:type="dcterms:W3CDTF">2023-12-03T19:47:00Z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UNEP/OzL.Pro/ExCom/93/101</vt:lpwstr>
  </property>
  <property fmtid="{D5CDD505-2E9C-101B-9397-08002B2CF9AE}" pid="3" name="Revision date">
    <vt:lpwstr>11/30/2023</vt:lpwstr>
  </property>
  <property fmtid="{D5CDD505-2E9C-101B-9397-08002B2CF9AE}" pid="4" name="ContentTypeId">
    <vt:lpwstr>0x01010021D9479F933A0846BE3944121D86BC35</vt:lpwstr>
  </property>
  <property fmtid="{D5CDD505-2E9C-101B-9397-08002B2CF9AE}" pid="5" name="Order">
    <vt:r8>1.99748218451567E-302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